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Wagering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_Toc93499078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_Toc93499079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_Toc93499080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_Toc93499081 \h </w:instrText>
      </w:r>
      <w:r>
        <w:fldChar w:fldCharType="separate"/>
      </w:r>
      <w:r>
        <w:t>7</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_Toc93499082 \h </w:instrText>
      </w:r>
      <w:r>
        <w:fldChar w:fldCharType="separate"/>
      </w:r>
      <w:r>
        <w:t>8</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_Toc93499083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_Toc93499085 \h </w:instrText>
      </w:r>
      <w:r>
        <w:fldChar w:fldCharType="separate"/>
      </w:r>
      <w:r>
        <w:t>10</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_Toc93499086 \h </w:instrText>
      </w:r>
      <w:r>
        <w:fldChar w:fldCharType="separate"/>
      </w:r>
      <w:r>
        <w:t>10</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_Toc93499087 \h </w:instrText>
      </w:r>
      <w:r>
        <w:fldChar w:fldCharType="separate"/>
      </w:r>
      <w:r>
        <w:t>10</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_Toc93499088 \h </w:instrText>
      </w:r>
      <w:r>
        <w:fldChar w:fldCharType="separate"/>
      </w:r>
      <w:r>
        <w:t>10</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_Toc93499089 \h </w:instrText>
      </w:r>
      <w:r>
        <w:fldChar w:fldCharType="separate"/>
      </w:r>
      <w:r>
        <w:t>11</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_Toc93499090 \h </w:instrText>
      </w:r>
      <w:r>
        <w:fldChar w:fldCharType="separate"/>
      </w:r>
      <w:r>
        <w:t>11</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_Toc93499091 \h </w:instrText>
      </w:r>
      <w:r>
        <w:fldChar w:fldCharType="separate"/>
      </w:r>
      <w:r>
        <w:t>11</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_Toc93499092 \h </w:instrText>
      </w:r>
      <w:r>
        <w:fldChar w:fldCharType="separate"/>
      </w:r>
      <w:r>
        <w:t>12</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_Toc93499093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_Toc93499095 \h </w:instrText>
      </w:r>
      <w:r>
        <w:fldChar w:fldCharType="separate"/>
      </w:r>
      <w:r>
        <w:t>13</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_Toc93499096 \h </w:instrText>
      </w:r>
      <w:r>
        <w:fldChar w:fldCharType="separate"/>
      </w:r>
      <w:r>
        <w:t>17</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_Toc93499097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18A.</w:t>
      </w:r>
      <w:r>
        <w:tab/>
        <w:t>Dividends on novelty wagers if less than one unit invested on correct selections</w:t>
      </w:r>
      <w:r>
        <w:tab/>
      </w:r>
      <w:r>
        <w:fldChar w:fldCharType="begin"/>
      </w:r>
      <w:r>
        <w:instrText xml:space="preserve"> PAGEREF _Toc93499098 \h </w:instrText>
      </w:r>
      <w:r>
        <w:fldChar w:fldCharType="separate"/>
      </w:r>
      <w:r>
        <w:t>21</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_Toc93499099 \h </w:instrText>
      </w:r>
      <w:r>
        <w:fldChar w:fldCharType="separate"/>
      </w:r>
      <w:r>
        <w:t>22</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_Toc93499100 \h </w:instrText>
      </w:r>
      <w:r>
        <w:fldChar w:fldCharType="separate"/>
      </w:r>
      <w:r>
        <w:t>23</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_Toc93499101 \h </w:instrText>
      </w:r>
      <w:r>
        <w:fldChar w:fldCharType="separate"/>
      </w:r>
      <w:r>
        <w:t>25</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_Toc93499102 \h </w:instrText>
      </w:r>
      <w:r>
        <w:fldChar w:fldCharType="separate"/>
      </w:r>
      <w:r>
        <w:t>26</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_Toc93499103 \h </w:instrText>
      </w:r>
      <w:r>
        <w:fldChar w:fldCharType="separate"/>
      </w:r>
      <w:r>
        <w:t>28</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_Toc93499104 \h </w:instrText>
      </w:r>
      <w:r>
        <w:fldChar w:fldCharType="separate"/>
      </w:r>
      <w:r>
        <w:t>29</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_Toc93499105 \h </w:instrText>
      </w:r>
      <w:r>
        <w:fldChar w:fldCharType="separate"/>
      </w:r>
      <w:r>
        <w:t>30</w:t>
      </w:r>
      <w:r>
        <w:fldChar w:fldCharType="end"/>
      </w:r>
    </w:p>
    <w:p>
      <w:pPr>
        <w:pStyle w:val="TOC8"/>
        <w:rPr>
          <w:rFonts w:asciiTheme="minorHAnsi" w:eastAsiaTheme="minorEastAsia" w:hAnsiTheme="minorHAnsi" w:cstheme="minorBidi"/>
          <w:szCs w:val="22"/>
        </w:rPr>
      </w:pPr>
      <w:r>
        <w:t>25.</w:t>
      </w:r>
      <w:r>
        <w:tab/>
        <w:t>Sports tipping wagers</w:t>
      </w:r>
      <w:r>
        <w:tab/>
      </w:r>
      <w:r>
        <w:fldChar w:fldCharType="begin"/>
      </w:r>
      <w:r>
        <w:instrText xml:space="preserve"> PAGEREF _Toc93499106 \h </w:instrText>
      </w:r>
      <w:r>
        <w:fldChar w:fldCharType="separate"/>
      </w:r>
      <w:r>
        <w:t>31</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_Toc93499107 \h </w:instrText>
      </w:r>
      <w:r>
        <w:fldChar w:fldCharType="separate"/>
      </w:r>
      <w:r>
        <w:t>32</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_Toc93499108 \h </w:instrText>
      </w:r>
      <w:r>
        <w:fldChar w:fldCharType="separate"/>
      </w:r>
      <w:r>
        <w:t>33</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_Toc93499109 \h </w:instrText>
      </w:r>
      <w:r>
        <w:fldChar w:fldCharType="separate"/>
      </w:r>
      <w:r>
        <w:t>34</w:t>
      </w:r>
      <w:r>
        <w:fldChar w:fldCharType="end"/>
      </w:r>
    </w:p>
    <w:p>
      <w:pPr>
        <w:pStyle w:val="TOC8"/>
        <w:rPr>
          <w:rFonts w:asciiTheme="minorHAnsi" w:eastAsiaTheme="minorEastAsia" w:hAnsiTheme="minorHAnsi" w:cstheme="minorBidi"/>
          <w:szCs w:val="22"/>
        </w:rPr>
      </w:pPr>
      <w:r>
        <w:t>29.</w:t>
      </w:r>
      <w:r>
        <w:tab/>
        <w:t>Wagers on sporting events</w:t>
      </w:r>
      <w:r>
        <w:tab/>
      </w:r>
      <w:r>
        <w:fldChar w:fldCharType="begin"/>
      </w:r>
      <w:r>
        <w:instrText xml:space="preserve"> PAGEREF _Toc93499110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_Toc93499112 \h </w:instrText>
      </w:r>
      <w:r>
        <w:fldChar w:fldCharType="separate"/>
      </w:r>
      <w:r>
        <w:t>36</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_Toc93499113 \h </w:instrText>
      </w:r>
      <w:r>
        <w:fldChar w:fldCharType="separate"/>
      </w:r>
      <w:r>
        <w:t>36</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_Toc93499114 \h </w:instrText>
      </w:r>
      <w:r>
        <w:fldChar w:fldCharType="separate"/>
      </w:r>
      <w:r>
        <w:t>37</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_Toc93499115 \h </w:instrText>
      </w:r>
      <w:r>
        <w:fldChar w:fldCharType="separate"/>
      </w:r>
      <w:r>
        <w:t>37</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_Toc93499116 \h </w:instrText>
      </w:r>
      <w:r>
        <w:fldChar w:fldCharType="separate"/>
      </w:r>
      <w:r>
        <w:t>38</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_Toc93499117 \h </w:instrText>
      </w:r>
      <w:r>
        <w:fldChar w:fldCharType="separate"/>
      </w:r>
      <w:r>
        <w:t>40</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_Toc93499118 \h </w:instrText>
      </w:r>
      <w:r>
        <w:fldChar w:fldCharType="separate"/>
      </w:r>
      <w:r>
        <w:t>40</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_Toc93499119 \h </w:instrText>
      </w:r>
      <w:r>
        <w:fldChar w:fldCharType="separate"/>
      </w:r>
      <w:r>
        <w:t>40</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_Toc93499120 \h </w:instrText>
      </w:r>
      <w:r>
        <w:fldChar w:fldCharType="separate"/>
      </w:r>
      <w:r>
        <w:t>43</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_Toc93499121 \h </w:instrText>
      </w:r>
      <w:r>
        <w:fldChar w:fldCharType="separate"/>
      </w:r>
      <w:r>
        <w:t>43</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_Toc93499122 \h </w:instrText>
      </w:r>
      <w:r>
        <w:fldChar w:fldCharType="separate"/>
      </w:r>
      <w:r>
        <w:t>44</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_Toc93499123 \h </w:instrText>
      </w:r>
      <w:r>
        <w:fldChar w:fldCharType="separate"/>
      </w:r>
      <w:r>
        <w:t>45</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_Toc93499124 \h </w:instrText>
      </w:r>
      <w:r>
        <w:fldChar w:fldCharType="separate"/>
      </w:r>
      <w:r>
        <w:t>46</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_Toc93499125 \h </w:instrText>
      </w:r>
      <w:r>
        <w:fldChar w:fldCharType="separate"/>
      </w:r>
      <w:r>
        <w:t>47</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_Toc93499126 \h </w:instrText>
      </w:r>
      <w:r>
        <w:fldChar w:fldCharType="separate"/>
      </w:r>
      <w:r>
        <w:t>48</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_Toc93499127 \h </w:instrText>
      </w:r>
      <w:r>
        <w:fldChar w:fldCharType="separate"/>
      </w:r>
      <w:r>
        <w:t>50</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_Toc93499128 \h </w:instrText>
      </w:r>
      <w:r>
        <w:fldChar w:fldCharType="separate"/>
      </w:r>
      <w:r>
        <w:t>53</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_Toc93499129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_Toc93499131 \h </w:instrText>
      </w:r>
      <w:r>
        <w:fldChar w:fldCharType="separate"/>
      </w:r>
      <w:r>
        <w:t>55</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_Toc93499132 \h </w:instrText>
      </w:r>
      <w:r>
        <w:fldChar w:fldCharType="separate"/>
      </w:r>
      <w:r>
        <w:t>55</w:t>
      </w:r>
      <w:r>
        <w:fldChar w:fldCharType="end"/>
      </w:r>
    </w:p>
    <w:p>
      <w:pPr>
        <w:pStyle w:val="TOC8"/>
        <w:rPr>
          <w:rFonts w:asciiTheme="minorHAnsi" w:eastAsiaTheme="minorEastAsia" w:hAnsiTheme="minorHAnsi" w:cstheme="minorBidi"/>
          <w:szCs w:val="22"/>
        </w:rPr>
      </w:pPr>
      <w:r>
        <w:t>51A.</w:t>
      </w:r>
      <w:r>
        <w:tab/>
        <w:t>Default odds for starting price, starting price guarantee and top fluc wagering</w:t>
      </w:r>
      <w:r>
        <w:tab/>
      </w:r>
      <w:r>
        <w:fldChar w:fldCharType="begin"/>
      </w:r>
      <w:r>
        <w:instrText xml:space="preserve"> PAGEREF _Toc93499133 \h </w:instrText>
      </w:r>
      <w:r>
        <w:fldChar w:fldCharType="separate"/>
      </w:r>
      <w:r>
        <w:t>58</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_Toc93499134 \h </w:instrText>
      </w:r>
      <w:r>
        <w:fldChar w:fldCharType="separate"/>
      </w:r>
      <w:r>
        <w:t>58</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_Toc93499135 \h </w:instrText>
      </w:r>
      <w:r>
        <w:fldChar w:fldCharType="separate"/>
      </w:r>
      <w:r>
        <w:t>59</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_Toc93499136 \h </w:instrText>
      </w:r>
      <w:r>
        <w:fldChar w:fldCharType="separate"/>
      </w:r>
      <w:r>
        <w:t>59</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_Toc93499137 \h </w:instrText>
      </w:r>
      <w:r>
        <w:fldChar w:fldCharType="separate"/>
      </w:r>
      <w:r>
        <w:t>60</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_Toc93499138 \h </w:instrText>
      </w:r>
      <w:r>
        <w:fldChar w:fldCharType="separate"/>
      </w:r>
      <w:r>
        <w:t>60</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_Toc93499139 \h </w:instrText>
      </w:r>
      <w:r>
        <w:fldChar w:fldCharType="separate"/>
      </w:r>
      <w:r>
        <w:t>64</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_Toc93499140 \h </w:instrText>
      </w:r>
      <w:r>
        <w:fldChar w:fldCharType="separate"/>
      </w:r>
      <w:r>
        <w:t>67</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_Toc93499141 \h </w:instrText>
      </w:r>
      <w:r>
        <w:fldChar w:fldCharType="separate"/>
      </w:r>
      <w:r>
        <w:t>67</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_Toc93499142 \h </w:instrText>
      </w:r>
      <w:r>
        <w:fldChar w:fldCharType="separate"/>
      </w:r>
      <w:r>
        <w:t>69</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_Toc93499143 \h </w:instrText>
      </w:r>
      <w:r>
        <w:fldChar w:fldCharType="separate"/>
      </w:r>
      <w:r>
        <w:t>69</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_Toc93499144 \h </w:instrText>
      </w:r>
      <w:r>
        <w:fldChar w:fldCharType="separate"/>
      </w:r>
      <w:r>
        <w:t>70</w:t>
      </w:r>
      <w:r>
        <w:fldChar w:fldCharType="end"/>
      </w:r>
    </w:p>
    <w:p>
      <w:pPr>
        <w:pStyle w:val="TOC8"/>
        <w:rPr>
          <w:rFonts w:asciiTheme="minorHAnsi" w:eastAsiaTheme="minorEastAsia" w:hAnsiTheme="minorHAnsi" w:cstheme="minorBidi"/>
          <w:szCs w:val="22"/>
        </w:rPr>
      </w:pPr>
      <w:r>
        <w:t>62.</w:t>
      </w:r>
      <w:r>
        <w:tab/>
        <w:t>Wagering on approved events</w:t>
      </w:r>
      <w:r>
        <w:tab/>
      </w:r>
      <w:r>
        <w:fldChar w:fldCharType="begin"/>
      </w:r>
      <w:r>
        <w:instrText xml:space="preserve"> PAGEREF _Toc93499145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5A — Rules of RWWA fixed odds wagering on races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_Toc93499147 \h </w:instrText>
      </w:r>
      <w:r>
        <w:fldChar w:fldCharType="separate"/>
      </w:r>
      <w:r>
        <w:t>73</w:t>
      </w:r>
      <w:r>
        <w:fldChar w:fldCharType="end"/>
      </w:r>
    </w:p>
    <w:p>
      <w:pPr>
        <w:pStyle w:val="TOC8"/>
        <w:rPr>
          <w:rFonts w:asciiTheme="minorHAnsi" w:eastAsiaTheme="minorEastAsia" w:hAnsiTheme="minorHAnsi" w:cstheme="minorBidi"/>
          <w:szCs w:val="22"/>
        </w:rPr>
      </w:pPr>
      <w:r>
        <w:t>62B.</w:t>
      </w:r>
      <w:r>
        <w:tab/>
        <w:t>Application of Part</w:t>
      </w:r>
      <w:r>
        <w:tab/>
      </w:r>
      <w:r>
        <w:fldChar w:fldCharType="begin"/>
      </w:r>
      <w:r>
        <w:instrText xml:space="preserve"> PAGEREF _Toc93499148 \h </w:instrText>
      </w:r>
      <w:r>
        <w:fldChar w:fldCharType="separate"/>
      </w:r>
      <w:r>
        <w:t>73</w:t>
      </w:r>
      <w:r>
        <w:fldChar w:fldCharType="end"/>
      </w:r>
    </w:p>
    <w:p>
      <w:pPr>
        <w:pStyle w:val="TOC8"/>
        <w:rPr>
          <w:rFonts w:asciiTheme="minorHAnsi" w:eastAsiaTheme="minorEastAsia" w:hAnsiTheme="minorHAnsi" w:cstheme="minorBidi"/>
          <w:szCs w:val="22"/>
        </w:rPr>
      </w:pPr>
      <w:r>
        <w:t>62C.</w:t>
      </w:r>
      <w:r>
        <w:tab/>
        <w:t>When runner achieves place</w:t>
      </w:r>
      <w:r>
        <w:tab/>
      </w:r>
      <w:r>
        <w:fldChar w:fldCharType="begin"/>
      </w:r>
      <w:r>
        <w:instrText xml:space="preserve"> PAGEREF _Toc93499149 \h </w:instrText>
      </w:r>
      <w:r>
        <w:fldChar w:fldCharType="separate"/>
      </w:r>
      <w:r>
        <w:t>74</w:t>
      </w:r>
      <w:r>
        <w:fldChar w:fldCharType="end"/>
      </w:r>
    </w:p>
    <w:p>
      <w:pPr>
        <w:pStyle w:val="TOC8"/>
        <w:rPr>
          <w:rFonts w:asciiTheme="minorHAnsi" w:eastAsiaTheme="minorEastAsia" w:hAnsiTheme="minorHAnsi" w:cstheme="minorBidi"/>
          <w:szCs w:val="22"/>
        </w:rPr>
      </w:pPr>
      <w:r>
        <w:t>62D.</w:t>
      </w:r>
      <w:r>
        <w:tab/>
        <w:t>Permitted wagers on races</w:t>
      </w:r>
      <w:r>
        <w:tab/>
      </w:r>
      <w:r>
        <w:fldChar w:fldCharType="begin"/>
      </w:r>
      <w:r>
        <w:instrText xml:space="preserve"> PAGEREF _Toc93499150 \h </w:instrText>
      </w:r>
      <w:r>
        <w:fldChar w:fldCharType="separate"/>
      </w:r>
      <w:r>
        <w:t>74</w:t>
      </w:r>
      <w:r>
        <w:fldChar w:fldCharType="end"/>
      </w:r>
    </w:p>
    <w:p>
      <w:pPr>
        <w:pStyle w:val="TOC8"/>
        <w:rPr>
          <w:rFonts w:asciiTheme="minorHAnsi" w:eastAsiaTheme="minorEastAsia" w:hAnsiTheme="minorHAnsi" w:cstheme="minorBidi"/>
          <w:szCs w:val="22"/>
        </w:rPr>
      </w:pPr>
      <w:r>
        <w:t>62E.</w:t>
      </w:r>
      <w:r>
        <w:tab/>
        <w:t>All wagers to be at least 1 unit</w:t>
      </w:r>
      <w:r>
        <w:tab/>
      </w:r>
      <w:r>
        <w:fldChar w:fldCharType="begin"/>
      </w:r>
      <w:r>
        <w:instrText xml:space="preserve"> PAGEREF _Toc93499151 \h </w:instrText>
      </w:r>
      <w:r>
        <w:fldChar w:fldCharType="separate"/>
      </w:r>
      <w:r>
        <w:t>75</w:t>
      </w:r>
      <w:r>
        <w:fldChar w:fldCharType="end"/>
      </w:r>
    </w:p>
    <w:p>
      <w:pPr>
        <w:pStyle w:val="TOC8"/>
        <w:rPr>
          <w:rFonts w:asciiTheme="minorHAnsi" w:eastAsiaTheme="minorEastAsia" w:hAnsiTheme="minorHAnsi" w:cstheme="minorBidi"/>
          <w:szCs w:val="22"/>
        </w:rPr>
      </w:pPr>
      <w:r>
        <w:t>62F.</w:t>
      </w:r>
      <w:r>
        <w:tab/>
        <w:t>Default odds for starting price, starting price guarantee and top fluc wagers</w:t>
      </w:r>
      <w:r>
        <w:tab/>
      </w:r>
      <w:r>
        <w:fldChar w:fldCharType="begin"/>
      </w:r>
      <w:r>
        <w:instrText xml:space="preserve"> PAGEREF _Toc93499152 \h </w:instrText>
      </w:r>
      <w:r>
        <w:fldChar w:fldCharType="separate"/>
      </w:r>
      <w:r>
        <w:t>75</w:t>
      </w:r>
      <w:r>
        <w:fldChar w:fldCharType="end"/>
      </w:r>
    </w:p>
    <w:p>
      <w:pPr>
        <w:pStyle w:val="TOC8"/>
        <w:rPr>
          <w:rFonts w:asciiTheme="minorHAnsi" w:eastAsiaTheme="minorEastAsia" w:hAnsiTheme="minorHAnsi" w:cstheme="minorBidi"/>
          <w:szCs w:val="22"/>
        </w:rPr>
      </w:pPr>
      <w:r>
        <w:t>62G.</w:t>
      </w:r>
      <w:r>
        <w:tab/>
        <w:t>RWWA not to offer, make or accept certain wagers</w:t>
      </w:r>
      <w:r>
        <w:tab/>
      </w:r>
      <w:r>
        <w:fldChar w:fldCharType="begin"/>
      </w:r>
      <w:r>
        <w:instrText xml:space="preserve"> PAGEREF _Toc93499153 \h </w:instrText>
      </w:r>
      <w:r>
        <w:fldChar w:fldCharType="separate"/>
      </w:r>
      <w:r>
        <w:t>76</w:t>
      </w:r>
      <w:r>
        <w:fldChar w:fldCharType="end"/>
      </w:r>
    </w:p>
    <w:p>
      <w:pPr>
        <w:pStyle w:val="TOC8"/>
        <w:rPr>
          <w:rFonts w:asciiTheme="minorHAnsi" w:eastAsiaTheme="minorEastAsia" w:hAnsiTheme="minorHAnsi" w:cstheme="minorBidi"/>
          <w:szCs w:val="22"/>
        </w:rPr>
      </w:pPr>
      <w:r>
        <w:t>62H.</w:t>
      </w:r>
      <w:r>
        <w:tab/>
        <w:t>Provisions as to runners</w:t>
      </w:r>
      <w:r>
        <w:tab/>
      </w:r>
      <w:r>
        <w:fldChar w:fldCharType="begin"/>
      </w:r>
      <w:r>
        <w:instrText xml:space="preserve"> PAGEREF _Toc93499154 \h </w:instrText>
      </w:r>
      <w:r>
        <w:fldChar w:fldCharType="separate"/>
      </w:r>
      <w:r>
        <w:t>76</w:t>
      </w:r>
      <w:r>
        <w:fldChar w:fldCharType="end"/>
      </w:r>
    </w:p>
    <w:p>
      <w:pPr>
        <w:pStyle w:val="TOC8"/>
        <w:rPr>
          <w:rFonts w:asciiTheme="minorHAnsi" w:eastAsiaTheme="minorEastAsia" w:hAnsiTheme="minorHAnsi" w:cstheme="minorBidi"/>
          <w:szCs w:val="22"/>
        </w:rPr>
      </w:pPr>
      <w:r>
        <w:t>62I.</w:t>
      </w:r>
      <w:r>
        <w:tab/>
        <w:t>Wagers void in certain circumstances</w:t>
      </w:r>
      <w:r>
        <w:tab/>
      </w:r>
      <w:r>
        <w:fldChar w:fldCharType="begin"/>
      </w:r>
      <w:r>
        <w:instrText xml:space="preserve"> PAGEREF _Toc93499155 \h </w:instrText>
      </w:r>
      <w:r>
        <w:fldChar w:fldCharType="separate"/>
      </w:r>
      <w:r>
        <w:t>77</w:t>
      </w:r>
      <w:r>
        <w:fldChar w:fldCharType="end"/>
      </w:r>
    </w:p>
    <w:p>
      <w:pPr>
        <w:pStyle w:val="TOC8"/>
        <w:rPr>
          <w:rFonts w:asciiTheme="minorHAnsi" w:eastAsiaTheme="minorEastAsia" w:hAnsiTheme="minorHAnsi" w:cstheme="minorBidi"/>
          <w:szCs w:val="22"/>
        </w:rPr>
      </w:pPr>
      <w:r>
        <w:t>62J.</w:t>
      </w:r>
      <w:r>
        <w:tab/>
        <w:t>When wagers are off</w:t>
      </w:r>
      <w:r>
        <w:tab/>
      </w:r>
      <w:r>
        <w:fldChar w:fldCharType="begin"/>
      </w:r>
      <w:r>
        <w:instrText xml:space="preserve"> PAGEREF _Toc93499156 \h </w:instrText>
      </w:r>
      <w:r>
        <w:fldChar w:fldCharType="separate"/>
      </w:r>
      <w:r>
        <w:t>77</w:t>
      </w:r>
      <w:r>
        <w:fldChar w:fldCharType="end"/>
      </w:r>
    </w:p>
    <w:p>
      <w:pPr>
        <w:pStyle w:val="TOC8"/>
        <w:rPr>
          <w:rFonts w:asciiTheme="minorHAnsi" w:eastAsiaTheme="minorEastAsia" w:hAnsiTheme="minorHAnsi" w:cstheme="minorBidi"/>
          <w:szCs w:val="22"/>
        </w:rPr>
      </w:pPr>
      <w:r>
        <w:t>62K.</w:t>
      </w:r>
      <w:r>
        <w:tab/>
        <w:t>Acceptance of tickets</w:t>
      </w:r>
      <w:r>
        <w:tab/>
      </w:r>
      <w:r>
        <w:fldChar w:fldCharType="begin"/>
      </w:r>
      <w:r>
        <w:instrText xml:space="preserve"> PAGEREF _Toc93499157 \h </w:instrText>
      </w:r>
      <w:r>
        <w:fldChar w:fldCharType="separate"/>
      </w:r>
      <w:r>
        <w:t>78</w:t>
      </w:r>
      <w:r>
        <w:fldChar w:fldCharType="end"/>
      </w:r>
    </w:p>
    <w:p>
      <w:pPr>
        <w:pStyle w:val="TOC8"/>
        <w:rPr>
          <w:rFonts w:asciiTheme="minorHAnsi" w:eastAsiaTheme="minorEastAsia" w:hAnsiTheme="minorHAnsi" w:cstheme="minorBidi"/>
          <w:szCs w:val="22"/>
        </w:rPr>
      </w:pPr>
      <w:r>
        <w:t>62L.</w:t>
      </w:r>
      <w:r>
        <w:tab/>
        <w:t>Determination of wagers</w:t>
      </w:r>
      <w:r>
        <w:tab/>
      </w:r>
      <w:r>
        <w:fldChar w:fldCharType="begin"/>
      </w:r>
      <w:r>
        <w:instrText xml:space="preserve"> PAGEREF _Toc93499158 \h </w:instrText>
      </w:r>
      <w:r>
        <w:fldChar w:fldCharType="separate"/>
      </w:r>
      <w:r>
        <w:t>78</w:t>
      </w:r>
      <w:r>
        <w:fldChar w:fldCharType="end"/>
      </w:r>
    </w:p>
    <w:p>
      <w:pPr>
        <w:pStyle w:val="TOC8"/>
        <w:rPr>
          <w:rFonts w:asciiTheme="minorHAnsi" w:eastAsiaTheme="minorEastAsia" w:hAnsiTheme="minorHAnsi" w:cstheme="minorBidi"/>
          <w:szCs w:val="22"/>
        </w:rPr>
      </w:pPr>
      <w:r>
        <w:t>62M.</w:t>
      </w:r>
      <w:r>
        <w:tab/>
        <w:t>Settlement of wagers</w:t>
      </w:r>
      <w:r>
        <w:tab/>
      </w:r>
      <w:r>
        <w:fldChar w:fldCharType="begin"/>
      </w:r>
      <w:r>
        <w:instrText xml:space="preserve"> PAGEREF _Toc93499159 \h </w:instrText>
      </w:r>
      <w:r>
        <w:fldChar w:fldCharType="separate"/>
      </w:r>
      <w:r>
        <w:t>79</w:t>
      </w:r>
      <w:r>
        <w:fldChar w:fldCharType="end"/>
      </w:r>
    </w:p>
    <w:p>
      <w:pPr>
        <w:pStyle w:val="TOC8"/>
        <w:rPr>
          <w:rFonts w:asciiTheme="minorHAnsi" w:eastAsiaTheme="minorEastAsia" w:hAnsiTheme="minorHAnsi" w:cstheme="minorBidi"/>
          <w:szCs w:val="22"/>
        </w:rPr>
      </w:pPr>
      <w:r>
        <w:lastRenderedPageBreak/>
        <w:t>62N.</w:t>
      </w:r>
      <w:r>
        <w:tab/>
        <w:t>Unlisted odds</w:t>
      </w:r>
      <w:r>
        <w:tab/>
      </w:r>
      <w:r>
        <w:fldChar w:fldCharType="begin"/>
      </w:r>
      <w:r>
        <w:instrText xml:space="preserve"> PAGEREF _Toc93499160 \h </w:instrText>
      </w:r>
      <w:r>
        <w:fldChar w:fldCharType="separate"/>
      </w:r>
      <w:r>
        <w:t>80</w:t>
      </w:r>
      <w:r>
        <w:fldChar w:fldCharType="end"/>
      </w:r>
    </w:p>
    <w:p>
      <w:pPr>
        <w:pStyle w:val="TOC8"/>
        <w:rPr>
          <w:rFonts w:asciiTheme="minorHAnsi" w:eastAsiaTheme="minorEastAsia" w:hAnsiTheme="minorHAnsi" w:cstheme="minorBidi"/>
          <w:szCs w:val="22"/>
        </w:rPr>
      </w:pPr>
      <w:r>
        <w:t>62O.</w:t>
      </w:r>
      <w:r>
        <w:tab/>
        <w:t>Scratching of legs for multi, same race multi, place card and same race combo wagers</w:t>
      </w:r>
      <w:r>
        <w:tab/>
      </w:r>
      <w:r>
        <w:fldChar w:fldCharType="begin"/>
      </w:r>
      <w:r>
        <w:instrText xml:space="preserve"> PAGEREF _Toc93499161 \h </w:instrText>
      </w:r>
      <w:r>
        <w:fldChar w:fldCharType="separate"/>
      </w:r>
      <w:r>
        <w:t>81</w:t>
      </w:r>
      <w:r>
        <w:fldChar w:fldCharType="end"/>
      </w:r>
    </w:p>
    <w:p>
      <w:pPr>
        <w:pStyle w:val="TOC8"/>
        <w:rPr>
          <w:rFonts w:asciiTheme="minorHAnsi" w:eastAsiaTheme="minorEastAsia" w:hAnsiTheme="minorHAnsi" w:cstheme="minorBidi"/>
          <w:szCs w:val="22"/>
        </w:rPr>
      </w:pPr>
      <w:r>
        <w:t>62P.</w:t>
      </w:r>
      <w:r>
        <w:tab/>
        <w:t>Determination of race results</w:t>
      </w:r>
      <w:r>
        <w:tab/>
      </w:r>
      <w:r>
        <w:fldChar w:fldCharType="begin"/>
      </w:r>
      <w:r>
        <w:instrText xml:space="preserve"> PAGEREF _Toc93499162 \h </w:instrText>
      </w:r>
      <w:r>
        <w:fldChar w:fldCharType="separate"/>
      </w:r>
      <w:r>
        <w:t>81</w:t>
      </w:r>
      <w:r>
        <w:fldChar w:fldCharType="end"/>
      </w:r>
    </w:p>
    <w:p>
      <w:pPr>
        <w:pStyle w:val="TOC8"/>
        <w:rPr>
          <w:rFonts w:asciiTheme="minorHAnsi" w:eastAsiaTheme="minorEastAsia" w:hAnsiTheme="minorHAnsi" w:cstheme="minorBidi"/>
          <w:szCs w:val="22"/>
        </w:rPr>
      </w:pPr>
      <w:r>
        <w:t>62Q.</w:t>
      </w:r>
      <w:r>
        <w:tab/>
        <w:t>Determination of wagers if runner withdrawn</w:t>
      </w:r>
      <w:r>
        <w:tab/>
      </w:r>
      <w:r>
        <w:fldChar w:fldCharType="begin"/>
      </w:r>
      <w:r>
        <w:instrText xml:space="preserve"> PAGEREF _Toc93499163 \h </w:instrText>
      </w:r>
      <w:r>
        <w:fldChar w:fldCharType="separate"/>
      </w:r>
      <w:r>
        <w:t>81</w:t>
      </w:r>
      <w:r>
        <w:fldChar w:fldCharType="end"/>
      </w:r>
    </w:p>
    <w:p>
      <w:pPr>
        <w:pStyle w:val="TOC8"/>
        <w:rPr>
          <w:rFonts w:asciiTheme="minorHAnsi" w:eastAsiaTheme="minorEastAsia" w:hAnsiTheme="minorHAnsi" w:cstheme="minorBidi"/>
          <w:szCs w:val="22"/>
        </w:rPr>
      </w:pPr>
      <w:r>
        <w:t>62R.</w:t>
      </w:r>
      <w:r>
        <w:tab/>
        <w:t>Wagers are play or pay except in certain circumstances</w:t>
      </w:r>
      <w:r>
        <w:tab/>
      </w:r>
      <w:r>
        <w:fldChar w:fldCharType="begin"/>
      </w:r>
      <w:r>
        <w:instrText xml:space="preserve"> PAGEREF _Toc93499164 \h </w:instrText>
      </w:r>
      <w:r>
        <w:fldChar w:fldCharType="separate"/>
      </w:r>
      <w:r>
        <w:t>82</w:t>
      </w:r>
      <w:r>
        <w:fldChar w:fldCharType="end"/>
      </w:r>
    </w:p>
    <w:p>
      <w:pPr>
        <w:pStyle w:val="TOC8"/>
        <w:rPr>
          <w:rFonts w:asciiTheme="minorHAnsi" w:eastAsiaTheme="minorEastAsia" w:hAnsiTheme="minorHAnsi" w:cstheme="minorBidi"/>
          <w:szCs w:val="22"/>
        </w:rPr>
      </w:pPr>
      <w:r>
        <w:t>62S.</w:t>
      </w:r>
      <w:r>
        <w:tab/>
        <w:t>Settlement of wagers following dead heat</w:t>
      </w:r>
      <w:r>
        <w:tab/>
      </w:r>
      <w:r>
        <w:fldChar w:fldCharType="begin"/>
      </w:r>
      <w:r>
        <w:instrText xml:space="preserve"> PAGEREF _Toc93499165 \h </w:instrText>
      </w:r>
      <w:r>
        <w:fldChar w:fldCharType="separate"/>
      </w:r>
      <w:r>
        <w:t>85</w:t>
      </w:r>
      <w:r>
        <w:fldChar w:fldCharType="end"/>
      </w:r>
    </w:p>
    <w:p>
      <w:pPr>
        <w:pStyle w:val="TOC8"/>
        <w:rPr>
          <w:rFonts w:asciiTheme="minorHAnsi" w:eastAsiaTheme="minorEastAsia" w:hAnsiTheme="minorHAnsi" w:cstheme="minorBidi"/>
          <w:szCs w:val="22"/>
        </w:rPr>
      </w:pPr>
      <w:r>
        <w:t>62T.</w:t>
      </w:r>
      <w:r>
        <w:tab/>
        <w:t>Races that are re</w:t>
      </w:r>
      <w:r>
        <w:noBreakHyphen/>
        <w:t>run</w:t>
      </w:r>
      <w:r>
        <w:tab/>
      </w:r>
      <w:r>
        <w:fldChar w:fldCharType="begin"/>
      </w:r>
      <w:r>
        <w:instrText xml:space="preserve"> PAGEREF _Toc93499166 \h </w:instrText>
      </w:r>
      <w:r>
        <w:fldChar w:fldCharType="separate"/>
      </w:r>
      <w:r>
        <w:t>85</w:t>
      </w:r>
      <w:r>
        <w:fldChar w:fldCharType="end"/>
      </w:r>
    </w:p>
    <w:p>
      <w:pPr>
        <w:pStyle w:val="TOC8"/>
        <w:rPr>
          <w:rFonts w:asciiTheme="minorHAnsi" w:eastAsiaTheme="minorEastAsia" w:hAnsiTheme="minorHAnsi" w:cstheme="minorBidi"/>
          <w:szCs w:val="22"/>
        </w:rPr>
      </w:pPr>
      <w:r>
        <w:t>62U.</w:t>
      </w:r>
      <w:r>
        <w:tab/>
        <w:t>Treatment of errors</w:t>
      </w:r>
      <w:r>
        <w:tab/>
      </w:r>
      <w:r>
        <w:fldChar w:fldCharType="begin"/>
      </w:r>
      <w:r>
        <w:instrText xml:space="preserve"> PAGEREF _Toc93499167 \h </w:instrText>
      </w:r>
      <w:r>
        <w:fldChar w:fldCharType="separate"/>
      </w:r>
      <w:r>
        <w:t>86</w:t>
      </w:r>
      <w:r>
        <w:fldChar w:fldCharType="end"/>
      </w:r>
    </w:p>
    <w:p>
      <w:pPr>
        <w:pStyle w:val="TOC8"/>
        <w:rPr>
          <w:rFonts w:asciiTheme="minorHAnsi" w:eastAsiaTheme="minorEastAsia" w:hAnsiTheme="minorHAnsi" w:cstheme="minorBidi"/>
          <w:szCs w:val="22"/>
        </w:rPr>
      </w:pPr>
      <w:r>
        <w:t>62V.</w:t>
      </w:r>
      <w:r>
        <w:tab/>
        <w:t>Maximum payout if irregularity suspected</w:t>
      </w:r>
      <w:r>
        <w:tab/>
      </w:r>
      <w:r>
        <w:fldChar w:fldCharType="begin"/>
      </w:r>
      <w:r>
        <w:instrText xml:space="preserve"> PAGEREF _Toc93499168 \h </w:instrText>
      </w:r>
      <w:r>
        <w:fldChar w:fldCharType="separate"/>
      </w:r>
      <w:r>
        <w:t>86</w:t>
      </w:r>
      <w:r>
        <w:fldChar w:fldCharType="end"/>
      </w:r>
    </w:p>
    <w:p>
      <w:pPr>
        <w:pStyle w:val="TOC8"/>
        <w:rPr>
          <w:rFonts w:asciiTheme="minorHAnsi" w:eastAsiaTheme="minorEastAsia" w:hAnsiTheme="minorHAnsi" w:cstheme="minorBidi"/>
          <w:szCs w:val="22"/>
        </w:rPr>
      </w:pPr>
      <w:r>
        <w:t>62W.</w:t>
      </w:r>
      <w:r>
        <w:tab/>
        <w:t>Refusal of wagers</w:t>
      </w:r>
      <w:r>
        <w:tab/>
      </w:r>
      <w:r>
        <w:fldChar w:fldCharType="begin"/>
      </w:r>
      <w:r>
        <w:instrText xml:space="preserve"> PAGEREF _Toc93499169 \h </w:instrText>
      </w:r>
      <w:r>
        <w:fldChar w:fldCharType="separate"/>
      </w:r>
      <w:r>
        <w:t>87</w:t>
      </w:r>
      <w:r>
        <w:fldChar w:fldCharType="end"/>
      </w:r>
    </w:p>
    <w:p>
      <w:pPr>
        <w:pStyle w:val="TOC8"/>
        <w:rPr>
          <w:rFonts w:asciiTheme="minorHAnsi" w:eastAsiaTheme="minorEastAsia" w:hAnsiTheme="minorHAnsi" w:cstheme="minorBidi"/>
          <w:szCs w:val="22"/>
        </w:rPr>
      </w:pPr>
      <w:r>
        <w:t>62X.</w:t>
      </w:r>
      <w:r>
        <w:tab/>
        <w:t>Restrictions on wagering accounts</w:t>
      </w:r>
      <w:r>
        <w:tab/>
      </w:r>
      <w:r>
        <w:fldChar w:fldCharType="begin"/>
      </w:r>
      <w:r>
        <w:instrText xml:space="preserve"> PAGEREF _Toc93499170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_Toc93499172 \h </w:instrText>
      </w:r>
      <w:r>
        <w:fldChar w:fldCharType="separate"/>
      </w:r>
      <w:r>
        <w:t>88</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_Toc93499173 \h </w:instrText>
      </w:r>
      <w:r>
        <w:fldChar w:fldCharType="separate"/>
      </w:r>
      <w:r>
        <w:t>88</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_Toc93499174 \h </w:instrText>
      </w:r>
      <w:r>
        <w:fldChar w:fldCharType="separate"/>
      </w:r>
      <w:r>
        <w:t>88</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_Toc93499175 \h </w:instrText>
      </w:r>
      <w:r>
        <w:fldChar w:fldCharType="separate"/>
      </w:r>
      <w:r>
        <w:t>89</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_Toc93499176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Deduction Table</w:t>
      </w:r>
    </w:p>
    <w:p>
      <w:pPr>
        <w:pStyle w:val="TOC2"/>
        <w:tabs>
          <w:tab w:val="right" w:leader="dot" w:pos="7077"/>
        </w:tabs>
        <w:rPr>
          <w:rFonts w:asciiTheme="minorHAnsi" w:eastAsiaTheme="minorEastAsia" w:hAnsiTheme="minorHAnsi" w:cstheme="minorBidi"/>
          <w:b w:val="0"/>
          <w:sz w:val="22"/>
          <w:szCs w:val="22"/>
        </w:rPr>
      </w:pPr>
      <w:r>
        <w:t>Schedule 2 — Permitted wagers on races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_Toc93499180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spacing w:after="720"/>
      </w:pPr>
      <w:r>
        <w:t>Rules of Wagering 2005</w:t>
      </w:r>
    </w:p>
    <w:p>
      <w:pPr>
        <w:pStyle w:val="Heading2"/>
        <w:keepNext w:val="0"/>
        <w:pageBreakBefore w:val="0"/>
        <w:spacing w:before="240"/>
      </w:pPr>
      <w:bookmarkStart w:id="3" w:name="_Toc88127170"/>
      <w:bookmarkStart w:id="4" w:name="_Toc88127542"/>
      <w:bookmarkStart w:id="5" w:name="_Toc88127909"/>
      <w:bookmarkStart w:id="6" w:name="_Toc93498747"/>
      <w:bookmarkStart w:id="7" w:name="_Toc9349907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93499078"/>
      <w:r>
        <w:rPr>
          <w:rStyle w:val="CharSectno"/>
        </w:rPr>
        <w:t>1</w:t>
      </w:r>
      <w:r>
        <w:t>.</w:t>
      </w:r>
      <w:r>
        <w:tab/>
        <w:t>Citation</w:t>
      </w:r>
      <w:bookmarkEnd w:id="8"/>
    </w:p>
    <w:p>
      <w:pPr>
        <w:pStyle w:val="Subsection"/>
        <w:rPr>
          <w:i/>
        </w:rPr>
      </w:pPr>
      <w:r>
        <w:tab/>
      </w:r>
      <w:r>
        <w:tab/>
        <w:t xml:space="preserve">These rules may be cited as the </w:t>
      </w:r>
      <w:r>
        <w:rPr>
          <w:i/>
        </w:rPr>
        <w:t>Rules of Wagering 2005</w:t>
      </w:r>
      <w:r>
        <w:t>.</w:t>
      </w:r>
    </w:p>
    <w:p>
      <w:pPr>
        <w:pStyle w:val="Heading5"/>
      </w:pPr>
      <w:bookmarkStart w:id="9" w:name="_Toc93499079"/>
      <w:r>
        <w:rPr>
          <w:rStyle w:val="CharSectno"/>
        </w:rPr>
        <w:t>2</w:t>
      </w:r>
      <w:r>
        <w:t>.</w:t>
      </w:r>
      <w:r>
        <w:tab/>
        <w:t>Commencement</w:t>
      </w:r>
      <w:bookmarkEnd w:id="9"/>
    </w:p>
    <w:p>
      <w:pPr>
        <w:pStyle w:val="Subsection"/>
      </w:pPr>
      <w:r>
        <w:tab/>
      </w:r>
      <w:r>
        <w:tab/>
        <w:t>These rules come into operation on 30 January 2005.</w:t>
      </w:r>
    </w:p>
    <w:p>
      <w:pPr>
        <w:pStyle w:val="Heading5"/>
      </w:pPr>
      <w:bookmarkStart w:id="10" w:name="_Toc93499080"/>
      <w:r>
        <w:rPr>
          <w:rStyle w:val="CharSectno"/>
        </w:rPr>
        <w:t>3</w:t>
      </w:r>
      <w:r>
        <w:t>.</w:t>
      </w:r>
      <w:r>
        <w:tab/>
        <w:t>Terms used</w:t>
      </w:r>
      <w:bookmarkEnd w:id="10"/>
    </w:p>
    <w:p>
      <w:pPr>
        <w:pStyle w:val="Subsection"/>
      </w:pPr>
      <w:r>
        <w:tab/>
        <w:t>(1)</w:t>
      </w:r>
      <w:r>
        <w:tab/>
        <w:t xml:space="preserve">In these rules — </w:t>
      </w:r>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has the meaning given in the </w:t>
      </w:r>
      <w:r>
        <w:rPr>
          <w:i/>
        </w:rPr>
        <w:t>Betting Control Act 1954</w:t>
      </w:r>
      <w:r>
        <w:t xml:space="preserve"> section 14A(1);</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box (trap) number</w:t>
      </w:r>
      <w:r>
        <w:t xml:space="preserve"> means the number assigned to a box or trap from which a greyhound starts a race;</w:t>
      </w:r>
    </w:p>
    <w:p>
      <w:pPr>
        <w:pStyle w:val="Defstart"/>
      </w:pPr>
      <w:r>
        <w:rPr>
          <w:b/>
        </w:rPr>
        <w:tab/>
      </w:r>
      <w:r>
        <w:rPr>
          <w:rStyle w:val="CharDefText"/>
        </w:rPr>
        <w:t>cash</w:t>
      </w:r>
      <w:r>
        <w:t xml:space="preserve"> means bank notes or coins;</w:t>
      </w:r>
    </w:p>
    <w:p>
      <w:pPr>
        <w:pStyle w:val="Defstart"/>
      </w:pPr>
      <w:r>
        <w:rPr>
          <w:b/>
        </w:rPr>
        <w:lastRenderedPageBreak/>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the RWWA Act section 62;</w:t>
      </w:r>
    </w:p>
    <w:p>
      <w:pPr>
        <w:pStyle w:val="Defstart"/>
      </w:pPr>
      <w:r>
        <w:rPr>
          <w:b/>
        </w:rPr>
        <w:tab/>
      </w:r>
      <w:r>
        <w:rPr>
          <w:rStyle w:val="CharDefText"/>
        </w:rPr>
        <w:t>doubles wager</w:t>
      </w:r>
      <w:r>
        <w:t xml:space="preserve"> means a wager on the contingency of 2 races or events;</w:t>
      </w:r>
    </w:p>
    <w:p>
      <w:pPr>
        <w:pStyle w:val="Defstart"/>
      </w:pPr>
      <w:r>
        <w:rPr>
          <w:b/>
        </w:rPr>
        <w:tab/>
      </w:r>
      <w:r>
        <w:rPr>
          <w:rStyle w:val="CharDefText"/>
        </w:rPr>
        <w:t>each way wager</w:t>
      </w:r>
      <w:r>
        <w:t xml:space="preserve"> means a wager on a runner either winning or achieving a place in a race;</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approved event or sporting event and includes a bettor;</w:t>
      </w:r>
    </w:p>
    <w:p>
      <w:pPr>
        <w:pStyle w:val="Defstart"/>
      </w:pPr>
      <w:r>
        <w:rPr>
          <w:b/>
        </w:rPr>
        <w:lastRenderedPageBreak/>
        <w:tab/>
      </w:r>
      <w:r>
        <w:rPr>
          <w:rStyle w:val="CharDefText"/>
        </w:rPr>
        <w:t>judge</w:t>
      </w:r>
      <w:r>
        <w:t>, in relation to a race, means the person appointed by the committee or other authority controlling the racecourse at which the race is run to determine the finishing order of runners;</w:t>
      </w:r>
    </w:p>
    <w:p>
      <w:pPr>
        <w:pStyle w:val="Defstart"/>
        <w:keepNex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doubles wager</w:t>
      </w:r>
      <w:r>
        <w:t xml:space="preserve"> means a doubles wager on 2 races or events scheduled at the time the wager is made to be run on the same day;</w:t>
      </w:r>
    </w:p>
    <w:p>
      <w:pPr>
        <w:pStyle w:val="Defstart"/>
        <w:keepNext/>
      </w:pPr>
      <w:r>
        <w:rPr>
          <w:b/>
        </w:rPr>
        <w:tab/>
      </w:r>
      <w:r>
        <w:rPr>
          <w:rStyle w:val="CharDefText"/>
        </w:rPr>
        <w:t>multi wager</w:t>
      </w:r>
      <w:r>
        <w:t xml:space="preserve"> means a wager involving the selection of a series of propositions in relation to races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keepNex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lastRenderedPageBreak/>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keepNext/>
      </w:pPr>
      <w:r>
        <w:rPr>
          <w:b/>
        </w:rPr>
        <w:tab/>
      </w:r>
      <w:r>
        <w:rPr>
          <w:rStyle w:val="CharDefText"/>
        </w:rPr>
        <w:t>play or pay</w:t>
      </w:r>
      <w:r>
        <w:t xml:space="preserve">, in relation to a wager, means that the wager holds good whether or not, as the case may be — </w:t>
      </w:r>
    </w:p>
    <w:p>
      <w:pPr>
        <w:pStyle w:val="Defpara"/>
      </w:pPr>
      <w:r>
        <w:tab/>
        <w:t>(a)</w:t>
      </w:r>
      <w:r>
        <w:tab/>
        <w:t>the runner on which the wager is made runs in the race in respect of which the wager is made; or</w:t>
      </w:r>
    </w:p>
    <w:p>
      <w:pPr>
        <w:pStyle w:val="Defpara"/>
      </w:pPr>
      <w:r>
        <w:tab/>
        <w:t>(b)</w:t>
      </w:r>
      <w:r>
        <w:tab/>
        <w:t>the participant on which the wager is made participates in the approved event in respect of which the wager is made; or</w:t>
      </w:r>
    </w:p>
    <w:p>
      <w:pPr>
        <w:pStyle w:val="Defpara"/>
      </w:pPr>
      <w:r>
        <w:tab/>
        <w:t>(c)</w:t>
      </w:r>
      <w:r>
        <w:tab/>
        <w:t>by reason of a runner not running in a race, or a participant not participating in an event, the contingency on which the wager is made cannot occur;</w:t>
      </w:r>
    </w:p>
    <w:p>
      <w:pPr>
        <w:pStyle w:val="Defstart"/>
      </w:pPr>
      <w:r>
        <w:rPr>
          <w:b/>
        </w:rPr>
        <w:tab/>
      </w:r>
      <w:r>
        <w:rPr>
          <w:rStyle w:val="CharDefText"/>
        </w:rPr>
        <w:t>prescribed commission</w:t>
      </w:r>
      <w:r>
        <w:t xml:space="preserve"> means the</w:t>
      </w:r>
      <w:r>
        <w:rPr>
          <w:b/>
          <w:bCs/>
        </w:rPr>
        <w:t xml:space="preserve"> </w:t>
      </w:r>
      <w:r>
        <w:t xml:space="preserve">amount prescribed by the </w:t>
      </w:r>
      <w:r>
        <w:rPr>
          <w:i/>
        </w:rPr>
        <w:t xml:space="preserve">Betting Control Regulations 1978 </w:t>
      </w:r>
      <w:r>
        <w:t>regulation 17C or 17D,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rules of racing</w:t>
      </w:r>
      <w:r>
        <w:t xml:space="preserve"> means rules made under the RWWA Act section 45;</w:t>
      </w:r>
    </w:p>
    <w:p>
      <w:pPr>
        <w:pStyle w:val="Defstart"/>
        <w:keepNext/>
      </w:pPr>
      <w:r>
        <w:rPr>
          <w:b/>
        </w:rPr>
        <w:lastRenderedPageBreak/>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the RWWA Act section 4;</w:t>
      </w:r>
    </w:p>
    <w:p>
      <w:pPr>
        <w:pStyle w:val="Defstart"/>
      </w:pPr>
      <w:r>
        <w:rPr>
          <w:b/>
        </w:rPr>
        <w:tab/>
      </w:r>
      <w:r>
        <w:rPr>
          <w:rStyle w:val="CharDefText"/>
        </w:rPr>
        <w:t>RWWA Act</w:t>
      </w:r>
      <w:r>
        <w:t xml:space="preserve"> means the </w:t>
      </w:r>
      <w:r>
        <w:rPr>
          <w:i/>
          <w:iCs/>
        </w:rPr>
        <w:t>Racing and Wagering Western Australia Act 2003</w:t>
      </w:r>
      <w:r>
        <w:t>;</w:t>
      </w:r>
    </w:p>
    <w:p>
      <w:pPr>
        <w:pStyle w:val="Defstart"/>
      </w:pPr>
      <w:r>
        <w:rPr>
          <w:b/>
        </w:rPr>
        <w:tab/>
      </w:r>
      <w:r>
        <w:rPr>
          <w:rStyle w:val="CharDefText"/>
        </w:rPr>
        <w:t>RWWA Regulations</w:t>
      </w:r>
      <w:r>
        <w:t xml:space="preserve"> means the </w:t>
      </w:r>
      <w:r>
        <w:rPr>
          <w:i/>
          <w:iCs/>
        </w:rPr>
        <w:t>Racing and Wagering Western Australia Regulations 2003</w:t>
      </w:r>
      <w:r>
        <w:t>;</w:t>
      </w:r>
    </w:p>
    <w:p>
      <w:pPr>
        <w:pStyle w:val="Defstart"/>
        <w:keepNex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keepNext/>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keepNext/>
      </w:pPr>
      <w:r>
        <w:tab/>
      </w:r>
      <w:r>
        <w:rPr>
          <w:rStyle w:val="CharDefText"/>
        </w:rPr>
        <w:t xml:space="preserve">starting price guarantee wager </w:t>
      </w:r>
      <w:r>
        <w:t>means a win wager where the odds for a runner are the higher of the fixed odds for that runner at the time of the wager and the final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p>
    <w:p>
      <w:pPr>
        <w:pStyle w:val="Defstart"/>
        <w:keepNext/>
      </w:pPr>
      <w:r>
        <w:rPr>
          <w:b/>
        </w:rPr>
        <w:lastRenderedPageBreak/>
        <w:tab/>
      </w:r>
      <w:r>
        <w:rPr>
          <w:rStyle w:val="CharDefText"/>
        </w:rPr>
        <w:t>starting price wager</w:t>
      </w:r>
      <w:r>
        <w:t xml:space="preserve"> means a win wager where the odds for a runner are equal to the final on</w:t>
      </w:r>
      <w:r>
        <w:noBreakHyphen/>
        <w:t xml:space="preserve">course bookmaker’s odds for the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pPr>
      <w:r>
        <w:tab/>
      </w:r>
      <w:r>
        <w:rPr>
          <w:rStyle w:val="CharDefText"/>
        </w:rPr>
        <w:t>top fluc wager</w:t>
      </w:r>
      <w:r>
        <w:t xml:space="preserve"> means a win wager where the odds for a runner are the highest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51A(2); or</w:t>
      </w:r>
    </w:p>
    <w:p>
      <w:pPr>
        <w:pStyle w:val="Defsubpara"/>
      </w:pPr>
      <w:r>
        <w:tab/>
        <w:t>(ii)</w:t>
      </w:r>
      <w:r>
        <w:tab/>
        <w:t>RWWA — rule 62F(4);</w:t>
      </w:r>
    </w:p>
    <w:p>
      <w:pPr>
        <w:pStyle w:val="Defstart"/>
      </w:pP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lastRenderedPageBreak/>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the RWWA Act section 64;</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keepNext/>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 SL 2021/188 r. 4.]</w:t>
      </w:r>
    </w:p>
    <w:p>
      <w:pPr>
        <w:pStyle w:val="Heading5"/>
        <w:keepNext w:val="0"/>
        <w:keepLines w:val="0"/>
        <w:spacing w:before="180"/>
      </w:pPr>
      <w:bookmarkStart w:id="11" w:name="_Toc93499081"/>
      <w:r>
        <w:rPr>
          <w:rStyle w:val="CharSectno"/>
        </w:rPr>
        <w:t>4</w:t>
      </w:r>
      <w:r>
        <w:t>.</w:t>
      </w:r>
      <w:r>
        <w:tab/>
        <w:t>Application</w:t>
      </w:r>
      <w:bookmarkEnd w:id="11"/>
    </w:p>
    <w:p>
      <w:pPr>
        <w:pStyle w:val="Subsection"/>
        <w:keepNext/>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 xml:space="preserve">Nothing in these rules affects the operation of sections 59(4) and 61(4) of the RWWA Act which provide that, where RWWA </w:t>
      </w:r>
      <w:r>
        <w:lastRenderedPageBreak/>
        <w:t>participates in a combined totalisator pool scheme, or a jointly operated fixed odds wagering system, RWWA may adopt and operate under the rules pertaining to the operation or administration of that scheme or joint system.</w:t>
      </w:r>
    </w:p>
    <w:p>
      <w:pPr>
        <w:pStyle w:val="Subsection"/>
        <w:keepNext/>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2" w:name="_Toc93499082"/>
      <w:r>
        <w:rPr>
          <w:rStyle w:val="CharSectno"/>
        </w:rPr>
        <w:t>5</w:t>
      </w:r>
      <w:r>
        <w:t>.</w:t>
      </w:r>
      <w:r>
        <w:tab/>
      </w:r>
      <w:r>
        <w:rPr>
          <w:szCs w:val="18"/>
        </w:rPr>
        <w:t>Matters not covered by these rules</w:t>
      </w:r>
      <w:bookmarkEnd w:id="12"/>
    </w:p>
    <w:p>
      <w:pPr>
        <w:pStyle w:val="Subsection"/>
        <w:keepNext/>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lastRenderedPageBreak/>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13" w:name="_Toc93499083"/>
      <w:r>
        <w:rPr>
          <w:rStyle w:val="CharSectno"/>
        </w:rPr>
        <w:t>6</w:t>
      </w:r>
      <w:r>
        <w:rPr>
          <w:szCs w:val="18"/>
        </w:rPr>
        <w:t>.</w:t>
      </w:r>
      <w:r>
        <w:rPr>
          <w:szCs w:val="18"/>
        </w:rPr>
        <w:tab/>
        <w:t>Copy of these rules to be available</w:t>
      </w:r>
      <w:bookmarkEnd w:id="1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4" w:name="_Toc88127177"/>
      <w:bookmarkStart w:id="15" w:name="_Toc88127549"/>
      <w:bookmarkStart w:id="16" w:name="_Toc88127916"/>
      <w:bookmarkStart w:id="17" w:name="_Toc93498754"/>
      <w:bookmarkStart w:id="18" w:name="_Toc93499084"/>
      <w:r>
        <w:rPr>
          <w:rStyle w:val="CharPartNo"/>
        </w:rPr>
        <w:lastRenderedPageBreak/>
        <w:t>Part 2</w:t>
      </w:r>
      <w:r>
        <w:rPr>
          <w:rStyle w:val="CharDivNo"/>
        </w:rPr>
        <w:t> </w:t>
      </w:r>
      <w:r>
        <w:t>—</w:t>
      </w:r>
      <w:r>
        <w:rPr>
          <w:rStyle w:val="CharDivText"/>
        </w:rPr>
        <w:t> </w:t>
      </w:r>
      <w:r>
        <w:rPr>
          <w:rStyle w:val="CharPartText"/>
        </w:rPr>
        <w:t>Conduct of totalisator wagering generally</w:t>
      </w:r>
      <w:bookmarkEnd w:id="14"/>
      <w:bookmarkEnd w:id="15"/>
      <w:bookmarkEnd w:id="16"/>
      <w:bookmarkEnd w:id="17"/>
      <w:bookmarkEnd w:id="18"/>
    </w:p>
    <w:p>
      <w:pPr>
        <w:pStyle w:val="Heading5"/>
      </w:pPr>
      <w:bookmarkStart w:id="19" w:name="_Toc93499085"/>
      <w:r>
        <w:rPr>
          <w:rStyle w:val="CharSectno"/>
        </w:rPr>
        <w:t>7</w:t>
      </w:r>
      <w:r>
        <w:t>.</w:t>
      </w:r>
      <w:r>
        <w:tab/>
        <w:t>Supervision of wagering by on</w:t>
      </w:r>
      <w:r>
        <w:noBreakHyphen/>
        <w:t>course totalisators</w:t>
      </w:r>
      <w:bookmarkEnd w:id="19"/>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20" w:name="_Toc93499086"/>
      <w:r>
        <w:rPr>
          <w:rStyle w:val="CharSectno"/>
        </w:rPr>
        <w:t>8</w:t>
      </w:r>
      <w:r>
        <w:t>.</w:t>
      </w:r>
      <w:r>
        <w:tab/>
        <w:t>Racing club to appoint on</w:t>
      </w:r>
      <w:r>
        <w:noBreakHyphen/>
        <w:t>course totalisator manager</w:t>
      </w:r>
      <w:bookmarkEnd w:id="20"/>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21" w:name="_Toc93499087"/>
      <w:r>
        <w:rPr>
          <w:rStyle w:val="CharSectno"/>
        </w:rPr>
        <w:t>9</w:t>
      </w:r>
      <w:r>
        <w:t>.</w:t>
      </w:r>
      <w:r>
        <w:tab/>
        <w:t>Duty to report non</w:t>
      </w:r>
      <w:r>
        <w:noBreakHyphen/>
        <w:t>compliance</w:t>
      </w:r>
      <w:bookmarkEnd w:id="21"/>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22" w:name="_Toc93499088"/>
      <w:r>
        <w:rPr>
          <w:rStyle w:val="CharSectno"/>
        </w:rPr>
        <w:t>10</w:t>
      </w:r>
      <w:r>
        <w:t>.</w:t>
      </w:r>
      <w:r>
        <w:tab/>
        <w:t>Changes affecting wagering to be advised</w:t>
      </w:r>
      <w:bookmarkEnd w:id="22"/>
    </w:p>
    <w:p>
      <w:pPr>
        <w:pStyle w:val="Subsection"/>
        <w:keepNext/>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 xml:space="preserve">course totalisator manager of that occurrence and </w:t>
      </w:r>
      <w:r>
        <w:lastRenderedPageBreak/>
        <w:t>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23" w:name="_Toc93499089"/>
      <w:r>
        <w:rPr>
          <w:rStyle w:val="CharSectno"/>
        </w:rPr>
        <w:t>11</w:t>
      </w:r>
      <w:r>
        <w:t>.</w:t>
      </w:r>
      <w:r>
        <w:tab/>
        <w:t>Numbering of runner on totalisator</w:t>
      </w:r>
      <w:bookmarkEnd w:id="2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24" w:name="_Toc93499090"/>
      <w:r>
        <w:rPr>
          <w:rStyle w:val="CharSectno"/>
        </w:rPr>
        <w:t>12</w:t>
      </w:r>
      <w:r>
        <w:t>.</w:t>
      </w:r>
      <w:r>
        <w:tab/>
        <w:t>Display of anticipated dividends</w:t>
      </w:r>
      <w:bookmarkEnd w:id="24"/>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25" w:name="_Toc93499091"/>
      <w:r>
        <w:rPr>
          <w:rStyle w:val="CharSectno"/>
        </w:rPr>
        <w:t>13</w:t>
      </w:r>
      <w:r>
        <w:t>.</w:t>
      </w:r>
      <w:r>
        <w:tab/>
        <w:t>When dividends become payable</w:t>
      </w:r>
      <w:bookmarkEnd w:id="2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lastRenderedPageBreak/>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26" w:name="_Toc93499092"/>
      <w:r>
        <w:rPr>
          <w:rStyle w:val="CharSectno"/>
        </w:rPr>
        <w:t>14</w:t>
      </w:r>
      <w:r>
        <w:t>.</w:t>
      </w:r>
      <w:r>
        <w:tab/>
        <w:t>Exhibiting of dividends</w:t>
      </w:r>
      <w:bookmarkEnd w:id="26"/>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27" w:name="_Toc93499093"/>
      <w:r>
        <w:rPr>
          <w:rStyle w:val="CharSectno"/>
        </w:rPr>
        <w:t>15</w:t>
      </w:r>
      <w:r>
        <w:t>.</w:t>
      </w:r>
      <w:r>
        <w:tab/>
        <w:t>Wagers that contravene rules of racing not permitted</w:t>
      </w:r>
      <w:bookmarkEnd w:id="27"/>
    </w:p>
    <w:p>
      <w:pPr>
        <w:pStyle w:val="Subsection"/>
      </w:pPr>
      <w:r>
        <w:tab/>
      </w:r>
      <w:r>
        <w:tab/>
        <w:t>A totalisator operator is not permitted to receive or make a wager that contravenes the rules of racing made under section 45 of the RWWA Act.</w:t>
      </w:r>
    </w:p>
    <w:p>
      <w:pPr>
        <w:pStyle w:val="Heading2"/>
      </w:pPr>
      <w:bookmarkStart w:id="28" w:name="_Toc88127187"/>
      <w:bookmarkStart w:id="29" w:name="_Toc88127559"/>
      <w:bookmarkStart w:id="30" w:name="_Toc88127926"/>
      <w:bookmarkStart w:id="31" w:name="_Toc93498764"/>
      <w:bookmarkStart w:id="32" w:name="_Toc93499094"/>
      <w:r>
        <w:rPr>
          <w:rStyle w:val="CharPartNo"/>
        </w:rPr>
        <w:lastRenderedPageBreak/>
        <w:t>Part 3</w:t>
      </w:r>
      <w:r>
        <w:rPr>
          <w:rStyle w:val="CharDivNo"/>
        </w:rPr>
        <w:t> </w:t>
      </w:r>
      <w:r>
        <w:t>—</w:t>
      </w:r>
      <w:r>
        <w:rPr>
          <w:rStyle w:val="CharDivText"/>
        </w:rPr>
        <w:t> </w:t>
      </w:r>
      <w:r>
        <w:rPr>
          <w:rStyle w:val="CharPartText"/>
        </w:rPr>
        <w:t>Rules of totalisator wagering</w:t>
      </w:r>
      <w:bookmarkEnd w:id="28"/>
      <w:bookmarkEnd w:id="29"/>
      <w:bookmarkEnd w:id="30"/>
      <w:bookmarkEnd w:id="31"/>
      <w:bookmarkEnd w:id="32"/>
    </w:p>
    <w:p>
      <w:pPr>
        <w:pStyle w:val="Heading5"/>
        <w:spacing w:before="240"/>
      </w:pPr>
      <w:bookmarkStart w:id="33" w:name="_Toc93499095"/>
      <w:r>
        <w:rPr>
          <w:rStyle w:val="CharSectno"/>
        </w:rPr>
        <w:t>16</w:t>
      </w:r>
      <w:r>
        <w:t>.</w:t>
      </w:r>
      <w:r>
        <w:tab/>
        <w:t>Totalisator pools — win and place wagers</w:t>
      </w:r>
      <w:bookmarkEnd w:id="33"/>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w:t>
      </w:r>
      <w:r>
        <w:lastRenderedPageBreak/>
        <w:t xml:space="preserve">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 xml:space="preserve">divide and set aside the amount then remaining in the pool in 2 equal parts on behalf of the other 2 placed runners or participants and deduct from each the prescribed commission from the parts (having regard to </w:t>
      </w:r>
      <w:r>
        <w:lastRenderedPageBreak/>
        <w:t>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lastRenderedPageBreak/>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34" w:name="_Toc93499096"/>
      <w:r>
        <w:rPr>
          <w:rStyle w:val="CharSectno"/>
        </w:rPr>
        <w:lastRenderedPageBreak/>
        <w:t>17</w:t>
      </w:r>
      <w:r>
        <w:t>.</w:t>
      </w:r>
      <w:r>
        <w:tab/>
        <w:t>Totalisator pools – novelty wagers on races</w:t>
      </w:r>
      <w:bookmarkEnd w:id="34"/>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 xml:space="preserve">in a trifecta wager, the person making the wager selects one runner to be first, another runner to be second, and </w:t>
      </w:r>
      <w:r>
        <w:lastRenderedPageBreak/>
        <w:t>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35" w:name="_Toc93499097"/>
      <w:r>
        <w:rPr>
          <w:rStyle w:val="CharSectno"/>
        </w:rPr>
        <w:t>18</w:t>
      </w:r>
      <w:r>
        <w:t>.</w:t>
      </w:r>
      <w:r>
        <w:tab/>
        <w:t>Dividends on novelty wagers</w:t>
      </w:r>
      <w:bookmarkEnd w:id="35"/>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lastRenderedPageBreak/>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 xml:space="preserve">if, in a case to which subrule (2)(d) applies, there is a winning combination that was not selected by any person making a wager placed in the totalisator pool </w:t>
      </w:r>
      <w:r>
        <w:lastRenderedPageBreak/>
        <w:t>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36" w:name="_Toc93499098"/>
      <w:r>
        <w:rPr>
          <w:rStyle w:val="CharSectno"/>
        </w:rPr>
        <w:lastRenderedPageBreak/>
        <w:t>18A</w:t>
      </w:r>
      <w:r>
        <w:t>.</w:t>
      </w:r>
      <w:r>
        <w:tab/>
        <w:t>Dividends on novelty wagers if less than one unit invested on correct selections</w:t>
      </w:r>
      <w:bookmarkEnd w:id="36"/>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keepNext/>
      </w:pPr>
      <w:r>
        <w:tab/>
        <w:t>(b)</w:t>
      </w:r>
      <w:r>
        <w:tab/>
        <w:t xml:space="preserve">there is to be transferred to the jackpot pool for the relevant novelty wager conducted on the succeeding </w:t>
      </w:r>
      <w:r>
        <w:lastRenderedPageBreak/>
        <w:t xml:space="preserve">relevant novelty wager event an amount calculated in accordance with the following formula — </w:t>
      </w:r>
    </w:p>
    <w:p>
      <w:pPr>
        <w:pStyle w:val="Subsection"/>
        <w:keepNext/>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37" w:name="_Toc93499099"/>
      <w:r>
        <w:rPr>
          <w:rStyle w:val="CharSectno"/>
        </w:rPr>
        <w:t>19</w:t>
      </w:r>
      <w:r>
        <w:t>.</w:t>
      </w:r>
      <w:r>
        <w:tab/>
        <w:t>Double event wagers on races</w:t>
      </w:r>
      <w:bookmarkEnd w:id="37"/>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 xml:space="preserve">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w:t>
      </w:r>
      <w:r>
        <w:lastRenderedPageBreak/>
        <w:t>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38" w:name="_Toc93499100"/>
      <w:r>
        <w:rPr>
          <w:rStyle w:val="CharSectno"/>
        </w:rPr>
        <w:t>20</w:t>
      </w:r>
      <w:r>
        <w:t>.</w:t>
      </w:r>
      <w:r>
        <w:tab/>
        <w:t>Favourite numbers wagers</w:t>
      </w:r>
      <w:bookmarkEnd w:id="38"/>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keepNext/>
      </w:pPr>
      <w:r>
        <w:lastRenderedPageBreak/>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 xml:space="preserve">If after the operation of subrule (7) the number of successful numbers required is reduced to one and no wager is a winning </w:t>
      </w:r>
      <w:r>
        <w:lastRenderedPageBreak/>
        <w:t>wager, the remaining 50 % of the resulting balance is to be carried forward in accordance with subrule (5).</w:t>
      </w:r>
    </w:p>
    <w:p>
      <w:pPr>
        <w:pStyle w:val="Heading5"/>
      </w:pPr>
      <w:bookmarkStart w:id="39" w:name="_Toc93499101"/>
      <w:r>
        <w:rPr>
          <w:rStyle w:val="CharSectno"/>
        </w:rPr>
        <w:t>21</w:t>
      </w:r>
      <w:r>
        <w:t>.</w:t>
      </w:r>
      <w:r>
        <w:tab/>
        <w:t>Determination of totalisator favourite</w:t>
      </w:r>
      <w:bookmarkEnd w:id="39"/>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40" w:name="_Toc93499102"/>
      <w:r>
        <w:rPr>
          <w:rStyle w:val="CharSectno"/>
        </w:rPr>
        <w:lastRenderedPageBreak/>
        <w:t>22</w:t>
      </w:r>
      <w:r>
        <w:t>.</w:t>
      </w:r>
      <w:r>
        <w:tab/>
        <w:t>Quaddie wagers</w:t>
      </w:r>
      <w:bookmarkEnd w:id="40"/>
    </w:p>
    <w:p>
      <w:pPr>
        <w:pStyle w:val="Subsection"/>
        <w:keepNext/>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lastRenderedPageBreak/>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keepNext/>
      </w:pPr>
      <w:r>
        <w:lastRenderedPageBreak/>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keepNext/>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41" w:name="_Toc93499103"/>
      <w:r>
        <w:rPr>
          <w:rStyle w:val="CharSectno"/>
        </w:rPr>
        <w:t>22A</w:t>
      </w:r>
      <w:r>
        <w:t>.</w:t>
      </w:r>
      <w:r>
        <w:tab/>
        <w:t>Flexi Bets</w:t>
      </w:r>
      <w:bookmarkEnd w:id="41"/>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lastRenderedPageBreak/>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42" w:name="_Toc93499104"/>
      <w:r>
        <w:rPr>
          <w:rStyle w:val="CharSectno"/>
        </w:rPr>
        <w:t>23</w:t>
      </w:r>
      <w:r>
        <w:t>.</w:t>
      </w:r>
      <w:r>
        <w:tab/>
        <w:t>Totalisator pools – sporting events</w:t>
      </w:r>
      <w:bookmarkEnd w:id="42"/>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lastRenderedPageBreak/>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43" w:name="_Toc93499105"/>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43"/>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765"/>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lastRenderedPageBreak/>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44" w:name="_Toc93499106"/>
      <w:r>
        <w:rPr>
          <w:rStyle w:val="CharSectno"/>
        </w:rPr>
        <w:t>25</w:t>
      </w:r>
      <w:r>
        <w:t>.</w:t>
      </w:r>
      <w:r>
        <w:tab/>
        <w:t>Sports tipping wagers</w:t>
      </w:r>
      <w:bookmarkEnd w:id="44"/>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lastRenderedPageBreak/>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45" w:name="_Toc93499107"/>
      <w:r>
        <w:rPr>
          <w:rStyle w:val="CharSectno"/>
        </w:rPr>
        <w:t>26</w:t>
      </w:r>
      <w:r>
        <w:t>.</w:t>
      </w:r>
      <w:r>
        <w:tab/>
        <w:t>Wagers on Australian Rules Football</w:t>
      </w:r>
      <w:bookmarkEnd w:id="45"/>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lastRenderedPageBreak/>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46" w:name="_Toc93499108"/>
      <w:r>
        <w:rPr>
          <w:rStyle w:val="CharSectno"/>
        </w:rPr>
        <w:t>27</w:t>
      </w:r>
      <w:r>
        <w:t>.</w:t>
      </w:r>
      <w:r>
        <w:tab/>
        <w:t>Footo wagers</w:t>
      </w:r>
      <w:bookmarkEnd w:id="46"/>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lastRenderedPageBreak/>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47" w:name="_Toc93499109"/>
      <w:r>
        <w:rPr>
          <w:rStyle w:val="CharSectno"/>
        </w:rPr>
        <w:t>28</w:t>
      </w:r>
      <w:r>
        <w:t>.</w:t>
      </w:r>
      <w:r>
        <w:tab/>
        <w:t>Wagers on cricket</w:t>
      </w:r>
      <w:bookmarkEnd w:id="47"/>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lastRenderedPageBreak/>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48" w:name="_Toc93499110"/>
      <w:r>
        <w:rPr>
          <w:rStyle w:val="CharSectno"/>
        </w:rPr>
        <w:t>29</w:t>
      </w:r>
      <w:r>
        <w:t>.</w:t>
      </w:r>
      <w:r>
        <w:tab/>
        <w:t>Wagers on sporting events</w:t>
      </w:r>
      <w:bookmarkEnd w:id="48"/>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49" w:name="_Toc88127204"/>
      <w:bookmarkStart w:id="50" w:name="_Toc88127576"/>
      <w:bookmarkStart w:id="51" w:name="_Toc88127943"/>
      <w:bookmarkStart w:id="52" w:name="_Toc93498781"/>
      <w:bookmarkStart w:id="53" w:name="_Toc93499111"/>
      <w:r>
        <w:rPr>
          <w:rStyle w:val="CharPartNo"/>
        </w:rPr>
        <w:lastRenderedPageBreak/>
        <w:t>Part 4</w:t>
      </w:r>
      <w:r>
        <w:rPr>
          <w:rStyle w:val="CharDivNo"/>
        </w:rPr>
        <w:t> </w:t>
      </w:r>
      <w:r>
        <w:t>—</w:t>
      </w:r>
      <w:r>
        <w:rPr>
          <w:rStyle w:val="CharDivText"/>
        </w:rPr>
        <w:t> </w:t>
      </w:r>
      <w:r>
        <w:rPr>
          <w:rStyle w:val="CharPartText"/>
        </w:rPr>
        <w:t>Conduct of bookmaker wagering generally</w:t>
      </w:r>
      <w:bookmarkEnd w:id="49"/>
      <w:bookmarkEnd w:id="50"/>
      <w:bookmarkEnd w:id="51"/>
      <w:bookmarkEnd w:id="52"/>
      <w:bookmarkEnd w:id="53"/>
    </w:p>
    <w:p>
      <w:pPr>
        <w:pStyle w:val="Heading5"/>
      </w:pPr>
      <w:bookmarkStart w:id="54" w:name="_Toc93499112"/>
      <w:r>
        <w:rPr>
          <w:rStyle w:val="CharSectno"/>
        </w:rPr>
        <w:t>30</w:t>
      </w:r>
      <w:r>
        <w:t>.</w:t>
      </w:r>
      <w:r>
        <w:tab/>
        <w:t>Application</w:t>
      </w:r>
      <w:bookmarkEnd w:id="54"/>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55" w:name="_Toc93499113"/>
      <w:r>
        <w:rPr>
          <w:rStyle w:val="CharSectno"/>
        </w:rPr>
        <w:t>31</w:t>
      </w:r>
      <w:r>
        <w:t>.</w:t>
      </w:r>
      <w:r>
        <w:tab/>
        <w:t>Bookmakers, bookmaker’s managers and bookmaker’s employees to be licensed</w:t>
      </w:r>
      <w:bookmarkEnd w:id="55"/>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56" w:name="_Toc93499114"/>
      <w:r>
        <w:rPr>
          <w:rStyle w:val="CharSectno"/>
        </w:rPr>
        <w:lastRenderedPageBreak/>
        <w:t>32</w:t>
      </w:r>
      <w:r>
        <w:t>.</w:t>
      </w:r>
      <w:r>
        <w:tab/>
        <w:t>Bookmakers to operate in accordance with permit issued by racing club</w:t>
      </w:r>
      <w:bookmarkEnd w:id="56"/>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57" w:name="_Toc93499115"/>
      <w:r>
        <w:rPr>
          <w:rStyle w:val="CharSectno"/>
        </w:rPr>
        <w:t>33</w:t>
      </w:r>
      <w:r>
        <w:t>.</w:t>
      </w:r>
      <w:r>
        <w:tab/>
        <w:t>Bookmaker’s agents and substitutes</w:t>
      </w:r>
      <w:bookmarkEnd w:id="57"/>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w:t>
      </w:r>
      <w:r>
        <w:lastRenderedPageBreak/>
        <w:t xml:space="preserve">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58" w:name="_Toc93499116"/>
      <w:r>
        <w:rPr>
          <w:rStyle w:val="CharSectno"/>
        </w:rPr>
        <w:t>34</w:t>
      </w:r>
      <w:r>
        <w:t>.</w:t>
      </w:r>
      <w:r>
        <w:tab/>
        <w:t>Temporary bookmaker’s employee licence</w:t>
      </w:r>
      <w:bookmarkEnd w:id="58"/>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lastRenderedPageBreak/>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lastRenderedPageBreak/>
        <w:tab/>
        <w:t>(8)</w:t>
      </w:r>
      <w:r>
        <w:tab/>
        <w:t>A person to whom a temporary licence is granted is to be taken to be the holder of a bookmaker’s employee’s licence in relation to the day to which the temporary licence relates.</w:t>
      </w:r>
    </w:p>
    <w:p>
      <w:pPr>
        <w:pStyle w:val="Heading5"/>
      </w:pPr>
      <w:bookmarkStart w:id="59" w:name="_Toc93499117"/>
      <w:r>
        <w:rPr>
          <w:rStyle w:val="CharSectno"/>
        </w:rPr>
        <w:t>35</w:t>
      </w:r>
      <w:r>
        <w:t>.</w:t>
      </w:r>
      <w:r>
        <w:tab/>
        <w:t>Supervision of wagering by bookmakers</w:t>
      </w:r>
      <w:bookmarkEnd w:id="59"/>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60" w:name="_Toc93499118"/>
      <w:r>
        <w:rPr>
          <w:rStyle w:val="CharSectno"/>
        </w:rPr>
        <w:t>36</w:t>
      </w:r>
      <w:r>
        <w:t>.</w:t>
      </w:r>
      <w:r>
        <w:tab/>
        <w:t>Duty to report non</w:t>
      </w:r>
      <w:r>
        <w:noBreakHyphen/>
        <w:t>compliance</w:t>
      </w:r>
      <w:bookmarkEnd w:id="60"/>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61" w:name="_Toc93499119"/>
      <w:r>
        <w:rPr>
          <w:rStyle w:val="CharSectno"/>
        </w:rPr>
        <w:t>37</w:t>
      </w:r>
      <w:r>
        <w:t>.</w:t>
      </w:r>
      <w:r>
        <w:tab/>
        <w:t>Record of wagering transactions</w:t>
      </w:r>
      <w:bookmarkEnd w:id="61"/>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lastRenderedPageBreak/>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 xml:space="preserve">the stake wagered by the investor and the odds at which the wager is made is to be recorded, and if win and place wagers in respect of one runner backed each way are </w:t>
      </w:r>
      <w:r>
        <w:lastRenderedPageBreak/>
        <w:t>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62" w:name="_Toc93499120"/>
      <w:r>
        <w:rPr>
          <w:rStyle w:val="CharSectno"/>
        </w:rPr>
        <w:lastRenderedPageBreak/>
        <w:t>38</w:t>
      </w:r>
      <w:r>
        <w:t>.</w:t>
      </w:r>
      <w:r>
        <w:tab/>
        <w:t>Tickets</w:t>
      </w:r>
      <w:bookmarkEnd w:id="62"/>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63" w:name="_Toc93499121"/>
      <w:r>
        <w:rPr>
          <w:rStyle w:val="CharSectno"/>
        </w:rPr>
        <w:t>39</w:t>
      </w:r>
      <w:r>
        <w:t>.</w:t>
      </w:r>
      <w:r>
        <w:tab/>
        <w:t>Betting stands</w:t>
      </w:r>
      <w:bookmarkEnd w:id="63"/>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keepNext/>
        <w:keepLines/>
      </w:pPr>
      <w:r>
        <w:lastRenderedPageBreak/>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64" w:name="_Toc93499122"/>
      <w:r>
        <w:rPr>
          <w:rStyle w:val="CharSectno"/>
        </w:rPr>
        <w:t>40</w:t>
      </w:r>
      <w:r>
        <w:t>.</w:t>
      </w:r>
      <w:r>
        <w:tab/>
        <w:t>Betting boards, charts etc.</w:t>
      </w:r>
      <w:bookmarkEnd w:id="64"/>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an approved event the name of every participant and a description of each contingency on which wagering is approved; and</w:t>
      </w:r>
    </w:p>
    <w:p>
      <w:pPr>
        <w:pStyle w:val="Indenta"/>
      </w:pPr>
      <w:r>
        <w:tab/>
        <w:t>(c)</w:t>
      </w:r>
      <w:r>
        <w:tab/>
        <w:t xml:space="preserve">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w:t>
      </w:r>
      <w:r>
        <w:lastRenderedPageBreak/>
        <w:t>the first race (as determined by the relevant racing club or body conducting the race and notified to RWWA)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65" w:name="_Toc93499123"/>
      <w:r>
        <w:rPr>
          <w:rStyle w:val="CharSectno"/>
        </w:rPr>
        <w:t>42</w:t>
      </w:r>
      <w:r>
        <w:t>.</w:t>
      </w:r>
      <w:r>
        <w:tab/>
        <w:t>Collection of wagering sheets</w:t>
      </w:r>
      <w:bookmarkEnd w:id="65"/>
    </w:p>
    <w:p>
      <w:pPr>
        <w:pStyle w:val="Subsection"/>
      </w:pPr>
      <w:r>
        <w:tab/>
      </w:r>
      <w:r>
        <w:tab/>
        <w:t>A bookmaker conducting wagering at a racecourse is to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lastRenderedPageBreak/>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pPr>
      <w:r>
        <w:tab/>
        <w:t>[Rule 42 amended: Gazette 15 Mar 2019 p. 799.]</w:t>
      </w:r>
    </w:p>
    <w:p>
      <w:pPr>
        <w:pStyle w:val="Ednotesection"/>
      </w:pPr>
      <w:r>
        <w:t>[</w:t>
      </w:r>
      <w:r>
        <w:rPr>
          <w:b/>
        </w:rPr>
        <w:t>43.</w:t>
      </w:r>
      <w:r>
        <w:tab/>
        <w:t>Deleted: Gazette 19 Nov 2021 p. 5144.]</w:t>
      </w:r>
    </w:p>
    <w:p>
      <w:pPr>
        <w:pStyle w:val="Heading5"/>
      </w:pPr>
      <w:bookmarkStart w:id="66" w:name="_Toc93499124"/>
      <w:r>
        <w:rPr>
          <w:rStyle w:val="CharSectno"/>
        </w:rPr>
        <w:t>44</w:t>
      </w:r>
      <w:r>
        <w:t>.</w:t>
      </w:r>
      <w:r>
        <w:tab/>
        <w:t>Wagers with domestic betting operators and totalisators</w:t>
      </w:r>
      <w:bookmarkEnd w:id="66"/>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lastRenderedPageBreak/>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67" w:name="_Toc93499125"/>
      <w:r>
        <w:rPr>
          <w:rStyle w:val="CharSectno"/>
        </w:rPr>
        <w:t>45A</w:t>
      </w:r>
      <w:r>
        <w:t>.</w:t>
      </w:r>
      <w:r>
        <w:tab/>
        <w:t>Bet back by means of a betting exchange</w:t>
      </w:r>
      <w:bookmarkEnd w:id="67"/>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keepNext/>
        <w:keepLines/>
      </w:pPr>
      <w:r>
        <w:lastRenderedPageBreak/>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68" w:name="_Toc93499126"/>
      <w:r>
        <w:rPr>
          <w:rStyle w:val="CharSectno"/>
        </w:rPr>
        <w:t>45</w:t>
      </w:r>
      <w:r>
        <w:t>.</w:t>
      </w:r>
      <w:r>
        <w:tab/>
        <w:t>Telephone wagering</w:t>
      </w:r>
      <w:bookmarkEnd w:id="68"/>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by telephone where the wager relates to a runner in a race being conducted at a racecourse elsewhere in Western Australia,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 xml:space="preserve">the full details of each wager received, including the ticket number (if it is available) and account number, are to be confirmed with the investor by the bookmaker, or </w:t>
      </w:r>
      <w:r>
        <w:lastRenderedPageBreak/>
        <w:t>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lastRenderedPageBreak/>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Pr>
      <w:bookmarkStart w:id="69" w:name="_Toc93499127"/>
      <w:r>
        <w:rPr>
          <w:rStyle w:val="CharSectno"/>
        </w:rPr>
        <w:t>46</w:t>
      </w:r>
      <w:r>
        <w:t>.</w:t>
      </w:r>
      <w:r>
        <w:tab/>
        <w:t>Internet wagering</w:t>
      </w:r>
      <w:bookmarkEnd w:id="69"/>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via the internet where the wager relates to a runner in a race being conducted at a racecourse elsewhere in Western Australia, unless the committee or other authority conducting that other race so permits.</w:t>
      </w:r>
    </w:p>
    <w:p>
      <w:pPr>
        <w:pStyle w:val="Subsection"/>
      </w:pPr>
      <w:r>
        <w:lastRenderedPageBreak/>
        <w:tab/>
        <w:t>(3)</w:t>
      </w:r>
      <w:r>
        <w:tab/>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lastRenderedPageBreak/>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lastRenderedPageBreak/>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70" w:name="_Toc93499128"/>
      <w:r>
        <w:rPr>
          <w:rStyle w:val="CharSectno"/>
        </w:rPr>
        <w:t>47</w:t>
      </w:r>
      <w:r>
        <w:t>.</w:t>
      </w:r>
      <w:r>
        <w:tab/>
        <w:t>Settling generally</w:t>
      </w:r>
      <w:bookmarkEnd w:id="70"/>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71" w:name="_Toc93499129"/>
      <w:r>
        <w:rPr>
          <w:rStyle w:val="CharSectno"/>
        </w:rPr>
        <w:t>48</w:t>
      </w:r>
      <w:r>
        <w:t>.</w:t>
      </w:r>
      <w:r>
        <w:tab/>
        <w:t>Defaulters in wagering</w:t>
      </w:r>
      <w:bookmarkEnd w:id="71"/>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lastRenderedPageBreak/>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72" w:name="_Toc88127224"/>
      <w:bookmarkStart w:id="73" w:name="_Toc88127595"/>
      <w:bookmarkStart w:id="74" w:name="_Toc88127962"/>
      <w:bookmarkStart w:id="75" w:name="_Toc93498800"/>
      <w:bookmarkStart w:id="76" w:name="_Toc93499130"/>
      <w:r>
        <w:rPr>
          <w:rStyle w:val="CharPartNo"/>
        </w:rPr>
        <w:lastRenderedPageBreak/>
        <w:t>Part 5</w:t>
      </w:r>
      <w:r>
        <w:rPr>
          <w:rStyle w:val="CharDivNo"/>
        </w:rPr>
        <w:t> </w:t>
      </w:r>
      <w:r>
        <w:t>—</w:t>
      </w:r>
      <w:r>
        <w:rPr>
          <w:rStyle w:val="CharDivText"/>
        </w:rPr>
        <w:t> </w:t>
      </w:r>
      <w:r>
        <w:rPr>
          <w:rStyle w:val="CharPartText"/>
        </w:rPr>
        <w:t>Rules of bookmaker wagering</w:t>
      </w:r>
      <w:bookmarkEnd w:id="72"/>
      <w:bookmarkEnd w:id="73"/>
      <w:bookmarkEnd w:id="74"/>
      <w:bookmarkEnd w:id="75"/>
      <w:bookmarkEnd w:id="76"/>
    </w:p>
    <w:p>
      <w:pPr>
        <w:pStyle w:val="Heading5"/>
        <w:spacing w:before="180"/>
      </w:pPr>
      <w:bookmarkStart w:id="77" w:name="_Toc93499131"/>
      <w:r>
        <w:rPr>
          <w:rStyle w:val="CharSectno"/>
        </w:rPr>
        <w:t>49</w:t>
      </w:r>
      <w:r>
        <w:t>.</w:t>
      </w:r>
      <w:r>
        <w:tab/>
        <w:t>Terms used</w:t>
      </w:r>
      <w:bookmarkEnd w:id="77"/>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the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Footnotesection"/>
      </w:pPr>
      <w:r>
        <w:tab/>
        <w:t>[Rule 49 amended: SL 2021/188 r. 5.]</w:t>
      </w:r>
    </w:p>
    <w:p>
      <w:pPr>
        <w:pStyle w:val="Heading5"/>
        <w:spacing w:before="180"/>
      </w:pPr>
      <w:bookmarkStart w:id="78" w:name="_Toc93499132"/>
      <w:r>
        <w:rPr>
          <w:rStyle w:val="CharSectno"/>
        </w:rPr>
        <w:t>50</w:t>
      </w:r>
      <w:r>
        <w:t>.</w:t>
      </w:r>
      <w:r>
        <w:tab/>
        <w:t>Permitted wagers — races</w:t>
      </w:r>
      <w:bookmarkEnd w:id="78"/>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lastRenderedPageBreak/>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keepNext/>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Ednotepara"/>
      </w:pPr>
      <w:r>
        <w:tab/>
        <w:t>[(f), (g)</w:t>
      </w:r>
      <w:r>
        <w:tab/>
        <w:t>deleted]</w:t>
      </w:r>
    </w:p>
    <w:p>
      <w:pPr>
        <w:pStyle w:val="Indenta"/>
        <w:keepNext/>
      </w:pPr>
      <w:r>
        <w:lastRenderedPageBreak/>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keepNext/>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keepNext/>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keepNext/>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keepNext/>
      </w:pPr>
      <w:r>
        <w:lastRenderedPageBreak/>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 SL 2021/188 r. 6.]</w:t>
      </w:r>
    </w:p>
    <w:p>
      <w:pPr>
        <w:pStyle w:val="Heading5"/>
      </w:pPr>
      <w:bookmarkStart w:id="79" w:name="_Toc93499133"/>
      <w:r>
        <w:rPr>
          <w:rStyle w:val="CharSectno"/>
        </w:rPr>
        <w:t>51A</w:t>
      </w:r>
      <w:r>
        <w:t>.</w:t>
      </w:r>
      <w:r>
        <w:tab/>
        <w:t>Default odds for starting price, starting price guarantee and top fluc wagering</w:t>
      </w:r>
      <w:bookmarkEnd w:id="79"/>
    </w:p>
    <w:p>
      <w:pPr>
        <w:pStyle w:val="Subsection"/>
      </w:pPr>
      <w:r>
        <w:tab/>
        <w:t>(1)</w:t>
      </w:r>
      <w:r>
        <w:tab/>
        <w:t>If a bookmaker accepts a starting price wager or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keepNext/>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 SL 2021/188 r. 7.]</w:t>
      </w:r>
    </w:p>
    <w:p>
      <w:pPr>
        <w:pStyle w:val="Heading5"/>
        <w:spacing w:before="180"/>
      </w:pPr>
      <w:bookmarkStart w:id="80" w:name="_Toc93499134"/>
      <w:r>
        <w:rPr>
          <w:rStyle w:val="CharSectno"/>
        </w:rPr>
        <w:t>51</w:t>
      </w:r>
      <w:r>
        <w:t>.</w:t>
      </w:r>
      <w:r>
        <w:tab/>
        <w:t>Bookmakers not to offer, make or accept certain wagers</w:t>
      </w:r>
      <w:bookmarkEnd w:id="80"/>
    </w:p>
    <w:p>
      <w:pPr>
        <w:pStyle w:val="Subsection"/>
        <w:keepNext/>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keepNext/>
      </w:pPr>
      <w:r>
        <w:tab/>
        <w:t>[(c), (d)</w:t>
      </w:r>
      <w:r>
        <w:tab/>
        <w:t>deleted]</w:t>
      </w:r>
    </w:p>
    <w:p>
      <w:pPr>
        <w:pStyle w:val="Footnotesection"/>
      </w:pPr>
      <w:r>
        <w:tab/>
        <w:t>[Rule 51 amended: Gazette 14 Jun 2013 p. 2246; 29 Nov 2013 p. 5471.]</w:t>
      </w:r>
    </w:p>
    <w:p>
      <w:pPr>
        <w:pStyle w:val="Heading5"/>
      </w:pPr>
      <w:bookmarkStart w:id="81" w:name="_Toc93499135"/>
      <w:r>
        <w:rPr>
          <w:rStyle w:val="CharSectno"/>
        </w:rPr>
        <w:lastRenderedPageBreak/>
        <w:t>52</w:t>
      </w:r>
      <w:r>
        <w:t>.</w:t>
      </w:r>
      <w:r>
        <w:tab/>
        <w:t>Provisions as to runners</w:t>
      </w:r>
      <w:bookmarkEnd w:id="81"/>
    </w:p>
    <w:p>
      <w:pPr>
        <w:pStyle w:val="Subsection"/>
        <w:keepNext/>
      </w:pPr>
      <w:r>
        <w:tab/>
      </w:r>
      <w:r>
        <w:tab/>
        <w:t>For the purpose of this Part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Footnotesection"/>
      </w:pPr>
      <w:r>
        <w:tab/>
        <w:t>[Rule 52 amended: SL 2021/188 r. 8.]</w:t>
      </w:r>
    </w:p>
    <w:p>
      <w:pPr>
        <w:pStyle w:val="Heading5"/>
      </w:pPr>
      <w:bookmarkStart w:id="82" w:name="_Toc93499136"/>
      <w:r>
        <w:rPr>
          <w:rStyle w:val="CharSectno"/>
        </w:rPr>
        <w:t>53</w:t>
      </w:r>
      <w:r>
        <w:t>.</w:t>
      </w:r>
      <w:r>
        <w:tab/>
        <w:t>Wagers void in certain circumstances</w:t>
      </w:r>
      <w:bookmarkEnd w:id="82"/>
    </w:p>
    <w:p>
      <w:pPr>
        <w:pStyle w:val="Subsection"/>
        <w:keepNext/>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 xml:space="preserve">The Commission may investigate, in such a manner as it thinks fit, any allegation of fraud or corrupt practice in relation to a wager or a race to which a wager relates, and may declare that </w:t>
      </w:r>
      <w:r>
        <w:lastRenderedPageBreak/>
        <w:t>wager, or all or any wagers made in respect of that race, to be void.</w:t>
      </w:r>
    </w:p>
    <w:p>
      <w:pPr>
        <w:pStyle w:val="Heading5"/>
        <w:spacing w:before="180"/>
      </w:pPr>
      <w:bookmarkStart w:id="83" w:name="_Toc93499137"/>
      <w:r>
        <w:rPr>
          <w:rStyle w:val="CharSectno"/>
        </w:rPr>
        <w:t>54</w:t>
      </w:r>
      <w:r>
        <w:t>.</w:t>
      </w:r>
      <w:r>
        <w:tab/>
        <w:t>When wagers are off</w:t>
      </w:r>
      <w:bookmarkEnd w:id="83"/>
    </w:p>
    <w:p>
      <w:pPr>
        <w:pStyle w:val="Subsection"/>
        <w:keepNext/>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keepNext/>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84" w:name="_Toc93499138"/>
      <w:r>
        <w:rPr>
          <w:rStyle w:val="CharSectno"/>
        </w:rPr>
        <w:t>55</w:t>
      </w:r>
      <w:r>
        <w:t>.</w:t>
      </w:r>
      <w:r>
        <w:tab/>
        <w:t>Determination and settlement of wagers</w:t>
      </w:r>
      <w:bookmarkEnd w:id="84"/>
    </w:p>
    <w:p>
      <w:pPr>
        <w:pStyle w:val="Subsection"/>
        <w:spacing w:before="120"/>
      </w:pPr>
      <w:r>
        <w:tab/>
        <w:t>(1)</w:t>
      </w:r>
      <w:r>
        <w:tab/>
        <w:t xml:space="preserve">A person to whom a ticket is issued by a bookmaker is to be taken to have accepted the ticket issued and to have agreed that the particulars of the wager shown on the ticket are correct, unless that person applies immediately after the issue of the </w:t>
      </w:r>
      <w:r>
        <w:lastRenderedPageBreak/>
        <w:t>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keepNext/>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keepNext/>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lastRenderedPageBreak/>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keepNext/>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considered play or pay unless otherwise agreed at the time the wager is made or otherwise provided in these rules;</w:t>
      </w:r>
    </w:p>
    <w:p>
      <w:pPr>
        <w:pStyle w:val="Indenta"/>
      </w:pPr>
      <w:r>
        <w:tab/>
        <w:t>(f)</w:t>
      </w:r>
      <w:r>
        <w:tab/>
        <w:t xml:space="preserve">in the case of a wager made on the racecourse on the day of the race upon which both legs are run, if the runner selected for one leg wins and the runner selected for the other leg does not come under the starter’s orders, the </w:t>
      </w:r>
      <w:r>
        <w:lastRenderedPageBreak/>
        <w:t>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keepNext/>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keepNext/>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Footnotesection"/>
      </w:pPr>
      <w:r>
        <w:tab/>
        <w:t>[Rule 55 amended: SL 2021/188 r. 9.]</w:t>
      </w:r>
    </w:p>
    <w:p>
      <w:pPr>
        <w:pStyle w:val="Heading5"/>
      </w:pPr>
      <w:bookmarkStart w:id="85" w:name="_Toc93499139"/>
      <w:r>
        <w:rPr>
          <w:rStyle w:val="CharSectno"/>
        </w:rPr>
        <w:lastRenderedPageBreak/>
        <w:t>56</w:t>
      </w:r>
      <w:r>
        <w:t>.</w:t>
      </w:r>
      <w:r>
        <w:tab/>
        <w:t>Determination of wagers where runner withdrawn</w:t>
      </w:r>
      <w:bookmarkEnd w:id="85"/>
    </w:p>
    <w:p>
      <w:pPr>
        <w:pStyle w:val="Subsection"/>
        <w:keepNext/>
      </w:pPr>
      <w:r>
        <w:tab/>
        <w:t>(1)</w:t>
      </w:r>
      <w:r>
        <w:tab/>
        <w:t xml:space="preserve">In this rule — </w:t>
      </w:r>
    </w:p>
    <w:p>
      <w:pPr>
        <w:pStyle w:val="Defstart"/>
        <w:keepNex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keepNex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tab/>
      </w:r>
      <w:r>
        <w:rPr>
          <w:rStyle w:val="CharDefText"/>
        </w:rPr>
        <w:t>sum percentage</w:t>
      </w:r>
      <w:r>
        <w:t>, for runners in a race, means the sum of the percentages for the runners;</w:t>
      </w:r>
    </w:p>
    <w:p>
      <w:pPr>
        <w:pStyle w:val="Defstart"/>
        <w:keepNext/>
      </w:pPr>
      <w:r>
        <w:tab/>
      </w:r>
      <w:r>
        <w:rPr>
          <w:rStyle w:val="CharDefText"/>
        </w:rPr>
        <w:t>wager</w:t>
      </w:r>
      <w:r>
        <w:t xml:space="preserve"> means a wager, other than a wager that is play or pay,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lastRenderedPageBreak/>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keepNext/>
      </w:pPr>
      <w:r>
        <w:tab/>
        <w:t>(3)</w:t>
      </w:r>
      <w:r>
        <w:tab/>
        <w:t xml:space="preserve">The stewards may — </w:t>
      </w:r>
    </w:p>
    <w:p>
      <w:pPr>
        <w:pStyle w:val="Indenta"/>
        <w:keepNext/>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keepNext/>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keepNext/>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lastRenderedPageBreak/>
        <w:tab/>
      </w:r>
      <w:r>
        <w:rPr>
          <w:b/>
        </w:rPr>
        <w:t>d</w:t>
      </w:r>
      <w:r>
        <w:tab/>
        <w:t xml:space="preserve">is calculated in accordance with the following formula — </w:t>
      </w:r>
    </w:p>
    <w:p>
      <w:pPr>
        <w:pStyle w:val="Indenta"/>
        <w:keepNext/>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keepNext/>
      </w:pPr>
      <w:r>
        <w:tab/>
        <w:t>(5)</w:t>
      </w:r>
      <w:r>
        <w:tab/>
        <w:t xml:space="preserve">The amount paid in relation to a wager must — </w:t>
      </w:r>
    </w:p>
    <w:p>
      <w:pPr>
        <w:pStyle w:val="Indenta"/>
        <w:keepNext/>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keepNext/>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keepNext/>
      </w:pPr>
      <w:r>
        <w:tab/>
        <w:t>(b)</w:t>
      </w:r>
      <w:r>
        <w:tab/>
        <w:t>any rule to the contrary,</w:t>
      </w:r>
    </w:p>
    <w:p>
      <w:pPr>
        <w:pStyle w:val="Subsection"/>
      </w:pPr>
      <w:r>
        <w:tab/>
      </w:r>
      <w:r>
        <w:tab/>
        <w:t>unless the bookmaker is specifically directed to do so by the stewards.</w:t>
      </w:r>
    </w:p>
    <w:p>
      <w:pPr>
        <w:pStyle w:val="Subsection"/>
        <w:keepNext/>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 amended: SL 2021/188 r. 10.]</w:t>
      </w:r>
    </w:p>
    <w:p>
      <w:pPr>
        <w:pStyle w:val="Heading5"/>
      </w:pPr>
      <w:bookmarkStart w:id="86" w:name="_Toc93499140"/>
      <w:r>
        <w:rPr>
          <w:rStyle w:val="CharSectno"/>
        </w:rPr>
        <w:lastRenderedPageBreak/>
        <w:t>57</w:t>
      </w:r>
      <w:r>
        <w:t>.</w:t>
      </w:r>
      <w:r>
        <w:tab/>
        <w:t>Wagers to be pay or play except in certain circumstances</w:t>
      </w:r>
      <w:bookmarkEnd w:id="86"/>
    </w:p>
    <w:p>
      <w:pPr>
        <w:pStyle w:val="Subsection"/>
      </w:pPr>
      <w:r>
        <w:tab/>
        <w:t>(1)</w:t>
      </w:r>
      <w:r>
        <w:tab/>
        <w:t>All wagers are to be play or pay, unless the parties agree to the contrary.</w:t>
      </w:r>
    </w:p>
    <w:p>
      <w:pPr>
        <w:pStyle w:val="Subsection"/>
        <w:keepNext/>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87" w:name="_Toc93499141"/>
      <w:r>
        <w:rPr>
          <w:rStyle w:val="CharSectno"/>
        </w:rPr>
        <w:t>58</w:t>
      </w:r>
      <w:r>
        <w:t>.</w:t>
      </w:r>
      <w:r>
        <w:tab/>
        <w:t>Provisions as to settlement of wagers following dead heat</w:t>
      </w:r>
      <w:bookmarkEnd w:id="87"/>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keepNext/>
      </w:pPr>
      <w:r>
        <w:tab/>
        <w:t>(3)</w:t>
      </w:r>
      <w:r>
        <w:tab/>
        <w:t xml:space="preserve">In a place wager where, in accordance with rule 49(2)(b), there are only 2 places payable and the selected runner finishes in a </w:t>
      </w:r>
      <w:r>
        <w:lastRenderedPageBreak/>
        <w:t>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keepNext/>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keepNext/>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keepNext/>
      </w:pPr>
      <w:r>
        <w:tab/>
        <w:t>(d)</w:t>
      </w:r>
      <w:r>
        <w:tab/>
        <w:t xml:space="preserve">where a runner selected by the investor finishes in a dead heat for second place with 2 other runners the </w:t>
      </w:r>
      <w:r>
        <w:lastRenderedPageBreak/>
        <w:t xml:space="preserve">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keepNext/>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88" w:name="_Toc93499142"/>
      <w:r>
        <w:rPr>
          <w:rStyle w:val="CharSectno"/>
        </w:rPr>
        <w:t>59</w:t>
      </w:r>
      <w:r>
        <w:t>.</w:t>
      </w:r>
      <w:r>
        <w:tab/>
        <w:t>Provisions as to races that are re</w:t>
      </w:r>
      <w:r>
        <w:noBreakHyphen/>
        <w:t>run</w:t>
      </w:r>
      <w:bookmarkEnd w:id="88"/>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89" w:name="_Toc93499143"/>
      <w:r>
        <w:rPr>
          <w:rStyle w:val="CharSectno"/>
        </w:rPr>
        <w:t>60</w:t>
      </w:r>
      <w:r>
        <w:t>.</w:t>
      </w:r>
      <w:r>
        <w:tab/>
        <w:t>Pre</w:t>
      </w:r>
      <w:r>
        <w:noBreakHyphen/>
        <w:t>post wagering on the final of special event</w:t>
      </w:r>
      <w:bookmarkEnd w:id="89"/>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keepNext/>
      </w:pPr>
      <w:r>
        <w:lastRenderedPageBreak/>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90" w:name="_Toc93499144"/>
      <w:r>
        <w:rPr>
          <w:rStyle w:val="CharSectno"/>
        </w:rPr>
        <w:t>61</w:t>
      </w:r>
      <w:r>
        <w:t>.</w:t>
      </w:r>
      <w:r>
        <w:tab/>
        <w:t>“Favout” wagering</w:t>
      </w:r>
      <w:bookmarkEnd w:id="90"/>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91" w:name="_Toc93499145"/>
      <w:r>
        <w:rPr>
          <w:rStyle w:val="CharSectno"/>
        </w:rPr>
        <w:t>62</w:t>
      </w:r>
      <w:r>
        <w:t>.</w:t>
      </w:r>
      <w:r>
        <w:tab/>
        <w:t>Wagering on approved events</w:t>
      </w:r>
      <w:bookmarkEnd w:id="91"/>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lastRenderedPageBreak/>
        <w:tab/>
        <w:t>[(3)</w:t>
      </w:r>
      <w:r>
        <w:tab/>
        <w:t>deleted]</w:t>
      </w:r>
    </w:p>
    <w:p>
      <w:pPr>
        <w:pStyle w:val="Subsection"/>
      </w:pPr>
      <w:r>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keepNext/>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 xml:space="preserve">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t>
      </w:r>
      <w:r>
        <w:lastRenderedPageBreak/>
        <w:t>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2"/>
      </w:pPr>
      <w:bookmarkStart w:id="92" w:name="_Toc88127240"/>
      <w:bookmarkStart w:id="93" w:name="_Toc88127611"/>
      <w:bookmarkStart w:id="94" w:name="_Toc88127978"/>
      <w:bookmarkStart w:id="95" w:name="_Toc93498816"/>
      <w:bookmarkStart w:id="96" w:name="_Toc93499146"/>
      <w:r>
        <w:rPr>
          <w:rStyle w:val="CharPartNo"/>
        </w:rPr>
        <w:lastRenderedPageBreak/>
        <w:t>Part 5A</w:t>
      </w:r>
      <w:r>
        <w:t> — </w:t>
      </w:r>
      <w:r>
        <w:rPr>
          <w:rStyle w:val="CharPartText"/>
        </w:rPr>
        <w:t>Rules of RWWA fixed odds wagering on races</w:t>
      </w:r>
      <w:bookmarkEnd w:id="92"/>
      <w:bookmarkEnd w:id="93"/>
      <w:bookmarkEnd w:id="94"/>
      <w:bookmarkEnd w:id="95"/>
      <w:bookmarkEnd w:id="96"/>
    </w:p>
    <w:p>
      <w:pPr>
        <w:pStyle w:val="Footnoteheading"/>
      </w:pPr>
      <w:r>
        <w:tab/>
        <w:t>[Heading inserted: SL 2021/188 r. 11.]</w:t>
      </w:r>
    </w:p>
    <w:p>
      <w:pPr>
        <w:pStyle w:val="Heading5"/>
      </w:pPr>
      <w:bookmarkStart w:id="97" w:name="_Toc93499147"/>
      <w:r>
        <w:rPr>
          <w:rStyle w:val="CharSectno"/>
        </w:rPr>
        <w:t>62A</w:t>
      </w:r>
      <w:r>
        <w:t>.</w:t>
      </w:r>
      <w:r>
        <w:tab/>
        <w:t>Terms used</w:t>
      </w:r>
      <w:bookmarkEnd w:id="97"/>
    </w:p>
    <w:p>
      <w:pPr>
        <w:pStyle w:val="Subsection"/>
        <w:keepNext/>
      </w:pPr>
      <w:r>
        <w:tab/>
      </w:r>
      <w:r>
        <w:tab/>
        <w:t xml:space="preserve">In this Part — </w:t>
      </w:r>
    </w:p>
    <w:p>
      <w:pPr>
        <w:pStyle w:val="Defstart"/>
      </w:pPr>
      <w:r>
        <w:tab/>
      </w:r>
      <w:r>
        <w:rPr>
          <w:rStyle w:val="CharDefText"/>
        </w:rPr>
        <w:t>before noms wager</w:t>
      </w:r>
      <w:r>
        <w:t xml:space="preserve"> means a wager placed on a list of runners for a race, or participants for an event, before the first round of official nominations;</w:t>
      </w:r>
    </w:p>
    <w:p>
      <w:pPr>
        <w:pStyle w:val="Defstart"/>
      </w:pPr>
      <w:r>
        <w:tab/>
      </w:r>
      <w:r>
        <w:rPr>
          <w:rStyle w:val="CharDefText"/>
        </w:rPr>
        <w:t>final field</w:t>
      </w:r>
      <w:r>
        <w:t xml:space="preserve"> means the list of nominated runners declared by the relevant racing authority as having been accepted to start in a race;</w:t>
      </w:r>
    </w:p>
    <w:p>
      <w:pPr>
        <w:pStyle w:val="Defstart"/>
      </w:pPr>
      <w:r>
        <w:tab/>
      </w:r>
      <w:r>
        <w:rPr>
          <w:rStyle w:val="CharDefText"/>
        </w:rPr>
        <w:t>futures wager</w:t>
      </w:r>
      <w:r>
        <w:t xml:space="preserve"> means a wager placed on a list of runners for a race, or participants for an event, before the final field is declared;</w:t>
      </w:r>
    </w:p>
    <w:p>
      <w:pPr>
        <w:pStyle w:val="Defstart"/>
      </w:pPr>
      <w:r>
        <w:tab/>
      </w:r>
      <w:r>
        <w:rPr>
          <w:rStyle w:val="CharDefText"/>
        </w:rPr>
        <w:t>in the run wager</w:t>
      </w:r>
      <w:r>
        <w:t xml:space="preserve"> means a wager that is placed after the commencement of a race;</w:t>
      </w:r>
    </w:p>
    <w:p>
      <w:pPr>
        <w:pStyle w:val="Defstart"/>
      </w:pPr>
      <w:r>
        <w:tab/>
      </w:r>
      <w:r>
        <w:rPr>
          <w:rStyle w:val="CharDefText"/>
        </w:rPr>
        <w:t>late scratched runner</w:t>
      </w:r>
      <w:r>
        <w:t>, in relation to a race, means a runner that is withdrawn from the race after the final field is declared;</w:t>
      </w:r>
    </w:p>
    <w:p>
      <w:pPr>
        <w:pStyle w:val="Defstart"/>
      </w:pPr>
      <w:r>
        <w:tab/>
      </w:r>
      <w:r>
        <w:rPr>
          <w:rStyle w:val="CharDefText"/>
        </w:rPr>
        <w:t>odds</w:t>
      </w:r>
      <w:r>
        <w:t xml:space="preserve"> means the numerical ratio of money to be paid by RWWA (the </w:t>
      </w:r>
      <w:r>
        <w:rPr>
          <w:rStyle w:val="CharDefText"/>
        </w:rPr>
        <w:t>odds portion</w:t>
      </w:r>
      <w:r>
        <w:t>) to the amount of the investor’s stake in respect of a wager in the event that the wager is successful.</w:t>
      </w:r>
    </w:p>
    <w:p>
      <w:pPr>
        <w:pStyle w:val="PermNoteHeading"/>
      </w:pPr>
      <w:r>
        <w:tab/>
        <w:t>Example for this definition:</w:t>
      </w:r>
    </w:p>
    <w:p>
      <w:pPr>
        <w:pStyle w:val="PermNoteText"/>
      </w:pPr>
      <w:r>
        <w:tab/>
      </w:r>
      <w:r>
        <w:tab/>
        <w:t>If a dividend of $3 is offered in respect of a runner, then the odds at which the wager is offered are 2:1, the odds portion of the dividend is $2 and the remainder of the dividend is the return of the investor’s stake of $1.</w:t>
      </w:r>
    </w:p>
    <w:p>
      <w:pPr>
        <w:pStyle w:val="Footnotesection"/>
      </w:pPr>
      <w:r>
        <w:tab/>
        <w:t>[Rule 62A inserted: SL 2021/188 r. 11.]</w:t>
      </w:r>
    </w:p>
    <w:p>
      <w:pPr>
        <w:pStyle w:val="Heading5"/>
      </w:pPr>
      <w:bookmarkStart w:id="98" w:name="_Toc93499148"/>
      <w:r>
        <w:rPr>
          <w:rStyle w:val="CharSectno"/>
        </w:rPr>
        <w:t>62B</w:t>
      </w:r>
      <w:r>
        <w:t>.</w:t>
      </w:r>
      <w:r>
        <w:tab/>
        <w:t>Application of Part</w:t>
      </w:r>
      <w:bookmarkEnd w:id="98"/>
    </w:p>
    <w:p>
      <w:pPr>
        <w:pStyle w:val="Subsection"/>
      </w:pPr>
      <w:r>
        <w:tab/>
      </w:r>
      <w:r>
        <w:tab/>
        <w:t>This Part applies to the conduct by RWWA of wagering on races at fixed odds.</w:t>
      </w:r>
    </w:p>
    <w:p>
      <w:pPr>
        <w:pStyle w:val="Footnotesection"/>
      </w:pPr>
      <w:r>
        <w:tab/>
        <w:t>[Rule 62B inserted: SL 2021/188 r. 11.]</w:t>
      </w:r>
    </w:p>
    <w:p>
      <w:pPr>
        <w:pStyle w:val="Heading5"/>
      </w:pPr>
      <w:bookmarkStart w:id="99" w:name="_Toc93499149"/>
      <w:r>
        <w:rPr>
          <w:rStyle w:val="CharSectno"/>
        </w:rPr>
        <w:lastRenderedPageBreak/>
        <w:t>62C</w:t>
      </w:r>
      <w:r>
        <w:t>.</w:t>
      </w:r>
      <w:r>
        <w:tab/>
        <w:t>When runner achieves place</w:t>
      </w:r>
      <w:bookmarkEnd w:id="99"/>
    </w:p>
    <w:p>
      <w:pPr>
        <w:pStyle w:val="Subsection"/>
        <w:keepNext/>
      </w:pPr>
      <w:r>
        <w:tab/>
        <w:t>(1)</w:t>
      </w:r>
      <w:r>
        <w:tab/>
        <w:t xml:space="preserve">This rule applies to the following wagers — </w:t>
      </w:r>
    </w:p>
    <w:p>
      <w:pPr>
        <w:pStyle w:val="Indenta"/>
      </w:pPr>
      <w:r>
        <w:tab/>
        <w:t>(a)</w:t>
      </w:r>
      <w:r>
        <w:tab/>
        <w:t>place wagers;</w:t>
      </w:r>
    </w:p>
    <w:p>
      <w:pPr>
        <w:pStyle w:val="Indenta"/>
      </w:pPr>
      <w:r>
        <w:tab/>
        <w:t>(b)</w:t>
      </w:r>
      <w:r>
        <w:tab/>
        <w:t>place card wagers;</w:t>
      </w:r>
    </w:p>
    <w:p>
      <w:pPr>
        <w:pStyle w:val="Indenta"/>
      </w:pPr>
      <w:r>
        <w:tab/>
        <w:t>(c)</w:t>
      </w:r>
      <w:r>
        <w:tab/>
        <w:t>each way wagers;</w:t>
      </w:r>
    </w:p>
    <w:p>
      <w:pPr>
        <w:pStyle w:val="Indenta"/>
      </w:pPr>
      <w:r>
        <w:tab/>
        <w:t>(d)</w:t>
      </w:r>
      <w:r>
        <w:tab/>
        <w:t>insurance wagers (2 places);</w:t>
      </w:r>
    </w:p>
    <w:p>
      <w:pPr>
        <w:pStyle w:val="Indenta"/>
      </w:pPr>
      <w:r>
        <w:tab/>
        <w:t>(e)</w:t>
      </w:r>
      <w:r>
        <w:tab/>
        <w:t>insurance wagers (3 places).</w:t>
      </w:r>
    </w:p>
    <w:p>
      <w:pPr>
        <w:pStyle w:val="Subsection"/>
        <w:keepNext/>
      </w:pPr>
      <w:r>
        <w:tab/>
        <w:t>(2)</w:t>
      </w:r>
      <w:r>
        <w:tab/>
        <w:t xml:space="preserve">For the purposes of this Part, if, at the time a wager is made on a race, there are 8 or more runners listed to start in the race — </w:t>
      </w:r>
    </w:p>
    <w:p>
      <w:pPr>
        <w:pStyle w:val="Indenta"/>
      </w:pPr>
      <w:r>
        <w:tab/>
        <w:t>(a)</w:t>
      </w:r>
      <w:r>
        <w:tab/>
        <w:t>3 places are payable; and</w:t>
      </w:r>
    </w:p>
    <w:p>
      <w:pPr>
        <w:pStyle w:val="Indenta"/>
      </w:pPr>
      <w:r>
        <w:tab/>
        <w:t>(b)</w:t>
      </w:r>
      <w:r>
        <w:tab/>
        <w:t>a runner achieves a place if it finishes first, second or third.</w:t>
      </w:r>
    </w:p>
    <w:p>
      <w:pPr>
        <w:pStyle w:val="Subsection"/>
        <w:keepNext/>
      </w:pPr>
      <w:r>
        <w:tab/>
        <w:t>(3)</w:t>
      </w:r>
      <w:r>
        <w:tab/>
        <w:t>For the purposes of this Part, if, at the time a wager is made on a race, there are 5, 6 or 7 runners listed to start in the race —</w:t>
      </w:r>
    </w:p>
    <w:p>
      <w:pPr>
        <w:pStyle w:val="Indenta"/>
      </w:pPr>
      <w:r>
        <w:tab/>
        <w:t>(a)</w:t>
      </w:r>
      <w:r>
        <w:tab/>
        <w:t>2 places are payable; and</w:t>
      </w:r>
    </w:p>
    <w:p>
      <w:pPr>
        <w:pStyle w:val="Indenta"/>
        <w:keepNext/>
      </w:pPr>
      <w:r>
        <w:tab/>
        <w:t>(b)</w:t>
      </w:r>
      <w:r>
        <w:tab/>
        <w:t>a runner achieves a place if it finishes first or second.</w:t>
      </w:r>
    </w:p>
    <w:p>
      <w:pPr>
        <w:pStyle w:val="Footnotesection"/>
      </w:pPr>
      <w:r>
        <w:tab/>
        <w:t>[Rule 62C inserted: SL 2021/188 r. 11.]</w:t>
      </w:r>
    </w:p>
    <w:p>
      <w:pPr>
        <w:pStyle w:val="Heading5"/>
      </w:pPr>
      <w:bookmarkStart w:id="100" w:name="_Toc93499150"/>
      <w:r>
        <w:rPr>
          <w:rStyle w:val="CharSectno"/>
        </w:rPr>
        <w:t>62D</w:t>
      </w:r>
      <w:r>
        <w:t>.</w:t>
      </w:r>
      <w:r>
        <w:tab/>
        <w:t>Permitted wagers on races</w:t>
      </w:r>
      <w:bookmarkEnd w:id="100"/>
    </w:p>
    <w:p>
      <w:pPr>
        <w:pStyle w:val="Subsection"/>
        <w:keepNext/>
      </w:pPr>
      <w:r>
        <w:tab/>
        <w:t>(1)</w:t>
      </w:r>
      <w:r>
        <w:tab/>
        <w:t xml:space="preserve">RWWA may, in accordance with these rules, make and accept the following wagers on races — </w:t>
      </w:r>
    </w:p>
    <w:p>
      <w:pPr>
        <w:pStyle w:val="Indenta"/>
      </w:pPr>
      <w:r>
        <w:tab/>
        <w:t>(a)</w:t>
      </w:r>
      <w:r>
        <w:tab/>
        <w:t>win wagers;</w:t>
      </w:r>
    </w:p>
    <w:p>
      <w:pPr>
        <w:pStyle w:val="Indenta"/>
      </w:pPr>
      <w:r>
        <w:tab/>
        <w:t>(b)</w:t>
      </w:r>
      <w:r>
        <w:tab/>
        <w:t>place wagers;</w:t>
      </w:r>
    </w:p>
    <w:p>
      <w:pPr>
        <w:pStyle w:val="Indenta"/>
      </w:pPr>
      <w:r>
        <w:tab/>
        <w:t>(c)</w:t>
      </w:r>
      <w:r>
        <w:tab/>
        <w:t>each way wagers;</w:t>
      </w:r>
    </w:p>
    <w:p>
      <w:pPr>
        <w:pStyle w:val="Indenta"/>
      </w:pPr>
      <w:r>
        <w:tab/>
        <w:t>(d)</w:t>
      </w:r>
      <w:r>
        <w:tab/>
        <w:t>multi wagers;</w:t>
      </w:r>
    </w:p>
    <w:p>
      <w:pPr>
        <w:pStyle w:val="Indenta"/>
      </w:pPr>
      <w:r>
        <w:tab/>
        <w:t>(e)</w:t>
      </w:r>
      <w:r>
        <w:tab/>
        <w:t xml:space="preserve">starting price guarantee wagers; </w:t>
      </w:r>
    </w:p>
    <w:p>
      <w:pPr>
        <w:pStyle w:val="Indenta"/>
      </w:pPr>
      <w:r>
        <w:tab/>
        <w:t>(f)</w:t>
      </w:r>
      <w:r>
        <w:tab/>
        <w:t xml:space="preserve">top fluc wagers; </w:t>
      </w:r>
    </w:p>
    <w:p>
      <w:pPr>
        <w:pStyle w:val="Indenta"/>
      </w:pPr>
      <w:r>
        <w:tab/>
        <w:t>(g)</w:t>
      </w:r>
      <w:r>
        <w:tab/>
        <w:t>wagers of a kind specified in the 2</w:t>
      </w:r>
      <w:r>
        <w:rPr>
          <w:vertAlign w:val="superscript"/>
        </w:rPr>
        <w:t>nd</w:t>
      </w:r>
      <w:r>
        <w:t xml:space="preserve"> column of an item in the Table in Schedule 2.</w:t>
      </w:r>
    </w:p>
    <w:p>
      <w:pPr>
        <w:pStyle w:val="Subsection"/>
      </w:pPr>
      <w:r>
        <w:lastRenderedPageBreak/>
        <w:tab/>
        <w:t>(2)</w:t>
      </w:r>
      <w:r>
        <w:tab/>
        <w:t>For the purpose of this Part, a reference to a wager of a kind specified in the 2</w:t>
      </w:r>
      <w:r>
        <w:rPr>
          <w:vertAlign w:val="superscript"/>
        </w:rPr>
        <w:t>nd</w:t>
      </w:r>
      <w:r>
        <w:t> column of an item in the Table in Schedule 2 is a reference to a wager in which RWWA offers fixed odds on the basis set out in the 3</w:t>
      </w:r>
      <w:r>
        <w:rPr>
          <w:vertAlign w:val="superscript"/>
        </w:rPr>
        <w:t>rd</w:t>
      </w:r>
      <w:r>
        <w:t> column of that item.</w:t>
      </w:r>
    </w:p>
    <w:p>
      <w:pPr>
        <w:pStyle w:val="Subsection"/>
        <w:keepNext/>
      </w:pPr>
      <w:r>
        <w:tab/>
        <w:t>(3)</w:t>
      </w:r>
      <w:r>
        <w:tab/>
        <w:t>Place wagers, each way wagers, insurance wagers (2 places) and insurance wagers (3 places) are not permitted if 4 or less runners are listed to start a race at the time wagering is opened on that race.</w:t>
      </w:r>
    </w:p>
    <w:p>
      <w:pPr>
        <w:pStyle w:val="Footnotesection"/>
      </w:pPr>
      <w:r>
        <w:tab/>
        <w:t>[Rule 62D inserted: SL 2021/188 r. 11.]</w:t>
      </w:r>
    </w:p>
    <w:p>
      <w:pPr>
        <w:pStyle w:val="Heading5"/>
      </w:pPr>
      <w:bookmarkStart w:id="101" w:name="_Toc93499151"/>
      <w:r>
        <w:rPr>
          <w:rStyle w:val="CharSectno"/>
        </w:rPr>
        <w:t>62E</w:t>
      </w:r>
      <w:r>
        <w:t>.</w:t>
      </w:r>
      <w:r>
        <w:tab/>
        <w:t>All wagers to be at least 1 unit</w:t>
      </w:r>
      <w:bookmarkEnd w:id="101"/>
    </w:p>
    <w:p>
      <w:pPr>
        <w:pStyle w:val="Subsection"/>
      </w:pPr>
      <w:r>
        <w:tab/>
        <w:t>(1)</w:t>
      </w:r>
      <w:r>
        <w:tab/>
        <w:t>This rule applies to wagers made with RWWA under this Part.</w:t>
      </w:r>
    </w:p>
    <w:p>
      <w:pPr>
        <w:pStyle w:val="Subsection"/>
        <w:keepNext/>
      </w:pPr>
      <w:r>
        <w:tab/>
        <w:t>(2)</w:t>
      </w:r>
      <w:r>
        <w:tab/>
        <w:t>The minimum wager that may be made is 1 unit.</w:t>
      </w:r>
    </w:p>
    <w:p>
      <w:pPr>
        <w:pStyle w:val="Footnotesection"/>
      </w:pPr>
      <w:r>
        <w:tab/>
        <w:t>[Rule 62E inserted: SL 2021/188 r. 11.]</w:t>
      </w:r>
    </w:p>
    <w:p>
      <w:pPr>
        <w:pStyle w:val="Heading5"/>
      </w:pPr>
      <w:bookmarkStart w:id="102" w:name="_Toc93499152"/>
      <w:r>
        <w:rPr>
          <w:rStyle w:val="CharSectno"/>
        </w:rPr>
        <w:t>62F</w:t>
      </w:r>
      <w:r>
        <w:t>.</w:t>
      </w:r>
      <w:r>
        <w:tab/>
        <w:t>Default odds for starting price, starting price guarantee and top fluc wagers</w:t>
      </w:r>
      <w:bookmarkEnd w:id="102"/>
    </w:p>
    <w:p>
      <w:pPr>
        <w:pStyle w:val="Subsection"/>
        <w:keepNext/>
      </w:pPr>
      <w:r>
        <w:tab/>
        <w:t>(1)</w:t>
      </w:r>
      <w:r>
        <w:tab/>
        <w:t xml:space="preserve">Subrule (2) applies if — </w:t>
      </w:r>
    </w:p>
    <w:p>
      <w:pPr>
        <w:pStyle w:val="Indenta"/>
      </w:pPr>
      <w:r>
        <w:tab/>
        <w:t>(a)</w:t>
      </w:r>
      <w:r>
        <w:tab/>
        <w:t>RWWA accepts a starting price wager or a starting price guarantee wager on a runner; and</w:t>
      </w:r>
    </w:p>
    <w:p>
      <w:pPr>
        <w:pStyle w:val="Indenta"/>
      </w:pPr>
      <w:r>
        <w:tab/>
        <w:t>(b)</w:t>
      </w:r>
      <w:r>
        <w:tab/>
        <w:t>the pricing information body does not determine the pricing information for the runner immediately prior to the commencement of the race.</w:t>
      </w:r>
    </w:p>
    <w:p>
      <w:pPr>
        <w:pStyle w:val="Subsection"/>
      </w:pPr>
      <w:r>
        <w:tab/>
        <w:t>(2)</w:t>
      </w:r>
      <w:r>
        <w:tab/>
        <w:t>The odds for the runner are based on the closing fixed odds win price offered by RWWA for the runner.</w:t>
      </w:r>
    </w:p>
    <w:p>
      <w:pPr>
        <w:pStyle w:val="Subsection"/>
        <w:keepNext/>
      </w:pPr>
      <w:r>
        <w:tab/>
        <w:t>(3)</w:t>
      </w:r>
      <w:r>
        <w:tab/>
        <w:t xml:space="preserve">Subrule (4) applies if — </w:t>
      </w:r>
    </w:p>
    <w:p>
      <w:pPr>
        <w:pStyle w:val="Indenta"/>
      </w:pPr>
      <w:r>
        <w:tab/>
        <w:t>(a)</w:t>
      </w:r>
      <w:r>
        <w:tab/>
        <w:t>RWWA accepts a top fluc wager on a runner; and</w:t>
      </w:r>
    </w:p>
    <w:p>
      <w:pPr>
        <w:pStyle w:val="Indenta"/>
      </w:pPr>
      <w:r>
        <w:tab/>
        <w:t>(b)</w:t>
      </w:r>
      <w:r>
        <w:tab/>
        <w:t>the pricing information body does not determine the pricing information for the runner immediately prior to the commencement of the race.</w:t>
      </w:r>
    </w:p>
    <w:p>
      <w:pPr>
        <w:pStyle w:val="Subsection"/>
        <w:keepNext/>
      </w:pPr>
      <w:r>
        <w:lastRenderedPageBreak/>
        <w:tab/>
        <w:t>(4)</w:t>
      </w:r>
      <w:r>
        <w:tab/>
        <w:t>The odds for the runner are based on the highest fixed odds win price offered by RWWA for the runner in the 30 minutes immediately prior to the commencement of the race.</w:t>
      </w:r>
    </w:p>
    <w:p>
      <w:pPr>
        <w:pStyle w:val="Footnotesection"/>
      </w:pPr>
      <w:r>
        <w:tab/>
        <w:t>[Rule 62F inserted: SL 2021/188 r. 11.]</w:t>
      </w:r>
    </w:p>
    <w:p>
      <w:pPr>
        <w:pStyle w:val="Heading5"/>
      </w:pPr>
      <w:bookmarkStart w:id="103" w:name="_Toc93499153"/>
      <w:r>
        <w:rPr>
          <w:rStyle w:val="CharSectno"/>
        </w:rPr>
        <w:t>62G</w:t>
      </w:r>
      <w:r>
        <w:t>.</w:t>
      </w:r>
      <w:r>
        <w:tab/>
        <w:t>RWWA not to offer, make or accept certain wagers</w:t>
      </w:r>
      <w:bookmarkEnd w:id="103"/>
    </w:p>
    <w:p>
      <w:pPr>
        <w:pStyle w:val="Subsection"/>
        <w:keepNext/>
      </w:pPr>
      <w:r>
        <w:tab/>
      </w:r>
      <w:r>
        <w:tab/>
        <w:t xml:space="preserve">RWWA must not offer, make or accept the following wagers — </w:t>
      </w:r>
    </w:p>
    <w:p>
      <w:pPr>
        <w:pStyle w:val="Indenta"/>
      </w:pPr>
      <w:r>
        <w:tab/>
        <w:t>(a)</w:t>
      </w:r>
      <w:r>
        <w:tab/>
        <w:t>a wager requested by a person who is warned off under the RWWA Regulations regulation 72;</w:t>
      </w:r>
    </w:p>
    <w:p>
      <w:pPr>
        <w:pStyle w:val="Indenta"/>
      </w:pPr>
      <w:r>
        <w:tab/>
        <w:t>(b)</w:t>
      </w:r>
      <w:r>
        <w:tab/>
        <w:t>a wager requested by a person who is disqualified under or otherwise contravenes the rules of racing.</w:t>
      </w:r>
    </w:p>
    <w:p>
      <w:pPr>
        <w:pStyle w:val="Footnotesection"/>
      </w:pPr>
      <w:r>
        <w:tab/>
        <w:t>[Rule 62G inserted: SL 2021/188 r. 11.]</w:t>
      </w:r>
    </w:p>
    <w:p>
      <w:pPr>
        <w:pStyle w:val="Heading5"/>
      </w:pPr>
      <w:bookmarkStart w:id="104" w:name="_Toc93499154"/>
      <w:r>
        <w:rPr>
          <w:rStyle w:val="CharSectno"/>
        </w:rPr>
        <w:t>62H</w:t>
      </w:r>
      <w:r>
        <w:t>.</w:t>
      </w:r>
      <w:r>
        <w:tab/>
        <w:t>Provisions as to runners</w:t>
      </w:r>
      <w:bookmarkEnd w:id="104"/>
    </w:p>
    <w:p>
      <w:pPr>
        <w:pStyle w:val="Subsection"/>
        <w:keepNext/>
      </w:pPr>
      <w:r>
        <w:tab/>
        <w:t>(1)</w:t>
      </w:r>
      <w:r>
        <w:tab/>
        <w:t xml:space="preserve">For the purpose of this Part a runner is taken to run in a race if — </w:t>
      </w:r>
    </w:p>
    <w:p>
      <w:pPr>
        <w:pStyle w:val="Indenta"/>
      </w:pPr>
      <w:r>
        <w:tab/>
        <w:t>(a)</w:t>
      </w:r>
      <w:r>
        <w:tab/>
        <w:t>the runner is ordered by the starter to take its place at the barrier, starting gate or box (as applicable) or has been semaphored as a starter; and</w:t>
      </w:r>
    </w:p>
    <w:p>
      <w:pPr>
        <w:pStyle w:val="Indenta"/>
      </w:pPr>
      <w:r>
        <w:tab/>
        <w:t>(b)</w:t>
      </w:r>
      <w:r>
        <w:tab/>
        <w:t>the stewards have not declared the runner not to be a starter in the race.</w:t>
      </w:r>
    </w:p>
    <w:p>
      <w:pPr>
        <w:pStyle w:val="Subsection"/>
      </w:pPr>
      <w:r>
        <w:tab/>
        <w:t>(2)</w:t>
      </w:r>
      <w:r>
        <w:tab/>
        <w:t>Subrule (1) applies whether or not the runner actually takes part in the race.</w:t>
      </w:r>
    </w:p>
    <w:p>
      <w:pPr>
        <w:pStyle w:val="Subsection"/>
      </w:pPr>
      <w:r>
        <w:tab/>
        <w:t>(3)</w:t>
      </w:r>
      <w:r>
        <w:tab/>
        <w:t>If a runner is withdrawn from a greyhound race in the United Kingdom and replaced by a reserve runner, wagers made with RWWA on the withdrawn runner’s box (trap) number will stand and be transferred to the reserve runner.</w:t>
      </w:r>
    </w:p>
    <w:p>
      <w:pPr>
        <w:pStyle w:val="Subsection"/>
        <w:keepNext/>
      </w:pPr>
      <w:r>
        <w:tab/>
        <w:t>(4)</w:t>
      </w:r>
      <w:r>
        <w:tab/>
        <w:t xml:space="preserve">All wagers made with RWWA on a greyhound race in the United Kingdom — </w:t>
      </w:r>
    </w:p>
    <w:p>
      <w:pPr>
        <w:pStyle w:val="Indenta"/>
      </w:pPr>
      <w:r>
        <w:tab/>
        <w:t>(a)</w:t>
      </w:r>
      <w:r>
        <w:tab/>
        <w:t>must be settled on a box (trap) number; and</w:t>
      </w:r>
    </w:p>
    <w:p>
      <w:pPr>
        <w:pStyle w:val="Indenta"/>
        <w:keepNext/>
      </w:pPr>
      <w:r>
        <w:tab/>
        <w:t>(b)</w:t>
      </w:r>
      <w:r>
        <w:tab/>
        <w:t>must not be settled on a runner name.</w:t>
      </w:r>
    </w:p>
    <w:p>
      <w:pPr>
        <w:pStyle w:val="Footnotesection"/>
      </w:pPr>
      <w:r>
        <w:tab/>
        <w:t>[Rule 62H inserted: SL 2021/188 r. 11.]</w:t>
      </w:r>
    </w:p>
    <w:p>
      <w:pPr>
        <w:pStyle w:val="Heading5"/>
      </w:pPr>
      <w:bookmarkStart w:id="105" w:name="_Toc93499155"/>
      <w:r>
        <w:rPr>
          <w:rStyle w:val="CharSectno"/>
        </w:rPr>
        <w:lastRenderedPageBreak/>
        <w:t>62I</w:t>
      </w:r>
      <w:r>
        <w:t>.</w:t>
      </w:r>
      <w:r>
        <w:tab/>
        <w:t>Wagers void in certain circumstances</w:t>
      </w:r>
      <w:bookmarkEnd w:id="105"/>
    </w:p>
    <w:p>
      <w:pPr>
        <w:pStyle w:val="Subsection"/>
        <w:keepNext/>
      </w:pPr>
      <w:r>
        <w:tab/>
        <w:t>(1)</w:t>
      </w:r>
      <w:r>
        <w:tab/>
        <w:t xml:space="preserve">A wager is void if any of the following circumstances apply — </w:t>
      </w:r>
    </w:p>
    <w:p>
      <w:pPr>
        <w:pStyle w:val="Indenta"/>
      </w:pPr>
      <w:r>
        <w:tab/>
        <w:t>(a)</w:t>
      </w:r>
      <w:r>
        <w:tab/>
        <w:t>at the time the wager is made, it is impossible for the investor to win;</w:t>
      </w:r>
    </w:p>
    <w:p>
      <w:pPr>
        <w:pStyle w:val="Indenta"/>
      </w:pPr>
      <w:r>
        <w:tab/>
        <w:t>(b)</w:t>
      </w:r>
      <w:r>
        <w:tab/>
        <w:t>the wager is made on a runner more than 5 seconds after the commencement of the race to which the wager relates;</w:t>
      </w:r>
    </w:p>
    <w:p>
      <w:pPr>
        <w:pStyle w:val="Indenta"/>
      </w:pPr>
      <w:r>
        <w:tab/>
        <w:t>(c)</w:t>
      </w:r>
      <w:r>
        <w:tab/>
        <w:t>the wager is made after the determination of the race to which the wager relates;</w:t>
      </w:r>
    </w:p>
    <w:p>
      <w:pPr>
        <w:pStyle w:val="Indenta"/>
      </w:pPr>
      <w:r>
        <w:tab/>
        <w:t>(d)</w:t>
      </w:r>
      <w:r>
        <w:tab/>
        <w:t>the wager is declared void by the rules of racing or these rules;</w:t>
      </w:r>
    </w:p>
    <w:p>
      <w:pPr>
        <w:pStyle w:val="Indenta"/>
      </w:pPr>
      <w:r>
        <w:tab/>
        <w:t>(e)</w:t>
      </w:r>
      <w:r>
        <w:tab/>
        <w:t>the wager is declared void by the Commission under subrule (3)(b);</w:t>
      </w:r>
    </w:p>
    <w:p>
      <w:pPr>
        <w:pStyle w:val="Indenta"/>
      </w:pPr>
      <w:r>
        <w:tab/>
        <w:t>(f)</w:t>
      </w:r>
      <w:r>
        <w:tab/>
        <w:t>the wager is declared void by the stewards under another provision of these rules.</w:t>
      </w:r>
    </w:p>
    <w:p>
      <w:pPr>
        <w:pStyle w:val="Subsection"/>
      </w:pPr>
      <w:r>
        <w:tab/>
        <w:t>(2)</w:t>
      </w:r>
      <w:r>
        <w:tab/>
        <w:t>Subrule (1)(b) does not apply to an in the run wager.</w:t>
      </w:r>
    </w:p>
    <w:p>
      <w:pPr>
        <w:pStyle w:val="Subsection"/>
        <w:keepNext/>
      </w:pPr>
      <w:r>
        <w:tab/>
        <w:t>(3)</w:t>
      </w:r>
      <w:r>
        <w:tab/>
        <w:t xml:space="preserve">The Commission may — </w:t>
      </w:r>
    </w:p>
    <w:p>
      <w:pPr>
        <w:pStyle w:val="Indenta"/>
      </w:pPr>
      <w:r>
        <w:tab/>
        <w:t>(a)</w:t>
      </w:r>
      <w:r>
        <w:tab/>
        <w:t>investigate, in such a manner as it thinks fit, an allegation of fraud or corrupt practice in relation to a wager or a race to which a wager relates; and</w:t>
      </w:r>
    </w:p>
    <w:p>
      <w:pPr>
        <w:pStyle w:val="Indenta"/>
      </w:pPr>
      <w:r>
        <w:tab/>
        <w:t>(b)</w:t>
      </w:r>
      <w:r>
        <w:tab/>
        <w:t xml:space="preserve">declare to be void, as the case may be — </w:t>
      </w:r>
    </w:p>
    <w:p>
      <w:pPr>
        <w:pStyle w:val="Indenti"/>
      </w:pPr>
      <w:r>
        <w:tab/>
        <w:t>(i)</w:t>
      </w:r>
      <w:r>
        <w:tab/>
        <w:t>the wager the subject of the investigation; or</w:t>
      </w:r>
    </w:p>
    <w:p>
      <w:pPr>
        <w:pStyle w:val="Indenti"/>
        <w:keepNext/>
      </w:pPr>
      <w:r>
        <w:tab/>
        <w:t>(ii)</w:t>
      </w:r>
      <w:r>
        <w:tab/>
        <w:t>any or all wagers made in respect of the race the subject of the investigation.</w:t>
      </w:r>
    </w:p>
    <w:p>
      <w:pPr>
        <w:pStyle w:val="Footnotesection"/>
      </w:pPr>
      <w:r>
        <w:tab/>
        <w:t>[Rule 62I inserted: SL 2021/188 r. 11.]</w:t>
      </w:r>
    </w:p>
    <w:p>
      <w:pPr>
        <w:pStyle w:val="Heading5"/>
      </w:pPr>
      <w:bookmarkStart w:id="106" w:name="_Toc93499156"/>
      <w:r>
        <w:rPr>
          <w:rStyle w:val="CharSectno"/>
        </w:rPr>
        <w:t>62J</w:t>
      </w:r>
      <w:r>
        <w:t>.</w:t>
      </w:r>
      <w:r>
        <w:tab/>
        <w:t>When wagers are off</w:t>
      </w:r>
      <w:bookmarkEnd w:id="106"/>
    </w:p>
    <w:p>
      <w:pPr>
        <w:pStyle w:val="Subsection"/>
        <w:keepNext/>
      </w:pPr>
      <w:r>
        <w:tab/>
      </w:r>
      <w:r>
        <w:tab/>
        <w:t xml:space="preserve">A wager is off if any of the following circumstances apply — </w:t>
      </w:r>
    </w:p>
    <w:p>
      <w:pPr>
        <w:pStyle w:val="Indenta"/>
      </w:pPr>
      <w:r>
        <w:tab/>
        <w:t>(a)</w:t>
      </w:r>
      <w:r>
        <w:tab/>
        <w:t>the investor and RWWA mutually consent to the wager being off;</w:t>
      </w:r>
    </w:p>
    <w:p>
      <w:pPr>
        <w:pStyle w:val="Indenta"/>
      </w:pPr>
      <w:r>
        <w:lastRenderedPageBreak/>
        <w:tab/>
        <w:t>(b)</w:t>
      </w:r>
      <w:r>
        <w:tab/>
        <w:t xml:space="preserve">the ticket issued as a result of the wager being made is cancelled under the RWWA Regulations regulation 40(4a); </w:t>
      </w:r>
    </w:p>
    <w:p>
      <w:pPr>
        <w:pStyle w:val="Indenta"/>
        <w:keepNext/>
      </w:pPr>
      <w:r>
        <w:tab/>
        <w:t>(c)</w:t>
      </w:r>
      <w:r>
        <w:tab/>
        <w:t xml:space="preserve">the wager is placed on a race that is — </w:t>
      </w:r>
    </w:p>
    <w:p>
      <w:pPr>
        <w:pStyle w:val="Indenti"/>
      </w:pPr>
      <w:r>
        <w:tab/>
        <w:t>(i)</w:t>
      </w:r>
      <w:r>
        <w:tab/>
        <w:t>subsequently postponed from one day to another or transferred to another racecourse; or</w:t>
      </w:r>
    </w:p>
    <w:p>
      <w:pPr>
        <w:pStyle w:val="Indenti"/>
        <w:keepNext/>
      </w:pPr>
      <w:r>
        <w:tab/>
        <w:t>(ii)</w:t>
      </w:r>
      <w:r>
        <w:tab/>
        <w:t>at a race meeting that is subsequently postponed from one day to another or transferred to another racecourse.</w:t>
      </w:r>
    </w:p>
    <w:p>
      <w:pPr>
        <w:pStyle w:val="Footnotesection"/>
      </w:pPr>
      <w:r>
        <w:tab/>
        <w:t>[Rule 62J inserted: SL 2021/188 r. 11.]</w:t>
      </w:r>
    </w:p>
    <w:p>
      <w:pPr>
        <w:pStyle w:val="Heading5"/>
      </w:pPr>
      <w:bookmarkStart w:id="107" w:name="_Toc93499157"/>
      <w:r>
        <w:rPr>
          <w:rStyle w:val="CharSectno"/>
        </w:rPr>
        <w:t>62K</w:t>
      </w:r>
      <w:r>
        <w:t>.</w:t>
      </w:r>
      <w:r>
        <w:tab/>
        <w:t>Acceptance of tickets</w:t>
      </w:r>
      <w:bookmarkEnd w:id="107"/>
    </w:p>
    <w:p>
      <w:pPr>
        <w:pStyle w:val="Subsection"/>
        <w:keepNext/>
      </w:pPr>
      <w:r>
        <w:tab/>
        <w:t>(1)</w:t>
      </w:r>
      <w:r>
        <w:tab/>
        <w:t xml:space="preserve">Subject to subrule (2), a person to whom RWWA issues a ticket is taken to have — </w:t>
      </w:r>
    </w:p>
    <w:p>
      <w:pPr>
        <w:pStyle w:val="Indenta"/>
      </w:pPr>
      <w:r>
        <w:tab/>
        <w:t>(a)</w:t>
      </w:r>
      <w:r>
        <w:tab/>
        <w:t>accepted the ticket; and</w:t>
      </w:r>
    </w:p>
    <w:p>
      <w:pPr>
        <w:pStyle w:val="Indenta"/>
      </w:pPr>
      <w:r>
        <w:tab/>
        <w:t>(b)</w:t>
      </w:r>
      <w:r>
        <w:tab/>
        <w:t>agreed that the particulars of the wager shown on the ticket are correct.</w:t>
      </w:r>
    </w:p>
    <w:p>
      <w:pPr>
        <w:pStyle w:val="Subsection"/>
        <w:keepNext/>
      </w:pPr>
      <w:r>
        <w:tab/>
        <w:t>(2)</w:t>
      </w:r>
      <w:r>
        <w:tab/>
        <w:t>Subrule (1) does not apply if, immediately following the issue of the ticket, the person to whom it was issued appeals to the person who issued it to correct an error or omission.</w:t>
      </w:r>
    </w:p>
    <w:p>
      <w:pPr>
        <w:pStyle w:val="Footnotesection"/>
      </w:pPr>
      <w:r>
        <w:tab/>
        <w:t>[Rule 62K inserted: SL 2021/188 r. 11.]</w:t>
      </w:r>
    </w:p>
    <w:p>
      <w:pPr>
        <w:pStyle w:val="Heading5"/>
      </w:pPr>
      <w:bookmarkStart w:id="108" w:name="_Toc93499158"/>
      <w:r>
        <w:rPr>
          <w:rStyle w:val="CharSectno"/>
        </w:rPr>
        <w:t>62L</w:t>
      </w:r>
      <w:r>
        <w:t>.</w:t>
      </w:r>
      <w:r>
        <w:tab/>
        <w:t>Determination of wagers</w:t>
      </w:r>
      <w:bookmarkEnd w:id="108"/>
    </w:p>
    <w:p>
      <w:pPr>
        <w:pStyle w:val="Subsection"/>
        <w:keepNext/>
      </w:pPr>
      <w:r>
        <w:tab/>
        <w:t>(1)</w:t>
      </w:r>
      <w:r>
        <w:tab/>
        <w:t xml:space="preserve">Subject to subrules (2), (4) and (5) — </w:t>
      </w:r>
    </w:p>
    <w:p>
      <w:pPr>
        <w:pStyle w:val="Indenta"/>
      </w:pPr>
      <w:r>
        <w:tab/>
        <w:t>(a)</w:t>
      </w:r>
      <w:r>
        <w:tab/>
        <w:t>winning wagers are based on the placing of runners in a race as determined by the judge; and</w:t>
      </w:r>
    </w:p>
    <w:p>
      <w:pPr>
        <w:pStyle w:val="Indenta"/>
      </w:pPr>
      <w:r>
        <w:tab/>
        <w:t>(b)</w:t>
      </w:r>
      <w:r>
        <w:tab/>
        <w:t>dividends in respect of winning wagers are payable once the “Correct Weight” or “All Clear” signal has been given under the rules of racing.</w:t>
      </w:r>
    </w:p>
    <w:p>
      <w:pPr>
        <w:pStyle w:val="Subsection"/>
      </w:pPr>
      <w:r>
        <w:tab/>
        <w:t>(2)</w:t>
      </w:r>
      <w:r>
        <w:tab/>
        <w:t xml:space="preserve">If a protest or objection is entered in accordance with the rules of racing before the “Correct Weight” or “All Clear” signal has been given under the rules of racing then, subject to subrule (4), </w:t>
      </w:r>
      <w:r>
        <w:lastRenderedPageBreak/>
        <w:t>winning wagers are based on the placing of runners by the stewards determined in accordance with the result of the decision on the protest or objection.</w:t>
      </w:r>
    </w:p>
    <w:p>
      <w:pPr>
        <w:pStyle w:val="Subsection"/>
        <w:keepNext/>
      </w:pPr>
      <w:r>
        <w:tab/>
        <w:t>(3)</w:t>
      </w:r>
      <w:r>
        <w:tab/>
        <w:t>Subrule (4) applies if —</w:t>
      </w:r>
    </w:p>
    <w:p>
      <w:pPr>
        <w:pStyle w:val="Indenta"/>
      </w:pPr>
      <w:r>
        <w:tab/>
        <w:t>(a)</w:t>
      </w:r>
      <w:r>
        <w:tab/>
        <w:t>a runner or (in the case of a thoroughbred race or harness race) a rider or driver is disqualified; and</w:t>
      </w:r>
    </w:p>
    <w:p>
      <w:pPr>
        <w:pStyle w:val="Indenta"/>
      </w:pPr>
      <w:r>
        <w:tab/>
        <w:t>(b)</w:t>
      </w:r>
      <w:r>
        <w:tab/>
        <w:t>there are circumstances in connection with the disqualification which in the opinion of the stewards require further investigation.</w:t>
      </w:r>
    </w:p>
    <w:p>
      <w:pPr>
        <w:pStyle w:val="Subsection"/>
      </w:pPr>
      <w:r>
        <w:tab/>
        <w:t>(4)</w:t>
      </w:r>
      <w:r>
        <w:tab/>
        <w:t>A steward may order that the settlement of all wagers be postponed pending completion of the stewards’ enquiries.</w:t>
      </w:r>
    </w:p>
    <w:p>
      <w:pPr>
        <w:pStyle w:val="Subsection"/>
      </w:pPr>
      <w:r>
        <w:tab/>
        <w:t>(5)</w:t>
      </w:r>
      <w:r>
        <w:tab/>
        <w:t>Subject to rule 62P(1), if a steward orders a postponement of the settlement of wagers under subrule (4), winning wagers are determined in accordance with the decision of the stewards following their enquiries.</w:t>
      </w:r>
    </w:p>
    <w:p>
      <w:pPr>
        <w:pStyle w:val="Subsection"/>
        <w:keepNext/>
      </w:pPr>
      <w:r>
        <w:tab/>
        <w:t>(6)</w:t>
      </w:r>
      <w:r>
        <w:tab/>
        <w:t>This rule does not apply in respect of first past the post wagers.</w:t>
      </w:r>
    </w:p>
    <w:p>
      <w:pPr>
        <w:pStyle w:val="Footnotesection"/>
      </w:pPr>
      <w:r>
        <w:tab/>
        <w:t>[Rule 62L inserted: SL 2021/188 r. 11.]</w:t>
      </w:r>
    </w:p>
    <w:p>
      <w:pPr>
        <w:pStyle w:val="Heading5"/>
      </w:pPr>
      <w:bookmarkStart w:id="109" w:name="_Toc93499159"/>
      <w:r>
        <w:rPr>
          <w:rStyle w:val="CharSectno"/>
        </w:rPr>
        <w:t>62M</w:t>
      </w:r>
      <w:r>
        <w:t>.</w:t>
      </w:r>
      <w:r>
        <w:tab/>
        <w:t>Settlement of wagers</w:t>
      </w:r>
      <w:bookmarkEnd w:id="109"/>
    </w:p>
    <w:p>
      <w:pPr>
        <w:pStyle w:val="Subsection"/>
      </w:pPr>
      <w:r>
        <w:tab/>
        <w:t>(1)</w:t>
      </w:r>
      <w:r>
        <w:tab/>
        <w:t>Subject to these rules, a win wager in respect of a race or event is settled at the odds agreed at the time of the wager if the selected runner wins the race or the selected participant wins the event, as the case may be.</w:t>
      </w:r>
    </w:p>
    <w:p>
      <w:pPr>
        <w:pStyle w:val="Subsection"/>
      </w:pPr>
      <w:r>
        <w:tab/>
        <w:t>(2)</w:t>
      </w:r>
      <w:r>
        <w:tab/>
        <w:t>Subject to these rules, a place wager in respect of a race is settled at the odds agreed at the time of the wager if the selected runner achieves a place as described in rule 62C(2)(b) or 62C(3)(b).</w:t>
      </w:r>
    </w:p>
    <w:p>
      <w:pPr>
        <w:pStyle w:val="Subsection"/>
        <w:keepNext/>
      </w:pPr>
      <w:r>
        <w:tab/>
        <w:t>(3)</w:t>
      </w:r>
      <w:r>
        <w:tab/>
        <w:t xml:space="preserve">Subject to these rules, an each way wager is settled as follows — </w:t>
      </w:r>
    </w:p>
    <w:p>
      <w:pPr>
        <w:pStyle w:val="Indenta"/>
      </w:pPr>
      <w:r>
        <w:tab/>
        <w:t>(a)</w:t>
      </w:r>
      <w:r>
        <w:tab/>
        <w:t>the win component is settled at the odds agreed at the time of the wager in the same manner as a win wager under subrule (1);</w:t>
      </w:r>
    </w:p>
    <w:p>
      <w:pPr>
        <w:pStyle w:val="Indenta"/>
        <w:keepNext/>
      </w:pPr>
      <w:r>
        <w:lastRenderedPageBreak/>
        <w:tab/>
        <w:t>(b)</w:t>
      </w:r>
      <w:r>
        <w:tab/>
        <w:t xml:space="preserve">the place component is settled at the odds agreed at the time of the wager — </w:t>
      </w:r>
    </w:p>
    <w:p>
      <w:pPr>
        <w:pStyle w:val="Indenti"/>
      </w:pPr>
      <w:r>
        <w:tab/>
        <w:t>(i)</w:t>
      </w:r>
      <w:r>
        <w:tab/>
        <w:t>if there are 8 or more runners listed to start in the race and 3 places payable, at one</w:t>
      </w:r>
      <w:r>
        <w:noBreakHyphen/>
        <w:t>fourth of the odds agreed at the time of the wager; or</w:t>
      </w:r>
    </w:p>
    <w:p>
      <w:pPr>
        <w:pStyle w:val="Indenti"/>
      </w:pPr>
      <w:r>
        <w:tab/>
        <w:t>(ii)</w:t>
      </w:r>
      <w:r>
        <w:tab/>
        <w:t>if there are 5, 6 or 7 runners listed to start in the race and 2 places payable, at one</w:t>
      </w:r>
      <w:r>
        <w:noBreakHyphen/>
        <w:t>third of the odds agreed at the time of the wager.</w:t>
      </w:r>
    </w:p>
    <w:p>
      <w:pPr>
        <w:pStyle w:val="Subsection"/>
        <w:keepNext/>
      </w:pPr>
      <w:r>
        <w:tab/>
        <w:t>(4)</w:t>
      </w:r>
      <w:r>
        <w:tab/>
        <w:t xml:space="preserve">Subject to these rules, an insurance wager (2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pPr>
      <w:r>
        <w:tab/>
        <w:t>(b)</w:t>
      </w:r>
      <w:r>
        <w:tab/>
        <w:t>if there are 8 or more runners listed to start in the race and 3 places payable, or 5, 6 or 7 runners listed to start in the race and 2 places payable, and the selected runner achieves second place, the investor’s stake is returned.</w:t>
      </w:r>
    </w:p>
    <w:p>
      <w:pPr>
        <w:pStyle w:val="Subsection"/>
        <w:keepNext/>
      </w:pPr>
      <w:r>
        <w:tab/>
        <w:t>(5)</w:t>
      </w:r>
      <w:r>
        <w:tab/>
        <w:t xml:space="preserve">Subject to these rules, an insurance wager (3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keepNext/>
      </w:pPr>
      <w:r>
        <w:tab/>
        <w:t>(b)</w:t>
      </w:r>
      <w:r>
        <w:tab/>
        <w:t>if the selected runner achieves a place as described in rule 62C(2)(b) other than first place, the investor’s stake is returned.</w:t>
      </w:r>
    </w:p>
    <w:p>
      <w:pPr>
        <w:pStyle w:val="Footnotesection"/>
      </w:pPr>
      <w:r>
        <w:tab/>
        <w:t>[Rule 62M inserted: SL 2021/188 r. 11.]</w:t>
      </w:r>
    </w:p>
    <w:p>
      <w:pPr>
        <w:pStyle w:val="Heading5"/>
      </w:pPr>
      <w:bookmarkStart w:id="110" w:name="_Toc93499160"/>
      <w:r>
        <w:rPr>
          <w:rStyle w:val="CharSectno"/>
        </w:rPr>
        <w:t>62N</w:t>
      </w:r>
      <w:r>
        <w:t>.</w:t>
      </w:r>
      <w:r>
        <w:tab/>
        <w:t>Unlisted odds</w:t>
      </w:r>
      <w:bookmarkEnd w:id="110"/>
    </w:p>
    <w:p>
      <w:pPr>
        <w:pStyle w:val="Subsection"/>
      </w:pPr>
      <w:r>
        <w:tab/>
        <w:t>(1)</w:t>
      </w:r>
      <w:r>
        <w:tab/>
        <w:t>RWWA is not required to list or otherwise display all of the odds it offers.</w:t>
      </w:r>
    </w:p>
    <w:p>
      <w:pPr>
        <w:pStyle w:val="Subsection"/>
        <w:keepNext/>
      </w:pPr>
      <w:r>
        <w:lastRenderedPageBreak/>
        <w:tab/>
        <w:t>(2)</w:t>
      </w:r>
      <w:r>
        <w:tab/>
        <w:t>If RWWA does not list or otherwise display odds it offers, it may provide the odds upon request by an investor.</w:t>
      </w:r>
    </w:p>
    <w:p>
      <w:pPr>
        <w:pStyle w:val="Footnotesection"/>
      </w:pPr>
      <w:r>
        <w:tab/>
        <w:t>[Rule 62N inserted: SL 2021/188 r. 11.]</w:t>
      </w:r>
    </w:p>
    <w:p>
      <w:pPr>
        <w:pStyle w:val="Heading5"/>
      </w:pPr>
      <w:bookmarkStart w:id="111" w:name="_Toc93499161"/>
      <w:r>
        <w:rPr>
          <w:rStyle w:val="CharSectno"/>
        </w:rPr>
        <w:t>62O</w:t>
      </w:r>
      <w:r>
        <w:t>.</w:t>
      </w:r>
      <w:r>
        <w:tab/>
        <w:t>Scratching of legs for multi, same race multi, place card and same race combo wagers</w:t>
      </w:r>
      <w:bookmarkEnd w:id="111"/>
    </w:p>
    <w:p>
      <w:pPr>
        <w:pStyle w:val="Subsection"/>
      </w:pPr>
      <w:r>
        <w:tab/>
        <w:t>(1)</w:t>
      </w:r>
      <w:r>
        <w:tab/>
        <w:t>If a leg of a multi wager, same race multi wager or place card wager is scratched, the wager stands with the odds recalculated based on the odds of the remaining legs at the time the wager was placed.</w:t>
      </w:r>
    </w:p>
    <w:p>
      <w:pPr>
        <w:pStyle w:val="Subsection"/>
        <w:keepNext/>
      </w:pPr>
      <w:r>
        <w:tab/>
        <w:t>(2)</w:t>
      </w:r>
      <w:r>
        <w:tab/>
        <w:t>If a leg of a same race combo wager is scratched, the wager is refunded.</w:t>
      </w:r>
    </w:p>
    <w:p>
      <w:pPr>
        <w:pStyle w:val="Footnotesection"/>
      </w:pPr>
      <w:r>
        <w:tab/>
        <w:t>[Rule 62O inserted: SL 2021/188 r. 11.]</w:t>
      </w:r>
    </w:p>
    <w:p>
      <w:pPr>
        <w:pStyle w:val="Heading5"/>
      </w:pPr>
      <w:bookmarkStart w:id="112" w:name="_Toc93499162"/>
      <w:r>
        <w:rPr>
          <w:rStyle w:val="CharSectno"/>
        </w:rPr>
        <w:t>62P</w:t>
      </w:r>
      <w:r>
        <w:t>.</w:t>
      </w:r>
      <w:r>
        <w:tab/>
        <w:t>Determination of race results</w:t>
      </w:r>
      <w:bookmarkEnd w:id="112"/>
    </w:p>
    <w:p>
      <w:pPr>
        <w:pStyle w:val="Subsection"/>
      </w:pPr>
      <w:r>
        <w:tab/>
        <w:t>(1)</w:t>
      </w:r>
      <w:r>
        <w:tab/>
        <w:t>For the purpose of settlement of wagers, the result of a race or event will be determined on the day on which the race or event is concluded.</w:t>
      </w:r>
    </w:p>
    <w:p>
      <w:pPr>
        <w:pStyle w:val="Subsection"/>
        <w:keepNext/>
      </w:pPr>
      <w:r>
        <w:tab/>
        <w:t>(2)</w:t>
      </w:r>
      <w:r>
        <w:tab/>
        <w:t>The result of a race or event that is overturned after the day on which the race or event is concluded is not recognised by RWWA and the original settlement of wagers will stand.</w:t>
      </w:r>
    </w:p>
    <w:p>
      <w:pPr>
        <w:pStyle w:val="Footnotesection"/>
      </w:pPr>
      <w:r>
        <w:tab/>
        <w:t>[Rule 62P inserted: SL 2021/188 r. 11.]</w:t>
      </w:r>
    </w:p>
    <w:p>
      <w:pPr>
        <w:pStyle w:val="Heading5"/>
      </w:pPr>
      <w:bookmarkStart w:id="113" w:name="_Toc93499163"/>
      <w:r>
        <w:rPr>
          <w:rStyle w:val="CharSectno"/>
        </w:rPr>
        <w:t>62Q</w:t>
      </w:r>
      <w:r>
        <w:t>.</w:t>
      </w:r>
      <w:r>
        <w:tab/>
        <w:t>Determination of wagers if runner withdrawn</w:t>
      </w:r>
      <w:bookmarkEnd w:id="113"/>
    </w:p>
    <w:p>
      <w:pPr>
        <w:pStyle w:val="Subsection"/>
      </w:pPr>
      <w:r>
        <w:tab/>
        <w:t>(1)</w:t>
      </w:r>
      <w:r>
        <w:tab/>
        <w:t>Subrule (2) applies in relation to wagers placed after the declaration of the final field.</w:t>
      </w:r>
    </w:p>
    <w:p>
      <w:pPr>
        <w:pStyle w:val="Subsection"/>
        <w:keepNext/>
      </w:pPr>
      <w:r>
        <w:tab/>
        <w:t>(2)</w:t>
      </w:r>
      <w:r>
        <w:tab/>
        <w:t xml:space="preserve">If, in relation to a race, there is a late scratched runner — </w:t>
      </w:r>
    </w:p>
    <w:p>
      <w:pPr>
        <w:pStyle w:val="Indenta"/>
      </w:pPr>
      <w:r>
        <w:tab/>
        <w:t>(a)</w:t>
      </w:r>
      <w:r>
        <w:tab/>
        <w:t>RWWA must refund all wagers on the late scratched runner and those wagers are, by operation of this rule, declared off; and</w:t>
      </w:r>
    </w:p>
    <w:p>
      <w:pPr>
        <w:pStyle w:val="Indenta"/>
        <w:keepNext/>
      </w:pPr>
      <w:r>
        <w:lastRenderedPageBreak/>
        <w:tab/>
        <w:t>(b)</w:t>
      </w:r>
      <w:r>
        <w:tab/>
        <w:t xml:space="preserve">if the late scratched runner is part of a quinella wager — </w:t>
      </w:r>
    </w:p>
    <w:p>
      <w:pPr>
        <w:pStyle w:val="Indenti"/>
      </w:pPr>
      <w:r>
        <w:tab/>
        <w:t>(i)</w:t>
      </w:r>
      <w:r>
        <w:tab/>
        <w:t>if there are 2 runners selected — the whole of the wager must be refunded; and</w:t>
      </w:r>
    </w:p>
    <w:p>
      <w:pPr>
        <w:pStyle w:val="Indenti"/>
      </w:pPr>
      <w:r>
        <w:tab/>
        <w:t>(ii)</w:t>
      </w:r>
      <w:r>
        <w:tab/>
        <w:t>if there are more than 2 runners selected — the portion of the wager that relates to the late scratched runner must be refunded;</w:t>
      </w:r>
    </w:p>
    <w:p>
      <w:pPr>
        <w:pStyle w:val="Indenta"/>
      </w:pPr>
      <w:r>
        <w:tab/>
      </w:r>
      <w:r>
        <w:tab/>
        <w:t>and</w:t>
      </w:r>
    </w:p>
    <w:p>
      <w:pPr>
        <w:pStyle w:val="Indenta"/>
      </w:pPr>
      <w:r>
        <w:tab/>
        <w:t>(c)</w:t>
      </w:r>
      <w:r>
        <w:tab/>
        <w:t>wagers placed on runners other than the late scratched runner will be subject to any applicable deduction in accordance with Schedule 1.</w:t>
      </w:r>
    </w:p>
    <w:p>
      <w:pPr>
        <w:pStyle w:val="Subsection"/>
      </w:pPr>
      <w:r>
        <w:tab/>
        <w:t>(3)</w:t>
      </w:r>
      <w:r>
        <w:tab/>
        <w:t>Subrule (4) applies in relation to futures wagers.</w:t>
      </w:r>
    </w:p>
    <w:p>
      <w:pPr>
        <w:pStyle w:val="Subsection"/>
        <w:keepNext/>
      </w:pPr>
      <w:r>
        <w:tab/>
        <w:t>(4)</w:t>
      </w:r>
      <w:r>
        <w:tab/>
        <w:t xml:space="preserve">If, in relation to a race, there is a late scratched runner — </w:t>
      </w:r>
    </w:p>
    <w:p>
      <w:pPr>
        <w:pStyle w:val="Indenta"/>
      </w:pPr>
      <w:r>
        <w:tab/>
        <w:t>(a)</w:t>
      </w:r>
      <w:r>
        <w:tab/>
        <w:t>RWWA will not refund wagers on the late scratched runner; and</w:t>
      </w:r>
    </w:p>
    <w:p>
      <w:pPr>
        <w:pStyle w:val="Indenta"/>
        <w:keepNext/>
      </w:pPr>
      <w:r>
        <w:tab/>
        <w:t>(b)</w:t>
      </w:r>
      <w:r>
        <w:tab/>
        <w:t>no deduction applies.</w:t>
      </w:r>
    </w:p>
    <w:p>
      <w:pPr>
        <w:pStyle w:val="Footnotesection"/>
      </w:pPr>
      <w:r>
        <w:tab/>
        <w:t>[Rule 62Q inserted: SL 2021/188 r. 11.]</w:t>
      </w:r>
    </w:p>
    <w:p>
      <w:pPr>
        <w:pStyle w:val="Heading5"/>
      </w:pPr>
      <w:bookmarkStart w:id="114" w:name="_Toc93499164"/>
      <w:r>
        <w:rPr>
          <w:rStyle w:val="CharSectno"/>
        </w:rPr>
        <w:t>62R</w:t>
      </w:r>
      <w:r>
        <w:t>.</w:t>
      </w:r>
      <w:r>
        <w:tab/>
        <w:t>Wagers are play or pay except in certain circumstances</w:t>
      </w:r>
      <w:bookmarkEnd w:id="114"/>
    </w:p>
    <w:p>
      <w:pPr>
        <w:pStyle w:val="Subsection"/>
      </w:pPr>
      <w:r>
        <w:tab/>
        <w:t>(1)</w:t>
      </w:r>
      <w:r>
        <w:tab/>
        <w:t>Subject to this rule and unless the parties agree otherwise, wagers are play or pay.</w:t>
      </w:r>
    </w:p>
    <w:p>
      <w:pPr>
        <w:pStyle w:val="Subsection"/>
        <w:keepNext/>
      </w:pPr>
      <w:r>
        <w:tab/>
        <w:t>(2)</w:t>
      </w:r>
      <w:r>
        <w:tab/>
        <w:t xml:space="preserve">Subrule (1) does not apply to the following — </w:t>
      </w:r>
    </w:p>
    <w:p>
      <w:pPr>
        <w:pStyle w:val="Indenta"/>
      </w:pPr>
      <w:r>
        <w:tab/>
        <w:t>(a)</w:t>
      </w:r>
      <w:r>
        <w:tab/>
        <w:t xml:space="preserve">a wager made after the running numbers are officially placed on the semaphore, in relation to a runner that is not subsequently under the starter’s orders; </w:t>
      </w:r>
    </w:p>
    <w:p>
      <w:pPr>
        <w:pStyle w:val="Indenta"/>
      </w:pPr>
      <w:r>
        <w:tab/>
        <w:t>(b)</w:t>
      </w:r>
      <w:r>
        <w:tab/>
        <w:t xml:space="preserve">a wager that is declared off by the stewards; </w:t>
      </w:r>
    </w:p>
    <w:p>
      <w:pPr>
        <w:pStyle w:val="Indenta"/>
      </w:pPr>
      <w:r>
        <w:tab/>
        <w:t>(c)</w:t>
      </w:r>
      <w:r>
        <w:tab/>
        <w:t>a wager on a walk</w:t>
      </w:r>
      <w:r>
        <w:noBreakHyphen/>
        <w:t xml:space="preserve">over; </w:t>
      </w:r>
    </w:p>
    <w:p>
      <w:pPr>
        <w:pStyle w:val="Indenta"/>
      </w:pPr>
      <w:r>
        <w:tab/>
        <w:t>(d)</w:t>
      </w:r>
      <w:r>
        <w:tab/>
        <w:t xml:space="preserve">a wager made at starting price; </w:t>
      </w:r>
    </w:p>
    <w:p>
      <w:pPr>
        <w:pStyle w:val="Indenta"/>
      </w:pPr>
      <w:r>
        <w:tab/>
        <w:t>(e)</w:t>
      </w:r>
      <w:r>
        <w:tab/>
        <w:t xml:space="preserve">a futures wager if the runner does not officially nominate for the race or the participant does not officially nominate for the event; </w:t>
      </w:r>
    </w:p>
    <w:p>
      <w:pPr>
        <w:pStyle w:val="Indenta"/>
        <w:keepNext/>
      </w:pPr>
      <w:r>
        <w:lastRenderedPageBreak/>
        <w:tab/>
        <w:t>(f)</w:t>
      </w:r>
      <w:r>
        <w:tab/>
        <w:t xml:space="preserve">the following wagers placed after the final field is declared — </w:t>
      </w:r>
    </w:p>
    <w:p>
      <w:pPr>
        <w:pStyle w:val="Indenti"/>
      </w:pPr>
      <w:r>
        <w:tab/>
        <w:t>(i)</w:t>
      </w:r>
      <w:r>
        <w:tab/>
        <w:t>a win wager;</w:t>
      </w:r>
    </w:p>
    <w:p>
      <w:pPr>
        <w:pStyle w:val="Indenti"/>
      </w:pPr>
      <w:r>
        <w:tab/>
        <w:t>(ii)</w:t>
      </w:r>
      <w:r>
        <w:tab/>
        <w:t>a place wager;</w:t>
      </w:r>
    </w:p>
    <w:p>
      <w:pPr>
        <w:pStyle w:val="Indenti"/>
      </w:pPr>
      <w:r>
        <w:tab/>
        <w:t>(iii)</w:t>
      </w:r>
      <w:r>
        <w:tab/>
        <w:t>an each way wager;</w:t>
      </w:r>
    </w:p>
    <w:p>
      <w:pPr>
        <w:pStyle w:val="Indenti"/>
      </w:pPr>
      <w:r>
        <w:tab/>
        <w:t>(iv)</w:t>
      </w:r>
      <w:r>
        <w:tab/>
        <w:t>an insurance wager (2 places);</w:t>
      </w:r>
    </w:p>
    <w:p>
      <w:pPr>
        <w:pStyle w:val="Indenti"/>
      </w:pPr>
      <w:r>
        <w:tab/>
        <w:t>(v)</w:t>
      </w:r>
      <w:r>
        <w:tab/>
        <w:t>an insurance wager (3 places);</w:t>
      </w:r>
    </w:p>
    <w:p>
      <w:pPr>
        <w:pStyle w:val="Indenti"/>
      </w:pPr>
      <w:r>
        <w:tab/>
        <w:t>(vi)</w:t>
      </w:r>
      <w:r>
        <w:tab/>
        <w:t>a starting price guarantee wager;</w:t>
      </w:r>
    </w:p>
    <w:p>
      <w:pPr>
        <w:pStyle w:val="Indenti"/>
      </w:pPr>
      <w:r>
        <w:tab/>
        <w:t>(vii)</w:t>
      </w:r>
      <w:r>
        <w:tab/>
        <w:t>a top fluc wager;</w:t>
      </w:r>
    </w:p>
    <w:p>
      <w:pPr>
        <w:pStyle w:val="Indenti"/>
      </w:pPr>
      <w:r>
        <w:tab/>
        <w:t>(viii)</w:t>
      </w:r>
      <w:r>
        <w:tab/>
        <w:t>a quinella wager;</w:t>
      </w:r>
    </w:p>
    <w:p>
      <w:pPr>
        <w:pStyle w:val="Indenti"/>
      </w:pPr>
      <w:r>
        <w:tab/>
        <w:t>(ix)</w:t>
      </w:r>
      <w:r>
        <w:tab/>
        <w:t>a favout wager;</w:t>
      </w:r>
    </w:p>
    <w:p>
      <w:pPr>
        <w:pStyle w:val="Indenti"/>
      </w:pPr>
      <w:r>
        <w:tab/>
        <w:t>(x)</w:t>
      </w:r>
      <w:r>
        <w:tab/>
        <w:t>a same race combo wager;</w:t>
      </w:r>
    </w:p>
    <w:p>
      <w:pPr>
        <w:pStyle w:val="Indenti"/>
      </w:pPr>
      <w:r>
        <w:tab/>
        <w:t>(xi)</w:t>
      </w:r>
      <w:r>
        <w:tab/>
        <w:t>a same race multi wager;</w:t>
      </w:r>
    </w:p>
    <w:p>
      <w:pPr>
        <w:pStyle w:val="Indenti"/>
      </w:pPr>
      <w:r>
        <w:tab/>
        <w:t>(xii)</w:t>
      </w:r>
      <w:r>
        <w:tab/>
        <w:t>a top x wager;</w:t>
      </w:r>
    </w:p>
    <w:p>
      <w:pPr>
        <w:pStyle w:val="Indenta"/>
      </w:pPr>
      <w:r>
        <w:tab/>
        <w:t>(g)</w:t>
      </w:r>
      <w:r>
        <w:tab/>
        <w:t>a hot wings wager if the runner in box number 1 or 8 is scratched;</w:t>
      </w:r>
    </w:p>
    <w:p>
      <w:pPr>
        <w:pStyle w:val="Indenta"/>
      </w:pPr>
      <w:r>
        <w:tab/>
        <w:t>(h)</w:t>
      </w:r>
      <w:r>
        <w:tab/>
        <w:t>a tight squeeze wager if the runner in box number 4 or 5 is scratched;</w:t>
      </w:r>
    </w:p>
    <w:p>
      <w:pPr>
        <w:pStyle w:val="Indenta"/>
      </w:pPr>
      <w:r>
        <w:tab/>
        <w:t>(i)</w:t>
      </w:r>
      <w:r>
        <w:tab/>
        <w:t>a rags to riches wager if a runner that is not 1 of the 4 runners nominated by RWWA is scratched;</w:t>
      </w:r>
    </w:p>
    <w:p>
      <w:pPr>
        <w:pStyle w:val="Indenta"/>
        <w:keepNext/>
      </w:pPr>
      <w:r>
        <w:tab/>
        <w:t>(j)</w:t>
      </w:r>
      <w:r>
        <w:tab/>
        <w:t xml:space="preserve">a jockey challenge wager if — </w:t>
      </w:r>
    </w:p>
    <w:p>
      <w:pPr>
        <w:pStyle w:val="Indenti"/>
      </w:pPr>
      <w:r>
        <w:tab/>
        <w:t>(i)</w:t>
      </w:r>
      <w:r>
        <w:tab/>
        <w:t>the meeting is abandoned or postponed; and</w:t>
      </w:r>
    </w:p>
    <w:p>
      <w:pPr>
        <w:pStyle w:val="Indenti"/>
      </w:pPr>
      <w:r>
        <w:tab/>
        <w:t>(ii)</w:t>
      </w:r>
      <w:r>
        <w:tab/>
        <w:t>at the time the meeting is abandoned or postponed, no jockey holds an unassailable lead;</w:t>
      </w:r>
    </w:p>
    <w:p>
      <w:pPr>
        <w:pStyle w:val="Indenta"/>
        <w:keepNext/>
      </w:pPr>
      <w:r>
        <w:tab/>
        <w:t>(k)</w:t>
      </w:r>
      <w:r>
        <w:tab/>
        <w:t xml:space="preserve">a jockey challenge quinella wager if — </w:t>
      </w:r>
    </w:p>
    <w:p>
      <w:pPr>
        <w:pStyle w:val="Indenti"/>
      </w:pPr>
      <w:r>
        <w:tab/>
        <w:t>(i)</w:t>
      </w:r>
      <w:r>
        <w:tab/>
        <w:t>the meeting is abandoned or postponed; and</w:t>
      </w:r>
    </w:p>
    <w:p>
      <w:pPr>
        <w:pStyle w:val="Indenti"/>
      </w:pPr>
      <w:r>
        <w:tab/>
        <w:t>(ii)</w:t>
      </w:r>
      <w:r>
        <w:tab/>
        <w:t>at the time the meeting is abandoned or postponed, no combination of 2 jockeys holds an unassailable lead;</w:t>
      </w:r>
    </w:p>
    <w:p>
      <w:pPr>
        <w:pStyle w:val="Indenta"/>
        <w:keepNext/>
      </w:pPr>
      <w:r>
        <w:tab/>
        <w:t>(l)</w:t>
      </w:r>
      <w:r>
        <w:tab/>
        <w:t xml:space="preserve">a greyhound box challenge wager if — </w:t>
      </w:r>
    </w:p>
    <w:p>
      <w:pPr>
        <w:pStyle w:val="Indenti"/>
      </w:pPr>
      <w:r>
        <w:tab/>
        <w:t>(i)</w:t>
      </w:r>
      <w:r>
        <w:tab/>
        <w:t>the meeting is abandoned or postponed; and</w:t>
      </w:r>
    </w:p>
    <w:p>
      <w:pPr>
        <w:pStyle w:val="Indenti"/>
      </w:pPr>
      <w:r>
        <w:lastRenderedPageBreak/>
        <w:tab/>
        <w:t>(ii)</w:t>
      </w:r>
      <w:r>
        <w:tab/>
        <w:t>at the time the meeting is abandoned or postponed, no box number holds an unassailable lead;</w:t>
      </w:r>
    </w:p>
    <w:p>
      <w:pPr>
        <w:pStyle w:val="Indenta"/>
        <w:keepNext/>
      </w:pPr>
      <w:r>
        <w:tab/>
        <w:t>(m)</w:t>
      </w:r>
      <w:r>
        <w:tab/>
        <w:t xml:space="preserve">a greyhound box number challenge wager if — </w:t>
      </w:r>
    </w:p>
    <w:p>
      <w:pPr>
        <w:pStyle w:val="Indenti"/>
      </w:pPr>
      <w:r>
        <w:tab/>
        <w:t>(i)</w:t>
      </w:r>
      <w:r>
        <w:tab/>
        <w:t>the meeting is abandoned or postponed; and</w:t>
      </w:r>
    </w:p>
    <w:p>
      <w:pPr>
        <w:pStyle w:val="Indenti"/>
      </w:pPr>
      <w:r>
        <w:tab/>
        <w:t>(ii)</w:t>
      </w:r>
      <w:r>
        <w:tab/>
        <w:t>at the time the meeting is abandoned or postponed, no combination of 2 greyhound box numbers holds an unassailable lead;</w:t>
      </w:r>
    </w:p>
    <w:p>
      <w:pPr>
        <w:pStyle w:val="Indenta"/>
        <w:keepNext/>
      </w:pPr>
      <w:r>
        <w:tab/>
        <w:t>(n)</w:t>
      </w:r>
      <w:r>
        <w:tab/>
        <w:t xml:space="preserve">a driver challenge wager if — </w:t>
      </w:r>
    </w:p>
    <w:p>
      <w:pPr>
        <w:pStyle w:val="Indenti"/>
      </w:pPr>
      <w:r>
        <w:tab/>
        <w:t>(i)</w:t>
      </w:r>
      <w:r>
        <w:tab/>
        <w:t>the meeting is abandoned or postponed; and</w:t>
      </w:r>
    </w:p>
    <w:p>
      <w:pPr>
        <w:pStyle w:val="Indenti"/>
      </w:pPr>
      <w:r>
        <w:tab/>
        <w:t>(ii)</w:t>
      </w:r>
      <w:r>
        <w:tab/>
        <w:t>at the time the meeting is abandoned or postponed, no driver holds an unassailable lead;</w:t>
      </w:r>
    </w:p>
    <w:p>
      <w:pPr>
        <w:pStyle w:val="Indenta"/>
      </w:pPr>
      <w:r>
        <w:tab/>
        <w:t>(o)</w:t>
      </w:r>
      <w:r>
        <w:tab/>
        <w:t>a runner versus the field wager if the selected runner is scratched;</w:t>
      </w:r>
    </w:p>
    <w:p>
      <w:pPr>
        <w:pStyle w:val="Indenta"/>
      </w:pPr>
      <w:r>
        <w:tab/>
        <w:t>(p)</w:t>
      </w:r>
      <w:r>
        <w:tab/>
        <w:t>a head to head wager if 1 or both of the selected runners is scratched;</w:t>
      </w:r>
    </w:p>
    <w:p>
      <w:pPr>
        <w:pStyle w:val="Indenta"/>
      </w:pPr>
      <w:r>
        <w:tab/>
        <w:t>(q)</w:t>
      </w:r>
      <w:r>
        <w:tab/>
        <w:t>a head to head wager if at least 1 of the selected runners does not finish in the first 4 placings;</w:t>
      </w:r>
    </w:p>
    <w:p>
      <w:pPr>
        <w:pStyle w:val="Indenta"/>
      </w:pPr>
      <w:r>
        <w:tab/>
        <w:t>(r)</w:t>
      </w:r>
      <w:r>
        <w:tab/>
        <w:t>a favourites challenge wager if a race at the nominated race meeting or series of races is abandoned, postponed or declared a no race;</w:t>
      </w:r>
    </w:p>
    <w:p>
      <w:pPr>
        <w:pStyle w:val="Indenta"/>
      </w:pPr>
      <w:r>
        <w:tab/>
        <w:t>(s)</w:t>
      </w:r>
      <w:r>
        <w:tab/>
        <w:t>a place card wager if 2 or more of the investor’s selections are scratched;</w:t>
      </w:r>
    </w:p>
    <w:p>
      <w:pPr>
        <w:pStyle w:val="Indenta"/>
        <w:keepNext/>
      </w:pPr>
      <w:r>
        <w:tab/>
        <w:t>(t)</w:t>
      </w:r>
      <w:r>
        <w:tab/>
        <w:t>a total winning saddlecloth numbers wager if a race at the nominated race meeting or series of races is abandoned, postponed or declared a no race.</w:t>
      </w:r>
    </w:p>
    <w:p>
      <w:pPr>
        <w:pStyle w:val="Footnotesection"/>
      </w:pPr>
      <w:r>
        <w:tab/>
        <w:t>[Rule 62R inserted: SL 2021/188 r. 11.]</w:t>
      </w:r>
    </w:p>
    <w:p>
      <w:pPr>
        <w:pStyle w:val="Heading5"/>
      </w:pPr>
      <w:bookmarkStart w:id="115" w:name="_Toc93499165"/>
      <w:r>
        <w:rPr>
          <w:rStyle w:val="CharSectno"/>
        </w:rPr>
        <w:lastRenderedPageBreak/>
        <w:t>62S</w:t>
      </w:r>
      <w:r>
        <w:t>.</w:t>
      </w:r>
      <w:r>
        <w:tab/>
        <w:t>Settlement of wagers following dead heat</w:t>
      </w:r>
      <w:bookmarkEnd w:id="115"/>
    </w:p>
    <w:p>
      <w:pPr>
        <w:pStyle w:val="Subsection"/>
        <w:keepNext/>
      </w:pPr>
      <w:r>
        <w:tab/>
        <w:t>(1)</w:t>
      </w:r>
      <w:r>
        <w:tab/>
        <w:t xml:space="preserve">In this rule — </w:t>
      </w:r>
    </w:p>
    <w:p>
      <w:pPr>
        <w:pStyle w:val="Defstart"/>
        <w:keepNext/>
      </w:pPr>
      <w:r>
        <w:tab/>
      </w:r>
      <w:r>
        <w:rPr>
          <w:rStyle w:val="CharDefText"/>
        </w:rPr>
        <w:t>dead heat</w:t>
      </w:r>
      <w:r>
        <w:t xml:space="preserve">, in relation to a wager, means a result in which it is officially declared that — </w:t>
      </w:r>
    </w:p>
    <w:p>
      <w:pPr>
        <w:pStyle w:val="Defpara"/>
      </w:pPr>
      <w:r>
        <w:tab/>
        <w:t>(a)</w:t>
      </w:r>
      <w:r>
        <w:tab/>
        <w:t>for a wager on a runner in a race — the runner finished in equal place with 1 or more other runners; or</w:t>
      </w:r>
    </w:p>
    <w:p>
      <w:pPr>
        <w:pStyle w:val="Defpara"/>
        <w:keepNext/>
      </w:pPr>
      <w:r>
        <w:tab/>
        <w:t>(b)</w:t>
      </w:r>
      <w:r>
        <w:tab/>
        <w:t>for a wager on any other contingency referred to in Schedule 2 — there is an equal result between that contingency and 1 or more other contingencies.</w:t>
      </w:r>
    </w:p>
    <w:p>
      <w:pPr>
        <w:pStyle w:val="PermNoteHeading"/>
      </w:pPr>
      <w:r>
        <w:tab/>
        <w:t>Example for this definition:</w:t>
      </w:r>
    </w:p>
    <w:p>
      <w:pPr>
        <w:pStyle w:val="PermNoteText"/>
      </w:pPr>
      <w:r>
        <w:tab/>
      </w:r>
      <w:r>
        <w:tab/>
        <w:t>For a jockey challenge wager, a dead heat occurs if 2 or more jockeys accumulate the same number of points across an entire thoroughbred race meeting.</w:t>
      </w:r>
    </w:p>
    <w:p>
      <w:pPr>
        <w:pStyle w:val="Subsection"/>
        <w:keepNext/>
      </w:pPr>
      <w:r>
        <w:tab/>
        <w:t>(2)</w:t>
      </w:r>
      <w:r>
        <w:tab/>
        <w:t>If a dead heat occurs, the wager will be paid at the face value of the ticket divided by the number of runners or contingencies that are officially declared to have finished in equal place, or have an equal result, as the case may be.</w:t>
      </w:r>
    </w:p>
    <w:p>
      <w:pPr>
        <w:pStyle w:val="Footnotesection"/>
      </w:pPr>
      <w:r>
        <w:tab/>
        <w:t>[Rule 62S inserted: SL 2021/188 r. 11.]</w:t>
      </w:r>
    </w:p>
    <w:p>
      <w:pPr>
        <w:pStyle w:val="Heading5"/>
      </w:pPr>
      <w:bookmarkStart w:id="116" w:name="_Toc93499166"/>
      <w:r>
        <w:rPr>
          <w:rStyle w:val="CharSectno"/>
        </w:rPr>
        <w:t>62T</w:t>
      </w:r>
      <w:r>
        <w:t>.</w:t>
      </w:r>
      <w:r>
        <w:tab/>
        <w:t>Races that are re</w:t>
      </w:r>
      <w:r>
        <w:noBreakHyphen/>
        <w:t>run</w:t>
      </w:r>
      <w:bookmarkEnd w:id="116"/>
    </w:p>
    <w:p>
      <w:pPr>
        <w:pStyle w:val="Subsection"/>
        <w:keepNext/>
      </w:pPr>
      <w:r>
        <w:tab/>
        <w:t>(1)</w:t>
      </w:r>
      <w:r>
        <w:tab/>
        <w:t>If a race is ordered by the stewards to be re</w:t>
      </w:r>
      <w:r>
        <w:noBreakHyphen/>
        <w:t xml:space="preserve">run on the same day — </w:t>
      </w:r>
    </w:p>
    <w:p>
      <w:pPr>
        <w:pStyle w:val="Indenta"/>
      </w:pPr>
      <w:r>
        <w:tab/>
        <w:t>(a)</w:t>
      </w:r>
      <w:r>
        <w:tab/>
        <w:t>all wagers in favour of any runner that started on the first run stand; and</w:t>
      </w:r>
    </w:p>
    <w:p>
      <w:pPr>
        <w:pStyle w:val="Indenta"/>
      </w:pPr>
      <w:r>
        <w:tab/>
        <w:t>(b)</w:t>
      </w:r>
      <w:r>
        <w:tab/>
        <w:t xml:space="preserve">unless RWWA in its absolute discretion decides otherwise, the applicable deduction under the Scale of Deduction Table in Schedule 1 will apply in respect of any runner that is unable to start. </w:t>
      </w:r>
    </w:p>
    <w:p>
      <w:pPr>
        <w:pStyle w:val="Subsection"/>
        <w:keepNext/>
      </w:pPr>
      <w:r>
        <w:tab/>
        <w:t>(2)</w:t>
      </w:r>
      <w:r>
        <w:tab/>
        <w:t>If a race is postponed to another date or is abandoned, all wagers are off and all moneys must be refunded.</w:t>
      </w:r>
    </w:p>
    <w:p>
      <w:pPr>
        <w:pStyle w:val="Footnotesection"/>
      </w:pPr>
      <w:r>
        <w:tab/>
        <w:t>[Rule 62T inserted: SL 2021/188 r. 11.]</w:t>
      </w:r>
    </w:p>
    <w:p>
      <w:pPr>
        <w:pStyle w:val="Heading5"/>
      </w:pPr>
      <w:bookmarkStart w:id="117" w:name="_Toc93499167"/>
      <w:r>
        <w:rPr>
          <w:rStyle w:val="CharSectno"/>
        </w:rPr>
        <w:lastRenderedPageBreak/>
        <w:t>62U</w:t>
      </w:r>
      <w:r>
        <w:t>.</w:t>
      </w:r>
      <w:r>
        <w:tab/>
        <w:t>Treatment of errors</w:t>
      </w:r>
      <w:bookmarkEnd w:id="117"/>
    </w:p>
    <w:p>
      <w:pPr>
        <w:pStyle w:val="Subsection"/>
        <w:keepNext/>
      </w:pPr>
      <w:r>
        <w:tab/>
        <w:t>(1)</w:t>
      </w:r>
      <w:r>
        <w:tab/>
        <w:t xml:space="preserve">In this rule — </w:t>
      </w:r>
    </w:p>
    <w:p>
      <w:pPr>
        <w:pStyle w:val="Defstart"/>
        <w:keepNext/>
      </w:pPr>
      <w:r>
        <w:tab/>
      </w:r>
      <w:r>
        <w:rPr>
          <w:rStyle w:val="CharDefText"/>
        </w:rPr>
        <w:t>error</w:t>
      </w:r>
      <w:r>
        <w:t xml:space="preserve"> — </w:t>
      </w:r>
    </w:p>
    <w:p>
      <w:pPr>
        <w:pStyle w:val="Defpara"/>
      </w:pPr>
      <w:r>
        <w:tab/>
        <w:t>(a)</w:t>
      </w:r>
      <w:r>
        <w:tab/>
        <w:t>means an inadvertent mistake or inaccuracy; and</w:t>
      </w:r>
    </w:p>
    <w:p>
      <w:pPr>
        <w:pStyle w:val="Defpara"/>
        <w:keepNext/>
      </w:pPr>
      <w:r>
        <w:tab/>
        <w:t>(b)</w:t>
      </w:r>
      <w:r>
        <w:tab/>
        <w:t xml:space="preserve">includes any of the following, whether caused by human error, computer malfunction or any other reason — </w:t>
      </w:r>
    </w:p>
    <w:p>
      <w:pPr>
        <w:pStyle w:val="Defsubpara"/>
      </w:pPr>
      <w:r>
        <w:tab/>
        <w:t>(i)</w:t>
      </w:r>
      <w:r>
        <w:tab/>
        <w:t>a mistaken acceptance;</w:t>
      </w:r>
    </w:p>
    <w:p>
      <w:pPr>
        <w:pStyle w:val="Defsubpara"/>
      </w:pPr>
      <w:r>
        <w:tab/>
        <w:t>(ii)</w:t>
      </w:r>
      <w:r>
        <w:tab/>
        <w:t>a misstatement by RWWA to an investor of the odds or terms of a wager;</w:t>
      </w:r>
    </w:p>
    <w:p>
      <w:pPr>
        <w:pStyle w:val="Defsubpara"/>
      </w:pPr>
      <w:r>
        <w:tab/>
        <w:t>(iii)</w:t>
      </w:r>
      <w:r>
        <w:tab/>
        <w:t>an error by RWWA as to the amount of winnings to be paid to an investor;</w:t>
      </w:r>
    </w:p>
    <w:p>
      <w:pPr>
        <w:pStyle w:val="Defstart"/>
        <w:keepNext/>
      </w:pPr>
      <w:r>
        <w:tab/>
      </w:r>
      <w:r>
        <w:rPr>
          <w:rStyle w:val="CharDefText"/>
        </w:rPr>
        <w:t>mistaken acceptance</w:t>
      </w:r>
      <w:r>
        <w:t xml:space="preserve"> means the continued acceptance of wagers by RWWA on a race on which wagering should have been closed because — </w:t>
      </w:r>
    </w:p>
    <w:p>
      <w:pPr>
        <w:pStyle w:val="Defpara"/>
      </w:pPr>
      <w:r>
        <w:tab/>
        <w:t>(a)</w:t>
      </w:r>
      <w:r>
        <w:tab/>
        <w:t>more than 5 seconds had elapsed since the commencement of the race; and</w:t>
      </w:r>
    </w:p>
    <w:p>
      <w:pPr>
        <w:pStyle w:val="Defpara"/>
      </w:pPr>
      <w:r>
        <w:tab/>
        <w:t>(b)</w:t>
      </w:r>
      <w:r>
        <w:tab/>
        <w:t>the race was not open to an in the run wager.</w:t>
      </w:r>
    </w:p>
    <w:p>
      <w:pPr>
        <w:pStyle w:val="Subsection"/>
        <w:keepNext/>
      </w:pPr>
      <w:r>
        <w:tab/>
        <w:t>(2)</w:t>
      </w:r>
      <w:r>
        <w:tab/>
        <w:t xml:space="preserve">If an error in relation to a wager occurs, RWWA may do any of the following — </w:t>
      </w:r>
    </w:p>
    <w:p>
      <w:pPr>
        <w:pStyle w:val="Indenta"/>
      </w:pPr>
      <w:r>
        <w:tab/>
        <w:t>(a)</w:t>
      </w:r>
      <w:r>
        <w:tab/>
        <w:t>declare the wager to be void and refund the amount wagered;</w:t>
      </w:r>
    </w:p>
    <w:p>
      <w:pPr>
        <w:pStyle w:val="Indenta"/>
        <w:keepNext/>
      </w:pPr>
      <w:r>
        <w:tab/>
        <w:t>(b)</w:t>
      </w:r>
      <w:r>
        <w:tab/>
        <w:t>if the wager is part of a multi wager — recalculate the multi wager having excluded the runner or contingency in respect of which the error occurred.</w:t>
      </w:r>
    </w:p>
    <w:p>
      <w:pPr>
        <w:pStyle w:val="Footnotesection"/>
      </w:pPr>
      <w:r>
        <w:tab/>
        <w:t>[Rule 62U inserted: SL 2021/188 r. 11.]</w:t>
      </w:r>
    </w:p>
    <w:p>
      <w:pPr>
        <w:pStyle w:val="Heading5"/>
      </w:pPr>
      <w:bookmarkStart w:id="118" w:name="_Toc93499168"/>
      <w:r>
        <w:rPr>
          <w:rStyle w:val="CharSectno"/>
        </w:rPr>
        <w:t>62V</w:t>
      </w:r>
      <w:r>
        <w:t>.</w:t>
      </w:r>
      <w:r>
        <w:tab/>
        <w:t>Maximum payout if irregularity suspected</w:t>
      </w:r>
      <w:bookmarkEnd w:id="118"/>
    </w:p>
    <w:p>
      <w:pPr>
        <w:pStyle w:val="Subsection"/>
        <w:keepNext/>
      </w:pPr>
      <w:r>
        <w:tab/>
        <w:t>(1)</w:t>
      </w:r>
      <w:r>
        <w:tab/>
        <w:t xml:space="preserve">This rule applies if RWWA reasonably suspects that an investor placed a wager or series of wagers in an attempt to — </w:t>
      </w:r>
    </w:p>
    <w:p>
      <w:pPr>
        <w:pStyle w:val="Indenta"/>
      </w:pPr>
      <w:r>
        <w:tab/>
        <w:t>(a)</w:t>
      </w:r>
      <w:r>
        <w:tab/>
        <w:t>gain a financial benefit through the manipulation of official starting prices; or</w:t>
      </w:r>
    </w:p>
    <w:p>
      <w:pPr>
        <w:pStyle w:val="Indenta"/>
      </w:pPr>
      <w:r>
        <w:lastRenderedPageBreak/>
        <w:tab/>
        <w:t>(b)</w:t>
      </w:r>
      <w:r>
        <w:tab/>
        <w:t>circumvent RWWA’s risk management parameters by adopting abnormal wagering patterns, behaviours or strategies.</w:t>
      </w:r>
    </w:p>
    <w:p>
      <w:pPr>
        <w:pStyle w:val="Subsection"/>
      </w:pPr>
      <w:r>
        <w:tab/>
        <w:t>(2)</w:t>
      </w:r>
      <w:r>
        <w:tab/>
        <w:t>Subject to subrule (3), the maximum amount that will be paid out on a single wager placed by the investor is $50 000.</w:t>
      </w:r>
    </w:p>
    <w:p>
      <w:pPr>
        <w:pStyle w:val="Subsection"/>
        <w:keepNext/>
      </w:pPr>
      <w:r>
        <w:tab/>
        <w:t>(3)</w:t>
      </w:r>
      <w:r>
        <w:tab/>
        <w:t>If the same wager is placed more than once by the investor, the maximum total amount that will be paid on all of those wagers together is $50 000.</w:t>
      </w:r>
    </w:p>
    <w:p>
      <w:pPr>
        <w:pStyle w:val="Footnotesection"/>
      </w:pPr>
      <w:r>
        <w:tab/>
        <w:t>[Rule 62V inserted: SL 2021/188 r. 11.]</w:t>
      </w:r>
    </w:p>
    <w:p>
      <w:pPr>
        <w:pStyle w:val="Heading5"/>
      </w:pPr>
      <w:bookmarkStart w:id="119" w:name="_Toc93499169"/>
      <w:r>
        <w:rPr>
          <w:rStyle w:val="CharSectno"/>
        </w:rPr>
        <w:t>62W</w:t>
      </w:r>
      <w:r>
        <w:t>.</w:t>
      </w:r>
      <w:r>
        <w:tab/>
        <w:t>Refusal of wagers</w:t>
      </w:r>
      <w:bookmarkEnd w:id="119"/>
    </w:p>
    <w:p>
      <w:pPr>
        <w:pStyle w:val="Subsection"/>
        <w:keepNext/>
      </w:pPr>
      <w:r>
        <w:tab/>
      </w:r>
      <w:r>
        <w:tab/>
        <w:t>RWWA may refuse to accept a wager in its absolute discretion.</w:t>
      </w:r>
    </w:p>
    <w:p>
      <w:pPr>
        <w:pStyle w:val="Footnotesection"/>
      </w:pPr>
      <w:r>
        <w:tab/>
        <w:t>[Rule 62W inserted: SL 2021/188 r. 11.]</w:t>
      </w:r>
    </w:p>
    <w:p>
      <w:pPr>
        <w:pStyle w:val="Heading5"/>
      </w:pPr>
      <w:bookmarkStart w:id="120" w:name="_Toc93499170"/>
      <w:r>
        <w:rPr>
          <w:rStyle w:val="CharSectno"/>
        </w:rPr>
        <w:t>62X</w:t>
      </w:r>
      <w:r>
        <w:t>.</w:t>
      </w:r>
      <w:r>
        <w:tab/>
        <w:t>Restrictions on wagering accounts</w:t>
      </w:r>
      <w:bookmarkEnd w:id="120"/>
    </w:p>
    <w:p>
      <w:pPr>
        <w:pStyle w:val="Subsection"/>
        <w:keepNext/>
      </w:pPr>
      <w:r>
        <w:tab/>
        <w:t>(1)</w:t>
      </w:r>
      <w:r>
        <w:tab/>
        <w:t xml:space="preserve">RWWA may — </w:t>
      </w:r>
    </w:p>
    <w:p>
      <w:pPr>
        <w:pStyle w:val="Indenta"/>
      </w:pPr>
      <w:r>
        <w:tab/>
        <w:t>(a)</w:t>
      </w:r>
      <w:r>
        <w:tab/>
        <w:t>place restrictions on an investor’s wagering account without notification; or</w:t>
      </w:r>
    </w:p>
    <w:p>
      <w:pPr>
        <w:pStyle w:val="Indenta"/>
      </w:pPr>
      <w:r>
        <w:tab/>
        <w:t>(b)</w:t>
      </w:r>
      <w:r>
        <w:tab/>
        <w:t>close an investor’s wagering account without explanation and refund the balance of the account.</w:t>
      </w:r>
    </w:p>
    <w:p>
      <w:pPr>
        <w:pStyle w:val="Subsection"/>
      </w:pPr>
      <w:r>
        <w:tab/>
        <w:t>(2)</w:t>
      </w:r>
      <w:r>
        <w:tab/>
        <w:t>If RWWA closes an investor’s wagering account under subrule (1)(b), it must honour outstanding wagers made through the account unless subrule (3) applies.</w:t>
      </w:r>
    </w:p>
    <w:p>
      <w:pPr>
        <w:pStyle w:val="Subsection"/>
      </w:pPr>
      <w:r>
        <w:tab/>
        <w:t>(3)</w:t>
      </w:r>
      <w:r>
        <w:tab/>
        <w:t>If RWWA reasonably suspects the account closed under subrule (1)(b) has been used for a fraudulent transaction or purpose, outstanding wagers made through the account are void.</w:t>
      </w:r>
    </w:p>
    <w:p>
      <w:pPr>
        <w:pStyle w:val="Footnotesection"/>
      </w:pPr>
      <w:r>
        <w:tab/>
        <w:t>[Rule 62X inserted: SL 2021/188 r. 11.]</w:t>
      </w:r>
    </w:p>
    <w:p>
      <w:pPr>
        <w:pStyle w:val="Heading2"/>
      </w:pPr>
      <w:bookmarkStart w:id="121" w:name="_Toc88127265"/>
      <w:bookmarkStart w:id="122" w:name="_Toc88127636"/>
      <w:bookmarkStart w:id="123" w:name="_Toc88128003"/>
      <w:bookmarkStart w:id="124" w:name="_Toc93498841"/>
      <w:bookmarkStart w:id="125" w:name="_Toc93499171"/>
      <w:r>
        <w:rPr>
          <w:rStyle w:val="CharPartNo"/>
        </w:rPr>
        <w:lastRenderedPageBreak/>
        <w:t>Part 6</w:t>
      </w:r>
      <w:r>
        <w:rPr>
          <w:rStyle w:val="CharDivNo"/>
        </w:rPr>
        <w:t> </w:t>
      </w:r>
      <w:r>
        <w:t>—</w:t>
      </w:r>
      <w:r>
        <w:rPr>
          <w:rStyle w:val="CharDivText"/>
        </w:rPr>
        <w:t> </w:t>
      </w:r>
      <w:r>
        <w:rPr>
          <w:rStyle w:val="CharPartText"/>
        </w:rPr>
        <w:t>Rules as to the operation of totalisator agencies</w:t>
      </w:r>
      <w:bookmarkEnd w:id="121"/>
      <w:bookmarkEnd w:id="122"/>
      <w:bookmarkEnd w:id="123"/>
      <w:bookmarkEnd w:id="124"/>
      <w:bookmarkEnd w:id="125"/>
    </w:p>
    <w:p>
      <w:pPr>
        <w:pStyle w:val="Heading5"/>
      </w:pPr>
      <w:bookmarkStart w:id="126" w:name="_Toc93499172"/>
      <w:r>
        <w:rPr>
          <w:rStyle w:val="CharSectno"/>
        </w:rPr>
        <w:t>63</w:t>
      </w:r>
      <w:r>
        <w:t>.</w:t>
      </w:r>
      <w:r>
        <w:tab/>
        <w:t>Terms used</w:t>
      </w:r>
      <w:bookmarkEnd w:id="126"/>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127" w:name="_Toc93499173"/>
      <w:r>
        <w:rPr>
          <w:rStyle w:val="CharSectno"/>
        </w:rPr>
        <w:t>64</w:t>
      </w:r>
      <w:r>
        <w:t>.</w:t>
      </w:r>
      <w:r>
        <w:tab/>
        <w:t>Obligations of agents and employees while on duty</w:t>
      </w:r>
      <w:bookmarkEnd w:id="127"/>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128" w:name="_Toc93499174"/>
      <w:r>
        <w:rPr>
          <w:rStyle w:val="CharSectno"/>
        </w:rPr>
        <w:t>65</w:t>
      </w:r>
      <w:r>
        <w:t>.</w:t>
      </w:r>
      <w:r>
        <w:tab/>
        <w:t>Use of video surveillance</w:t>
      </w:r>
      <w:bookmarkEnd w:id="128"/>
    </w:p>
    <w:p>
      <w:pPr>
        <w:pStyle w:val="Subsection"/>
      </w:pPr>
      <w:r>
        <w:tab/>
      </w:r>
      <w:r>
        <w:tab/>
        <w:t xml:space="preserve">Where video surveillance equipment is installed in a totalisator agency, it is the duty of the agency operator to ensure that the </w:t>
      </w:r>
      <w:r>
        <w:lastRenderedPageBreak/>
        <w:t>equipment is functioning at all times while the agency is open for business.</w:t>
      </w:r>
    </w:p>
    <w:p>
      <w:pPr>
        <w:pStyle w:val="Heading5"/>
      </w:pPr>
      <w:bookmarkStart w:id="129" w:name="_Toc93499175"/>
      <w:r>
        <w:rPr>
          <w:rStyle w:val="CharSectno"/>
        </w:rPr>
        <w:t>66</w:t>
      </w:r>
      <w:r>
        <w:t>.</w:t>
      </w:r>
      <w:r>
        <w:tab/>
        <w:t>Agency bonds</w:t>
      </w:r>
      <w:bookmarkEnd w:id="129"/>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130" w:name="_Toc93499176"/>
      <w:r>
        <w:rPr>
          <w:rStyle w:val="CharSectno"/>
        </w:rPr>
        <w:t>67</w:t>
      </w:r>
      <w:r>
        <w:t>.</w:t>
      </w:r>
      <w:r>
        <w:tab/>
        <w:t>Acceptance of cheques</w:t>
      </w:r>
      <w:bookmarkEnd w:id="130"/>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lastRenderedPageBreak/>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1" w:name="_Toc88127271"/>
      <w:bookmarkStart w:id="132" w:name="_Toc88127642"/>
      <w:bookmarkStart w:id="133" w:name="_Toc88128009"/>
      <w:bookmarkStart w:id="134" w:name="_Toc93498847"/>
      <w:bookmarkStart w:id="135" w:name="_Toc93499177"/>
      <w:r>
        <w:rPr>
          <w:rStyle w:val="CharSchNo"/>
        </w:rPr>
        <w:lastRenderedPageBreak/>
        <w:t>Schedule 1</w:t>
      </w:r>
      <w:r>
        <w:t xml:space="preserve"> — </w:t>
      </w:r>
      <w:r>
        <w:rPr>
          <w:rStyle w:val="CharSchText"/>
        </w:rPr>
        <w:t>Scale of Deduction Table</w:t>
      </w:r>
      <w:bookmarkEnd w:id="131"/>
      <w:bookmarkEnd w:id="132"/>
      <w:bookmarkEnd w:id="133"/>
      <w:bookmarkEnd w:id="134"/>
      <w:bookmarkEnd w:id="135"/>
    </w:p>
    <w:p>
      <w:pPr>
        <w:pStyle w:val="yShoulderClause"/>
      </w:pPr>
      <w:r>
        <w:rPr>
          <w:szCs w:val="22"/>
        </w:rPr>
        <w:t>[r. 56, 62Q, 62T]</w:t>
      </w:r>
    </w:p>
    <w:p>
      <w:pPr>
        <w:pStyle w:val="yNumberedItem"/>
        <w:tabs>
          <w:tab w:val="left" w:pos="560"/>
        </w:tabs>
        <w:ind w:left="574" w:hanging="574"/>
      </w:pPr>
      <w:r>
        <w:t>1.</w:t>
      </w:r>
      <w:r>
        <w:tab/>
      </w:r>
      <w:r>
        <w:rPr>
          <w:szCs w:val="22"/>
        </w:rPr>
        <w:t xml:space="preserve">For the purposes of rule 56(4), the stewards may declare a deduction in accordance with this Scale of Deduction Table. For the purposes of rules 62Q(2) and 62T(1)(b), RWWA will apply a deduction in accordance with this Scale of Deduction Table. Calculations will be made in respect of win, place, each way, concession, doubles, multiple doubles, insurance (2 places), insurance (3 places), quinella and </w:t>
      </w:r>
      <w:r>
        <w:t>favout</w:t>
      </w:r>
      <w:r>
        <w:rPr>
          <w:szCs w:val="22"/>
        </w:rPr>
        <w:t xml:space="preserve"> wagers. </w:t>
      </w:r>
      <w:r>
        <w:t>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ind w:left="567" w:hanging="567"/>
      </w:pPr>
      <w:r>
        <w:t>3.</w:t>
      </w:r>
      <w:r>
        <w:tab/>
        <w:t>In relation to concession, doubles, insurance (2 places) and insurance (3 places) wagers, the deduction is applied only in respect of a runner that finishes first. </w:t>
      </w:r>
    </w:p>
    <w:p>
      <w:pPr>
        <w:pStyle w:val="yNumberedItem"/>
        <w:ind w:left="567" w:hanging="567"/>
      </w:pPr>
      <w:r>
        <w:t>3A.</w:t>
      </w:r>
      <w:r>
        <w:tab/>
        <w:t xml:space="preserve">In relation to multi wagers — </w:t>
      </w:r>
    </w:p>
    <w:p>
      <w:pPr>
        <w:pStyle w:val="yNumberedItemPara"/>
        <w:tabs>
          <w:tab w:val="clear" w:pos="1332"/>
        </w:tabs>
        <w:ind w:left="1134" w:hanging="567"/>
      </w:pPr>
      <w:r>
        <w:t>(a)</w:t>
      </w:r>
      <w:r>
        <w:tab/>
        <w:t>the deduction is applied to the relevant leg with the multi price to be recalculated based upon the revised leg price; and</w:t>
      </w:r>
    </w:p>
    <w:p>
      <w:pPr>
        <w:pStyle w:val="yNumberedItemPara"/>
        <w:tabs>
          <w:tab w:val="clear" w:pos="1332"/>
        </w:tabs>
        <w:ind w:left="1134" w:hanging="567"/>
      </w:pPr>
      <w:r>
        <w:t>(b)</w:t>
      </w:r>
      <w:r>
        <w:tab/>
        <w:t>deductions may apply to more than one leg.</w:t>
      </w:r>
    </w:p>
    <w:p>
      <w:pPr>
        <w:pStyle w:val="yNumberedItem"/>
        <w:ind w:left="567" w:hanging="567"/>
      </w:pPr>
      <w:r>
        <w:t>3B.</w:t>
      </w:r>
      <w:r>
        <w:tab/>
        <w:t>In relation to quinella wagers, the deduction is applied in respect of the successful combination.</w:t>
      </w:r>
    </w:p>
    <w:p>
      <w:pPr>
        <w:pStyle w:val="yNumberedItem"/>
        <w:ind w:left="567" w:hanging="567"/>
      </w:pPr>
      <w:r>
        <w:t>3C.</w:t>
      </w:r>
      <w:r>
        <w:tab/>
        <w:t>In relation to favout wagers, the deduction is applied in respect of the successful wager.</w:t>
      </w:r>
    </w:p>
    <w:p>
      <w:pPr>
        <w:pStyle w:val="yNumberedItem"/>
        <w:keepNext/>
        <w:ind w:left="567" w:hanging="567"/>
        <w:rPr>
          <w:szCs w:val="22"/>
        </w:rPr>
      </w:pPr>
      <w:r>
        <w:rPr>
          <w:szCs w:val="22"/>
        </w:rPr>
        <w:t>4.</w:t>
      </w:r>
      <w:r>
        <w:rPr>
          <w:szCs w:val="22"/>
        </w:rPr>
        <w:tab/>
        <w:t xml:space="preserve">In </w:t>
      </w:r>
      <w:r>
        <w:t>relation</w:t>
      </w:r>
      <w:r>
        <w:rPr>
          <w:szCs w:val="22"/>
        </w:rPr>
        <w:t xml:space="preserve"> to all successful win, place, each way, concession, insurance (2 places), insurance (3 places), quinella, favout and multiple doubles wagers, investors must be paid </w:t>
      </w:r>
      <w:r>
        <w:t>the dividend payable in respect of the wager, less</w:t>
      </w:r>
      <w:r>
        <w:rPr>
          <w:szCs w:val="22"/>
        </w:rPr>
        <w:t xml:space="preserve"> — </w:t>
      </w:r>
    </w:p>
    <w:p>
      <w:pPr>
        <w:pStyle w:val="yNumberedItemPara"/>
        <w:tabs>
          <w:tab w:val="clear" w:pos="1332"/>
        </w:tabs>
        <w:ind w:left="1134" w:hanging="567"/>
      </w:pPr>
      <w:r>
        <w:t>(a)</w:t>
      </w:r>
      <w:r>
        <w:tab/>
        <w:t xml:space="preserve">the number of cents in the dollar deduction applicable on the scale of deductions in the Scale of Deduction Table for the dividends of the runner at the time of its withdrawal; or </w:t>
      </w:r>
    </w:p>
    <w:p>
      <w:pPr>
        <w:pStyle w:val="yNumberedItemPara"/>
        <w:keepNext/>
        <w:tabs>
          <w:tab w:val="clear" w:pos="1332"/>
        </w:tabs>
        <w:ind w:left="1134" w:hanging="567"/>
      </w:pPr>
      <w:r>
        <w:t>(b)</w:t>
      </w:r>
      <w:r>
        <w:tab/>
        <w:t xml:space="preserve">a deduction of any lesser amount as determined by — </w:t>
      </w:r>
    </w:p>
    <w:p>
      <w:pPr>
        <w:pStyle w:val="yNumberedItemSubPara"/>
        <w:tabs>
          <w:tab w:val="clear" w:pos="2041"/>
        </w:tabs>
        <w:ind w:left="1701" w:hanging="567"/>
      </w:pPr>
      <w:r>
        <w:t>(i)</w:t>
      </w:r>
      <w:r>
        <w:tab/>
        <w:t>in relation to the conduct of wagering by RWWA — RWWA; or</w:t>
      </w:r>
    </w:p>
    <w:p>
      <w:pPr>
        <w:pStyle w:val="yNumberedItemSubPara"/>
        <w:tabs>
          <w:tab w:val="clear" w:pos="2041"/>
        </w:tabs>
        <w:ind w:left="1701" w:hanging="567"/>
      </w:pPr>
      <w:r>
        <w:lastRenderedPageBreak/>
        <w:t>(ii)</w:t>
      </w:r>
      <w:r>
        <w:tab/>
        <w:t>in relation to the conduct of wagering by bookmakers — the stewards.</w:t>
      </w:r>
    </w:p>
    <w:p>
      <w:pPr>
        <w:pStyle w:val="yNumberedItem"/>
        <w:tabs>
          <w:tab w:val="left" w:pos="560"/>
        </w:tabs>
        <w:ind w:left="574" w:hanging="574"/>
      </w:pPr>
      <w:r>
        <w:t>5.</w:t>
      </w:r>
      <w:r>
        <w:tab/>
      </w:r>
      <w:r>
        <w:rPr>
          <w:szCs w:val="22"/>
        </w:rPr>
        <w:t>If</w:t>
      </w:r>
      <w:r>
        <w:t xml:space="preserve"> 2 or more withdrawals occur simultaneously during wagering, successful wagers made prior to the time of withdrawal </w:t>
      </w:r>
      <w:r>
        <w:rPr>
          <w:szCs w:val="22"/>
        </w:rPr>
        <w:t>must</w:t>
      </w:r>
      <w:r>
        <w:t xml:space="preserve">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r>
      <w:r>
        <w:rPr>
          <w:szCs w:val="22"/>
        </w:rPr>
        <w:t>If</w:t>
      </w:r>
      <w:r>
        <w:t xml:space="preserve"> withdrawals occur at different times during wagering on a race, successful wagers placed prior to the last withdrawal </w:t>
      </w:r>
      <w:r>
        <w:rPr>
          <w:szCs w:val="22"/>
        </w:rPr>
        <w:t>must</w:t>
      </w:r>
      <w:r>
        <w:t xml:space="preserve">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determined by the deduction applicable on the scale of deductions in the Scale of Deduction Table to the dividends of the second withdrawal.</w:t>
      </w:r>
    </w:p>
    <w:p>
      <w:pPr>
        <w:pStyle w:val="yNumberedItem"/>
        <w:keepNext/>
        <w:tabs>
          <w:tab w:val="left" w:pos="560"/>
        </w:tabs>
        <w:ind w:left="574" w:hanging="574"/>
      </w:pPr>
      <w:r>
        <w:t>7.</w:t>
      </w:r>
      <w:r>
        <w:tab/>
        <w:t>In relation to the conduct of wagering by bookmakers, if the dividend in relation to a runner ordered or permitted to be withdrawn, or declared a non</w:t>
      </w:r>
      <w:r>
        <w:noBreakHyphen/>
        <w:t xml:space="preserve">starter, is lower than $1.05, the stewards must — </w:t>
      </w:r>
    </w:p>
    <w:p>
      <w:pPr>
        <w:pStyle w:val="yNumberedItemPara"/>
        <w:tabs>
          <w:tab w:val="clear" w:pos="1332"/>
        </w:tabs>
        <w:ind w:left="1134" w:hanging="567"/>
      </w:pPr>
      <w:r>
        <w:t>(a)</w:t>
      </w:r>
      <w:r>
        <w:tab/>
        <w:t>if, in the opinion of the stewards, there is sufficient time to reopen wagering — declare all wagers made on the remaining runners to be void and order that wagering on the race be reopened; or</w:t>
      </w:r>
    </w:p>
    <w:p>
      <w:pPr>
        <w:pStyle w:val="yNumberedItemPara"/>
        <w:tabs>
          <w:tab w:val="clear" w:pos="1332"/>
        </w:tabs>
        <w:ind w:left="1134" w:hanging="567"/>
      </w:pPr>
      <w:r>
        <w:t>(b)</w:t>
      </w:r>
      <w:r>
        <w:tab/>
        <w:t>otherwise — apply a deduction in accordance with item 4.</w:t>
      </w:r>
    </w:p>
    <w:p>
      <w:pPr>
        <w:pStyle w:val="yTHeadingNAm"/>
        <w:rPr>
          <w:sz w:val="20"/>
        </w:rPr>
      </w:pPr>
      <w:r>
        <w:lastRenderedPageBreak/>
        <w:t>Table</w:t>
      </w:r>
    </w:p>
    <w:tbl>
      <w:tblPr>
        <w:tblW w:w="7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80"/>
        <w:gridCol w:w="1180"/>
        <w:gridCol w:w="1180"/>
        <w:gridCol w:w="1180"/>
        <w:gridCol w:w="1180"/>
        <w:gridCol w:w="1180"/>
      </w:tblGrid>
      <w:tr>
        <w:trPr>
          <w:tblHeader/>
        </w:trPr>
        <w:tc>
          <w:tcPr>
            <w:tcW w:w="1180" w:type="dxa"/>
          </w:tcPr>
          <w:p>
            <w:pPr>
              <w:pStyle w:val="yTableNAm"/>
              <w:keepNext/>
              <w:tabs>
                <w:tab w:val="clear" w:pos="567"/>
              </w:tabs>
              <w:ind w:right="-54"/>
              <w:rPr>
                <w:b/>
              </w:rPr>
            </w:pPr>
            <w:r>
              <w:rPr>
                <w:b/>
              </w:rPr>
              <w:t xml:space="preserve">Dividend of </w:t>
            </w:r>
            <w:r>
              <w:rPr>
                <w:rFonts w:ascii="Times New Roman Bold" w:hAnsi="Times New Roman Bold"/>
                <w:b/>
                <w:spacing w:val="-10"/>
              </w:rPr>
              <w:t>withdrawn</w:t>
            </w:r>
            <w:r>
              <w:rPr>
                <w:b/>
              </w:rPr>
              <w:t xml:space="preserve"> runner (for wager of $1)</w:t>
            </w:r>
          </w:p>
          <w:p>
            <w:pPr>
              <w:pStyle w:val="yTableNAm"/>
              <w:keepNext/>
              <w:jc w:val="center"/>
              <w:rPr>
                <w:b/>
              </w:rPr>
            </w:pPr>
            <w:r>
              <w:rPr>
                <w:b/>
              </w:rPr>
              <w:t>$</w:t>
            </w:r>
          </w:p>
        </w:tc>
        <w:tc>
          <w:tcPr>
            <w:tcW w:w="1180" w:type="dxa"/>
          </w:tcPr>
          <w:p>
            <w:pPr>
              <w:pStyle w:val="yTableNAm"/>
              <w:keepNext/>
              <w:rPr>
                <w:b/>
              </w:rPr>
            </w:pPr>
            <w:r>
              <w:rPr>
                <w:b/>
              </w:rPr>
              <w:t>Win, doubles, multiple doubles, favout deduction</w:t>
            </w:r>
          </w:p>
          <w:p>
            <w:pPr>
              <w:pStyle w:val="yTableNAm"/>
              <w:keepNext/>
              <w:jc w:val="center"/>
              <w:rPr>
                <w:b/>
              </w:rPr>
            </w:pPr>
            <w:r>
              <w:rPr>
                <w:b/>
              </w:rPr>
              <w:t>$</w:t>
            </w:r>
          </w:p>
        </w:tc>
        <w:tc>
          <w:tcPr>
            <w:tcW w:w="1180" w:type="dxa"/>
          </w:tcPr>
          <w:p>
            <w:pPr>
              <w:pStyle w:val="yTableNAm"/>
              <w:keepNext/>
              <w:rPr>
                <w:b/>
              </w:rPr>
            </w:pPr>
            <w:r>
              <w:rPr>
                <w:b/>
              </w:rPr>
              <w:t>Place deduction if 8 or more runners</w:t>
            </w:r>
          </w:p>
          <w:p>
            <w:pPr>
              <w:pStyle w:val="yTableNAm"/>
              <w:keepNext/>
              <w:jc w:val="center"/>
              <w:rPr>
                <w:b/>
              </w:rPr>
            </w:pPr>
            <w:r>
              <w:rPr>
                <w:b/>
              </w:rPr>
              <w:br/>
              <w:t>$</w:t>
            </w:r>
          </w:p>
        </w:tc>
        <w:tc>
          <w:tcPr>
            <w:tcW w:w="1180" w:type="dxa"/>
          </w:tcPr>
          <w:p>
            <w:pPr>
              <w:pStyle w:val="yTableNAm"/>
              <w:keepNext/>
              <w:rPr>
                <w:b/>
              </w:rPr>
            </w:pPr>
            <w:r>
              <w:rPr>
                <w:b/>
              </w:rPr>
              <w:t>Place deduction if less than 8 runners</w:t>
            </w:r>
          </w:p>
          <w:p>
            <w:pPr>
              <w:pStyle w:val="yTableNAm"/>
              <w:keepNext/>
              <w:jc w:val="center"/>
              <w:rPr>
                <w:b/>
              </w:rPr>
            </w:pPr>
            <w:r>
              <w:rPr>
                <w:b/>
              </w:rPr>
              <w:br/>
              <w:t>$</w:t>
            </w:r>
          </w:p>
        </w:tc>
        <w:tc>
          <w:tcPr>
            <w:tcW w:w="1180" w:type="dxa"/>
          </w:tcPr>
          <w:p>
            <w:pPr>
              <w:pStyle w:val="yTableNAm"/>
              <w:keepNext/>
              <w:tabs>
                <w:tab w:val="clear" w:pos="567"/>
              </w:tabs>
              <w:ind w:left="-20" w:right="-154"/>
              <w:rPr>
                <w:b/>
              </w:rPr>
            </w:pPr>
            <w:r>
              <w:rPr>
                <w:rFonts w:ascii="Times New Roman Bold" w:hAnsi="Times New Roman Bold"/>
                <w:b/>
                <w:spacing w:val="-6"/>
              </w:rPr>
              <w:t>Concession</w:t>
            </w:r>
            <w:r>
              <w:rPr>
                <w:b/>
              </w:rPr>
              <w:t>, insurance (2 places), insurance (3 places) deduction</w:t>
            </w:r>
          </w:p>
          <w:p>
            <w:pPr>
              <w:pStyle w:val="yTableNAm"/>
              <w:keepNext/>
              <w:tabs>
                <w:tab w:val="clear" w:pos="567"/>
              </w:tabs>
              <w:ind w:right="-154"/>
              <w:jc w:val="center"/>
              <w:rPr>
                <w:b/>
              </w:rPr>
            </w:pPr>
            <w:r>
              <w:rPr>
                <w:b/>
              </w:rPr>
              <w:t>$</w:t>
            </w:r>
          </w:p>
        </w:tc>
        <w:tc>
          <w:tcPr>
            <w:tcW w:w="1180" w:type="dxa"/>
          </w:tcPr>
          <w:p>
            <w:pPr>
              <w:pStyle w:val="yTableNAm"/>
              <w:keepNext/>
              <w:rPr>
                <w:b/>
              </w:rPr>
            </w:pPr>
            <w:r>
              <w:rPr>
                <w:b/>
              </w:rPr>
              <w:t>Quinella deduction</w:t>
            </w:r>
          </w:p>
          <w:p>
            <w:pPr>
              <w:pStyle w:val="yTableNAm"/>
              <w:keepNext/>
              <w:jc w:val="center"/>
              <w:rPr>
                <w:b/>
              </w:rPr>
            </w:pPr>
            <w:r>
              <w:rPr>
                <w:b/>
              </w:rPr>
              <w:br/>
            </w:r>
            <w:r>
              <w:rPr>
                <w:b/>
              </w:rPr>
              <w:br/>
            </w:r>
            <w:r>
              <w:rPr>
                <w:b/>
              </w:rPr>
              <w:br/>
            </w:r>
            <w:r>
              <w:rPr>
                <w:b/>
              </w:rPr>
              <w:br/>
              <w:t>$</w:t>
            </w:r>
          </w:p>
        </w:tc>
      </w:tr>
      <w:tr>
        <w:tc>
          <w:tcPr>
            <w:tcW w:w="1180" w:type="dxa"/>
          </w:tcPr>
          <w:p>
            <w:pPr>
              <w:pStyle w:val="yTableNAm"/>
              <w:keepNext/>
            </w:pPr>
            <w:r>
              <w:t>1.01</w:t>
            </w:r>
          </w:p>
        </w:tc>
        <w:tc>
          <w:tcPr>
            <w:tcW w:w="1180" w:type="dxa"/>
          </w:tcPr>
          <w:p>
            <w:pPr>
              <w:pStyle w:val="yTableNAm"/>
              <w:keepNext/>
            </w:pPr>
            <w:r>
              <w:t>0.80</w:t>
            </w:r>
          </w:p>
        </w:tc>
        <w:tc>
          <w:tcPr>
            <w:tcW w:w="1180" w:type="dxa"/>
          </w:tcPr>
          <w:p>
            <w:pPr>
              <w:pStyle w:val="yTableNAm"/>
              <w:keepNext/>
            </w:pPr>
            <w:r>
              <w:t>0.30</w:t>
            </w:r>
          </w:p>
        </w:tc>
        <w:tc>
          <w:tcPr>
            <w:tcW w:w="1180" w:type="dxa"/>
          </w:tcPr>
          <w:p>
            <w:pPr>
              <w:pStyle w:val="yTableNAm"/>
              <w:keepNext/>
            </w:pPr>
            <w:r>
              <w:t>0.44</w:t>
            </w:r>
          </w:p>
        </w:tc>
        <w:tc>
          <w:tcPr>
            <w:tcW w:w="1180" w:type="dxa"/>
          </w:tcPr>
          <w:p>
            <w:pPr>
              <w:pStyle w:val="yTableNAm"/>
              <w:keepNext/>
            </w:pPr>
            <w:r>
              <w:t>0.70</w:t>
            </w:r>
          </w:p>
        </w:tc>
        <w:tc>
          <w:tcPr>
            <w:tcW w:w="1180" w:type="dxa"/>
            <w:vMerge w:val="restart"/>
          </w:tcPr>
          <w:p>
            <w:pPr>
              <w:pStyle w:val="yTableNAm"/>
              <w:keepNext/>
            </w:pPr>
            <w:r>
              <w:t>All bets</w:t>
            </w:r>
            <w:r>
              <w:br/>
              <w:t>void and refunded</w:t>
            </w:r>
          </w:p>
          <w:p>
            <w:pPr>
              <w:pStyle w:val="yTableNAm"/>
              <w:keepNext/>
            </w:pPr>
          </w:p>
        </w:tc>
      </w:tr>
      <w:tr>
        <w:tc>
          <w:tcPr>
            <w:tcW w:w="1180" w:type="dxa"/>
          </w:tcPr>
          <w:p>
            <w:pPr>
              <w:pStyle w:val="yTableNAm"/>
            </w:pPr>
            <w:r>
              <w:t>1.02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1.03</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1.05</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1.07</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1.08</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1.09</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1.10</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1.18</w:t>
            </w:r>
          </w:p>
        </w:tc>
        <w:tc>
          <w:tcPr>
            <w:tcW w:w="1180" w:type="dxa"/>
          </w:tcPr>
          <w:p>
            <w:pPr>
              <w:pStyle w:val="yTableNAm"/>
            </w:pPr>
            <w:r>
              <w:t>0.79</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keepLines/>
            </w:pPr>
            <w:r>
              <w:t>1.20</w:t>
            </w:r>
          </w:p>
        </w:tc>
        <w:tc>
          <w:tcPr>
            <w:tcW w:w="1180" w:type="dxa"/>
          </w:tcPr>
          <w:p>
            <w:pPr>
              <w:pStyle w:val="yTableNAm"/>
              <w:keepLines/>
            </w:pPr>
            <w:r>
              <w:t>0.78</w:t>
            </w:r>
          </w:p>
        </w:tc>
        <w:tc>
          <w:tcPr>
            <w:tcW w:w="1180" w:type="dxa"/>
          </w:tcPr>
          <w:p>
            <w:pPr>
              <w:pStyle w:val="yTableNAm"/>
              <w:keepLines/>
            </w:pPr>
            <w:r>
              <w:t>0.30</w:t>
            </w:r>
          </w:p>
        </w:tc>
        <w:tc>
          <w:tcPr>
            <w:tcW w:w="1180" w:type="dxa"/>
          </w:tcPr>
          <w:p>
            <w:pPr>
              <w:pStyle w:val="yTableNAm"/>
              <w:keepLines/>
            </w:pPr>
            <w:r>
              <w:t>0.44</w:t>
            </w:r>
          </w:p>
        </w:tc>
        <w:tc>
          <w:tcPr>
            <w:tcW w:w="1180" w:type="dxa"/>
          </w:tcPr>
          <w:p>
            <w:pPr>
              <w:pStyle w:val="yTableNAm"/>
              <w:keepLines/>
            </w:pPr>
            <w:r>
              <w:t>0.70</w:t>
            </w:r>
          </w:p>
        </w:tc>
        <w:tc>
          <w:tcPr>
            <w:tcW w:w="1180" w:type="dxa"/>
            <w:vMerge/>
          </w:tcPr>
          <w:p>
            <w:pPr>
              <w:pStyle w:val="yTableNAm"/>
            </w:pPr>
          </w:p>
        </w:tc>
      </w:tr>
      <w:tr>
        <w:tc>
          <w:tcPr>
            <w:tcW w:w="1180" w:type="dxa"/>
          </w:tcPr>
          <w:p>
            <w:pPr>
              <w:pStyle w:val="yTableNAm"/>
            </w:pPr>
            <w:r>
              <w:t>1.22</w:t>
            </w:r>
          </w:p>
        </w:tc>
        <w:tc>
          <w:tcPr>
            <w:tcW w:w="1180" w:type="dxa"/>
          </w:tcPr>
          <w:p>
            <w:pPr>
              <w:pStyle w:val="yTableNAm"/>
            </w:pPr>
            <w:r>
              <w:t>0.77</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1.24</w:t>
            </w:r>
          </w:p>
        </w:tc>
        <w:tc>
          <w:tcPr>
            <w:tcW w:w="1180" w:type="dxa"/>
          </w:tcPr>
          <w:p>
            <w:pPr>
              <w:pStyle w:val="yTableNAm"/>
            </w:pPr>
            <w:r>
              <w:t>0.75</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1.26</w:t>
            </w:r>
          </w:p>
        </w:tc>
        <w:tc>
          <w:tcPr>
            <w:tcW w:w="1180" w:type="dxa"/>
          </w:tcPr>
          <w:p>
            <w:pPr>
              <w:pStyle w:val="yTableNAm"/>
            </w:pPr>
            <w:r>
              <w:t>0.74</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1.28</w:t>
            </w:r>
          </w:p>
        </w:tc>
        <w:tc>
          <w:tcPr>
            <w:tcW w:w="1180" w:type="dxa"/>
          </w:tcPr>
          <w:p>
            <w:pPr>
              <w:pStyle w:val="yTableNAm"/>
            </w:pPr>
            <w:r>
              <w:t>0.73</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1.30</w:t>
            </w:r>
          </w:p>
        </w:tc>
        <w:tc>
          <w:tcPr>
            <w:tcW w:w="1180" w:type="dxa"/>
          </w:tcPr>
          <w:p>
            <w:pPr>
              <w:pStyle w:val="yTableNAm"/>
            </w:pPr>
            <w:r>
              <w:t>0.72</w:t>
            </w:r>
          </w:p>
        </w:tc>
        <w:tc>
          <w:tcPr>
            <w:tcW w:w="1180" w:type="dxa"/>
          </w:tcPr>
          <w:p>
            <w:pPr>
              <w:pStyle w:val="yTableNAm"/>
            </w:pPr>
            <w:r>
              <w:t>0.29</w:t>
            </w:r>
          </w:p>
        </w:tc>
        <w:tc>
          <w:tcPr>
            <w:tcW w:w="1180" w:type="dxa"/>
          </w:tcPr>
          <w:p>
            <w:pPr>
              <w:pStyle w:val="yTableNAm"/>
            </w:pPr>
            <w:r>
              <w:t>0.42</w:t>
            </w:r>
          </w:p>
        </w:tc>
        <w:tc>
          <w:tcPr>
            <w:tcW w:w="1180" w:type="dxa"/>
          </w:tcPr>
          <w:p>
            <w:pPr>
              <w:pStyle w:val="yTableNAm"/>
            </w:pPr>
            <w:r>
              <w:t>0.67</w:t>
            </w:r>
          </w:p>
        </w:tc>
        <w:tc>
          <w:tcPr>
            <w:tcW w:w="1180" w:type="dxa"/>
            <w:vMerge/>
          </w:tcPr>
          <w:p>
            <w:pPr>
              <w:pStyle w:val="yTableNAm"/>
            </w:pPr>
          </w:p>
        </w:tc>
      </w:tr>
      <w:tr>
        <w:tc>
          <w:tcPr>
            <w:tcW w:w="1180" w:type="dxa"/>
          </w:tcPr>
          <w:p>
            <w:pPr>
              <w:pStyle w:val="yTableNAm"/>
            </w:pPr>
            <w:r>
              <w:lastRenderedPageBreak/>
              <w:t>1.35</w:t>
            </w:r>
          </w:p>
        </w:tc>
        <w:tc>
          <w:tcPr>
            <w:tcW w:w="1180" w:type="dxa"/>
          </w:tcPr>
          <w:p>
            <w:pPr>
              <w:pStyle w:val="yTableNAm"/>
            </w:pPr>
            <w:r>
              <w:t>0.69</w:t>
            </w:r>
          </w:p>
        </w:tc>
        <w:tc>
          <w:tcPr>
            <w:tcW w:w="1180" w:type="dxa"/>
          </w:tcPr>
          <w:p>
            <w:pPr>
              <w:pStyle w:val="yTableNAm"/>
            </w:pPr>
            <w:r>
              <w:t>0.29</w:t>
            </w:r>
          </w:p>
        </w:tc>
        <w:tc>
          <w:tcPr>
            <w:tcW w:w="1180" w:type="dxa"/>
          </w:tcPr>
          <w:p>
            <w:pPr>
              <w:pStyle w:val="yTableNAm"/>
            </w:pPr>
            <w:r>
              <w:t>0.42</w:t>
            </w:r>
          </w:p>
        </w:tc>
        <w:tc>
          <w:tcPr>
            <w:tcW w:w="1180" w:type="dxa"/>
          </w:tcPr>
          <w:p>
            <w:pPr>
              <w:pStyle w:val="yTableNAm"/>
            </w:pPr>
            <w:r>
              <w:t>0.64</w:t>
            </w:r>
          </w:p>
        </w:tc>
        <w:tc>
          <w:tcPr>
            <w:tcW w:w="1180" w:type="dxa"/>
            <w:vMerge/>
          </w:tcPr>
          <w:p>
            <w:pPr>
              <w:pStyle w:val="yTableNAm"/>
            </w:pPr>
          </w:p>
        </w:tc>
      </w:tr>
      <w:tr>
        <w:tc>
          <w:tcPr>
            <w:tcW w:w="1180" w:type="dxa"/>
          </w:tcPr>
          <w:p>
            <w:pPr>
              <w:pStyle w:val="yTableNAm"/>
            </w:pPr>
            <w:r>
              <w:t>1.40</w:t>
            </w:r>
          </w:p>
        </w:tc>
        <w:tc>
          <w:tcPr>
            <w:tcW w:w="1180" w:type="dxa"/>
          </w:tcPr>
          <w:p>
            <w:pPr>
              <w:pStyle w:val="yTableNAm"/>
            </w:pPr>
            <w:r>
              <w:t>0.67</w:t>
            </w:r>
          </w:p>
        </w:tc>
        <w:tc>
          <w:tcPr>
            <w:tcW w:w="1180" w:type="dxa"/>
          </w:tcPr>
          <w:p>
            <w:pPr>
              <w:pStyle w:val="yTableNAm"/>
            </w:pPr>
            <w:r>
              <w:t>0.28</w:t>
            </w:r>
          </w:p>
        </w:tc>
        <w:tc>
          <w:tcPr>
            <w:tcW w:w="1180" w:type="dxa"/>
          </w:tcPr>
          <w:p>
            <w:pPr>
              <w:pStyle w:val="yTableNAm"/>
            </w:pPr>
            <w:r>
              <w:t>0.41</w:t>
            </w:r>
          </w:p>
        </w:tc>
        <w:tc>
          <w:tcPr>
            <w:tcW w:w="1180" w:type="dxa"/>
          </w:tcPr>
          <w:p>
            <w:pPr>
              <w:pStyle w:val="yTableNAm"/>
            </w:pPr>
            <w:r>
              <w:t>0.62</w:t>
            </w:r>
          </w:p>
        </w:tc>
        <w:tc>
          <w:tcPr>
            <w:tcW w:w="1180" w:type="dxa"/>
            <w:vMerge/>
          </w:tcPr>
          <w:p>
            <w:pPr>
              <w:pStyle w:val="yTableNAm"/>
            </w:pPr>
          </w:p>
        </w:tc>
      </w:tr>
      <w:tr>
        <w:tc>
          <w:tcPr>
            <w:tcW w:w="1180" w:type="dxa"/>
          </w:tcPr>
          <w:p>
            <w:pPr>
              <w:pStyle w:val="yTableNAm"/>
            </w:pPr>
            <w:r>
              <w:t>1.45</w:t>
            </w:r>
          </w:p>
        </w:tc>
        <w:tc>
          <w:tcPr>
            <w:tcW w:w="1180" w:type="dxa"/>
          </w:tcPr>
          <w:p>
            <w:pPr>
              <w:pStyle w:val="yTableNAm"/>
            </w:pPr>
            <w:r>
              <w:t>0.64</w:t>
            </w:r>
          </w:p>
        </w:tc>
        <w:tc>
          <w:tcPr>
            <w:tcW w:w="1180" w:type="dxa"/>
          </w:tcPr>
          <w:p>
            <w:pPr>
              <w:pStyle w:val="yTableNAm"/>
            </w:pPr>
            <w:r>
              <w:t>0.28</w:t>
            </w:r>
          </w:p>
        </w:tc>
        <w:tc>
          <w:tcPr>
            <w:tcW w:w="1180" w:type="dxa"/>
          </w:tcPr>
          <w:p>
            <w:pPr>
              <w:pStyle w:val="yTableNAm"/>
            </w:pPr>
            <w:r>
              <w:t>0.41</w:t>
            </w:r>
          </w:p>
        </w:tc>
        <w:tc>
          <w:tcPr>
            <w:tcW w:w="1180" w:type="dxa"/>
          </w:tcPr>
          <w:p>
            <w:pPr>
              <w:pStyle w:val="yTableNAm"/>
            </w:pPr>
            <w:r>
              <w:t>0.59</w:t>
            </w:r>
          </w:p>
        </w:tc>
        <w:tc>
          <w:tcPr>
            <w:tcW w:w="1180" w:type="dxa"/>
            <w:vMerge/>
          </w:tcPr>
          <w:p>
            <w:pPr>
              <w:pStyle w:val="yTableNAm"/>
            </w:pPr>
          </w:p>
        </w:tc>
      </w:tr>
      <w:tr>
        <w:tc>
          <w:tcPr>
            <w:tcW w:w="1180" w:type="dxa"/>
          </w:tcPr>
          <w:p>
            <w:pPr>
              <w:pStyle w:val="yTableNAm"/>
            </w:pPr>
            <w:r>
              <w:t>1.50</w:t>
            </w:r>
          </w:p>
        </w:tc>
        <w:tc>
          <w:tcPr>
            <w:tcW w:w="1180" w:type="dxa"/>
          </w:tcPr>
          <w:p>
            <w:pPr>
              <w:pStyle w:val="yTableNAm"/>
            </w:pPr>
            <w:r>
              <w:t>0.62</w:t>
            </w:r>
          </w:p>
        </w:tc>
        <w:tc>
          <w:tcPr>
            <w:tcW w:w="1180" w:type="dxa"/>
          </w:tcPr>
          <w:p>
            <w:pPr>
              <w:pStyle w:val="yTableNAm"/>
            </w:pPr>
            <w:r>
              <w:t>0.28</w:t>
            </w:r>
          </w:p>
        </w:tc>
        <w:tc>
          <w:tcPr>
            <w:tcW w:w="1180" w:type="dxa"/>
          </w:tcPr>
          <w:p>
            <w:pPr>
              <w:pStyle w:val="yTableNAm"/>
            </w:pPr>
            <w:r>
              <w:t>0.40</w:t>
            </w:r>
          </w:p>
        </w:tc>
        <w:tc>
          <w:tcPr>
            <w:tcW w:w="1180" w:type="dxa"/>
          </w:tcPr>
          <w:p>
            <w:pPr>
              <w:pStyle w:val="yTableNAm"/>
            </w:pPr>
            <w:r>
              <w:t>0.57</w:t>
            </w:r>
          </w:p>
        </w:tc>
        <w:tc>
          <w:tcPr>
            <w:tcW w:w="1180" w:type="dxa"/>
            <w:vMerge/>
          </w:tcPr>
          <w:p>
            <w:pPr>
              <w:pStyle w:val="yTableNAm"/>
            </w:pPr>
          </w:p>
        </w:tc>
      </w:tr>
      <w:tr>
        <w:tc>
          <w:tcPr>
            <w:tcW w:w="1180" w:type="dxa"/>
          </w:tcPr>
          <w:p>
            <w:pPr>
              <w:pStyle w:val="yTableNAm"/>
            </w:pPr>
            <w:r>
              <w:t>1.55</w:t>
            </w:r>
          </w:p>
        </w:tc>
        <w:tc>
          <w:tcPr>
            <w:tcW w:w="1180" w:type="dxa"/>
          </w:tcPr>
          <w:p>
            <w:pPr>
              <w:pStyle w:val="yTableNAm"/>
            </w:pPr>
            <w:r>
              <w:t>0.60</w:t>
            </w:r>
          </w:p>
        </w:tc>
        <w:tc>
          <w:tcPr>
            <w:tcW w:w="1180" w:type="dxa"/>
          </w:tcPr>
          <w:p>
            <w:pPr>
              <w:pStyle w:val="yTableNAm"/>
            </w:pPr>
            <w:r>
              <w:t>0.27</w:t>
            </w:r>
          </w:p>
        </w:tc>
        <w:tc>
          <w:tcPr>
            <w:tcW w:w="1180" w:type="dxa"/>
          </w:tcPr>
          <w:p>
            <w:pPr>
              <w:pStyle w:val="yTableNAm"/>
            </w:pPr>
            <w:r>
              <w:t>0.39</w:t>
            </w:r>
          </w:p>
        </w:tc>
        <w:tc>
          <w:tcPr>
            <w:tcW w:w="1180" w:type="dxa"/>
          </w:tcPr>
          <w:p>
            <w:pPr>
              <w:pStyle w:val="yTableNAm"/>
            </w:pPr>
            <w:r>
              <w:t>0.55</w:t>
            </w:r>
          </w:p>
        </w:tc>
        <w:tc>
          <w:tcPr>
            <w:tcW w:w="1180" w:type="dxa"/>
            <w:vMerge/>
          </w:tcPr>
          <w:p>
            <w:pPr>
              <w:pStyle w:val="yTableNAm"/>
            </w:pPr>
          </w:p>
        </w:tc>
      </w:tr>
      <w:tr>
        <w:tc>
          <w:tcPr>
            <w:tcW w:w="1180" w:type="dxa"/>
          </w:tcPr>
          <w:p>
            <w:pPr>
              <w:pStyle w:val="yTableNAm"/>
            </w:pPr>
            <w:r>
              <w:t>1.60</w:t>
            </w:r>
          </w:p>
        </w:tc>
        <w:tc>
          <w:tcPr>
            <w:tcW w:w="1180" w:type="dxa"/>
          </w:tcPr>
          <w:p>
            <w:pPr>
              <w:pStyle w:val="yTableNAm"/>
            </w:pPr>
            <w:r>
              <w:t>0.58</w:t>
            </w:r>
          </w:p>
        </w:tc>
        <w:tc>
          <w:tcPr>
            <w:tcW w:w="1180" w:type="dxa"/>
          </w:tcPr>
          <w:p>
            <w:pPr>
              <w:pStyle w:val="yTableNAm"/>
            </w:pPr>
            <w:r>
              <w:t>0.27</w:t>
            </w:r>
          </w:p>
        </w:tc>
        <w:tc>
          <w:tcPr>
            <w:tcW w:w="1180" w:type="dxa"/>
          </w:tcPr>
          <w:p>
            <w:pPr>
              <w:pStyle w:val="yTableNAm"/>
            </w:pPr>
            <w:r>
              <w:t>0.39</w:t>
            </w:r>
          </w:p>
        </w:tc>
        <w:tc>
          <w:tcPr>
            <w:tcW w:w="1180" w:type="dxa"/>
          </w:tcPr>
          <w:p>
            <w:pPr>
              <w:pStyle w:val="yTableNAm"/>
            </w:pPr>
            <w:r>
              <w:t>0.53</w:t>
            </w:r>
          </w:p>
        </w:tc>
        <w:tc>
          <w:tcPr>
            <w:tcW w:w="1180" w:type="dxa"/>
            <w:vMerge/>
          </w:tcPr>
          <w:p>
            <w:pPr>
              <w:pStyle w:val="yTableNAm"/>
            </w:pPr>
          </w:p>
        </w:tc>
      </w:tr>
      <w:tr>
        <w:tc>
          <w:tcPr>
            <w:tcW w:w="1180" w:type="dxa"/>
          </w:tcPr>
          <w:p>
            <w:pPr>
              <w:pStyle w:val="yTableNAm"/>
            </w:pPr>
            <w:r>
              <w:t>1.65</w:t>
            </w:r>
          </w:p>
        </w:tc>
        <w:tc>
          <w:tcPr>
            <w:tcW w:w="1180" w:type="dxa"/>
          </w:tcPr>
          <w:p>
            <w:pPr>
              <w:pStyle w:val="yTableNAm"/>
            </w:pPr>
            <w:r>
              <w:t>0.57</w:t>
            </w:r>
          </w:p>
        </w:tc>
        <w:tc>
          <w:tcPr>
            <w:tcW w:w="1180" w:type="dxa"/>
          </w:tcPr>
          <w:p>
            <w:pPr>
              <w:pStyle w:val="yTableNAm"/>
            </w:pPr>
            <w:r>
              <w:t>0.27</w:t>
            </w:r>
          </w:p>
        </w:tc>
        <w:tc>
          <w:tcPr>
            <w:tcW w:w="1180" w:type="dxa"/>
          </w:tcPr>
          <w:p>
            <w:pPr>
              <w:pStyle w:val="yTableNAm"/>
            </w:pPr>
            <w:r>
              <w:t>0.38</w:t>
            </w:r>
          </w:p>
        </w:tc>
        <w:tc>
          <w:tcPr>
            <w:tcW w:w="1180" w:type="dxa"/>
          </w:tcPr>
          <w:p>
            <w:pPr>
              <w:pStyle w:val="yTableNAm"/>
            </w:pPr>
            <w:r>
              <w:t>0.53</w:t>
            </w:r>
          </w:p>
        </w:tc>
        <w:tc>
          <w:tcPr>
            <w:tcW w:w="1180" w:type="dxa"/>
            <w:vMerge/>
          </w:tcPr>
          <w:p>
            <w:pPr>
              <w:pStyle w:val="yTableNAm"/>
            </w:pPr>
          </w:p>
        </w:tc>
      </w:tr>
      <w:tr>
        <w:tc>
          <w:tcPr>
            <w:tcW w:w="1180" w:type="dxa"/>
          </w:tcPr>
          <w:p>
            <w:pPr>
              <w:pStyle w:val="yTableNAm"/>
            </w:pPr>
            <w:r>
              <w:t>1.70</w:t>
            </w:r>
          </w:p>
        </w:tc>
        <w:tc>
          <w:tcPr>
            <w:tcW w:w="1180" w:type="dxa"/>
          </w:tcPr>
          <w:p>
            <w:pPr>
              <w:pStyle w:val="yTableNAm"/>
            </w:pPr>
            <w:r>
              <w:t>0.55</w:t>
            </w:r>
          </w:p>
        </w:tc>
        <w:tc>
          <w:tcPr>
            <w:tcW w:w="1180" w:type="dxa"/>
          </w:tcPr>
          <w:p>
            <w:pPr>
              <w:pStyle w:val="yTableNAm"/>
            </w:pPr>
            <w:r>
              <w:t>0.27</w:t>
            </w:r>
          </w:p>
        </w:tc>
        <w:tc>
          <w:tcPr>
            <w:tcW w:w="1180" w:type="dxa"/>
          </w:tcPr>
          <w:p>
            <w:pPr>
              <w:pStyle w:val="yTableNAm"/>
            </w:pPr>
            <w:r>
              <w:t>0.38</w:t>
            </w:r>
          </w:p>
        </w:tc>
        <w:tc>
          <w:tcPr>
            <w:tcW w:w="1180" w:type="dxa"/>
          </w:tcPr>
          <w:p>
            <w:pPr>
              <w:pStyle w:val="yTableNAm"/>
            </w:pPr>
            <w:r>
              <w:t>0.51</w:t>
            </w:r>
          </w:p>
        </w:tc>
        <w:tc>
          <w:tcPr>
            <w:tcW w:w="1180" w:type="dxa"/>
            <w:vMerge/>
          </w:tcPr>
          <w:p>
            <w:pPr>
              <w:pStyle w:val="yTableNAm"/>
            </w:pPr>
          </w:p>
        </w:tc>
      </w:tr>
      <w:tr>
        <w:tc>
          <w:tcPr>
            <w:tcW w:w="1180" w:type="dxa"/>
          </w:tcPr>
          <w:p>
            <w:pPr>
              <w:pStyle w:val="yTableNAm"/>
            </w:pPr>
            <w:r>
              <w:t>1.75</w:t>
            </w:r>
          </w:p>
        </w:tc>
        <w:tc>
          <w:tcPr>
            <w:tcW w:w="1180" w:type="dxa"/>
          </w:tcPr>
          <w:p>
            <w:pPr>
              <w:pStyle w:val="yTableNAm"/>
            </w:pPr>
            <w:r>
              <w:t>0.53</w:t>
            </w:r>
          </w:p>
        </w:tc>
        <w:tc>
          <w:tcPr>
            <w:tcW w:w="1180" w:type="dxa"/>
          </w:tcPr>
          <w:p>
            <w:pPr>
              <w:pStyle w:val="yTableNAm"/>
            </w:pPr>
            <w:r>
              <w:t>0.26</w:t>
            </w:r>
          </w:p>
        </w:tc>
        <w:tc>
          <w:tcPr>
            <w:tcW w:w="1180" w:type="dxa"/>
          </w:tcPr>
          <w:p>
            <w:pPr>
              <w:pStyle w:val="yTableNAm"/>
            </w:pPr>
            <w:r>
              <w:t>0.37</w:t>
            </w:r>
          </w:p>
        </w:tc>
        <w:tc>
          <w:tcPr>
            <w:tcW w:w="1180" w:type="dxa"/>
          </w:tcPr>
          <w:p>
            <w:pPr>
              <w:pStyle w:val="yTableNAm"/>
            </w:pPr>
            <w:r>
              <w:t>0.49</w:t>
            </w:r>
          </w:p>
        </w:tc>
        <w:tc>
          <w:tcPr>
            <w:tcW w:w="1180" w:type="dxa"/>
            <w:vMerge/>
          </w:tcPr>
          <w:p>
            <w:pPr>
              <w:pStyle w:val="yTableNAm"/>
            </w:pPr>
          </w:p>
        </w:tc>
      </w:tr>
      <w:tr>
        <w:tc>
          <w:tcPr>
            <w:tcW w:w="1180" w:type="dxa"/>
          </w:tcPr>
          <w:p>
            <w:pPr>
              <w:pStyle w:val="yTableNAm"/>
            </w:pPr>
            <w:r>
              <w:t>1.80</w:t>
            </w:r>
          </w:p>
        </w:tc>
        <w:tc>
          <w:tcPr>
            <w:tcW w:w="1180" w:type="dxa"/>
          </w:tcPr>
          <w:p>
            <w:pPr>
              <w:pStyle w:val="yTableNAm"/>
            </w:pPr>
            <w:r>
              <w:t>0.52</w:t>
            </w:r>
          </w:p>
        </w:tc>
        <w:tc>
          <w:tcPr>
            <w:tcW w:w="1180" w:type="dxa"/>
          </w:tcPr>
          <w:p>
            <w:pPr>
              <w:pStyle w:val="yTableNAm"/>
            </w:pPr>
            <w:r>
              <w:t>0.26</w:t>
            </w:r>
          </w:p>
        </w:tc>
        <w:tc>
          <w:tcPr>
            <w:tcW w:w="1180" w:type="dxa"/>
          </w:tcPr>
          <w:p>
            <w:pPr>
              <w:pStyle w:val="yTableNAm"/>
            </w:pPr>
            <w:r>
              <w:t>0.37</w:t>
            </w:r>
          </w:p>
        </w:tc>
        <w:tc>
          <w:tcPr>
            <w:tcW w:w="1180" w:type="dxa"/>
          </w:tcPr>
          <w:p>
            <w:pPr>
              <w:pStyle w:val="yTableNAm"/>
            </w:pPr>
            <w:r>
              <w:t>0.48</w:t>
            </w:r>
          </w:p>
        </w:tc>
        <w:tc>
          <w:tcPr>
            <w:tcW w:w="1180" w:type="dxa"/>
            <w:vMerge/>
          </w:tcPr>
          <w:p>
            <w:pPr>
              <w:pStyle w:val="yTableNAm"/>
            </w:pPr>
          </w:p>
        </w:tc>
      </w:tr>
      <w:tr>
        <w:tc>
          <w:tcPr>
            <w:tcW w:w="1180" w:type="dxa"/>
          </w:tcPr>
          <w:p>
            <w:pPr>
              <w:pStyle w:val="yTableNAm"/>
            </w:pPr>
            <w:r>
              <w:t>1.85</w:t>
            </w:r>
          </w:p>
        </w:tc>
        <w:tc>
          <w:tcPr>
            <w:tcW w:w="1180" w:type="dxa"/>
          </w:tcPr>
          <w:p>
            <w:pPr>
              <w:pStyle w:val="yTableNAm"/>
            </w:pPr>
            <w:r>
              <w:t>0.51</w:t>
            </w:r>
          </w:p>
        </w:tc>
        <w:tc>
          <w:tcPr>
            <w:tcW w:w="1180" w:type="dxa"/>
          </w:tcPr>
          <w:p>
            <w:pPr>
              <w:pStyle w:val="yTableNAm"/>
            </w:pPr>
            <w:r>
              <w:t>0.26</w:t>
            </w:r>
          </w:p>
        </w:tc>
        <w:tc>
          <w:tcPr>
            <w:tcW w:w="1180" w:type="dxa"/>
          </w:tcPr>
          <w:p>
            <w:pPr>
              <w:pStyle w:val="yTableNAm"/>
            </w:pPr>
            <w:r>
              <w:t>0.36</w:t>
            </w:r>
          </w:p>
        </w:tc>
        <w:tc>
          <w:tcPr>
            <w:tcW w:w="1180" w:type="dxa"/>
          </w:tcPr>
          <w:p>
            <w:pPr>
              <w:pStyle w:val="yTableNAm"/>
            </w:pPr>
            <w:r>
              <w:t>0.47</w:t>
            </w:r>
          </w:p>
        </w:tc>
        <w:tc>
          <w:tcPr>
            <w:tcW w:w="1180" w:type="dxa"/>
            <w:vMerge/>
          </w:tcPr>
          <w:p>
            <w:pPr>
              <w:pStyle w:val="yTableNAm"/>
            </w:pPr>
          </w:p>
        </w:tc>
      </w:tr>
      <w:tr>
        <w:tc>
          <w:tcPr>
            <w:tcW w:w="1180" w:type="dxa"/>
          </w:tcPr>
          <w:p>
            <w:pPr>
              <w:pStyle w:val="yTableNAm"/>
            </w:pPr>
            <w:r>
              <w:t>1.90</w:t>
            </w:r>
          </w:p>
        </w:tc>
        <w:tc>
          <w:tcPr>
            <w:tcW w:w="1180" w:type="dxa"/>
          </w:tcPr>
          <w:p>
            <w:pPr>
              <w:pStyle w:val="yTableNAm"/>
            </w:pPr>
            <w:r>
              <w:t>0.49</w:t>
            </w:r>
          </w:p>
        </w:tc>
        <w:tc>
          <w:tcPr>
            <w:tcW w:w="1180" w:type="dxa"/>
          </w:tcPr>
          <w:p>
            <w:pPr>
              <w:pStyle w:val="yTableNAm"/>
            </w:pPr>
            <w:r>
              <w:t>0.25</w:t>
            </w:r>
          </w:p>
        </w:tc>
        <w:tc>
          <w:tcPr>
            <w:tcW w:w="1180" w:type="dxa"/>
          </w:tcPr>
          <w:p>
            <w:pPr>
              <w:pStyle w:val="yTableNAm"/>
            </w:pPr>
            <w:r>
              <w:t>0.36</w:t>
            </w:r>
          </w:p>
        </w:tc>
        <w:tc>
          <w:tcPr>
            <w:tcW w:w="1180" w:type="dxa"/>
          </w:tcPr>
          <w:p>
            <w:pPr>
              <w:pStyle w:val="yTableNAm"/>
            </w:pPr>
            <w:r>
              <w:t>0.45</w:t>
            </w:r>
          </w:p>
        </w:tc>
        <w:tc>
          <w:tcPr>
            <w:tcW w:w="1180" w:type="dxa"/>
            <w:vMerge/>
          </w:tcPr>
          <w:p>
            <w:pPr>
              <w:pStyle w:val="yTableNAm"/>
            </w:pPr>
          </w:p>
        </w:tc>
      </w:tr>
      <w:tr>
        <w:tc>
          <w:tcPr>
            <w:tcW w:w="1180" w:type="dxa"/>
          </w:tcPr>
          <w:p>
            <w:pPr>
              <w:pStyle w:val="yTableNAm"/>
            </w:pPr>
            <w:r>
              <w:t>1.95</w:t>
            </w:r>
          </w:p>
        </w:tc>
        <w:tc>
          <w:tcPr>
            <w:tcW w:w="1180" w:type="dxa"/>
          </w:tcPr>
          <w:p>
            <w:pPr>
              <w:pStyle w:val="yTableNAm"/>
            </w:pPr>
            <w:r>
              <w:t>0.48</w:t>
            </w:r>
          </w:p>
        </w:tc>
        <w:tc>
          <w:tcPr>
            <w:tcW w:w="1180" w:type="dxa"/>
          </w:tcPr>
          <w:p>
            <w:pPr>
              <w:pStyle w:val="yTableNAm"/>
            </w:pPr>
            <w:r>
              <w:t>0.25</w:t>
            </w:r>
          </w:p>
        </w:tc>
        <w:tc>
          <w:tcPr>
            <w:tcW w:w="1180" w:type="dxa"/>
          </w:tcPr>
          <w:p>
            <w:pPr>
              <w:pStyle w:val="yTableNAm"/>
            </w:pPr>
            <w:r>
              <w:t>0.35</w:t>
            </w:r>
          </w:p>
        </w:tc>
        <w:tc>
          <w:tcPr>
            <w:tcW w:w="1180" w:type="dxa"/>
          </w:tcPr>
          <w:p>
            <w:pPr>
              <w:pStyle w:val="yTableNAm"/>
            </w:pPr>
            <w:r>
              <w:t>0.44</w:t>
            </w:r>
          </w:p>
        </w:tc>
        <w:tc>
          <w:tcPr>
            <w:tcW w:w="1180" w:type="dxa"/>
            <w:vMerge/>
          </w:tcPr>
          <w:p>
            <w:pPr>
              <w:pStyle w:val="yTableNAm"/>
            </w:pPr>
          </w:p>
        </w:tc>
      </w:tr>
      <w:tr>
        <w:tc>
          <w:tcPr>
            <w:tcW w:w="1180" w:type="dxa"/>
          </w:tcPr>
          <w:p>
            <w:pPr>
              <w:pStyle w:val="yTableNAm"/>
            </w:pPr>
            <w:r>
              <w:t>2.00</w:t>
            </w:r>
          </w:p>
        </w:tc>
        <w:tc>
          <w:tcPr>
            <w:tcW w:w="1180" w:type="dxa"/>
          </w:tcPr>
          <w:p>
            <w:pPr>
              <w:pStyle w:val="yTableNAm"/>
            </w:pPr>
            <w:r>
              <w:t>0.47</w:t>
            </w:r>
          </w:p>
        </w:tc>
        <w:tc>
          <w:tcPr>
            <w:tcW w:w="1180" w:type="dxa"/>
          </w:tcPr>
          <w:p>
            <w:pPr>
              <w:pStyle w:val="yTableNAm"/>
            </w:pPr>
            <w:r>
              <w:t>0.25</w:t>
            </w:r>
          </w:p>
        </w:tc>
        <w:tc>
          <w:tcPr>
            <w:tcW w:w="1180" w:type="dxa"/>
          </w:tcPr>
          <w:p>
            <w:pPr>
              <w:pStyle w:val="yTableNAm"/>
            </w:pPr>
            <w:r>
              <w:t>0.35</w:t>
            </w:r>
          </w:p>
        </w:tc>
        <w:tc>
          <w:tcPr>
            <w:tcW w:w="1180" w:type="dxa"/>
          </w:tcPr>
          <w:p>
            <w:pPr>
              <w:pStyle w:val="yTableNAm"/>
            </w:pPr>
            <w:r>
              <w:t>0.43</w:t>
            </w:r>
          </w:p>
        </w:tc>
        <w:tc>
          <w:tcPr>
            <w:tcW w:w="1180" w:type="dxa"/>
          </w:tcPr>
          <w:p>
            <w:pPr>
              <w:pStyle w:val="yTableNAm"/>
            </w:pPr>
            <w:r>
              <w:t>0.70</w:t>
            </w:r>
          </w:p>
        </w:tc>
      </w:tr>
      <w:tr>
        <w:tc>
          <w:tcPr>
            <w:tcW w:w="1180" w:type="dxa"/>
          </w:tcPr>
          <w:p>
            <w:pPr>
              <w:pStyle w:val="yTableNAm"/>
            </w:pPr>
            <w:r>
              <w:t>2.05</w:t>
            </w:r>
          </w:p>
        </w:tc>
        <w:tc>
          <w:tcPr>
            <w:tcW w:w="1180" w:type="dxa"/>
          </w:tcPr>
          <w:p>
            <w:pPr>
              <w:pStyle w:val="yTableNAm"/>
            </w:pPr>
            <w:r>
              <w:t>0.46</w:t>
            </w:r>
          </w:p>
        </w:tc>
        <w:tc>
          <w:tcPr>
            <w:tcW w:w="1180" w:type="dxa"/>
          </w:tcPr>
          <w:p>
            <w:pPr>
              <w:pStyle w:val="yTableNAm"/>
            </w:pPr>
            <w:r>
              <w:t>0.25</w:t>
            </w:r>
          </w:p>
        </w:tc>
        <w:tc>
          <w:tcPr>
            <w:tcW w:w="1180" w:type="dxa"/>
          </w:tcPr>
          <w:p>
            <w:pPr>
              <w:pStyle w:val="yTableNAm"/>
            </w:pPr>
            <w:r>
              <w:t>0.35</w:t>
            </w:r>
          </w:p>
        </w:tc>
        <w:tc>
          <w:tcPr>
            <w:tcW w:w="1180" w:type="dxa"/>
          </w:tcPr>
          <w:p>
            <w:pPr>
              <w:pStyle w:val="yTableNAm"/>
            </w:pPr>
            <w:r>
              <w:t>0.42</w:t>
            </w:r>
          </w:p>
        </w:tc>
        <w:tc>
          <w:tcPr>
            <w:tcW w:w="1180" w:type="dxa"/>
          </w:tcPr>
          <w:p>
            <w:pPr>
              <w:pStyle w:val="yTableNAm"/>
            </w:pPr>
            <w:r>
              <w:t>0.70</w:t>
            </w:r>
          </w:p>
        </w:tc>
      </w:tr>
      <w:tr>
        <w:tc>
          <w:tcPr>
            <w:tcW w:w="1180" w:type="dxa"/>
          </w:tcPr>
          <w:p>
            <w:pPr>
              <w:pStyle w:val="yTableNAm"/>
            </w:pPr>
            <w:r>
              <w:t>2.10</w:t>
            </w:r>
          </w:p>
        </w:tc>
        <w:tc>
          <w:tcPr>
            <w:tcW w:w="1180" w:type="dxa"/>
          </w:tcPr>
          <w:p>
            <w:pPr>
              <w:pStyle w:val="yTableNAm"/>
            </w:pPr>
            <w:r>
              <w:t>0.45</w:t>
            </w:r>
          </w:p>
        </w:tc>
        <w:tc>
          <w:tcPr>
            <w:tcW w:w="1180" w:type="dxa"/>
          </w:tcPr>
          <w:p>
            <w:pPr>
              <w:pStyle w:val="yTableNAm"/>
            </w:pPr>
            <w:r>
              <w:t>0.24</w:t>
            </w:r>
          </w:p>
        </w:tc>
        <w:tc>
          <w:tcPr>
            <w:tcW w:w="1180" w:type="dxa"/>
          </w:tcPr>
          <w:p>
            <w:pPr>
              <w:pStyle w:val="yTableNAm"/>
            </w:pPr>
            <w:r>
              <w:t>0.34</w:t>
            </w:r>
          </w:p>
        </w:tc>
        <w:tc>
          <w:tcPr>
            <w:tcW w:w="1180" w:type="dxa"/>
          </w:tcPr>
          <w:p>
            <w:pPr>
              <w:pStyle w:val="yTableNAm"/>
            </w:pPr>
            <w:r>
              <w:t>0.41</w:t>
            </w:r>
          </w:p>
        </w:tc>
        <w:tc>
          <w:tcPr>
            <w:tcW w:w="1180" w:type="dxa"/>
          </w:tcPr>
          <w:p>
            <w:pPr>
              <w:pStyle w:val="yTableNAm"/>
            </w:pPr>
            <w:r>
              <w:t>0.70</w:t>
            </w:r>
          </w:p>
        </w:tc>
      </w:tr>
      <w:tr>
        <w:tc>
          <w:tcPr>
            <w:tcW w:w="1180" w:type="dxa"/>
          </w:tcPr>
          <w:p>
            <w:pPr>
              <w:pStyle w:val="yTableNAm"/>
            </w:pPr>
            <w:r>
              <w:t>2.15</w:t>
            </w:r>
          </w:p>
        </w:tc>
        <w:tc>
          <w:tcPr>
            <w:tcW w:w="1180" w:type="dxa"/>
          </w:tcPr>
          <w:p>
            <w:pPr>
              <w:pStyle w:val="yTableNAm"/>
            </w:pPr>
            <w:r>
              <w:t>0.43</w:t>
            </w:r>
          </w:p>
        </w:tc>
        <w:tc>
          <w:tcPr>
            <w:tcW w:w="1180" w:type="dxa"/>
          </w:tcPr>
          <w:p>
            <w:pPr>
              <w:pStyle w:val="yTableNAm"/>
            </w:pPr>
            <w:r>
              <w:t>0.24</w:t>
            </w:r>
          </w:p>
        </w:tc>
        <w:tc>
          <w:tcPr>
            <w:tcW w:w="1180" w:type="dxa"/>
          </w:tcPr>
          <w:p>
            <w:pPr>
              <w:pStyle w:val="yTableNAm"/>
            </w:pPr>
            <w:r>
              <w:t>0.34</w:t>
            </w:r>
          </w:p>
        </w:tc>
        <w:tc>
          <w:tcPr>
            <w:tcW w:w="1180" w:type="dxa"/>
          </w:tcPr>
          <w:p>
            <w:pPr>
              <w:pStyle w:val="yTableNAm"/>
            </w:pPr>
            <w:r>
              <w:t>0.40</w:t>
            </w:r>
          </w:p>
        </w:tc>
        <w:tc>
          <w:tcPr>
            <w:tcW w:w="1180" w:type="dxa"/>
          </w:tcPr>
          <w:p>
            <w:pPr>
              <w:pStyle w:val="yTableNAm"/>
            </w:pPr>
            <w:r>
              <w:t>0.70</w:t>
            </w:r>
          </w:p>
        </w:tc>
      </w:tr>
      <w:tr>
        <w:tc>
          <w:tcPr>
            <w:tcW w:w="1180" w:type="dxa"/>
          </w:tcPr>
          <w:p>
            <w:pPr>
              <w:pStyle w:val="yTableNAm"/>
            </w:pPr>
            <w:r>
              <w:t>2.20</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2.25</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2.30</w:t>
            </w:r>
          </w:p>
        </w:tc>
        <w:tc>
          <w:tcPr>
            <w:tcW w:w="1180" w:type="dxa"/>
          </w:tcPr>
          <w:p>
            <w:pPr>
              <w:pStyle w:val="yTableNAm"/>
            </w:pPr>
            <w:r>
              <w:t>0.41</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2.35</w:t>
            </w:r>
          </w:p>
        </w:tc>
        <w:tc>
          <w:tcPr>
            <w:tcW w:w="1180" w:type="dxa"/>
          </w:tcPr>
          <w:p>
            <w:pPr>
              <w:pStyle w:val="yTableNAm"/>
            </w:pPr>
            <w:r>
              <w:t>0.40</w:t>
            </w:r>
          </w:p>
        </w:tc>
        <w:tc>
          <w:tcPr>
            <w:tcW w:w="1180" w:type="dxa"/>
          </w:tcPr>
          <w:p>
            <w:pPr>
              <w:pStyle w:val="yTableNAm"/>
            </w:pPr>
            <w:r>
              <w:t>0.23</w:t>
            </w:r>
          </w:p>
        </w:tc>
        <w:tc>
          <w:tcPr>
            <w:tcW w:w="1180" w:type="dxa"/>
          </w:tcPr>
          <w:p>
            <w:pPr>
              <w:pStyle w:val="yTableNAm"/>
            </w:pPr>
            <w:r>
              <w:t>0.32</w:t>
            </w:r>
          </w:p>
        </w:tc>
        <w:tc>
          <w:tcPr>
            <w:tcW w:w="1180" w:type="dxa"/>
          </w:tcPr>
          <w:p>
            <w:pPr>
              <w:pStyle w:val="yTableNAm"/>
            </w:pPr>
            <w:r>
              <w:t>0.38</w:t>
            </w:r>
          </w:p>
        </w:tc>
        <w:tc>
          <w:tcPr>
            <w:tcW w:w="1180" w:type="dxa"/>
          </w:tcPr>
          <w:p>
            <w:pPr>
              <w:pStyle w:val="yTableNAm"/>
            </w:pPr>
            <w:r>
              <w:t>0.65</w:t>
            </w:r>
          </w:p>
        </w:tc>
      </w:tr>
      <w:tr>
        <w:tc>
          <w:tcPr>
            <w:tcW w:w="1180" w:type="dxa"/>
          </w:tcPr>
          <w:p>
            <w:pPr>
              <w:pStyle w:val="yTableNAm"/>
            </w:pPr>
            <w:r>
              <w:lastRenderedPageBreak/>
              <w:t>2.40</w:t>
            </w:r>
          </w:p>
        </w:tc>
        <w:tc>
          <w:tcPr>
            <w:tcW w:w="1180" w:type="dxa"/>
          </w:tcPr>
          <w:p>
            <w:pPr>
              <w:pStyle w:val="yTableNAm"/>
            </w:pPr>
            <w:r>
              <w:t>0.39</w:t>
            </w:r>
          </w:p>
        </w:tc>
        <w:tc>
          <w:tcPr>
            <w:tcW w:w="1180" w:type="dxa"/>
          </w:tcPr>
          <w:p>
            <w:pPr>
              <w:pStyle w:val="yTableNAm"/>
            </w:pPr>
            <w:r>
              <w:t>0.23</w:t>
            </w:r>
          </w:p>
        </w:tc>
        <w:tc>
          <w:tcPr>
            <w:tcW w:w="1180" w:type="dxa"/>
          </w:tcPr>
          <w:p>
            <w:pPr>
              <w:pStyle w:val="yTableNAm"/>
            </w:pPr>
            <w:r>
              <w:t>0.32</w:t>
            </w:r>
          </w:p>
        </w:tc>
        <w:tc>
          <w:tcPr>
            <w:tcW w:w="1180" w:type="dxa"/>
          </w:tcPr>
          <w:p>
            <w:pPr>
              <w:pStyle w:val="yTableNAm"/>
            </w:pPr>
            <w:r>
              <w:t>0.37</w:t>
            </w:r>
          </w:p>
        </w:tc>
        <w:tc>
          <w:tcPr>
            <w:tcW w:w="1180" w:type="dxa"/>
          </w:tcPr>
          <w:p>
            <w:pPr>
              <w:pStyle w:val="yTableNAm"/>
            </w:pPr>
            <w:r>
              <w:t>0.65</w:t>
            </w:r>
          </w:p>
        </w:tc>
      </w:tr>
      <w:tr>
        <w:tc>
          <w:tcPr>
            <w:tcW w:w="1180" w:type="dxa"/>
          </w:tcPr>
          <w:p>
            <w:pPr>
              <w:pStyle w:val="yTableNAm"/>
            </w:pPr>
            <w:r>
              <w:t>2.45</w:t>
            </w:r>
          </w:p>
        </w:tc>
        <w:tc>
          <w:tcPr>
            <w:tcW w:w="1180" w:type="dxa"/>
          </w:tcPr>
          <w:p>
            <w:pPr>
              <w:pStyle w:val="yTableNAm"/>
            </w:pPr>
            <w:r>
              <w:t>0.38</w:t>
            </w:r>
          </w:p>
        </w:tc>
        <w:tc>
          <w:tcPr>
            <w:tcW w:w="1180" w:type="dxa"/>
          </w:tcPr>
          <w:p>
            <w:pPr>
              <w:pStyle w:val="yTableNAm"/>
            </w:pPr>
            <w:r>
              <w:t>0.23</w:t>
            </w:r>
          </w:p>
        </w:tc>
        <w:tc>
          <w:tcPr>
            <w:tcW w:w="1180" w:type="dxa"/>
          </w:tcPr>
          <w:p>
            <w:pPr>
              <w:pStyle w:val="yTableNAm"/>
            </w:pPr>
            <w:r>
              <w:t>0.32</w:t>
            </w:r>
          </w:p>
        </w:tc>
        <w:tc>
          <w:tcPr>
            <w:tcW w:w="1180" w:type="dxa"/>
          </w:tcPr>
          <w:p>
            <w:pPr>
              <w:pStyle w:val="yTableNAm"/>
            </w:pPr>
            <w:r>
              <w:t>0.36</w:t>
            </w:r>
          </w:p>
        </w:tc>
        <w:tc>
          <w:tcPr>
            <w:tcW w:w="1180" w:type="dxa"/>
          </w:tcPr>
          <w:p>
            <w:pPr>
              <w:pStyle w:val="yTableNAm"/>
            </w:pPr>
            <w:r>
              <w:t>0.65</w:t>
            </w:r>
          </w:p>
        </w:tc>
      </w:tr>
      <w:tr>
        <w:tc>
          <w:tcPr>
            <w:tcW w:w="1180" w:type="dxa"/>
          </w:tcPr>
          <w:p>
            <w:pPr>
              <w:pStyle w:val="yTableNAm"/>
            </w:pPr>
            <w:r>
              <w:t>2.50</w:t>
            </w:r>
          </w:p>
        </w:tc>
        <w:tc>
          <w:tcPr>
            <w:tcW w:w="1180" w:type="dxa"/>
          </w:tcPr>
          <w:p>
            <w:pPr>
              <w:pStyle w:val="yTableNAm"/>
            </w:pPr>
            <w:r>
              <w:t>0.37</w:t>
            </w:r>
          </w:p>
        </w:tc>
        <w:tc>
          <w:tcPr>
            <w:tcW w:w="1180" w:type="dxa"/>
          </w:tcPr>
          <w:p>
            <w:pPr>
              <w:pStyle w:val="yTableNAm"/>
            </w:pPr>
            <w:r>
              <w:t>0.23</w:t>
            </w:r>
          </w:p>
        </w:tc>
        <w:tc>
          <w:tcPr>
            <w:tcW w:w="1180" w:type="dxa"/>
          </w:tcPr>
          <w:p>
            <w:pPr>
              <w:pStyle w:val="yTableNAm"/>
            </w:pPr>
            <w:r>
              <w:t>0.31</w:t>
            </w:r>
          </w:p>
        </w:tc>
        <w:tc>
          <w:tcPr>
            <w:tcW w:w="1180" w:type="dxa"/>
          </w:tcPr>
          <w:p>
            <w:pPr>
              <w:pStyle w:val="yTableNAm"/>
            </w:pPr>
            <w:r>
              <w:t>0.35</w:t>
            </w:r>
          </w:p>
        </w:tc>
        <w:tc>
          <w:tcPr>
            <w:tcW w:w="1180" w:type="dxa"/>
          </w:tcPr>
          <w:p>
            <w:pPr>
              <w:pStyle w:val="yTableNAm"/>
            </w:pPr>
            <w:r>
              <w:t>0.65</w:t>
            </w:r>
          </w:p>
        </w:tc>
      </w:tr>
      <w:tr>
        <w:tc>
          <w:tcPr>
            <w:tcW w:w="1180" w:type="dxa"/>
          </w:tcPr>
          <w:p>
            <w:pPr>
              <w:pStyle w:val="yTableNAm"/>
            </w:pPr>
            <w:r>
              <w:t>2.60</w:t>
            </w:r>
          </w:p>
        </w:tc>
        <w:tc>
          <w:tcPr>
            <w:tcW w:w="1180" w:type="dxa"/>
          </w:tcPr>
          <w:p>
            <w:pPr>
              <w:pStyle w:val="yTableNAm"/>
            </w:pPr>
            <w:r>
              <w:t>0.36</w:t>
            </w:r>
          </w:p>
        </w:tc>
        <w:tc>
          <w:tcPr>
            <w:tcW w:w="1180" w:type="dxa"/>
          </w:tcPr>
          <w:p>
            <w:pPr>
              <w:pStyle w:val="yTableNAm"/>
            </w:pPr>
            <w:r>
              <w:t>0.22</w:t>
            </w:r>
          </w:p>
        </w:tc>
        <w:tc>
          <w:tcPr>
            <w:tcW w:w="1180" w:type="dxa"/>
          </w:tcPr>
          <w:p>
            <w:pPr>
              <w:pStyle w:val="yTableNAm"/>
            </w:pPr>
            <w:r>
              <w:t>0.30</w:t>
            </w:r>
          </w:p>
        </w:tc>
        <w:tc>
          <w:tcPr>
            <w:tcW w:w="1180" w:type="dxa"/>
          </w:tcPr>
          <w:p>
            <w:pPr>
              <w:pStyle w:val="yTableNAm"/>
            </w:pPr>
            <w:r>
              <w:t>0.34</w:t>
            </w:r>
          </w:p>
        </w:tc>
        <w:tc>
          <w:tcPr>
            <w:tcW w:w="1180" w:type="dxa"/>
          </w:tcPr>
          <w:p>
            <w:pPr>
              <w:pStyle w:val="yTableNAm"/>
            </w:pPr>
            <w:r>
              <w:t>0.65</w:t>
            </w:r>
          </w:p>
        </w:tc>
      </w:tr>
      <w:tr>
        <w:tc>
          <w:tcPr>
            <w:tcW w:w="1180" w:type="dxa"/>
          </w:tcPr>
          <w:p>
            <w:pPr>
              <w:pStyle w:val="yTableNAm"/>
            </w:pPr>
            <w:r>
              <w:t>2.70</w:t>
            </w:r>
          </w:p>
        </w:tc>
        <w:tc>
          <w:tcPr>
            <w:tcW w:w="1180" w:type="dxa"/>
          </w:tcPr>
          <w:p>
            <w:pPr>
              <w:pStyle w:val="yTableNAm"/>
            </w:pPr>
            <w:r>
              <w:t>0.35</w:t>
            </w:r>
          </w:p>
        </w:tc>
        <w:tc>
          <w:tcPr>
            <w:tcW w:w="1180" w:type="dxa"/>
          </w:tcPr>
          <w:p>
            <w:pPr>
              <w:pStyle w:val="yTableNAm"/>
            </w:pPr>
            <w:r>
              <w:t>0.22</w:t>
            </w:r>
          </w:p>
        </w:tc>
        <w:tc>
          <w:tcPr>
            <w:tcW w:w="1180" w:type="dxa"/>
          </w:tcPr>
          <w:p>
            <w:pPr>
              <w:pStyle w:val="yTableNAm"/>
            </w:pPr>
            <w:r>
              <w:t>0.30</w:t>
            </w:r>
          </w:p>
        </w:tc>
        <w:tc>
          <w:tcPr>
            <w:tcW w:w="1180" w:type="dxa"/>
          </w:tcPr>
          <w:p>
            <w:pPr>
              <w:pStyle w:val="yTableNAm"/>
            </w:pPr>
            <w:r>
              <w:t>0.33</w:t>
            </w:r>
          </w:p>
        </w:tc>
        <w:tc>
          <w:tcPr>
            <w:tcW w:w="1180" w:type="dxa"/>
          </w:tcPr>
          <w:p>
            <w:pPr>
              <w:pStyle w:val="yTableNAm"/>
            </w:pPr>
            <w:r>
              <w:t>0.60</w:t>
            </w:r>
          </w:p>
        </w:tc>
      </w:tr>
      <w:tr>
        <w:tc>
          <w:tcPr>
            <w:tcW w:w="1180" w:type="dxa"/>
          </w:tcPr>
          <w:p>
            <w:pPr>
              <w:pStyle w:val="yTableNAm"/>
            </w:pPr>
            <w:r>
              <w:t>2.80</w:t>
            </w:r>
          </w:p>
        </w:tc>
        <w:tc>
          <w:tcPr>
            <w:tcW w:w="1180" w:type="dxa"/>
          </w:tcPr>
          <w:p>
            <w:pPr>
              <w:pStyle w:val="yTableNAm"/>
            </w:pPr>
            <w:r>
              <w:t>0.33</w:t>
            </w:r>
          </w:p>
        </w:tc>
        <w:tc>
          <w:tcPr>
            <w:tcW w:w="1180" w:type="dxa"/>
          </w:tcPr>
          <w:p>
            <w:pPr>
              <w:pStyle w:val="yTableNAm"/>
            </w:pPr>
            <w:r>
              <w:t>0.21</w:t>
            </w:r>
          </w:p>
        </w:tc>
        <w:tc>
          <w:tcPr>
            <w:tcW w:w="1180" w:type="dxa"/>
          </w:tcPr>
          <w:p>
            <w:pPr>
              <w:pStyle w:val="yTableNAm"/>
            </w:pPr>
            <w:r>
              <w:t>0.29</w:t>
            </w:r>
          </w:p>
        </w:tc>
        <w:tc>
          <w:tcPr>
            <w:tcW w:w="1180" w:type="dxa"/>
          </w:tcPr>
          <w:p>
            <w:pPr>
              <w:pStyle w:val="yTableNAm"/>
            </w:pPr>
            <w:r>
              <w:t>0.31</w:t>
            </w:r>
          </w:p>
        </w:tc>
        <w:tc>
          <w:tcPr>
            <w:tcW w:w="1180" w:type="dxa"/>
          </w:tcPr>
          <w:p>
            <w:pPr>
              <w:pStyle w:val="yTableNAm"/>
            </w:pPr>
            <w:r>
              <w:t>0.60</w:t>
            </w:r>
          </w:p>
        </w:tc>
      </w:tr>
      <w:tr>
        <w:tc>
          <w:tcPr>
            <w:tcW w:w="1180" w:type="dxa"/>
          </w:tcPr>
          <w:p>
            <w:pPr>
              <w:pStyle w:val="yTableNAm"/>
            </w:pPr>
            <w:r>
              <w:t>2.90</w:t>
            </w:r>
          </w:p>
        </w:tc>
        <w:tc>
          <w:tcPr>
            <w:tcW w:w="1180" w:type="dxa"/>
          </w:tcPr>
          <w:p>
            <w:pPr>
              <w:pStyle w:val="yTableNAm"/>
            </w:pPr>
            <w:r>
              <w:t>0.32</w:t>
            </w:r>
          </w:p>
        </w:tc>
        <w:tc>
          <w:tcPr>
            <w:tcW w:w="1180" w:type="dxa"/>
          </w:tcPr>
          <w:p>
            <w:pPr>
              <w:pStyle w:val="yTableNAm"/>
            </w:pPr>
            <w:r>
              <w:t>0.21</w:t>
            </w:r>
          </w:p>
        </w:tc>
        <w:tc>
          <w:tcPr>
            <w:tcW w:w="1180" w:type="dxa"/>
          </w:tcPr>
          <w:p>
            <w:pPr>
              <w:pStyle w:val="yTableNAm"/>
            </w:pPr>
            <w:r>
              <w:t>0.29</w:t>
            </w:r>
          </w:p>
        </w:tc>
        <w:tc>
          <w:tcPr>
            <w:tcW w:w="1180" w:type="dxa"/>
          </w:tcPr>
          <w:p>
            <w:pPr>
              <w:pStyle w:val="yTableNAm"/>
            </w:pPr>
            <w:r>
              <w:t>0.30</w:t>
            </w:r>
          </w:p>
        </w:tc>
        <w:tc>
          <w:tcPr>
            <w:tcW w:w="1180" w:type="dxa"/>
          </w:tcPr>
          <w:p>
            <w:pPr>
              <w:pStyle w:val="yTableNAm"/>
            </w:pPr>
            <w:r>
              <w:t>0.60</w:t>
            </w:r>
          </w:p>
        </w:tc>
      </w:tr>
      <w:tr>
        <w:tc>
          <w:tcPr>
            <w:tcW w:w="1180" w:type="dxa"/>
          </w:tcPr>
          <w:p>
            <w:pPr>
              <w:pStyle w:val="yTableNAm"/>
            </w:pPr>
            <w:r>
              <w:t>3.00</w:t>
            </w:r>
          </w:p>
        </w:tc>
        <w:tc>
          <w:tcPr>
            <w:tcW w:w="1180" w:type="dxa"/>
          </w:tcPr>
          <w:p>
            <w:pPr>
              <w:pStyle w:val="yTableNAm"/>
            </w:pPr>
            <w:r>
              <w:t>0.31</w:t>
            </w:r>
          </w:p>
        </w:tc>
        <w:tc>
          <w:tcPr>
            <w:tcW w:w="1180" w:type="dxa"/>
          </w:tcPr>
          <w:p>
            <w:pPr>
              <w:pStyle w:val="yTableNAm"/>
            </w:pPr>
            <w:r>
              <w:t>0.21</w:t>
            </w:r>
          </w:p>
        </w:tc>
        <w:tc>
          <w:tcPr>
            <w:tcW w:w="1180" w:type="dxa"/>
          </w:tcPr>
          <w:p>
            <w:pPr>
              <w:pStyle w:val="yTableNAm"/>
            </w:pPr>
            <w:r>
              <w:t>0.28</w:t>
            </w:r>
          </w:p>
        </w:tc>
        <w:tc>
          <w:tcPr>
            <w:tcW w:w="1180" w:type="dxa"/>
          </w:tcPr>
          <w:p>
            <w:pPr>
              <w:pStyle w:val="yTableNAm"/>
            </w:pPr>
            <w:r>
              <w:t>0.29</w:t>
            </w:r>
          </w:p>
        </w:tc>
        <w:tc>
          <w:tcPr>
            <w:tcW w:w="1180" w:type="dxa"/>
          </w:tcPr>
          <w:p>
            <w:pPr>
              <w:pStyle w:val="yTableNAm"/>
            </w:pPr>
            <w:r>
              <w:t>0.55</w:t>
            </w:r>
          </w:p>
        </w:tc>
      </w:tr>
      <w:tr>
        <w:tc>
          <w:tcPr>
            <w:tcW w:w="1180" w:type="dxa"/>
          </w:tcPr>
          <w:p>
            <w:pPr>
              <w:pStyle w:val="yTableNAm"/>
            </w:pPr>
            <w:r>
              <w:t>3.10</w:t>
            </w:r>
          </w:p>
        </w:tc>
        <w:tc>
          <w:tcPr>
            <w:tcW w:w="1180" w:type="dxa"/>
          </w:tcPr>
          <w:p>
            <w:pPr>
              <w:pStyle w:val="yTableNAm"/>
            </w:pPr>
            <w:r>
              <w:t>0.30</w:t>
            </w:r>
          </w:p>
        </w:tc>
        <w:tc>
          <w:tcPr>
            <w:tcW w:w="1180" w:type="dxa"/>
          </w:tcPr>
          <w:p>
            <w:pPr>
              <w:pStyle w:val="yTableNAm"/>
            </w:pPr>
            <w:r>
              <w:t>0.20</w:t>
            </w:r>
          </w:p>
        </w:tc>
        <w:tc>
          <w:tcPr>
            <w:tcW w:w="1180" w:type="dxa"/>
          </w:tcPr>
          <w:p>
            <w:pPr>
              <w:pStyle w:val="yTableNAm"/>
            </w:pPr>
            <w:r>
              <w:t>0.27</w:t>
            </w:r>
          </w:p>
        </w:tc>
        <w:tc>
          <w:tcPr>
            <w:tcW w:w="1180" w:type="dxa"/>
          </w:tcPr>
          <w:p>
            <w:pPr>
              <w:pStyle w:val="yTableNAm"/>
            </w:pPr>
            <w:r>
              <w:t>0.28</w:t>
            </w:r>
          </w:p>
        </w:tc>
        <w:tc>
          <w:tcPr>
            <w:tcW w:w="1180" w:type="dxa"/>
          </w:tcPr>
          <w:p>
            <w:pPr>
              <w:pStyle w:val="yTableNAm"/>
            </w:pPr>
            <w:r>
              <w:t>0.55</w:t>
            </w:r>
          </w:p>
        </w:tc>
      </w:tr>
      <w:tr>
        <w:tc>
          <w:tcPr>
            <w:tcW w:w="1180" w:type="dxa"/>
          </w:tcPr>
          <w:p>
            <w:pPr>
              <w:pStyle w:val="yTableNAm"/>
            </w:pPr>
            <w:r>
              <w:t>3.20</w:t>
            </w:r>
          </w:p>
        </w:tc>
        <w:tc>
          <w:tcPr>
            <w:tcW w:w="1180" w:type="dxa"/>
          </w:tcPr>
          <w:p>
            <w:pPr>
              <w:pStyle w:val="yTableNAm"/>
            </w:pPr>
            <w:r>
              <w:t>0.29</w:t>
            </w:r>
          </w:p>
        </w:tc>
        <w:tc>
          <w:tcPr>
            <w:tcW w:w="1180" w:type="dxa"/>
          </w:tcPr>
          <w:p>
            <w:pPr>
              <w:pStyle w:val="yTableNAm"/>
            </w:pPr>
            <w:r>
              <w:t>0.20</w:t>
            </w:r>
          </w:p>
        </w:tc>
        <w:tc>
          <w:tcPr>
            <w:tcW w:w="1180" w:type="dxa"/>
          </w:tcPr>
          <w:p>
            <w:pPr>
              <w:pStyle w:val="yTableNAm"/>
            </w:pPr>
            <w:r>
              <w:t>0.27</w:t>
            </w:r>
          </w:p>
        </w:tc>
        <w:tc>
          <w:tcPr>
            <w:tcW w:w="1180" w:type="dxa"/>
          </w:tcPr>
          <w:p>
            <w:pPr>
              <w:pStyle w:val="yTableNAm"/>
            </w:pPr>
            <w:r>
              <w:t>0.27</w:t>
            </w:r>
          </w:p>
        </w:tc>
        <w:tc>
          <w:tcPr>
            <w:tcW w:w="1180" w:type="dxa"/>
          </w:tcPr>
          <w:p>
            <w:pPr>
              <w:pStyle w:val="yTableNAm"/>
            </w:pPr>
            <w:r>
              <w:t>0.55</w:t>
            </w:r>
          </w:p>
        </w:tc>
      </w:tr>
      <w:tr>
        <w:tc>
          <w:tcPr>
            <w:tcW w:w="1180" w:type="dxa"/>
          </w:tcPr>
          <w:p>
            <w:pPr>
              <w:pStyle w:val="yTableNAm"/>
            </w:pPr>
            <w:r>
              <w:t>3.30</w:t>
            </w:r>
          </w:p>
        </w:tc>
        <w:tc>
          <w:tcPr>
            <w:tcW w:w="1180" w:type="dxa"/>
          </w:tcPr>
          <w:p>
            <w:pPr>
              <w:pStyle w:val="yTableNAm"/>
            </w:pPr>
            <w:r>
              <w:t>0.28</w:t>
            </w:r>
          </w:p>
        </w:tc>
        <w:tc>
          <w:tcPr>
            <w:tcW w:w="1180" w:type="dxa"/>
          </w:tcPr>
          <w:p>
            <w:pPr>
              <w:pStyle w:val="yTableNAm"/>
            </w:pPr>
            <w:r>
              <w:t>0.20</w:t>
            </w:r>
          </w:p>
        </w:tc>
        <w:tc>
          <w:tcPr>
            <w:tcW w:w="1180" w:type="dxa"/>
          </w:tcPr>
          <w:p>
            <w:pPr>
              <w:pStyle w:val="yTableNAm"/>
            </w:pPr>
            <w:r>
              <w:t>0.26</w:t>
            </w:r>
          </w:p>
        </w:tc>
        <w:tc>
          <w:tcPr>
            <w:tcW w:w="1180" w:type="dxa"/>
          </w:tcPr>
          <w:p>
            <w:pPr>
              <w:pStyle w:val="yTableNAm"/>
            </w:pPr>
            <w:r>
              <w:t>0.26</w:t>
            </w:r>
          </w:p>
        </w:tc>
        <w:tc>
          <w:tcPr>
            <w:tcW w:w="1180" w:type="dxa"/>
          </w:tcPr>
          <w:p>
            <w:pPr>
              <w:pStyle w:val="yTableNAm"/>
            </w:pPr>
            <w:r>
              <w:t>0.55</w:t>
            </w:r>
          </w:p>
        </w:tc>
      </w:tr>
      <w:tr>
        <w:tc>
          <w:tcPr>
            <w:tcW w:w="1180" w:type="dxa"/>
          </w:tcPr>
          <w:p>
            <w:pPr>
              <w:pStyle w:val="yTableNAm"/>
            </w:pPr>
            <w:r>
              <w:t>3.40</w:t>
            </w:r>
          </w:p>
        </w:tc>
        <w:tc>
          <w:tcPr>
            <w:tcW w:w="1180" w:type="dxa"/>
          </w:tcPr>
          <w:p>
            <w:pPr>
              <w:pStyle w:val="yTableNAm"/>
            </w:pPr>
            <w:r>
              <w:t>0.27</w:t>
            </w:r>
          </w:p>
        </w:tc>
        <w:tc>
          <w:tcPr>
            <w:tcW w:w="1180" w:type="dxa"/>
          </w:tcPr>
          <w:p>
            <w:pPr>
              <w:pStyle w:val="yTableNAm"/>
            </w:pPr>
            <w:r>
              <w:t>0.19</w:t>
            </w:r>
          </w:p>
        </w:tc>
        <w:tc>
          <w:tcPr>
            <w:tcW w:w="1180" w:type="dxa"/>
          </w:tcPr>
          <w:p>
            <w:pPr>
              <w:pStyle w:val="yTableNAm"/>
            </w:pPr>
            <w:r>
              <w:t>0.26</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3.50</w:t>
            </w:r>
          </w:p>
        </w:tc>
        <w:tc>
          <w:tcPr>
            <w:tcW w:w="1180" w:type="dxa"/>
          </w:tcPr>
          <w:p>
            <w:pPr>
              <w:pStyle w:val="yTableNAm"/>
            </w:pPr>
            <w:r>
              <w:t>0.27</w:t>
            </w:r>
          </w:p>
        </w:tc>
        <w:tc>
          <w:tcPr>
            <w:tcW w:w="1180" w:type="dxa"/>
          </w:tcPr>
          <w:p>
            <w:pPr>
              <w:pStyle w:val="yTableNAm"/>
            </w:pPr>
            <w:r>
              <w:t>0.19</w:t>
            </w:r>
          </w:p>
        </w:tc>
        <w:tc>
          <w:tcPr>
            <w:tcW w:w="1180" w:type="dxa"/>
          </w:tcPr>
          <w:p>
            <w:pPr>
              <w:pStyle w:val="yTableNAm"/>
            </w:pPr>
            <w:r>
              <w:t>0.25</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3.60</w:t>
            </w:r>
          </w:p>
        </w:tc>
        <w:tc>
          <w:tcPr>
            <w:tcW w:w="1180" w:type="dxa"/>
          </w:tcPr>
          <w:p>
            <w:pPr>
              <w:pStyle w:val="yTableNAm"/>
            </w:pPr>
            <w:r>
              <w:t>0.26</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3.70</w:t>
            </w:r>
          </w:p>
        </w:tc>
        <w:tc>
          <w:tcPr>
            <w:tcW w:w="1180" w:type="dxa"/>
          </w:tcPr>
          <w:p>
            <w:pPr>
              <w:pStyle w:val="yTableNAm"/>
            </w:pPr>
            <w:r>
              <w:t>0.25</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3.80</w:t>
            </w:r>
          </w:p>
        </w:tc>
        <w:tc>
          <w:tcPr>
            <w:tcW w:w="1180" w:type="dxa"/>
          </w:tcPr>
          <w:p>
            <w:pPr>
              <w:pStyle w:val="yTableNAm"/>
            </w:pPr>
            <w:r>
              <w:t>0.25</w:t>
            </w:r>
          </w:p>
        </w:tc>
        <w:tc>
          <w:tcPr>
            <w:tcW w:w="1180" w:type="dxa"/>
          </w:tcPr>
          <w:p>
            <w:pPr>
              <w:pStyle w:val="yTableNAm"/>
            </w:pPr>
            <w:r>
              <w:t>0.18</w:t>
            </w:r>
          </w:p>
        </w:tc>
        <w:tc>
          <w:tcPr>
            <w:tcW w:w="1180" w:type="dxa"/>
          </w:tcPr>
          <w:p>
            <w:pPr>
              <w:pStyle w:val="yTableNAm"/>
            </w:pPr>
            <w:r>
              <w:t>0.24</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3.90</w:t>
            </w:r>
          </w:p>
        </w:tc>
        <w:tc>
          <w:tcPr>
            <w:tcW w:w="1180" w:type="dxa"/>
          </w:tcPr>
          <w:p>
            <w:pPr>
              <w:pStyle w:val="yTableNAm"/>
            </w:pPr>
            <w:r>
              <w:t>0.24</w:t>
            </w:r>
          </w:p>
        </w:tc>
        <w:tc>
          <w:tcPr>
            <w:tcW w:w="1180" w:type="dxa"/>
          </w:tcPr>
          <w:p>
            <w:pPr>
              <w:pStyle w:val="yTableNAm"/>
            </w:pPr>
            <w:r>
              <w:t>0.18</w:t>
            </w:r>
          </w:p>
        </w:tc>
        <w:tc>
          <w:tcPr>
            <w:tcW w:w="1180" w:type="dxa"/>
          </w:tcPr>
          <w:p>
            <w:pPr>
              <w:pStyle w:val="yTableNAm"/>
            </w:pPr>
            <w:r>
              <w:t>0.24</w:t>
            </w:r>
          </w:p>
        </w:tc>
        <w:tc>
          <w:tcPr>
            <w:tcW w:w="1180" w:type="dxa"/>
          </w:tcPr>
          <w:p>
            <w:pPr>
              <w:pStyle w:val="yTableNAm"/>
            </w:pPr>
            <w:r>
              <w:t>0.23</w:t>
            </w:r>
          </w:p>
        </w:tc>
        <w:tc>
          <w:tcPr>
            <w:tcW w:w="1180" w:type="dxa"/>
          </w:tcPr>
          <w:p>
            <w:pPr>
              <w:pStyle w:val="yTableNAm"/>
            </w:pPr>
            <w:r>
              <w:t>0.45</w:t>
            </w:r>
          </w:p>
        </w:tc>
      </w:tr>
      <w:tr>
        <w:tc>
          <w:tcPr>
            <w:tcW w:w="1180" w:type="dxa"/>
          </w:tcPr>
          <w:p>
            <w:pPr>
              <w:pStyle w:val="yTableNAm"/>
            </w:pPr>
            <w:r>
              <w:t>4.00</w:t>
            </w:r>
          </w:p>
        </w:tc>
        <w:tc>
          <w:tcPr>
            <w:tcW w:w="1180" w:type="dxa"/>
          </w:tcPr>
          <w:p>
            <w:pPr>
              <w:pStyle w:val="yTableNAm"/>
            </w:pPr>
            <w:r>
              <w:t>0.23</w:t>
            </w:r>
          </w:p>
        </w:tc>
        <w:tc>
          <w:tcPr>
            <w:tcW w:w="1180" w:type="dxa"/>
          </w:tcPr>
          <w:p>
            <w:pPr>
              <w:pStyle w:val="yTableNAm"/>
            </w:pPr>
            <w:r>
              <w:t>0.18</w:t>
            </w:r>
          </w:p>
        </w:tc>
        <w:tc>
          <w:tcPr>
            <w:tcW w:w="1180" w:type="dxa"/>
          </w:tcPr>
          <w:p>
            <w:pPr>
              <w:pStyle w:val="yTableNAm"/>
            </w:pPr>
            <w:r>
              <w:t>0.23</w:t>
            </w:r>
          </w:p>
        </w:tc>
        <w:tc>
          <w:tcPr>
            <w:tcW w:w="1180" w:type="dxa"/>
          </w:tcPr>
          <w:p>
            <w:pPr>
              <w:pStyle w:val="yTableNAm"/>
            </w:pPr>
            <w:r>
              <w:t>0.22</w:t>
            </w:r>
          </w:p>
        </w:tc>
        <w:tc>
          <w:tcPr>
            <w:tcW w:w="1180" w:type="dxa"/>
          </w:tcPr>
          <w:p>
            <w:pPr>
              <w:pStyle w:val="yTableNAm"/>
            </w:pPr>
            <w:r>
              <w:t>0.45</w:t>
            </w:r>
          </w:p>
        </w:tc>
      </w:tr>
      <w:tr>
        <w:tc>
          <w:tcPr>
            <w:tcW w:w="1180" w:type="dxa"/>
          </w:tcPr>
          <w:p>
            <w:pPr>
              <w:pStyle w:val="yTableNAm"/>
            </w:pPr>
            <w:r>
              <w:t>4.20</w:t>
            </w:r>
          </w:p>
        </w:tc>
        <w:tc>
          <w:tcPr>
            <w:tcW w:w="1180" w:type="dxa"/>
          </w:tcPr>
          <w:p>
            <w:pPr>
              <w:pStyle w:val="yTableNAm"/>
            </w:pPr>
            <w:r>
              <w:t>0.22</w:t>
            </w:r>
          </w:p>
        </w:tc>
        <w:tc>
          <w:tcPr>
            <w:tcW w:w="1180" w:type="dxa"/>
          </w:tcPr>
          <w:p>
            <w:pPr>
              <w:pStyle w:val="yTableNAm"/>
            </w:pPr>
            <w:r>
              <w:t>0.17</w:t>
            </w:r>
          </w:p>
        </w:tc>
        <w:tc>
          <w:tcPr>
            <w:tcW w:w="1180" w:type="dxa"/>
          </w:tcPr>
          <w:p>
            <w:pPr>
              <w:pStyle w:val="yTableNAm"/>
            </w:pPr>
            <w:r>
              <w:t>0.23</w:t>
            </w:r>
          </w:p>
        </w:tc>
        <w:tc>
          <w:tcPr>
            <w:tcW w:w="1180" w:type="dxa"/>
          </w:tcPr>
          <w:p>
            <w:pPr>
              <w:pStyle w:val="yTableNAm"/>
            </w:pPr>
            <w:r>
              <w:t>0.21</w:t>
            </w:r>
          </w:p>
        </w:tc>
        <w:tc>
          <w:tcPr>
            <w:tcW w:w="1180" w:type="dxa"/>
          </w:tcPr>
          <w:p>
            <w:pPr>
              <w:pStyle w:val="yTableNAm"/>
            </w:pPr>
            <w:r>
              <w:t>0.45</w:t>
            </w:r>
          </w:p>
        </w:tc>
      </w:tr>
      <w:tr>
        <w:tc>
          <w:tcPr>
            <w:tcW w:w="1180" w:type="dxa"/>
          </w:tcPr>
          <w:p>
            <w:pPr>
              <w:pStyle w:val="yTableNAm"/>
            </w:pPr>
            <w:r>
              <w:t>4.40</w:t>
            </w:r>
          </w:p>
        </w:tc>
        <w:tc>
          <w:tcPr>
            <w:tcW w:w="1180" w:type="dxa"/>
          </w:tcPr>
          <w:p>
            <w:pPr>
              <w:pStyle w:val="yTableNAm"/>
            </w:pPr>
            <w:r>
              <w:t>0.21</w:t>
            </w:r>
          </w:p>
        </w:tc>
        <w:tc>
          <w:tcPr>
            <w:tcW w:w="1180" w:type="dxa"/>
          </w:tcPr>
          <w:p>
            <w:pPr>
              <w:pStyle w:val="yTableNAm"/>
            </w:pPr>
            <w:r>
              <w:t>0.17</w:t>
            </w:r>
          </w:p>
        </w:tc>
        <w:tc>
          <w:tcPr>
            <w:tcW w:w="1180" w:type="dxa"/>
          </w:tcPr>
          <w:p>
            <w:pPr>
              <w:pStyle w:val="yTableNAm"/>
            </w:pPr>
            <w:r>
              <w:t>0.22</w:t>
            </w:r>
          </w:p>
        </w:tc>
        <w:tc>
          <w:tcPr>
            <w:tcW w:w="1180" w:type="dxa"/>
          </w:tcPr>
          <w:p>
            <w:pPr>
              <w:pStyle w:val="yTableNAm"/>
            </w:pPr>
            <w:r>
              <w:t>0.20</w:t>
            </w:r>
          </w:p>
        </w:tc>
        <w:tc>
          <w:tcPr>
            <w:tcW w:w="1180" w:type="dxa"/>
          </w:tcPr>
          <w:p>
            <w:pPr>
              <w:pStyle w:val="yTableNAm"/>
            </w:pPr>
            <w:r>
              <w:t>0.40</w:t>
            </w:r>
          </w:p>
        </w:tc>
      </w:tr>
      <w:tr>
        <w:tc>
          <w:tcPr>
            <w:tcW w:w="1180" w:type="dxa"/>
          </w:tcPr>
          <w:p>
            <w:pPr>
              <w:pStyle w:val="yTableNAm"/>
            </w:pPr>
            <w:r>
              <w:t>4.60</w:t>
            </w:r>
          </w:p>
        </w:tc>
        <w:tc>
          <w:tcPr>
            <w:tcW w:w="1180" w:type="dxa"/>
          </w:tcPr>
          <w:p>
            <w:pPr>
              <w:pStyle w:val="yTableNAm"/>
            </w:pPr>
            <w:r>
              <w:t>0.20</w:t>
            </w:r>
          </w:p>
        </w:tc>
        <w:tc>
          <w:tcPr>
            <w:tcW w:w="1180" w:type="dxa"/>
          </w:tcPr>
          <w:p>
            <w:pPr>
              <w:pStyle w:val="yTableNAm"/>
            </w:pPr>
            <w:r>
              <w:t>0.16</w:t>
            </w:r>
          </w:p>
        </w:tc>
        <w:tc>
          <w:tcPr>
            <w:tcW w:w="1180" w:type="dxa"/>
          </w:tcPr>
          <w:p>
            <w:pPr>
              <w:pStyle w:val="yTableNAm"/>
            </w:pPr>
            <w:r>
              <w:t>0.21</w:t>
            </w:r>
          </w:p>
        </w:tc>
        <w:tc>
          <w:tcPr>
            <w:tcW w:w="1180" w:type="dxa"/>
          </w:tcPr>
          <w:p>
            <w:pPr>
              <w:pStyle w:val="yTableNAm"/>
            </w:pPr>
            <w:r>
              <w:t>0.19</w:t>
            </w:r>
          </w:p>
        </w:tc>
        <w:tc>
          <w:tcPr>
            <w:tcW w:w="1180" w:type="dxa"/>
          </w:tcPr>
          <w:p>
            <w:pPr>
              <w:pStyle w:val="yTableNAm"/>
            </w:pPr>
            <w:r>
              <w:t>0.40</w:t>
            </w:r>
          </w:p>
        </w:tc>
      </w:tr>
      <w:tr>
        <w:tc>
          <w:tcPr>
            <w:tcW w:w="1180" w:type="dxa"/>
          </w:tcPr>
          <w:p>
            <w:pPr>
              <w:pStyle w:val="yTableNAm"/>
            </w:pPr>
            <w:r>
              <w:lastRenderedPageBreak/>
              <w:t>4.80</w:t>
            </w:r>
          </w:p>
        </w:tc>
        <w:tc>
          <w:tcPr>
            <w:tcW w:w="1180" w:type="dxa"/>
          </w:tcPr>
          <w:p>
            <w:pPr>
              <w:pStyle w:val="yTableNAm"/>
            </w:pPr>
            <w:r>
              <w:t>0.19</w:t>
            </w:r>
          </w:p>
        </w:tc>
        <w:tc>
          <w:tcPr>
            <w:tcW w:w="1180" w:type="dxa"/>
          </w:tcPr>
          <w:p>
            <w:pPr>
              <w:pStyle w:val="yTableNAm"/>
            </w:pPr>
            <w:r>
              <w:t>0.16</w:t>
            </w:r>
          </w:p>
        </w:tc>
        <w:tc>
          <w:tcPr>
            <w:tcW w:w="1180" w:type="dxa"/>
          </w:tcPr>
          <w:p>
            <w:pPr>
              <w:pStyle w:val="yTableNAm"/>
            </w:pPr>
            <w:r>
              <w:t>0.21</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5.00</w:t>
            </w:r>
          </w:p>
        </w:tc>
        <w:tc>
          <w:tcPr>
            <w:tcW w:w="1180" w:type="dxa"/>
          </w:tcPr>
          <w:p>
            <w:pPr>
              <w:pStyle w:val="yTableNAm"/>
            </w:pPr>
            <w:r>
              <w:t>0.19</w:t>
            </w:r>
          </w:p>
        </w:tc>
        <w:tc>
          <w:tcPr>
            <w:tcW w:w="1180" w:type="dxa"/>
          </w:tcPr>
          <w:p>
            <w:pPr>
              <w:pStyle w:val="yTableNAm"/>
            </w:pPr>
            <w:r>
              <w:t>0.16</w:t>
            </w:r>
          </w:p>
        </w:tc>
        <w:tc>
          <w:tcPr>
            <w:tcW w:w="1180" w:type="dxa"/>
          </w:tcPr>
          <w:p>
            <w:pPr>
              <w:pStyle w:val="yTableNAm"/>
            </w:pPr>
            <w:r>
              <w:t>0.20</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5.50</w:t>
            </w:r>
          </w:p>
        </w:tc>
        <w:tc>
          <w:tcPr>
            <w:tcW w:w="1180" w:type="dxa"/>
          </w:tcPr>
          <w:p>
            <w:pPr>
              <w:pStyle w:val="yTableNAm"/>
            </w:pPr>
            <w:r>
              <w:t>0.17</w:t>
            </w:r>
          </w:p>
        </w:tc>
        <w:tc>
          <w:tcPr>
            <w:tcW w:w="1180" w:type="dxa"/>
          </w:tcPr>
          <w:p>
            <w:pPr>
              <w:pStyle w:val="yTableNAm"/>
            </w:pPr>
            <w:r>
              <w:t>0.15</w:t>
            </w:r>
          </w:p>
        </w:tc>
        <w:tc>
          <w:tcPr>
            <w:tcW w:w="1180" w:type="dxa"/>
          </w:tcPr>
          <w:p>
            <w:pPr>
              <w:pStyle w:val="yTableNAm"/>
            </w:pPr>
            <w:r>
              <w:t>0.19</w:t>
            </w:r>
          </w:p>
        </w:tc>
        <w:tc>
          <w:tcPr>
            <w:tcW w:w="1180" w:type="dxa"/>
          </w:tcPr>
          <w:p>
            <w:pPr>
              <w:pStyle w:val="yTableNAm"/>
            </w:pPr>
            <w:r>
              <w:t>0.17</w:t>
            </w:r>
          </w:p>
        </w:tc>
        <w:tc>
          <w:tcPr>
            <w:tcW w:w="1180" w:type="dxa"/>
          </w:tcPr>
          <w:p>
            <w:pPr>
              <w:pStyle w:val="yTableNAm"/>
            </w:pPr>
            <w:r>
              <w:t>0.35</w:t>
            </w:r>
          </w:p>
        </w:tc>
      </w:tr>
      <w:tr>
        <w:tc>
          <w:tcPr>
            <w:tcW w:w="1180" w:type="dxa"/>
          </w:tcPr>
          <w:p>
            <w:pPr>
              <w:pStyle w:val="yTableNAm"/>
            </w:pPr>
            <w:r>
              <w:t>6.00</w:t>
            </w:r>
          </w:p>
        </w:tc>
        <w:tc>
          <w:tcPr>
            <w:tcW w:w="1180" w:type="dxa"/>
          </w:tcPr>
          <w:p>
            <w:pPr>
              <w:pStyle w:val="yTableNAm"/>
            </w:pPr>
            <w:r>
              <w:t>0.16</w:t>
            </w:r>
          </w:p>
        </w:tc>
        <w:tc>
          <w:tcPr>
            <w:tcW w:w="1180" w:type="dxa"/>
          </w:tcPr>
          <w:p>
            <w:pPr>
              <w:pStyle w:val="yTableNAm"/>
            </w:pPr>
            <w:r>
              <w:t>0.14</w:t>
            </w:r>
          </w:p>
        </w:tc>
        <w:tc>
          <w:tcPr>
            <w:tcW w:w="1180" w:type="dxa"/>
          </w:tcPr>
          <w:p>
            <w:pPr>
              <w:pStyle w:val="yTableNAm"/>
            </w:pPr>
            <w:r>
              <w:t>0.18</w:t>
            </w:r>
          </w:p>
        </w:tc>
        <w:tc>
          <w:tcPr>
            <w:tcW w:w="1180" w:type="dxa"/>
          </w:tcPr>
          <w:p>
            <w:pPr>
              <w:pStyle w:val="yTableNAm"/>
            </w:pPr>
            <w:r>
              <w:t>0.16</w:t>
            </w:r>
          </w:p>
        </w:tc>
        <w:tc>
          <w:tcPr>
            <w:tcW w:w="1180" w:type="dxa"/>
          </w:tcPr>
          <w:p>
            <w:pPr>
              <w:pStyle w:val="yTableNAm"/>
            </w:pPr>
            <w:r>
              <w:t>0.35</w:t>
            </w:r>
          </w:p>
        </w:tc>
      </w:tr>
      <w:tr>
        <w:tc>
          <w:tcPr>
            <w:tcW w:w="1180" w:type="dxa"/>
          </w:tcPr>
          <w:p>
            <w:pPr>
              <w:pStyle w:val="yTableNAm"/>
            </w:pPr>
            <w:r>
              <w:t>6.50</w:t>
            </w:r>
          </w:p>
        </w:tc>
        <w:tc>
          <w:tcPr>
            <w:tcW w:w="1180" w:type="dxa"/>
          </w:tcPr>
          <w:p>
            <w:pPr>
              <w:pStyle w:val="yTableNAm"/>
            </w:pPr>
            <w:r>
              <w:t>0.14</w:t>
            </w:r>
          </w:p>
        </w:tc>
        <w:tc>
          <w:tcPr>
            <w:tcW w:w="1180" w:type="dxa"/>
          </w:tcPr>
          <w:p>
            <w:pPr>
              <w:pStyle w:val="yTableNAm"/>
            </w:pPr>
            <w:r>
              <w:t>0.13</w:t>
            </w:r>
          </w:p>
        </w:tc>
        <w:tc>
          <w:tcPr>
            <w:tcW w:w="1180" w:type="dxa"/>
          </w:tcPr>
          <w:p>
            <w:pPr>
              <w:pStyle w:val="yTableNAm"/>
            </w:pPr>
            <w:r>
              <w:t>0.16</w:t>
            </w:r>
          </w:p>
        </w:tc>
        <w:tc>
          <w:tcPr>
            <w:tcW w:w="1180" w:type="dxa"/>
          </w:tcPr>
          <w:p>
            <w:pPr>
              <w:pStyle w:val="yTableNAm"/>
            </w:pPr>
            <w:r>
              <w:t>0.14</w:t>
            </w:r>
          </w:p>
        </w:tc>
        <w:tc>
          <w:tcPr>
            <w:tcW w:w="1180" w:type="dxa"/>
          </w:tcPr>
          <w:p>
            <w:pPr>
              <w:pStyle w:val="yTableNAm"/>
            </w:pPr>
            <w:r>
              <w:t>0.30</w:t>
            </w:r>
          </w:p>
        </w:tc>
      </w:tr>
      <w:tr>
        <w:tc>
          <w:tcPr>
            <w:tcW w:w="1180" w:type="dxa"/>
          </w:tcPr>
          <w:p>
            <w:pPr>
              <w:pStyle w:val="yTableNAm"/>
            </w:pPr>
            <w:r>
              <w:t>7.00</w:t>
            </w:r>
          </w:p>
        </w:tc>
        <w:tc>
          <w:tcPr>
            <w:tcW w:w="1180" w:type="dxa"/>
          </w:tcPr>
          <w:p>
            <w:pPr>
              <w:pStyle w:val="yTableNAm"/>
            </w:pPr>
            <w:r>
              <w:t>0.13</w:t>
            </w:r>
          </w:p>
        </w:tc>
        <w:tc>
          <w:tcPr>
            <w:tcW w:w="1180" w:type="dxa"/>
          </w:tcPr>
          <w:p>
            <w:pPr>
              <w:pStyle w:val="yTableNAm"/>
            </w:pPr>
            <w:r>
              <w:t>0.12</w:t>
            </w:r>
          </w:p>
        </w:tc>
        <w:tc>
          <w:tcPr>
            <w:tcW w:w="1180" w:type="dxa"/>
          </w:tcPr>
          <w:p>
            <w:pPr>
              <w:pStyle w:val="yTableNAm"/>
            </w:pPr>
            <w:r>
              <w:t>0.16</w:t>
            </w:r>
          </w:p>
        </w:tc>
        <w:tc>
          <w:tcPr>
            <w:tcW w:w="1180" w:type="dxa"/>
          </w:tcPr>
          <w:p>
            <w:pPr>
              <w:pStyle w:val="yTableNAm"/>
            </w:pPr>
            <w:r>
              <w:t>0.13</w:t>
            </w:r>
          </w:p>
        </w:tc>
        <w:tc>
          <w:tcPr>
            <w:tcW w:w="1180" w:type="dxa"/>
          </w:tcPr>
          <w:p>
            <w:pPr>
              <w:pStyle w:val="yTableNAm"/>
            </w:pPr>
            <w:r>
              <w:t>0.30</w:t>
            </w:r>
          </w:p>
        </w:tc>
      </w:tr>
      <w:tr>
        <w:tc>
          <w:tcPr>
            <w:tcW w:w="1180" w:type="dxa"/>
          </w:tcPr>
          <w:p>
            <w:pPr>
              <w:pStyle w:val="yTableNAm"/>
            </w:pPr>
            <w:r>
              <w:t>7.50</w:t>
            </w:r>
          </w:p>
        </w:tc>
        <w:tc>
          <w:tcPr>
            <w:tcW w:w="1180" w:type="dxa"/>
          </w:tcPr>
          <w:p>
            <w:pPr>
              <w:pStyle w:val="yTableNAm"/>
            </w:pPr>
            <w:r>
              <w:t>0.12</w:t>
            </w:r>
          </w:p>
        </w:tc>
        <w:tc>
          <w:tcPr>
            <w:tcW w:w="1180" w:type="dxa"/>
          </w:tcPr>
          <w:p>
            <w:pPr>
              <w:pStyle w:val="yTableNAm"/>
            </w:pPr>
            <w:r>
              <w:t>0.12</w:t>
            </w:r>
          </w:p>
        </w:tc>
        <w:tc>
          <w:tcPr>
            <w:tcW w:w="1180" w:type="dxa"/>
          </w:tcPr>
          <w:p>
            <w:pPr>
              <w:pStyle w:val="yTableNAm"/>
            </w:pPr>
            <w:r>
              <w:t>0.15</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8.00</w:t>
            </w:r>
          </w:p>
        </w:tc>
        <w:tc>
          <w:tcPr>
            <w:tcW w:w="1180" w:type="dxa"/>
          </w:tcPr>
          <w:p>
            <w:pPr>
              <w:pStyle w:val="yTableNAm"/>
            </w:pPr>
            <w:r>
              <w:t>0.12</w:t>
            </w:r>
          </w:p>
        </w:tc>
        <w:tc>
          <w:tcPr>
            <w:tcW w:w="1180" w:type="dxa"/>
          </w:tcPr>
          <w:p>
            <w:pPr>
              <w:pStyle w:val="yTableNAm"/>
            </w:pPr>
            <w:r>
              <w:t>0.11</w:t>
            </w:r>
          </w:p>
        </w:tc>
        <w:tc>
          <w:tcPr>
            <w:tcW w:w="1180" w:type="dxa"/>
          </w:tcPr>
          <w:p>
            <w:pPr>
              <w:pStyle w:val="yTableNAm"/>
            </w:pPr>
            <w:r>
              <w:t>0.14</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8.50</w:t>
            </w:r>
          </w:p>
        </w:tc>
        <w:tc>
          <w:tcPr>
            <w:tcW w:w="1180" w:type="dxa"/>
          </w:tcPr>
          <w:p>
            <w:pPr>
              <w:pStyle w:val="yTableNAm"/>
            </w:pPr>
            <w:r>
              <w:t>0.11</w:t>
            </w:r>
          </w:p>
        </w:tc>
        <w:tc>
          <w:tcPr>
            <w:tcW w:w="1180" w:type="dxa"/>
          </w:tcPr>
          <w:p>
            <w:pPr>
              <w:pStyle w:val="yTableNAm"/>
            </w:pPr>
            <w:r>
              <w:t>0.11</w:t>
            </w:r>
          </w:p>
        </w:tc>
        <w:tc>
          <w:tcPr>
            <w:tcW w:w="1180" w:type="dxa"/>
          </w:tcPr>
          <w:p>
            <w:pPr>
              <w:pStyle w:val="yTableNAm"/>
            </w:pPr>
            <w:r>
              <w:t>0.13</w:t>
            </w:r>
          </w:p>
        </w:tc>
        <w:tc>
          <w:tcPr>
            <w:tcW w:w="1180" w:type="dxa"/>
          </w:tcPr>
          <w:p>
            <w:pPr>
              <w:pStyle w:val="yTableNAm"/>
            </w:pPr>
            <w:r>
              <w:t>0.11</w:t>
            </w:r>
          </w:p>
        </w:tc>
        <w:tc>
          <w:tcPr>
            <w:tcW w:w="1180" w:type="dxa"/>
          </w:tcPr>
          <w:p>
            <w:pPr>
              <w:pStyle w:val="yTableNAm"/>
            </w:pPr>
            <w:r>
              <w:t>0.25</w:t>
            </w:r>
          </w:p>
        </w:tc>
      </w:tr>
      <w:tr>
        <w:tc>
          <w:tcPr>
            <w:tcW w:w="1180" w:type="dxa"/>
          </w:tcPr>
          <w:p>
            <w:pPr>
              <w:pStyle w:val="yTableNAm"/>
            </w:pPr>
            <w:r>
              <w:t>9.00</w:t>
            </w:r>
          </w:p>
        </w:tc>
        <w:tc>
          <w:tcPr>
            <w:tcW w:w="1180" w:type="dxa"/>
          </w:tcPr>
          <w:p>
            <w:pPr>
              <w:pStyle w:val="yTableNAm"/>
            </w:pPr>
            <w:r>
              <w:t>0.10</w:t>
            </w:r>
          </w:p>
        </w:tc>
        <w:tc>
          <w:tcPr>
            <w:tcW w:w="1180" w:type="dxa"/>
          </w:tcPr>
          <w:p>
            <w:pPr>
              <w:pStyle w:val="yTableNAm"/>
            </w:pPr>
            <w:r>
              <w:t>0.10</w:t>
            </w:r>
          </w:p>
        </w:tc>
        <w:tc>
          <w:tcPr>
            <w:tcW w:w="1180" w:type="dxa"/>
          </w:tcPr>
          <w:p>
            <w:pPr>
              <w:pStyle w:val="yTableNAm"/>
            </w:pPr>
            <w:r>
              <w:t>0.13</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9.50</w:t>
            </w:r>
          </w:p>
        </w:tc>
        <w:tc>
          <w:tcPr>
            <w:tcW w:w="1180" w:type="dxa"/>
          </w:tcPr>
          <w:p>
            <w:pPr>
              <w:pStyle w:val="yTableNAm"/>
            </w:pPr>
            <w:r>
              <w:t>0.10</w:t>
            </w:r>
          </w:p>
        </w:tc>
        <w:tc>
          <w:tcPr>
            <w:tcW w:w="1180" w:type="dxa"/>
          </w:tcPr>
          <w:p>
            <w:pPr>
              <w:pStyle w:val="yTableNAm"/>
            </w:pPr>
            <w:r>
              <w:t>0.10</w:t>
            </w:r>
          </w:p>
        </w:tc>
        <w:tc>
          <w:tcPr>
            <w:tcW w:w="1180" w:type="dxa"/>
          </w:tcPr>
          <w:p>
            <w:pPr>
              <w:pStyle w:val="yTableNAm"/>
            </w:pPr>
            <w:r>
              <w:t>0.12</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10.00</w:t>
            </w:r>
          </w:p>
        </w:tc>
        <w:tc>
          <w:tcPr>
            <w:tcW w:w="1180" w:type="dxa"/>
          </w:tcPr>
          <w:p>
            <w:pPr>
              <w:pStyle w:val="yTableNAm"/>
            </w:pPr>
            <w:r>
              <w:t>0.09</w:t>
            </w:r>
          </w:p>
        </w:tc>
        <w:tc>
          <w:tcPr>
            <w:tcW w:w="1180" w:type="dxa"/>
          </w:tcPr>
          <w:p>
            <w:pPr>
              <w:pStyle w:val="yTableNAm"/>
            </w:pPr>
            <w:r>
              <w:t>0.10</w:t>
            </w:r>
          </w:p>
        </w:tc>
        <w:tc>
          <w:tcPr>
            <w:tcW w:w="1180" w:type="dxa"/>
          </w:tcPr>
          <w:p>
            <w:pPr>
              <w:pStyle w:val="yTableNAm"/>
            </w:pPr>
            <w:r>
              <w:t>0.12</w:t>
            </w:r>
          </w:p>
        </w:tc>
        <w:tc>
          <w:tcPr>
            <w:tcW w:w="1180" w:type="dxa"/>
          </w:tcPr>
          <w:p>
            <w:pPr>
              <w:pStyle w:val="yTableNAm"/>
            </w:pPr>
            <w:r>
              <w:t>0.09</w:t>
            </w:r>
          </w:p>
        </w:tc>
        <w:tc>
          <w:tcPr>
            <w:tcW w:w="1180" w:type="dxa"/>
          </w:tcPr>
          <w:p>
            <w:pPr>
              <w:pStyle w:val="yTableNAm"/>
            </w:pPr>
            <w:r>
              <w:t>0.20</w:t>
            </w:r>
          </w:p>
        </w:tc>
      </w:tr>
      <w:tr>
        <w:tc>
          <w:tcPr>
            <w:tcW w:w="1180" w:type="dxa"/>
          </w:tcPr>
          <w:p>
            <w:pPr>
              <w:pStyle w:val="yTableNAm"/>
            </w:pPr>
            <w:r>
              <w:t>11.00</w:t>
            </w:r>
          </w:p>
        </w:tc>
        <w:tc>
          <w:tcPr>
            <w:tcW w:w="1180" w:type="dxa"/>
          </w:tcPr>
          <w:p>
            <w:pPr>
              <w:pStyle w:val="yTableNAm"/>
            </w:pPr>
            <w:r>
              <w:t>0.08</w:t>
            </w:r>
          </w:p>
        </w:tc>
        <w:tc>
          <w:tcPr>
            <w:tcW w:w="1180" w:type="dxa"/>
          </w:tcPr>
          <w:p>
            <w:pPr>
              <w:pStyle w:val="yTableNAm"/>
            </w:pPr>
            <w:r>
              <w:t>0.09</w:t>
            </w:r>
          </w:p>
        </w:tc>
        <w:tc>
          <w:tcPr>
            <w:tcW w:w="1180" w:type="dxa"/>
          </w:tcPr>
          <w:p>
            <w:pPr>
              <w:pStyle w:val="yTableNAm"/>
            </w:pPr>
            <w:r>
              <w:t>0.11</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12.00</w:t>
            </w:r>
          </w:p>
        </w:tc>
        <w:tc>
          <w:tcPr>
            <w:tcW w:w="1180" w:type="dxa"/>
          </w:tcPr>
          <w:p>
            <w:pPr>
              <w:pStyle w:val="yTableNAm"/>
            </w:pPr>
            <w:r>
              <w:t>0.08</w:t>
            </w:r>
          </w:p>
        </w:tc>
        <w:tc>
          <w:tcPr>
            <w:tcW w:w="1180" w:type="dxa"/>
          </w:tcPr>
          <w:p>
            <w:pPr>
              <w:pStyle w:val="yTableNAm"/>
            </w:pPr>
            <w:r>
              <w:t>0.08</w:t>
            </w:r>
          </w:p>
        </w:tc>
        <w:tc>
          <w:tcPr>
            <w:tcW w:w="1180" w:type="dxa"/>
          </w:tcPr>
          <w:p>
            <w:pPr>
              <w:pStyle w:val="yTableNAm"/>
            </w:pPr>
            <w:r>
              <w:t>0.10</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13.00</w:t>
            </w:r>
          </w:p>
        </w:tc>
        <w:tc>
          <w:tcPr>
            <w:tcW w:w="1180" w:type="dxa"/>
          </w:tcPr>
          <w:p>
            <w:pPr>
              <w:pStyle w:val="yTableNAm"/>
            </w:pPr>
            <w:r>
              <w:t>0.07</w:t>
            </w:r>
          </w:p>
        </w:tc>
        <w:tc>
          <w:tcPr>
            <w:tcW w:w="1180" w:type="dxa"/>
          </w:tcPr>
          <w:p>
            <w:pPr>
              <w:pStyle w:val="yTableNAm"/>
            </w:pPr>
            <w:r>
              <w:t>0.08</w:t>
            </w:r>
          </w:p>
        </w:tc>
        <w:tc>
          <w:tcPr>
            <w:tcW w:w="1180" w:type="dxa"/>
          </w:tcPr>
          <w:p>
            <w:pPr>
              <w:pStyle w:val="yTableNAm"/>
            </w:pPr>
            <w:r>
              <w:t>0.09</w:t>
            </w:r>
          </w:p>
        </w:tc>
        <w:tc>
          <w:tcPr>
            <w:tcW w:w="1180" w:type="dxa"/>
          </w:tcPr>
          <w:p>
            <w:pPr>
              <w:pStyle w:val="yTableNAm"/>
            </w:pPr>
            <w:r>
              <w:t>0.07</w:t>
            </w:r>
          </w:p>
        </w:tc>
        <w:tc>
          <w:tcPr>
            <w:tcW w:w="1180" w:type="dxa"/>
          </w:tcPr>
          <w:p>
            <w:pPr>
              <w:pStyle w:val="yTableNAm"/>
            </w:pPr>
            <w:r>
              <w:t>0.16</w:t>
            </w:r>
          </w:p>
        </w:tc>
      </w:tr>
      <w:tr>
        <w:tc>
          <w:tcPr>
            <w:tcW w:w="1180" w:type="dxa"/>
          </w:tcPr>
          <w:p>
            <w:pPr>
              <w:pStyle w:val="yTableNAm"/>
            </w:pPr>
            <w:r>
              <w:t>14.00</w:t>
            </w:r>
          </w:p>
        </w:tc>
        <w:tc>
          <w:tcPr>
            <w:tcW w:w="1180" w:type="dxa"/>
          </w:tcPr>
          <w:p>
            <w:pPr>
              <w:pStyle w:val="yTableNAm"/>
            </w:pPr>
            <w:r>
              <w:t>0.07</w:t>
            </w:r>
          </w:p>
        </w:tc>
        <w:tc>
          <w:tcPr>
            <w:tcW w:w="1180" w:type="dxa"/>
          </w:tcPr>
          <w:p>
            <w:pPr>
              <w:pStyle w:val="yTableNAm"/>
            </w:pPr>
            <w:r>
              <w:t>0.07</w:t>
            </w:r>
          </w:p>
        </w:tc>
        <w:tc>
          <w:tcPr>
            <w:tcW w:w="1180" w:type="dxa"/>
          </w:tcPr>
          <w:p>
            <w:pPr>
              <w:pStyle w:val="yTableNAm"/>
            </w:pPr>
            <w:r>
              <w:t>0.09</w:t>
            </w:r>
          </w:p>
        </w:tc>
        <w:tc>
          <w:tcPr>
            <w:tcW w:w="1180" w:type="dxa"/>
          </w:tcPr>
          <w:p>
            <w:pPr>
              <w:pStyle w:val="yTableNAm"/>
            </w:pPr>
            <w:r>
              <w:t>0.07</w:t>
            </w:r>
          </w:p>
        </w:tc>
        <w:tc>
          <w:tcPr>
            <w:tcW w:w="1180" w:type="dxa"/>
          </w:tcPr>
          <w:p>
            <w:pPr>
              <w:pStyle w:val="yTableNAm"/>
            </w:pPr>
            <w:r>
              <w:t>0.14</w:t>
            </w:r>
          </w:p>
        </w:tc>
      </w:tr>
      <w:tr>
        <w:tc>
          <w:tcPr>
            <w:tcW w:w="1180" w:type="dxa"/>
          </w:tcPr>
          <w:p>
            <w:pPr>
              <w:pStyle w:val="yTableNAm"/>
            </w:pPr>
            <w:r>
              <w:t>15.00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16.00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17.00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18.00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19.00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lastRenderedPageBreak/>
              <w:t>20.00</w:t>
            </w:r>
          </w:p>
        </w:tc>
        <w:tc>
          <w:tcPr>
            <w:tcW w:w="1180" w:type="dxa"/>
          </w:tcPr>
          <w:p>
            <w:pPr>
              <w:pStyle w:val="yTableNAm"/>
            </w:pPr>
            <w:r>
              <w:t>0.05</w:t>
            </w:r>
          </w:p>
        </w:tc>
        <w:tc>
          <w:tcPr>
            <w:tcW w:w="1180" w:type="dxa"/>
          </w:tcPr>
          <w:p>
            <w:pPr>
              <w:pStyle w:val="yTableNAm"/>
            </w:pPr>
            <w:r>
              <w:t>0.05</w:t>
            </w:r>
          </w:p>
        </w:tc>
        <w:tc>
          <w:tcPr>
            <w:tcW w:w="1180" w:type="dxa"/>
          </w:tcPr>
          <w:p>
            <w:pPr>
              <w:pStyle w:val="yTableNAm"/>
            </w:pPr>
            <w:r>
              <w:t>0.06</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21.00</w:t>
            </w:r>
          </w:p>
        </w:tc>
        <w:tc>
          <w:tcPr>
            <w:tcW w:w="1180" w:type="dxa"/>
          </w:tcPr>
          <w:p>
            <w:pPr>
              <w:pStyle w:val="yTableNAm"/>
            </w:pPr>
            <w:r>
              <w:t>0.04</w:t>
            </w:r>
          </w:p>
        </w:tc>
        <w:tc>
          <w:tcPr>
            <w:tcW w:w="1180" w:type="dxa"/>
          </w:tcPr>
          <w:p>
            <w:pPr>
              <w:pStyle w:val="yTableNAm"/>
            </w:pPr>
            <w:r>
              <w:t>0.05</w:t>
            </w:r>
          </w:p>
        </w:tc>
        <w:tc>
          <w:tcPr>
            <w:tcW w:w="1180" w:type="dxa"/>
          </w:tcPr>
          <w:p>
            <w:pPr>
              <w:pStyle w:val="yTableNAm"/>
            </w:pPr>
            <w:r>
              <w:t>0.06</w:t>
            </w:r>
          </w:p>
        </w:tc>
        <w:tc>
          <w:tcPr>
            <w:tcW w:w="1180" w:type="dxa"/>
          </w:tcPr>
          <w:p>
            <w:pPr>
              <w:pStyle w:val="yTableNAm"/>
            </w:pPr>
            <w:r>
              <w:t>0.04</w:t>
            </w:r>
          </w:p>
        </w:tc>
        <w:tc>
          <w:tcPr>
            <w:tcW w:w="1180" w:type="dxa"/>
          </w:tcPr>
          <w:p>
            <w:pPr>
              <w:pStyle w:val="yTableNAm"/>
            </w:pPr>
            <w:r>
              <w:t>0.08</w:t>
            </w:r>
          </w:p>
        </w:tc>
      </w:tr>
      <w:tr>
        <w:tc>
          <w:tcPr>
            <w:tcW w:w="1180" w:type="dxa"/>
          </w:tcPr>
          <w:p>
            <w:pPr>
              <w:pStyle w:val="yTableNAm"/>
            </w:pPr>
            <w:r>
              <w:t>26.00</w:t>
            </w:r>
          </w:p>
        </w:tc>
        <w:tc>
          <w:tcPr>
            <w:tcW w:w="1180" w:type="dxa"/>
          </w:tcPr>
          <w:p>
            <w:pPr>
              <w:pStyle w:val="yTableNAm"/>
            </w:pPr>
            <w:r>
              <w:t>0.03</w:t>
            </w:r>
          </w:p>
        </w:tc>
        <w:tc>
          <w:tcPr>
            <w:tcW w:w="1180" w:type="dxa"/>
          </w:tcPr>
          <w:p>
            <w:pPr>
              <w:pStyle w:val="yTableNAm"/>
            </w:pPr>
            <w:r>
              <w:t>0.04</w:t>
            </w:r>
          </w:p>
        </w:tc>
        <w:tc>
          <w:tcPr>
            <w:tcW w:w="1180" w:type="dxa"/>
          </w:tcPr>
          <w:p>
            <w:pPr>
              <w:pStyle w:val="yTableNAm"/>
            </w:pPr>
            <w:r>
              <w:t>0.05</w:t>
            </w:r>
          </w:p>
        </w:tc>
        <w:tc>
          <w:tcPr>
            <w:tcW w:w="1180" w:type="dxa"/>
          </w:tcPr>
          <w:p>
            <w:pPr>
              <w:pStyle w:val="yTableNAm"/>
            </w:pPr>
            <w:r>
              <w:t>0.03</w:t>
            </w:r>
          </w:p>
        </w:tc>
        <w:tc>
          <w:tcPr>
            <w:tcW w:w="1180" w:type="dxa"/>
          </w:tcPr>
          <w:p>
            <w:pPr>
              <w:pStyle w:val="yTableNAm"/>
            </w:pPr>
            <w:r>
              <w:t>0.08</w:t>
            </w:r>
          </w:p>
        </w:tc>
      </w:tr>
      <w:tr>
        <w:tc>
          <w:tcPr>
            <w:tcW w:w="1180" w:type="dxa"/>
          </w:tcPr>
          <w:p>
            <w:pPr>
              <w:pStyle w:val="yTableNAm"/>
            </w:pPr>
            <w:r>
              <w:t>31.00</w:t>
            </w:r>
          </w:p>
        </w:tc>
        <w:tc>
          <w:tcPr>
            <w:tcW w:w="1180" w:type="dxa"/>
          </w:tcPr>
          <w:p>
            <w:pPr>
              <w:pStyle w:val="yTableNAm"/>
            </w:pPr>
            <w:r>
              <w:t>0.03</w:t>
            </w:r>
          </w:p>
        </w:tc>
        <w:tc>
          <w:tcPr>
            <w:tcW w:w="1180" w:type="dxa"/>
          </w:tcPr>
          <w:p>
            <w:pPr>
              <w:pStyle w:val="yTableNAm"/>
            </w:pPr>
            <w:r>
              <w:t>0.03</w:t>
            </w:r>
          </w:p>
        </w:tc>
        <w:tc>
          <w:tcPr>
            <w:tcW w:w="1180" w:type="dxa"/>
          </w:tcPr>
          <w:p>
            <w:pPr>
              <w:pStyle w:val="yTableNAm"/>
            </w:pPr>
            <w:r>
              <w:t>0.04</w:t>
            </w:r>
          </w:p>
        </w:tc>
        <w:tc>
          <w:tcPr>
            <w:tcW w:w="1180" w:type="dxa"/>
          </w:tcPr>
          <w:p>
            <w:pPr>
              <w:pStyle w:val="yTableNAm"/>
            </w:pPr>
            <w:r>
              <w:t>0.03</w:t>
            </w:r>
          </w:p>
        </w:tc>
        <w:tc>
          <w:tcPr>
            <w:tcW w:w="1180" w:type="dxa"/>
          </w:tcPr>
          <w:p>
            <w:pPr>
              <w:pStyle w:val="yTableNAm"/>
            </w:pPr>
            <w:r>
              <w:t>0.06</w:t>
            </w:r>
          </w:p>
        </w:tc>
      </w:tr>
      <w:tr>
        <w:tc>
          <w:tcPr>
            <w:tcW w:w="1180" w:type="dxa"/>
          </w:tcPr>
          <w:p>
            <w:pPr>
              <w:pStyle w:val="yTableNAm"/>
            </w:pPr>
            <w:r>
              <w:t>41.00</w:t>
            </w:r>
          </w:p>
        </w:tc>
        <w:tc>
          <w:tcPr>
            <w:tcW w:w="1180" w:type="dxa"/>
          </w:tcPr>
          <w:p>
            <w:pPr>
              <w:pStyle w:val="yTableNAm"/>
            </w:pPr>
            <w:r>
              <w:t>0.02</w:t>
            </w:r>
          </w:p>
        </w:tc>
        <w:tc>
          <w:tcPr>
            <w:tcW w:w="1180" w:type="dxa"/>
          </w:tcPr>
          <w:p>
            <w:pPr>
              <w:pStyle w:val="yTableNAm"/>
            </w:pPr>
            <w:r>
              <w:t>0.03</w:t>
            </w:r>
          </w:p>
        </w:tc>
        <w:tc>
          <w:tcPr>
            <w:tcW w:w="1180" w:type="dxa"/>
          </w:tcPr>
          <w:p>
            <w:pPr>
              <w:pStyle w:val="yTableNAm"/>
            </w:pPr>
            <w:r>
              <w:t>0.03</w:t>
            </w:r>
          </w:p>
        </w:tc>
        <w:tc>
          <w:tcPr>
            <w:tcW w:w="1180" w:type="dxa"/>
          </w:tcPr>
          <w:p>
            <w:pPr>
              <w:pStyle w:val="yTableNAm"/>
            </w:pPr>
            <w:r>
              <w:t>0.02</w:t>
            </w:r>
          </w:p>
        </w:tc>
        <w:tc>
          <w:tcPr>
            <w:tcW w:w="1180" w:type="dxa"/>
          </w:tcPr>
          <w:p>
            <w:pPr>
              <w:pStyle w:val="yTableNAm"/>
            </w:pPr>
            <w:r>
              <w:t>0.04</w:t>
            </w:r>
          </w:p>
        </w:tc>
      </w:tr>
      <w:tr>
        <w:tc>
          <w:tcPr>
            <w:tcW w:w="1180" w:type="dxa"/>
          </w:tcPr>
          <w:p>
            <w:pPr>
              <w:pStyle w:val="yTableNAm"/>
            </w:pPr>
            <w:r>
              <w:t>51.00</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0.04</w:t>
            </w:r>
          </w:p>
        </w:tc>
      </w:tr>
    </w:tbl>
    <w:p>
      <w:pPr>
        <w:pStyle w:val="yFootnotesection"/>
      </w:pPr>
      <w:r>
        <w:tab/>
        <w:t>[Schedule 1 amended: Gazette 4 Jan 2013 p. 18</w:t>
      </w:r>
      <w:r>
        <w:noBreakHyphen/>
        <w:t>19; SL 2021/188 r. 12.]</w:t>
      </w:r>
    </w:p>
    <w:p>
      <w:pPr>
        <w:pStyle w:val="yScheduleHeading"/>
      </w:pPr>
      <w:bookmarkStart w:id="136" w:name="_Toc88127272"/>
      <w:bookmarkStart w:id="137" w:name="_Toc88127643"/>
      <w:bookmarkStart w:id="138" w:name="_Toc88128010"/>
      <w:bookmarkStart w:id="139" w:name="_Toc93498848"/>
      <w:bookmarkStart w:id="140" w:name="_Toc93499178"/>
      <w:r>
        <w:rPr>
          <w:rStyle w:val="CharSchNo"/>
        </w:rPr>
        <w:lastRenderedPageBreak/>
        <w:t>Schedule 2</w:t>
      </w:r>
      <w:r>
        <w:rPr>
          <w:rStyle w:val="CharSDivNo"/>
        </w:rPr>
        <w:t> </w:t>
      </w:r>
      <w:r>
        <w:t>—</w:t>
      </w:r>
      <w:r>
        <w:rPr>
          <w:rStyle w:val="CharSDivText"/>
        </w:rPr>
        <w:t> </w:t>
      </w:r>
      <w:r>
        <w:rPr>
          <w:rStyle w:val="CharSchText"/>
        </w:rPr>
        <w:t>Permitted wagers on races</w:t>
      </w:r>
      <w:bookmarkEnd w:id="136"/>
      <w:bookmarkEnd w:id="137"/>
      <w:bookmarkEnd w:id="138"/>
      <w:bookmarkEnd w:id="139"/>
      <w:bookmarkEnd w:id="140"/>
    </w:p>
    <w:p>
      <w:pPr>
        <w:pStyle w:val="yShoulderClause"/>
      </w:pPr>
      <w:r>
        <w:t>[r. 62D]</w:t>
      </w:r>
    </w:p>
    <w:p>
      <w:pPr>
        <w:pStyle w:val="yFootnoteheading"/>
      </w:pPr>
      <w:r>
        <w:tab/>
        <w:t>[Heading inserted: SL 2021/188 r. 13.]</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551"/>
        <w:gridCol w:w="3544"/>
      </w:tblGrid>
      <w:tr>
        <w:trPr>
          <w:tblHeader/>
        </w:trPr>
        <w:tc>
          <w:tcPr>
            <w:tcW w:w="738" w:type="dxa"/>
            <w:tcBorders>
              <w:bottom w:val="single" w:sz="4" w:space="0" w:color="auto"/>
            </w:tcBorders>
          </w:tcPr>
          <w:p>
            <w:pPr>
              <w:pStyle w:val="yTableNAm"/>
              <w:jc w:val="center"/>
              <w:rPr>
                <w:b/>
              </w:rPr>
            </w:pPr>
            <w:r>
              <w:rPr>
                <w:b/>
              </w:rPr>
              <w:t>Item</w:t>
            </w:r>
          </w:p>
        </w:tc>
        <w:tc>
          <w:tcPr>
            <w:tcW w:w="2551" w:type="dxa"/>
            <w:tcBorders>
              <w:bottom w:val="single" w:sz="4" w:space="0" w:color="auto"/>
            </w:tcBorders>
          </w:tcPr>
          <w:p>
            <w:pPr>
              <w:pStyle w:val="yTableNAm"/>
              <w:jc w:val="center"/>
              <w:rPr>
                <w:b/>
              </w:rPr>
            </w:pPr>
            <w:r>
              <w:rPr>
                <w:b/>
              </w:rPr>
              <w:t>Wager</w:t>
            </w:r>
          </w:p>
        </w:tc>
        <w:tc>
          <w:tcPr>
            <w:tcW w:w="3544" w:type="dxa"/>
            <w:tcBorders>
              <w:bottom w:val="single" w:sz="4" w:space="0" w:color="auto"/>
            </w:tcBorders>
          </w:tcPr>
          <w:p>
            <w:pPr>
              <w:pStyle w:val="yTableNAm"/>
              <w:jc w:val="center"/>
              <w:rPr>
                <w:b/>
              </w:rPr>
            </w:pPr>
            <w:r>
              <w:rPr>
                <w:b/>
              </w:rPr>
              <w:t>Contingency</w:t>
            </w:r>
          </w:p>
        </w:tc>
      </w:tr>
      <w:tr>
        <w:tc>
          <w:tcPr>
            <w:tcW w:w="738" w:type="dxa"/>
            <w:tcBorders>
              <w:bottom w:val="single" w:sz="4" w:space="0" w:color="auto"/>
            </w:tcBorders>
          </w:tcPr>
          <w:p>
            <w:pPr>
              <w:pStyle w:val="yTableNAm"/>
            </w:pPr>
            <w:r>
              <w:t>1.</w:t>
            </w:r>
          </w:p>
        </w:tc>
        <w:tc>
          <w:tcPr>
            <w:tcW w:w="2551" w:type="dxa"/>
            <w:tcBorders>
              <w:bottom w:val="single" w:sz="4" w:space="0" w:color="auto"/>
            </w:tcBorders>
          </w:tcPr>
          <w:p>
            <w:pPr>
              <w:pStyle w:val="yTableNAm"/>
            </w:pPr>
            <w:r>
              <w:t>Driver challenge</w:t>
            </w:r>
          </w:p>
        </w:tc>
        <w:tc>
          <w:tcPr>
            <w:tcW w:w="3544" w:type="dxa"/>
            <w:tcBorders>
              <w:bottom w:val="single" w:sz="4" w:space="0" w:color="auto"/>
            </w:tcBorders>
          </w:tcPr>
          <w:p>
            <w:pPr>
              <w:pStyle w:val="yTableNAm"/>
            </w:pPr>
            <w:r>
              <w:t>RWWA offers odds against a harness driver accumulating the most points across an entire harness race meeting, which will be decided by the following points system for each race: the first</w:t>
            </w:r>
            <w:r>
              <w:noBreakHyphen/>
              <w:t>placed driver in a race receives 3 points, the second</w:t>
            </w:r>
            <w:r>
              <w:noBreakHyphen/>
              <w:t>placed driver receives 2 points and the third</w:t>
            </w:r>
            <w:r>
              <w:noBreakHyphen/>
              <w:t>placed driver receives 1 point. The driver who accumulates the most points throughout the entire race meeting is considered the winner.</w:t>
            </w:r>
          </w:p>
        </w:tc>
      </w:tr>
      <w:tr>
        <w:tc>
          <w:tcPr>
            <w:tcW w:w="738" w:type="dxa"/>
          </w:tcPr>
          <w:p>
            <w:pPr>
              <w:pStyle w:val="yTableNAm"/>
            </w:pPr>
            <w:r>
              <w:t>2.</w:t>
            </w:r>
          </w:p>
        </w:tc>
        <w:tc>
          <w:tcPr>
            <w:tcW w:w="2551" w:type="dxa"/>
          </w:tcPr>
          <w:p>
            <w:pPr>
              <w:pStyle w:val="yTableNAm"/>
            </w:pPr>
            <w:r>
              <w:t>Favourites challenge</w:t>
            </w:r>
          </w:p>
        </w:tc>
        <w:tc>
          <w:tcPr>
            <w:tcW w:w="3544" w:type="dxa"/>
          </w:tcPr>
          <w:p>
            <w:pPr>
              <w:pStyle w:val="yTableNAm"/>
            </w:pPr>
            <w:r>
              <w:rPr>
                <w:rFonts w:cs="Arial"/>
                <w:szCs w:val="22"/>
              </w:rPr>
              <w:t>RWWA offers odds against the number of favourites that will win a race at a nominated race meeting or a series of races. The favourite for each applicable race is the runner that has the lowest starting price (as determined by the pricing information body or, if the pricing information body does not determine the pricing information for a runner immediately prior to the commencement of the race, by RWWA).</w:t>
            </w:r>
          </w:p>
        </w:tc>
      </w:tr>
      <w:tr>
        <w:trPr>
          <w:cantSplit/>
        </w:trPr>
        <w:tc>
          <w:tcPr>
            <w:tcW w:w="738" w:type="dxa"/>
          </w:tcPr>
          <w:p>
            <w:pPr>
              <w:pStyle w:val="yTableNAm"/>
            </w:pPr>
            <w:r>
              <w:lastRenderedPageBreak/>
              <w:t>3.</w:t>
            </w:r>
          </w:p>
        </w:tc>
        <w:tc>
          <w:tcPr>
            <w:tcW w:w="2551" w:type="dxa"/>
          </w:tcPr>
          <w:p>
            <w:pPr>
              <w:pStyle w:val="yTableNAm"/>
            </w:pPr>
            <w:r>
              <w:t>Favout</w:t>
            </w:r>
          </w:p>
        </w:tc>
        <w:tc>
          <w:tcPr>
            <w:tcW w:w="3544" w:type="dxa"/>
          </w:tcPr>
          <w:p>
            <w:pPr>
              <w:pStyle w:val="yTableNAm"/>
            </w:pPr>
            <w:r>
              <w:rPr>
                <w:szCs w:val="22"/>
              </w:rPr>
              <w:t>RWWA offers odds against a runner winning a particular race without a designated runner being included. The finishing position of the designated runner has no bearing on the wagering outcome.</w:t>
            </w:r>
          </w:p>
        </w:tc>
      </w:tr>
      <w:tr>
        <w:tc>
          <w:tcPr>
            <w:tcW w:w="738" w:type="dxa"/>
          </w:tcPr>
          <w:p>
            <w:pPr>
              <w:pStyle w:val="yTableNAm"/>
            </w:pPr>
            <w:r>
              <w:t>4.</w:t>
            </w:r>
          </w:p>
        </w:tc>
        <w:tc>
          <w:tcPr>
            <w:tcW w:w="2551" w:type="dxa"/>
          </w:tcPr>
          <w:p>
            <w:pPr>
              <w:pStyle w:val="yTableNAm"/>
            </w:pPr>
            <w:r>
              <w:t>First past the post</w:t>
            </w:r>
          </w:p>
        </w:tc>
        <w:tc>
          <w:tcPr>
            <w:tcW w:w="3544" w:type="dxa"/>
          </w:tcPr>
          <w:p>
            <w:pPr>
              <w:pStyle w:val="yTableNAm"/>
            </w:pPr>
            <w:r>
              <w:rPr>
                <w:rFonts w:cs="Arial"/>
                <w:szCs w:val="22"/>
              </w:rPr>
              <w:t>RWWA offers odds against a runner winning a particular race or achieving a place in a particular race, with investors being paid out as if the runner retains its first position or place position regardless of the outcome of any protest or objection lodged.</w:t>
            </w:r>
          </w:p>
        </w:tc>
      </w:tr>
      <w:tr>
        <w:tc>
          <w:tcPr>
            <w:tcW w:w="738" w:type="dxa"/>
          </w:tcPr>
          <w:p>
            <w:pPr>
              <w:pStyle w:val="yTableNAm"/>
            </w:pPr>
            <w:r>
              <w:t>5.</w:t>
            </w:r>
          </w:p>
        </w:tc>
        <w:tc>
          <w:tcPr>
            <w:tcW w:w="2551" w:type="dxa"/>
          </w:tcPr>
          <w:p>
            <w:pPr>
              <w:pStyle w:val="yTableNAm"/>
            </w:pPr>
            <w:r>
              <w:t>Greyhound box number challenge</w:t>
            </w:r>
          </w:p>
        </w:tc>
        <w:tc>
          <w:tcPr>
            <w:tcW w:w="3544" w:type="dxa"/>
          </w:tcPr>
          <w:p>
            <w:pPr>
              <w:pStyle w:val="yTableNAm"/>
            </w:pPr>
            <w:r>
              <w:rPr>
                <w:rFonts w:cs="Arial"/>
                <w:szCs w:val="22"/>
              </w:rPr>
              <w:t>RWWA offers odds against a greyhound box number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box number that accumulates the most points throughout the entire race meeting is considered the winner.</w:t>
            </w:r>
          </w:p>
        </w:tc>
      </w:tr>
      <w:tr>
        <w:tc>
          <w:tcPr>
            <w:tcW w:w="738" w:type="dxa"/>
          </w:tcPr>
          <w:p>
            <w:pPr>
              <w:pStyle w:val="yTableNAm"/>
            </w:pPr>
            <w:r>
              <w:lastRenderedPageBreak/>
              <w:t>6.</w:t>
            </w:r>
          </w:p>
        </w:tc>
        <w:tc>
          <w:tcPr>
            <w:tcW w:w="2551" w:type="dxa"/>
          </w:tcPr>
          <w:p>
            <w:pPr>
              <w:pStyle w:val="yTableNAm"/>
            </w:pPr>
            <w:r>
              <w:t>Greyhound box number challenge quinella</w:t>
            </w:r>
          </w:p>
        </w:tc>
        <w:tc>
          <w:tcPr>
            <w:tcW w:w="3544" w:type="dxa"/>
          </w:tcPr>
          <w:p>
            <w:pPr>
              <w:pStyle w:val="yTableNAm"/>
              <w:keepLines/>
              <w:rPr>
                <w:rFonts w:cs="Arial"/>
                <w:szCs w:val="22"/>
              </w:rPr>
            </w:pPr>
            <w:r>
              <w:rPr>
                <w:rFonts w:cs="Arial"/>
                <w:szCs w:val="22"/>
              </w:rPr>
              <w:t>RWWA offers odds against a combination of 2 greyhound box numbers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combination of 2 greyhound box numbers that accumulates the most points throughout the entire race meeting is considered the winner.</w:t>
            </w:r>
          </w:p>
        </w:tc>
      </w:tr>
      <w:tr>
        <w:tc>
          <w:tcPr>
            <w:tcW w:w="738" w:type="dxa"/>
          </w:tcPr>
          <w:p>
            <w:pPr>
              <w:pStyle w:val="yTableNAm"/>
            </w:pPr>
            <w:r>
              <w:t>7.</w:t>
            </w:r>
          </w:p>
        </w:tc>
        <w:tc>
          <w:tcPr>
            <w:tcW w:w="2551" w:type="dxa"/>
          </w:tcPr>
          <w:p>
            <w:pPr>
              <w:pStyle w:val="yTableNAm"/>
            </w:pPr>
            <w:r>
              <w:t>Head to head</w:t>
            </w:r>
          </w:p>
        </w:tc>
        <w:tc>
          <w:tcPr>
            <w:tcW w:w="3544" w:type="dxa"/>
          </w:tcPr>
          <w:p>
            <w:pPr>
              <w:pStyle w:val="yTableNAm"/>
            </w:pPr>
            <w:r>
              <w:rPr>
                <w:rFonts w:cs="Arial"/>
                <w:szCs w:val="22"/>
              </w:rPr>
              <w:t>RWWA offers odds against which of 2 selected runners will achieve the highest finishing position in a particular race, subject to the requirement that at least 1 of the runners must finish in the top 4 placings. If that is not the case, all wagers will be declared void and refunded.</w:t>
            </w:r>
          </w:p>
        </w:tc>
      </w:tr>
      <w:tr>
        <w:tc>
          <w:tcPr>
            <w:tcW w:w="738" w:type="dxa"/>
          </w:tcPr>
          <w:p>
            <w:pPr>
              <w:pStyle w:val="yTableNAm"/>
            </w:pPr>
            <w:r>
              <w:t>8.</w:t>
            </w:r>
          </w:p>
        </w:tc>
        <w:tc>
          <w:tcPr>
            <w:tcW w:w="2551" w:type="dxa"/>
          </w:tcPr>
          <w:p>
            <w:pPr>
              <w:pStyle w:val="yTableNAm"/>
            </w:pPr>
            <w:r>
              <w:t>Hot wings</w:t>
            </w:r>
          </w:p>
        </w:tc>
        <w:tc>
          <w:tcPr>
            <w:tcW w:w="3544" w:type="dxa"/>
          </w:tcPr>
          <w:p>
            <w:pPr>
              <w:pStyle w:val="yTableNAm"/>
            </w:pPr>
            <w:r>
              <w:rPr>
                <w:rFonts w:cs="Arial"/>
                <w:szCs w:val="22"/>
              </w:rPr>
              <w:t>RWWA offers odds against the winner of a particular greyhound race starting from box number 1 or 8. The rug number of a runner is not taken into consideration in this wager type.</w:t>
            </w:r>
          </w:p>
        </w:tc>
      </w:tr>
      <w:tr>
        <w:tc>
          <w:tcPr>
            <w:tcW w:w="738" w:type="dxa"/>
          </w:tcPr>
          <w:p>
            <w:pPr>
              <w:pStyle w:val="yTableNAm"/>
            </w:pPr>
            <w:r>
              <w:lastRenderedPageBreak/>
              <w:t>9.</w:t>
            </w:r>
          </w:p>
        </w:tc>
        <w:tc>
          <w:tcPr>
            <w:tcW w:w="2551" w:type="dxa"/>
          </w:tcPr>
          <w:p>
            <w:pPr>
              <w:pStyle w:val="yTableNAm"/>
            </w:pPr>
            <w:r>
              <w:t>Inside versus outside</w:t>
            </w:r>
          </w:p>
        </w:tc>
        <w:tc>
          <w:tcPr>
            <w:tcW w:w="3544" w:type="dxa"/>
          </w:tcPr>
          <w:p>
            <w:pPr>
              <w:pStyle w:val="yTableNAm"/>
              <w:keepLines/>
            </w:pPr>
            <w:r>
              <w:rPr>
                <w:rFonts w:cs="Arial"/>
                <w:szCs w:val="22"/>
              </w:rPr>
              <w:t>RWWA offers odds against the winner of a particular greyhound race starting from an inside draw (boxes 1 to 4) or an outside draw (boxes 5 to 8). The rug number of a runner is not taken into consideration in this wager type.</w:t>
            </w:r>
          </w:p>
        </w:tc>
      </w:tr>
      <w:tr>
        <w:tc>
          <w:tcPr>
            <w:tcW w:w="738" w:type="dxa"/>
          </w:tcPr>
          <w:p>
            <w:pPr>
              <w:pStyle w:val="yTableNAm"/>
            </w:pPr>
            <w:r>
              <w:t>10.</w:t>
            </w:r>
          </w:p>
        </w:tc>
        <w:tc>
          <w:tcPr>
            <w:tcW w:w="2551" w:type="dxa"/>
          </w:tcPr>
          <w:p>
            <w:pPr>
              <w:pStyle w:val="yTableNAm"/>
            </w:pPr>
            <w:r>
              <w:t>Insurance wager (2 places)</w:t>
            </w:r>
          </w:p>
        </w:tc>
        <w:tc>
          <w:tcPr>
            <w:tcW w:w="3544" w:type="dxa"/>
          </w:tcPr>
          <w:p>
            <w:pPr>
              <w:pStyle w:val="yTableNAm"/>
            </w:pPr>
            <w:r>
              <w:t>RWWA offers odds against a runner winning a particular race on the basis that the investor’s stake is returned if the runner achieves 2</w:t>
            </w:r>
            <w:r>
              <w:rPr>
                <w:vertAlign w:val="superscript"/>
              </w:rPr>
              <w:t>nd</w:t>
            </w:r>
            <w:r>
              <w:t> place.</w:t>
            </w:r>
          </w:p>
        </w:tc>
      </w:tr>
      <w:tr>
        <w:tc>
          <w:tcPr>
            <w:tcW w:w="738" w:type="dxa"/>
          </w:tcPr>
          <w:p>
            <w:pPr>
              <w:pStyle w:val="yTableNAm"/>
            </w:pPr>
            <w:r>
              <w:t>11.</w:t>
            </w:r>
          </w:p>
        </w:tc>
        <w:tc>
          <w:tcPr>
            <w:tcW w:w="2551" w:type="dxa"/>
          </w:tcPr>
          <w:p>
            <w:pPr>
              <w:pStyle w:val="yTableNAm"/>
            </w:pPr>
            <w:r>
              <w:t>Insurance wager (3 places)</w:t>
            </w:r>
          </w:p>
        </w:tc>
        <w:tc>
          <w:tcPr>
            <w:tcW w:w="3544" w:type="dxa"/>
          </w:tcPr>
          <w:p>
            <w:pPr>
              <w:pStyle w:val="yTableNAm"/>
            </w:pPr>
            <w:r>
              <w:rPr>
                <w:rFonts w:cs="Arial"/>
                <w:szCs w:val="22"/>
              </w:rPr>
              <w:t>RWWA offers odds against a runner winning a particular race on the basis that the investor’s stake is returned if the runner achieves 2</w:t>
            </w:r>
            <w:r>
              <w:rPr>
                <w:rFonts w:cs="Arial"/>
                <w:szCs w:val="22"/>
                <w:vertAlign w:val="superscript"/>
              </w:rPr>
              <w:t>nd</w:t>
            </w:r>
            <w:r>
              <w:rPr>
                <w:rFonts w:cs="Arial"/>
                <w:szCs w:val="22"/>
              </w:rPr>
              <w:t> or 3</w:t>
            </w:r>
            <w:r>
              <w:rPr>
                <w:rFonts w:cs="Arial"/>
                <w:szCs w:val="22"/>
                <w:vertAlign w:val="superscript"/>
              </w:rPr>
              <w:t>rd</w:t>
            </w:r>
            <w:r>
              <w:rPr>
                <w:rFonts w:cs="Arial"/>
                <w:szCs w:val="22"/>
              </w:rPr>
              <w:t> place.</w:t>
            </w:r>
          </w:p>
        </w:tc>
      </w:tr>
      <w:tr>
        <w:tc>
          <w:tcPr>
            <w:tcW w:w="738" w:type="dxa"/>
          </w:tcPr>
          <w:p>
            <w:pPr>
              <w:pStyle w:val="yTableNAm"/>
            </w:pPr>
            <w:r>
              <w:t>12.</w:t>
            </w:r>
          </w:p>
        </w:tc>
        <w:tc>
          <w:tcPr>
            <w:tcW w:w="2551" w:type="dxa"/>
          </w:tcPr>
          <w:p>
            <w:pPr>
              <w:pStyle w:val="yTableNAm"/>
            </w:pPr>
            <w:r>
              <w:t>Jockey challenge</w:t>
            </w:r>
          </w:p>
        </w:tc>
        <w:tc>
          <w:tcPr>
            <w:tcW w:w="3544" w:type="dxa"/>
          </w:tcPr>
          <w:p>
            <w:pPr>
              <w:pStyle w:val="yTableNAm"/>
            </w:pPr>
            <w:r>
              <w:t>RWWA offers odds against a jockey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placed jockey receives 1 point. The jockey who accumulates the most points throughout the entire race meeting is considered the winner.</w:t>
            </w:r>
          </w:p>
        </w:tc>
      </w:tr>
      <w:tr>
        <w:tc>
          <w:tcPr>
            <w:tcW w:w="738" w:type="dxa"/>
          </w:tcPr>
          <w:p>
            <w:pPr>
              <w:pStyle w:val="yTableNAm"/>
            </w:pPr>
            <w:r>
              <w:lastRenderedPageBreak/>
              <w:t>13.</w:t>
            </w:r>
          </w:p>
        </w:tc>
        <w:tc>
          <w:tcPr>
            <w:tcW w:w="2551" w:type="dxa"/>
          </w:tcPr>
          <w:p>
            <w:pPr>
              <w:pStyle w:val="yTableNAm"/>
            </w:pPr>
            <w:r>
              <w:t>Jockey challenge quinella</w:t>
            </w:r>
          </w:p>
        </w:tc>
        <w:tc>
          <w:tcPr>
            <w:tcW w:w="3544" w:type="dxa"/>
          </w:tcPr>
          <w:p>
            <w:pPr>
              <w:pStyle w:val="yTableNAm"/>
              <w:keepLines/>
            </w:pPr>
            <w:r>
              <w:t>RWWA offers odds against a combination of 2 jockeys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 xml:space="preserve">placed jockey receives 1 point. The combination of 2 jockeys that accumulates the most points throughout the entire race meeting is considered the winner. </w:t>
            </w:r>
          </w:p>
        </w:tc>
      </w:tr>
      <w:tr>
        <w:tc>
          <w:tcPr>
            <w:tcW w:w="738" w:type="dxa"/>
          </w:tcPr>
          <w:p>
            <w:pPr>
              <w:pStyle w:val="yTableNAm"/>
            </w:pPr>
            <w:r>
              <w:t>14.</w:t>
            </w:r>
          </w:p>
        </w:tc>
        <w:tc>
          <w:tcPr>
            <w:tcW w:w="2551" w:type="dxa"/>
          </w:tcPr>
          <w:p>
            <w:pPr>
              <w:pStyle w:val="yTableNAm"/>
            </w:pPr>
            <w:r>
              <w:t>Leading trainer</w:t>
            </w:r>
          </w:p>
        </w:tc>
        <w:tc>
          <w:tcPr>
            <w:tcW w:w="3544" w:type="dxa"/>
          </w:tcPr>
          <w:p>
            <w:pPr>
              <w:pStyle w:val="yTableNAm"/>
              <w:keepLines/>
            </w:pPr>
            <w:r>
              <w:rPr>
                <w:rFonts w:cs="Arial"/>
                <w:szCs w:val="22"/>
              </w:rPr>
              <w:t>RWWA offers odds against a horse or greyhound trainer accumulating the most points across a race meeting or a series of races specified by RWWA, which will be decided by the following points system for each race: the first</w:t>
            </w:r>
            <w:r>
              <w:rPr>
                <w:rFonts w:cs="Arial"/>
                <w:szCs w:val="22"/>
              </w:rPr>
              <w:noBreakHyphen/>
              <w:t>placed trainer in a race receives 3 points, the second</w:t>
            </w:r>
            <w:r>
              <w:rPr>
                <w:rFonts w:cs="Arial"/>
                <w:szCs w:val="22"/>
              </w:rPr>
              <w:noBreakHyphen/>
              <w:t>placed trainer receives 2 points and the third</w:t>
            </w:r>
            <w:r>
              <w:rPr>
                <w:rFonts w:cs="Arial"/>
                <w:szCs w:val="22"/>
              </w:rPr>
              <w:noBreakHyphen/>
              <w:t>placed trainer receives 1 point. The trainer who accumulates the most points throughout the entire race meeting, or series of races, is considered the winner.</w:t>
            </w:r>
          </w:p>
        </w:tc>
      </w:tr>
      <w:tr>
        <w:tc>
          <w:tcPr>
            <w:tcW w:w="738" w:type="dxa"/>
          </w:tcPr>
          <w:p>
            <w:pPr>
              <w:pStyle w:val="yTableNAm"/>
            </w:pPr>
            <w:r>
              <w:t>15.</w:t>
            </w:r>
          </w:p>
        </w:tc>
        <w:tc>
          <w:tcPr>
            <w:tcW w:w="2551" w:type="dxa"/>
          </w:tcPr>
          <w:p>
            <w:pPr>
              <w:pStyle w:val="yTableNAm"/>
            </w:pPr>
            <w:r>
              <w:t>Margin</w:t>
            </w:r>
          </w:p>
        </w:tc>
        <w:tc>
          <w:tcPr>
            <w:tcW w:w="3544" w:type="dxa"/>
          </w:tcPr>
          <w:p>
            <w:pPr>
              <w:pStyle w:val="yTableNAm"/>
            </w:pPr>
            <w:r>
              <w:rPr>
                <w:rFonts w:cs="Arial"/>
                <w:szCs w:val="22"/>
              </w:rPr>
              <w:t>RWWA offers odds against the official margin between the first</w:t>
            </w:r>
            <w:r>
              <w:rPr>
                <w:rFonts w:cs="Arial"/>
                <w:szCs w:val="22"/>
              </w:rPr>
              <w:noBreakHyphen/>
              <w:t xml:space="preserve"> and second</w:t>
            </w:r>
            <w:r>
              <w:rPr>
                <w:rFonts w:cs="Arial"/>
                <w:szCs w:val="22"/>
              </w:rPr>
              <w:noBreakHyphen/>
              <w:t>placed runners in a particular race.</w:t>
            </w:r>
          </w:p>
        </w:tc>
      </w:tr>
      <w:tr>
        <w:tc>
          <w:tcPr>
            <w:tcW w:w="738" w:type="dxa"/>
            <w:tcBorders>
              <w:bottom w:val="single" w:sz="4" w:space="0" w:color="auto"/>
            </w:tcBorders>
          </w:tcPr>
          <w:p>
            <w:pPr>
              <w:pStyle w:val="yTableNAm"/>
            </w:pPr>
            <w:r>
              <w:lastRenderedPageBreak/>
              <w:t>16.</w:t>
            </w:r>
          </w:p>
        </w:tc>
        <w:tc>
          <w:tcPr>
            <w:tcW w:w="2551" w:type="dxa"/>
            <w:tcBorders>
              <w:bottom w:val="single" w:sz="4" w:space="0" w:color="auto"/>
            </w:tcBorders>
          </w:tcPr>
          <w:p>
            <w:pPr>
              <w:pStyle w:val="yTableNAm"/>
            </w:pPr>
            <w:r>
              <w:t>Odds versus evens</w:t>
            </w:r>
          </w:p>
        </w:tc>
        <w:tc>
          <w:tcPr>
            <w:tcW w:w="3544" w:type="dxa"/>
            <w:tcBorders>
              <w:bottom w:val="single" w:sz="4" w:space="0" w:color="auto"/>
            </w:tcBorders>
          </w:tcPr>
          <w:p>
            <w:pPr>
              <w:pStyle w:val="yTableNAm"/>
              <w:keepLines/>
            </w:pPr>
            <w:r>
              <w:rPr>
                <w:rFonts w:cs="Arial"/>
                <w:szCs w:val="22"/>
              </w:rPr>
              <w:t>RWWA offers odds against the winner of a particular race having an odd or even saddlecloth or rug number.</w:t>
            </w:r>
          </w:p>
        </w:tc>
      </w:tr>
      <w:tr>
        <w:tc>
          <w:tcPr>
            <w:tcW w:w="738" w:type="dxa"/>
          </w:tcPr>
          <w:p>
            <w:pPr>
              <w:pStyle w:val="yTableNAm"/>
            </w:pPr>
            <w:r>
              <w:t>17.</w:t>
            </w:r>
          </w:p>
        </w:tc>
        <w:tc>
          <w:tcPr>
            <w:tcW w:w="2551" w:type="dxa"/>
          </w:tcPr>
          <w:p>
            <w:pPr>
              <w:pStyle w:val="yTableNAm"/>
            </w:pPr>
            <w:r>
              <w:t>Place card</w:t>
            </w:r>
          </w:p>
        </w:tc>
        <w:tc>
          <w:tcPr>
            <w:tcW w:w="3544" w:type="dxa"/>
          </w:tcPr>
          <w:p>
            <w:pPr>
              <w:pStyle w:val="yTableNAm"/>
            </w:pPr>
            <w:r>
              <w:rPr>
                <w:rFonts w:cs="Arial"/>
                <w:szCs w:val="22"/>
              </w:rPr>
              <w:t>RWWA offer odds against any 3 runners achieving a place in 4 particular races. The place odds for each runner are added together to establish the place card odds.</w:t>
            </w:r>
          </w:p>
        </w:tc>
      </w:tr>
      <w:tr>
        <w:tc>
          <w:tcPr>
            <w:tcW w:w="738" w:type="dxa"/>
          </w:tcPr>
          <w:p>
            <w:pPr>
              <w:pStyle w:val="yTableNAm"/>
            </w:pPr>
            <w:r>
              <w:t>18.</w:t>
            </w:r>
          </w:p>
        </w:tc>
        <w:tc>
          <w:tcPr>
            <w:tcW w:w="2551" w:type="dxa"/>
          </w:tcPr>
          <w:p>
            <w:pPr>
              <w:pStyle w:val="yTableNAm"/>
            </w:pPr>
            <w:r>
              <w:t>Quinella</w:t>
            </w:r>
          </w:p>
        </w:tc>
        <w:tc>
          <w:tcPr>
            <w:tcW w:w="3544" w:type="dxa"/>
          </w:tcPr>
          <w:p>
            <w:pPr>
              <w:pStyle w:val="yTableNAm"/>
            </w:pPr>
            <w:r>
              <w:rPr>
                <w:rFonts w:cs="Arial"/>
                <w:szCs w:val="22"/>
              </w:rPr>
              <w:t>RWWA offer odds against any 2 of 2 or more selected runners finishing 1</w:t>
            </w:r>
            <w:r>
              <w:rPr>
                <w:rFonts w:cs="Arial"/>
                <w:szCs w:val="22"/>
                <w:vertAlign w:val="superscript"/>
              </w:rPr>
              <w:t>st</w:t>
            </w:r>
            <w:r>
              <w:rPr>
                <w:rFonts w:cs="Arial"/>
                <w:szCs w:val="22"/>
              </w:rPr>
              <w:t xml:space="preserve"> and 2</w:t>
            </w:r>
            <w:r>
              <w:rPr>
                <w:rFonts w:cs="Arial"/>
                <w:szCs w:val="22"/>
                <w:vertAlign w:val="superscript"/>
              </w:rPr>
              <w:t>nd</w:t>
            </w:r>
            <w:r>
              <w:rPr>
                <w:rFonts w:cs="Arial"/>
                <w:szCs w:val="22"/>
              </w:rPr>
              <w:t>, in any order, in a particular race.</w:t>
            </w:r>
          </w:p>
        </w:tc>
      </w:tr>
      <w:tr>
        <w:tc>
          <w:tcPr>
            <w:tcW w:w="738" w:type="dxa"/>
          </w:tcPr>
          <w:p>
            <w:pPr>
              <w:pStyle w:val="yTableNAm"/>
            </w:pPr>
            <w:r>
              <w:t>19.</w:t>
            </w:r>
          </w:p>
        </w:tc>
        <w:tc>
          <w:tcPr>
            <w:tcW w:w="2551" w:type="dxa"/>
          </w:tcPr>
          <w:p>
            <w:pPr>
              <w:pStyle w:val="yTableNAm"/>
            </w:pPr>
            <w:r>
              <w:t>Rags to riches</w:t>
            </w:r>
          </w:p>
        </w:tc>
        <w:tc>
          <w:tcPr>
            <w:tcW w:w="3544" w:type="dxa"/>
          </w:tcPr>
          <w:p>
            <w:pPr>
              <w:pStyle w:val="yTableNAm"/>
            </w:pPr>
            <w:r>
              <w:rPr>
                <w:rFonts w:cs="Arial"/>
                <w:szCs w:val="22"/>
              </w:rPr>
              <w:t>RWWA offers odds against 1 of 4 runners nominated by RWWA winning a particular race.</w:t>
            </w:r>
          </w:p>
        </w:tc>
      </w:tr>
      <w:tr>
        <w:tc>
          <w:tcPr>
            <w:tcW w:w="738" w:type="dxa"/>
          </w:tcPr>
          <w:p>
            <w:pPr>
              <w:pStyle w:val="yTableNAm"/>
            </w:pPr>
            <w:r>
              <w:t>20.</w:t>
            </w:r>
          </w:p>
        </w:tc>
        <w:tc>
          <w:tcPr>
            <w:tcW w:w="2551" w:type="dxa"/>
          </w:tcPr>
          <w:p>
            <w:pPr>
              <w:pStyle w:val="yTableNAm"/>
            </w:pPr>
            <w:r>
              <w:t>Runner versus the field</w:t>
            </w:r>
          </w:p>
        </w:tc>
        <w:tc>
          <w:tcPr>
            <w:tcW w:w="3544" w:type="dxa"/>
          </w:tcPr>
          <w:p>
            <w:pPr>
              <w:pStyle w:val="yTableNAm"/>
            </w:pPr>
            <w:r>
              <w:rPr>
                <w:rFonts w:cs="Arial"/>
                <w:szCs w:val="22"/>
              </w:rPr>
              <w:t>RWWA offers odds against a designated runner of a particular race being the winner of the race or any other runner of the race being the winner of the race.</w:t>
            </w:r>
          </w:p>
        </w:tc>
      </w:tr>
      <w:tr>
        <w:tc>
          <w:tcPr>
            <w:tcW w:w="738" w:type="dxa"/>
          </w:tcPr>
          <w:p>
            <w:pPr>
              <w:pStyle w:val="yTableNAm"/>
            </w:pPr>
            <w:r>
              <w:t>21.</w:t>
            </w:r>
          </w:p>
        </w:tc>
        <w:tc>
          <w:tcPr>
            <w:tcW w:w="2551" w:type="dxa"/>
          </w:tcPr>
          <w:p>
            <w:pPr>
              <w:pStyle w:val="yTableNAm"/>
            </w:pPr>
            <w:r>
              <w:t>Same race combo</w:t>
            </w:r>
          </w:p>
        </w:tc>
        <w:tc>
          <w:tcPr>
            <w:tcW w:w="3544" w:type="dxa"/>
          </w:tcPr>
          <w:p>
            <w:pPr>
              <w:pStyle w:val="yTableNAm"/>
            </w:pPr>
            <w:r>
              <w:rPr>
                <w:rFonts w:cs="Arial"/>
                <w:szCs w:val="22"/>
              </w:rPr>
              <w:t>RWWA offers odds against a pre</w:t>
            </w:r>
            <w:r>
              <w:rPr>
                <w:rFonts w:cs="Arial"/>
                <w:szCs w:val="22"/>
              </w:rPr>
              <w:noBreakHyphen/>
              <w:t>determined series of outcomes occurring from within the same race (for example, runner A must win, runner B must finish 2</w:t>
            </w:r>
            <w:r>
              <w:rPr>
                <w:rFonts w:cs="Arial"/>
                <w:szCs w:val="22"/>
                <w:vertAlign w:val="superscript"/>
              </w:rPr>
              <w:t>nd</w:t>
            </w:r>
            <w:r>
              <w:rPr>
                <w:rFonts w:cs="Arial"/>
                <w:szCs w:val="22"/>
              </w:rPr>
              <w:t xml:space="preserve"> or 3</w:t>
            </w:r>
            <w:r>
              <w:rPr>
                <w:rFonts w:cs="Arial"/>
                <w:szCs w:val="22"/>
                <w:vertAlign w:val="superscript"/>
              </w:rPr>
              <w:t>rd</w:t>
            </w:r>
            <w:r>
              <w:rPr>
                <w:rFonts w:cs="Arial"/>
                <w:szCs w:val="22"/>
              </w:rPr>
              <w:t xml:space="preserve"> and runner C must finish 2</w:t>
            </w:r>
            <w:r>
              <w:rPr>
                <w:rFonts w:cs="Arial"/>
                <w:szCs w:val="22"/>
                <w:vertAlign w:val="superscript"/>
              </w:rPr>
              <w:t>nd</w:t>
            </w:r>
            <w:r>
              <w:rPr>
                <w:rFonts w:cs="Arial"/>
                <w:szCs w:val="22"/>
              </w:rPr>
              <w:t>, 3</w:t>
            </w:r>
            <w:r>
              <w:rPr>
                <w:rFonts w:cs="Arial"/>
                <w:szCs w:val="22"/>
                <w:vertAlign w:val="superscript"/>
              </w:rPr>
              <w:t>rd</w:t>
            </w:r>
            <w:r>
              <w:rPr>
                <w:rFonts w:cs="Arial"/>
                <w:szCs w:val="22"/>
              </w:rPr>
              <w:t xml:space="preserve"> or 4</w:t>
            </w:r>
            <w:r>
              <w:rPr>
                <w:rFonts w:cs="Arial"/>
                <w:szCs w:val="22"/>
                <w:vertAlign w:val="superscript"/>
              </w:rPr>
              <w:t>th</w:t>
            </w:r>
            <w:r>
              <w:rPr>
                <w:rFonts w:cs="Arial"/>
                <w:szCs w:val="22"/>
              </w:rPr>
              <w:t>). All outcomes must occur for the wager to be successful. In a same race combo wager, the odds are determined before the wager is placed.</w:t>
            </w:r>
          </w:p>
        </w:tc>
      </w:tr>
      <w:tr>
        <w:tc>
          <w:tcPr>
            <w:tcW w:w="738" w:type="dxa"/>
            <w:tcBorders>
              <w:bottom w:val="single" w:sz="4" w:space="0" w:color="auto"/>
            </w:tcBorders>
          </w:tcPr>
          <w:p>
            <w:pPr>
              <w:pStyle w:val="yTableNAm"/>
            </w:pPr>
            <w:r>
              <w:lastRenderedPageBreak/>
              <w:t>22.</w:t>
            </w:r>
          </w:p>
        </w:tc>
        <w:tc>
          <w:tcPr>
            <w:tcW w:w="2551" w:type="dxa"/>
            <w:tcBorders>
              <w:bottom w:val="single" w:sz="4" w:space="0" w:color="auto"/>
            </w:tcBorders>
          </w:tcPr>
          <w:p>
            <w:pPr>
              <w:pStyle w:val="yTableNAm"/>
            </w:pPr>
            <w:r>
              <w:t>Same race multi</w:t>
            </w:r>
          </w:p>
        </w:tc>
        <w:tc>
          <w:tcPr>
            <w:tcW w:w="3544" w:type="dxa"/>
            <w:tcBorders>
              <w:bottom w:val="single" w:sz="4" w:space="0" w:color="auto"/>
            </w:tcBorders>
          </w:tcPr>
          <w:p>
            <w:pPr>
              <w:pStyle w:val="yTableNAm"/>
            </w:pPr>
            <w:r>
              <w:rPr>
                <w:rFonts w:cs="Arial"/>
                <w:szCs w:val="22"/>
              </w:rPr>
              <w:t>RWWA offers odds against a runner winning or multiple runners finishing in the top two, three or four placings in the same race. It is similar to same race combos except an investor can select their own combinations from the particular race rather than from a set of outcomes pre</w:t>
            </w:r>
            <w:r>
              <w:rPr>
                <w:rFonts w:cs="Arial"/>
                <w:szCs w:val="22"/>
              </w:rPr>
              <w:noBreakHyphen/>
              <w:t>determined by RWWA. In same race multi wagering, the odds are determined at the time the wager is placed.</w:t>
            </w:r>
          </w:p>
        </w:tc>
      </w:tr>
      <w:tr>
        <w:tc>
          <w:tcPr>
            <w:tcW w:w="738" w:type="dxa"/>
          </w:tcPr>
          <w:p>
            <w:pPr>
              <w:pStyle w:val="yTableNAm"/>
            </w:pPr>
            <w:r>
              <w:t>23.</w:t>
            </w:r>
          </w:p>
        </w:tc>
        <w:tc>
          <w:tcPr>
            <w:tcW w:w="2551" w:type="dxa"/>
            <w:shd w:val="clear" w:color="auto" w:fill="auto"/>
          </w:tcPr>
          <w:p>
            <w:pPr>
              <w:pStyle w:val="yTableNAm"/>
            </w:pPr>
            <w:r>
              <w:t>Starting price</w:t>
            </w:r>
          </w:p>
        </w:tc>
        <w:tc>
          <w:tcPr>
            <w:tcW w:w="3544" w:type="dxa"/>
            <w:shd w:val="clear" w:color="auto" w:fill="auto"/>
          </w:tcPr>
          <w:p>
            <w:pPr>
              <w:pStyle w:val="yTableNAm"/>
              <w:keepLines/>
            </w:pPr>
            <w:r>
              <w:t>RWWA offers odds against a runner winning a particular race, being the final odds for that runner offered by on</w:t>
            </w:r>
            <w:r>
              <w:noBreakHyphen/>
              <w:t>course bookmakers as determined by the pricing information body.</w:t>
            </w:r>
          </w:p>
        </w:tc>
      </w:tr>
      <w:tr>
        <w:tc>
          <w:tcPr>
            <w:tcW w:w="738" w:type="dxa"/>
          </w:tcPr>
          <w:p>
            <w:pPr>
              <w:pStyle w:val="yTableNAm"/>
            </w:pPr>
            <w:r>
              <w:t>24.</w:t>
            </w:r>
          </w:p>
        </w:tc>
        <w:tc>
          <w:tcPr>
            <w:tcW w:w="2551" w:type="dxa"/>
          </w:tcPr>
          <w:p>
            <w:pPr>
              <w:pStyle w:val="yTableNAm"/>
            </w:pPr>
            <w:r>
              <w:t>Tight squeeze</w:t>
            </w:r>
          </w:p>
        </w:tc>
        <w:tc>
          <w:tcPr>
            <w:tcW w:w="3544" w:type="dxa"/>
          </w:tcPr>
          <w:p>
            <w:pPr>
              <w:pStyle w:val="yTableNAm"/>
            </w:pPr>
            <w:r>
              <w:rPr>
                <w:rFonts w:cs="Arial"/>
                <w:szCs w:val="22"/>
              </w:rPr>
              <w:t>RWWA offers odds against the winner of a particular greyhound race starting from box number 4 or 5. The rug number of the runner is not taken into consideration in this wager type.</w:t>
            </w:r>
          </w:p>
        </w:tc>
      </w:tr>
      <w:tr>
        <w:tc>
          <w:tcPr>
            <w:tcW w:w="738" w:type="dxa"/>
            <w:tcBorders>
              <w:bottom w:val="single" w:sz="4" w:space="0" w:color="auto"/>
            </w:tcBorders>
          </w:tcPr>
          <w:p>
            <w:pPr>
              <w:pStyle w:val="yTableNAm"/>
            </w:pPr>
            <w:r>
              <w:t>25.</w:t>
            </w:r>
          </w:p>
        </w:tc>
        <w:tc>
          <w:tcPr>
            <w:tcW w:w="2551" w:type="dxa"/>
            <w:tcBorders>
              <w:bottom w:val="single" w:sz="4" w:space="0" w:color="auto"/>
            </w:tcBorders>
          </w:tcPr>
          <w:p>
            <w:pPr>
              <w:pStyle w:val="yTableNAm"/>
            </w:pPr>
            <w:r>
              <w:t>Top half versus bottom half</w:t>
            </w:r>
          </w:p>
        </w:tc>
        <w:tc>
          <w:tcPr>
            <w:tcW w:w="3544" w:type="dxa"/>
            <w:tcBorders>
              <w:bottom w:val="single" w:sz="4" w:space="0" w:color="auto"/>
            </w:tcBorders>
          </w:tcPr>
          <w:p>
            <w:pPr>
              <w:pStyle w:val="yTableNAm"/>
            </w:pPr>
            <w:r>
              <w:rPr>
                <w:rFonts w:cs="Arial"/>
                <w:szCs w:val="22"/>
              </w:rPr>
              <w:t>RWWA offers odds against the winner of a particular thoroughbred race or harness race coming from the top half or the bottom half of the race field according to the runner number order. If the race field contains an odd number of runners, the top half is allocated the extra runner.</w:t>
            </w:r>
          </w:p>
        </w:tc>
      </w:tr>
      <w:tr>
        <w:tc>
          <w:tcPr>
            <w:tcW w:w="738" w:type="dxa"/>
          </w:tcPr>
          <w:p>
            <w:pPr>
              <w:pStyle w:val="yTableNAm"/>
              <w:keepNext/>
            </w:pPr>
            <w:r>
              <w:lastRenderedPageBreak/>
              <w:t>26.</w:t>
            </w:r>
          </w:p>
        </w:tc>
        <w:tc>
          <w:tcPr>
            <w:tcW w:w="2551" w:type="dxa"/>
          </w:tcPr>
          <w:p>
            <w:pPr>
              <w:pStyle w:val="yTableNAm"/>
              <w:keepNext/>
              <w:keepLines/>
            </w:pPr>
            <w:r>
              <w:t>Top x</w:t>
            </w:r>
          </w:p>
        </w:tc>
        <w:tc>
          <w:tcPr>
            <w:tcW w:w="3544" w:type="dxa"/>
          </w:tcPr>
          <w:p>
            <w:pPr>
              <w:pStyle w:val="yTableNAm"/>
              <w:keepNext/>
            </w:pPr>
            <w:r>
              <w:rPr>
                <w:rFonts w:cs="Arial"/>
                <w:szCs w:val="22"/>
              </w:rPr>
              <w:t>RWWA offers odds against a runner or participant finishing within the placings specified by RWWA. (For example, in a top 2 wager, the runner or participant must finish 1</w:t>
            </w:r>
            <w:r>
              <w:rPr>
                <w:rFonts w:cs="Arial"/>
                <w:szCs w:val="22"/>
                <w:vertAlign w:val="superscript"/>
              </w:rPr>
              <w:t>st</w:t>
            </w:r>
            <w:r>
              <w:rPr>
                <w:rFonts w:cs="Arial"/>
                <w:szCs w:val="22"/>
              </w:rPr>
              <w:t xml:space="preserve"> or 2</w:t>
            </w:r>
            <w:r>
              <w:rPr>
                <w:rFonts w:cs="Arial"/>
                <w:szCs w:val="22"/>
                <w:vertAlign w:val="superscript"/>
              </w:rPr>
              <w:t>nd</w:t>
            </w:r>
            <w:r>
              <w:rPr>
                <w:rFonts w:cs="Arial"/>
                <w:szCs w:val="22"/>
              </w:rPr>
              <w:t>; in a top 5 wager, the runner or participant must finish 1</w:t>
            </w:r>
            <w:r>
              <w:rPr>
                <w:rFonts w:cs="Arial"/>
                <w:szCs w:val="22"/>
                <w:vertAlign w:val="superscript"/>
              </w:rPr>
              <w:t>st</w:t>
            </w:r>
            <w:r>
              <w:rPr>
                <w:rFonts w:cs="Arial"/>
                <w:szCs w:val="22"/>
              </w:rPr>
              <w:t>, 2</w:t>
            </w:r>
            <w:r>
              <w:rPr>
                <w:rFonts w:cs="Arial"/>
                <w:szCs w:val="22"/>
                <w:vertAlign w:val="superscript"/>
              </w:rPr>
              <w:t>nd</w:t>
            </w:r>
            <w:r>
              <w:rPr>
                <w:rFonts w:cs="Arial"/>
                <w:szCs w:val="22"/>
              </w:rPr>
              <w:t>, 3</w:t>
            </w:r>
            <w:r>
              <w:rPr>
                <w:rFonts w:cs="Arial"/>
                <w:szCs w:val="22"/>
                <w:vertAlign w:val="superscript"/>
              </w:rPr>
              <w:t>rd</w:t>
            </w:r>
            <w:r>
              <w:rPr>
                <w:rFonts w:cs="Arial"/>
                <w:szCs w:val="22"/>
              </w:rPr>
              <w:t>, 4</w:t>
            </w:r>
            <w:r>
              <w:rPr>
                <w:rFonts w:cs="Arial"/>
                <w:szCs w:val="22"/>
                <w:vertAlign w:val="superscript"/>
              </w:rPr>
              <w:t>th</w:t>
            </w:r>
            <w:r>
              <w:rPr>
                <w:rFonts w:cs="Arial"/>
                <w:szCs w:val="22"/>
              </w:rPr>
              <w:t xml:space="preserve"> or 5</w:t>
            </w:r>
            <w:r>
              <w:rPr>
                <w:rFonts w:cs="Arial"/>
                <w:szCs w:val="22"/>
                <w:vertAlign w:val="superscript"/>
              </w:rPr>
              <w:t>th</w:t>
            </w:r>
            <w:r>
              <w:rPr>
                <w:rFonts w:cs="Arial"/>
                <w:szCs w:val="22"/>
              </w:rPr>
              <w:t>).</w:t>
            </w:r>
          </w:p>
        </w:tc>
      </w:tr>
      <w:tr>
        <w:tc>
          <w:tcPr>
            <w:tcW w:w="738" w:type="dxa"/>
            <w:tcBorders>
              <w:bottom w:val="single" w:sz="4" w:space="0" w:color="auto"/>
            </w:tcBorders>
          </w:tcPr>
          <w:p>
            <w:pPr>
              <w:pStyle w:val="yTableNAm"/>
            </w:pPr>
            <w:r>
              <w:t>27.</w:t>
            </w:r>
          </w:p>
        </w:tc>
        <w:tc>
          <w:tcPr>
            <w:tcW w:w="2551" w:type="dxa"/>
            <w:tcBorders>
              <w:bottom w:val="single" w:sz="4" w:space="0" w:color="auto"/>
            </w:tcBorders>
          </w:tcPr>
          <w:p>
            <w:pPr>
              <w:pStyle w:val="yTableNAm"/>
            </w:pPr>
            <w:r>
              <w:t>Total winning saddlecloth numbers</w:t>
            </w:r>
          </w:p>
        </w:tc>
        <w:tc>
          <w:tcPr>
            <w:tcW w:w="3544" w:type="dxa"/>
            <w:tcBorders>
              <w:bottom w:val="single" w:sz="4" w:space="0" w:color="auto"/>
            </w:tcBorders>
          </w:tcPr>
          <w:p>
            <w:pPr>
              <w:pStyle w:val="yTableNAm"/>
              <w:keepLines/>
            </w:pPr>
            <w:r>
              <w:rPr>
                <w:rFonts w:cs="Arial"/>
                <w:szCs w:val="22"/>
              </w:rPr>
              <w:t>RWWA offers odds against the collective total of the official winning saddlecloth or rug numbers for each race of a particular race meeting or series of races nominated by RWWA. The winning saddlecloth or rug numbers from each applicable race are added together to determine the total winning number.</w:t>
            </w:r>
          </w:p>
        </w:tc>
      </w:tr>
    </w:tbl>
    <w:p>
      <w:pPr>
        <w:pStyle w:val="yFootnotesection"/>
      </w:pPr>
      <w:r>
        <w:tab/>
        <w:t>[Schedule 2 inserted: SL 2021/188 r.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42" w:name="_Toc88127273"/>
      <w:bookmarkStart w:id="143" w:name="_Toc88127644"/>
      <w:bookmarkStart w:id="144" w:name="_Toc88128011"/>
      <w:bookmarkStart w:id="145" w:name="_Toc93498849"/>
      <w:bookmarkStart w:id="146" w:name="_Toc93499179"/>
      <w:r>
        <w:lastRenderedPageBreak/>
        <w:t>Notes</w:t>
      </w:r>
      <w:bookmarkEnd w:id="142"/>
      <w:bookmarkEnd w:id="143"/>
      <w:bookmarkEnd w:id="144"/>
      <w:bookmarkEnd w:id="145"/>
      <w:bookmarkEnd w:id="146"/>
    </w:p>
    <w:p>
      <w:pPr>
        <w:pStyle w:val="nStatement"/>
      </w:pPr>
      <w:r>
        <w:t xml:space="preserve">This is a compilation of the </w:t>
      </w:r>
      <w:r>
        <w:rPr>
          <w:i/>
          <w:noProof/>
        </w:rPr>
        <w:t>Rules of Wagering 2005</w:t>
      </w:r>
      <w:r>
        <w:t xml:space="preserve"> and includes amendments made by other written laws. For provisions that have come into operation, and for information about any reprints, see the compilation table.</w:t>
      </w:r>
    </w:p>
    <w:p>
      <w:pPr>
        <w:pStyle w:val="nHeading3"/>
      </w:pPr>
      <w:bookmarkStart w:id="147" w:name="_Toc93499180"/>
      <w:r>
        <w:t>Compilation table</w:t>
      </w:r>
      <w:bookmarkEnd w:id="1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lastRenderedPageBreak/>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top w:val="nil"/>
              <w:bottom w:val="nil"/>
            </w:tcBorders>
          </w:tcPr>
          <w:p>
            <w:pPr>
              <w:pStyle w:val="nTable"/>
              <w:keepNext/>
              <w:spacing w:after="40"/>
              <w:rPr>
                <w:i/>
              </w:rPr>
            </w:pPr>
            <w:r>
              <w:rPr>
                <w:i/>
              </w:rPr>
              <w:t>Rules of Wagering Amendment Rules 2019</w:t>
            </w:r>
          </w:p>
        </w:tc>
        <w:tc>
          <w:tcPr>
            <w:tcW w:w="1276" w:type="dxa"/>
            <w:tcBorders>
              <w:top w:val="nil"/>
              <w:bottom w:val="nil"/>
            </w:tcBorders>
          </w:tcPr>
          <w:p>
            <w:pPr>
              <w:pStyle w:val="nTable"/>
              <w:keepNext/>
              <w:spacing w:after="40"/>
            </w:pPr>
            <w:r>
              <w:t>15 Mar 2019 p. 797-801</w:t>
            </w:r>
          </w:p>
        </w:tc>
        <w:tc>
          <w:tcPr>
            <w:tcW w:w="2693" w:type="dxa"/>
            <w:tcBorders>
              <w:top w:val="nil"/>
              <w:bottom w:val="nil"/>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r>
        <w:tc>
          <w:tcPr>
            <w:tcW w:w="3118" w:type="dxa"/>
            <w:tcBorders>
              <w:top w:val="nil"/>
              <w:bottom w:val="nil"/>
            </w:tcBorders>
          </w:tcPr>
          <w:p>
            <w:pPr>
              <w:pStyle w:val="nTable"/>
              <w:keepNext/>
              <w:spacing w:after="40"/>
              <w:rPr>
                <w:i/>
              </w:rPr>
            </w:pPr>
            <w:r>
              <w:rPr>
                <w:i/>
              </w:rPr>
              <w:t>Rules of Wagering Amendment Rules 2021</w:t>
            </w:r>
          </w:p>
        </w:tc>
        <w:tc>
          <w:tcPr>
            <w:tcW w:w="1276" w:type="dxa"/>
            <w:tcBorders>
              <w:top w:val="nil"/>
              <w:bottom w:val="nil"/>
            </w:tcBorders>
          </w:tcPr>
          <w:p>
            <w:pPr>
              <w:pStyle w:val="nTable"/>
              <w:keepNext/>
              <w:spacing w:after="40"/>
            </w:pPr>
            <w:r>
              <w:t>SL 2021/188 8 Nov 2021</w:t>
            </w:r>
          </w:p>
        </w:tc>
        <w:tc>
          <w:tcPr>
            <w:tcW w:w="2693" w:type="dxa"/>
            <w:tcBorders>
              <w:top w:val="nil"/>
              <w:bottom w:val="nil"/>
            </w:tcBorders>
          </w:tcPr>
          <w:p>
            <w:pPr>
              <w:pStyle w:val="nTable"/>
              <w:keepNext/>
              <w:spacing w:after="40"/>
              <w:rPr>
                <w:bCs/>
                <w:snapToGrid w:val="0"/>
                <w:spacing w:val="-2"/>
              </w:rPr>
            </w:pPr>
            <w:r>
              <w:rPr>
                <w:bCs/>
                <w:snapToGrid w:val="0"/>
                <w:spacing w:val="-2"/>
              </w:rPr>
              <w:t>r. 1 and 2: 8 Nov 2021 (see r. 2(a));</w:t>
            </w:r>
            <w:r>
              <w:rPr>
                <w:bCs/>
                <w:snapToGrid w:val="0"/>
                <w:spacing w:val="-2"/>
              </w:rPr>
              <w:br/>
              <w:t>Rules other than r. 1 and 2: 9 Nov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keepNext/>
              <w:spacing w:after="40"/>
              <w:rPr>
                <w:i/>
              </w:rPr>
            </w:pPr>
            <w:r>
              <w:rPr>
                <w:i/>
                <w:noProof/>
                <w:snapToGrid w:val="0"/>
              </w:rPr>
              <w:t>Rules of Wagering Amendment Rules (No. 2) 2021</w:t>
            </w:r>
          </w:p>
        </w:tc>
        <w:tc>
          <w:tcPr>
            <w:tcW w:w="1276" w:type="dxa"/>
            <w:tcBorders>
              <w:bottom w:val="single" w:sz="4" w:space="0" w:color="auto"/>
            </w:tcBorders>
          </w:tcPr>
          <w:p>
            <w:pPr>
              <w:pStyle w:val="nTable"/>
              <w:keepNext/>
              <w:spacing w:after="40"/>
            </w:pPr>
            <w:r>
              <w:t>19 Nov 2021 p. 5144</w:t>
            </w:r>
          </w:p>
        </w:tc>
        <w:tc>
          <w:tcPr>
            <w:tcW w:w="2693" w:type="dxa"/>
            <w:tcBorders>
              <w:bottom w:val="single" w:sz="4" w:space="0" w:color="auto"/>
            </w:tcBorders>
          </w:tcPr>
          <w:p>
            <w:pPr>
              <w:pStyle w:val="nTable"/>
              <w:keepNext/>
              <w:spacing w:after="40"/>
              <w:rPr>
                <w:bCs/>
                <w:snapToGrid w:val="0"/>
                <w:spacing w:val="-2"/>
              </w:rPr>
            </w:pPr>
            <w:r>
              <w:rPr>
                <w:bCs/>
                <w:snapToGrid w:val="0"/>
              </w:rPr>
              <w:t xml:space="preserve">r. 1 and 2: </w:t>
            </w:r>
            <w:r>
              <w:t>19 Nov 2021</w:t>
            </w:r>
            <w:r>
              <w:rPr>
                <w:bCs/>
                <w:snapToGrid w:val="0"/>
              </w:rPr>
              <w:t xml:space="preserve"> (see r. 2(a));</w:t>
            </w:r>
            <w:r>
              <w:rPr>
                <w:bCs/>
                <w:snapToGrid w:val="0"/>
              </w:rPr>
              <w:br/>
              <w:t xml:space="preserve">Rules other than r. 1 and 2: </w:t>
            </w:r>
            <w:r>
              <w:t>20 Nov 2021</w:t>
            </w:r>
            <w:r>
              <w:rPr>
                <w:bCs/>
                <w:snapToGrid w:val="0"/>
              </w:rPr>
              <w:t xml:space="preserve">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49" w:name="_Toc88127275"/>
      <w:bookmarkStart w:id="150" w:name="_Toc88127646"/>
      <w:bookmarkStart w:id="151" w:name="_Toc88128013"/>
      <w:bookmarkStart w:id="152" w:name="_Toc93498851"/>
      <w:bookmarkStart w:id="153" w:name="_Toc93499181"/>
      <w:r>
        <w:rPr>
          <w:sz w:val="28"/>
        </w:rPr>
        <w:lastRenderedPageBreak/>
        <w:t>Defined terms</w:t>
      </w:r>
      <w:bookmarkEnd w:id="149"/>
      <w:bookmarkEnd w:id="150"/>
      <w:bookmarkEnd w:id="151"/>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manual</w:t>
      </w:r>
      <w:r>
        <w:tab/>
        <w:t>63</w:t>
      </w:r>
    </w:p>
    <w:p>
      <w:pPr>
        <w:pStyle w:val="DefinedTerms"/>
      </w:pPr>
      <w:r>
        <w:t>agency settlement</w:t>
      </w:r>
      <w:r>
        <w:tab/>
        <w:t>63</w:t>
      </w:r>
    </w:p>
    <w:p>
      <w:pPr>
        <w:pStyle w:val="DefinedTerms"/>
      </w:pPr>
      <w:r>
        <w:t>approved event</w:t>
      </w:r>
      <w:r>
        <w:tab/>
        <w:t>3(1)</w:t>
      </w:r>
    </w:p>
    <w:p>
      <w:pPr>
        <w:pStyle w:val="DefinedTerms"/>
      </w:pPr>
      <w:r>
        <w:t>Australian totalisator</w:t>
      </w:r>
      <w:r>
        <w:tab/>
        <w:t>3(1)</w:t>
      </w:r>
    </w:p>
    <w:p>
      <w:pPr>
        <w:pStyle w:val="DefinedTerms"/>
      </w:pPr>
      <w:r>
        <w:t>before noms wager</w:t>
      </w:r>
      <w:r>
        <w:tab/>
        <w:t>62A</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box (trap) number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dead heat</w:t>
      </w:r>
      <w:r>
        <w:tab/>
        <w:t>62S(1)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 wager</w:t>
      </w:r>
      <w:r>
        <w:tab/>
        <w:t>3(1)</w:t>
      </w:r>
    </w:p>
    <w:p>
      <w:pPr>
        <w:pStyle w:val="DefinedTerms"/>
      </w:pPr>
      <w:r>
        <w:t>draw</w:t>
      </w:r>
      <w:r>
        <w:tab/>
        <w:t>28(2)</w:t>
      </w:r>
    </w:p>
    <w:p>
      <w:pPr>
        <w:pStyle w:val="DefinedTerms"/>
      </w:pPr>
      <w:r>
        <w:t>each way wager</w:t>
      </w:r>
      <w:r>
        <w:tab/>
        <w:t>3(1)</w:t>
      </w:r>
    </w:p>
    <w:p>
      <w:pPr>
        <w:pStyle w:val="DefinedTerms"/>
      </w:pPr>
      <w:r>
        <w:t>error</w:t>
      </w:r>
      <w:r>
        <w:tab/>
        <w:t>62U(1)</w:t>
      </w:r>
    </w:p>
    <w:p>
      <w:pPr>
        <w:pStyle w:val="DefinedTerms"/>
      </w:pPr>
      <w:r>
        <w:t>final field</w:t>
      </w:r>
      <w:r>
        <w:tab/>
        <w:t>62A</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futures wager</w:t>
      </w:r>
      <w:r>
        <w:tab/>
        <w:t>62A</w:t>
      </w:r>
    </w:p>
    <w:p>
      <w:pPr>
        <w:pStyle w:val="DefinedTerms"/>
      </w:pPr>
      <w:r>
        <w:t>game pool</w:t>
      </w:r>
      <w:r>
        <w:tab/>
        <w:t>25(2)</w:t>
      </w:r>
    </w:p>
    <w:p>
      <w:pPr>
        <w:pStyle w:val="DefinedTerms"/>
      </w:pPr>
      <w:r>
        <w:t>internet wagering</w:t>
      </w:r>
      <w:r>
        <w:tab/>
        <w:t>3(1)</w:t>
      </w:r>
    </w:p>
    <w:p>
      <w:pPr>
        <w:pStyle w:val="DefinedTerms"/>
      </w:pPr>
      <w:r>
        <w:t>in the run wager</w:t>
      </w:r>
      <w:r>
        <w:tab/>
        <w:t>62A</w:t>
      </w:r>
    </w:p>
    <w:p>
      <w:pPr>
        <w:pStyle w:val="DefinedTerms"/>
      </w:pPr>
      <w:r>
        <w:t>investor</w:t>
      </w:r>
      <w:r>
        <w:tab/>
        <w:t>3(1)</w:t>
      </w:r>
    </w:p>
    <w:p>
      <w:pPr>
        <w:pStyle w:val="DefinedTerms"/>
      </w:pPr>
      <w:r>
        <w:t>judge</w:t>
      </w:r>
      <w:r>
        <w:tab/>
        <w:t>3(1)</w:t>
      </w:r>
    </w:p>
    <w:p>
      <w:pPr>
        <w:pStyle w:val="DefinedTerms"/>
      </w:pPr>
      <w:r>
        <w:t>late scratched runner</w:t>
      </w:r>
      <w:r>
        <w:tab/>
        <w:t>56(1), 62A</w:t>
      </w:r>
    </w:p>
    <w:p>
      <w:pPr>
        <w:pStyle w:val="DefinedTerms"/>
      </w:pPr>
      <w:r>
        <w:t>losing wagers method</w:t>
      </w:r>
      <w:r>
        <w:tab/>
        <w:t>16(2)</w:t>
      </w:r>
    </w:p>
    <w:p>
      <w:pPr>
        <w:pStyle w:val="DefinedTerms"/>
      </w:pPr>
      <w:r>
        <w:t>middle dividend</w:t>
      </w:r>
      <w:r>
        <w:tab/>
        <w:t>3(1)</w:t>
      </w:r>
    </w:p>
    <w:p>
      <w:pPr>
        <w:pStyle w:val="DefinedTerms"/>
      </w:pPr>
      <w:r>
        <w:t>mistaken acceptance</w:t>
      </w:r>
      <w:r>
        <w:tab/>
        <w:t>62U(1)</w:t>
      </w:r>
    </w:p>
    <w:p>
      <w:pPr>
        <w:pStyle w:val="DefinedTerms"/>
      </w:pPr>
      <w:r>
        <w:t>multiple doubles wager</w:t>
      </w:r>
      <w:r>
        <w:tab/>
        <w:t>3(1)</w:t>
      </w:r>
    </w:p>
    <w:p>
      <w:pPr>
        <w:pStyle w:val="DefinedTerms"/>
      </w:pPr>
      <w:r>
        <w:t>multi wager</w:t>
      </w:r>
      <w:r>
        <w:tab/>
        <w:t>3(1)</w:t>
      </w:r>
    </w:p>
    <w:p>
      <w:pPr>
        <w:pStyle w:val="DefinedTerms"/>
      </w:pPr>
      <w:r>
        <w:lastRenderedPageBreak/>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 62A</w:t>
      </w:r>
    </w:p>
    <w:p>
      <w:pPr>
        <w:pStyle w:val="DefinedTerms"/>
      </w:pPr>
      <w:r>
        <w:t>odds portion</w:t>
      </w:r>
      <w:r>
        <w:tab/>
        <w:t>49(1), 62A</w:t>
      </w:r>
    </w:p>
    <w:p>
      <w:pPr>
        <w:pStyle w:val="DefinedTerms"/>
      </w:pPr>
      <w:r>
        <w:t>official result</w:t>
      </w:r>
      <w:r>
        <w:tab/>
        <w:t>3(1)</w:t>
      </w:r>
    </w:p>
    <w:p>
      <w:pPr>
        <w:pStyle w:val="DefinedTerms"/>
      </w:pPr>
      <w:r>
        <w:t>on-course totalisator</w:t>
      </w:r>
      <w:r>
        <w:tab/>
        <w:t>3(1)</w:t>
      </w:r>
    </w:p>
    <w:p>
      <w:pPr>
        <w:pStyle w:val="DefinedTerms"/>
      </w:pPr>
      <w:r>
        <w:t>on-course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prescribed commission</w:t>
      </w:r>
      <w:r>
        <w:tab/>
        <w:t>3(1)</w:t>
      </w:r>
    </w:p>
    <w:p>
      <w:pPr>
        <w:pStyle w:val="DefinedTerms"/>
      </w:pPr>
      <w:r>
        <w:t>pricing information body</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rules of racing</w:t>
      </w:r>
      <w:r>
        <w:tab/>
        <w:t>3(1)</w:t>
      </w:r>
    </w:p>
    <w:p>
      <w:pPr>
        <w:pStyle w:val="DefinedTerms"/>
      </w:pPr>
      <w:r>
        <w:t>runner</w:t>
      </w:r>
      <w:r>
        <w:tab/>
        <w:t>3(1)</w:t>
      </w:r>
    </w:p>
    <w:p>
      <w:pPr>
        <w:pStyle w:val="DefinedTerms"/>
      </w:pPr>
      <w:r>
        <w:t>runs</w:t>
      </w:r>
      <w:r>
        <w:tab/>
        <w:t>28(2), 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starting price wager</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lastRenderedPageBreak/>
        <w:t>walk-over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Pr>
        <w:pStyle w:val="DefinedTerms"/>
      </w:pPr>
      <w:r>
        <w:t>win wager</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811241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 w:name="WAFER_20211104093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093111_GUID" w:val="4f6d7084-3cec-4dda-9b9b-dcef2b818d0e"/>
    <w:docVar w:name="WAFER_20211118112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8112419_GUID" w:val="130c7137-2b60-49ef-8765-7609c2be8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9D269D13-1D1D-46DD-B2A4-AE94FD93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C8ECF-AA2D-40D8-897B-564682258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28047</Words>
  <Characters>129581</Characters>
  <Application>Microsoft Office Word</Application>
  <DocSecurity>0</DocSecurity>
  <Lines>4180</Lines>
  <Paragraphs>2462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2005 - 01-i0-01</dc:title>
  <dc:subject/>
  <dc:creator/>
  <cp:keywords/>
  <dc:description/>
  <cp:lastModifiedBy>Master Repository Process</cp:lastModifiedBy>
  <cp:revision>4</cp:revision>
  <cp:lastPrinted>2014-11-19T03:51:00Z</cp:lastPrinted>
  <dcterms:created xsi:type="dcterms:W3CDTF">2022-01-19T07:39:00Z</dcterms:created>
  <dcterms:modified xsi:type="dcterms:W3CDTF">2022-01-19T07:39:00Z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AsAtDate">
    <vt:lpwstr>20 Nov 2021</vt:lpwstr>
  </property>
  <property fmtid="{D5CDD505-2E9C-101B-9397-08002B2CF9AE}" pid="8" name="Suffix">
    <vt:lpwstr>01-i0-01</vt:lpwstr>
  </property>
  <property fmtid="{D5CDD505-2E9C-101B-9397-08002B2CF9AE}" pid="9" name="CommencementDate">
    <vt:lpwstr>20211120</vt:lpwstr>
  </property>
</Properties>
</file>