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_Toc88723513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_Toc88723514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_Toc88723515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_Toc88723517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_Toc88723519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_Toc88723520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_Toc88723521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_Toc88723522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_Toc88723523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_Toc88723524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_Toc88723525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_Toc88723526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_Toc88723527 \h </w:instrText>
      </w:r>
      <w:r>
        <w:fldChar w:fldCharType="separate"/>
      </w:r>
      <w:r>
        <w:t>15</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_Toc88723528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8.</w:t>
      </w:r>
      <w:r>
        <w:tab/>
        <w:t>Tribunal to report and make a determination annually</w:t>
      </w:r>
      <w:r>
        <w:tab/>
      </w:r>
      <w:r>
        <w:fldChar w:fldCharType="begin"/>
      </w:r>
      <w:r>
        <w:instrText xml:space="preserve"> PAGEREF _Toc88723529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_Toc88723530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_Toc88723531 \h </w:instrText>
      </w:r>
      <w:r>
        <w:fldChar w:fldCharType="separate"/>
      </w:r>
      <w:r>
        <w:t>18</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_Toc88723532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_Toc88723534 \h </w:instrText>
      </w:r>
      <w:r>
        <w:fldChar w:fldCharType="separate"/>
      </w:r>
      <w:r>
        <w:t>22</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_Toc88723535 \h </w:instrText>
      </w:r>
      <w:r>
        <w:fldChar w:fldCharType="separate"/>
      </w:r>
      <w:r>
        <w:t>22</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_Toc88723536 \h </w:instrText>
      </w:r>
      <w:r>
        <w:fldChar w:fldCharType="separate"/>
      </w:r>
      <w:r>
        <w:t>23</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_Toc88723537 \h </w:instrText>
      </w:r>
      <w:r>
        <w:fldChar w:fldCharType="separate"/>
      </w:r>
      <w:r>
        <w:t>25</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_Toc88723538 \h </w:instrText>
      </w:r>
      <w:r>
        <w:fldChar w:fldCharType="separate"/>
      </w:r>
      <w:r>
        <w:t>25</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_Toc88723539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_Toc88723541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_Toc88723543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_Toc88723544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_Toc88723548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_Toc88723549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_Toc88723550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3" w:name="_Toc88045670"/>
      <w:bookmarkStart w:id="4" w:name="_Toc88055648"/>
      <w:bookmarkStart w:id="5" w:name="_Toc88723511"/>
      <w:r>
        <w:rPr>
          <w:rStyle w:val="CharPartNo"/>
        </w:rPr>
        <w:lastRenderedPageBreak/>
        <w:t>Part I</w:t>
      </w:r>
      <w:r>
        <w:t> — </w:t>
      </w:r>
      <w:r>
        <w:rPr>
          <w:rStyle w:val="CharPartText"/>
        </w:rPr>
        <w:t>The Tribunal</w:t>
      </w:r>
      <w:bookmarkEnd w:id="3"/>
      <w:bookmarkEnd w:id="4"/>
      <w:bookmarkEnd w:id="5"/>
      <w:r>
        <w:rPr>
          <w:rStyle w:val="CharPartText"/>
        </w:rPr>
        <w:t xml:space="preserve"> </w:t>
      </w:r>
    </w:p>
    <w:p>
      <w:pPr>
        <w:pStyle w:val="Heading3"/>
      </w:pPr>
      <w:bookmarkStart w:id="6" w:name="_Toc88045671"/>
      <w:bookmarkStart w:id="7" w:name="_Toc88055649"/>
      <w:bookmarkStart w:id="8" w:name="_Toc88723512"/>
      <w:r>
        <w:rPr>
          <w:rStyle w:val="CharDivNo"/>
        </w:rPr>
        <w:t>Division 1</w:t>
      </w:r>
      <w:r>
        <w:t> — </w:t>
      </w:r>
      <w:r>
        <w:rPr>
          <w:rStyle w:val="CharDivText"/>
        </w:rPr>
        <w:t>Preliminary</w:t>
      </w:r>
      <w:bookmarkEnd w:id="6"/>
      <w:bookmarkEnd w:id="7"/>
      <w:bookmarkEnd w:id="8"/>
    </w:p>
    <w:p>
      <w:pPr>
        <w:pStyle w:val="Footnoteheading"/>
      </w:pPr>
      <w:r>
        <w:tab/>
        <w:t>[Heading inserted: No. 1 of 2018 s. 4.]</w:t>
      </w:r>
    </w:p>
    <w:p>
      <w:pPr>
        <w:pStyle w:val="Heading5"/>
        <w:rPr>
          <w:snapToGrid w:val="0"/>
        </w:rPr>
      </w:pPr>
      <w:bookmarkStart w:id="9" w:name="_Toc88723513"/>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0" w:name="_Toc88723514"/>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1" w:name="_Toc88723515"/>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12" w:name="_Toc88045675"/>
      <w:bookmarkStart w:id="13" w:name="_Toc88055653"/>
      <w:bookmarkStart w:id="14" w:name="_Toc88723516"/>
      <w:r>
        <w:rPr>
          <w:rStyle w:val="CharDivNo"/>
        </w:rPr>
        <w:lastRenderedPageBreak/>
        <w:t>Division 2</w:t>
      </w:r>
      <w:r>
        <w:t> — </w:t>
      </w:r>
      <w:r>
        <w:rPr>
          <w:rStyle w:val="CharDivText"/>
        </w:rPr>
        <w:t>Tribunal established</w:t>
      </w:r>
      <w:bookmarkEnd w:id="12"/>
      <w:bookmarkEnd w:id="13"/>
      <w:bookmarkEnd w:id="14"/>
    </w:p>
    <w:p>
      <w:pPr>
        <w:pStyle w:val="Footnoteheading"/>
      </w:pPr>
      <w:r>
        <w:tab/>
        <w:t>[Heading inserted: No. 1 of 2018 s. 5.]</w:t>
      </w:r>
    </w:p>
    <w:p>
      <w:pPr>
        <w:pStyle w:val="Heading5"/>
        <w:rPr>
          <w:snapToGrid w:val="0"/>
        </w:rPr>
      </w:pPr>
      <w:bookmarkStart w:id="15" w:name="_Toc88723517"/>
      <w:r>
        <w:rPr>
          <w:rStyle w:val="CharSectno"/>
        </w:rPr>
        <w:t>5</w:t>
      </w:r>
      <w:r>
        <w:rPr>
          <w:snapToGrid w:val="0"/>
        </w:rPr>
        <w:t>.</w:t>
      </w:r>
      <w:r>
        <w:rPr>
          <w:snapToGrid w:val="0"/>
        </w:rPr>
        <w:tab/>
        <w:t>Establishment of Tribunal</w:t>
      </w:r>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lastRenderedPageBreak/>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16" w:name="_Toc88045677"/>
      <w:bookmarkStart w:id="17" w:name="_Toc88055655"/>
      <w:bookmarkStart w:id="18" w:name="_Toc88723518"/>
      <w:r>
        <w:rPr>
          <w:rStyle w:val="CharDivNo"/>
        </w:rPr>
        <w:t>Division 3</w:t>
      </w:r>
      <w:r>
        <w:t> — </w:t>
      </w:r>
      <w:r>
        <w:rPr>
          <w:rStyle w:val="CharDivText"/>
        </w:rPr>
        <w:t>Inquiries, determinations and reports</w:t>
      </w:r>
      <w:bookmarkEnd w:id="16"/>
      <w:bookmarkEnd w:id="17"/>
      <w:bookmarkEnd w:id="18"/>
    </w:p>
    <w:p>
      <w:pPr>
        <w:pStyle w:val="Footnoteheading"/>
      </w:pPr>
      <w:r>
        <w:tab/>
        <w:t>[Heading inserted: No. 1 of 2018 s. 6.]</w:t>
      </w:r>
    </w:p>
    <w:p>
      <w:pPr>
        <w:pStyle w:val="Heading5"/>
        <w:rPr>
          <w:snapToGrid w:val="0"/>
        </w:rPr>
      </w:pPr>
      <w:bookmarkStart w:id="19" w:name="_Toc88723519"/>
      <w:r>
        <w:rPr>
          <w:rStyle w:val="CharSectno"/>
        </w:rPr>
        <w:t>5A</w:t>
      </w:r>
      <w:r>
        <w:rPr>
          <w:snapToGrid w:val="0"/>
        </w:rPr>
        <w:t>.</w:t>
      </w:r>
      <w:r>
        <w:rPr>
          <w:snapToGrid w:val="0"/>
        </w:rPr>
        <w:tab/>
        <w:t>Inquiry into and determination of remuneration of Governor</w:t>
      </w:r>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 xml:space="preserve">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w:t>
      </w:r>
      <w:r>
        <w:rPr>
          <w:snapToGrid w:val="0"/>
        </w:rPr>
        <w:lastRenderedPageBreak/>
        <w:t>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20" w:name="_Toc88723520"/>
      <w:r>
        <w:rPr>
          <w:rStyle w:val="CharSectno"/>
        </w:rPr>
        <w:lastRenderedPageBreak/>
        <w:t>6</w:t>
      </w:r>
      <w:r>
        <w:rPr>
          <w:snapToGrid w:val="0"/>
        </w:rPr>
        <w:t>.</w:t>
      </w:r>
      <w:r>
        <w:rPr>
          <w:snapToGrid w:val="0"/>
        </w:rPr>
        <w:tab/>
        <w:t>Other inquiries into and determinations of remuneration</w:t>
      </w:r>
      <w:bookmarkEnd w:id="20"/>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lastRenderedPageBreak/>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lastRenderedPageBreak/>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a subsequent division of the State into electoral districts,</w:t>
      </w:r>
      <w:r>
        <w:rPr>
          <w:snapToGrid w:val="0"/>
        </w:rPr>
        <w:t xml:space="preserve"> the Chairman may </w:t>
      </w:r>
      <w:r>
        <w:rPr>
          <w:snapToGrid w:val="0"/>
        </w:rPr>
        <w:lastRenderedPageBreak/>
        <w:t xml:space="preserve">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xml:space="preserve">. 57; No. 22 of 2001 s. 3; Gazette 15 Aug 2003 p. 3691; Act </w:t>
      </w:r>
      <w:r>
        <w:lastRenderedPageBreak/>
        <w:t>No. 1 of 2005 s. 10(2); No. 56 of 2006 s. 7; No. 77 of 2006 s. 4; No. 32 of 2016 s. 192; No. 20 of 2021 s. 96(2).]</w:t>
      </w:r>
    </w:p>
    <w:p>
      <w:pPr>
        <w:pStyle w:val="Heading5"/>
        <w:spacing w:before="180"/>
      </w:pPr>
      <w:bookmarkStart w:id="21" w:name="_Toc88723521"/>
      <w:r>
        <w:rPr>
          <w:rStyle w:val="CharSectno"/>
        </w:rPr>
        <w:t>6A</w:t>
      </w:r>
      <w:r>
        <w:t>.</w:t>
      </w:r>
      <w:r>
        <w:tab/>
        <w:t xml:space="preserve">Tribunal’s functions under </w:t>
      </w:r>
      <w:r>
        <w:rPr>
          <w:i/>
        </w:rPr>
        <w:t>Parliamentary Superannuation Act 1970</w:t>
      </w:r>
      <w:bookmarkEnd w:id="2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22" w:name="_Toc88723522"/>
      <w:r>
        <w:rPr>
          <w:rStyle w:val="CharSectno"/>
        </w:rPr>
        <w:t>6AA</w:t>
      </w:r>
      <w:r>
        <w:t>.</w:t>
      </w:r>
      <w:r>
        <w:tab/>
        <w:t>Redundancy benefits for members of Parliament</w:t>
      </w:r>
      <w:bookmarkEnd w:id="2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23" w:name="_Toc88723523"/>
      <w:r>
        <w:rPr>
          <w:rStyle w:val="CharSectno"/>
        </w:rPr>
        <w:t>6B</w:t>
      </w:r>
      <w:r>
        <w:rPr>
          <w:snapToGrid w:val="0"/>
        </w:rPr>
        <w:t>.</w:t>
      </w:r>
      <w:r>
        <w:rPr>
          <w:snapToGrid w:val="0"/>
        </w:rPr>
        <w:tab/>
        <w:t>Determinations relating to entitlements of former Premiers, Ministers and members of Parliament</w:t>
      </w:r>
      <w:bookmarkEnd w:id="23"/>
      <w:r>
        <w:rPr>
          <w:snapToGrid w:val="0"/>
        </w:rPr>
        <w:t xml:space="preserve"> </w:t>
      </w:r>
    </w:p>
    <w:p>
      <w:pPr>
        <w:pStyle w:val="Subsection"/>
        <w:rPr>
          <w:snapToGrid w:val="0"/>
        </w:rPr>
      </w:pPr>
      <w:r>
        <w:rPr>
          <w:snapToGrid w:val="0"/>
        </w:rPr>
        <w:tab/>
        <w:t>(1)</w:t>
      </w:r>
      <w:r>
        <w:rPr>
          <w:snapToGrid w:val="0"/>
        </w:rPr>
        <w:tab/>
        <w:t xml:space="preserve">The Tribunal shall from time to time, as it sees fit, inquire into and determine the entitlements and benefits to be paid or provided to former Premiers of the State, former Ministers of </w:t>
      </w:r>
      <w:r>
        <w:rPr>
          <w:snapToGrid w:val="0"/>
        </w:rPr>
        <w:lastRenderedPageBreak/>
        <w:t>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24" w:name="_Toc88723524"/>
      <w:r>
        <w:rPr>
          <w:rStyle w:val="CharSectno"/>
        </w:rPr>
        <w:t>6C</w:t>
      </w:r>
      <w:r>
        <w:rPr>
          <w:snapToGrid w:val="0"/>
        </w:rPr>
        <w:t>.</w:t>
      </w:r>
      <w:r>
        <w:rPr>
          <w:snapToGrid w:val="0"/>
        </w:rPr>
        <w:tab/>
        <w:t>Forfeiture of former office entitlements</w:t>
      </w:r>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lastRenderedPageBreak/>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25" w:name="_Toc88723525"/>
      <w:r>
        <w:rPr>
          <w:rStyle w:val="CharSectno"/>
        </w:rPr>
        <w:t>7</w:t>
      </w:r>
      <w:r>
        <w:rPr>
          <w:snapToGrid w:val="0"/>
        </w:rPr>
        <w:t>.</w:t>
      </w:r>
      <w:r>
        <w:rPr>
          <w:snapToGrid w:val="0"/>
        </w:rPr>
        <w:tab/>
        <w:t>Inquiry into and report on judicial salaries</w:t>
      </w:r>
      <w:bookmarkEnd w:id="2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xml:space="preserve">, and if the Tribunal reports that any such </w:t>
      </w:r>
      <w:r>
        <w:rPr>
          <w:snapToGrid w:val="0"/>
        </w:rPr>
        <w:lastRenderedPageBreak/>
        <w:t>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lastRenderedPageBreak/>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6" w:name="_Toc88723526"/>
      <w:r>
        <w:rPr>
          <w:rStyle w:val="CharSectno"/>
        </w:rPr>
        <w:t>7A</w:t>
      </w:r>
      <w:r>
        <w:t>.</w:t>
      </w:r>
      <w:r>
        <w:tab/>
        <w:t>Determinations as to remuneration of local government CEOs</w:t>
      </w:r>
      <w:bookmarkEnd w:id="2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27" w:name="_Toc88723527"/>
      <w:r>
        <w:rPr>
          <w:rStyle w:val="CharSectno"/>
        </w:rPr>
        <w:t>7B</w:t>
      </w:r>
      <w:r>
        <w:t>.</w:t>
      </w:r>
      <w:r>
        <w:tab/>
        <w:t>Determinations as to fees and allowances of local government councillors</w:t>
      </w:r>
      <w:bookmarkEnd w:id="27"/>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lastRenderedPageBreak/>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28" w:name="_Toc88723528"/>
      <w:r>
        <w:rPr>
          <w:rStyle w:val="CharSectno"/>
        </w:rPr>
        <w:t>7C</w:t>
      </w:r>
      <w:r>
        <w:t>.</w:t>
      </w:r>
      <w:r>
        <w:tab/>
        <w:t>Determinations as to remuneration of certain executive officers of Government entities</w:t>
      </w:r>
      <w:bookmarkEnd w:id="28"/>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No. 46 of 2016 s. 5.]</w:t>
      </w:r>
    </w:p>
    <w:p>
      <w:pPr>
        <w:pStyle w:val="Heading5"/>
        <w:spacing w:before="180"/>
      </w:pPr>
      <w:bookmarkStart w:id="29" w:name="_Toc88723529"/>
      <w:r>
        <w:rPr>
          <w:rStyle w:val="CharSectno"/>
        </w:rPr>
        <w:lastRenderedPageBreak/>
        <w:t>8</w:t>
      </w:r>
      <w:r>
        <w:t>.</w:t>
      </w:r>
      <w:r>
        <w:tab/>
        <w:t>Tribunal to report and make a determination annually</w:t>
      </w:r>
      <w:bookmarkEnd w:id="29"/>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30" w:name="_Toc88723530"/>
      <w:r>
        <w:rPr>
          <w:rStyle w:val="CharSectno"/>
        </w:rPr>
        <w:t>9</w:t>
      </w:r>
      <w:r>
        <w:rPr>
          <w:snapToGrid w:val="0"/>
        </w:rPr>
        <w:t>.</w:t>
      </w:r>
      <w:r>
        <w:rPr>
          <w:snapToGrid w:val="0"/>
        </w:rPr>
        <w:tab/>
        <w:t>Meetings of Tribunal</w:t>
      </w:r>
      <w:bookmarkEnd w:id="30"/>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lastRenderedPageBreak/>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1" w:name="_Toc88723531"/>
      <w:r>
        <w:rPr>
          <w:rStyle w:val="CharSectno"/>
        </w:rPr>
        <w:t>10</w:t>
      </w:r>
      <w:r>
        <w:rPr>
          <w:snapToGrid w:val="0"/>
        </w:rPr>
        <w:t>.</w:t>
      </w:r>
      <w:r>
        <w:rPr>
          <w:snapToGrid w:val="0"/>
        </w:rPr>
        <w:tab/>
        <w:t>Method of inquiry by Tribunal</w:t>
      </w:r>
      <w:bookmarkEnd w:id="3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lastRenderedPageBreak/>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lastRenderedPageBreak/>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32" w:name="_Toc88723532"/>
      <w:r>
        <w:rPr>
          <w:rStyle w:val="CharSectno"/>
        </w:rPr>
        <w:t>10A</w:t>
      </w:r>
      <w:r>
        <w:t>.</w:t>
      </w:r>
      <w:r>
        <w:tab/>
        <w:t>Tribunal to have regard to government financial matters</w:t>
      </w:r>
      <w:bookmarkEnd w:id="32"/>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lastRenderedPageBreak/>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33" w:name="_Toc88045692"/>
      <w:bookmarkStart w:id="34" w:name="_Toc88055670"/>
      <w:bookmarkStart w:id="35" w:name="_Toc88723533"/>
      <w:r>
        <w:rPr>
          <w:rStyle w:val="CharDivNo"/>
        </w:rPr>
        <w:lastRenderedPageBreak/>
        <w:t>Division 4</w:t>
      </w:r>
      <w:r>
        <w:t> — </w:t>
      </w:r>
      <w:r>
        <w:rPr>
          <w:rStyle w:val="CharDivText"/>
        </w:rPr>
        <w:t>No remuneration increases before 1 July 2021</w:t>
      </w:r>
      <w:bookmarkEnd w:id="33"/>
      <w:bookmarkEnd w:id="34"/>
      <w:bookmarkEnd w:id="35"/>
    </w:p>
    <w:p>
      <w:pPr>
        <w:pStyle w:val="Footnoteheading"/>
      </w:pPr>
      <w:r>
        <w:tab/>
        <w:t>[Heading inserted: No. 1 of 2018 s. 9.]</w:t>
      </w:r>
    </w:p>
    <w:p>
      <w:pPr>
        <w:pStyle w:val="Heading5"/>
      </w:pPr>
      <w:bookmarkStart w:id="36" w:name="_Toc88723534"/>
      <w:r>
        <w:rPr>
          <w:rStyle w:val="CharSectno"/>
        </w:rPr>
        <w:t>10B</w:t>
      </w:r>
      <w:r>
        <w:t>.</w:t>
      </w:r>
      <w:r>
        <w:tab/>
        <w:t>Term used: commencement day</w:t>
      </w:r>
      <w:bookmarkEnd w:id="36"/>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37" w:name="_Toc88723535"/>
      <w:r>
        <w:rPr>
          <w:rStyle w:val="CharSectno"/>
        </w:rPr>
        <w:t>10C</w:t>
      </w:r>
      <w:r>
        <w:t>.</w:t>
      </w:r>
      <w:r>
        <w:tab/>
        <w:t>No increases in Governor’s remuneration before 1 July 2021</w:t>
      </w:r>
      <w:bookmarkEnd w:id="37"/>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38" w:name="_Toc88723536"/>
      <w:r>
        <w:rPr>
          <w:rStyle w:val="CharSectno"/>
        </w:rPr>
        <w:lastRenderedPageBreak/>
        <w:t>10D</w:t>
      </w:r>
      <w:r>
        <w:t>.</w:t>
      </w:r>
      <w:r>
        <w:tab/>
        <w:t>No increases in remuneration under s. 6 before 1 July 2021</w:t>
      </w:r>
      <w:bookmarkEnd w:id="38"/>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 xml:space="preserve">the Tribunal has not previously determined the remuneration to be paid or provided in respect of an </w:t>
      </w:r>
      <w:r>
        <w:lastRenderedPageBreak/>
        <w:t>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lastRenderedPageBreak/>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39" w:name="_Toc88723537"/>
      <w:r>
        <w:rPr>
          <w:rStyle w:val="CharSectno"/>
        </w:rPr>
        <w:t>10E</w:t>
      </w:r>
      <w:r>
        <w:t>.</w:t>
      </w:r>
      <w:r>
        <w:tab/>
        <w:t>No increases in judicial remuneration before 1 July 2021</w:t>
      </w:r>
      <w:bookmarkEnd w:id="39"/>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40" w:name="_Toc88723538"/>
      <w:r>
        <w:rPr>
          <w:rStyle w:val="CharSectno"/>
        </w:rPr>
        <w:t>10F</w:t>
      </w:r>
      <w:r>
        <w:t>.</w:t>
      </w:r>
      <w:r>
        <w:tab/>
        <w:t>No increases in remuneration of certain executive officers of Government entities before 1 July 2021</w:t>
      </w:r>
      <w:bookmarkEnd w:id="40"/>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 xml:space="preserve">The amount of remuneration the Tribunal determines under subsection (3) in respect of an executive officer of an entity must not be more than the amount of remuneration that was paid </w:t>
      </w:r>
      <w:r>
        <w:lastRenderedPageBreak/>
        <w:t>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lastRenderedPageBreak/>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41" w:name="_Toc88723539"/>
      <w:r>
        <w:rPr>
          <w:rStyle w:val="CharSectno"/>
        </w:rPr>
        <w:t>10G</w:t>
      </w:r>
      <w:r>
        <w:t>.</w:t>
      </w:r>
      <w:r>
        <w:tab/>
        <w:t>Compensatory and catch-up determinations after 1 July 2021 prohibited</w:t>
      </w:r>
      <w:bookmarkEnd w:id="4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42" w:name="_Toc88045699"/>
      <w:bookmarkStart w:id="43" w:name="_Toc88055677"/>
      <w:bookmarkStart w:id="44" w:name="_Toc88723540"/>
      <w:r>
        <w:rPr>
          <w:rStyle w:val="CharDivNo"/>
        </w:rPr>
        <w:t>Division 5</w:t>
      </w:r>
      <w:r>
        <w:t> — </w:t>
      </w:r>
      <w:r>
        <w:rPr>
          <w:rStyle w:val="CharDivText"/>
        </w:rPr>
        <w:t>Miscellaneous</w:t>
      </w:r>
      <w:bookmarkEnd w:id="42"/>
      <w:bookmarkEnd w:id="43"/>
      <w:bookmarkEnd w:id="44"/>
    </w:p>
    <w:p>
      <w:pPr>
        <w:pStyle w:val="Footnoteheading"/>
      </w:pPr>
      <w:r>
        <w:tab/>
        <w:t>[Heading inserted: No. 1 of 2018 s. 10.]</w:t>
      </w:r>
    </w:p>
    <w:p>
      <w:pPr>
        <w:pStyle w:val="Heading5"/>
        <w:rPr>
          <w:snapToGrid w:val="0"/>
        </w:rPr>
      </w:pPr>
      <w:bookmarkStart w:id="45" w:name="_Toc88723541"/>
      <w:r>
        <w:rPr>
          <w:rStyle w:val="CharSectno"/>
        </w:rPr>
        <w:t>11</w:t>
      </w:r>
      <w:r>
        <w:rPr>
          <w:snapToGrid w:val="0"/>
        </w:rPr>
        <w:t>.</w:t>
      </w:r>
      <w:r>
        <w:rPr>
          <w:snapToGrid w:val="0"/>
        </w:rPr>
        <w:tab/>
        <w:t>Fees and allowances</w:t>
      </w:r>
      <w:bookmarkEnd w:id="4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6" w:name="_Toc88045701"/>
      <w:bookmarkStart w:id="47" w:name="_Toc88055679"/>
      <w:bookmarkStart w:id="48" w:name="_Toc88723542"/>
      <w:r>
        <w:rPr>
          <w:rStyle w:val="CharPartNo"/>
        </w:rPr>
        <w:lastRenderedPageBreak/>
        <w:t>Part IA</w:t>
      </w:r>
      <w:r>
        <w:rPr>
          <w:rStyle w:val="CharDivNo"/>
        </w:rPr>
        <w:t> </w:t>
      </w:r>
      <w:r>
        <w:t>—</w:t>
      </w:r>
      <w:r>
        <w:rPr>
          <w:rStyle w:val="CharDivText"/>
        </w:rPr>
        <w:t> </w:t>
      </w:r>
      <w:r>
        <w:rPr>
          <w:rStyle w:val="CharPartText"/>
        </w:rPr>
        <w:t>General</w:t>
      </w:r>
      <w:bookmarkEnd w:id="46"/>
      <w:bookmarkEnd w:id="47"/>
      <w:bookmarkEnd w:id="48"/>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49" w:name="_Toc88723543"/>
      <w:r>
        <w:rPr>
          <w:rStyle w:val="CharSectno"/>
        </w:rPr>
        <w:t>11A</w:t>
      </w:r>
      <w:r>
        <w:rPr>
          <w:snapToGrid w:val="0"/>
        </w:rPr>
        <w:t>.</w:t>
      </w:r>
      <w:r>
        <w:rPr>
          <w:snapToGrid w:val="0"/>
        </w:rPr>
        <w:tab/>
        <w:t>Arrangements for payment of travelling expenses by Treasurer</w:t>
      </w:r>
      <w:bookmarkEnd w:id="4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lastRenderedPageBreak/>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50" w:name="_Toc88723544"/>
      <w:r>
        <w:rPr>
          <w:rStyle w:val="CharSectno"/>
        </w:rPr>
        <w:t>12</w:t>
      </w:r>
      <w:r>
        <w:rPr>
          <w:snapToGrid w:val="0"/>
        </w:rPr>
        <w:t>.</w:t>
      </w:r>
      <w:r>
        <w:rPr>
          <w:snapToGrid w:val="0"/>
        </w:rPr>
        <w:tab/>
        <w:t>Regulations</w:t>
      </w:r>
      <w:bookmarkEnd w:id="5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51" w:name="_Toc88045704"/>
      <w:bookmarkStart w:id="52" w:name="_Toc88055682"/>
      <w:bookmarkStart w:id="53" w:name="_Toc88723545"/>
      <w:r>
        <w:rPr>
          <w:rStyle w:val="CharSchNo"/>
        </w:rPr>
        <w:lastRenderedPageBreak/>
        <w:t>Schedule 1</w:t>
      </w:r>
      <w:r>
        <w:t> — </w:t>
      </w:r>
      <w:r>
        <w:rPr>
          <w:rStyle w:val="CharSchText"/>
        </w:rPr>
        <w:t>Offences</w:t>
      </w:r>
      <w:bookmarkEnd w:id="51"/>
      <w:bookmarkEnd w:id="52"/>
      <w:bookmarkEnd w:id="5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54" w:name="_Toc88045705"/>
      <w:bookmarkStart w:id="55" w:name="_Toc88055683"/>
      <w:bookmarkStart w:id="56" w:name="_Toc88723546"/>
      <w:r>
        <w:rPr>
          <w:rStyle w:val="CharSchNo"/>
        </w:rPr>
        <w:lastRenderedPageBreak/>
        <w:t>Schedule 2</w:t>
      </w:r>
      <w:r>
        <w:t> — </w:t>
      </w:r>
      <w:r>
        <w:rPr>
          <w:rStyle w:val="CharSchText"/>
        </w:rPr>
        <w:t>Entities that may be prescribed as Government entities and their executive officers</w:t>
      </w:r>
      <w:bookmarkEnd w:id="54"/>
      <w:bookmarkEnd w:id="55"/>
      <w:bookmarkEnd w:id="56"/>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lastRenderedPageBreak/>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8" w:name="_Toc88045706"/>
      <w:bookmarkStart w:id="59" w:name="_Toc88055684"/>
      <w:bookmarkStart w:id="60" w:name="_Toc88723547"/>
      <w:r>
        <w:lastRenderedPageBreak/>
        <w:t>Notes</w:t>
      </w:r>
      <w:bookmarkEnd w:id="58"/>
      <w:bookmarkEnd w:id="59"/>
      <w:bookmarkEnd w:id="60"/>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88723548"/>
      <w:r>
        <w:t>Compilation table</w:t>
      </w:r>
      <w:bookmarkEnd w:id="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lastRenderedPageBreak/>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lastRenderedPageBreak/>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lastRenderedPageBreak/>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lastRenderedPageBreak/>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tcBorders>
              <w:bottom w:val="single" w:sz="4" w:space="0" w:color="auto"/>
            </w:tcBorders>
            <w:shd w:val="clear" w:color="auto" w:fill="auto"/>
          </w:tcPr>
          <w:p>
            <w:pPr>
              <w:pStyle w:val="nTable"/>
              <w:spacing w:after="40"/>
              <w:rPr>
                <w:snapToGrid w:val="0"/>
              </w:rPr>
            </w:pPr>
            <w:r>
              <w:rPr>
                <w:snapToGrid w:val="0"/>
              </w:rPr>
              <w:t>20 of 2021</w:t>
            </w:r>
          </w:p>
        </w:tc>
        <w:tc>
          <w:tcPr>
            <w:tcW w:w="1134" w:type="dxa"/>
            <w:tcBorders>
              <w:bottom w:val="single" w:sz="4" w:space="0" w:color="auto"/>
            </w:tcBorders>
            <w:shd w:val="clear" w:color="auto" w:fill="auto"/>
          </w:tcPr>
          <w:p>
            <w:pPr>
              <w:pStyle w:val="nTable"/>
              <w:spacing w:after="40"/>
            </w:pPr>
            <w:r>
              <w:rPr>
                <w:snapToGrid w:val="0"/>
              </w:rPr>
              <w:t>24 Nov 2021</w:t>
            </w:r>
          </w:p>
        </w:tc>
        <w:tc>
          <w:tcPr>
            <w:tcW w:w="2552" w:type="dxa"/>
            <w:tcBorders>
              <w:bottom w:val="single" w:sz="4" w:space="0" w:color="auto"/>
            </w:tcBorders>
            <w:shd w:val="clear" w:color="auto" w:fill="auto"/>
          </w:tcPr>
          <w:p>
            <w:pPr>
              <w:pStyle w:val="nTable"/>
              <w:spacing w:after="40"/>
              <w:rPr>
                <w:snapToGrid w:val="0"/>
              </w:rPr>
            </w:pPr>
            <w:r>
              <w:rPr>
                <w:snapToGrid w:val="0"/>
              </w:rPr>
              <w:t>25 Nov 2021 (see s. 2(b))</w:t>
            </w:r>
          </w:p>
        </w:tc>
      </w:tr>
    </w:tbl>
    <w:p>
      <w:pPr>
        <w:pStyle w:val="nHeading3"/>
      </w:pPr>
      <w:bookmarkStart w:id="62" w:name="_Toc88723549"/>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156</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Pr>
        <w:pStyle w:val="nHeading3"/>
      </w:pPr>
      <w:bookmarkStart w:id="63" w:name="_Toc88723550"/>
      <w:r>
        <w:t>Other notes</w:t>
      </w:r>
      <w:bookmarkEnd w:id="63"/>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 xml:space="preserve">Section 6C of the principal Act applies whether or not the offence was committed before the day when this Act commences and whether or not the person was dealt with before that day, but if the person was </w:t>
      </w:r>
      <w:r>
        <w:rPr>
          <w:snapToGrid w:val="0"/>
          <w:spacing w:val="-4"/>
        </w:rPr>
        <w:lastRenderedPageBreak/>
        <w:t>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5" w:name="_Toc88045710"/>
      <w:bookmarkStart w:id="66" w:name="_Toc88055688"/>
      <w:bookmarkStart w:id="67" w:name="_Toc88723551"/>
      <w:r>
        <w:rPr>
          <w:sz w:val="28"/>
        </w:rPr>
        <w:lastRenderedPageBreak/>
        <w:t>Defined terms</w:t>
      </w:r>
      <w:bookmarkEnd w:id="65"/>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7C(1), 10F(3)</w:t>
      </w:r>
    </w:p>
    <w:p>
      <w:pPr>
        <w:pStyle w:val="DefinedTerms"/>
      </w:pPr>
      <w:r>
        <w:t>Government Financial Projections Statement</w:t>
      </w:r>
      <w:r>
        <w:tab/>
        <w:t>10A(1)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7123049"/>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10369</Words>
  <Characters>49154</Characters>
  <Application>Microsoft Office Word</Application>
  <DocSecurity>0</DocSecurity>
  <Lines>1536</Lines>
  <Paragraphs>804</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1975 - 06-c0-00</dc:title>
  <dc:subject/>
  <dc:creator/>
  <cp:keywords/>
  <dc:description/>
  <cp:lastModifiedBy>Master Repository Process</cp:lastModifiedBy>
  <cp:revision>4</cp:revision>
  <cp:lastPrinted>2018-04-24T00:58:00Z</cp:lastPrinted>
  <dcterms:created xsi:type="dcterms:W3CDTF">2021-11-25T01:46:00Z</dcterms:created>
  <dcterms:modified xsi:type="dcterms:W3CDTF">2021-11-25T01:46:00Z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AsAtDate">
    <vt:lpwstr>25 Nov 2021</vt:lpwstr>
  </property>
  <property fmtid="{D5CDD505-2E9C-101B-9397-08002B2CF9AE}" pid="8" name="Suffix">
    <vt:lpwstr>06-c0-00</vt:lpwstr>
  </property>
  <property fmtid="{D5CDD505-2E9C-101B-9397-08002B2CF9AE}" pid="9" name="CommencementDate">
    <vt:lpwstr>20211125</vt:lpwstr>
  </property>
</Properties>
</file>