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_Toc89414552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_Toc89414553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_Toc89414554 \h </w:instrText>
      </w:r>
      <w:r>
        <w:fldChar w:fldCharType="separate"/>
      </w:r>
      <w:r>
        <w:t>1</w:t>
      </w:r>
      <w:r>
        <w:fldChar w:fldCharType="end"/>
      </w:r>
    </w:p>
    <w:p>
      <w:pPr>
        <w:pStyle w:val="TOC8"/>
        <w:rPr>
          <w:rFonts w:asciiTheme="minorHAnsi" w:eastAsiaTheme="minorEastAsia" w:hAnsiTheme="minorHAnsi" w:cstheme="minorBidi"/>
          <w:szCs w:val="22"/>
        </w:rPr>
      </w:pPr>
      <w:r>
        <w:t>4.</w:t>
      </w:r>
      <w:r>
        <w:tab/>
        <w:t>Periodic on</w:t>
      </w:r>
      <w:r>
        <w:noBreakHyphen/>
        <w:t>site home agreement (s. 10(b) and (c) of the Act)</w:t>
      </w:r>
      <w:r>
        <w:tab/>
      </w:r>
      <w:r>
        <w:fldChar w:fldCharType="begin"/>
      </w:r>
      <w:r>
        <w:instrText xml:space="preserve"> PAGEREF _Toc89414555 \h </w:instrText>
      </w:r>
      <w:r>
        <w:fldChar w:fldCharType="separate"/>
      </w:r>
      <w:r>
        <w:t>2</w:t>
      </w:r>
      <w:r>
        <w:fldChar w:fldCharType="end"/>
      </w:r>
    </w:p>
    <w:p>
      <w:pPr>
        <w:pStyle w:val="TOC8"/>
        <w:rPr>
          <w:rFonts w:asciiTheme="minorHAnsi" w:eastAsiaTheme="minorEastAsia" w:hAnsiTheme="minorHAnsi" w:cstheme="minorBidi"/>
          <w:szCs w:val="22"/>
        </w:rPr>
      </w:pPr>
      <w:r>
        <w:t>5.</w:t>
      </w:r>
      <w:r>
        <w:tab/>
        <w:t>Fixed term on</w:t>
      </w:r>
      <w:r>
        <w:noBreakHyphen/>
        <w:t>site home agreement (s. 10(b) and (c) of the Act)</w:t>
      </w:r>
      <w:r>
        <w:tab/>
      </w:r>
      <w:r>
        <w:fldChar w:fldCharType="begin"/>
      </w:r>
      <w:r>
        <w:instrText xml:space="preserve"> PAGEREF _Toc89414556 \h </w:instrText>
      </w:r>
      <w:r>
        <w:fldChar w:fldCharType="separate"/>
      </w:r>
      <w:r>
        <w:t>2</w:t>
      </w:r>
      <w:r>
        <w:fldChar w:fldCharType="end"/>
      </w:r>
    </w:p>
    <w:p>
      <w:pPr>
        <w:pStyle w:val="TOC8"/>
        <w:rPr>
          <w:rFonts w:asciiTheme="minorHAnsi" w:eastAsiaTheme="minorEastAsia" w:hAnsiTheme="minorHAnsi" w:cstheme="minorBidi"/>
          <w:szCs w:val="22"/>
        </w:rPr>
      </w:pPr>
      <w:r>
        <w:t>6.</w:t>
      </w:r>
      <w:r>
        <w:tab/>
        <w:t>Periodic site</w:t>
      </w:r>
      <w:r>
        <w:noBreakHyphen/>
        <w:t>only agreement (s. 10(b) and (c) of the Act)</w:t>
      </w:r>
      <w:r>
        <w:tab/>
      </w:r>
      <w:r>
        <w:fldChar w:fldCharType="begin"/>
      </w:r>
      <w:r>
        <w:instrText xml:space="preserve"> PAGEREF _Toc89414557 \h </w:instrText>
      </w:r>
      <w:r>
        <w:fldChar w:fldCharType="separate"/>
      </w:r>
      <w:r>
        <w:t>2</w:t>
      </w:r>
      <w:r>
        <w:fldChar w:fldCharType="end"/>
      </w:r>
    </w:p>
    <w:p>
      <w:pPr>
        <w:pStyle w:val="TOC8"/>
        <w:rPr>
          <w:rFonts w:asciiTheme="minorHAnsi" w:eastAsiaTheme="minorEastAsia" w:hAnsiTheme="minorHAnsi" w:cstheme="minorBidi"/>
          <w:szCs w:val="22"/>
        </w:rPr>
      </w:pPr>
      <w:r>
        <w:t>7.</w:t>
      </w:r>
      <w:r>
        <w:tab/>
        <w:t>Fixed term site</w:t>
      </w:r>
      <w:r>
        <w:noBreakHyphen/>
        <w:t>only agreement (s. 10(b) and (c) of the Act)</w:t>
      </w:r>
      <w:r>
        <w:tab/>
      </w:r>
      <w:r>
        <w:fldChar w:fldCharType="begin"/>
      </w:r>
      <w:r>
        <w:instrText xml:space="preserve"> PAGEREF _Toc89414558 \h </w:instrText>
      </w:r>
      <w:r>
        <w:fldChar w:fldCharType="separate"/>
      </w:r>
      <w:r>
        <w:t>3</w:t>
      </w:r>
      <w:r>
        <w:fldChar w:fldCharType="end"/>
      </w:r>
    </w:p>
    <w:p>
      <w:pPr>
        <w:pStyle w:val="TOC8"/>
        <w:rPr>
          <w:rFonts w:asciiTheme="minorHAnsi" w:eastAsiaTheme="minorEastAsia" w:hAnsiTheme="minorHAnsi" w:cstheme="minorBidi"/>
          <w:szCs w:val="22"/>
        </w:rPr>
      </w:pPr>
      <w:r>
        <w:t>8.</w:t>
      </w:r>
      <w:r>
        <w:tab/>
        <w:t>Condition report (s. 11(1)(d) and 95(2)(a) of the Act)</w:t>
      </w:r>
      <w:r>
        <w:tab/>
      </w:r>
      <w:r>
        <w:fldChar w:fldCharType="begin"/>
      </w:r>
      <w:r>
        <w:instrText xml:space="preserve"> PAGEREF _Toc89414559 \h </w:instrText>
      </w:r>
      <w:r>
        <w:fldChar w:fldCharType="separate"/>
      </w:r>
      <w:r>
        <w:t>3</w:t>
      </w:r>
      <w:r>
        <w:fldChar w:fldCharType="end"/>
      </w:r>
    </w:p>
    <w:p>
      <w:pPr>
        <w:pStyle w:val="TOC8"/>
        <w:rPr>
          <w:rFonts w:asciiTheme="minorHAnsi" w:eastAsiaTheme="minorEastAsia" w:hAnsiTheme="minorHAnsi" w:cstheme="minorBidi"/>
          <w:szCs w:val="22"/>
        </w:rPr>
      </w:pPr>
      <w:r>
        <w:t>9.</w:t>
      </w:r>
      <w:r>
        <w:tab/>
        <w:t>Information sheet (s. 11(1)(g) of the Act)</w:t>
      </w:r>
      <w:r>
        <w:tab/>
      </w:r>
      <w:r>
        <w:fldChar w:fldCharType="begin"/>
      </w:r>
      <w:r>
        <w:instrText xml:space="preserve"> PAGEREF _Toc89414560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payments (s. 12(2)(c) of the Act)</w:t>
      </w:r>
      <w:r>
        <w:tab/>
      </w:r>
      <w:r>
        <w:fldChar w:fldCharType="begin"/>
      </w:r>
      <w:r>
        <w:instrText xml:space="preserve"> PAGEREF _Toc89414561 \h </w:instrText>
      </w:r>
      <w:r>
        <w:fldChar w:fldCharType="separate"/>
      </w:r>
      <w:r>
        <w:t>4</w:t>
      </w:r>
      <w:r>
        <w:fldChar w:fldCharType="end"/>
      </w:r>
    </w:p>
    <w:p>
      <w:pPr>
        <w:pStyle w:val="TOC8"/>
        <w:rPr>
          <w:rFonts w:asciiTheme="minorHAnsi" w:eastAsiaTheme="minorEastAsia" w:hAnsiTheme="minorHAnsi" w:cstheme="minorBidi"/>
          <w:szCs w:val="22"/>
        </w:rPr>
      </w:pPr>
      <w:r>
        <w:t>11.</w:t>
      </w:r>
      <w:r>
        <w:tab/>
        <w:t>Maximum amount payable for screening suitability of prospective purchasers of relocatable homes</w:t>
      </w:r>
      <w:r>
        <w:tab/>
      </w:r>
      <w:r>
        <w:fldChar w:fldCharType="begin"/>
      </w:r>
      <w:r>
        <w:instrText xml:space="preserve"> PAGEREF _Toc89414562 \h </w:instrText>
      </w:r>
      <w:r>
        <w:fldChar w:fldCharType="separate"/>
      </w:r>
      <w:r>
        <w:t>5</w:t>
      </w:r>
      <w:r>
        <w:fldChar w:fldCharType="end"/>
      </w:r>
    </w:p>
    <w:p>
      <w:pPr>
        <w:pStyle w:val="TOC8"/>
        <w:rPr>
          <w:rFonts w:asciiTheme="minorHAnsi" w:eastAsiaTheme="minorEastAsia" w:hAnsiTheme="minorHAnsi" w:cstheme="minorBidi"/>
          <w:szCs w:val="22"/>
        </w:rPr>
      </w:pPr>
      <w:r>
        <w:t>12.</w:t>
      </w:r>
      <w:r>
        <w:tab/>
        <w:t>Default notice (s. 37(c) of the Act)</w:t>
      </w:r>
      <w:r>
        <w:tab/>
      </w:r>
      <w:r>
        <w:fldChar w:fldCharType="begin"/>
      </w:r>
      <w:r>
        <w:instrText xml:space="preserve"> PAGEREF _Toc89414563 \h </w:instrText>
      </w:r>
      <w:r>
        <w:fldChar w:fldCharType="separate"/>
      </w:r>
      <w:r>
        <w:t>5</w:t>
      </w:r>
      <w:r>
        <w:fldChar w:fldCharType="end"/>
      </w:r>
    </w:p>
    <w:p>
      <w:pPr>
        <w:pStyle w:val="TOC8"/>
        <w:rPr>
          <w:rFonts w:asciiTheme="minorHAnsi" w:eastAsiaTheme="minorEastAsia" w:hAnsiTheme="minorHAnsi" w:cstheme="minorBidi"/>
          <w:szCs w:val="22"/>
        </w:rPr>
      </w:pPr>
      <w:r>
        <w:t>13.</w:t>
      </w:r>
      <w:r>
        <w:tab/>
        <w:t>Notice of termination (s. 38(1)(d) and (2) of Act)</w:t>
      </w:r>
      <w:r>
        <w:tab/>
      </w:r>
      <w:r>
        <w:fldChar w:fldCharType="begin"/>
      </w:r>
      <w:r>
        <w:instrText xml:space="preserve"> PAGEREF _Toc89414564 \h </w:instrText>
      </w:r>
      <w:r>
        <w:fldChar w:fldCharType="separate"/>
      </w:r>
      <w:r>
        <w:t>5</w:t>
      </w:r>
      <w:r>
        <w:fldChar w:fldCharType="end"/>
      </w:r>
    </w:p>
    <w:p>
      <w:pPr>
        <w:pStyle w:val="TOC8"/>
        <w:rPr>
          <w:rFonts w:asciiTheme="minorHAnsi" w:eastAsiaTheme="minorEastAsia" w:hAnsiTheme="minorHAnsi" w:cstheme="minorBidi"/>
          <w:szCs w:val="22"/>
        </w:rPr>
      </w:pPr>
      <w:r>
        <w:t>13A.</w:t>
      </w:r>
      <w:r>
        <w:tab/>
        <w:t>Prescribed person for s. 45A(2)(d)(vi) of Act</w:t>
      </w:r>
      <w:r>
        <w:tab/>
      </w:r>
      <w:r>
        <w:fldChar w:fldCharType="begin"/>
      </w:r>
      <w:r>
        <w:instrText xml:space="preserve"> PAGEREF _Toc89414565 \h </w:instrText>
      </w:r>
      <w:r>
        <w:fldChar w:fldCharType="separate"/>
      </w:r>
      <w:r>
        <w:t>6</w:t>
      </w:r>
      <w:r>
        <w:fldChar w:fldCharType="end"/>
      </w:r>
    </w:p>
    <w:p>
      <w:pPr>
        <w:pStyle w:val="TOC8"/>
        <w:rPr>
          <w:rFonts w:asciiTheme="minorHAnsi" w:eastAsiaTheme="minorEastAsia" w:hAnsiTheme="minorHAnsi" w:cstheme="minorBidi"/>
          <w:szCs w:val="22"/>
        </w:rPr>
      </w:pPr>
      <w:r>
        <w:t>14.</w:t>
      </w:r>
      <w:r>
        <w:tab/>
        <w:t>Notice to former tenant about abandoned goods (s. 48(4)(a) of the Act)</w:t>
      </w:r>
      <w:r>
        <w:tab/>
      </w:r>
      <w:r>
        <w:fldChar w:fldCharType="begin"/>
      </w:r>
      <w:r>
        <w:instrText xml:space="preserve"> PAGEREF _Toc89414566 \h </w:instrText>
      </w:r>
      <w:r>
        <w:fldChar w:fldCharType="separate"/>
      </w:r>
      <w:r>
        <w:t>7</w:t>
      </w:r>
      <w:r>
        <w:fldChar w:fldCharType="end"/>
      </w:r>
    </w:p>
    <w:p>
      <w:pPr>
        <w:pStyle w:val="TOC8"/>
        <w:rPr>
          <w:rFonts w:asciiTheme="minorHAnsi" w:eastAsiaTheme="minorEastAsia" w:hAnsiTheme="minorHAnsi" w:cstheme="minorBidi"/>
          <w:szCs w:val="22"/>
        </w:rPr>
      </w:pPr>
      <w:r>
        <w:t>15.</w:t>
      </w:r>
      <w:r>
        <w:tab/>
        <w:t>Park liaison committee’s prescribed functions (s. 61(2)(a)(iv) of the Act)</w:t>
      </w:r>
      <w:r>
        <w:tab/>
      </w:r>
      <w:r>
        <w:fldChar w:fldCharType="begin"/>
      </w:r>
      <w:r>
        <w:instrText xml:space="preserve"> PAGEREF _Toc89414567 \h </w:instrText>
      </w:r>
      <w:r>
        <w:fldChar w:fldCharType="separate"/>
      </w:r>
      <w:r>
        <w:t>7</w:t>
      </w:r>
      <w:r>
        <w:fldChar w:fldCharType="end"/>
      </w:r>
    </w:p>
    <w:p>
      <w:pPr>
        <w:pStyle w:val="TOC8"/>
        <w:rPr>
          <w:rFonts w:asciiTheme="minorHAnsi" w:eastAsiaTheme="minorEastAsia" w:hAnsiTheme="minorHAnsi" w:cstheme="minorBidi"/>
          <w:szCs w:val="22"/>
        </w:rPr>
      </w:pPr>
      <w:r>
        <w:t>16.</w:t>
      </w:r>
      <w:r>
        <w:tab/>
        <w:t>Prescribed matters relating to compensation determination (s. 65(2)(e) of the Act)</w:t>
      </w:r>
      <w:r>
        <w:tab/>
      </w:r>
      <w:r>
        <w:fldChar w:fldCharType="begin"/>
      </w:r>
      <w:r>
        <w:instrText xml:space="preserve"> PAGEREF _Toc89414568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17.</w:t>
      </w:r>
      <w:r>
        <w:tab/>
        <w:t>Interest on security bond amount paid into ADI account (s. 92 of the Act)</w:t>
      </w:r>
      <w:r>
        <w:tab/>
      </w:r>
      <w:r>
        <w:fldChar w:fldCharType="begin"/>
      </w:r>
      <w:r>
        <w:instrText xml:space="preserve"> PAGEREF _Toc89414569 \h </w:instrText>
      </w:r>
      <w:r>
        <w:fldChar w:fldCharType="separate"/>
      </w:r>
      <w:r>
        <w:t>8</w:t>
      </w:r>
      <w:r>
        <w:fldChar w:fldCharType="end"/>
      </w:r>
    </w:p>
    <w:p>
      <w:pPr>
        <w:pStyle w:val="TOC8"/>
        <w:rPr>
          <w:rFonts w:asciiTheme="minorHAnsi" w:eastAsiaTheme="minorEastAsia" w:hAnsiTheme="minorHAnsi" w:cstheme="minorBidi"/>
          <w:szCs w:val="22"/>
        </w:rPr>
      </w:pPr>
      <w:r>
        <w:t>18.</w:t>
      </w:r>
      <w:r>
        <w:tab/>
        <w:t>Disposal of security bond amounts — general (s. 92(e) and 94(c) of the Act)</w:t>
      </w:r>
      <w:r>
        <w:tab/>
      </w:r>
      <w:r>
        <w:fldChar w:fldCharType="begin"/>
      </w:r>
      <w:r>
        <w:instrText xml:space="preserve"> PAGEREF _Toc89414570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Disposal of unclaimed security bond amounts </w:t>
      </w:r>
      <w:r>
        <w:t>(s. 92(e) and 94(c) of the Act)</w:t>
      </w:r>
      <w:r>
        <w:tab/>
      </w:r>
      <w:r>
        <w:fldChar w:fldCharType="begin"/>
      </w:r>
      <w:r>
        <w:instrText xml:space="preserve"> PAGEREF _Toc89414571 \h </w:instrText>
      </w:r>
      <w:r>
        <w:fldChar w:fldCharType="separate"/>
      </w:r>
      <w:r>
        <w:t>9</w:t>
      </w:r>
      <w:r>
        <w:fldChar w:fldCharType="end"/>
      </w:r>
    </w:p>
    <w:p>
      <w:pPr>
        <w:pStyle w:val="TOC8"/>
        <w:rPr>
          <w:rFonts w:asciiTheme="minorHAnsi" w:eastAsiaTheme="minorEastAsia" w:hAnsiTheme="minorHAnsi" w:cstheme="minorBidi"/>
          <w:szCs w:val="22"/>
        </w:rPr>
      </w:pPr>
      <w:r>
        <w:t>20.</w:t>
      </w:r>
      <w:r>
        <w:tab/>
        <w:t>Park rules (s. 95(2)(f) of the Act)</w:t>
      </w:r>
      <w:r>
        <w:tab/>
      </w:r>
      <w:r>
        <w:fldChar w:fldCharType="begin"/>
      </w:r>
      <w:r>
        <w:instrText xml:space="preserve"> PAGEREF _Toc89414572 \h </w:instrText>
      </w:r>
      <w:r>
        <w:fldChar w:fldCharType="separate"/>
      </w:r>
      <w:r>
        <w:t>10</w:t>
      </w:r>
      <w:r>
        <w:fldChar w:fldCharType="end"/>
      </w:r>
    </w:p>
    <w:p>
      <w:pPr>
        <w:pStyle w:val="TOC8"/>
        <w:rPr>
          <w:rFonts w:asciiTheme="minorHAnsi" w:eastAsiaTheme="minorEastAsia" w:hAnsiTheme="minorHAnsi" w:cstheme="minorBidi"/>
          <w:szCs w:val="22"/>
        </w:rPr>
      </w:pPr>
      <w:r>
        <w:t>21.</w:t>
      </w:r>
      <w:r>
        <w:tab/>
        <w:t>Amendments to park rules (s. 95(2)(f) of the Act)</w:t>
      </w:r>
      <w:r>
        <w:tab/>
      </w:r>
      <w:r>
        <w:fldChar w:fldCharType="begin"/>
      </w:r>
      <w:r>
        <w:instrText xml:space="preserve"> PAGEREF _Toc89414573 \h </w:instrText>
      </w:r>
      <w:r>
        <w:fldChar w:fldCharType="separate"/>
      </w:r>
      <w:r>
        <w:t>11</w:t>
      </w:r>
      <w:r>
        <w:fldChar w:fldCharType="end"/>
      </w:r>
    </w:p>
    <w:p>
      <w:pPr>
        <w:pStyle w:val="TOC8"/>
        <w:rPr>
          <w:rFonts w:asciiTheme="minorHAnsi" w:eastAsiaTheme="minorEastAsia" w:hAnsiTheme="minorHAnsi" w:cstheme="minorBidi"/>
          <w:szCs w:val="22"/>
        </w:rPr>
      </w:pPr>
      <w:r>
        <w:t>22.</w:t>
      </w:r>
      <w:r>
        <w:tab/>
        <w:t>Prescribed alterations for Sch. 1 cl. 14(4) of Act</w:t>
      </w:r>
      <w:r>
        <w:tab/>
      </w:r>
      <w:r>
        <w:fldChar w:fldCharType="begin"/>
      </w:r>
      <w:r>
        <w:instrText xml:space="preserve"> PAGEREF _Toc89414574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Periodic on</w:t>
      </w:r>
      <w:r>
        <w:noBreakHyphen/>
        <w:t>site home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2 — Fixed term on</w:t>
      </w:r>
      <w:r>
        <w:noBreakHyphen/>
        <w:t>site home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3 — Periodic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lastRenderedPageBreak/>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4 — Fixed term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5 — Condition report</w:t>
      </w:r>
    </w:p>
    <w:p>
      <w:pPr>
        <w:pStyle w:val="TOC8"/>
        <w:rPr>
          <w:rFonts w:asciiTheme="minorHAnsi" w:eastAsiaTheme="minorEastAsia" w:hAnsiTheme="minorHAnsi" w:cstheme="minorBidi"/>
          <w:szCs w:val="22"/>
        </w:rPr>
      </w:pPr>
      <w:r>
        <w:t>1.</w:t>
      </w:r>
      <w:r>
        <w:tab/>
        <w:t>On</w:t>
      </w:r>
      <w:r>
        <w:noBreakHyphen/>
        <w:t>site home</w:t>
      </w:r>
      <w:r>
        <w:tab/>
      </w:r>
      <w:r>
        <w:fldChar w:fldCharType="begin"/>
      </w:r>
      <w:r>
        <w:instrText xml:space="preserve"> PAGEREF _Toc89414620 \h </w:instrText>
      </w:r>
      <w:r>
        <w:fldChar w:fldCharType="separate"/>
      </w:r>
      <w:r>
        <w:t>103</w:t>
      </w:r>
      <w:r>
        <w:fldChar w:fldCharType="end"/>
      </w:r>
    </w:p>
    <w:p>
      <w:pPr>
        <w:pStyle w:val="TOC8"/>
        <w:rPr>
          <w:rFonts w:asciiTheme="minorHAnsi" w:eastAsiaTheme="minorEastAsia" w:hAnsiTheme="minorHAnsi" w:cstheme="minorBidi"/>
          <w:szCs w:val="22"/>
        </w:rPr>
      </w:pPr>
      <w:r>
        <w:t>2.</w:t>
      </w:r>
      <w:r>
        <w:tab/>
        <w:t>Site</w:t>
      </w:r>
      <w:r>
        <w:tab/>
      </w:r>
      <w:r>
        <w:fldChar w:fldCharType="begin"/>
      </w:r>
      <w:r>
        <w:instrText xml:space="preserve"> PAGEREF _Toc89414621 \h </w:instrText>
      </w:r>
      <w:r>
        <w:fldChar w:fldCharType="separate"/>
      </w:r>
      <w:r>
        <w:t>114</w:t>
      </w:r>
      <w:r>
        <w:fldChar w:fldCharType="end"/>
      </w:r>
    </w:p>
    <w:p>
      <w:pPr>
        <w:pStyle w:val="TOC8"/>
        <w:rPr>
          <w:rFonts w:asciiTheme="minorHAnsi" w:eastAsiaTheme="minorEastAsia" w:hAnsiTheme="minorHAnsi" w:cstheme="minorBidi"/>
          <w:szCs w:val="22"/>
        </w:rPr>
      </w:pPr>
      <w:r>
        <w:t>3.</w:t>
      </w:r>
      <w:r>
        <w:tab/>
        <w:t>Specific work to be undertaken by park operator</w:t>
      </w:r>
      <w:r>
        <w:tab/>
      </w:r>
      <w:r>
        <w:fldChar w:fldCharType="begin"/>
      </w:r>
      <w:r>
        <w:instrText xml:space="preserve"> PAGEREF _Toc89414622 \h </w:instrText>
      </w:r>
      <w:r>
        <w:fldChar w:fldCharType="separate"/>
      </w:r>
      <w:r>
        <w:t>115</w:t>
      </w:r>
      <w:r>
        <w:fldChar w:fldCharType="end"/>
      </w:r>
    </w:p>
    <w:p>
      <w:pPr>
        <w:pStyle w:val="TOC8"/>
        <w:rPr>
          <w:rFonts w:asciiTheme="minorHAnsi" w:eastAsiaTheme="minorEastAsia" w:hAnsiTheme="minorHAnsi" w:cstheme="minorBidi"/>
          <w:szCs w:val="22"/>
        </w:rPr>
      </w:pPr>
      <w:r>
        <w:t>4.</w:t>
      </w:r>
      <w:r>
        <w:tab/>
        <w:t>Signatures</w:t>
      </w:r>
      <w:r>
        <w:tab/>
      </w:r>
      <w:r>
        <w:fldChar w:fldCharType="begin"/>
      </w:r>
      <w:r>
        <w:instrText xml:space="preserve"> PAGEREF _Toc89414623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Schedule 6 — Information sheet (on</w:t>
      </w:r>
      <w:r>
        <w:noBreakHyphen/>
        <w:t>site home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_Toc89414625 \h </w:instrText>
      </w:r>
      <w:r>
        <w:fldChar w:fldCharType="separate"/>
      </w:r>
      <w:r>
        <w:t>117</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_Toc89414626 \h </w:instrText>
      </w:r>
      <w:r>
        <w:fldChar w:fldCharType="separate"/>
      </w:r>
      <w:r>
        <w:t>118</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_Toc89414627 \h </w:instrText>
      </w:r>
      <w:r>
        <w:fldChar w:fldCharType="separate"/>
      </w:r>
      <w:r>
        <w:t>118</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_Toc89414628 \h </w:instrText>
      </w:r>
      <w:r>
        <w:fldChar w:fldCharType="separate"/>
      </w:r>
      <w:r>
        <w:t>118</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_Toc89414629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6.</w:t>
      </w:r>
      <w:r>
        <w:tab/>
        <w:t>Sub</w:t>
      </w:r>
      <w:r>
        <w:noBreakHyphen/>
        <w:t>letting or otherwise assigning the agreed premises</w:t>
      </w:r>
      <w:r>
        <w:tab/>
      </w:r>
      <w:r>
        <w:fldChar w:fldCharType="begin"/>
      </w:r>
      <w:r>
        <w:instrText xml:space="preserve"> PAGEREF _Toc89414630 \h </w:instrText>
      </w:r>
      <w:r>
        <w:fldChar w:fldCharType="separate"/>
      </w:r>
      <w:r>
        <w:t>118</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_Toc89414631 \h </w:instrText>
      </w:r>
      <w:r>
        <w:fldChar w:fldCharType="separate"/>
      </w:r>
      <w:r>
        <w:t>119</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_Toc89414632 \h </w:instrText>
      </w:r>
      <w:r>
        <w:fldChar w:fldCharType="separate"/>
      </w:r>
      <w:r>
        <w:t>119</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_Toc89414633 \h </w:instrText>
      </w:r>
      <w:r>
        <w:fldChar w:fldCharType="separate"/>
      </w:r>
      <w:r>
        <w:t>119</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_Toc89414634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7 — Information sheet (site</w:t>
      </w:r>
      <w:r>
        <w:noBreakHyphen/>
        <w:t>only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_Toc89414636 \h </w:instrText>
      </w:r>
      <w:r>
        <w:fldChar w:fldCharType="separate"/>
      </w:r>
      <w:r>
        <w:t>120</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_Toc89414637 \h </w:instrText>
      </w:r>
      <w:r>
        <w:fldChar w:fldCharType="separate"/>
      </w:r>
      <w:r>
        <w:t>121</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_Toc89414638 \h </w:instrText>
      </w:r>
      <w:r>
        <w:fldChar w:fldCharType="separate"/>
      </w:r>
      <w:r>
        <w:t>121</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_Toc89414639 \h </w:instrText>
      </w:r>
      <w:r>
        <w:fldChar w:fldCharType="separate"/>
      </w:r>
      <w:r>
        <w:t>121</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_Toc89414640 \h </w:instrText>
      </w:r>
      <w:r>
        <w:fldChar w:fldCharType="separate"/>
      </w:r>
      <w:r>
        <w:t>121</w:t>
      </w:r>
      <w:r>
        <w:fldChar w:fldCharType="end"/>
      </w:r>
    </w:p>
    <w:p>
      <w:pPr>
        <w:pStyle w:val="TOC8"/>
        <w:rPr>
          <w:rFonts w:asciiTheme="minorHAnsi" w:eastAsiaTheme="minorEastAsia" w:hAnsiTheme="minorHAnsi" w:cstheme="minorBidi"/>
          <w:szCs w:val="22"/>
        </w:rPr>
      </w:pPr>
      <w:r>
        <w:t>6.</w:t>
      </w:r>
      <w:r>
        <w:tab/>
        <w:t>Selling a relocatable home or sub</w:t>
      </w:r>
      <w:r>
        <w:noBreakHyphen/>
        <w:t>letting or otherwise assigning the agreed premises</w:t>
      </w:r>
      <w:r>
        <w:tab/>
      </w:r>
      <w:r>
        <w:fldChar w:fldCharType="begin"/>
      </w:r>
      <w:r>
        <w:instrText xml:space="preserve"> PAGEREF _Toc89414641 \h </w:instrText>
      </w:r>
      <w:r>
        <w:fldChar w:fldCharType="separate"/>
      </w:r>
      <w:r>
        <w:t>121</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_Toc89414642 \h </w:instrText>
      </w:r>
      <w:r>
        <w:fldChar w:fldCharType="separate"/>
      </w:r>
      <w:r>
        <w:t>122</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_Toc89414643 \h </w:instrText>
      </w:r>
      <w:r>
        <w:fldChar w:fldCharType="separate"/>
      </w:r>
      <w:r>
        <w:t>122</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_Toc89414644 \h </w:instrText>
      </w:r>
      <w:r>
        <w:fldChar w:fldCharType="separate"/>
      </w:r>
      <w:r>
        <w:t>122</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_Toc89414645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Prescribed classes of payment</w:t>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Termination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Termination for other breach of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4"/>
        <w:tabs>
          <w:tab w:val="right" w:leader="dot" w:pos="7077"/>
        </w:tabs>
        <w:rPr>
          <w:rFonts w:asciiTheme="minorHAnsi" w:eastAsiaTheme="minorEastAsia" w:hAnsiTheme="minorHAnsi" w:cstheme="minorBidi"/>
          <w:b w:val="0"/>
          <w:szCs w:val="22"/>
        </w:rPr>
      </w:pPr>
      <w:r>
        <w:t>Division 1 — Termination by park operator</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Termination for non</w:t>
      </w:r>
      <w:r>
        <w:noBreakHyphen/>
        <w:t>payment of rent (default notice issued)</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Termination for non</w:t>
      </w:r>
      <w:r>
        <w:noBreakHyphen/>
        <w:t>payment of rent (no default notice issued)</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Termination for other breach of agreement</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Termination for sale of park</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Termination without grounds</w:t>
      </w:r>
    </w:p>
    <w:p>
      <w:pPr>
        <w:pStyle w:val="TOC4"/>
        <w:tabs>
          <w:tab w:val="right" w:leader="dot" w:pos="7077"/>
        </w:tabs>
        <w:rPr>
          <w:rFonts w:asciiTheme="minorHAnsi" w:eastAsiaTheme="minorEastAsia" w:hAnsiTheme="minorHAnsi" w:cstheme="minorBidi"/>
          <w:b w:val="0"/>
          <w:szCs w:val="22"/>
        </w:rPr>
      </w:pPr>
      <w:r>
        <w:t>Division 2 — Termination by tenant</w:t>
      </w:r>
    </w:p>
    <w:p>
      <w:pPr>
        <w:pStyle w:val="TOC4"/>
        <w:tabs>
          <w:tab w:val="right" w:leader="dot" w:pos="7077"/>
        </w:tabs>
        <w:rPr>
          <w:rFonts w:asciiTheme="minorHAnsi" w:eastAsiaTheme="minorEastAsia" w:hAnsiTheme="minorHAnsi" w:cstheme="minorBidi"/>
          <w:b w:val="0"/>
          <w:szCs w:val="22"/>
        </w:rPr>
      </w:pPr>
      <w:r>
        <w:t>Division 3 — Termination by park operator or tenant — agreement frustrated</w:t>
      </w:r>
    </w:p>
    <w:p>
      <w:pPr>
        <w:pStyle w:val="TOC4"/>
        <w:tabs>
          <w:tab w:val="right" w:leader="dot" w:pos="7077"/>
        </w:tabs>
        <w:rPr>
          <w:rFonts w:asciiTheme="minorHAnsi" w:eastAsiaTheme="minorEastAsia" w:hAnsiTheme="minorHAnsi" w:cstheme="minorBidi"/>
          <w:b w:val="0"/>
          <w:szCs w:val="22"/>
        </w:rPr>
      </w:pPr>
      <w:r>
        <w:t>Division 4 — Termination by tenant of tenant’s interest in on-site home agreement</w:t>
      </w:r>
    </w:p>
    <w:p>
      <w:pPr>
        <w:pStyle w:val="TOC2"/>
        <w:tabs>
          <w:tab w:val="right" w:leader="dot" w:pos="7077"/>
        </w:tabs>
        <w:rPr>
          <w:rFonts w:asciiTheme="minorHAnsi" w:eastAsiaTheme="minorEastAsia" w:hAnsiTheme="minorHAnsi" w:cstheme="minorBidi"/>
          <w:b w:val="0"/>
          <w:sz w:val="22"/>
          <w:szCs w:val="22"/>
        </w:rPr>
      </w:pPr>
      <w:r>
        <w:t>Schedule 11 — Notice to former tenant about abandoned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_Toc89414662 \h </w:instrText>
      </w:r>
      <w:r>
        <w:fldChar w:fldCharType="separate"/>
      </w:r>
      <w:r>
        <w:t>145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_Toc89414663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3" w:name="_Toc89414552"/>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5" w:name="_Toc89414553"/>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6" w:name="_Toc89414554"/>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lastRenderedPageBreak/>
        <w:tab/>
      </w:r>
      <w:r>
        <w:rPr>
          <w:rStyle w:val="CharDefText"/>
        </w:rPr>
        <w:t>tenant</w:t>
      </w:r>
      <w:r>
        <w:t xml:space="preserve"> means a long</w:t>
      </w:r>
      <w:r>
        <w:noBreakHyphen/>
        <w:t>stay tenant.</w:t>
      </w:r>
    </w:p>
    <w:p>
      <w:pPr>
        <w:pStyle w:val="Heading5"/>
      </w:pPr>
      <w:bookmarkStart w:id="7" w:name="_Toc89414555"/>
      <w:r>
        <w:rPr>
          <w:rStyle w:val="CharSectno"/>
        </w:rPr>
        <w:t>4</w:t>
      </w:r>
      <w:r>
        <w:t>.</w:t>
      </w:r>
      <w:r>
        <w:tab/>
        <w:t>Periodic on</w:t>
      </w:r>
      <w:r>
        <w:noBreakHyphen/>
        <w:t>site home agreement (s. 10(b) and (c) of the Act)</w:t>
      </w:r>
      <w:bookmarkEnd w:id="7"/>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8" w:name="_Toc89414556"/>
      <w:r>
        <w:rPr>
          <w:rStyle w:val="CharSectno"/>
        </w:rPr>
        <w:t>5</w:t>
      </w:r>
      <w:r>
        <w:t>.</w:t>
      </w:r>
      <w:r>
        <w:tab/>
        <w:t>Fixed term on</w:t>
      </w:r>
      <w:r>
        <w:noBreakHyphen/>
        <w:t>site home agreement (s. 10(b) and (c) of the Act)</w:t>
      </w:r>
      <w:bookmarkEnd w:id="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9" w:name="_Toc89414557"/>
      <w:r>
        <w:rPr>
          <w:rStyle w:val="CharSectno"/>
        </w:rPr>
        <w:t>6</w:t>
      </w:r>
      <w:r>
        <w:t>.</w:t>
      </w:r>
      <w:r>
        <w:tab/>
        <w:t>Periodic site</w:t>
      </w:r>
      <w:r>
        <w:noBreakHyphen/>
        <w:t>only agreement (s. 10(b) and (c) of the Act)</w:t>
      </w:r>
      <w:bookmarkEnd w:id="9"/>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ageBreakBefore/>
        <w:spacing w:before="0"/>
      </w:pPr>
      <w:bookmarkStart w:id="10" w:name="_Toc89414558"/>
      <w:r>
        <w:rPr>
          <w:rStyle w:val="CharSectno"/>
        </w:rPr>
        <w:lastRenderedPageBreak/>
        <w:t>7</w:t>
      </w:r>
      <w:r>
        <w:t>.</w:t>
      </w:r>
      <w:r>
        <w:tab/>
        <w:t>Fixed term site</w:t>
      </w:r>
      <w:r>
        <w:noBreakHyphen/>
        <w:t>only agreement (s. 10(b) and (c) of the Act)</w:t>
      </w:r>
      <w:bookmarkEnd w:id="10"/>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11" w:name="_Toc89414559"/>
      <w:r>
        <w:rPr>
          <w:rStyle w:val="CharSectno"/>
        </w:rPr>
        <w:t>8</w:t>
      </w:r>
      <w:r>
        <w:t>.</w:t>
      </w:r>
      <w:r>
        <w:tab/>
        <w:t>Condition report (s. 11(1)(d) and 95(2)(a) of the Act)</w:t>
      </w:r>
      <w:bookmarkEnd w:id="11"/>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lastRenderedPageBreak/>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12" w:name="_Toc89414560"/>
      <w:r>
        <w:rPr>
          <w:rStyle w:val="CharSectno"/>
        </w:rPr>
        <w:t>9</w:t>
      </w:r>
      <w:r>
        <w:t>.</w:t>
      </w:r>
      <w:r>
        <w:tab/>
        <w:t>Information sheet (s. 11(1)(g) of the Act)</w:t>
      </w:r>
      <w:bookmarkEnd w:id="12"/>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13" w:name="_Toc89414561"/>
      <w:r>
        <w:rPr>
          <w:rStyle w:val="CharSectno"/>
        </w:rPr>
        <w:t>10</w:t>
      </w:r>
      <w:r>
        <w:t>.</w:t>
      </w:r>
      <w:r>
        <w:tab/>
        <w:t>Prescribed payments (s. 12(2)(c) of the Act)</w:t>
      </w:r>
      <w:bookmarkEnd w:id="13"/>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ageBreakBefore/>
        <w:spacing w:before="0"/>
      </w:pPr>
      <w:bookmarkStart w:id="14" w:name="_Toc89414562"/>
      <w:r>
        <w:rPr>
          <w:rStyle w:val="CharSectno"/>
        </w:rPr>
        <w:lastRenderedPageBreak/>
        <w:t>11</w:t>
      </w:r>
      <w:r>
        <w:t>.</w:t>
      </w:r>
      <w:r>
        <w:tab/>
        <w:t>Maximum amount payable for screening suitability of prospective purchasers of relocatable homes</w:t>
      </w:r>
      <w:bookmarkEnd w:id="14"/>
    </w:p>
    <w:p>
      <w:pPr>
        <w:pStyle w:val="Subsection"/>
      </w:pPr>
      <w:r>
        <w:tab/>
      </w:r>
      <w:r>
        <w:tab/>
        <w:t>For the purposes of section 95(2)(c), the maximum amount that is payable in respect of a charge referred to in Schedule 8 item 12 is $200.</w:t>
      </w:r>
    </w:p>
    <w:p>
      <w:pPr>
        <w:pStyle w:val="Heading5"/>
      </w:pPr>
      <w:bookmarkStart w:id="15" w:name="_Toc89414563"/>
      <w:r>
        <w:rPr>
          <w:rStyle w:val="CharSectno"/>
        </w:rPr>
        <w:t>12</w:t>
      </w:r>
      <w:r>
        <w:t>.</w:t>
      </w:r>
      <w:r>
        <w:tab/>
        <w:t>Default notice (s. 37(c) of the Act)</w:t>
      </w:r>
      <w:bookmarkEnd w:id="15"/>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16" w:name="_Toc89414564"/>
      <w:r>
        <w:rPr>
          <w:rStyle w:val="CharSectno"/>
        </w:rPr>
        <w:t>13</w:t>
      </w:r>
      <w:r>
        <w:t>.</w:t>
      </w:r>
      <w:r>
        <w:tab/>
        <w:t>Notice of termination (s. 38(1)(d) and (2) of Act)</w:t>
      </w:r>
      <w:bookmarkEnd w:id="16"/>
    </w:p>
    <w:p>
      <w:pPr>
        <w:pStyle w:val="Subsection"/>
      </w:pPr>
      <w:r>
        <w:tab/>
        <w:t>(1)</w:t>
      </w:r>
      <w:r>
        <w:tab/>
        <w:t>A notice of termination of a kind referred to in subregulations (2) to (4) —</w:t>
      </w:r>
    </w:p>
    <w:p>
      <w:pPr>
        <w:pStyle w:val="Indenta"/>
      </w:pPr>
      <w:r>
        <w:tab/>
        <w:t>(a)</w:t>
      </w:r>
      <w:r>
        <w:tab/>
        <w:t>may be (but is not required to be) in the form set out in Schedule 10 for a notice of that kind; but</w:t>
      </w:r>
    </w:p>
    <w:p>
      <w:pPr>
        <w:pStyle w:val="Indenta"/>
      </w:pPr>
      <w:r>
        <w:tab/>
        <w:t>(b)</w:t>
      </w:r>
      <w:r>
        <w:tab/>
        <w:t>for the purposes of section 38(1)(d)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lastRenderedPageBreak/>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pPr>
      <w:r>
        <w:tab/>
        <w:t>(5)</w:t>
      </w:r>
      <w:r>
        <w:tab/>
        <w:t>For the purposes of section 38(2) of the Act, the prescribed form of a notice under section 45A(1) of the Act is set out in Schedule 10 Division 4.</w:t>
      </w:r>
    </w:p>
    <w:p>
      <w:pPr>
        <w:pStyle w:val="Footnotesection"/>
      </w:pPr>
      <w:r>
        <w:tab/>
        <w:t>[Regulation 13 amended: Gazette 9 Apr 2019 p. 1052.]</w:t>
      </w:r>
    </w:p>
    <w:p>
      <w:pPr>
        <w:pStyle w:val="Heading5"/>
      </w:pPr>
      <w:bookmarkStart w:id="17" w:name="_Toc89414565"/>
      <w:r>
        <w:rPr>
          <w:rStyle w:val="CharSectno"/>
        </w:rPr>
        <w:t>13A</w:t>
      </w:r>
      <w:r>
        <w:t>.</w:t>
      </w:r>
      <w:r>
        <w:tab/>
        <w:t>Prescribed person for s. 45A(2)(d)(vi) of Act</w:t>
      </w:r>
      <w:bookmarkEnd w:id="17"/>
    </w:p>
    <w:p>
      <w:pPr>
        <w:pStyle w:val="Subsection"/>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w:t>
      </w:r>
      <w:r>
        <w:lastRenderedPageBreak/>
        <w:t xml:space="preserve">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8" w:name="_Toc89414566"/>
      <w:r>
        <w:rPr>
          <w:rStyle w:val="CharSectno"/>
        </w:rPr>
        <w:t>14</w:t>
      </w:r>
      <w:r>
        <w:t>.</w:t>
      </w:r>
      <w:r>
        <w:tab/>
        <w:t>Notice to former tenant about abandoned goods (s. 48(4)(a) of the Act)</w:t>
      </w:r>
      <w:bookmarkEnd w:id="18"/>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19" w:name="_Toc89414567"/>
      <w:r>
        <w:rPr>
          <w:rStyle w:val="CharSectno"/>
        </w:rPr>
        <w:t>15</w:t>
      </w:r>
      <w:r>
        <w:t>.</w:t>
      </w:r>
      <w:r>
        <w:tab/>
        <w:t>Park liaison committee’s prescribed functions (s. 61(2)(a)(iv) of the Act)</w:t>
      </w:r>
      <w:bookmarkEnd w:id="1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0" w:name="_Toc89414568"/>
      <w:r>
        <w:rPr>
          <w:rStyle w:val="CharSectno"/>
        </w:rPr>
        <w:t>16</w:t>
      </w:r>
      <w:r>
        <w:t>.</w:t>
      </w:r>
      <w:r>
        <w:tab/>
        <w:t>Prescribed matters relating to compensation determination (s. 65(2)(e) of the Act)</w:t>
      </w:r>
      <w:bookmarkEnd w:id="20"/>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lastRenderedPageBreak/>
        <w:tab/>
        <w:t>(a)</w:t>
      </w:r>
      <w:r>
        <w:tab/>
        <w:t>the distance from the residential park to another site designated by the tenant; and</w:t>
      </w:r>
    </w:p>
    <w:p>
      <w:pPr>
        <w:pStyle w:val="Indenta"/>
      </w:pPr>
      <w:r>
        <w:tab/>
        <w:t>(b)</w:t>
      </w:r>
      <w:r>
        <w:tab/>
        <w:t>600 km.</w:t>
      </w:r>
    </w:p>
    <w:p>
      <w:pPr>
        <w:pStyle w:val="Heading5"/>
      </w:pPr>
      <w:bookmarkStart w:id="21" w:name="_Toc89414569"/>
      <w:r>
        <w:rPr>
          <w:rStyle w:val="CharSectno"/>
        </w:rPr>
        <w:t>17</w:t>
      </w:r>
      <w:r>
        <w:t>.</w:t>
      </w:r>
      <w:r>
        <w:tab/>
        <w:t>Interest on security bond amount paid into ADI account (s. 92 of the Act)</w:t>
      </w:r>
      <w:bookmarkEnd w:id="21"/>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22" w:name="_Toc89414570"/>
      <w:r>
        <w:rPr>
          <w:rStyle w:val="CharSectno"/>
        </w:rPr>
        <w:t>18</w:t>
      </w:r>
      <w:r>
        <w:t>.</w:t>
      </w:r>
      <w:r>
        <w:tab/>
        <w:t>Disposal of security bond amounts — general (s. 92(e) and 94(c) of the Act)</w:t>
      </w:r>
      <w:bookmarkEnd w:id="22"/>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lastRenderedPageBreak/>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23" w:name="_Toc89414571"/>
      <w:r>
        <w:rPr>
          <w:rStyle w:val="CharSectno"/>
        </w:rPr>
        <w:t>19</w:t>
      </w:r>
      <w:r>
        <w:rPr>
          <w:snapToGrid w:val="0"/>
        </w:rPr>
        <w:t>.</w:t>
      </w:r>
      <w:r>
        <w:rPr>
          <w:snapToGrid w:val="0"/>
        </w:rPr>
        <w:tab/>
        <w:t xml:space="preserve">Disposal of unclaimed security bond amounts </w:t>
      </w:r>
      <w:r>
        <w:t>(s. 92(e) and 94(c) of the Act)</w:t>
      </w:r>
      <w:bookmarkEnd w:id="23"/>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lastRenderedPageBreak/>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24" w:name="_Toc89414572"/>
      <w:r>
        <w:rPr>
          <w:rStyle w:val="CharSectno"/>
        </w:rPr>
        <w:t>20</w:t>
      </w:r>
      <w:r>
        <w:t>.</w:t>
      </w:r>
      <w:r>
        <w:tab/>
        <w:t>Park rules (s. 95(2)(f) of the Act)</w:t>
      </w:r>
      <w:bookmarkEnd w:id="24"/>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lastRenderedPageBreak/>
        <w:tab/>
        <w:t>(h)</w:t>
      </w:r>
      <w:r>
        <w:tab/>
        <w:t>tree maintenance;</w:t>
      </w:r>
    </w:p>
    <w:p>
      <w:pPr>
        <w:pStyle w:val="Indenta"/>
      </w:pPr>
      <w:r>
        <w:tab/>
        <w:t>(i)</w:t>
      </w:r>
      <w:r>
        <w:tab/>
        <w:t>emergency procedures.</w:t>
      </w:r>
    </w:p>
    <w:p>
      <w:pPr>
        <w:pStyle w:val="Penstart"/>
      </w:pPr>
      <w:r>
        <w:tab/>
        <w:t>Penalty: a fine of $5 000.</w:t>
      </w:r>
    </w:p>
    <w:p>
      <w:pPr>
        <w:pStyle w:val="Heading5"/>
      </w:pPr>
      <w:bookmarkStart w:id="25" w:name="_Toc89414573"/>
      <w:r>
        <w:rPr>
          <w:rStyle w:val="CharSectno"/>
        </w:rPr>
        <w:t>21</w:t>
      </w:r>
      <w:r>
        <w:t>.</w:t>
      </w:r>
      <w:r>
        <w:tab/>
        <w:t>Amendments to park rules (s. 95(2)(f) of the Act)</w:t>
      </w:r>
      <w:bookmarkEnd w:id="25"/>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Heading5"/>
      </w:pPr>
      <w:bookmarkStart w:id="26" w:name="_Toc89414574"/>
      <w:r>
        <w:rPr>
          <w:rStyle w:val="CharSectno"/>
        </w:rPr>
        <w:t>22</w:t>
      </w:r>
      <w:r>
        <w:t>.</w:t>
      </w:r>
      <w:r>
        <w:tab/>
        <w:t>Prescribed alterations for Sch. 1 cl. 14(4) of Act</w:t>
      </w:r>
      <w:bookmarkEnd w:id="26"/>
    </w:p>
    <w:p>
      <w:pPr>
        <w:pStyle w:val="Subsection"/>
      </w:pPr>
      <w:r>
        <w:tab/>
      </w:r>
      <w:r>
        <w:tab/>
        <w:t xml:space="preserve">For the purposes of Schedule 1 clause 14(4)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lastRenderedPageBreak/>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 w:name="_Toc89246885"/>
      <w:bookmarkStart w:id="28" w:name="_Toc89247271"/>
      <w:bookmarkStart w:id="29" w:name="_Toc89266441"/>
      <w:bookmarkStart w:id="30" w:name="_Toc89414575"/>
      <w:r>
        <w:rPr>
          <w:rStyle w:val="CharSchNo"/>
        </w:rPr>
        <w:lastRenderedPageBreak/>
        <w:t>Schedule 1</w:t>
      </w:r>
      <w:r>
        <w:t> — </w:t>
      </w:r>
      <w:r>
        <w:rPr>
          <w:rStyle w:val="CharSchText"/>
        </w:rPr>
        <w:t>Periodic on</w:t>
      </w:r>
      <w:r>
        <w:rPr>
          <w:rStyle w:val="CharSchText"/>
        </w:rPr>
        <w:noBreakHyphen/>
        <w:t>site home agreement</w:t>
      </w:r>
      <w:bookmarkEnd w:id="27"/>
      <w:bookmarkEnd w:id="28"/>
      <w:bookmarkEnd w:id="29"/>
      <w:bookmarkEnd w:id="30"/>
    </w:p>
    <w:p>
      <w:pPr>
        <w:pStyle w:val="yShoulderClause"/>
      </w:pPr>
      <w:r>
        <w:t>[r. 4]</w:t>
      </w:r>
    </w:p>
    <w:p>
      <w:pPr>
        <w:pStyle w:val="yHeading3"/>
      </w:pPr>
      <w:bookmarkStart w:id="31" w:name="_Toc89246886"/>
      <w:bookmarkStart w:id="32" w:name="_Toc89247272"/>
      <w:bookmarkStart w:id="33" w:name="_Toc89266442"/>
      <w:bookmarkStart w:id="34" w:name="_Toc89414576"/>
      <w:r>
        <w:rPr>
          <w:rStyle w:val="CharSDivNo"/>
        </w:rPr>
        <w:t>Division 1</w:t>
      </w:r>
      <w:r>
        <w:t> — </w:t>
      </w:r>
      <w:r>
        <w:rPr>
          <w:rStyle w:val="CharSDivText"/>
        </w:rPr>
        <w:t>Preliminary</w:t>
      </w:r>
      <w:bookmarkEnd w:id="31"/>
      <w:bookmarkEnd w:id="32"/>
      <w:bookmarkEnd w:id="33"/>
      <w:bookmarkEnd w:id="3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lastRenderedPageBreak/>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lastRenderedPageBreak/>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35" w:name="_Toc89246887"/>
      <w:bookmarkStart w:id="36" w:name="_Toc89247273"/>
      <w:bookmarkStart w:id="37" w:name="_Toc89266443"/>
      <w:bookmarkStart w:id="38" w:name="_Toc89414577"/>
      <w:r>
        <w:rPr>
          <w:rStyle w:val="CharSDivNo"/>
        </w:rPr>
        <w:t>Division 2</w:t>
      </w:r>
      <w:r>
        <w:t> — </w:t>
      </w:r>
      <w:r>
        <w:rPr>
          <w:rStyle w:val="CharSDivText"/>
        </w:rPr>
        <w:t>Rent, fees and charges</w:t>
      </w:r>
      <w:bookmarkEnd w:id="35"/>
      <w:bookmarkEnd w:id="36"/>
      <w:bookmarkEnd w:id="37"/>
      <w:bookmarkEnd w:id="3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Clause 7 —</w:t>
            </w:r>
            <w:r>
              <w:rPr>
                <w:b/>
                <w:bCs/>
                <w:sz w:val="18"/>
              </w:rPr>
              <w:br/>
              <w:t>Rent payment</w:t>
            </w:r>
            <w:r>
              <w:rPr>
                <w:b/>
                <w:bCs/>
                <w:sz w:val="18"/>
              </w:rPr>
              <w:br/>
              <w:t>day</w:t>
            </w:r>
          </w:p>
        </w:tc>
        <w:tc>
          <w:tcPr>
            <w:tcW w:w="5103" w:type="dxa"/>
            <w:gridSpan w:val="3"/>
            <w:tcBorders>
              <w:top w:val="single" w:sz="4" w:space="0" w:color="auto"/>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lastRenderedPageBreak/>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lastRenderedPageBreak/>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lastRenderedPageBreak/>
        <w:tab/>
        <w:t>[Division 2 amended: Gazette 5 Jul 2011 p. 2814; 14 Nov 2013 p. 5063.]</w:t>
      </w:r>
    </w:p>
    <w:p>
      <w:pPr>
        <w:pStyle w:val="yHeading3"/>
        <w:spacing w:after="60"/>
      </w:pPr>
      <w:bookmarkStart w:id="39" w:name="_Toc89246888"/>
      <w:bookmarkStart w:id="40" w:name="_Toc89247274"/>
      <w:bookmarkStart w:id="41" w:name="_Toc89266444"/>
      <w:bookmarkStart w:id="42" w:name="_Toc89414578"/>
      <w:r>
        <w:rPr>
          <w:rStyle w:val="CharSDivNo"/>
        </w:rPr>
        <w:t>Division 3</w:t>
      </w:r>
      <w:r>
        <w:t> — </w:t>
      </w:r>
      <w:r>
        <w:rPr>
          <w:rStyle w:val="CharSDivText"/>
        </w:rPr>
        <w:t>Table of fees and charges for services and utilities</w:t>
      </w:r>
      <w:bookmarkEnd w:id="39"/>
      <w:bookmarkEnd w:id="40"/>
      <w:bookmarkEnd w:id="41"/>
      <w:bookmarkEnd w:id="42"/>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ageBreakBefore/>
        <w:spacing w:before="0"/>
      </w:pPr>
      <w:bookmarkStart w:id="43" w:name="_Toc89246889"/>
      <w:bookmarkStart w:id="44" w:name="_Toc89247275"/>
      <w:bookmarkStart w:id="45" w:name="_Toc89266445"/>
      <w:bookmarkStart w:id="46" w:name="_Toc89414579"/>
      <w:r>
        <w:rPr>
          <w:rStyle w:val="CharSDivNo"/>
        </w:rPr>
        <w:lastRenderedPageBreak/>
        <w:t>Division 4</w:t>
      </w:r>
      <w:r>
        <w:t> — </w:t>
      </w:r>
      <w:r>
        <w:rPr>
          <w:rStyle w:val="CharSDivText"/>
        </w:rPr>
        <w:t>General terms</w:t>
      </w:r>
      <w:bookmarkEnd w:id="43"/>
      <w:bookmarkEnd w:id="44"/>
      <w:bookmarkEnd w:id="45"/>
      <w:bookmarkEnd w:id="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lastRenderedPageBreak/>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lastRenderedPageBreak/>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lastRenderedPageBreak/>
              <w:t xml:space="preserve">Clause 24 — </w:t>
            </w:r>
            <w:r>
              <w:rPr>
                <w:b/>
                <w:bCs/>
                <w:sz w:val="18"/>
              </w:rPr>
              <w:br/>
              <w:t>Park operator’s responsibility for cleanliness and repairs</w:t>
            </w:r>
          </w:p>
        </w:tc>
        <w:tc>
          <w:tcPr>
            <w:tcW w:w="5103" w:type="dxa"/>
            <w:tcBorders>
              <w:top w:val="single" w:sz="4" w:space="0" w:color="auto"/>
            </w:tcBorders>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pP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rPr>
                <w:b/>
                <w:bCs/>
                <w:sz w:val="18"/>
              </w:rPr>
            </w:pPr>
          </w:p>
        </w:tc>
        <w:tc>
          <w:tcPr>
            <w:tcW w:w="5103" w:type="dxa"/>
          </w:tcPr>
          <w:p>
            <w:pPr>
              <w:pStyle w:val="yTable"/>
              <w:keepNext/>
              <w:keepLines/>
              <w:pageBreakBefore/>
              <w:ind w:left="459" w:hanging="459"/>
              <w:rPr>
                <w:sz w:val="18"/>
              </w:rPr>
            </w:pPr>
            <w:r>
              <w:rPr>
                <w:sz w:val="18"/>
              </w:rPr>
              <w:t>(2)</w:t>
            </w:r>
            <w:r>
              <w:rPr>
                <w:sz w:val="18"/>
              </w:rPr>
              <w:tab/>
              <w:t>However, the park operator is not obliged to compensate the tenant unless —</w:t>
            </w:r>
          </w:p>
          <w:p>
            <w:pPr>
              <w:pStyle w:val="yTable"/>
              <w:keepNext/>
              <w:keepLines/>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lastRenderedPageBreak/>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tc>
      </w:tr>
      <w:tr>
        <w:tc>
          <w:tcPr>
            <w:tcW w:w="1418" w:type="dxa"/>
            <w:shd w:val="clear" w:color="auto" w:fill="D9D9D9"/>
          </w:tcPr>
          <w:p>
            <w:pPr>
              <w:pStyle w:val="yTable"/>
              <w:rPr>
                <w:b/>
                <w:bCs/>
                <w:sz w:val="18"/>
              </w:rPr>
            </w:pPr>
          </w:p>
        </w:tc>
        <w:tc>
          <w:tcPr>
            <w:tcW w:w="5103" w:type="dxa"/>
          </w:tcPr>
          <w:p>
            <w:pPr>
              <w:pStyle w:val="yTable"/>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tc>
      </w:tr>
      <w:tr>
        <w:tc>
          <w:tcPr>
            <w:tcW w:w="1418" w:type="dxa"/>
            <w:shd w:val="clear" w:color="auto" w:fill="D9D9D9"/>
          </w:tcPr>
          <w:p>
            <w:pPr>
              <w:pStyle w:val="yTable"/>
              <w:rPr>
                <w:b/>
                <w:bCs/>
                <w:sz w:val="18"/>
              </w:rPr>
            </w:pPr>
          </w:p>
        </w:tc>
        <w:tc>
          <w:tcPr>
            <w:tcW w:w="5103" w:type="dxa"/>
          </w:tcPr>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lastRenderedPageBreak/>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459" w:hanging="459"/>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keepNext/>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459" w:hanging="459"/>
              <w:rPr>
                <w:sz w:val="18"/>
              </w:rPr>
            </w:pPr>
            <w:r>
              <w:rPr>
                <w:sz w:val="18"/>
              </w:rPr>
              <w:t>(2)</w:t>
            </w:r>
            <w:r>
              <w:rPr>
                <w:sz w:val="18"/>
              </w:rPr>
              <w:tab/>
              <w:t>If yes —</w:t>
            </w:r>
          </w:p>
          <w:p>
            <w:pPr>
              <w:pStyle w:val="yTable"/>
              <w:keepNext/>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(3)</w:t>
            </w:r>
            <w:r>
              <w:rPr>
                <w:sz w:val="18"/>
              </w:rPr>
              <w:tab/>
              <w:t>The park operator must not withhold consent unreasonably.</w:t>
            </w:r>
          </w:p>
          <w:p>
            <w:pPr>
              <w:pStyle w:val="yTable"/>
              <w:keepNext/>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ind w:left="459" w:hanging="459"/>
            </w:pPr>
            <w:r>
              <w:rPr>
                <w:sz w:val="18"/>
              </w:rPr>
              <w:t>(5)</w:t>
            </w:r>
            <w:r>
              <w:rPr>
                <w:sz w:val="18"/>
              </w:rPr>
              <w:tab/>
              <w:t xml:space="preserve">If the tenant’s removal of a fixture causes damage to the agreed premises, the tenant must notify the park operator and, at the option of the park operator, repair the damage or </w:t>
            </w:r>
            <w:r>
              <w:rPr>
                <w:sz w:val="18"/>
              </w:rPr>
              <w:lastRenderedPageBreak/>
              <w:t>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keepNext w:val="0"/>
      </w:pPr>
      <w:bookmarkStart w:id="47" w:name="_Toc89246890"/>
      <w:bookmarkStart w:id="48" w:name="_Toc89247276"/>
      <w:bookmarkStart w:id="49" w:name="_Toc89266446"/>
      <w:bookmarkStart w:id="50" w:name="_Toc89414580"/>
      <w:r>
        <w:rPr>
          <w:rStyle w:val="CharSDivNo"/>
        </w:rPr>
        <w:t>Division 5</w:t>
      </w:r>
      <w:r>
        <w:t> — </w:t>
      </w:r>
      <w:r>
        <w:rPr>
          <w:rStyle w:val="CharSDivText"/>
        </w:rPr>
        <w:t>Special terms</w:t>
      </w:r>
      <w:bookmarkEnd w:id="47"/>
      <w:bookmarkEnd w:id="48"/>
      <w:bookmarkEnd w:id="49"/>
      <w:bookmarkEnd w:id="5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lastRenderedPageBreak/>
              <w:t>..........................................................................................................................</w:t>
            </w:r>
          </w:p>
        </w:tc>
      </w:tr>
    </w:tbl>
    <w:p>
      <w:pPr>
        <w:pStyle w:val="yHeading3"/>
      </w:pPr>
      <w:bookmarkStart w:id="51" w:name="_Toc89246891"/>
      <w:bookmarkStart w:id="52" w:name="_Toc89247277"/>
      <w:bookmarkStart w:id="53" w:name="_Toc89266447"/>
      <w:bookmarkStart w:id="54" w:name="_Toc89414581"/>
      <w:r>
        <w:rPr>
          <w:rStyle w:val="CharSDivNo"/>
        </w:rPr>
        <w:lastRenderedPageBreak/>
        <w:t>Division 6</w:t>
      </w:r>
      <w:r>
        <w:t> — </w:t>
      </w:r>
      <w:r>
        <w:rPr>
          <w:rStyle w:val="CharSDivText"/>
        </w:rPr>
        <w:t>Condition report</w:t>
      </w:r>
      <w:bookmarkEnd w:id="51"/>
      <w:bookmarkEnd w:id="52"/>
      <w:bookmarkEnd w:id="53"/>
      <w:bookmarkEnd w:id="54"/>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55" w:name="_Toc89246892"/>
      <w:bookmarkStart w:id="56" w:name="_Toc89247278"/>
      <w:bookmarkStart w:id="57" w:name="_Toc89266448"/>
      <w:bookmarkStart w:id="58" w:name="_Toc89414582"/>
      <w:r>
        <w:rPr>
          <w:rStyle w:val="CharSDivNo"/>
        </w:rPr>
        <w:t>Division 7</w:t>
      </w:r>
      <w:r>
        <w:t> — </w:t>
      </w:r>
      <w:r>
        <w:rPr>
          <w:rStyle w:val="CharSDivText"/>
        </w:rPr>
        <w:t>Park rules</w:t>
      </w:r>
      <w:bookmarkEnd w:id="55"/>
      <w:bookmarkEnd w:id="56"/>
      <w:bookmarkEnd w:id="57"/>
      <w:bookmarkEnd w:id="58"/>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59" w:name="_Toc89246893"/>
      <w:bookmarkStart w:id="60" w:name="_Toc89247279"/>
      <w:bookmarkStart w:id="61" w:name="_Toc89266449"/>
      <w:bookmarkStart w:id="62" w:name="_Toc89414583"/>
      <w:r>
        <w:rPr>
          <w:rStyle w:val="CharSDivNo"/>
        </w:rPr>
        <w:t>Division 8</w:t>
      </w:r>
      <w:r>
        <w:t> — </w:t>
      </w:r>
      <w:r>
        <w:rPr>
          <w:rStyle w:val="CharSDivText"/>
        </w:rPr>
        <w:t>Information sheet</w:t>
      </w:r>
      <w:bookmarkEnd w:id="59"/>
      <w:bookmarkEnd w:id="60"/>
      <w:bookmarkEnd w:id="61"/>
      <w:bookmarkEnd w:id="62"/>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pPr>
      <w:bookmarkStart w:id="63" w:name="_Toc89246894"/>
      <w:bookmarkStart w:id="64" w:name="_Toc89247280"/>
      <w:bookmarkStart w:id="65" w:name="_Toc89266450"/>
      <w:bookmarkStart w:id="66" w:name="_Toc89414584"/>
      <w:r>
        <w:rPr>
          <w:rStyle w:val="CharSDivNo"/>
        </w:rPr>
        <w:t>Division 9</w:t>
      </w:r>
      <w:r>
        <w:t> — </w:t>
      </w:r>
      <w:r>
        <w:rPr>
          <w:rStyle w:val="CharSDivText"/>
        </w:rPr>
        <w:t>Acceptance</w:t>
      </w:r>
      <w:bookmarkEnd w:id="63"/>
      <w:bookmarkEnd w:id="64"/>
      <w:bookmarkEnd w:id="65"/>
      <w:bookmarkEnd w:id="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67" w:name="_Toc89246895"/>
      <w:bookmarkStart w:id="68" w:name="_Toc89247281"/>
      <w:bookmarkStart w:id="69" w:name="_Toc89266451"/>
      <w:bookmarkStart w:id="70" w:name="_Toc89414585"/>
      <w:r>
        <w:rPr>
          <w:rStyle w:val="CharSDivNo"/>
        </w:rPr>
        <w:t>Division 10</w:t>
      </w:r>
      <w:r>
        <w:t> — </w:t>
      </w:r>
      <w:r>
        <w:rPr>
          <w:rStyle w:val="CharSDivText"/>
        </w:rPr>
        <w:t>Tenant’s checklist</w:t>
      </w:r>
      <w:bookmarkEnd w:id="67"/>
      <w:bookmarkEnd w:id="68"/>
      <w:bookmarkEnd w:id="69"/>
      <w:bookmarkEnd w:id="7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71" w:name="_Toc89246896"/>
      <w:bookmarkStart w:id="72" w:name="_Toc89247282"/>
      <w:bookmarkStart w:id="73" w:name="_Toc89266452"/>
      <w:bookmarkStart w:id="74" w:name="_Toc89414586"/>
      <w:r>
        <w:rPr>
          <w:rStyle w:val="CharSchNo"/>
        </w:rPr>
        <w:lastRenderedPageBreak/>
        <w:t>Schedule 2</w:t>
      </w:r>
      <w:r>
        <w:t> — </w:t>
      </w:r>
      <w:r>
        <w:rPr>
          <w:rStyle w:val="CharSchText"/>
        </w:rPr>
        <w:t>Fixed term on</w:t>
      </w:r>
      <w:r>
        <w:rPr>
          <w:rStyle w:val="CharSchText"/>
        </w:rPr>
        <w:noBreakHyphen/>
        <w:t>site home agreement</w:t>
      </w:r>
      <w:bookmarkEnd w:id="71"/>
      <w:bookmarkEnd w:id="72"/>
      <w:bookmarkEnd w:id="73"/>
      <w:bookmarkEnd w:id="74"/>
    </w:p>
    <w:p>
      <w:pPr>
        <w:pStyle w:val="yShoulderClause"/>
      </w:pPr>
      <w:r>
        <w:t>[r. 5]</w:t>
      </w:r>
    </w:p>
    <w:p>
      <w:pPr>
        <w:pStyle w:val="yHeading3"/>
      </w:pPr>
      <w:bookmarkStart w:id="75" w:name="_Toc89246897"/>
      <w:bookmarkStart w:id="76" w:name="_Toc89247283"/>
      <w:bookmarkStart w:id="77" w:name="_Toc89266453"/>
      <w:bookmarkStart w:id="78" w:name="_Toc89414587"/>
      <w:r>
        <w:rPr>
          <w:rStyle w:val="CharSDivNo"/>
        </w:rPr>
        <w:t>Division 1</w:t>
      </w:r>
      <w:r>
        <w:t> — </w:t>
      </w:r>
      <w:r>
        <w:rPr>
          <w:rStyle w:val="CharSDivText"/>
        </w:rPr>
        <w:t>Preliminary</w:t>
      </w:r>
      <w:bookmarkEnd w:id="75"/>
      <w:bookmarkEnd w:id="76"/>
      <w:bookmarkEnd w:id="77"/>
      <w:bookmarkEnd w:id="7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lastRenderedPageBreak/>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keepLines/>
        <w:pageBreakBefore/>
        <w:spacing w:before="0"/>
      </w:pPr>
      <w:bookmarkStart w:id="79" w:name="_Toc89246898"/>
      <w:bookmarkStart w:id="80" w:name="_Toc89247284"/>
      <w:bookmarkStart w:id="81" w:name="_Toc89266454"/>
      <w:bookmarkStart w:id="82" w:name="_Toc89414588"/>
      <w:r>
        <w:rPr>
          <w:rStyle w:val="CharSDivNo"/>
        </w:rPr>
        <w:lastRenderedPageBreak/>
        <w:t>Division 2</w:t>
      </w:r>
      <w:r>
        <w:t> — </w:t>
      </w:r>
      <w:r>
        <w:rPr>
          <w:rStyle w:val="CharSDivText"/>
        </w:rPr>
        <w:t>Rent, fees and charges</w:t>
      </w:r>
      <w:bookmarkEnd w:id="79"/>
      <w:bookmarkEnd w:id="80"/>
      <w:bookmarkEnd w:id="81"/>
      <w:bookmarkEnd w:id="82"/>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r>
        <w:tc>
          <w:tcPr>
            <w:tcW w:w="1418" w:type="dxa"/>
            <w:shd w:val="clear" w:color="auto" w:fill="D9D9D9"/>
          </w:tcPr>
          <w:p>
            <w:pPr>
              <w:pStyle w:val="yTable"/>
              <w:keepNext/>
              <w:rPr>
                <w:b/>
                <w:bCs/>
                <w:sz w:val="18"/>
              </w:rPr>
            </w:pPr>
          </w:p>
        </w:tc>
        <w:tc>
          <w:tcPr>
            <w:tcW w:w="5103" w:type="dxa"/>
            <w:gridSpan w:val="3"/>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keepNext/>
              <w:keepLines/>
              <w:ind w:left="459" w:hanging="459"/>
              <w:rPr>
                <w:sz w:val="18"/>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keepNext/>
              <w:keepLines/>
              <w:pageBreakBefor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keepNext/>
              <w:keepLines/>
              <w:rPr>
                <w:sz w:val="18"/>
              </w:rPr>
            </w:pPr>
            <w:r>
              <w:rPr>
                <w:sz w:val="18"/>
              </w:rPr>
              <w:t>4 weeks’ rent</w:t>
            </w:r>
          </w:p>
        </w:tc>
        <w:tc>
          <w:tcPr>
            <w:tcW w:w="2977" w:type="dxa"/>
            <w:gridSpan w:val="2"/>
            <w:tcBorders>
              <w:top w:val="single" w:sz="4" w:space="0" w:color="auto"/>
            </w:tcBorders>
          </w:tcPr>
          <w:p>
            <w:pPr>
              <w:pStyle w:val="yTable"/>
              <w:keepNext/>
              <w:keepLines/>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742" w:hanging="742"/>
              <w:rPr>
                <w:sz w:val="14"/>
              </w:rPr>
            </w:pP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lastRenderedPageBreak/>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lastRenderedPageBreak/>
        <w:tab/>
        <w:t>[Division 2 amended: Gazette 5 Jul 2011 p. 2815</w:t>
      </w:r>
      <w:r>
        <w:noBreakHyphen/>
        <w:t>16; 14 Nov 2013 p. 5064.]</w:t>
      </w:r>
    </w:p>
    <w:p>
      <w:pPr>
        <w:pStyle w:val="yHeading3"/>
        <w:spacing w:after="60"/>
      </w:pPr>
      <w:bookmarkStart w:id="83" w:name="_Toc89246899"/>
      <w:bookmarkStart w:id="84" w:name="_Toc89247285"/>
      <w:bookmarkStart w:id="85" w:name="_Toc89266455"/>
      <w:bookmarkStart w:id="86" w:name="_Toc89414589"/>
      <w:r>
        <w:rPr>
          <w:rStyle w:val="CharSDivNo"/>
        </w:rPr>
        <w:t>Division 3</w:t>
      </w:r>
      <w:r>
        <w:t> — </w:t>
      </w:r>
      <w:r>
        <w:rPr>
          <w:rStyle w:val="CharSDivText"/>
        </w:rPr>
        <w:t>Table of fees and charges for services and utilities</w:t>
      </w:r>
      <w:bookmarkEnd w:id="83"/>
      <w:bookmarkEnd w:id="84"/>
      <w:bookmarkEnd w:id="85"/>
      <w:bookmarkEnd w:id="8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Pr>
      <w:bookmarkStart w:id="87" w:name="_Toc89246900"/>
      <w:bookmarkStart w:id="88" w:name="_Toc89247286"/>
      <w:bookmarkStart w:id="89" w:name="_Toc89266456"/>
      <w:bookmarkStart w:id="90" w:name="_Toc89414590"/>
      <w:r>
        <w:rPr>
          <w:rStyle w:val="CharSDivNo"/>
        </w:rPr>
        <w:t>Division 4</w:t>
      </w:r>
      <w:r>
        <w:t> — </w:t>
      </w:r>
      <w:r>
        <w:rPr>
          <w:rStyle w:val="CharSDivText"/>
        </w:rPr>
        <w:t>General terms</w:t>
      </w:r>
      <w:bookmarkEnd w:id="87"/>
      <w:bookmarkEnd w:id="88"/>
      <w:bookmarkEnd w:id="89"/>
      <w:bookmarkEnd w:id="9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section 20 of the Act, it is illegal for the park operator to refuse to make an agreement on the basis that children will live in </w:t>
            </w:r>
            <w:r>
              <w:rPr>
                <w:rFonts w:ascii="Arial" w:hAnsi="Arial" w:cs="Arial"/>
                <w:sz w:val="14"/>
              </w:rPr>
              <w:lastRenderedPageBreak/>
              <w:t>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bl>
    <w:p>
      <w:pPr>
        <w:pStyle w:val="yMiscellaneousBody"/>
        <w:spacing w:before="8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lastRenderedPageBreak/>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lastRenderedPageBreak/>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sz w:val="18"/>
              </w:rPr>
              <w:t>............................................................................................................</w:t>
            </w: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Lines/>
              <w:ind w:left="459" w:hanging="459"/>
              <w:rPr>
                <w:sz w:val="18"/>
              </w:rPr>
            </w:pPr>
            <w:r>
              <w:rPr>
                <w:sz w:val="18"/>
              </w:rPr>
              <w:lastRenderedPageBreak/>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keepNext/>
              <w:rPr>
                <w:b/>
                <w:bCs/>
                <w:sz w:val="18"/>
              </w:rPr>
            </w:pPr>
            <w:r>
              <w:rPr>
                <w:b/>
                <w:bCs/>
                <w:sz w:val="18"/>
              </w:rPr>
              <w:lastRenderedPageBreak/>
              <w:t xml:space="preserve">Clause 28 — </w:t>
            </w:r>
            <w:r>
              <w:rPr>
                <w:b/>
                <w:bCs/>
                <w:sz w:val="18"/>
              </w:rPr>
              <w:br/>
              <w:t>Locks</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keepNext/>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rPr>
          <w:cantSplit/>
        </w:trPr>
        <w:tc>
          <w:tcPr>
            <w:tcW w:w="1418" w:type="dxa"/>
            <w:tcBorders>
              <w:top w:val="single" w:sz="4" w:space="0" w:color="auto"/>
            </w:tcBorders>
            <w:shd w:val="clear" w:color="auto" w:fill="D9D9D9"/>
          </w:tcPr>
          <w:p>
            <w:pPr>
              <w:pStyle w:val="yTable"/>
              <w:keepNext/>
              <w:keepLines/>
              <w:rPr>
                <w:b/>
                <w:bCs/>
                <w:sz w:val="18"/>
              </w:rPr>
            </w:pPr>
            <w:r>
              <w:rPr>
                <w:b/>
                <w:bCs/>
                <w:sz w:val="18"/>
              </w:rPr>
              <w:lastRenderedPageBreak/>
              <w:t xml:space="preserve">Clause 29 — </w:t>
            </w:r>
            <w:r>
              <w:rPr>
                <w:b/>
                <w:bCs/>
                <w:sz w:val="18"/>
              </w:rPr>
              <w:br/>
              <w:t>Park operator’s right of entry</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p>
        </w:tc>
      </w:tr>
      <w:tr>
        <w:tc>
          <w:tcPr>
            <w:tcW w:w="1418" w:type="dxa"/>
            <w:shd w:val="clear" w:color="auto" w:fill="D9D9D9"/>
          </w:tcPr>
          <w:p>
            <w:pPr>
              <w:pStyle w:val="yTable"/>
              <w:rPr>
                <w:b/>
                <w:bCs/>
                <w:sz w:val="18"/>
              </w:rPr>
            </w:pPr>
          </w:p>
        </w:tc>
        <w:tc>
          <w:tcPr>
            <w:tcW w:w="5103" w:type="dxa"/>
          </w:tcPr>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lastRenderedPageBreak/>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lastRenderedPageBreak/>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keepNext/>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lastRenderedPageBreak/>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lastRenderedPageBreak/>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tcBorders>
          </w:tcPr>
          <w:p>
            <w:pPr>
              <w:pStyle w:val="yTable"/>
              <w:keepLines/>
              <w:ind w:left="459" w:hanging="459"/>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keepNext/>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91" w:name="_Toc89246901"/>
      <w:bookmarkStart w:id="92" w:name="_Toc89247287"/>
      <w:bookmarkStart w:id="93" w:name="_Toc89266457"/>
      <w:bookmarkStart w:id="94" w:name="_Toc89414591"/>
      <w:r>
        <w:rPr>
          <w:rStyle w:val="CharSDivNo"/>
        </w:rPr>
        <w:t>Division 5</w:t>
      </w:r>
      <w:r>
        <w:t> — </w:t>
      </w:r>
      <w:r>
        <w:rPr>
          <w:rStyle w:val="CharSDivText"/>
        </w:rPr>
        <w:t>Special terms</w:t>
      </w:r>
      <w:bookmarkEnd w:id="91"/>
      <w:bookmarkEnd w:id="92"/>
      <w:bookmarkEnd w:id="93"/>
      <w:bookmarkEnd w:id="9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95" w:name="_Toc89246902"/>
      <w:bookmarkStart w:id="96" w:name="_Toc89247288"/>
      <w:bookmarkStart w:id="97" w:name="_Toc89266458"/>
      <w:bookmarkStart w:id="98" w:name="_Toc89414592"/>
      <w:r>
        <w:rPr>
          <w:rStyle w:val="CharSDivNo"/>
        </w:rPr>
        <w:t>Division 6</w:t>
      </w:r>
      <w:r>
        <w:t> — </w:t>
      </w:r>
      <w:r>
        <w:rPr>
          <w:rStyle w:val="CharSDivText"/>
        </w:rPr>
        <w:t>Condition report</w:t>
      </w:r>
      <w:bookmarkEnd w:id="95"/>
      <w:bookmarkEnd w:id="96"/>
      <w:bookmarkEnd w:id="97"/>
      <w:bookmarkEnd w:id="98"/>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spacing w:before="220"/>
      </w:pPr>
      <w:bookmarkStart w:id="99" w:name="_Toc89246903"/>
      <w:bookmarkStart w:id="100" w:name="_Toc89247289"/>
      <w:bookmarkStart w:id="101" w:name="_Toc89266459"/>
      <w:bookmarkStart w:id="102" w:name="_Toc89414593"/>
      <w:r>
        <w:rPr>
          <w:rStyle w:val="CharSDivNo"/>
        </w:rPr>
        <w:t>Division 7</w:t>
      </w:r>
      <w:r>
        <w:t> — </w:t>
      </w:r>
      <w:r>
        <w:rPr>
          <w:rStyle w:val="CharSDivText"/>
        </w:rPr>
        <w:t>Park rules</w:t>
      </w:r>
      <w:bookmarkEnd w:id="99"/>
      <w:bookmarkEnd w:id="100"/>
      <w:bookmarkEnd w:id="101"/>
      <w:bookmarkEnd w:id="102"/>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pPr>
      <w:bookmarkStart w:id="103" w:name="_Toc89246904"/>
      <w:bookmarkStart w:id="104" w:name="_Toc89247290"/>
      <w:bookmarkStart w:id="105" w:name="_Toc89266460"/>
      <w:bookmarkStart w:id="106" w:name="_Toc89414594"/>
      <w:r>
        <w:rPr>
          <w:rStyle w:val="CharSDivNo"/>
        </w:rPr>
        <w:t>Division 8</w:t>
      </w:r>
      <w:r>
        <w:t> — </w:t>
      </w:r>
      <w:r>
        <w:rPr>
          <w:rStyle w:val="CharSDivText"/>
        </w:rPr>
        <w:t>Information sheet</w:t>
      </w:r>
      <w:bookmarkEnd w:id="103"/>
      <w:bookmarkEnd w:id="104"/>
      <w:bookmarkEnd w:id="105"/>
      <w:bookmarkEnd w:id="106"/>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Next w:val="0"/>
        <w:keepLines/>
      </w:pPr>
      <w:bookmarkStart w:id="107" w:name="_Toc89246905"/>
      <w:bookmarkStart w:id="108" w:name="_Toc89247291"/>
      <w:bookmarkStart w:id="109" w:name="_Toc89266461"/>
      <w:bookmarkStart w:id="110" w:name="_Toc89414595"/>
      <w:r>
        <w:rPr>
          <w:rStyle w:val="CharSDivNo"/>
        </w:rPr>
        <w:t>Division 9</w:t>
      </w:r>
      <w:r>
        <w:t> — </w:t>
      </w:r>
      <w:r>
        <w:rPr>
          <w:rStyle w:val="CharSDivText"/>
        </w:rPr>
        <w:t>Acceptance</w:t>
      </w:r>
      <w:bookmarkEnd w:id="107"/>
      <w:bookmarkEnd w:id="108"/>
      <w:bookmarkEnd w:id="109"/>
      <w:bookmarkEnd w:id="11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lastRenderedPageBreak/>
              <w:t>Tenant signature/s</w:t>
            </w:r>
          </w:p>
        </w:tc>
        <w:tc>
          <w:tcPr>
            <w:tcW w:w="5103" w:type="dxa"/>
            <w:tcBorders>
              <w:top w:val="single" w:sz="4" w:space="0" w:color="auto"/>
              <w:bottom w:val="single" w:sz="4" w:space="0" w:color="auto"/>
            </w:tcBorders>
          </w:tcPr>
          <w:p>
            <w:pPr>
              <w:pStyle w:val="yTable"/>
              <w:keepLines/>
              <w:rPr>
                <w:b/>
                <w:bCs/>
                <w:sz w:val="18"/>
              </w:rPr>
            </w:pPr>
            <w:r>
              <w:rPr>
                <w:b/>
                <w:bCs/>
                <w:sz w:val="18"/>
              </w:rPr>
              <w:t>Tenant (1)</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D  D   M  M  Y  Y  Y  Y</w:t>
            </w:r>
          </w:p>
          <w:p>
            <w:pPr>
              <w:pStyle w:val="yTable"/>
              <w:keepLines/>
              <w:rPr>
                <w:b/>
                <w:bCs/>
                <w:sz w:val="18"/>
              </w:rPr>
            </w:pPr>
            <w:r>
              <w:rPr>
                <w:b/>
                <w:bCs/>
                <w:sz w:val="18"/>
              </w:rPr>
              <w:t>Tenant (2)</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sz w:val="18"/>
              </w:rPr>
            </w:pPr>
            <w:r>
              <w:rPr>
                <w:sz w:val="18"/>
              </w:rPr>
              <w:t>* Please note the witness cannot be the park operator or tenant.</w:t>
            </w:r>
          </w:p>
        </w:tc>
      </w:tr>
    </w:tbl>
    <w:p>
      <w:pPr>
        <w:pStyle w:val="yHeading3"/>
        <w:keepNext w:val="0"/>
      </w:pPr>
      <w:bookmarkStart w:id="111" w:name="_Toc89246906"/>
      <w:bookmarkStart w:id="112" w:name="_Toc89247292"/>
      <w:bookmarkStart w:id="113" w:name="_Toc89266462"/>
      <w:bookmarkStart w:id="114" w:name="_Toc89414596"/>
      <w:r>
        <w:rPr>
          <w:rStyle w:val="CharSDivNo"/>
        </w:rPr>
        <w:t>Division 10</w:t>
      </w:r>
      <w:r>
        <w:t> — </w:t>
      </w:r>
      <w:r>
        <w:rPr>
          <w:rStyle w:val="CharSDivText"/>
        </w:rPr>
        <w:t>Tenant’s checklist</w:t>
      </w:r>
      <w:bookmarkEnd w:id="111"/>
      <w:bookmarkEnd w:id="112"/>
      <w:bookmarkEnd w:id="113"/>
      <w:bookmarkEnd w:id="11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115" w:name="_Toc89246907"/>
      <w:bookmarkStart w:id="116" w:name="_Toc89247293"/>
      <w:bookmarkStart w:id="117" w:name="_Toc89266463"/>
      <w:bookmarkStart w:id="118" w:name="_Toc89414597"/>
      <w:r>
        <w:rPr>
          <w:rStyle w:val="CharSchNo"/>
        </w:rPr>
        <w:lastRenderedPageBreak/>
        <w:t>Schedule 3</w:t>
      </w:r>
      <w:r>
        <w:t> — </w:t>
      </w:r>
      <w:r>
        <w:rPr>
          <w:rStyle w:val="CharSchText"/>
        </w:rPr>
        <w:t>Periodic site</w:t>
      </w:r>
      <w:r>
        <w:rPr>
          <w:rStyle w:val="CharSchText"/>
        </w:rPr>
        <w:noBreakHyphen/>
        <w:t>only agreement</w:t>
      </w:r>
      <w:bookmarkEnd w:id="115"/>
      <w:bookmarkEnd w:id="116"/>
      <w:bookmarkEnd w:id="117"/>
      <w:bookmarkEnd w:id="118"/>
    </w:p>
    <w:p>
      <w:pPr>
        <w:pStyle w:val="yShoulderClause"/>
      </w:pPr>
      <w:r>
        <w:t>[r. 6]</w:t>
      </w:r>
    </w:p>
    <w:p>
      <w:pPr>
        <w:pStyle w:val="yHeading3"/>
      </w:pPr>
      <w:bookmarkStart w:id="119" w:name="_Toc89246908"/>
      <w:bookmarkStart w:id="120" w:name="_Toc89247294"/>
      <w:bookmarkStart w:id="121" w:name="_Toc89266464"/>
      <w:bookmarkStart w:id="122" w:name="_Toc89414598"/>
      <w:r>
        <w:rPr>
          <w:rStyle w:val="CharSDivNo"/>
        </w:rPr>
        <w:t>Division 1</w:t>
      </w:r>
      <w:r>
        <w:t> — </w:t>
      </w:r>
      <w:r>
        <w:rPr>
          <w:rStyle w:val="CharSDivText"/>
        </w:rPr>
        <w:t>Preliminary</w:t>
      </w:r>
      <w:bookmarkEnd w:id="119"/>
      <w:bookmarkEnd w:id="120"/>
      <w:bookmarkEnd w:id="121"/>
      <w:bookmarkEnd w:id="12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r>
              <w:rPr>
                <w:sz w:val="18"/>
              </w:rPr>
              <w:br/>
            </w:r>
          </w:p>
          <w:p>
            <w:pPr>
              <w:pStyle w:val="yTable"/>
              <w:tabs>
                <w:tab w:val="left" w:pos="317"/>
                <w:tab w:val="left" w:pos="601"/>
              </w:tabs>
              <w:ind w:left="601" w:hanging="601"/>
              <w:rPr>
                <w:sz w:val="18"/>
              </w:rPr>
            </w:pPr>
            <w:r>
              <w:rPr>
                <w:sz w:val="18"/>
              </w:rPr>
              <w:lastRenderedPageBreak/>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Clause 3 —</w:t>
            </w:r>
            <w:r>
              <w:rPr>
                <w:b/>
                <w:bCs/>
                <w:sz w:val="18"/>
              </w:rPr>
              <w:br/>
              <w:t>Tenant/s details</w:t>
            </w:r>
          </w:p>
        </w:tc>
        <w:tc>
          <w:tcPr>
            <w:tcW w:w="5103" w:type="dxa"/>
            <w:tcBorders>
              <w:top w:val="single" w:sz="4" w:space="0" w:color="auto"/>
              <w:bottom w:val="single" w:sz="4" w:space="0" w:color="auto"/>
            </w:tcBorders>
          </w:tcPr>
          <w:p>
            <w:pPr>
              <w:pStyle w:val="yTable"/>
              <w:keepNext/>
              <w:rPr>
                <w:sz w:val="18"/>
              </w:rPr>
            </w:pPr>
            <w:r>
              <w:rPr>
                <w:sz w:val="18"/>
              </w:rPr>
              <w:t>Tenant/s name/s .................................................................................</w:t>
            </w:r>
          </w:p>
          <w:p>
            <w:pPr>
              <w:pStyle w:val="yTable"/>
              <w:keepNext/>
              <w:rPr>
                <w:sz w:val="18"/>
              </w:rPr>
            </w:pPr>
            <w:r>
              <w:rPr>
                <w:sz w:val="18"/>
              </w:rPr>
              <w:t>Current address ..................................................................................</w:t>
            </w:r>
          </w:p>
          <w:p>
            <w:pPr>
              <w:pStyle w:val="yTable"/>
              <w:keepNext/>
              <w:rPr>
                <w:sz w:val="18"/>
              </w:rPr>
            </w:pPr>
            <w:r>
              <w:rPr>
                <w:sz w:val="18"/>
              </w:rPr>
              <w:t>............................................................................................................</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p>
            <w:pPr>
              <w:pStyle w:val="yTable"/>
              <w:keepNext/>
              <w:rPr>
                <w:sz w:val="18"/>
              </w:rPr>
            </w:pPr>
            <w:r>
              <w:rPr>
                <w:sz w:val="18"/>
              </w:rPr>
              <w:t>Place of occupation ............................................................................</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keepLines/>
        <w:pageBreakBefore/>
        <w:spacing w:before="0"/>
      </w:pPr>
      <w:bookmarkStart w:id="123" w:name="_Toc89246909"/>
      <w:bookmarkStart w:id="124" w:name="_Toc89247295"/>
      <w:bookmarkStart w:id="125" w:name="_Toc89266465"/>
      <w:bookmarkStart w:id="126" w:name="_Toc89414599"/>
      <w:r>
        <w:rPr>
          <w:rStyle w:val="CharSDivNo"/>
        </w:rPr>
        <w:lastRenderedPageBreak/>
        <w:t>Division 2</w:t>
      </w:r>
      <w:r>
        <w:t> — </w:t>
      </w:r>
      <w:r>
        <w:rPr>
          <w:rStyle w:val="CharSDivText"/>
        </w:rPr>
        <w:t>Rent, fees and charges</w:t>
      </w:r>
      <w:bookmarkEnd w:id="123"/>
      <w:bookmarkEnd w:id="124"/>
      <w:bookmarkEnd w:id="125"/>
      <w:bookmarkEnd w:id="126"/>
    </w:p>
    <w:tbl>
      <w:tblPr>
        <w:tblW w:w="0" w:type="auto"/>
        <w:tblInd w:w="675" w:type="dxa"/>
        <w:tblLayout w:type="fixed"/>
        <w:tblLook w:val="0000" w:firstRow="0" w:lastRow="0" w:firstColumn="0" w:lastColumn="0" w:noHBand="0" w:noVBand="0"/>
      </w:tblPr>
      <w:tblGrid>
        <w:gridCol w:w="1418"/>
        <w:gridCol w:w="2551"/>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2"/>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2"/>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2"/>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2"/>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2"/>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2126"/>
        <w:gridCol w:w="2977"/>
      </w:tblGrid>
      <w:tr>
        <w:tc>
          <w:tcPr>
            <w:tcW w:w="1418" w:type="dxa"/>
            <w:shd w:val="clear" w:color="auto" w:fill="D9D9D9"/>
          </w:tcPr>
          <w:p>
            <w:pPr>
              <w:pStyle w:val="yTable"/>
              <w:keepNext/>
              <w:rPr>
                <w:b/>
                <w:bCs/>
                <w:sz w:val="18"/>
              </w:rPr>
            </w:pPr>
          </w:p>
        </w:tc>
        <w:tc>
          <w:tcPr>
            <w:tcW w:w="5103" w:type="dxa"/>
            <w:gridSpan w:val="2"/>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sz w:val="18"/>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2"/>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tabs>
                <w:tab w:val="left" w:pos="1168"/>
              </w:tabs>
              <w:ind w:left="1168" w:hanging="284"/>
              <w:rPr>
                <w:b/>
                <w:i/>
              </w:rPr>
            </w:pPr>
          </w:p>
        </w:tc>
      </w:tr>
      <w:tr>
        <w:tc>
          <w:tcPr>
            <w:tcW w:w="1418" w:type="dxa"/>
            <w:shd w:val="clear" w:color="auto" w:fill="D9D9D9"/>
          </w:tcPr>
          <w:p>
            <w:pPr>
              <w:pStyle w:val="yTable"/>
              <w:keepNext/>
              <w:rPr>
                <w:b/>
                <w:bCs/>
                <w:sz w:val="18"/>
              </w:rPr>
            </w:pPr>
          </w:p>
        </w:tc>
        <w:tc>
          <w:tcPr>
            <w:tcW w:w="5103" w:type="dxa"/>
            <w:gridSpan w:val="2"/>
          </w:tcPr>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sz w:val="18"/>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742" w:hanging="742"/>
            </w:pPr>
          </w:p>
        </w:tc>
      </w:tr>
      <w:tr>
        <w:trPr>
          <w:cantSplit/>
          <w:trHeight w:val="80"/>
        </w:trPr>
        <w:tc>
          <w:tcPr>
            <w:tcW w:w="1418" w:type="dxa"/>
            <w:shd w:val="clear" w:color="auto" w:fill="D9D9D9"/>
          </w:tcPr>
          <w:p>
            <w:pPr>
              <w:pStyle w:val="yTable"/>
              <w:rPr>
                <w:b/>
                <w:bCs/>
                <w:sz w:val="18"/>
              </w:rPr>
            </w:pPr>
          </w:p>
        </w:tc>
        <w:tc>
          <w:tcPr>
            <w:tcW w:w="5103" w:type="dxa"/>
            <w:gridSpan w:val="2"/>
          </w:tcPr>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8"/>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2"/>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shd w:val="clear" w:color="auto" w:fill="D9D9D9"/>
          </w:tcPr>
          <w:p>
            <w:pPr>
              <w:pStyle w:val="yTable"/>
              <w:rPr>
                <w:b/>
                <w:bCs/>
                <w:sz w:val="18"/>
              </w:rPr>
            </w:pPr>
          </w:p>
        </w:tc>
        <w:tc>
          <w:tcPr>
            <w:tcW w:w="5103" w:type="dxa"/>
            <w:gridSpan w:val="2"/>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tabs>
                <w:tab w:val="left" w:pos="1168"/>
              </w:tabs>
              <w:ind w:left="1168" w:hanging="284"/>
            </w:pPr>
          </w:p>
        </w:tc>
      </w:tr>
      <w:tr>
        <w:tc>
          <w:tcPr>
            <w:tcW w:w="1418" w:type="dxa"/>
            <w:tcBorders>
              <w:bottom w:val="single" w:sz="4" w:space="0" w:color="auto"/>
            </w:tcBorders>
            <w:shd w:val="clear" w:color="auto" w:fill="D9D9D9"/>
          </w:tcPr>
          <w:p>
            <w:pPr>
              <w:pStyle w:val="yTable"/>
              <w:keepNext/>
              <w:rPr>
                <w:b/>
                <w:bCs/>
                <w:sz w:val="18"/>
              </w:rPr>
            </w:pPr>
          </w:p>
        </w:tc>
        <w:tc>
          <w:tcPr>
            <w:tcW w:w="5103" w:type="dxa"/>
            <w:gridSpan w:val="2"/>
            <w:tcBorders>
              <w:bottom w:val="single" w:sz="4" w:space="0" w:color="auto"/>
            </w:tcBorders>
          </w:tcPr>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2"/>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keepLines/>
        <w:pageBreakBefore/>
        <w:spacing w:before="0" w:after="60"/>
      </w:pPr>
      <w:bookmarkStart w:id="127" w:name="_Toc89246910"/>
      <w:bookmarkStart w:id="128" w:name="_Toc89247296"/>
      <w:bookmarkStart w:id="129" w:name="_Toc89266466"/>
      <w:bookmarkStart w:id="130" w:name="_Toc89414600"/>
      <w:r>
        <w:rPr>
          <w:rStyle w:val="CharSDivNo"/>
        </w:rPr>
        <w:lastRenderedPageBreak/>
        <w:t>Division 3</w:t>
      </w:r>
      <w:r>
        <w:t> — </w:t>
      </w:r>
      <w:r>
        <w:rPr>
          <w:rStyle w:val="CharSDivText"/>
        </w:rPr>
        <w:t>Table of fees and charges for services and utilities</w:t>
      </w:r>
      <w:bookmarkEnd w:id="127"/>
      <w:bookmarkEnd w:id="128"/>
      <w:bookmarkEnd w:id="129"/>
      <w:bookmarkEnd w:id="13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131" w:name="_Toc89246911"/>
      <w:bookmarkStart w:id="132" w:name="_Toc89247297"/>
      <w:bookmarkStart w:id="133" w:name="_Toc89266467"/>
      <w:bookmarkStart w:id="134" w:name="_Toc89414601"/>
      <w:r>
        <w:rPr>
          <w:rStyle w:val="CharSDivNo"/>
        </w:rPr>
        <w:t>Division 4</w:t>
      </w:r>
      <w:r>
        <w:t> — </w:t>
      </w:r>
      <w:r>
        <w:rPr>
          <w:rStyle w:val="CharSDivText"/>
        </w:rPr>
        <w:t>General terms</w:t>
      </w:r>
      <w:bookmarkEnd w:id="131"/>
      <w:bookmarkEnd w:id="132"/>
      <w:bookmarkEnd w:id="133"/>
      <w:bookmarkEnd w:id="13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lastRenderedPageBreak/>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lastRenderedPageBreak/>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rFonts w:ascii="Arial Narrow" w:hAnsi="Arial Narrow"/>
                <w:b/>
                <w:bCs/>
                <w:sz w:val="18"/>
              </w:rPr>
            </w:pPr>
            <w:r>
              <w:rPr>
                <w:b/>
                <w:bCs/>
                <w:sz w:val="18"/>
              </w:rPr>
              <w:lastRenderedPageBreak/>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lastRenderedPageBreak/>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rFonts w:ascii="Arial Narrow" w:hAnsi="Arial Narrow"/>
                <w:sz w:val="18"/>
              </w:rPr>
            </w:pPr>
          </w:p>
        </w:tc>
      </w:tr>
      <w:tr>
        <w:tc>
          <w:tcPr>
            <w:tcW w:w="1418" w:type="dxa"/>
            <w:shd w:val="clear" w:color="auto" w:fill="D9D9D9"/>
          </w:tcPr>
          <w:p>
            <w:pPr>
              <w:pStyle w:val="yTable"/>
              <w:keepNext/>
              <w:rPr>
                <w:b/>
                <w:bCs/>
                <w:sz w:val="18"/>
              </w:rPr>
            </w:pPr>
          </w:p>
        </w:tc>
        <w:tc>
          <w:tcPr>
            <w:tcW w:w="5103" w:type="dxa"/>
          </w:tcPr>
          <w:p>
            <w:pPr>
              <w:pStyle w:val="yTable"/>
              <w:keepNext/>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spacing w:before="40"/>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keepNext/>
              <w:rPr>
                <w:b/>
                <w:bCs/>
                <w:sz w:val="18"/>
              </w:rPr>
            </w:pPr>
          </w:p>
        </w:tc>
        <w:tc>
          <w:tcPr>
            <w:tcW w:w="5103" w:type="dxa"/>
          </w:tcPr>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lastRenderedPageBreak/>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lastRenderedPageBreak/>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lastRenderedPageBreak/>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135" w:name="_Toc89246912"/>
      <w:bookmarkStart w:id="136" w:name="_Toc89247298"/>
      <w:bookmarkStart w:id="137" w:name="_Toc89266468"/>
      <w:bookmarkStart w:id="138" w:name="_Toc89414602"/>
      <w:r>
        <w:rPr>
          <w:rStyle w:val="CharSDivNo"/>
        </w:rPr>
        <w:t>Division 5</w:t>
      </w:r>
      <w:r>
        <w:t> — </w:t>
      </w:r>
      <w:r>
        <w:rPr>
          <w:rStyle w:val="CharSDivText"/>
        </w:rPr>
        <w:t>Special terms</w:t>
      </w:r>
      <w:bookmarkEnd w:id="135"/>
      <w:bookmarkEnd w:id="136"/>
      <w:bookmarkEnd w:id="137"/>
      <w:bookmarkEnd w:id="13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139" w:name="_Toc89246913"/>
      <w:bookmarkStart w:id="140" w:name="_Toc89247299"/>
      <w:bookmarkStart w:id="141" w:name="_Toc89266469"/>
      <w:bookmarkStart w:id="142" w:name="_Toc89414603"/>
      <w:r>
        <w:rPr>
          <w:rStyle w:val="CharSDivNo"/>
        </w:rPr>
        <w:t>Division 6</w:t>
      </w:r>
      <w:r>
        <w:t> — </w:t>
      </w:r>
      <w:r>
        <w:rPr>
          <w:rStyle w:val="CharSDivText"/>
        </w:rPr>
        <w:t>Condition report</w:t>
      </w:r>
      <w:bookmarkEnd w:id="139"/>
      <w:bookmarkEnd w:id="140"/>
      <w:bookmarkEnd w:id="141"/>
      <w:bookmarkEnd w:id="142"/>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143" w:name="_Toc89246914"/>
      <w:bookmarkStart w:id="144" w:name="_Toc89247300"/>
      <w:bookmarkStart w:id="145" w:name="_Toc89266470"/>
      <w:bookmarkStart w:id="146" w:name="_Toc89414604"/>
      <w:r>
        <w:rPr>
          <w:rStyle w:val="CharSDivNo"/>
        </w:rPr>
        <w:t>Division 7</w:t>
      </w:r>
      <w:r>
        <w:t> — </w:t>
      </w:r>
      <w:r>
        <w:rPr>
          <w:rStyle w:val="CharSDivText"/>
        </w:rPr>
        <w:t>Park rules</w:t>
      </w:r>
      <w:bookmarkEnd w:id="143"/>
      <w:bookmarkEnd w:id="144"/>
      <w:bookmarkEnd w:id="145"/>
      <w:bookmarkEnd w:id="146"/>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147" w:name="_Toc89246915"/>
      <w:bookmarkStart w:id="148" w:name="_Toc89247301"/>
      <w:bookmarkStart w:id="149" w:name="_Toc89266471"/>
      <w:bookmarkStart w:id="150" w:name="_Toc89414605"/>
      <w:r>
        <w:rPr>
          <w:rStyle w:val="CharSDivNo"/>
        </w:rPr>
        <w:t>Division 8</w:t>
      </w:r>
      <w:r>
        <w:t> — </w:t>
      </w:r>
      <w:r>
        <w:rPr>
          <w:rStyle w:val="CharSDivText"/>
        </w:rPr>
        <w:t>Information sheet</w:t>
      </w:r>
      <w:bookmarkEnd w:id="147"/>
      <w:bookmarkEnd w:id="148"/>
      <w:bookmarkEnd w:id="149"/>
      <w:bookmarkEnd w:id="150"/>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pageBreakBefore/>
        <w:spacing w:before="0"/>
      </w:pPr>
      <w:bookmarkStart w:id="151" w:name="_Toc89246916"/>
      <w:bookmarkStart w:id="152" w:name="_Toc89247302"/>
      <w:bookmarkStart w:id="153" w:name="_Toc89266472"/>
      <w:bookmarkStart w:id="154" w:name="_Toc89414606"/>
      <w:r>
        <w:rPr>
          <w:rStyle w:val="CharSDivNo"/>
        </w:rPr>
        <w:lastRenderedPageBreak/>
        <w:t>Division 9</w:t>
      </w:r>
      <w:r>
        <w:t> — </w:t>
      </w:r>
      <w:r>
        <w:rPr>
          <w:rStyle w:val="CharSDivText"/>
        </w:rPr>
        <w:t>Acceptance</w:t>
      </w:r>
      <w:bookmarkEnd w:id="151"/>
      <w:bookmarkEnd w:id="152"/>
      <w:bookmarkEnd w:id="153"/>
      <w:bookmarkEnd w:id="15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pageBreakBefore/>
        <w:spacing w:before="0"/>
      </w:pPr>
      <w:bookmarkStart w:id="155" w:name="_Toc89246917"/>
      <w:bookmarkStart w:id="156" w:name="_Toc89247303"/>
      <w:bookmarkStart w:id="157" w:name="_Toc89266473"/>
      <w:bookmarkStart w:id="158" w:name="_Toc89414607"/>
      <w:r>
        <w:rPr>
          <w:rStyle w:val="CharSDivNo"/>
        </w:rPr>
        <w:lastRenderedPageBreak/>
        <w:t>Division 10</w:t>
      </w:r>
      <w:r>
        <w:t> — </w:t>
      </w:r>
      <w:r>
        <w:rPr>
          <w:rStyle w:val="CharSDivText"/>
        </w:rPr>
        <w:t>Tenant’s checklist</w:t>
      </w:r>
      <w:bookmarkEnd w:id="155"/>
      <w:bookmarkEnd w:id="156"/>
      <w:bookmarkEnd w:id="157"/>
      <w:bookmarkEnd w:id="15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159" w:name="_Toc89246918"/>
      <w:bookmarkStart w:id="160" w:name="_Toc89247304"/>
      <w:bookmarkStart w:id="161" w:name="_Toc89266474"/>
      <w:bookmarkStart w:id="162" w:name="_Toc89414608"/>
      <w:r>
        <w:rPr>
          <w:rStyle w:val="CharSchNo"/>
        </w:rPr>
        <w:lastRenderedPageBreak/>
        <w:t>Schedule 4</w:t>
      </w:r>
      <w:r>
        <w:t> — </w:t>
      </w:r>
      <w:r>
        <w:rPr>
          <w:rStyle w:val="CharSchText"/>
        </w:rPr>
        <w:t>Fixed term site</w:t>
      </w:r>
      <w:r>
        <w:rPr>
          <w:rStyle w:val="CharSchText"/>
        </w:rPr>
        <w:noBreakHyphen/>
        <w:t>only agreement</w:t>
      </w:r>
      <w:bookmarkEnd w:id="159"/>
      <w:bookmarkEnd w:id="160"/>
      <w:bookmarkEnd w:id="161"/>
      <w:bookmarkEnd w:id="162"/>
    </w:p>
    <w:p>
      <w:pPr>
        <w:pStyle w:val="yShoulderClause"/>
      </w:pPr>
      <w:r>
        <w:t>[r. 7]</w:t>
      </w:r>
    </w:p>
    <w:p>
      <w:pPr>
        <w:pStyle w:val="yHeading3"/>
      </w:pPr>
      <w:bookmarkStart w:id="163" w:name="_Toc89246919"/>
      <w:bookmarkStart w:id="164" w:name="_Toc89247305"/>
      <w:bookmarkStart w:id="165" w:name="_Toc89266475"/>
      <w:bookmarkStart w:id="166" w:name="_Toc89414609"/>
      <w:r>
        <w:rPr>
          <w:rStyle w:val="CharSDivNo"/>
        </w:rPr>
        <w:t>Division 1</w:t>
      </w:r>
      <w:r>
        <w:t> — </w:t>
      </w:r>
      <w:r>
        <w:rPr>
          <w:rStyle w:val="CharSDivText"/>
        </w:rPr>
        <w:t>Preliminary</w:t>
      </w:r>
      <w:bookmarkEnd w:id="163"/>
      <w:bookmarkEnd w:id="164"/>
      <w:bookmarkEnd w:id="165"/>
      <w:bookmarkEnd w:id="1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xml:space="preserve">, in relation to a site, means a vehicle, building, tent or other structure that is fitted or designed for </w:t>
            </w:r>
            <w:r>
              <w:rPr>
                <w:sz w:val="18"/>
              </w:rPr>
              <w:lastRenderedPageBreak/>
              <w:t>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lastRenderedPageBreak/>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pPr>
      <w:bookmarkStart w:id="167" w:name="_Toc89246920"/>
      <w:bookmarkStart w:id="168" w:name="_Toc89247306"/>
      <w:bookmarkStart w:id="169" w:name="_Toc89266476"/>
      <w:bookmarkStart w:id="170" w:name="_Toc89414610"/>
      <w:r>
        <w:rPr>
          <w:rStyle w:val="CharSDivNo"/>
        </w:rPr>
        <w:t>Division 2</w:t>
      </w:r>
      <w:r>
        <w:t> — </w:t>
      </w:r>
      <w:r>
        <w:rPr>
          <w:rStyle w:val="CharSDivText"/>
        </w:rPr>
        <w:t>Rent, fees and charges</w:t>
      </w:r>
      <w:bookmarkEnd w:id="167"/>
      <w:bookmarkEnd w:id="168"/>
      <w:bookmarkEnd w:id="169"/>
      <w:bookmarkEnd w:id="170"/>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lastRenderedPageBreak/>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lastRenderedPageBreak/>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lastRenderedPageBreak/>
        <w:tab/>
        <w:t>[Division 2 amended: Gazette 5 Jul 2011 p. 2818; 14 Nov 2013 p. 5064.]</w:t>
      </w:r>
    </w:p>
    <w:p>
      <w:pPr>
        <w:pStyle w:val="yHeading3"/>
        <w:spacing w:after="60"/>
      </w:pPr>
      <w:bookmarkStart w:id="171" w:name="_Toc89246921"/>
      <w:bookmarkStart w:id="172" w:name="_Toc89247307"/>
      <w:bookmarkStart w:id="173" w:name="_Toc89266477"/>
      <w:bookmarkStart w:id="174" w:name="_Toc89414611"/>
      <w:r>
        <w:rPr>
          <w:rStyle w:val="CharSDivNo"/>
        </w:rPr>
        <w:t>Division 3</w:t>
      </w:r>
      <w:r>
        <w:t> — </w:t>
      </w:r>
      <w:r>
        <w:rPr>
          <w:rStyle w:val="CharSDivText"/>
        </w:rPr>
        <w:t>Table of fees and charges for services and utilities</w:t>
      </w:r>
      <w:bookmarkEnd w:id="171"/>
      <w:bookmarkEnd w:id="172"/>
      <w:bookmarkEnd w:id="173"/>
      <w:bookmarkEnd w:id="174"/>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175" w:name="_Toc89246922"/>
      <w:bookmarkStart w:id="176" w:name="_Toc89247308"/>
      <w:bookmarkStart w:id="177" w:name="_Toc89266478"/>
      <w:bookmarkStart w:id="178" w:name="_Toc89414612"/>
      <w:r>
        <w:rPr>
          <w:rStyle w:val="CharSDivNo"/>
        </w:rPr>
        <w:lastRenderedPageBreak/>
        <w:t>Division 4</w:t>
      </w:r>
      <w:r>
        <w:t> — </w:t>
      </w:r>
      <w:r>
        <w:rPr>
          <w:rStyle w:val="CharSDivText"/>
        </w:rPr>
        <w:t>General terms</w:t>
      </w:r>
      <w:bookmarkEnd w:id="175"/>
      <w:bookmarkEnd w:id="176"/>
      <w:bookmarkEnd w:id="177"/>
      <w:bookmarkEnd w:id="17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lastRenderedPageBreak/>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lastRenderedPageBreak/>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lastRenderedPageBreak/>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lastRenderedPageBreak/>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lastRenderedPageBreak/>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lastRenderedPageBreak/>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lastRenderedPageBreak/>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lastRenderedPageBreak/>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p>
          <w:p>
            <w:pPr>
              <w:pStyle w:val="yTable"/>
              <w:ind w:left="884" w:hanging="425"/>
              <w:rPr>
                <w:sz w:val="18"/>
              </w:rPr>
            </w:pP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 xml:space="preserve">at any reasonable time and on a reasonable number of occasions, after giving the tenant reasonable notice, for </w:t>
            </w:r>
            <w:r>
              <w:rPr>
                <w:sz w:val="18"/>
              </w:rPr>
              <w:lastRenderedPageBreak/>
              <w:t>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 xml:space="preserve">At any time while the tenant’s right to occupy the agreed premises continues, the tenant may remove any fixture that he or she has, with the park operator’s consent, affixed to the </w:t>
            </w:r>
            <w:r>
              <w:rPr>
                <w:sz w:val="18"/>
              </w:rPr>
              <w:lastRenderedPageBreak/>
              <w:t>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lastRenderedPageBreak/>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lastRenderedPageBreak/>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lastRenderedPageBreak/>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lastRenderedPageBreak/>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lastRenderedPageBreak/>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pPr>
      <w:bookmarkStart w:id="179" w:name="_Toc89246923"/>
      <w:bookmarkStart w:id="180" w:name="_Toc89247309"/>
      <w:bookmarkStart w:id="181" w:name="_Toc89266479"/>
      <w:bookmarkStart w:id="182" w:name="_Toc89414613"/>
      <w:r>
        <w:rPr>
          <w:rStyle w:val="CharSDivNo"/>
        </w:rPr>
        <w:t>Division 5</w:t>
      </w:r>
      <w:r>
        <w:t> — </w:t>
      </w:r>
      <w:r>
        <w:rPr>
          <w:rStyle w:val="CharSDivText"/>
        </w:rPr>
        <w:t>Special terms</w:t>
      </w:r>
      <w:bookmarkEnd w:id="179"/>
      <w:bookmarkEnd w:id="180"/>
      <w:bookmarkEnd w:id="181"/>
      <w:bookmarkEnd w:id="18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Lines/>
              <w:spacing w:before="160"/>
              <w:rPr>
                <w:b/>
                <w:bCs/>
                <w:sz w:val="18"/>
              </w:rPr>
            </w:pPr>
          </w:p>
        </w:tc>
        <w:tc>
          <w:tcPr>
            <w:tcW w:w="5103" w:type="dxa"/>
            <w:tcBorders>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183" w:name="_Toc89246924"/>
      <w:bookmarkStart w:id="184" w:name="_Toc89247310"/>
      <w:bookmarkStart w:id="185" w:name="_Toc89266480"/>
      <w:bookmarkStart w:id="186" w:name="_Toc89414614"/>
      <w:r>
        <w:rPr>
          <w:rStyle w:val="CharSDivNo"/>
        </w:rPr>
        <w:t>Division 6</w:t>
      </w:r>
      <w:r>
        <w:t> — </w:t>
      </w:r>
      <w:r>
        <w:rPr>
          <w:rStyle w:val="CharSDivText"/>
        </w:rPr>
        <w:t>Condition report</w:t>
      </w:r>
      <w:bookmarkEnd w:id="183"/>
      <w:bookmarkEnd w:id="184"/>
      <w:bookmarkEnd w:id="185"/>
      <w:bookmarkEnd w:id="186"/>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spacing w:before="220"/>
        <w:rPr>
          <w:rStyle w:val="CharSDivText"/>
        </w:rPr>
      </w:pPr>
      <w:bookmarkStart w:id="187" w:name="_Toc89246925"/>
      <w:bookmarkStart w:id="188" w:name="_Toc89247311"/>
      <w:bookmarkStart w:id="189" w:name="_Toc89266481"/>
      <w:bookmarkStart w:id="190" w:name="_Toc89414615"/>
      <w:r>
        <w:rPr>
          <w:rStyle w:val="CharSDivNo"/>
        </w:rPr>
        <w:t>Division 7</w:t>
      </w:r>
      <w:r>
        <w:t> — </w:t>
      </w:r>
      <w:r>
        <w:rPr>
          <w:rStyle w:val="CharSDivText"/>
        </w:rPr>
        <w:t>Park rules</w:t>
      </w:r>
      <w:bookmarkEnd w:id="187"/>
      <w:bookmarkEnd w:id="188"/>
      <w:bookmarkEnd w:id="189"/>
      <w:bookmarkEnd w:id="190"/>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rPr>
          <w:rStyle w:val="CharSDivText"/>
        </w:rPr>
      </w:pPr>
      <w:bookmarkStart w:id="191" w:name="_Toc89246926"/>
      <w:bookmarkStart w:id="192" w:name="_Toc89247312"/>
      <w:bookmarkStart w:id="193" w:name="_Toc89266482"/>
      <w:bookmarkStart w:id="194" w:name="_Toc89414616"/>
      <w:r>
        <w:rPr>
          <w:rStyle w:val="CharSDivNo"/>
        </w:rPr>
        <w:t>Division 8</w:t>
      </w:r>
      <w:r>
        <w:t> — </w:t>
      </w:r>
      <w:r>
        <w:rPr>
          <w:rStyle w:val="CharSDivText"/>
        </w:rPr>
        <w:t>Information sheet</w:t>
      </w:r>
      <w:bookmarkEnd w:id="191"/>
      <w:bookmarkEnd w:id="192"/>
      <w:bookmarkEnd w:id="193"/>
      <w:bookmarkEnd w:id="194"/>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Next w:val="0"/>
        <w:keepLines/>
        <w:spacing w:before="220"/>
        <w:outlineLvl w:val="9"/>
      </w:pPr>
      <w:bookmarkStart w:id="195" w:name="_Toc89246927"/>
      <w:bookmarkStart w:id="196" w:name="_Toc89247313"/>
      <w:bookmarkStart w:id="197" w:name="_Toc89266483"/>
      <w:bookmarkStart w:id="198" w:name="_Toc89414617"/>
      <w:r>
        <w:rPr>
          <w:rStyle w:val="CharSDivNo"/>
        </w:rPr>
        <w:t>Division 9</w:t>
      </w:r>
      <w:r>
        <w:t> — </w:t>
      </w:r>
      <w:r>
        <w:rPr>
          <w:rStyle w:val="CharSDivText"/>
        </w:rPr>
        <w:t>Acceptance</w:t>
      </w:r>
      <w:bookmarkEnd w:id="195"/>
      <w:bookmarkEnd w:id="196"/>
      <w:bookmarkEnd w:id="197"/>
      <w:bookmarkEnd w:id="19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Lines/>
              <w:rPr>
                <w:sz w:val="18"/>
              </w:rPr>
            </w:pPr>
            <w:r>
              <w:rPr>
                <w:sz w:val="18"/>
              </w:rPr>
              <w:t>By signing this agreement, the parties to this agreement agree to be bound by its terms and conditions.</w:t>
            </w:r>
          </w:p>
          <w:p>
            <w:pPr>
              <w:pStyle w:val="yTable"/>
              <w:keepLines/>
              <w:rPr>
                <w:b/>
                <w:bCs/>
                <w:sz w:val="18"/>
              </w:rPr>
            </w:pPr>
            <w:r>
              <w:rPr>
                <w:b/>
                <w:bCs/>
                <w:sz w:val="18"/>
              </w:rPr>
              <w:t>Park operator / managing real estate agent</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lastRenderedPageBreak/>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pPr>
      <w:bookmarkStart w:id="199" w:name="_Toc89246928"/>
      <w:bookmarkStart w:id="200" w:name="_Toc89247314"/>
      <w:bookmarkStart w:id="201" w:name="_Toc89266484"/>
      <w:bookmarkStart w:id="202" w:name="_Toc89414618"/>
      <w:r>
        <w:rPr>
          <w:rStyle w:val="CharSDivNo"/>
        </w:rPr>
        <w:t>Division 10</w:t>
      </w:r>
      <w:r>
        <w:t> — </w:t>
      </w:r>
      <w:r>
        <w:rPr>
          <w:rStyle w:val="CharSDivText"/>
        </w:rPr>
        <w:t>Tenant’s checklist</w:t>
      </w:r>
      <w:bookmarkEnd w:id="199"/>
      <w:bookmarkEnd w:id="200"/>
      <w:bookmarkEnd w:id="201"/>
      <w:bookmarkEnd w:id="2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04" w:name="_Toc89246929"/>
      <w:bookmarkStart w:id="205" w:name="_Toc89247315"/>
      <w:bookmarkStart w:id="206" w:name="_Toc89266485"/>
      <w:bookmarkStart w:id="207" w:name="_Toc89414619"/>
      <w:r>
        <w:rPr>
          <w:rStyle w:val="CharSchNo"/>
        </w:rPr>
        <w:lastRenderedPageBreak/>
        <w:t>Schedule 5</w:t>
      </w:r>
      <w:r>
        <w:t> — </w:t>
      </w:r>
      <w:r>
        <w:rPr>
          <w:rStyle w:val="CharSchText"/>
        </w:rPr>
        <w:t>Condition report</w:t>
      </w:r>
      <w:bookmarkEnd w:id="204"/>
      <w:bookmarkEnd w:id="205"/>
      <w:bookmarkEnd w:id="206"/>
      <w:bookmarkEnd w:id="207"/>
    </w:p>
    <w:p>
      <w:pPr>
        <w:pStyle w:val="yShoulderClause"/>
      </w:pPr>
      <w:r>
        <w:t>[r. 8(1)]</w:t>
      </w:r>
    </w:p>
    <w:p>
      <w:pPr>
        <w:pStyle w:val="yHeading5"/>
      </w:pPr>
      <w:bookmarkStart w:id="208" w:name="_Toc89414620"/>
      <w:r>
        <w:rPr>
          <w:rStyle w:val="CharSClsNo"/>
        </w:rPr>
        <w:t>1</w:t>
      </w:r>
      <w:r>
        <w:t>.</w:t>
      </w:r>
      <w:r>
        <w:tab/>
        <w:t>On</w:t>
      </w:r>
      <w:r>
        <w:noBreakHyphen/>
        <w:t>site home</w:t>
      </w:r>
      <w:bookmarkEnd w:id="20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lastRenderedPageBreak/>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209" w:name="_Toc89414621"/>
      <w:r>
        <w:rPr>
          <w:rStyle w:val="CharSClsNo"/>
        </w:rPr>
        <w:lastRenderedPageBreak/>
        <w:t>2</w:t>
      </w:r>
      <w:r>
        <w:t>.</w:t>
      </w:r>
      <w:r>
        <w:tab/>
        <w:t>Site</w:t>
      </w:r>
      <w:bookmarkEnd w:id="20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210" w:name="_Toc89414622"/>
      <w:r>
        <w:rPr>
          <w:rStyle w:val="CharSClsNo"/>
        </w:rPr>
        <w:t>3</w:t>
      </w:r>
      <w:r>
        <w:t>.</w:t>
      </w:r>
      <w:r>
        <w:tab/>
        <w:t>Specific work to be undertaken by park operator</w:t>
      </w:r>
      <w:bookmarkEnd w:id="210"/>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211" w:name="_Toc89414623"/>
      <w:r>
        <w:rPr>
          <w:rStyle w:val="CharSClsNo"/>
        </w:rPr>
        <w:lastRenderedPageBreak/>
        <w:t>4</w:t>
      </w:r>
      <w:r>
        <w:t>.</w:t>
      </w:r>
      <w:r>
        <w:tab/>
        <w:t>Signatures</w:t>
      </w:r>
      <w:bookmarkEnd w:id="211"/>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212" w:name="_Toc89246934"/>
      <w:bookmarkStart w:id="213" w:name="_Toc89247320"/>
      <w:bookmarkStart w:id="214" w:name="_Toc89266490"/>
      <w:bookmarkStart w:id="215" w:name="_Toc89414624"/>
      <w:r>
        <w:rPr>
          <w:rStyle w:val="CharSchNo"/>
        </w:rPr>
        <w:lastRenderedPageBreak/>
        <w:t>Schedule 6</w:t>
      </w:r>
      <w:r>
        <w:t> — </w:t>
      </w:r>
      <w:r>
        <w:rPr>
          <w:rStyle w:val="CharSchText"/>
        </w:rPr>
        <w:t>Information sheet (on</w:t>
      </w:r>
      <w:r>
        <w:rPr>
          <w:rStyle w:val="CharSchText"/>
        </w:rPr>
        <w:noBreakHyphen/>
        <w:t>site home agreement)</w:t>
      </w:r>
      <w:bookmarkEnd w:id="212"/>
      <w:bookmarkEnd w:id="213"/>
      <w:bookmarkEnd w:id="214"/>
      <w:bookmarkEnd w:id="215"/>
    </w:p>
    <w:p>
      <w:pPr>
        <w:pStyle w:val="yShoulderClause"/>
      </w:pPr>
      <w:r>
        <w:t>[r. 9(1)(a)]</w:t>
      </w:r>
    </w:p>
    <w:p>
      <w:pPr>
        <w:pStyle w:val="yHeading5"/>
      </w:pPr>
      <w:bookmarkStart w:id="216" w:name="_Toc89414625"/>
      <w:r>
        <w:rPr>
          <w:rStyle w:val="CharSClsNo"/>
        </w:rPr>
        <w:t>1</w:t>
      </w:r>
      <w:r>
        <w:t>.</w:t>
      </w:r>
      <w:r>
        <w:tab/>
        <w:t>Additional persons residing on a temporary basis on the agreed premises</w:t>
      </w:r>
      <w:bookmarkEnd w:id="216"/>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217" w:name="_Toc89414626"/>
      <w:r>
        <w:rPr>
          <w:rStyle w:val="CharSClsNo"/>
        </w:rPr>
        <w:lastRenderedPageBreak/>
        <w:t>2</w:t>
      </w:r>
      <w:r>
        <w:t>.</w:t>
      </w:r>
      <w:r>
        <w:tab/>
        <w:t>Services and utilities</w:t>
      </w:r>
      <w:bookmarkEnd w:id="217"/>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18" w:name="_Toc89414627"/>
      <w:r>
        <w:rPr>
          <w:rStyle w:val="CharSClsNo"/>
        </w:rPr>
        <w:t>3</w:t>
      </w:r>
      <w:r>
        <w:t>.</w:t>
      </w:r>
      <w:r>
        <w:tab/>
        <w:t>Pets</w:t>
      </w:r>
      <w:bookmarkEnd w:id="21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19" w:name="_Toc89414628"/>
      <w:r>
        <w:rPr>
          <w:rStyle w:val="CharSClsNo"/>
        </w:rPr>
        <w:t>4</w:t>
      </w:r>
      <w:r>
        <w:t>.</w:t>
      </w:r>
      <w:r>
        <w:tab/>
        <w:t>Shared premises and facilities</w:t>
      </w:r>
      <w:bookmarkEnd w:id="219"/>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20" w:name="_Toc89414629"/>
      <w:r>
        <w:rPr>
          <w:rStyle w:val="CharSClsNo"/>
        </w:rPr>
        <w:t>5</w:t>
      </w:r>
      <w:r>
        <w:t>.</w:t>
      </w:r>
      <w:r>
        <w:tab/>
        <w:t>Parking</w:t>
      </w:r>
      <w:bookmarkEnd w:id="22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221" w:name="_Toc89414630"/>
      <w:r>
        <w:rPr>
          <w:rStyle w:val="CharSClsNo"/>
        </w:rPr>
        <w:t>6</w:t>
      </w:r>
      <w:r>
        <w:t>.</w:t>
      </w:r>
      <w:r>
        <w:tab/>
        <w:t>Sub</w:t>
      </w:r>
      <w:r>
        <w:noBreakHyphen/>
        <w:t>letting or otherwise assigning the agreed premises</w:t>
      </w:r>
      <w:bookmarkEnd w:id="22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22" w:name="_Toc89414631"/>
      <w:r>
        <w:rPr>
          <w:rStyle w:val="CharSClsNo"/>
        </w:rPr>
        <w:lastRenderedPageBreak/>
        <w:t>7</w:t>
      </w:r>
      <w:r>
        <w:t>.</w:t>
      </w:r>
      <w:r>
        <w:tab/>
        <w:t>Restrictions on use of site</w:t>
      </w:r>
      <w:bookmarkEnd w:id="22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23" w:name="_Toc89414632"/>
      <w:r>
        <w:rPr>
          <w:rStyle w:val="CharSClsNo"/>
        </w:rPr>
        <w:t>8</w:t>
      </w:r>
      <w:r>
        <w:t>.</w:t>
      </w:r>
      <w:r>
        <w:tab/>
        <w:t>Insurance requirements</w:t>
      </w:r>
      <w:bookmarkEnd w:id="223"/>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24" w:name="_Toc89414633"/>
      <w:r>
        <w:rPr>
          <w:rStyle w:val="CharSClsNo"/>
        </w:rPr>
        <w:t>9</w:t>
      </w:r>
      <w:r>
        <w:t>.</w:t>
      </w:r>
      <w:r>
        <w:tab/>
        <w:t>Requirements on tenants regarding gardening maintenance</w:t>
      </w:r>
      <w:bookmarkEnd w:id="22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25" w:name="_Toc89414634"/>
      <w:r>
        <w:rPr>
          <w:rStyle w:val="CharSClsNo"/>
        </w:rPr>
        <w:t>10</w:t>
      </w:r>
      <w:r>
        <w:t>.</w:t>
      </w:r>
      <w:r>
        <w:tab/>
        <w:t>Park liaison committee</w:t>
      </w:r>
      <w:bookmarkEnd w:id="22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226" w:name="_Toc89246945"/>
      <w:bookmarkStart w:id="227" w:name="_Toc89247331"/>
      <w:bookmarkStart w:id="228" w:name="_Toc89266501"/>
      <w:bookmarkStart w:id="229" w:name="_Toc89414635"/>
      <w:r>
        <w:rPr>
          <w:rStyle w:val="CharSchNo"/>
        </w:rPr>
        <w:lastRenderedPageBreak/>
        <w:t>Schedule 7</w:t>
      </w:r>
      <w:r>
        <w:t> — </w:t>
      </w:r>
      <w:r>
        <w:rPr>
          <w:rStyle w:val="CharSchText"/>
        </w:rPr>
        <w:t>Information sheet (site</w:t>
      </w:r>
      <w:r>
        <w:rPr>
          <w:rStyle w:val="CharSchText"/>
        </w:rPr>
        <w:noBreakHyphen/>
        <w:t>only agreement)</w:t>
      </w:r>
      <w:bookmarkEnd w:id="226"/>
      <w:bookmarkEnd w:id="227"/>
      <w:bookmarkEnd w:id="228"/>
      <w:bookmarkEnd w:id="229"/>
    </w:p>
    <w:p>
      <w:pPr>
        <w:pStyle w:val="yShoulderClause"/>
      </w:pPr>
      <w:r>
        <w:t>[r. 9(1)(b)]</w:t>
      </w:r>
    </w:p>
    <w:p>
      <w:pPr>
        <w:pStyle w:val="yHeading5"/>
      </w:pPr>
      <w:bookmarkStart w:id="230" w:name="_Toc89414636"/>
      <w:r>
        <w:rPr>
          <w:rStyle w:val="CharSClsNo"/>
        </w:rPr>
        <w:t>1</w:t>
      </w:r>
      <w:r>
        <w:t>.</w:t>
      </w:r>
      <w:r>
        <w:tab/>
        <w:t>Additional persons residing on a temporary basis on the agreed premises</w:t>
      </w:r>
      <w:bookmarkEnd w:id="23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231" w:name="_Toc89414637"/>
      <w:r>
        <w:rPr>
          <w:rStyle w:val="CharSClsNo"/>
        </w:rPr>
        <w:lastRenderedPageBreak/>
        <w:t>2</w:t>
      </w:r>
      <w:r>
        <w:t>.</w:t>
      </w:r>
      <w:r>
        <w:tab/>
        <w:t>Services and utilities</w:t>
      </w:r>
      <w:bookmarkEnd w:id="231"/>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232" w:name="_Toc89414638"/>
      <w:r>
        <w:rPr>
          <w:rStyle w:val="CharSClsNo"/>
        </w:rPr>
        <w:t>3</w:t>
      </w:r>
      <w:r>
        <w:t>.</w:t>
      </w:r>
      <w:r>
        <w:tab/>
        <w:t>Pets</w:t>
      </w:r>
      <w:bookmarkEnd w:id="23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233" w:name="_Toc89414639"/>
      <w:r>
        <w:rPr>
          <w:rStyle w:val="CharSClsNo"/>
        </w:rPr>
        <w:t>4</w:t>
      </w:r>
      <w:r>
        <w:t>.</w:t>
      </w:r>
      <w:r>
        <w:tab/>
        <w:t>Shared premises and facilities</w:t>
      </w:r>
      <w:bookmarkEnd w:id="233"/>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234" w:name="_Toc89414640"/>
      <w:r>
        <w:rPr>
          <w:rStyle w:val="CharSClsNo"/>
        </w:rPr>
        <w:t>5</w:t>
      </w:r>
      <w:r>
        <w:t>.</w:t>
      </w:r>
      <w:r>
        <w:tab/>
        <w:t>Parking</w:t>
      </w:r>
      <w:bookmarkEnd w:id="23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235" w:name="_Toc89414641"/>
      <w:r>
        <w:rPr>
          <w:rStyle w:val="CharSClsNo"/>
        </w:rPr>
        <w:t>6</w:t>
      </w:r>
      <w:r>
        <w:t>.</w:t>
      </w:r>
      <w:r>
        <w:tab/>
        <w:t>Selling a relocatable home or sub</w:t>
      </w:r>
      <w:r>
        <w:noBreakHyphen/>
        <w:t>letting or otherwise assigning the agreed premises</w:t>
      </w:r>
      <w:bookmarkEnd w:id="23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lastRenderedPageBreak/>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36" w:name="_Toc89414642"/>
      <w:r>
        <w:rPr>
          <w:rStyle w:val="CharSClsNo"/>
        </w:rPr>
        <w:t>7</w:t>
      </w:r>
      <w:r>
        <w:t>.</w:t>
      </w:r>
      <w:r>
        <w:tab/>
        <w:t>Restrictions on use of site</w:t>
      </w:r>
      <w:bookmarkEnd w:id="23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37" w:name="_Toc89414643"/>
      <w:r>
        <w:rPr>
          <w:rStyle w:val="CharSClsNo"/>
        </w:rPr>
        <w:t>8</w:t>
      </w:r>
      <w:r>
        <w:t>.</w:t>
      </w:r>
      <w:r>
        <w:tab/>
        <w:t>Insurance requirements</w:t>
      </w:r>
      <w:bookmarkEnd w:id="23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38" w:name="_Toc89414644"/>
      <w:r>
        <w:rPr>
          <w:rStyle w:val="CharSClsNo"/>
        </w:rPr>
        <w:t>9</w:t>
      </w:r>
      <w:r>
        <w:t>.</w:t>
      </w:r>
      <w:r>
        <w:tab/>
        <w:t>Requirements on tenants regarding gardening maintenance</w:t>
      </w:r>
      <w:bookmarkEnd w:id="23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39" w:name="_Toc89414645"/>
      <w:r>
        <w:rPr>
          <w:rStyle w:val="CharSClsNo"/>
        </w:rPr>
        <w:t>10</w:t>
      </w:r>
      <w:r>
        <w:t>.</w:t>
      </w:r>
      <w:r>
        <w:tab/>
        <w:t>Park liaison committee</w:t>
      </w:r>
      <w:bookmarkEnd w:id="23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lastRenderedPageBreak/>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pPr>
      <w:bookmarkStart w:id="240" w:name="_Toc89246956"/>
      <w:bookmarkStart w:id="241" w:name="_Toc89247342"/>
      <w:bookmarkStart w:id="242" w:name="_Toc89266512"/>
      <w:bookmarkStart w:id="243" w:name="_Toc89414646"/>
      <w:r>
        <w:rPr>
          <w:rStyle w:val="CharSchNo"/>
        </w:rPr>
        <w:lastRenderedPageBreak/>
        <w:t>Schedule 8</w:t>
      </w:r>
      <w:r>
        <w:rPr>
          <w:rStyle w:val="CharSDivNo"/>
        </w:rPr>
        <w:t> </w:t>
      </w:r>
      <w:r>
        <w:t>—</w:t>
      </w:r>
      <w:r>
        <w:rPr>
          <w:rStyle w:val="CharSDivText"/>
        </w:rPr>
        <w:t> </w:t>
      </w:r>
      <w:r>
        <w:rPr>
          <w:rStyle w:val="CharSchText"/>
        </w:rPr>
        <w:t>Prescribed classes of payment</w:t>
      </w:r>
      <w:bookmarkEnd w:id="240"/>
      <w:bookmarkEnd w:id="241"/>
      <w:bookmarkEnd w:id="242"/>
      <w:bookmarkEnd w:id="243"/>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244" w:name="_Toc89246957"/>
      <w:bookmarkStart w:id="245" w:name="_Toc89247343"/>
      <w:bookmarkStart w:id="246" w:name="_Toc89266513"/>
      <w:bookmarkStart w:id="247" w:name="_Toc89414647"/>
      <w:r>
        <w:rPr>
          <w:rStyle w:val="CharSchNo"/>
        </w:rPr>
        <w:lastRenderedPageBreak/>
        <w:t>Schedule 9</w:t>
      </w:r>
      <w:r>
        <w:t> — </w:t>
      </w:r>
      <w:r>
        <w:rPr>
          <w:rStyle w:val="CharSchText"/>
        </w:rPr>
        <w:t>Default notice</w:t>
      </w:r>
      <w:bookmarkEnd w:id="244"/>
      <w:bookmarkEnd w:id="245"/>
      <w:bookmarkEnd w:id="246"/>
      <w:bookmarkEnd w:id="247"/>
    </w:p>
    <w:p>
      <w:pPr>
        <w:pStyle w:val="yShoulderClause"/>
      </w:pPr>
      <w:r>
        <w:t>[r. 12]</w:t>
      </w:r>
    </w:p>
    <w:p>
      <w:pPr>
        <w:pStyle w:val="yHeading3"/>
      </w:pPr>
      <w:bookmarkStart w:id="248" w:name="_Toc89246958"/>
      <w:bookmarkStart w:id="249" w:name="_Toc89247344"/>
      <w:bookmarkStart w:id="250" w:name="_Toc89266514"/>
      <w:bookmarkStart w:id="251" w:name="_Toc89414648"/>
      <w:r>
        <w:rPr>
          <w:rStyle w:val="CharSDivNo"/>
        </w:rPr>
        <w:t>Division 1</w:t>
      </w:r>
      <w:r>
        <w:t> — </w:t>
      </w:r>
      <w:r>
        <w:rPr>
          <w:rStyle w:val="CharSDivText"/>
        </w:rPr>
        <w:t>Termination for non</w:t>
      </w:r>
      <w:r>
        <w:rPr>
          <w:rStyle w:val="CharSDivText"/>
        </w:rPr>
        <w:noBreakHyphen/>
        <w:t>payment of rent</w:t>
      </w:r>
      <w:bookmarkEnd w:id="248"/>
      <w:bookmarkEnd w:id="249"/>
      <w:bookmarkEnd w:id="250"/>
      <w:bookmarkEnd w:id="2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252" w:name="_Toc89246959"/>
      <w:bookmarkStart w:id="253" w:name="_Toc89247345"/>
      <w:bookmarkStart w:id="254" w:name="_Toc89266515"/>
      <w:bookmarkStart w:id="255" w:name="_Toc89414649"/>
      <w:r>
        <w:rPr>
          <w:rStyle w:val="CharSDivNo"/>
        </w:rPr>
        <w:t>Division 2</w:t>
      </w:r>
      <w:r>
        <w:t> — </w:t>
      </w:r>
      <w:r>
        <w:rPr>
          <w:rStyle w:val="CharSDivText"/>
        </w:rPr>
        <w:t>Termination for other breach of agreement</w:t>
      </w:r>
      <w:bookmarkEnd w:id="252"/>
      <w:bookmarkEnd w:id="253"/>
      <w:bookmarkEnd w:id="254"/>
      <w:bookmarkEnd w:id="25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256" w:name="_Toc89246960"/>
      <w:bookmarkStart w:id="257" w:name="_Toc89247346"/>
      <w:bookmarkStart w:id="258" w:name="_Toc89266516"/>
      <w:bookmarkStart w:id="259" w:name="_Toc89414650"/>
      <w:r>
        <w:rPr>
          <w:rStyle w:val="CharSchNo"/>
        </w:rPr>
        <w:lastRenderedPageBreak/>
        <w:t>Schedule 10</w:t>
      </w:r>
      <w:r>
        <w:t> — </w:t>
      </w:r>
      <w:r>
        <w:rPr>
          <w:rStyle w:val="CharSchText"/>
        </w:rPr>
        <w:t>Notice of termination</w:t>
      </w:r>
      <w:bookmarkEnd w:id="256"/>
      <w:bookmarkEnd w:id="257"/>
      <w:bookmarkEnd w:id="258"/>
      <w:bookmarkEnd w:id="259"/>
    </w:p>
    <w:p>
      <w:pPr>
        <w:pStyle w:val="yShoulderClause"/>
      </w:pPr>
      <w:r>
        <w:t>[r. 13]</w:t>
      </w:r>
    </w:p>
    <w:p>
      <w:pPr>
        <w:pStyle w:val="yHeading3"/>
      </w:pPr>
      <w:bookmarkStart w:id="260" w:name="_Toc89246961"/>
      <w:bookmarkStart w:id="261" w:name="_Toc89247347"/>
      <w:bookmarkStart w:id="262" w:name="_Toc89266517"/>
      <w:bookmarkStart w:id="263" w:name="_Toc89414651"/>
      <w:r>
        <w:rPr>
          <w:rStyle w:val="CharSDivNo"/>
        </w:rPr>
        <w:t>Division 1</w:t>
      </w:r>
      <w:r>
        <w:t> — </w:t>
      </w:r>
      <w:r>
        <w:rPr>
          <w:rStyle w:val="CharSDivText"/>
        </w:rPr>
        <w:t>Termination by park operator</w:t>
      </w:r>
      <w:bookmarkEnd w:id="260"/>
      <w:bookmarkEnd w:id="261"/>
      <w:bookmarkEnd w:id="262"/>
      <w:bookmarkEnd w:id="263"/>
    </w:p>
    <w:p>
      <w:pPr>
        <w:pStyle w:val="yHeading4"/>
      </w:pPr>
      <w:bookmarkStart w:id="264" w:name="_Toc89246962"/>
      <w:bookmarkStart w:id="265" w:name="_Toc89247348"/>
      <w:bookmarkStart w:id="266" w:name="_Toc89266518"/>
      <w:bookmarkStart w:id="267" w:name="_Toc89414652"/>
      <w:r>
        <w:t>Subdivision 1</w:t>
      </w:r>
      <w:r>
        <w:rPr>
          <w:b w:val="0"/>
        </w:rPr>
        <w:t> — </w:t>
      </w:r>
      <w:r>
        <w:t>Termination for non</w:t>
      </w:r>
      <w:r>
        <w:noBreakHyphen/>
        <w:t>payment of rent (default notice issued)</w:t>
      </w:r>
      <w:bookmarkEnd w:id="264"/>
      <w:bookmarkEnd w:id="265"/>
      <w:bookmarkEnd w:id="266"/>
      <w:bookmarkEnd w:id="26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268" w:name="_Toc89246963"/>
      <w:bookmarkStart w:id="269" w:name="_Toc89247349"/>
      <w:bookmarkStart w:id="270" w:name="_Toc89266519"/>
      <w:bookmarkStart w:id="271" w:name="_Toc89414653"/>
      <w:r>
        <w:lastRenderedPageBreak/>
        <w:t>Subdivision 2</w:t>
      </w:r>
      <w:r>
        <w:rPr>
          <w:b w:val="0"/>
        </w:rPr>
        <w:t> — </w:t>
      </w:r>
      <w:r>
        <w:t>Termination for non</w:t>
      </w:r>
      <w:r>
        <w:noBreakHyphen/>
        <w:t>payment of rent (no default notice issued)</w:t>
      </w:r>
      <w:bookmarkEnd w:id="268"/>
      <w:bookmarkEnd w:id="269"/>
      <w:bookmarkEnd w:id="270"/>
      <w:bookmarkEnd w:id="27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lastRenderedPageBreak/>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272" w:name="_Toc89246964"/>
      <w:bookmarkStart w:id="273" w:name="_Toc89247350"/>
      <w:bookmarkStart w:id="274" w:name="_Toc89266520"/>
      <w:bookmarkStart w:id="275" w:name="_Toc89414654"/>
      <w:r>
        <w:t>Subdivision 3</w:t>
      </w:r>
      <w:r>
        <w:rPr>
          <w:b w:val="0"/>
        </w:rPr>
        <w:t> — </w:t>
      </w:r>
      <w:r>
        <w:t>Termination for other breach of agreement</w:t>
      </w:r>
      <w:bookmarkEnd w:id="272"/>
      <w:bookmarkEnd w:id="273"/>
      <w:bookmarkEnd w:id="274"/>
      <w:bookmarkEnd w:id="2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lastRenderedPageBreak/>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276" w:name="_Toc89246965"/>
      <w:bookmarkStart w:id="277" w:name="_Toc89247351"/>
      <w:bookmarkStart w:id="278" w:name="_Toc89266521"/>
      <w:bookmarkStart w:id="279" w:name="_Toc89414655"/>
      <w:r>
        <w:t>Subdivision 4</w:t>
      </w:r>
      <w:r>
        <w:rPr>
          <w:b w:val="0"/>
        </w:rPr>
        <w:t> — </w:t>
      </w:r>
      <w:r>
        <w:t>Termination for sale of park</w:t>
      </w:r>
      <w:bookmarkEnd w:id="276"/>
      <w:bookmarkEnd w:id="277"/>
      <w:bookmarkEnd w:id="278"/>
      <w:bookmarkEnd w:id="27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lastRenderedPageBreak/>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280" w:name="_Toc89246966"/>
      <w:bookmarkStart w:id="281" w:name="_Toc89247352"/>
      <w:bookmarkStart w:id="282" w:name="_Toc89266522"/>
      <w:bookmarkStart w:id="283" w:name="_Toc89414656"/>
      <w:r>
        <w:lastRenderedPageBreak/>
        <w:t>Subdivision 5</w:t>
      </w:r>
      <w:r>
        <w:rPr>
          <w:b w:val="0"/>
        </w:rPr>
        <w:t> — </w:t>
      </w:r>
      <w:r>
        <w:t>Termination without grounds</w:t>
      </w:r>
      <w:bookmarkEnd w:id="280"/>
      <w:bookmarkEnd w:id="281"/>
      <w:bookmarkEnd w:id="282"/>
      <w:bookmarkEnd w:id="28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284" w:name="_Toc89246967"/>
      <w:bookmarkStart w:id="285" w:name="_Toc89247353"/>
      <w:bookmarkStart w:id="286" w:name="_Toc89266523"/>
      <w:bookmarkStart w:id="287" w:name="_Toc89414657"/>
      <w:r>
        <w:rPr>
          <w:rStyle w:val="CharSDivNo"/>
        </w:rPr>
        <w:t>Division 2</w:t>
      </w:r>
      <w:r>
        <w:t> — </w:t>
      </w:r>
      <w:r>
        <w:rPr>
          <w:rStyle w:val="CharSDivText"/>
        </w:rPr>
        <w:t>Termination by tenant</w:t>
      </w:r>
      <w:bookmarkEnd w:id="284"/>
      <w:bookmarkEnd w:id="285"/>
      <w:bookmarkEnd w:id="286"/>
      <w:bookmarkEnd w:id="28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288" w:name="_Toc89246968"/>
      <w:bookmarkStart w:id="289" w:name="_Toc89247354"/>
      <w:bookmarkStart w:id="290" w:name="_Toc89266524"/>
      <w:bookmarkStart w:id="291" w:name="_Toc89414658"/>
      <w:r>
        <w:rPr>
          <w:rStyle w:val="CharSDivNo"/>
        </w:rPr>
        <w:t>Division 3</w:t>
      </w:r>
      <w:r>
        <w:t> — </w:t>
      </w:r>
      <w:r>
        <w:rPr>
          <w:rStyle w:val="CharSDivText"/>
        </w:rPr>
        <w:t>Termination by park operator or tenant — agreement frustrated</w:t>
      </w:r>
      <w:bookmarkEnd w:id="288"/>
      <w:bookmarkEnd w:id="289"/>
      <w:bookmarkEnd w:id="290"/>
      <w:bookmarkEnd w:id="29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lastRenderedPageBreak/>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pPr>
      <w:bookmarkStart w:id="292" w:name="_Toc89246969"/>
      <w:bookmarkStart w:id="293" w:name="_Toc89247355"/>
      <w:bookmarkStart w:id="294" w:name="_Toc89266525"/>
      <w:bookmarkStart w:id="295" w:name="_Toc89414659"/>
      <w:r>
        <w:rPr>
          <w:rStyle w:val="CharSDivNo"/>
        </w:rPr>
        <w:t>Division 4</w:t>
      </w:r>
      <w:r>
        <w:t> — </w:t>
      </w:r>
      <w:r>
        <w:rPr>
          <w:rStyle w:val="CharSDivText"/>
        </w:rPr>
        <w:t>Termination by tenant of tenant’s interest in on-site home agreement</w:t>
      </w:r>
      <w:bookmarkEnd w:id="292"/>
      <w:bookmarkEnd w:id="293"/>
      <w:bookmarkEnd w:id="294"/>
      <w:bookmarkEnd w:id="295"/>
    </w:p>
    <w:p>
      <w:pPr>
        <w:pStyle w:val="yFootnoteheading"/>
      </w:pPr>
      <w:r>
        <w:tab/>
        <w:t>[Heading inserted: Gazette 9 Apr 2019 p. 1054.]</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lastRenderedPageBreak/>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Long-stay 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on-site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lastRenderedPageBreak/>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[Division 4 inserted: Gazette 9 Apr 2019 p. 1054</w:t>
      </w:r>
      <w:r>
        <w:noBreakHyphen/>
        <w:t>5.]</w:t>
      </w:r>
    </w:p>
    <w:p>
      <w:pPr>
        <w:pStyle w:val="yScheduleHeading"/>
      </w:pPr>
      <w:bookmarkStart w:id="296" w:name="_Toc89246970"/>
      <w:bookmarkStart w:id="297" w:name="_Toc89247356"/>
      <w:bookmarkStart w:id="298" w:name="_Toc89266526"/>
      <w:bookmarkStart w:id="299" w:name="_Toc89414660"/>
      <w:r>
        <w:rPr>
          <w:rStyle w:val="CharSchNo"/>
        </w:rPr>
        <w:lastRenderedPageBreak/>
        <w:t>Schedule 11</w:t>
      </w:r>
      <w:r>
        <w:rPr>
          <w:rStyle w:val="CharSDivNo"/>
        </w:rPr>
        <w:t> </w:t>
      </w:r>
      <w:r>
        <w:t>—</w:t>
      </w:r>
      <w:r>
        <w:rPr>
          <w:rStyle w:val="CharSDivText"/>
        </w:rPr>
        <w:t> </w:t>
      </w:r>
      <w:r>
        <w:rPr>
          <w:rStyle w:val="CharSchText"/>
        </w:rPr>
        <w:t>Notice to former tenant about abandoned goods</w:t>
      </w:r>
      <w:bookmarkEnd w:id="296"/>
      <w:bookmarkEnd w:id="297"/>
      <w:bookmarkEnd w:id="298"/>
      <w:bookmarkEnd w:id="299"/>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publish a summary of this notice in a newspaper circulating generally throughout Western Australia.</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300" w:name="_Toc89247357"/>
      <w:bookmarkStart w:id="301" w:name="_Toc89266527"/>
      <w:bookmarkStart w:id="302" w:name="_Toc89414661"/>
      <w:bookmarkStart w:id="303" w:name="_Toc89246973"/>
      <w:r>
        <w:lastRenderedPageBreak/>
        <w:t>Notes</w:t>
      </w:r>
      <w:bookmarkEnd w:id="300"/>
      <w:bookmarkEnd w:id="301"/>
      <w:bookmarkEnd w:id="302"/>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4" w:name="_Toc89414662"/>
      <w:r>
        <w:t>Compilation table</w:t>
      </w:r>
      <w:bookmarkEnd w:id="3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Commerce Regulations Amendment (Family Violence) Regulations 2019</w:t>
            </w:r>
            <w:r>
              <w:t xml:space="preserve"> Pt. 3</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3"/>
            <w:tcBorders>
              <w:top w:val="nil"/>
              <w:bottom w:val="single" w:sz="4" w:space="0" w:color="auto"/>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bl>
    <w:p>
      <w:pPr>
        <w:pStyle w:val="nHeading3"/>
      </w:pPr>
      <w:bookmarkStart w:id="305" w:name="_Toc89414663"/>
      <w:r>
        <w:t>Uncommenced provisions table</w:t>
      </w:r>
      <w:bookmarkEnd w:id="30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Residential Parks (Long-stay Tenants) Amendment Regulations 2021</w:t>
            </w:r>
            <w:r>
              <w:t xml:space="preserve"> r. 3</w:t>
            </w:r>
            <w:r>
              <w:noBreakHyphen/>
              <w:t>20</w:t>
            </w:r>
          </w:p>
        </w:tc>
        <w:tc>
          <w:tcPr>
            <w:tcW w:w="1276" w:type="dxa"/>
          </w:tcPr>
          <w:p>
            <w:pPr>
              <w:pStyle w:val="nTable"/>
              <w:spacing w:after="40"/>
            </w:pPr>
            <w:r>
              <w:t>SL 2021/205 3 Dec 2021</w:t>
            </w:r>
          </w:p>
        </w:tc>
        <w:tc>
          <w:tcPr>
            <w:tcW w:w="2693" w:type="dxa"/>
          </w:tcPr>
          <w:p>
            <w:pPr>
              <w:pStyle w:val="nTable"/>
              <w:spacing w:after="40"/>
            </w:pPr>
            <w:r>
              <w:t>31 Jan 2022 (see r. 2(b) and SL 2021/195 cl. 2)</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307" w:name="_Toc89247360"/>
      <w:bookmarkStart w:id="308" w:name="_Toc89266530"/>
      <w:bookmarkStart w:id="309" w:name="_Toc89414664"/>
      <w:r>
        <w:rPr>
          <w:sz w:val="28"/>
        </w:rPr>
        <w:lastRenderedPageBreak/>
        <w:t>Defined terms</w:t>
      </w:r>
      <w:bookmarkEnd w:id="303"/>
      <w:bookmarkEnd w:id="307"/>
      <w:bookmarkEnd w:id="308"/>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2, Sch. 3, Sch. 4</w:t>
      </w:r>
    </w:p>
    <w:p>
      <w:pPr>
        <w:pStyle w:val="DefinedTerms"/>
      </w:pPr>
      <w:r>
        <w:t>agreed premises</w:t>
      </w:r>
      <w:r>
        <w:tab/>
        <w:t>Sch. 1, Sch. 2, Sch. 3, Sch. 4</w:t>
      </w:r>
    </w:p>
    <w:p>
      <w:pPr>
        <w:pStyle w:val="DefinedTerms"/>
      </w:pPr>
      <w:r>
        <w:t>agreement</w:t>
      </w:r>
      <w:r>
        <w:tab/>
        <w:t>3</w:t>
      </w:r>
    </w:p>
    <w:p>
      <w:pPr>
        <w:pStyle w:val="DefinedTerms"/>
      </w:pPr>
      <w:r>
        <w:t>amendment</w:t>
      </w:r>
      <w:r>
        <w:tab/>
        <w:t>21(1)</w:t>
      </w:r>
    </w:p>
    <w:p>
      <w:pPr>
        <w:pStyle w:val="DefinedTerms"/>
      </w:pPr>
      <w:r>
        <w:t>bond holder</w:t>
      </w:r>
      <w:r>
        <w:tab/>
        <w:t>3</w:t>
      </w:r>
    </w:p>
    <w:p>
      <w:pPr>
        <w:pStyle w:val="DefinedTerms"/>
      </w:pPr>
      <w:r>
        <w:t>Division</w:t>
      </w:r>
      <w:r>
        <w:tab/>
        <w:t>Sch. 1, Sch. 2, Sch. 3, Sch. 4</w:t>
      </w:r>
    </w:p>
    <w:p>
      <w:pPr>
        <w:pStyle w:val="DefinedTerms"/>
      </w:pPr>
      <w:r>
        <w:t>DOTAG</w:t>
      </w:r>
      <w:r>
        <w:tab/>
        <w:t>19(1)</w:t>
      </w:r>
    </w:p>
    <w:p>
      <w:pPr>
        <w:pStyle w:val="DefinedTerms"/>
      </w:pPr>
      <w:r>
        <w:t>fixed term on</w:t>
      </w:r>
      <w:r>
        <w:noBreakHyphen/>
        <w:t>site home agreement</w:t>
      </w:r>
      <w:r>
        <w:tab/>
        <w:t>3</w:t>
      </w:r>
    </w:p>
    <w:p>
      <w:pPr>
        <w:pStyle w:val="DefinedTerms"/>
      </w:pPr>
      <w:r>
        <w:t>fixed term site</w:t>
      </w:r>
      <w:r>
        <w:noBreakHyphen/>
        <w:t>only agreement</w:t>
      </w:r>
      <w:r>
        <w:tab/>
        <w:t>3</w:t>
      </w:r>
    </w:p>
    <w:p>
      <w:pPr>
        <w:pStyle w:val="DefinedTerms"/>
      </w:pPr>
      <w:r>
        <w:t>impediment</w:t>
      </w:r>
      <w:r>
        <w:tab/>
        <w:t>Sch. 1, Sch. 2, Sch. 3, Sch. 4</w:t>
      </w:r>
    </w:p>
    <w:p>
      <w:pPr>
        <w:pStyle w:val="DefinedTerms"/>
      </w:pPr>
      <w:r>
        <w:t>on-site home</w:t>
      </w:r>
      <w:r>
        <w:tab/>
        <w:t>Sch. 1, Sch. 2</w:t>
      </w:r>
    </w:p>
    <w:p>
      <w:pPr>
        <w:pStyle w:val="DefinedTerms"/>
      </w:pPr>
      <w:r>
        <w:t>park</w:t>
      </w:r>
      <w:r>
        <w:tab/>
        <w:t>Sch. 1, Sch. 2, Sch. 3, Sch. 4</w:t>
      </w:r>
    </w:p>
    <w:p>
      <w:pPr>
        <w:pStyle w:val="DefinedTerms"/>
      </w:pPr>
      <w:r>
        <w:t>park operator</w:t>
      </w:r>
      <w:r>
        <w:tab/>
        <w:t>Sch. 1, Sch. 2, Sch. 3, Sch. 4</w:t>
      </w:r>
    </w:p>
    <w:p>
      <w:pPr>
        <w:pStyle w:val="DefinedTerms"/>
      </w:pPr>
      <w:r>
        <w:t>periodic on</w:t>
      </w:r>
      <w:r>
        <w:noBreakHyphen/>
        <w:t>site home agreement</w:t>
      </w:r>
      <w:r>
        <w:tab/>
        <w:t>3</w:t>
      </w:r>
    </w:p>
    <w:p>
      <w:pPr>
        <w:pStyle w:val="DefinedTerms"/>
      </w:pPr>
      <w:r>
        <w:t>periodic site</w:t>
      </w:r>
      <w:r>
        <w:noBreakHyphen/>
        <w:t>only agreement</w:t>
      </w:r>
      <w:r>
        <w:tab/>
        <w:t>3</w:t>
      </w:r>
    </w:p>
    <w:p>
      <w:pPr>
        <w:pStyle w:val="DefinedTerms"/>
      </w:pPr>
      <w:r>
        <w:t>prescribed rate</w:t>
      </w:r>
      <w:r>
        <w:tab/>
        <w:t>17(1)</w:t>
      </w:r>
    </w:p>
    <w:p>
      <w:pPr>
        <w:pStyle w:val="DefinedTerms"/>
      </w:pPr>
      <w:r>
        <w:t>regulations</w:t>
      </w:r>
      <w:r>
        <w:tab/>
        <w:t>Sch. 1, Sch. 2, Sch. 3, Sch. 4</w:t>
      </w:r>
    </w:p>
    <w:p>
      <w:pPr>
        <w:pStyle w:val="DefinedTerms"/>
      </w:pPr>
      <w:r>
        <w:t>relevant bank accepted bills rate</w:t>
      </w:r>
      <w:r>
        <w:tab/>
        <w:t>17(1)</w:t>
      </w:r>
    </w:p>
    <w:p>
      <w:pPr>
        <w:pStyle w:val="DefinedTerms"/>
      </w:pPr>
      <w:r>
        <w:t>relocatable home</w:t>
      </w:r>
      <w:r>
        <w:tab/>
        <w:t>Sch. 1, Sch. 2, Sch. 3, Sch. 4</w:t>
      </w:r>
    </w:p>
    <w:p>
      <w:pPr>
        <w:pStyle w:val="DefinedTerms"/>
      </w:pPr>
      <w:r>
        <w:t>residential park</w:t>
      </w:r>
      <w:r>
        <w:tab/>
        <w:t>Sch. 1, Sch. 2, Sch. 3, Sch. 4</w:t>
      </w:r>
    </w:p>
    <w:p>
      <w:pPr>
        <w:pStyle w:val="DefinedTerms"/>
      </w:pPr>
      <w:r>
        <w:t>security bond amount</w:t>
      </w:r>
      <w:r>
        <w:tab/>
        <w:t>3</w:t>
      </w:r>
    </w:p>
    <w:p>
      <w:pPr>
        <w:pStyle w:val="DefinedTerms"/>
      </w:pPr>
      <w:r>
        <w:t>shared premises</w:t>
      </w:r>
      <w:r>
        <w:tab/>
        <w:t>Sch. 1, Sch. 2, Sch. 3, Sch. 4</w:t>
      </w:r>
    </w:p>
    <w:p>
      <w:pPr>
        <w:pStyle w:val="DefinedTerms"/>
      </w:pPr>
      <w:r>
        <w:t>site</w:t>
      </w:r>
      <w:r>
        <w:tab/>
        <w:t>Sch. 1, Sch. 2, Sch. 3, Sch. 4</w:t>
      </w:r>
    </w:p>
    <w:p>
      <w:pPr>
        <w:pStyle w:val="DefinedTerms"/>
      </w:pPr>
      <w:r>
        <w:t>tenant</w:t>
      </w:r>
      <w:r>
        <w:tab/>
        <w:t>3, Sch. 1, Sch. 2, Sch. 3, Sch. 4</w:t>
      </w:r>
    </w:p>
    <w:p>
      <w:pPr>
        <w:pStyle w:val="DefinedTerms"/>
      </w:pPr>
      <w:r>
        <w:t>Unclaimed Security Bond Account</w:t>
      </w:r>
      <w:r>
        <w:tab/>
        <w:t>19(1)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0" w:name="DefinedTerms"/>
    <w:bookmarkEnd w:id="31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1100154"/>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95452-D87B-4629-83FA-98A111CAE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37399</Words>
  <Characters>270773</Characters>
  <Application>Microsoft Office Word</Application>
  <DocSecurity>0</DocSecurity>
  <Lines>7521</Lines>
  <Paragraphs>4164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2007 - 01-b0-01</dc:title>
  <dc:subject/>
  <dc:creator/>
  <cp:keywords/>
  <dc:description/>
  <cp:lastModifiedBy>Master Repository Process</cp:lastModifiedBy>
  <cp:revision>4</cp:revision>
  <cp:lastPrinted>2019-07-22T07:01:00Z</cp:lastPrinted>
  <dcterms:created xsi:type="dcterms:W3CDTF">2021-12-03T01:05:00Z</dcterms:created>
  <dcterms:modified xsi:type="dcterms:W3CDTF">2021-12-03T01:05:00Z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AsAtDate">
    <vt:lpwstr>03 Dec 2021</vt:lpwstr>
  </property>
  <property fmtid="{D5CDD505-2E9C-101B-9397-08002B2CF9AE}" pid="8" name="Suffix">
    <vt:lpwstr>01-b0-01</vt:lpwstr>
  </property>
  <property fmtid="{D5CDD505-2E9C-101B-9397-08002B2CF9AE}" pid="9" name="CommencementDate">
    <vt:lpwstr>20211203</vt:lpwstr>
  </property>
</Properties>
</file>