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_Toc89253458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_Toc89253459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_Toc89253460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_Toc89253461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_Toc89253462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_Toc89253463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_Toc89253464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_Toc89253465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_Toc89253466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_Toc89253467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_Toc89253468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_Toc89253469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_Toc89253470 \h </w:instrText>
      </w:r>
      <w:r>
        <w:fldChar w:fldCharType="separate"/>
      </w:r>
      <w:r>
        <w:t>6</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_Toc89253471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_Toc89253472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_Toc89253473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_Toc89253474 \h </w:instrText>
      </w:r>
      <w:r>
        <w:fldChar w:fldCharType="separate"/>
      </w:r>
      <w:r>
        <w:t>9</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_Toc89253475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_Toc89253476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_Toc89253477 \h </w:instrText>
      </w:r>
      <w:r>
        <w:fldChar w:fldCharType="separate"/>
      </w:r>
      <w:r>
        <w:t>11</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_Toc89253478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_Toc89253479 \h </w:instrText>
      </w:r>
      <w:r>
        <w:fldChar w:fldCharType="separate"/>
      </w:r>
      <w:r>
        <w:t>21</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_Toc89253480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_Toc89253481 \h </w:instrText>
      </w:r>
      <w:r>
        <w:fldChar w:fldCharType="separate"/>
      </w:r>
      <w:r>
        <w:t>23</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_Toc89253482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_Toc89253483 \h </w:instrText>
      </w:r>
      <w:r>
        <w:fldChar w:fldCharType="separate"/>
      </w:r>
      <w:r>
        <w:t>26</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_Toc89253484 \h </w:instrText>
      </w:r>
      <w:r>
        <w:fldChar w:fldCharType="separate"/>
      </w:r>
      <w:r>
        <w:t>27</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_Toc89253485 \h </w:instrText>
      </w:r>
      <w:r>
        <w:fldChar w:fldCharType="separate"/>
      </w:r>
      <w:r>
        <w:t>28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_Toc89253486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_Toc89253487 \h </w:instrText>
      </w:r>
      <w:r>
        <w:fldChar w:fldCharType="separate"/>
      </w:r>
      <w:r>
        <w:t>30</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_Toc89253488 \h </w:instrText>
      </w:r>
      <w:r>
        <w:fldChar w:fldCharType="separate"/>
      </w:r>
      <w:r>
        <w:t>30</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_Toc89253489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_Toc89253490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_Toc89253491 \h </w:instrText>
      </w:r>
      <w:r>
        <w:fldChar w:fldCharType="separate"/>
      </w:r>
      <w:r>
        <w:t>39</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_Toc89253492 \h </w:instrText>
      </w:r>
      <w:r>
        <w:fldChar w:fldCharType="separate"/>
      </w:r>
      <w:r>
        <w:t>39</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_Toc89253493 \h </w:instrText>
      </w:r>
      <w:r>
        <w:fldChar w:fldCharType="separate"/>
      </w:r>
      <w:r>
        <w:t>39</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_Toc89253494 \h </w:instrText>
      </w:r>
      <w:r>
        <w:fldChar w:fldCharType="separate"/>
      </w:r>
      <w:r>
        <w:t>40</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_Toc89253495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_Toc89253496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_Toc89253497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_Toc89253498 \h </w:instrText>
      </w:r>
      <w:r>
        <w:fldChar w:fldCharType="separate"/>
      </w:r>
      <w:r>
        <w:t>41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_Toc89253499 \h </w:instrText>
      </w:r>
      <w:r>
        <w:fldChar w:fldCharType="separate"/>
      </w:r>
      <w:r>
        <w:t>42</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_Toc89253500 \h </w:instrText>
      </w:r>
      <w:r>
        <w:fldChar w:fldCharType="separate"/>
      </w:r>
      <w:r>
        <w:t>42</w:t>
      </w:r>
      <w:r>
        <w:fldChar w:fldCharType="end"/>
      </w:r>
    </w:p>
    <w:p>
      <w:pPr>
        <w:pStyle w:val="TOC8"/>
        <w:rPr>
          <w:rFonts w:asciiTheme="minorHAnsi" w:eastAsiaTheme="minorEastAsia" w:hAnsiTheme="minorHAnsi" w:cstheme="minorBidi"/>
          <w:szCs w:val="22"/>
        </w:rPr>
      </w:pPr>
      <w:r>
        <w:lastRenderedPageBreak/>
        <w:t>11</w:t>
      </w:r>
      <w:r>
        <w:rPr>
          <w:snapToGrid w:val="0"/>
        </w:rPr>
        <w:t>.</w:t>
      </w:r>
      <w:r>
        <w:rPr>
          <w:snapToGrid w:val="0"/>
        </w:rPr>
        <w:tab/>
        <w:t>Plans and specifications, requirements for (Act s. 66(4) and (5))</w:t>
      </w:r>
      <w:r>
        <w:tab/>
      </w:r>
      <w:r>
        <w:fldChar w:fldCharType="begin"/>
      </w:r>
      <w:r>
        <w:instrText xml:space="preserve"> PAGEREF _Toc89253501 \h </w:instrText>
      </w:r>
      <w:r>
        <w:fldChar w:fldCharType="separate"/>
      </w:r>
      <w:r>
        <w:t>43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_Toc89253502 \h </w:instrText>
      </w:r>
      <w:r>
        <w:fldChar w:fldCharType="separate"/>
      </w:r>
      <w:r>
        <w:t>45</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_Toc89253503 \h </w:instrText>
      </w:r>
      <w:r>
        <w:fldChar w:fldCharType="separate"/>
      </w:r>
      <w:r>
        <w:t>46</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_Toc89253504 \h </w:instrText>
      </w:r>
      <w:r>
        <w:fldChar w:fldCharType="separate"/>
      </w:r>
      <w:r>
        <w:t>46</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_Toc89253505 \h </w:instrText>
      </w:r>
      <w:r>
        <w:fldChar w:fldCharType="separate"/>
      </w:r>
      <w:r>
        <w:t>46</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_Toc89253506 \h </w:instrText>
      </w:r>
      <w:r>
        <w:fldChar w:fldCharType="separate"/>
      </w:r>
      <w:r>
        <w:t>47</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_Toc89253507 \h </w:instrText>
      </w:r>
      <w:r>
        <w:fldChar w:fldCharType="separate"/>
      </w:r>
      <w:r>
        <w:t>47</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_Toc89253508 \h </w:instrText>
      </w:r>
      <w:r>
        <w:fldChar w:fldCharType="separate"/>
      </w:r>
      <w:r>
        <w:t>48</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_Toc89253509 \h </w:instrText>
      </w:r>
      <w:r>
        <w:fldChar w:fldCharType="separate"/>
      </w:r>
      <w:r>
        <w:t>48</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_Toc89253510 \h </w:instrText>
      </w:r>
      <w:r>
        <w:fldChar w:fldCharType="separate"/>
      </w:r>
      <w:r>
        <w:t>49</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_Toc89253511 \h </w:instrText>
      </w:r>
      <w:r>
        <w:fldChar w:fldCharType="separate"/>
      </w:r>
      <w:r>
        <w:t>49</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_Toc89253512 \h </w:instrText>
      </w:r>
      <w:r>
        <w:fldChar w:fldCharType="separate"/>
      </w:r>
      <w:r>
        <w:t>50</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_Toc89253513 \h </w:instrText>
      </w:r>
      <w:r>
        <w:fldChar w:fldCharType="separate"/>
      </w:r>
      <w:r>
        <w:t>51</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_Toc89253514 \h </w:instrText>
      </w:r>
      <w:r>
        <w:fldChar w:fldCharType="separate"/>
      </w:r>
      <w:r>
        <w:t>51</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_Toc89253515 \h </w:instrText>
      </w:r>
      <w:r>
        <w:fldChar w:fldCharType="separate"/>
      </w:r>
      <w:r>
        <w:t>52</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_Toc89253516 \h </w:instrText>
      </w:r>
      <w:r>
        <w:fldChar w:fldCharType="separate"/>
      </w:r>
      <w:r>
        <w:t>54</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_Toc89253517 \h </w:instrText>
      </w:r>
      <w:r>
        <w:fldChar w:fldCharType="separate"/>
      </w:r>
      <w:r>
        <w:t>55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_Toc89253518 \h </w:instrText>
      </w:r>
      <w:r>
        <w:fldChar w:fldCharType="separate"/>
      </w:r>
      <w:r>
        <w:t>55</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_Toc89253519 \h </w:instrText>
      </w:r>
      <w:r>
        <w:fldChar w:fldCharType="separate"/>
      </w:r>
      <w:r>
        <w:t>56</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_Toc89253520 \h </w:instrText>
      </w:r>
      <w:r>
        <w:fldChar w:fldCharType="separate"/>
      </w:r>
      <w:r>
        <w:t>58</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_Toc89253521 \h </w:instrText>
      </w:r>
      <w:r>
        <w:fldChar w:fldCharType="separate"/>
      </w:r>
      <w:r>
        <w:t>59</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_Toc89253522 \h </w:instrText>
      </w:r>
      <w:r>
        <w:fldChar w:fldCharType="separate"/>
      </w:r>
      <w:r>
        <w:t>59</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_Toc89253523 \h </w:instrText>
      </w:r>
      <w:r>
        <w:fldChar w:fldCharType="separate"/>
      </w:r>
      <w:r>
        <w:t>60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_Toc89253524 \h </w:instrText>
      </w:r>
      <w:r>
        <w:fldChar w:fldCharType="separate"/>
      </w:r>
      <w:r>
        <w:t>61</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_Toc89253525 \h </w:instrText>
      </w:r>
      <w:r>
        <w:fldChar w:fldCharType="separate"/>
      </w:r>
      <w:r>
        <w:t>61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_Toc89253526 \h </w:instrText>
      </w:r>
      <w:r>
        <w:fldChar w:fldCharType="separate"/>
      </w:r>
      <w:r>
        <w:t>62</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_Toc89253527 \h </w:instrText>
      </w:r>
      <w:r>
        <w:fldChar w:fldCharType="separate"/>
      </w:r>
      <w:r>
        <w:t>63</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_Toc89253528 \h </w:instrText>
      </w:r>
      <w:r>
        <w:fldChar w:fldCharType="separate"/>
      </w:r>
      <w:r>
        <w:t>64</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_Toc89253529 \h </w:instrText>
      </w:r>
      <w:r>
        <w:fldChar w:fldCharType="separate"/>
      </w:r>
      <w:r>
        <w:t>65</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_Toc89253530 \h </w:instrText>
      </w:r>
      <w:r>
        <w:fldChar w:fldCharType="separate"/>
      </w:r>
      <w:r>
        <w:t>65</w:t>
      </w:r>
      <w:r>
        <w:fldChar w:fldCharType="end"/>
      </w:r>
    </w:p>
    <w:p>
      <w:pPr>
        <w:pStyle w:val="TOC8"/>
        <w:rPr>
          <w:rFonts w:asciiTheme="minorHAnsi" w:eastAsiaTheme="minorEastAsia" w:hAnsiTheme="minorHAnsi" w:cstheme="minorBidi"/>
          <w:szCs w:val="22"/>
        </w:rPr>
      </w:pPr>
      <w:r>
        <w:lastRenderedPageBreak/>
        <w:t>18EA.</w:t>
      </w:r>
      <w:r>
        <w:tab/>
        <w:t>Information prescribed for websites (Act s. 113A)</w:t>
      </w:r>
      <w:r>
        <w:tab/>
      </w:r>
      <w:r>
        <w:fldChar w:fldCharType="begin"/>
      </w:r>
      <w:r>
        <w:instrText xml:space="preserve"> PAGEREF _Toc89253531 \h </w:instrText>
      </w:r>
      <w:r>
        <w:fldChar w:fldCharType="separate"/>
      </w:r>
      <w:r>
        <w:t>65</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_Toc89253532 \h </w:instrText>
      </w:r>
      <w:r>
        <w:fldChar w:fldCharType="separate"/>
      </w:r>
      <w:r>
        <w:t>66</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_Toc89253533 \h </w:instrText>
      </w:r>
      <w:r>
        <w:fldChar w:fldCharType="separate"/>
      </w:r>
      <w:r>
        <w:t>67</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_Toc89253534 \h </w:instrText>
      </w:r>
      <w:r>
        <w:fldChar w:fldCharType="separate"/>
      </w:r>
      <w:r>
        <w:t>68</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_Toc89253535 \h </w:instrText>
      </w:r>
      <w:r>
        <w:fldChar w:fldCharType="separate"/>
      </w:r>
      <w:r>
        <w:t>70</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_Toc89253536 \h </w:instrText>
      </w:r>
      <w:r>
        <w:fldChar w:fldCharType="separate"/>
      </w:r>
      <w:r>
        <w:t>70</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_Toc89253537 \h </w:instrText>
      </w:r>
      <w:r>
        <w:fldChar w:fldCharType="separate"/>
      </w:r>
      <w:r>
        <w:t>71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_Toc89253538 \h </w:instrText>
      </w:r>
      <w:r>
        <w:fldChar w:fldCharType="separate"/>
      </w:r>
      <w:r>
        <w:t>71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_Toc89253539 \h </w:instrText>
      </w:r>
      <w:r>
        <w:fldChar w:fldCharType="separate"/>
      </w:r>
      <w:r>
        <w:t>71</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_Toc89253540 \h </w:instrText>
      </w:r>
      <w:r>
        <w:fldChar w:fldCharType="separate"/>
      </w:r>
      <w:r>
        <w:t>72</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_Toc89253541 \h </w:instrText>
      </w:r>
      <w:r>
        <w:fldChar w:fldCharType="separate"/>
      </w:r>
      <w:r>
        <w:t>73</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_Toc89253542 \h </w:instrText>
      </w:r>
      <w:r>
        <w:fldChar w:fldCharType="separate"/>
      </w:r>
      <w:r>
        <w:t>74</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_Toc89253543 \h </w:instrText>
      </w:r>
      <w:r>
        <w:fldChar w:fldCharType="separate"/>
      </w:r>
      <w:r>
        <w:t>74</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_Toc89253544 \h </w:instrText>
      </w:r>
      <w:r>
        <w:fldChar w:fldCharType="separate"/>
      </w:r>
      <w:r>
        <w:t>74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_Toc89253545 \h </w:instrText>
      </w:r>
      <w:r>
        <w:fldChar w:fldCharType="separate"/>
      </w:r>
      <w:r>
        <w:t>74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_Toc89253546 \h </w:instrText>
      </w:r>
      <w:r>
        <w:fldChar w:fldCharType="separate"/>
      </w:r>
      <w:r>
        <w:t>77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_Toc89253547 \h </w:instrText>
      </w:r>
      <w:r>
        <w:fldChar w:fldCharType="separate"/>
      </w:r>
      <w:r>
        <w:t>78</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_Toc89253548 \h </w:instrText>
      </w:r>
      <w:r>
        <w:fldChar w:fldCharType="separate"/>
      </w:r>
      <w:r>
        <w:t>80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_Toc89253549 \h </w:instrText>
      </w:r>
      <w:r>
        <w:fldChar w:fldCharType="separate"/>
      </w:r>
      <w:r>
        <w:t>80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_Toc89253550 \h </w:instrText>
      </w:r>
      <w:r>
        <w:fldChar w:fldCharType="separate"/>
      </w:r>
      <w:r>
        <w:t>80</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_Toc89253551 \h </w:instrText>
      </w:r>
      <w:r>
        <w:fldChar w:fldCharType="separate"/>
      </w:r>
      <w:r>
        <w:t>82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_Toc89253552 \h </w:instrText>
      </w:r>
      <w:r>
        <w:fldChar w:fldCharType="separate"/>
      </w:r>
      <w:r>
        <w:t>82</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w:t>
      </w:r>
    </w:p>
    <w:p>
      <w:pPr>
        <w:pStyle w:val="TOC2"/>
        <w:keepNext w:val="0"/>
        <w:tabs>
          <w:tab w:val="right" w:leader="dot" w:pos="7077"/>
        </w:tabs>
        <w:rPr>
          <w:rFonts w:asciiTheme="minorHAnsi" w:eastAsiaTheme="minorEastAsia" w:hAnsiTheme="minorHAnsi" w:cstheme="minorBidi"/>
          <w:b w:val="0"/>
          <w:sz w:val="22"/>
          <w:szCs w:val="22"/>
        </w:rPr>
      </w:pPr>
      <w:r>
        <w:t>Forms</w:t>
      </w:r>
    </w:p>
    <w:p>
      <w:pPr>
        <w:pStyle w:val="TOC2"/>
        <w:keepNext w:val="0"/>
        <w:tabs>
          <w:tab w:val="right" w:leader="dot" w:pos="7077"/>
        </w:tabs>
        <w:rPr>
          <w:rFonts w:asciiTheme="minorHAnsi" w:eastAsiaTheme="minorEastAsia" w:hAnsiTheme="minorHAnsi" w:cstheme="minorBidi"/>
          <w:b w:val="0"/>
          <w:sz w:val="22"/>
          <w:szCs w:val="22"/>
        </w:rPr>
      </w:pPr>
      <w:r>
        <w:t>Schedule 2</w:t>
      </w:r>
    </w:p>
    <w:p>
      <w:pPr>
        <w:pStyle w:val="TOC2"/>
        <w:keepNext w:val="0"/>
        <w:tabs>
          <w:tab w:val="right" w:leader="dot" w:pos="7077"/>
        </w:tabs>
        <w:rPr>
          <w:rFonts w:asciiTheme="minorHAnsi" w:eastAsiaTheme="minorEastAsia" w:hAnsiTheme="minorHAnsi" w:cstheme="minorBidi"/>
          <w:b w:val="0"/>
          <w:sz w:val="22"/>
          <w:szCs w:val="22"/>
        </w:rPr>
      </w:pPr>
      <w:r>
        <w:t>Details of applicant</w:t>
      </w:r>
    </w:p>
    <w:p>
      <w:pPr>
        <w:pStyle w:val="TOC2"/>
        <w:keepNext w:val="0"/>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_Toc89253559 \h </w:instrText>
      </w:r>
      <w:r>
        <w:fldChar w:fldCharType="separate"/>
      </w:r>
      <w:r>
        <w:t>101</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_Toc89253560 \h </w:instrText>
      </w:r>
      <w:r>
        <w:fldChar w:fldCharType="separate"/>
      </w:r>
      <w:r>
        <w:t>113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_Toc89253561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3" w:name="_Toc8925345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4" w:name="_Toc8925345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89253460"/>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6" w:name="_Toc89253461"/>
      <w:r>
        <w:rPr>
          <w:rStyle w:val="CharSectno"/>
        </w:rPr>
        <w:lastRenderedPageBreak/>
        <w:t>3A</w:t>
      </w:r>
      <w:r>
        <w:rPr>
          <w:snapToGrid w:val="0"/>
        </w:rPr>
        <w:t>.</w:t>
      </w:r>
      <w:r>
        <w:rPr>
          <w:snapToGrid w:val="0"/>
        </w:rPr>
        <w:tab/>
        <w:t>Terms used</w:t>
      </w:r>
      <w:bookmarkEnd w:id="6"/>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in relation to a day of the period to which an application for a permit or licence relates, the maximum number of patrons that the person making the application reasonably expects to be in the place or on the premises 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lastRenderedPageBreak/>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w:t>
      </w:r>
    </w:p>
    <w:p>
      <w:pPr>
        <w:pStyle w:val="Heading5"/>
        <w:keepLines w:val="0"/>
      </w:pPr>
      <w:bookmarkStart w:id="7" w:name="_Toc89253462"/>
      <w:r>
        <w:rPr>
          <w:rStyle w:val="CharSectno"/>
        </w:rPr>
        <w:lastRenderedPageBreak/>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8" w:name="_Toc89253463"/>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9" w:name="_Toc89253464"/>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0" w:name="_Toc89253465"/>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1" w:name="_Toc89253466"/>
      <w:r>
        <w:rPr>
          <w:rStyle w:val="CharSectno"/>
        </w:rPr>
        <w:lastRenderedPageBreak/>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2" w:name="_Toc89253467"/>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3" w:name="_Toc89253468"/>
      <w:r>
        <w:rPr>
          <w:rStyle w:val="CharSectno"/>
        </w:rPr>
        <w:lastRenderedPageBreak/>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4" w:name="_Toc89253469"/>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5" w:name="_Toc89253470"/>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lastRenderedPageBreak/>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6" w:name="_Toc89253471"/>
      <w:r>
        <w:rPr>
          <w:rStyle w:val="CharSectno"/>
        </w:rPr>
        <w:t>4AE</w:t>
      </w:r>
      <w:r>
        <w:t>.</w:t>
      </w:r>
      <w:r>
        <w:rPr>
          <w:rStyle w:val="CharSectno"/>
        </w:rPr>
        <w:tab/>
      </w:r>
      <w:r>
        <w:t>Substance prescribed (liqueur chocolate) (Act s. 3(1) liquor)</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7" w:name="_Toc89253472"/>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lastRenderedPageBreak/>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lastRenderedPageBreak/>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8" w:name="_Toc89253473"/>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9" w:name="_Toc89253474"/>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lastRenderedPageBreak/>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20" w:name="_Toc89253475"/>
      <w:r>
        <w:rPr>
          <w:rStyle w:val="CharSectno"/>
        </w:rPr>
        <w:t>5C</w:t>
      </w:r>
      <w:r>
        <w:t>.</w:t>
      </w:r>
      <w:r>
        <w:tab/>
        <w:t>Types of special facility licence prescribed (Act s. 4(6))</w:t>
      </w:r>
      <w:bookmarkEnd w:id="20"/>
    </w:p>
    <w:p>
      <w:pPr>
        <w:pStyle w:val="Subsection"/>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lastRenderedPageBreak/>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1" w:name="_Toc89253476"/>
      <w:r>
        <w:rPr>
          <w:rStyle w:val="CharSectno"/>
        </w:rPr>
        <w:t>7</w:t>
      </w:r>
      <w:r>
        <w:rPr>
          <w:snapToGrid w:val="0"/>
        </w:rPr>
        <w:t>.</w:t>
      </w:r>
      <w:r>
        <w:rPr>
          <w:snapToGrid w:val="0"/>
        </w:rPr>
        <w:tab/>
        <w:t>Approved courses (Act s. 6(1)(c))</w:t>
      </w:r>
      <w:bookmarkEnd w:id="21"/>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2" w:name="_Toc89253477"/>
      <w:r>
        <w:rPr>
          <w:rStyle w:val="CharSectno"/>
        </w:rPr>
        <w:t>8</w:t>
      </w:r>
      <w:r>
        <w:rPr>
          <w:snapToGrid w:val="0"/>
        </w:rPr>
        <w:t>.</w:t>
      </w:r>
      <w:r>
        <w:rPr>
          <w:snapToGrid w:val="0"/>
        </w:rPr>
        <w:tab/>
        <w:t>Exemption from Act, certain sales etc.</w:t>
      </w:r>
      <w:bookmarkEnd w:id="22"/>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lastRenderedPageBreak/>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lastRenderedPageBreak/>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lastRenderedPageBreak/>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lastRenderedPageBreak/>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pPr>
      <w:bookmarkStart w:id="23" w:name="_Toc89253478"/>
      <w:r>
        <w:rPr>
          <w:rStyle w:val="CharSectno"/>
        </w:rPr>
        <w:lastRenderedPageBreak/>
        <w:t>8A</w:t>
      </w:r>
      <w:r>
        <w:t>.</w:t>
      </w:r>
      <w:r>
        <w:tab/>
        <w:t>Exemption from Act, consumption at live entertainment venues</w:t>
      </w:r>
      <w:bookmarkEnd w:id="23"/>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lastRenderedPageBreak/>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 xml:space="preserve">a refusal of an application under section 87 for the grant of a protection order, if the ground, or one of the grounds, for the refusal of the application was that the </w:t>
      </w:r>
      <w:r>
        <w:lastRenderedPageBreak/>
        <w:t>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w:t>
      </w:r>
      <w:r>
        <w:lastRenderedPageBreak/>
        <w:t xml:space="preserve">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lastRenderedPageBreak/>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lastRenderedPageBreak/>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4" w:name="_Toc89253479"/>
      <w:r>
        <w:rPr>
          <w:rStyle w:val="CharSectno"/>
        </w:rPr>
        <w:t>8B</w:t>
      </w:r>
      <w:r>
        <w:t>.</w:t>
      </w:r>
      <w:r>
        <w:tab/>
        <w:t>Exemption from Act, sales etc. at certain functions</w:t>
      </w:r>
      <w:bookmarkEnd w:id="2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lastRenderedPageBreak/>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5" w:name="_Toc89253480"/>
      <w:r>
        <w:rPr>
          <w:rStyle w:val="CharSectno"/>
        </w:rPr>
        <w:lastRenderedPageBreak/>
        <w:t>8C</w:t>
      </w:r>
      <w:r>
        <w:t>.</w:t>
      </w:r>
      <w:r>
        <w:tab/>
        <w:t>Exemption from Act, complimentary supply by business</w:t>
      </w:r>
      <w:bookmarkEnd w:id="2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6" w:name="_Toc89253481"/>
      <w:r>
        <w:rPr>
          <w:rStyle w:val="CharSectno"/>
        </w:rPr>
        <w:t>8CA</w:t>
      </w:r>
      <w:r>
        <w:t>.</w:t>
      </w:r>
      <w:r>
        <w:tab/>
        <w:t>Exemption for complimentary supply by tourism businesses</w:t>
      </w:r>
      <w:bookmarkEnd w:id="26"/>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lastRenderedPageBreak/>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lastRenderedPageBreak/>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w:t>
      </w:r>
    </w:p>
    <w:p>
      <w:pPr>
        <w:pStyle w:val="Heading5"/>
        <w:spacing w:before="180"/>
      </w:pPr>
      <w:bookmarkStart w:id="27" w:name="_Toc89253482"/>
      <w:r>
        <w:rPr>
          <w:rStyle w:val="CharSectno"/>
        </w:rPr>
        <w:t>8D</w:t>
      </w:r>
      <w:r>
        <w:t>.</w:t>
      </w:r>
      <w:r>
        <w:tab/>
        <w:t>Exemption from Act, sales etc. at farmers’ markets</w:t>
      </w:r>
      <w:bookmarkEnd w:id="27"/>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lastRenderedPageBreak/>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8" w:name="_Toc89253483"/>
      <w:r>
        <w:rPr>
          <w:rStyle w:val="CharSectno"/>
        </w:rPr>
        <w:t>8E</w:t>
      </w:r>
      <w:r>
        <w:t>.</w:t>
      </w:r>
      <w:r>
        <w:tab/>
        <w:t>Exemption from Act, sales etc. at functions on licensed premises</w:t>
      </w:r>
      <w:bookmarkEnd w:id="28"/>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lastRenderedPageBreak/>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9" w:name="_Toc89253484"/>
      <w:r>
        <w:rPr>
          <w:rStyle w:val="CharSectno"/>
        </w:rPr>
        <w:t>8F</w:t>
      </w:r>
      <w:r>
        <w:t>.</w:t>
      </w:r>
      <w:r>
        <w:tab/>
        <w:t>Exemption from Act for consumption in on</w:t>
      </w:r>
      <w:r>
        <w:noBreakHyphen/>
        <w:t>demand charter vehicle (Act s. 6(1)(o))</w:t>
      </w:r>
      <w:bookmarkEnd w:id="29"/>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lastRenderedPageBreak/>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30" w:name="_Toc89253485"/>
      <w:r>
        <w:rPr>
          <w:rStyle w:val="CharSectno"/>
        </w:rPr>
        <w:t>8G</w:t>
      </w:r>
      <w:r>
        <w:t>.</w:t>
      </w:r>
      <w:r>
        <w:tab/>
        <w:t>Exemption from Act in relation to liquor competition (Act s. 6(1)(o))</w:t>
      </w:r>
      <w:bookmarkEnd w:id="30"/>
    </w:p>
    <w:p>
      <w:pPr>
        <w:pStyle w:val="Subsection"/>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lastRenderedPageBreak/>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lastRenderedPageBreak/>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1" w:name="_Toc89253486"/>
      <w:r>
        <w:rPr>
          <w:rStyle w:val="CharSectno"/>
        </w:rPr>
        <w:t>9</w:t>
      </w:r>
      <w:r>
        <w:rPr>
          <w:snapToGrid w:val="0"/>
        </w:rPr>
        <w:t>.</w:t>
      </w:r>
      <w:r>
        <w:rPr>
          <w:snapToGrid w:val="0"/>
        </w:rPr>
        <w:tab/>
        <w:t>Persons who may take and administer oaths and affirmations (Act s. 18(3)(c))</w:t>
      </w:r>
      <w:bookmarkEnd w:id="31"/>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2" w:name="_Toc89253487"/>
      <w:r>
        <w:rPr>
          <w:rStyle w:val="CharSectno"/>
        </w:rPr>
        <w:t>9AA</w:t>
      </w:r>
      <w:r>
        <w:t>.</w:t>
      </w:r>
      <w:r>
        <w:tab/>
        <w:t xml:space="preserve">Distance prescribed </w:t>
      </w:r>
      <w:r>
        <w:rPr>
          <w:snapToGrid w:val="0"/>
        </w:rPr>
        <w:t>(Act s.</w:t>
      </w:r>
      <w:r>
        <w:t> 36A(2)(b))</w:t>
      </w:r>
      <w:bookmarkEnd w:id="32"/>
    </w:p>
    <w:p>
      <w:pPr>
        <w:pStyle w:val="Subsection"/>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3" w:name="_Toc89253488"/>
      <w:r>
        <w:rPr>
          <w:rStyle w:val="CharSectno"/>
        </w:rPr>
        <w:t>9AAA</w:t>
      </w:r>
      <w:r>
        <w:t>.</w:t>
      </w:r>
      <w:r>
        <w:tab/>
        <w:t>Area prescribed (Act s. 36B)</w:t>
      </w:r>
      <w:bookmarkEnd w:id="33"/>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4" w:name="_Toc89253489"/>
      <w:r>
        <w:rPr>
          <w:rStyle w:val="CharSectno"/>
        </w:rPr>
        <w:lastRenderedPageBreak/>
        <w:t>9AAB</w:t>
      </w:r>
      <w:r>
        <w:t>.</w:t>
      </w:r>
      <w:r>
        <w:tab/>
        <w:t>Distance prescribed (Act s. 36B)</w:t>
      </w:r>
      <w:bookmarkEnd w:id="3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5" w:name="_Toc89253490"/>
      <w:r>
        <w:rPr>
          <w:rStyle w:val="CharSectno"/>
        </w:rPr>
        <w:t>9A</w:t>
      </w:r>
      <w:r>
        <w:t>.</w:t>
      </w:r>
      <w:r>
        <w:tab/>
      </w:r>
      <w:r>
        <w:rPr>
          <w:snapToGrid w:val="0"/>
        </w:rPr>
        <w:t>Special facility licence, purposes for which may be granted</w:t>
      </w:r>
      <w:bookmarkEnd w:id="35"/>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lastRenderedPageBreak/>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lastRenderedPageBreak/>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lastRenderedPageBreak/>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lastRenderedPageBreak/>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lastRenderedPageBreak/>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lastRenderedPageBreak/>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lastRenderedPageBreak/>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lastRenderedPageBreak/>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6" w:name="_Toc89253491"/>
      <w:r>
        <w:rPr>
          <w:rStyle w:val="CharSectno"/>
        </w:rPr>
        <w:t>9AB</w:t>
      </w:r>
      <w:r>
        <w:t>.</w:t>
      </w:r>
      <w:r>
        <w:tab/>
        <w:t xml:space="preserve">Kind of extended trading permit prescribed </w:t>
      </w:r>
      <w:r>
        <w:rPr>
          <w:snapToGrid w:val="0"/>
        </w:rPr>
        <w:t>(Act s.</w:t>
      </w:r>
      <w:r>
        <w:t> 25(5a))</w:t>
      </w:r>
      <w:bookmarkEnd w:id="3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7" w:name="_Toc89253492"/>
      <w:r>
        <w:rPr>
          <w:rStyle w:val="CharSectno"/>
        </w:rPr>
        <w:t>9B</w:t>
      </w:r>
      <w:r>
        <w:rPr>
          <w:snapToGrid w:val="0"/>
        </w:rPr>
        <w:t>.</w:t>
      </w:r>
      <w:r>
        <w:rPr>
          <w:snapToGrid w:val="0"/>
        </w:rPr>
        <w:tab/>
        <w:t>Special facility licence, effect of as to sale of packaged liquor</w:t>
      </w:r>
      <w:bookmarkEnd w:id="3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8" w:name="_Toc89253493"/>
      <w:r>
        <w:rPr>
          <w:rStyle w:val="CharSectno"/>
        </w:rPr>
        <w:t>9C</w:t>
      </w:r>
      <w:r>
        <w:t>.</w:t>
      </w:r>
      <w:r>
        <w:tab/>
        <w:t>Types of special facility licence prescribed (Act s. 46(6))</w:t>
      </w:r>
      <w:bookmarkEnd w:id="38"/>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lastRenderedPageBreak/>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Gazette 8 Dec 2017 p. 5850.]</w:t>
      </w:r>
    </w:p>
    <w:p>
      <w:pPr>
        <w:pStyle w:val="Heading5"/>
      </w:pPr>
      <w:bookmarkStart w:id="39" w:name="_Toc89253494"/>
      <w:r>
        <w:rPr>
          <w:rStyle w:val="CharSectno"/>
        </w:rPr>
        <w:t>9D</w:t>
      </w:r>
      <w:r>
        <w:t>.</w:t>
      </w:r>
      <w:r>
        <w:tab/>
      </w:r>
      <w:r>
        <w:rPr>
          <w:snapToGrid w:val="0"/>
        </w:rPr>
        <w:t>Act s.</w:t>
      </w:r>
      <w:r>
        <w:t> 33(6b) modified as to occasional licences</w:t>
      </w:r>
      <w:bookmarkEnd w:id="39"/>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40" w:name="_Toc89253495"/>
      <w:r>
        <w:rPr>
          <w:rStyle w:val="CharSectno"/>
        </w:rPr>
        <w:lastRenderedPageBreak/>
        <w:t>9E</w:t>
      </w:r>
      <w:r>
        <w:t>.</w:t>
      </w:r>
      <w:r>
        <w:tab/>
        <w:t>Period prescribed (Act s. 33(6D)(b))</w:t>
      </w:r>
      <w:bookmarkEnd w:id="40"/>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1" w:name="_Toc89253496"/>
      <w:r>
        <w:rPr>
          <w:rStyle w:val="CharSectno"/>
        </w:rPr>
        <w:t>9EA</w:t>
      </w:r>
      <w:r>
        <w:t>.</w:t>
      </w:r>
      <w:r>
        <w:tab/>
        <w:t>Kinds of licence prescribed (Act s. 38(1)(a))</w:t>
      </w:r>
      <w:bookmarkEnd w:id="41"/>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pPr>
      <w:r>
        <w:tab/>
        <w:t>(c)</w:t>
      </w:r>
      <w:r>
        <w:tab/>
        <w:t>a casino liquor licence;</w:t>
      </w:r>
    </w:p>
    <w:p>
      <w:pPr>
        <w:pStyle w:val="Indenta"/>
      </w:pPr>
      <w:r>
        <w:tab/>
        <w:t>(d)</w:t>
      </w:r>
      <w:r>
        <w:tab/>
        <w:t>a liquor store licence.</w:t>
      </w:r>
    </w:p>
    <w:p>
      <w:pPr>
        <w:pStyle w:val="Footnotesection"/>
        <w:keepNext/>
        <w:ind w:left="890" w:hanging="890"/>
      </w:pPr>
      <w:r>
        <w:tab/>
        <w:t>[Regulation 9EA inserted: Gazette 2 Oct 2018 p. 3800.]</w:t>
      </w:r>
    </w:p>
    <w:p>
      <w:pPr>
        <w:pStyle w:val="Heading5"/>
      </w:pPr>
      <w:bookmarkStart w:id="42" w:name="_Toc89253497"/>
      <w:r>
        <w:rPr>
          <w:rStyle w:val="CharSectno"/>
        </w:rPr>
        <w:t>9F</w:t>
      </w:r>
      <w:r>
        <w:t>.</w:t>
      </w:r>
      <w:r>
        <w:tab/>
        <w:t>Kinds of permit prescribed (Act s. 38(1)(b))</w:t>
      </w:r>
      <w:bookmarkEnd w:id="42"/>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3" w:name="_Toc89253498"/>
      <w:r>
        <w:rPr>
          <w:rStyle w:val="CharSectno"/>
        </w:rPr>
        <w:t>10</w:t>
      </w:r>
      <w:r>
        <w:rPr>
          <w:snapToGrid w:val="0"/>
        </w:rPr>
        <w:t>.</w:t>
      </w:r>
      <w:r>
        <w:rPr>
          <w:snapToGrid w:val="0"/>
        </w:rPr>
        <w:tab/>
        <w:t>Requirements prescribed (Act s. </w:t>
      </w:r>
      <w:r>
        <w:t>57(2)(d)</w:t>
      </w:r>
      <w:r>
        <w:rPr>
          <w:snapToGrid w:val="0"/>
        </w:rPr>
        <w:t>)</w:t>
      </w:r>
      <w:bookmarkEnd w:id="4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 xml:space="preserve">which </w:t>
      </w:r>
      <w:r>
        <w:rPr>
          <w:snapToGrid w:val="0"/>
        </w:rPr>
        <w:lastRenderedPageBreak/>
        <w:t>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4" w:name="_Toc89253499"/>
      <w:r>
        <w:rPr>
          <w:rStyle w:val="CharSectno"/>
        </w:rPr>
        <w:t>10A</w:t>
      </w:r>
      <w:r>
        <w:rPr>
          <w:snapToGrid w:val="0"/>
        </w:rPr>
        <w:t>.</w:t>
      </w:r>
      <w:r>
        <w:rPr>
          <w:snapToGrid w:val="0"/>
        </w:rPr>
        <w:tab/>
        <w:t>Condition prescribed (Act s. 55(2))</w:t>
      </w:r>
      <w:bookmarkEnd w:id="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5" w:name="_Toc89253500"/>
      <w:r>
        <w:rPr>
          <w:rStyle w:val="CharSectno"/>
        </w:rPr>
        <w:t>10B</w:t>
      </w:r>
      <w:r>
        <w:t>.</w:t>
      </w:r>
      <w:r>
        <w:tab/>
        <w:t>Days for making application prescribed (Act s. 64(1BA))</w:t>
      </w:r>
      <w:bookmarkEnd w:id="45"/>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lastRenderedPageBreak/>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rPr>
          <w:snapToGrid w:val="0"/>
        </w:rPr>
      </w:pPr>
      <w:bookmarkStart w:id="46" w:name="_Toc89253501"/>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lastRenderedPageBreak/>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lastRenderedPageBreak/>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89253502"/>
      <w:r>
        <w:rPr>
          <w:rStyle w:val="CharSectno"/>
        </w:rPr>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 xml:space="preserve">The records required to accompany a notice of application for the grant or transfer of a licence, other than an occasional licence, under section 68(1)(b) shall be in the form of a written statement and shall contain, in respect of each applicant, the </w:t>
      </w:r>
      <w:r>
        <w:rPr>
          <w:snapToGrid w:val="0"/>
        </w:rPr>
        <w:lastRenderedPageBreak/>
        <w:t>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89253503"/>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89253504"/>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89253505"/>
      <w:r>
        <w:rPr>
          <w:rStyle w:val="CharSectno"/>
        </w:rPr>
        <w:t>14AAA</w:t>
      </w:r>
      <w:r>
        <w:t>.</w:t>
      </w:r>
      <w:r>
        <w:tab/>
        <w:t>Distance prescribed (Act s. 77A)</w:t>
      </w:r>
      <w:bookmarkEnd w:id="50"/>
    </w:p>
    <w:p>
      <w:pPr>
        <w:pStyle w:val="Subsection"/>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lastRenderedPageBreak/>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89253506"/>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89253507"/>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lastRenderedPageBreak/>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89253508"/>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89253509"/>
      <w:r>
        <w:rPr>
          <w:rStyle w:val="CharSectno"/>
        </w:rPr>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lastRenderedPageBreak/>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89253510"/>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89253511"/>
      <w:r>
        <w:rPr>
          <w:rStyle w:val="CharSectno"/>
        </w:rPr>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lastRenderedPageBreak/>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89253512"/>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lastRenderedPageBreak/>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89253513"/>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89253514"/>
      <w:r>
        <w:rPr>
          <w:rStyle w:val="CharSectno"/>
        </w:rPr>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lastRenderedPageBreak/>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89253515"/>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 xml:space="preserve">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w:t>
      </w:r>
      <w:r>
        <w:lastRenderedPageBreak/>
        <w:t>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89253516"/>
      <w:r>
        <w:rPr>
          <w:rStyle w:val="CharSectno"/>
        </w:rPr>
        <w:lastRenderedPageBreak/>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lastRenderedPageBreak/>
        <w:t>[</w:t>
      </w:r>
      <w:r>
        <w:rPr>
          <w:b/>
        </w:rPr>
        <w:t>14AF.</w:t>
      </w:r>
      <w:r>
        <w:tab/>
        <w:t>Deleted: Gazette 10 Jan 2017 p. 145.]</w:t>
      </w:r>
    </w:p>
    <w:p>
      <w:pPr>
        <w:pStyle w:val="Heading5"/>
        <w:spacing w:before="210"/>
      </w:pPr>
      <w:bookmarkStart w:id="62" w:name="_Toc89253517"/>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89253518"/>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89253519"/>
      <w:r>
        <w:rPr>
          <w:rStyle w:val="CharSectno"/>
        </w:rPr>
        <w:lastRenderedPageBreak/>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Derby, Fitzroy Crossing, Halls Creek, Kununurra and Wyndham; and</w:t>
      </w:r>
    </w:p>
    <w:p>
      <w:pPr>
        <w:pStyle w:val="Indenta"/>
      </w:pPr>
      <w:r>
        <w:tab/>
        <w:t>(b)</w:t>
      </w:r>
      <w:r>
        <w:tab/>
        <w:t xml:space="preserve">the area within 5 km of an area of the State that is — </w:t>
      </w:r>
    </w:p>
    <w:p>
      <w:pPr>
        <w:pStyle w:val="Indenti"/>
      </w:pPr>
      <w:r>
        <w:tab/>
        <w:t>(i)</w:t>
      </w:r>
      <w:r>
        <w:tab/>
        <w:t>within the local government district of Broome, Derby</w:t>
      </w:r>
      <w:r>
        <w:noBreakHyphen/>
        <w:t>West Kimberly, Halls Creek or Wyndham</w:t>
      </w:r>
      <w:r>
        <w:noBreakHyphen/>
        <w:t>East Kimberly; and</w:t>
      </w:r>
    </w:p>
    <w:p>
      <w:pPr>
        <w:pStyle w:val="Indenti"/>
      </w:pPr>
      <w:r>
        <w:tab/>
        <w:t>(ii)</w:t>
      </w:r>
      <w:r>
        <w:tab/>
        <w:t>declared to be a restricted area for the purposes of section 175(1a) of the Act.</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lastRenderedPageBreak/>
        <w:tab/>
        <w:t>[Regulation 16AA inserted: SL 2021/163 r. 4.]</w:t>
      </w:r>
    </w:p>
    <w:p>
      <w:pPr>
        <w:pStyle w:val="Heading5"/>
      </w:pPr>
      <w:bookmarkStart w:id="65" w:name="_Toc89253520"/>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Derby</w:t>
      </w:r>
      <w:r>
        <w:noBreakHyphen/>
        <w:t>West Kimberly, Halls Creek or Wyndham</w:t>
      </w:r>
      <w:r>
        <w:noBreakHyphen/>
        <w:t>East Kimberly;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lastRenderedPageBreak/>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w:t>
      </w:r>
    </w:p>
    <w:p>
      <w:pPr>
        <w:pStyle w:val="Heading5"/>
      </w:pPr>
      <w:bookmarkStart w:id="66" w:name="_Toc89253521"/>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pPr>
      <w:r>
        <w:tab/>
        <w:t>(c)</w:t>
      </w:r>
      <w:r>
        <w:tab/>
        <w:t>a vehicle being driven by a police officer in the course of duty.</w:t>
      </w:r>
    </w:p>
    <w:p>
      <w:pPr>
        <w:pStyle w:val="Footnotesection"/>
      </w:pPr>
      <w:r>
        <w:tab/>
        <w:t>[Regulation 16AC inserted: SL 2021/163 r. 4.]</w:t>
      </w:r>
    </w:p>
    <w:p>
      <w:pPr>
        <w:pStyle w:val="Heading5"/>
      </w:pPr>
      <w:bookmarkStart w:id="67" w:name="_Toc89253522"/>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lastRenderedPageBreak/>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89253523"/>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89253524"/>
      <w:r>
        <w:rPr>
          <w:rStyle w:val="CharSectno"/>
        </w:rPr>
        <w:lastRenderedPageBreak/>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89253525"/>
      <w:r>
        <w:rPr>
          <w:rStyle w:val="CharSectno"/>
        </w:rPr>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 xml:space="preserve">premises consisting of a vehicle in which the consumption of liquor by a person who is at least </w:t>
      </w:r>
      <w:r>
        <w:lastRenderedPageBreak/>
        <w:t>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89253526"/>
      <w:r>
        <w:rPr>
          <w:rStyle w:val="CharSectno"/>
        </w:rPr>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lastRenderedPageBreak/>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89253527"/>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 xml:space="preserve">an example of the applicant’s signature in a medium </w:t>
      </w:r>
      <w:r>
        <w:rPr>
          <w:snapToGrid w:val="0"/>
        </w:rPr>
        <w:lastRenderedPageBreak/>
        <w:t>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89253528"/>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lastRenderedPageBreak/>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Next w:val="0"/>
        <w:keepLines w:val="0"/>
        <w:spacing w:before="280"/>
        <w:rPr>
          <w:snapToGrid w:val="0"/>
        </w:rPr>
      </w:pPr>
      <w:bookmarkStart w:id="74" w:name="_Toc89253529"/>
      <w:r>
        <w:rPr>
          <w:rStyle w:val="CharSectno"/>
        </w:rPr>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89253530"/>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89253531"/>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lastRenderedPageBreak/>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89253532"/>
      <w:r>
        <w:rPr>
          <w:rStyle w:val="CharSectno"/>
        </w:rPr>
        <w:t>18EBA</w:t>
      </w:r>
      <w:r>
        <w:t>.</w:t>
      </w:r>
      <w:r>
        <w:tab/>
        <w:t xml:space="preserve">Persons prescribed (Act s. 115AC(1A)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w:t>
      </w:r>
    </w:p>
    <w:p>
      <w:pPr>
        <w:pStyle w:val="Heading5"/>
      </w:pPr>
      <w:bookmarkStart w:id="78" w:name="_Toc89253533"/>
      <w:r>
        <w:rPr>
          <w:rStyle w:val="CharSectno"/>
        </w:rPr>
        <w:lastRenderedPageBreak/>
        <w:t>18EB</w:t>
      </w:r>
      <w:r>
        <w:t>.</w:t>
      </w:r>
      <w:r>
        <w:tab/>
        <w:t>Incidents and information prescribed for register (Act s. 116A)</w:t>
      </w:r>
      <w:bookmarkEnd w:id="78"/>
    </w:p>
    <w:p>
      <w:pPr>
        <w:pStyle w:val="Subsection"/>
        <w:keepNext/>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lastRenderedPageBreak/>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w:t>
      </w:r>
    </w:p>
    <w:p>
      <w:pPr>
        <w:pStyle w:val="Heading5"/>
      </w:pPr>
      <w:bookmarkStart w:id="79" w:name="_Toc89253534"/>
      <w:r>
        <w:rPr>
          <w:rStyle w:val="CharSectno"/>
        </w:rPr>
        <w:t>18EC</w:t>
      </w:r>
      <w:r>
        <w:t>.</w:t>
      </w:r>
      <w:r>
        <w:tab/>
        <w:t>Prescribed incidents involving physical force</w:t>
      </w:r>
      <w:bookmarkEnd w:id="79"/>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lastRenderedPageBreak/>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lastRenderedPageBreak/>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0" w:name="_Toc89253535"/>
      <w:r>
        <w:rPr>
          <w:rStyle w:val="CharSectno"/>
        </w:rPr>
        <w:t>18F</w:t>
      </w:r>
      <w:r>
        <w:t>.</w:t>
      </w:r>
      <w:r>
        <w:tab/>
        <w:t>Training courses prescribed (Act s. 121(11)(d))</w:t>
      </w:r>
      <w:bookmarkEnd w:id="8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Next w:val="0"/>
        <w:keepLines w:val="0"/>
      </w:pPr>
      <w:bookmarkStart w:id="81" w:name="_Toc89253536"/>
      <w:r>
        <w:rPr>
          <w:rStyle w:val="CharSectno"/>
        </w:rPr>
        <w:t>18G</w:t>
      </w:r>
      <w:r>
        <w:t>.</w:t>
      </w:r>
      <w:r>
        <w:tab/>
        <w:t>Confiscated document, how to be dealt with (Act s. 126(2b))</w:t>
      </w:r>
      <w:bookmarkEnd w:id="81"/>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2" w:name="_Toc89253537"/>
      <w:r>
        <w:rPr>
          <w:rStyle w:val="CharSectno"/>
        </w:rPr>
        <w:lastRenderedPageBreak/>
        <w:t>18H</w:t>
      </w:r>
      <w:r>
        <w:t>.</w:t>
      </w:r>
      <w:r>
        <w:tab/>
        <w:t>Provisions prescribed (Act s. 126E(4))</w:t>
      </w:r>
      <w:bookmarkEnd w:id="82"/>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3" w:name="_Toc89253538"/>
      <w:r>
        <w:rPr>
          <w:rStyle w:val="CharSectno"/>
        </w:rPr>
        <w:t>19</w:t>
      </w:r>
      <w:r>
        <w:rPr>
          <w:snapToGrid w:val="0"/>
        </w:rPr>
        <w:t>.</w:t>
      </w:r>
      <w:r>
        <w:rPr>
          <w:snapToGrid w:val="0"/>
        </w:rPr>
        <w:tab/>
        <w:t>Subsidy, application for</w:t>
      </w:r>
      <w:bookmarkEnd w:id="83"/>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Next w:val="0"/>
        <w:keepLines w:val="0"/>
        <w:rPr>
          <w:snapToGrid w:val="0"/>
        </w:rPr>
      </w:pPr>
      <w:bookmarkStart w:id="84" w:name="_Toc8925353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84"/>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5" w:name="_Toc89253540"/>
      <w:r>
        <w:rPr>
          <w:rStyle w:val="CharSectno"/>
        </w:rPr>
        <w:lastRenderedPageBreak/>
        <w:t>21</w:t>
      </w:r>
      <w:r>
        <w:t>.</w:t>
      </w:r>
      <w:r>
        <w:tab/>
        <w:t>Wholesaler, subsidy for (Act s. 130)</w:t>
      </w:r>
      <w:bookmarkEnd w:id="85"/>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6" w:name="_Toc89253541"/>
      <w:r>
        <w:rPr>
          <w:rStyle w:val="CharSectno"/>
        </w:rPr>
        <w:lastRenderedPageBreak/>
        <w:t>21A</w:t>
      </w:r>
      <w:r>
        <w:t>.</w:t>
      </w:r>
      <w:r>
        <w:tab/>
        <w:t>Wine producer, subsidy for (Act s. 130)</w:t>
      </w:r>
      <w:bookmarkEnd w:id="86"/>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8pt;height:15.35pt" o:ole="">
            <v:imagedata r:id="rId21" o:title=""/>
          </v:shape>
          <o:OLEObject Type="Embed" ProgID="Equation.3" ShapeID="_x0000_i1025" DrawAspect="Content" ObjectID="_1700027259"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pPr>
      <w:r>
        <w:tab/>
        <w:t>(3)</w:t>
      </w:r>
      <w:r>
        <w:tab/>
        <w:t>In subregulation (2) —</w:t>
      </w:r>
    </w:p>
    <w:p>
      <w:pPr>
        <w:pStyle w:val="Defstar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lastRenderedPageBreak/>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7" w:name="_Toc89253542"/>
      <w:r>
        <w:rPr>
          <w:rStyle w:val="CharSectno"/>
        </w:rPr>
        <w:t>21AC</w:t>
      </w:r>
      <w:r>
        <w:rPr>
          <w:snapToGrid w:val="0"/>
        </w:rPr>
        <w:t>.</w:t>
      </w:r>
      <w:r>
        <w:rPr>
          <w:snapToGrid w:val="0"/>
        </w:rPr>
        <w:tab/>
        <w:t>Subsidy payable once in respect of sale of liquor</w:t>
      </w:r>
      <w:bookmarkEnd w:id="87"/>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8" w:name="_Toc89253543"/>
      <w:r>
        <w:rPr>
          <w:rStyle w:val="CharSectno"/>
        </w:rPr>
        <w:t>21B</w:t>
      </w:r>
      <w:r>
        <w:rPr>
          <w:snapToGrid w:val="0"/>
        </w:rPr>
        <w:t>.</w:t>
      </w:r>
      <w:r>
        <w:rPr>
          <w:snapToGrid w:val="0"/>
        </w:rPr>
        <w:tab/>
        <w:t xml:space="preserve">Subsidy, conditions imposed by Director as to </w:t>
      </w:r>
      <w:r>
        <w:t>(Act s. 130(2))</w:t>
      </w:r>
      <w:bookmarkEnd w:id="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89" w:name="_Toc89253544"/>
      <w:r>
        <w:rPr>
          <w:rStyle w:val="CharSectno"/>
        </w:rPr>
        <w:t>21C</w:t>
      </w:r>
      <w:r>
        <w:rPr>
          <w:snapToGrid w:val="0"/>
        </w:rPr>
        <w:t>.</w:t>
      </w:r>
      <w:r>
        <w:rPr>
          <w:snapToGrid w:val="0"/>
        </w:rPr>
        <w:tab/>
        <w:t>Licensees prescribed </w:t>
      </w:r>
      <w:r>
        <w:t>(Act s. </w:t>
      </w:r>
      <w:r>
        <w:rPr>
          <w:snapToGrid w:val="0"/>
        </w:rPr>
        <w:t>145(1))</w:t>
      </w:r>
      <w:bookmarkEnd w:id="89"/>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0" w:name="_Toc89253545"/>
      <w:r>
        <w:rPr>
          <w:rStyle w:val="CharSectno"/>
        </w:rPr>
        <w:t>22</w:t>
      </w:r>
      <w:r>
        <w:rPr>
          <w:snapToGrid w:val="0"/>
        </w:rPr>
        <w:t>.</w:t>
      </w:r>
      <w:r>
        <w:rPr>
          <w:snapToGrid w:val="0"/>
        </w:rPr>
        <w:tab/>
        <w:t xml:space="preserve">Records prescribed etc. </w:t>
      </w:r>
      <w:r>
        <w:t>(Act s. </w:t>
      </w:r>
      <w:r>
        <w:rPr>
          <w:snapToGrid w:val="0"/>
        </w:rPr>
        <w:t>145)</w:t>
      </w:r>
      <w:bookmarkEnd w:id="90"/>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 xml:space="preserve">in the case of each transaction involving the sale of liquor by the holder of a special facility licence, a </w:t>
      </w:r>
      <w:r>
        <w:rPr>
          <w:snapToGrid w:val="0"/>
        </w:rPr>
        <w:lastRenderedPageBreak/>
        <w:t>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lastRenderedPageBreak/>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1" w:name="_Toc89253546"/>
      <w:r>
        <w:rPr>
          <w:rStyle w:val="CharSectno"/>
        </w:rPr>
        <w:lastRenderedPageBreak/>
        <w:t>23</w:t>
      </w:r>
      <w:r>
        <w:rPr>
          <w:snapToGrid w:val="0"/>
        </w:rPr>
        <w:t>.</w:t>
      </w:r>
      <w:r>
        <w:rPr>
          <w:snapToGrid w:val="0"/>
        </w:rPr>
        <w:tab/>
        <w:t xml:space="preserve">Returns, verification and lodgment of </w:t>
      </w:r>
      <w:r>
        <w:t>(Act s. 146)</w:t>
      </w:r>
      <w:bookmarkEnd w:id="9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lastRenderedPageBreak/>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2" w:name="_Toc89253547"/>
      <w:r>
        <w:rPr>
          <w:rStyle w:val="CharSectno"/>
        </w:rPr>
        <w:t>24</w:t>
      </w:r>
      <w:r>
        <w:rPr>
          <w:snapToGrid w:val="0"/>
        </w:rPr>
        <w:t>.</w:t>
      </w:r>
      <w:r>
        <w:rPr>
          <w:snapToGrid w:val="0"/>
        </w:rPr>
        <w:tab/>
        <w:t xml:space="preserve">Return of information required etc. </w:t>
      </w:r>
      <w:r>
        <w:t>(Act s. 145)</w:t>
      </w:r>
      <w:bookmarkEnd w:id="9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lastRenderedPageBreak/>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3" w:name="_Toc89253548"/>
      <w:r>
        <w:rPr>
          <w:rStyle w:val="CharSectno"/>
        </w:rPr>
        <w:lastRenderedPageBreak/>
        <w:t>25A</w:t>
      </w:r>
      <w:r>
        <w:t>.</w:t>
      </w:r>
      <w:r>
        <w:tab/>
        <w:t>Class of persons prescribed (Act s. 152P(4)(b))</w:t>
      </w:r>
      <w:bookmarkEnd w:id="9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rPr>
          <w:snapToGrid w:val="0"/>
        </w:rPr>
      </w:pPr>
      <w:bookmarkStart w:id="94" w:name="_Toc89253549"/>
      <w:r>
        <w:rPr>
          <w:rStyle w:val="CharSectno"/>
        </w:rPr>
        <w:t>25</w:t>
      </w:r>
      <w:r>
        <w:rPr>
          <w:snapToGrid w:val="0"/>
        </w:rPr>
        <w:t>.</w:t>
      </w:r>
      <w:r>
        <w:rPr>
          <w:snapToGrid w:val="0"/>
        </w:rPr>
        <w:tab/>
        <w:t>Money payable under Act, how payable</w:t>
      </w:r>
      <w:bookmarkEnd w:id="9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95" w:name="_Toc89253550"/>
      <w:r>
        <w:rPr>
          <w:rStyle w:val="CharSectno"/>
        </w:rPr>
        <w:t>26</w:t>
      </w:r>
      <w:r>
        <w:rPr>
          <w:snapToGrid w:val="0"/>
        </w:rPr>
        <w:t>.</w:t>
      </w:r>
      <w:r>
        <w:rPr>
          <w:snapToGrid w:val="0"/>
        </w:rPr>
        <w:tab/>
        <w:t>Fees generally (Sch. 3)</w:t>
      </w:r>
      <w:bookmarkEnd w:id="9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$289.00; or</w:t>
      </w:r>
    </w:p>
    <w:p>
      <w:pPr>
        <w:pStyle w:val="Indenta"/>
      </w:pPr>
      <w:r>
        <w:tab/>
        <w:t>(b)</w:t>
      </w:r>
      <w:r>
        <w:tab/>
        <w:t>if 3 or more such permits have been issued — an additional amount of $581.50.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lastRenderedPageBreak/>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 xml:space="preserve">9; 9 Oct 2007 p. 5352; 24 Oct 2008 p. 4683; </w:t>
      </w:r>
      <w:r>
        <w:lastRenderedPageBreak/>
        <w:t>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w:t>
      </w:r>
    </w:p>
    <w:p>
      <w:pPr>
        <w:pStyle w:val="Heading5"/>
      </w:pPr>
      <w:bookmarkStart w:id="96" w:name="_Toc89253551"/>
      <w:r>
        <w:rPr>
          <w:rStyle w:val="CharSectno"/>
        </w:rPr>
        <w:t>27A</w:t>
      </w:r>
      <w:r>
        <w:t>.</w:t>
      </w:r>
      <w:r>
        <w:tab/>
        <w:t>Reduction in licence fee for new licences</w:t>
      </w:r>
      <w:bookmarkEnd w:id="96"/>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97" w:name="_Toc89253552"/>
      <w:r>
        <w:rPr>
          <w:rStyle w:val="CharSectno"/>
        </w:rPr>
        <w:t>27</w:t>
      </w:r>
      <w:r>
        <w:rPr>
          <w:snapToGrid w:val="0"/>
        </w:rPr>
        <w:t>.</w:t>
      </w:r>
      <w:r>
        <w:rPr>
          <w:snapToGrid w:val="0"/>
        </w:rPr>
        <w:tab/>
      </w:r>
      <w:r>
        <w:t>Prescribed offences for infringement notices (Act s. 167(2))</w:t>
      </w:r>
      <w:bookmarkEnd w:id="97"/>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lastRenderedPageBreak/>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lastRenderedPageBreak/>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lastRenderedPageBreak/>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lastRenderedPageBreak/>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lastRenderedPageBreak/>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lastRenderedPageBreak/>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w:t>
      </w:r>
    </w:p>
    <w:p>
      <w:pPr>
        <w:pStyle w:val="Ednotesection"/>
        <w:spacing w:before="180"/>
        <w:ind w:left="890" w:hanging="890"/>
      </w:pPr>
      <w:r>
        <w:t>[</w:t>
      </w:r>
      <w:r>
        <w:rPr>
          <w:b/>
        </w:rPr>
        <w:t>28.</w:t>
      </w:r>
      <w:r>
        <w:rPr>
          <w:b/>
        </w:rPr>
        <w:tab/>
      </w:r>
      <w:r>
        <w:t>Deleted: Gazette 30 Jan 1998 p. 568.]</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98" w:name="_Toc89247866"/>
      <w:bookmarkStart w:id="99" w:name="_Toc89248036"/>
      <w:bookmarkStart w:id="100" w:name="_Toc89253553"/>
      <w:r>
        <w:rPr>
          <w:rStyle w:val="CharSchNo"/>
        </w:rPr>
        <w:lastRenderedPageBreak/>
        <w:t>Schedule 1</w:t>
      </w:r>
      <w:bookmarkEnd w:id="98"/>
      <w:bookmarkEnd w:id="99"/>
      <w:bookmarkEnd w:id="100"/>
    </w:p>
    <w:p>
      <w:pPr>
        <w:pStyle w:val="yShoulderClause"/>
        <w:spacing w:before="60"/>
        <w:rPr>
          <w:snapToGrid w:val="0"/>
        </w:rPr>
      </w:pPr>
      <w:r>
        <w:rPr>
          <w:snapToGrid w:val="0"/>
        </w:rPr>
        <w:t>[Regulation 3]</w:t>
      </w:r>
    </w:p>
    <w:p>
      <w:pPr>
        <w:pStyle w:val="yHeading2"/>
        <w:outlineLvl w:val="9"/>
      </w:pPr>
      <w:bookmarkStart w:id="101" w:name="_Toc89247867"/>
      <w:bookmarkStart w:id="102" w:name="_Toc89248037"/>
      <w:bookmarkStart w:id="103" w:name="_Toc89253554"/>
      <w:r>
        <w:rPr>
          <w:rStyle w:val="CharSchText"/>
        </w:rPr>
        <w:t>Forms</w:t>
      </w:r>
      <w:bookmarkEnd w:id="101"/>
      <w:bookmarkEnd w:id="102"/>
      <w:bookmarkEnd w:id="103"/>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04" w:name="_Toc89247868"/>
      <w:bookmarkStart w:id="105" w:name="_Toc89248038"/>
      <w:bookmarkStart w:id="106" w:name="_Toc89253555"/>
      <w:r>
        <w:rPr>
          <w:rStyle w:val="CharSchNo"/>
        </w:rPr>
        <w:lastRenderedPageBreak/>
        <w:t>Schedule 2</w:t>
      </w:r>
      <w:bookmarkEnd w:id="104"/>
      <w:bookmarkEnd w:id="105"/>
      <w:bookmarkEnd w:id="106"/>
    </w:p>
    <w:p>
      <w:pPr>
        <w:pStyle w:val="yShoulderClause"/>
        <w:spacing w:before="60"/>
        <w:rPr>
          <w:snapToGrid w:val="0"/>
        </w:rPr>
      </w:pPr>
      <w:r>
        <w:rPr>
          <w:snapToGrid w:val="0"/>
        </w:rPr>
        <w:t>[Regulation 13]</w:t>
      </w:r>
    </w:p>
    <w:p>
      <w:pPr>
        <w:pStyle w:val="yHeading2"/>
        <w:spacing w:before="120" w:after="80"/>
      </w:pPr>
      <w:bookmarkStart w:id="107" w:name="_Toc89247869"/>
      <w:bookmarkStart w:id="108" w:name="_Toc89248039"/>
      <w:bookmarkStart w:id="109" w:name="_Toc89253556"/>
      <w:r>
        <w:rPr>
          <w:rStyle w:val="CharSchText"/>
        </w:rPr>
        <w:t>Details of applicant</w:t>
      </w:r>
      <w:bookmarkEnd w:id="107"/>
      <w:bookmarkEnd w:id="108"/>
      <w:bookmarkEnd w:id="10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0" w:name="_Toc89247870"/>
      <w:bookmarkStart w:id="111" w:name="_Toc89248040"/>
      <w:bookmarkStart w:id="112" w:name="_Toc89253557"/>
      <w:r>
        <w:rPr>
          <w:rStyle w:val="CharSchNo"/>
        </w:rPr>
        <w:lastRenderedPageBreak/>
        <w:t>Schedule 3</w:t>
      </w:r>
      <w:r>
        <w:t> — </w:t>
      </w:r>
      <w:r>
        <w:rPr>
          <w:rStyle w:val="CharSchText"/>
        </w:rPr>
        <w:t>Fees</w:t>
      </w:r>
      <w:bookmarkEnd w:id="110"/>
      <w:bookmarkEnd w:id="111"/>
      <w:bookmarkEnd w:id="112"/>
    </w:p>
    <w:p>
      <w:pPr>
        <w:pStyle w:val="yShoulderClause"/>
      </w:pPr>
      <w:r>
        <w:t>[r. 11, 14ADF, 18B, 26 and 27A]</w:t>
      </w:r>
    </w:p>
    <w:p>
      <w:pPr>
        <w:pStyle w:val="yFootnoteheading"/>
      </w:pPr>
      <w:r>
        <w:tab/>
        <w:t>[Heading inserted: Gazette 22 Oct 2019 p. 3725.]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3 620.50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928.50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889.00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612.00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301.00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270"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p>
            <w:pPr>
              <w:pStyle w:val="yTableNAm"/>
              <w:tabs>
                <w:tab w:val="clear" w:pos="567"/>
                <w:tab w:val="right" w:pos="659"/>
              </w:tabs>
              <w:ind w:right="48"/>
              <w:jc w:val="right"/>
              <w:rPr>
                <w:szCs w:val="22"/>
              </w:rPr>
            </w:pPr>
            <w:r>
              <w:rPr>
                <w:szCs w:val="22"/>
              </w:rPr>
              <w:t>54.50</w:t>
            </w:r>
          </w:p>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235.00</w:t>
            </w:r>
          </w:p>
          <w:p>
            <w:pPr>
              <w:pStyle w:val="yTableNAm"/>
              <w:tabs>
                <w:tab w:val="clear" w:pos="567"/>
                <w:tab w:val="right" w:pos="659"/>
              </w:tabs>
              <w:ind w:right="48"/>
              <w:jc w:val="right"/>
            </w:pPr>
            <w:r>
              <w:rPr>
                <w:szCs w:val="22"/>
              </w:rPr>
              <w:t>1 190.50</w:t>
            </w:r>
          </w:p>
          <w:p>
            <w:pPr>
              <w:pStyle w:val="yTableNAm"/>
              <w:tabs>
                <w:tab w:val="clear" w:pos="567"/>
                <w:tab w:val="right" w:pos="659"/>
              </w:tabs>
              <w:ind w:right="48"/>
              <w:jc w:val="right"/>
            </w:pPr>
            <w:r>
              <w:rPr>
                <w:szCs w:val="22"/>
              </w:rPr>
              <w:t>2 384.00</w:t>
            </w:r>
          </w:p>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270"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clear" w:pos="567"/>
                <w:tab w:val="left" w:pos="518"/>
                <w:tab w:val="right" w:leader="dot" w:pos="6237"/>
              </w:tabs>
              <w:ind w:left="941" w:hanging="941"/>
            </w:pPr>
            <w:r>
              <w:tab/>
              <w:t>(i)</w:t>
            </w:r>
            <w:r>
              <w:tab/>
              <w:t xml:space="preserve">if the restaurant licence to which the permit relates is subject to a condition limiting the maximum number of persons (excluding responsible persons and authorised officers) who may be on the licensed premises to 120 </w:t>
            </w:r>
            <w:r>
              <w:tab/>
            </w:r>
          </w:p>
          <w:p>
            <w:pPr>
              <w:pStyle w:val="yTableNAm"/>
              <w:tabs>
                <w:tab w:val="clear" w:pos="567"/>
                <w:tab w:val="left" w:pos="518"/>
                <w:tab w:val="right" w:leader="dot" w:pos="6237"/>
              </w:tabs>
              <w:ind w:left="941" w:hanging="941"/>
            </w:pPr>
            <w:r>
              <w:tab/>
              <w:t>(ii)</w:t>
            </w:r>
            <w:r>
              <w:tab/>
              <w:t>if subparagraph (i) does not apply</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 w:val="right" w:leader="dot" w:pos="6237"/>
              </w:tabs>
              <w:ind w:right="48"/>
              <w:jc w:val="right"/>
            </w:pPr>
          </w:p>
          <w:p>
            <w:pPr>
              <w:pStyle w:val="yTableNAm"/>
              <w:tabs>
                <w:tab w:val="clear" w:pos="567"/>
                <w:tab w:val="right" w:pos="659"/>
                <w:tab w:val="right" w:leader="dot" w:pos="6237"/>
              </w:tabs>
              <w:ind w:right="48"/>
              <w:jc w:val="right"/>
              <w:rPr>
                <w:szCs w:val="22"/>
              </w:rPr>
            </w:pPr>
            <w:r>
              <w:rPr>
                <w:szCs w:val="22"/>
              </w:rPr>
              <w:t>54.50</w:t>
            </w:r>
          </w:p>
          <w:p>
            <w:pPr>
              <w:pStyle w:val="yTableNAm"/>
              <w:tabs>
                <w:tab w:val="clear" w:pos="567"/>
                <w:tab w:val="right" w:pos="659"/>
                <w:tab w:val="right" w:leader="dot" w:pos="6237"/>
              </w:tabs>
              <w:ind w:right="48"/>
              <w:jc w:val="right"/>
            </w:pPr>
            <w:r>
              <w:rPr>
                <w:szCs w:val="22"/>
              </w:rPr>
              <w:t>488.00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364.00</w:t>
            </w:r>
          </w:p>
          <w:p>
            <w:pPr>
              <w:pStyle w:val="yTableNAm"/>
              <w:tabs>
                <w:tab w:val="clear" w:pos="567"/>
                <w:tab w:val="right" w:pos="659"/>
              </w:tabs>
              <w:ind w:right="48"/>
              <w:jc w:val="right"/>
            </w:pPr>
            <w:r>
              <w:br/>
            </w:r>
            <w:r>
              <w:rPr>
                <w:szCs w:val="22"/>
              </w:rPr>
              <w:t>364.00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rPr>
                <w:szCs w:val="22"/>
              </w:rPr>
            </w:pPr>
            <w:r>
              <w:rPr>
                <w:szCs w:val="22"/>
              </w:rPr>
              <w:t>364.00</w:t>
            </w:r>
          </w:p>
          <w:p>
            <w:pPr>
              <w:pStyle w:val="yTableNAm"/>
              <w:tabs>
                <w:tab w:val="clear" w:pos="567"/>
                <w:tab w:val="right" w:pos="659"/>
              </w:tabs>
              <w:ind w:right="48"/>
              <w:jc w:val="right"/>
              <w:rPr>
                <w:szCs w:val="22"/>
              </w:rPr>
            </w:pPr>
            <w:r>
              <w:rPr>
                <w:szCs w:val="22"/>
              </w:rPr>
              <w:t>306.50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rPr>
                <w:szCs w:val="22"/>
              </w:rPr>
            </w:pPr>
            <w:r>
              <w:rPr>
                <w:szCs w:val="22"/>
              </w:rPr>
              <w:t>1 224.00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44.50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lastRenderedPageBreak/>
              <w:t>10.</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186.50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61.50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168.00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131.50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t>53.50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10.00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165.00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113.50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417.00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36.50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76.00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270"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248.50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114.50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235.00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1 190.50</w:t>
            </w:r>
          </w:p>
        </w:tc>
      </w:tr>
      <w:tr>
        <w:trPr>
          <w:cantSplit/>
        </w:trPr>
        <w:tc>
          <w:tcPr>
            <w:tcW w:w="684" w:type="dxa"/>
            <w:tcBorders>
              <w:top w:val="nil"/>
              <w:left w:val="single" w:sz="4" w:space="0" w:color="auto"/>
              <w:bottom w:val="nil"/>
              <w:right w:val="single" w:sz="4" w:space="0" w:color="auto"/>
            </w:tcBorders>
          </w:tcPr>
          <w:p>
            <w:pPr>
              <w:pStyle w:val="yTableNAm"/>
            </w:pPr>
          </w:p>
        </w:tc>
        <w:tc>
          <w:tcPr>
            <w:tcW w:w="5270"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vAlign w:val="bottom"/>
          </w:tcPr>
          <w:p>
            <w:pPr>
              <w:pStyle w:val="yTableNAm"/>
              <w:tabs>
                <w:tab w:val="clear" w:pos="567"/>
                <w:tab w:val="right" w:pos="659"/>
              </w:tabs>
              <w:ind w:right="48"/>
              <w:jc w:val="right"/>
            </w:pPr>
            <w:r>
              <w:rPr>
                <w:szCs w:val="22"/>
              </w:rPr>
              <w:t>2 384.00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270"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4 779.50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45.50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289.00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242.50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253.50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230.00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rPr>
                <w:szCs w:val="22"/>
              </w:rPr>
              <w:t>276.00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2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1114" w:type="dxa"/>
            <w:tcBorders>
              <w:top w:val="single" w:sz="4" w:space="0" w:color="auto"/>
              <w:left w:val="single" w:sz="4" w:space="0" w:color="auto"/>
              <w:bottom w:val="single" w:sz="4" w:space="0" w:color="auto"/>
              <w:right w:val="single" w:sz="4" w:space="0" w:color="auto"/>
            </w:tcBorders>
            <w:vAlign w:val="bottom"/>
          </w:tcPr>
          <w:p>
            <w:pPr>
              <w:pStyle w:val="yTableNAm"/>
              <w:keepNext/>
              <w:tabs>
                <w:tab w:val="clear" w:pos="567"/>
                <w:tab w:val="right" w:pos="659"/>
              </w:tabs>
              <w:ind w:right="48"/>
              <w:jc w:val="right"/>
            </w:pPr>
            <w:r>
              <w:rPr>
                <w:szCs w:val="22"/>
              </w:rPr>
              <w:t>66.50</w:t>
            </w:r>
          </w:p>
        </w:tc>
      </w:tr>
      <w:tr>
        <w:trPr>
          <w:cantSplit/>
        </w:trPr>
        <w:tc>
          <w:tcPr>
            <w:tcW w:w="684" w:type="dxa"/>
          </w:tcPr>
          <w:p>
            <w:pPr>
              <w:pStyle w:val="yTableNAm"/>
            </w:pPr>
            <w:r>
              <w:t>26.</w:t>
            </w:r>
          </w:p>
        </w:tc>
        <w:tc>
          <w:tcPr>
            <w:tcW w:w="5270" w:type="dxa"/>
          </w:tcPr>
          <w:p>
            <w:pPr>
              <w:pStyle w:val="yTableNAm"/>
              <w:tabs>
                <w:tab w:val="clear" w:pos="567"/>
                <w:tab w:val="right" w:leader="dot" w:pos="6237"/>
              </w:tabs>
            </w:pPr>
            <w:r>
              <w:t xml:space="preserve">Supply of a list of licensed premises or a list of owners of licensed premises </w:t>
            </w:r>
            <w:r>
              <w:tab/>
            </w:r>
          </w:p>
        </w:tc>
        <w:tc>
          <w:tcPr>
            <w:tcW w:w="1114" w:type="dxa"/>
            <w:vAlign w:val="bottom"/>
          </w:tcPr>
          <w:p>
            <w:pPr>
              <w:pStyle w:val="yTableNAm"/>
              <w:tabs>
                <w:tab w:val="clear" w:pos="567"/>
                <w:tab w:val="right" w:pos="659"/>
              </w:tabs>
              <w:ind w:right="48"/>
              <w:jc w:val="right"/>
            </w:pPr>
            <w:r>
              <w:rPr>
                <w:szCs w:val="22"/>
              </w:rPr>
              <w:t>92.00</w:t>
            </w:r>
          </w:p>
        </w:tc>
      </w:tr>
      <w:tr>
        <w:trPr>
          <w:cantSplit/>
        </w:trPr>
        <w:tc>
          <w:tcPr>
            <w:tcW w:w="684" w:type="dxa"/>
          </w:tcPr>
          <w:p>
            <w:pPr>
              <w:pStyle w:val="yTableNAm"/>
            </w:pPr>
            <w:r>
              <w:t>27.</w:t>
            </w:r>
          </w:p>
        </w:tc>
        <w:tc>
          <w:tcPr>
            <w:tcW w:w="5270" w:type="dxa"/>
          </w:tcPr>
          <w:p>
            <w:pPr>
              <w:pStyle w:val="yTableNAm"/>
              <w:tabs>
                <w:tab w:val="clear" w:pos="567"/>
                <w:tab w:val="right" w:leader="dot" w:pos="6237"/>
              </w:tabs>
            </w:pPr>
            <w:r>
              <w:t xml:space="preserve">Supply of a list of licensed premises on computer disk </w:t>
            </w:r>
            <w:r>
              <w:tab/>
            </w:r>
          </w:p>
        </w:tc>
        <w:tc>
          <w:tcPr>
            <w:tcW w:w="1114" w:type="dxa"/>
            <w:vAlign w:val="bottom"/>
          </w:tcPr>
          <w:p>
            <w:pPr>
              <w:pStyle w:val="yTableNAm"/>
              <w:tabs>
                <w:tab w:val="clear" w:pos="567"/>
                <w:tab w:val="right" w:pos="659"/>
              </w:tabs>
              <w:ind w:right="48"/>
              <w:jc w:val="right"/>
              <w:rPr>
                <w:rFonts w:ascii="Arial" w:hAnsi="Arial"/>
              </w:rPr>
            </w:pPr>
            <w:r>
              <w:rPr>
                <w:szCs w:val="22"/>
              </w:rPr>
              <w:t>60.50</w:t>
            </w:r>
          </w:p>
        </w:tc>
      </w:tr>
      <w:tr>
        <w:trPr>
          <w:cantSplit/>
        </w:trPr>
        <w:tc>
          <w:tcPr>
            <w:tcW w:w="684" w:type="dxa"/>
          </w:tcPr>
          <w:p>
            <w:pPr>
              <w:pStyle w:val="yTableNAm"/>
            </w:pPr>
            <w:r>
              <w:t>28.</w:t>
            </w:r>
          </w:p>
        </w:tc>
        <w:tc>
          <w:tcPr>
            <w:tcW w:w="5270" w:type="dxa"/>
          </w:tcPr>
          <w:p>
            <w:pPr>
              <w:pStyle w:val="yTableNAm"/>
              <w:tabs>
                <w:tab w:val="clear" w:pos="567"/>
                <w:tab w:val="right" w:leader="dot" w:pos="6237"/>
              </w:tabs>
            </w:pPr>
            <w:r>
              <w:t xml:space="preserve">Supply of address labels for licensed premises </w:t>
            </w:r>
            <w:r>
              <w:tab/>
            </w:r>
          </w:p>
        </w:tc>
        <w:tc>
          <w:tcPr>
            <w:tcW w:w="1114" w:type="dxa"/>
            <w:vAlign w:val="bottom"/>
          </w:tcPr>
          <w:p>
            <w:pPr>
              <w:pStyle w:val="yTableNAm"/>
              <w:tabs>
                <w:tab w:val="clear" w:pos="567"/>
                <w:tab w:val="right" w:pos="659"/>
              </w:tabs>
              <w:ind w:right="48"/>
              <w:jc w:val="right"/>
            </w:pPr>
            <w:r>
              <w:rPr>
                <w:szCs w:val="22"/>
              </w:rPr>
              <w:t>148.00</w:t>
            </w:r>
          </w:p>
        </w:tc>
      </w:tr>
      <w:tr>
        <w:trPr>
          <w:cantSplit/>
        </w:trPr>
        <w:tc>
          <w:tcPr>
            <w:tcW w:w="684" w:type="dxa"/>
          </w:tcPr>
          <w:p>
            <w:pPr>
              <w:pStyle w:val="yTableNAm"/>
            </w:pPr>
            <w:r>
              <w:t>29.</w:t>
            </w:r>
          </w:p>
        </w:tc>
        <w:tc>
          <w:tcPr>
            <w:tcW w:w="5270" w:type="dxa"/>
          </w:tcPr>
          <w:p>
            <w:pPr>
              <w:pStyle w:val="yTableNAm"/>
              <w:tabs>
                <w:tab w:val="clear" w:pos="567"/>
                <w:tab w:val="right" w:leader="dot" w:pos="6237"/>
              </w:tabs>
            </w:pPr>
            <w:r>
              <w:t xml:space="preserve">Supply of approved heading for advertising an application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30.</w:t>
            </w:r>
          </w:p>
        </w:tc>
        <w:tc>
          <w:tcPr>
            <w:tcW w:w="5270" w:type="dxa"/>
          </w:tcPr>
          <w:p>
            <w:pPr>
              <w:pStyle w:val="yTableNAm"/>
              <w:tabs>
                <w:tab w:val="clear" w:pos="567"/>
                <w:tab w:val="right" w:leader="dot" w:pos="6237"/>
              </w:tabs>
            </w:pPr>
            <w:r>
              <w:t xml:space="preserve">Supply of copy of plan — per sheet </w:t>
            </w:r>
            <w:r>
              <w:tab/>
            </w:r>
          </w:p>
        </w:tc>
        <w:tc>
          <w:tcPr>
            <w:tcW w:w="1114" w:type="dxa"/>
            <w:vAlign w:val="bottom"/>
          </w:tcPr>
          <w:p>
            <w:pPr>
              <w:pStyle w:val="yTableNAm"/>
              <w:tabs>
                <w:tab w:val="clear" w:pos="567"/>
                <w:tab w:val="right" w:pos="659"/>
              </w:tabs>
              <w:ind w:right="48"/>
              <w:jc w:val="right"/>
            </w:pPr>
            <w:r>
              <w:t>28.00</w:t>
            </w:r>
            <w:r>
              <w:br/>
              <w:t>(up to a max. of 224.00)</w:t>
            </w:r>
          </w:p>
        </w:tc>
      </w:tr>
      <w:tr>
        <w:trPr>
          <w:cantSplit/>
        </w:trPr>
        <w:tc>
          <w:tcPr>
            <w:tcW w:w="684" w:type="dxa"/>
          </w:tcPr>
          <w:p>
            <w:pPr>
              <w:pStyle w:val="yTableNAm"/>
            </w:pPr>
            <w:r>
              <w:lastRenderedPageBreak/>
              <w:t>31.</w:t>
            </w:r>
          </w:p>
        </w:tc>
        <w:tc>
          <w:tcPr>
            <w:tcW w:w="5270" w:type="dxa"/>
          </w:tcPr>
          <w:p>
            <w:pPr>
              <w:pStyle w:val="yTableNAm"/>
              <w:tabs>
                <w:tab w:val="clear" w:pos="567"/>
                <w:tab w:val="right" w:leader="dot" w:pos="6237"/>
              </w:tabs>
            </w:pPr>
            <w:r>
              <w:t xml:space="preserve">Supply of certified copy of plan defining licensed premises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32.</w:t>
            </w:r>
          </w:p>
        </w:tc>
        <w:tc>
          <w:tcPr>
            <w:tcW w:w="5270"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1114" w:type="dxa"/>
            <w:vAlign w:val="bottom"/>
          </w:tcPr>
          <w:p>
            <w:pPr>
              <w:pStyle w:val="yTableNAm"/>
              <w:tabs>
                <w:tab w:val="clear" w:pos="567"/>
                <w:tab w:val="right" w:pos="659"/>
              </w:tabs>
              <w:ind w:right="48"/>
              <w:jc w:val="right"/>
            </w:pPr>
            <w:r>
              <w:t>28.00</w:t>
            </w:r>
          </w:p>
        </w:tc>
      </w:tr>
      <w:tr>
        <w:trPr>
          <w:cantSplit/>
        </w:trPr>
        <w:tc>
          <w:tcPr>
            <w:tcW w:w="684" w:type="dxa"/>
          </w:tcPr>
          <w:p>
            <w:pPr>
              <w:pStyle w:val="yTableNAm"/>
            </w:pPr>
            <w:r>
              <w:t>33.</w:t>
            </w:r>
          </w:p>
        </w:tc>
        <w:tc>
          <w:tcPr>
            <w:tcW w:w="5270"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1114" w:type="dxa"/>
            <w:vAlign w:val="bottom"/>
          </w:tcPr>
          <w:p>
            <w:pPr>
              <w:pStyle w:val="yTableNAm"/>
              <w:tabs>
                <w:tab w:val="clear" w:pos="567"/>
                <w:tab w:val="right" w:leader="dot" w:pos="6237"/>
              </w:tabs>
              <w:jc w:val="right"/>
            </w:pPr>
            <w:r>
              <w:t>28.00</w:t>
            </w:r>
          </w:p>
          <w:p>
            <w:pPr>
              <w:pStyle w:val="yTableNAm"/>
              <w:tabs>
                <w:tab w:val="clear" w:pos="567"/>
                <w:tab w:val="right" w:pos="659"/>
              </w:tabs>
              <w:ind w:right="48"/>
              <w:jc w:val="right"/>
            </w:pPr>
          </w:p>
        </w:tc>
      </w:tr>
      <w:tr>
        <w:trPr>
          <w:cantSplit/>
        </w:trPr>
        <w:tc>
          <w:tcPr>
            <w:tcW w:w="684" w:type="dxa"/>
          </w:tcPr>
          <w:p>
            <w:pPr>
              <w:pStyle w:val="yTableNAm"/>
            </w:pPr>
            <w:r>
              <w:t>34.</w:t>
            </w:r>
          </w:p>
        </w:tc>
        <w:tc>
          <w:tcPr>
            <w:tcW w:w="5270" w:type="dxa"/>
          </w:tcPr>
          <w:p>
            <w:pPr>
              <w:pStyle w:val="yTableNAm"/>
              <w:tabs>
                <w:tab w:val="clear" w:pos="567"/>
                <w:tab w:val="right" w:leader="dot" w:pos="6237"/>
              </w:tabs>
            </w:pPr>
            <w:r>
              <w:t xml:space="preserve">Supply of copy of documentation, other than that already prescribed, per page </w:t>
            </w:r>
            <w:r>
              <w:tab/>
            </w:r>
          </w:p>
        </w:tc>
        <w:tc>
          <w:tcPr>
            <w:tcW w:w="1114" w:type="dxa"/>
            <w:vAlign w:val="bottom"/>
          </w:tcPr>
          <w:p>
            <w:pPr>
              <w:pStyle w:val="yTableNAm"/>
              <w:tabs>
                <w:tab w:val="clear" w:pos="567"/>
                <w:tab w:val="right" w:pos="659"/>
              </w:tabs>
              <w:ind w:right="48"/>
              <w:jc w:val="right"/>
            </w:pPr>
            <w:r>
              <w:t>4.00</w:t>
            </w:r>
          </w:p>
        </w:tc>
      </w:tr>
      <w:tr>
        <w:trPr>
          <w:cantSplit/>
        </w:trPr>
        <w:tc>
          <w:tcPr>
            <w:tcW w:w="684" w:type="dxa"/>
          </w:tcPr>
          <w:p>
            <w:pPr>
              <w:pStyle w:val="yTableNAm"/>
            </w:pPr>
            <w:r>
              <w:t>35.</w:t>
            </w:r>
          </w:p>
        </w:tc>
        <w:tc>
          <w:tcPr>
            <w:tcW w:w="5270" w:type="dxa"/>
          </w:tcPr>
          <w:p>
            <w:pPr>
              <w:pStyle w:val="yTableNAm"/>
              <w:tabs>
                <w:tab w:val="clear" w:pos="567"/>
                <w:tab w:val="right" w:leader="dot" w:pos="6237"/>
              </w:tabs>
            </w:pPr>
            <w:r>
              <w:t xml:space="preserve">Issue of a summons to a witness </w:t>
            </w:r>
            <w:r>
              <w:tab/>
            </w:r>
          </w:p>
        </w:tc>
        <w:tc>
          <w:tcPr>
            <w:tcW w:w="1114" w:type="dxa"/>
            <w:vAlign w:val="bottom"/>
          </w:tcPr>
          <w:p>
            <w:pPr>
              <w:pStyle w:val="yTableNAm"/>
              <w:tabs>
                <w:tab w:val="clear" w:pos="567"/>
                <w:tab w:val="right" w:pos="659"/>
              </w:tabs>
              <w:ind w:right="48"/>
              <w:jc w:val="right"/>
            </w:pPr>
            <w:r>
              <w:t>23.00</w:t>
            </w:r>
          </w:p>
        </w:tc>
      </w:tr>
      <w:tr>
        <w:trPr>
          <w:cantSplit/>
        </w:trPr>
        <w:tc>
          <w:tcPr>
            <w:tcW w:w="684" w:type="dxa"/>
          </w:tcPr>
          <w:p>
            <w:pPr>
              <w:pStyle w:val="yTableNAm"/>
            </w:pPr>
            <w:r>
              <w:t>36.</w:t>
            </w:r>
          </w:p>
        </w:tc>
        <w:tc>
          <w:tcPr>
            <w:tcW w:w="5270" w:type="dxa"/>
          </w:tcPr>
          <w:p>
            <w:pPr>
              <w:pStyle w:val="yTableNAm"/>
              <w:tabs>
                <w:tab w:val="clear" w:pos="567"/>
                <w:tab w:val="right" w:leader="dot" w:pos="6237"/>
              </w:tabs>
            </w:pPr>
            <w:r>
              <w:t xml:space="preserve">For a search of the database of records of licences — per licence </w:t>
            </w:r>
            <w:r>
              <w:tab/>
            </w:r>
          </w:p>
        </w:tc>
        <w:tc>
          <w:tcPr>
            <w:tcW w:w="1114" w:type="dxa"/>
            <w:vAlign w:val="bottom"/>
          </w:tcPr>
          <w:p>
            <w:pPr>
              <w:pStyle w:val="yTableNAm"/>
              <w:tabs>
                <w:tab w:val="clear" w:pos="567"/>
                <w:tab w:val="right" w:pos="659"/>
              </w:tabs>
              <w:ind w:right="48"/>
              <w:jc w:val="right"/>
            </w:pPr>
            <w:r>
              <w:t>41.50</w:t>
            </w:r>
          </w:p>
        </w:tc>
      </w:tr>
      <w:tr>
        <w:trPr>
          <w:cantSplit/>
        </w:trPr>
        <w:tc>
          <w:tcPr>
            <w:tcW w:w="684" w:type="dxa"/>
          </w:tcPr>
          <w:p>
            <w:pPr>
              <w:pStyle w:val="yTableNAm"/>
            </w:pPr>
            <w:r>
              <w:t>37.</w:t>
            </w:r>
          </w:p>
        </w:tc>
        <w:tc>
          <w:tcPr>
            <w:tcW w:w="5270" w:type="dxa"/>
          </w:tcPr>
          <w:p>
            <w:pPr>
              <w:pStyle w:val="yTableNAm"/>
              <w:tabs>
                <w:tab w:val="clear" w:pos="567"/>
                <w:tab w:val="right" w:leader="dot" w:pos="6237"/>
              </w:tabs>
            </w:pPr>
            <w:r>
              <w:t xml:space="preserve">For a full search of a licence record </w:t>
            </w:r>
            <w:r>
              <w:tab/>
            </w:r>
          </w:p>
        </w:tc>
        <w:tc>
          <w:tcPr>
            <w:tcW w:w="1114" w:type="dxa"/>
            <w:vAlign w:val="bottom"/>
          </w:tcPr>
          <w:p>
            <w:pPr>
              <w:pStyle w:val="yTableNAm"/>
              <w:tabs>
                <w:tab w:val="clear" w:pos="567"/>
                <w:tab w:val="right" w:pos="659"/>
              </w:tabs>
              <w:ind w:right="48"/>
              <w:jc w:val="right"/>
            </w:pPr>
            <w:r>
              <w:rPr>
                <w:szCs w:val="22"/>
              </w:rPr>
              <w:t>53.50</w:t>
            </w:r>
          </w:p>
        </w:tc>
      </w:tr>
      <w:tr>
        <w:trPr>
          <w:cantSplit/>
        </w:trPr>
        <w:tc>
          <w:tcPr>
            <w:tcW w:w="684" w:type="dxa"/>
            <w:tcBorders>
              <w:bottom w:val="nil"/>
            </w:tcBorders>
          </w:tcPr>
          <w:p>
            <w:pPr>
              <w:pStyle w:val="yTableNAm"/>
            </w:pPr>
            <w:r>
              <w:t>38.</w:t>
            </w:r>
          </w:p>
        </w:tc>
        <w:tc>
          <w:tcPr>
            <w:tcW w:w="5270" w:type="dxa"/>
            <w:tcBorders>
              <w:bottom w:val="nil"/>
            </w:tcBorders>
          </w:tcPr>
          <w:p>
            <w:pPr>
              <w:pStyle w:val="yTableNAm"/>
              <w:tabs>
                <w:tab w:val="clear" w:pos="567"/>
                <w:tab w:val="right" w:leader="dot" w:pos="6237"/>
              </w:tabs>
            </w:pPr>
            <w:r>
              <w:t xml:space="preserve">For a search of postcodes — </w:t>
            </w:r>
          </w:p>
        </w:tc>
        <w:tc>
          <w:tcPr>
            <w:tcW w:w="1114" w:type="dxa"/>
            <w:tcBorders>
              <w:bottom w:val="nil"/>
            </w:tcBorders>
            <w:vAlign w:val="bottom"/>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270" w:type="dxa"/>
            <w:tcBorders>
              <w:top w:val="nil"/>
              <w:bottom w:val="nil"/>
            </w:tcBorders>
          </w:tcPr>
          <w:p>
            <w:pPr>
              <w:pStyle w:val="yTableNAm"/>
              <w:tabs>
                <w:tab w:val="right" w:leader="dot" w:pos="6237"/>
              </w:tabs>
            </w:pPr>
            <w:r>
              <w:t>(a)</w:t>
            </w:r>
            <w:r>
              <w:tab/>
              <w:t xml:space="preserve">1 to 10 postcodes </w:t>
            </w:r>
            <w:r>
              <w:tab/>
            </w:r>
          </w:p>
        </w:tc>
        <w:tc>
          <w:tcPr>
            <w:tcW w:w="1114" w:type="dxa"/>
            <w:tcBorders>
              <w:top w:val="nil"/>
              <w:bottom w:val="nil"/>
            </w:tcBorders>
            <w:vAlign w:val="bottom"/>
          </w:tcPr>
          <w:p>
            <w:pPr>
              <w:pStyle w:val="yTableNAm"/>
              <w:tabs>
                <w:tab w:val="clear" w:pos="567"/>
                <w:tab w:val="right" w:pos="659"/>
              </w:tabs>
              <w:ind w:right="48"/>
              <w:jc w:val="right"/>
            </w:pPr>
            <w:r>
              <w:t>41.50</w:t>
            </w:r>
          </w:p>
        </w:tc>
      </w:tr>
      <w:tr>
        <w:trPr>
          <w:cantSplit/>
        </w:trPr>
        <w:tc>
          <w:tcPr>
            <w:tcW w:w="684" w:type="dxa"/>
            <w:tcBorders>
              <w:top w:val="nil"/>
            </w:tcBorders>
          </w:tcPr>
          <w:p>
            <w:pPr>
              <w:pStyle w:val="yTableNAm"/>
            </w:pPr>
          </w:p>
        </w:tc>
        <w:tc>
          <w:tcPr>
            <w:tcW w:w="5270" w:type="dxa"/>
            <w:tcBorders>
              <w:top w:val="nil"/>
            </w:tcBorders>
          </w:tcPr>
          <w:p>
            <w:pPr>
              <w:pStyle w:val="yTableNAm"/>
              <w:tabs>
                <w:tab w:val="right" w:leader="dot" w:pos="6237"/>
              </w:tabs>
            </w:pPr>
            <w:r>
              <w:t>(b)</w:t>
            </w:r>
            <w:r>
              <w:tab/>
              <w:t xml:space="preserve">more than 10 postcodes </w:t>
            </w:r>
            <w:r>
              <w:tab/>
            </w:r>
          </w:p>
        </w:tc>
        <w:tc>
          <w:tcPr>
            <w:tcW w:w="1114" w:type="dxa"/>
            <w:tcBorders>
              <w:top w:val="nil"/>
            </w:tcBorders>
            <w:vAlign w:val="bottom"/>
          </w:tcPr>
          <w:p>
            <w:pPr>
              <w:pStyle w:val="yTableNAm"/>
              <w:tabs>
                <w:tab w:val="clear" w:pos="567"/>
                <w:tab w:val="right" w:pos="659"/>
              </w:tabs>
              <w:ind w:right="48"/>
              <w:jc w:val="right"/>
            </w:pPr>
            <w:r>
              <w:rPr>
                <w:szCs w:val="22"/>
              </w:rPr>
              <w:t>91.00</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270"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1114" w:type="dxa"/>
            <w:tcBorders>
              <w:top w:val="nil"/>
              <w:left w:val="single" w:sz="4" w:space="0" w:color="auto"/>
              <w:bottom w:val="single" w:sz="4" w:space="0" w:color="auto"/>
              <w:right w:val="single" w:sz="4" w:space="0" w:color="auto"/>
            </w:tcBorders>
            <w:vAlign w:val="bottom"/>
          </w:tcPr>
          <w:p>
            <w:pPr>
              <w:pStyle w:val="yTableNAm"/>
              <w:tabs>
                <w:tab w:val="clear" w:pos="567"/>
                <w:tab w:val="right" w:pos="659"/>
              </w:tabs>
              <w:ind w:right="48"/>
              <w:jc w:val="right"/>
            </w:pPr>
            <w:r>
              <w:t>154.00</w:t>
            </w:r>
          </w:p>
        </w:tc>
      </w:tr>
    </w:tbl>
    <w:p>
      <w:pPr>
        <w:pStyle w:val="yFootnoteheading"/>
        <w:spacing w:before="80" w:after="80"/>
      </w:pPr>
      <w:r>
        <w:tab/>
        <w:t>[Schedule 3 inserted: Gazette 22 Oct 2019 p. 3725</w:t>
      </w:r>
      <w:r>
        <w:noBreakHyphen/>
        <w:t>8.]</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13" w:name="_Toc89247871"/>
      <w:bookmarkStart w:id="114" w:name="_Toc89248041"/>
      <w:bookmarkStart w:id="115" w:name="_Toc89253558"/>
      <w:r>
        <w:lastRenderedPageBreak/>
        <w:t>Notes</w:t>
      </w:r>
      <w:bookmarkEnd w:id="113"/>
      <w:bookmarkEnd w:id="114"/>
      <w:bookmarkEnd w:id="115"/>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6" w:name="_Toc89253559"/>
      <w:r>
        <w:t>Compilation table</w:t>
      </w:r>
      <w:bookmarkEnd w:id="11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lastRenderedPageBreak/>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lastRenderedPageBreak/>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c>
          <w:tcPr>
            <w:tcW w:w="3119" w:type="dxa"/>
            <w:tcBorders>
              <w:top w:val="nil"/>
              <w:bottom w:val="nil"/>
            </w:tcBorders>
            <w:shd w:val="clear" w:color="auto" w:fill="auto"/>
          </w:tcPr>
          <w:p>
            <w:pPr>
              <w:pStyle w:val="nTable"/>
              <w:keepNext/>
              <w:spacing w:after="40"/>
            </w:pPr>
            <w:r>
              <w:rPr>
                <w:i/>
              </w:rPr>
              <w:lastRenderedPageBreak/>
              <w:t>Liquor Control (Parnpajinya Restricted Area) Regulations 2020</w:t>
            </w:r>
            <w:r>
              <w:t xml:space="preserve"> Pt. 5</w:t>
            </w:r>
          </w:p>
        </w:tc>
        <w:tc>
          <w:tcPr>
            <w:tcW w:w="1276" w:type="dxa"/>
            <w:tcBorders>
              <w:top w:val="nil"/>
              <w:bottom w:val="nil"/>
            </w:tcBorders>
            <w:shd w:val="clear" w:color="auto" w:fill="auto"/>
          </w:tcPr>
          <w:p>
            <w:pPr>
              <w:pStyle w:val="nTable"/>
              <w:keepNext/>
              <w:spacing w:after="40"/>
            </w:pPr>
            <w:r>
              <w:t>SL 2020/81 19 Jun 2020</w:t>
            </w:r>
          </w:p>
        </w:tc>
        <w:tc>
          <w:tcPr>
            <w:tcW w:w="2693" w:type="dxa"/>
            <w:tcBorders>
              <w:top w:val="nil"/>
              <w:bottom w:val="nil"/>
            </w:tcBorders>
            <w:shd w:val="clear" w:color="auto" w:fill="auto"/>
          </w:tcPr>
          <w:p>
            <w:pPr>
              <w:pStyle w:val="nTable"/>
              <w:keepNext/>
              <w:spacing w:after="40"/>
            </w:pPr>
            <w:r>
              <w:t>20 Jun 2020 (see r. 2(b))</w:t>
            </w:r>
          </w:p>
        </w:tc>
      </w:tr>
      <w:tr>
        <w:tc>
          <w:tcPr>
            <w:tcW w:w="3119" w:type="dxa"/>
            <w:tcBorders>
              <w:top w:val="nil"/>
              <w:bottom w:val="nil"/>
            </w:tcBorders>
            <w:shd w:val="clear" w:color="auto" w:fill="auto"/>
          </w:tcPr>
          <w:p>
            <w:pPr>
              <w:pStyle w:val="nTable"/>
              <w:keepNext/>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keepNext/>
              <w:spacing w:after="40"/>
            </w:pPr>
            <w:r>
              <w:t>SL 2020/218 6 Nov 2020</w:t>
            </w:r>
          </w:p>
        </w:tc>
        <w:tc>
          <w:tcPr>
            <w:tcW w:w="2693" w:type="dxa"/>
            <w:tcBorders>
              <w:top w:val="nil"/>
              <w:bottom w:val="nil"/>
            </w:tcBorders>
            <w:shd w:val="clear" w:color="auto" w:fill="auto"/>
          </w:tcPr>
          <w:p>
            <w:pPr>
              <w:pStyle w:val="nTable"/>
              <w:keepNext/>
              <w:spacing w:after="40"/>
            </w:pPr>
            <w:r>
              <w:t>7 Nov 2020 (see r. 2(b))</w:t>
            </w:r>
          </w:p>
        </w:tc>
      </w:tr>
      <w:tr>
        <w:tc>
          <w:tcPr>
            <w:tcW w:w="3119" w:type="dxa"/>
            <w:tcBorders>
              <w:top w:val="nil"/>
              <w:bottom w:val="nil"/>
            </w:tcBorders>
            <w:shd w:val="clear" w:color="auto" w:fill="auto"/>
          </w:tcPr>
          <w:p>
            <w:pPr>
              <w:pStyle w:val="nTable"/>
              <w:keepNext/>
              <w:spacing w:after="40"/>
              <w:rPr>
                <w:i/>
              </w:rPr>
            </w:pPr>
            <w:r>
              <w:rPr>
                <w:i/>
              </w:rPr>
              <w:t>Liquor Control Amendment Regulations 2021</w:t>
            </w:r>
          </w:p>
        </w:tc>
        <w:tc>
          <w:tcPr>
            <w:tcW w:w="1276" w:type="dxa"/>
            <w:tcBorders>
              <w:top w:val="nil"/>
              <w:bottom w:val="nil"/>
            </w:tcBorders>
            <w:shd w:val="clear" w:color="auto" w:fill="auto"/>
          </w:tcPr>
          <w:p>
            <w:pPr>
              <w:pStyle w:val="nTable"/>
              <w:keepNext/>
              <w:spacing w:after="40"/>
            </w:pPr>
            <w:r>
              <w:t>SL 2021/94 22 Jun 2021</w:t>
            </w:r>
          </w:p>
        </w:tc>
        <w:tc>
          <w:tcPr>
            <w:tcW w:w="2693" w:type="dxa"/>
            <w:tcBorders>
              <w:top w:val="nil"/>
              <w:bottom w:val="nil"/>
            </w:tcBorders>
            <w:shd w:val="clear" w:color="auto" w:fill="auto"/>
          </w:tcPr>
          <w:p>
            <w:pPr>
              <w:pStyle w:val="nTable"/>
              <w:keepNext/>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shd w:val="clear" w:color="auto" w:fill="auto"/>
          </w:tcPr>
          <w:p>
            <w:pPr>
              <w:pStyle w:val="nTable"/>
              <w:keepNext/>
              <w:spacing w:after="40"/>
              <w:rPr>
                <w:i/>
              </w:rPr>
            </w:pPr>
            <w:r>
              <w:rPr>
                <w:i/>
              </w:rPr>
              <w:t>Liquor Control Amendment Regulations (No. 3) 2021</w:t>
            </w:r>
          </w:p>
        </w:tc>
        <w:tc>
          <w:tcPr>
            <w:tcW w:w="1276" w:type="dxa"/>
            <w:tcBorders>
              <w:bottom w:val="single" w:sz="4" w:space="0" w:color="auto"/>
            </w:tcBorders>
            <w:shd w:val="clear" w:color="auto" w:fill="auto"/>
          </w:tcPr>
          <w:p>
            <w:pPr>
              <w:pStyle w:val="nTable"/>
              <w:keepNext/>
              <w:spacing w:after="40"/>
            </w:pPr>
            <w:r>
              <w:t>SL 2021/163 17 Sep 2021</w:t>
            </w:r>
          </w:p>
        </w:tc>
        <w:tc>
          <w:tcPr>
            <w:tcW w:w="2693" w:type="dxa"/>
            <w:tcBorders>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bl>
    <w:p>
      <w:pPr>
        <w:pStyle w:val="nHeading3"/>
      </w:pPr>
      <w:bookmarkStart w:id="117" w:name="_Toc89253560"/>
      <w:r>
        <w:t>Uncommenced provisions table</w:t>
      </w:r>
      <w:bookmarkEnd w:id="1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Liquor Control Amendment Regulations (No. 2) 2021</w:t>
            </w:r>
          </w:p>
        </w:tc>
        <w:tc>
          <w:tcPr>
            <w:tcW w:w="1276" w:type="dxa"/>
          </w:tcPr>
          <w:p>
            <w:pPr>
              <w:pStyle w:val="nTable"/>
              <w:spacing w:after="40"/>
            </w:pPr>
            <w:r>
              <w:t>SL 2021/207 3 Dec 2021</w:t>
            </w:r>
          </w:p>
        </w:tc>
        <w:tc>
          <w:tcPr>
            <w:tcW w:w="2693" w:type="dxa"/>
          </w:tcPr>
          <w:p>
            <w:pPr>
              <w:pStyle w:val="nTable"/>
              <w:spacing w:after="40"/>
            </w:pPr>
            <w:r>
              <w:t>1 Feb 2022 (see r. 2 and SL 2021/198 cl. 2)</w:t>
            </w:r>
          </w:p>
        </w:tc>
      </w:tr>
    </w:tbl>
    <w:p>
      <w:pPr>
        <w:pStyle w:val="nHeading3"/>
        <w:keepLines/>
        <w:widowControl w:val="0"/>
      </w:pPr>
      <w:bookmarkStart w:id="118" w:name="_Toc89253561"/>
      <w:r>
        <w:t>Other notes</w:t>
      </w:r>
      <w:bookmarkEnd w:id="118"/>
    </w:p>
    <w:p>
      <w:pPr>
        <w:pStyle w:val="nNote"/>
        <w:keepNext/>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keepNext/>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keepNext/>
      </w:pPr>
      <w:r>
        <w:rPr>
          <w:vertAlign w:val="superscript"/>
        </w:rPr>
        <w:t>3</w:t>
      </w:r>
      <w:r>
        <w:tab/>
        <w:t>Commenced 1 July 2014.</w:t>
      </w:r>
    </w:p>
    <w:p>
      <w:pPr>
        <w:pStyle w:val="nNote"/>
        <w:keepNext/>
      </w:pPr>
      <w:r>
        <w:rPr>
          <w:vertAlign w:val="superscript"/>
        </w:rPr>
        <w:t>4</w:t>
      </w:r>
      <w:r>
        <w:tab/>
        <w:t xml:space="preserve">Now known as the </w:t>
      </w:r>
      <w:r>
        <w:rPr>
          <w:i/>
          <w:iCs/>
        </w:rPr>
        <w:t>Liquor Control Regulations 1989</w:t>
      </w:r>
      <w:r>
        <w:t>; citation changed (see note under r. 1).</w:t>
      </w:r>
    </w:p>
    <w:p>
      <w:pPr>
        <w:pStyle w:val="nNote"/>
        <w:keepNext/>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lastRenderedPageBreak/>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20" w:name="_Toc89247874"/>
      <w:bookmarkStart w:id="121" w:name="_Toc89248045"/>
      <w:bookmarkStart w:id="122" w:name="_Toc89253562"/>
      <w:r>
        <w:rPr>
          <w:sz w:val="28"/>
        </w:rPr>
        <w:lastRenderedPageBreak/>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inter-State voyage</w:t>
      </w:r>
      <w:r>
        <w:tab/>
        <w:t>8(3)</w:t>
      </w:r>
    </w:p>
    <w:p>
      <w:pPr>
        <w:pStyle w:val="DefinedTerms"/>
      </w:pPr>
      <w:r>
        <w:t>judge</w:t>
      </w:r>
      <w:r>
        <w:tab/>
        <w:t>8G(1)</w:t>
      </w:r>
    </w:p>
    <w:p>
      <w:pPr>
        <w:pStyle w:val="DefinedTerms"/>
      </w:pPr>
      <w:r>
        <w:t>liqueur chocolate</w:t>
      </w:r>
      <w:r>
        <w:tab/>
        <w:t>4AE(1)</w:t>
      </w:r>
    </w:p>
    <w:p>
      <w:pPr>
        <w:pStyle w:val="DefinedTerms"/>
      </w:pPr>
      <w:r>
        <w:t>liquor competition</w:t>
      </w:r>
      <w:r>
        <w:tab/>
        <w:t>8G(1)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lastRenderedPageBreak/>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and (2)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4" w:name="Coversheet"/>
    <w:bookmarkEnd w:id="1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32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0110414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3233"/>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5F684-9FF7-4ACC-A691-D3C27A043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29321</Words>
  <Characters>140157</Characters>
  <Application>Microsoft Office Word</Application>
  <DocSecurity>0</DocSecurity>
  <Lines>4833</Lines>
  <Paragraphs>2872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1989 - 14-aa0-00</dc:title>
  <dc:subject/>
  <dc:creator/>
  <cp:keywords/>
  <dc:description/>
  <cp:lastModifiedBy>Master Repository Process</cp:lastModifiedBy>
  <cp:revision>4</cp:revision>
  <cp:lastPrinted>2019-12-05T02:25:00Z</cp:lastPrinted>
  <dcterms:created xsi:type="dcterms:W3CDTF">2021-12-03T01:01:00Z</dcterms:created>
  <dcterms:modified xsi:type="dcterms:W3CDTF">2021-12-03T01:01:00Z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03 Dec 2021</vt:lpwstr>
  </property>
  <property fmtid="{D5CDD505-2E9C-101B-9397-08002B2CF9AE}" pid="8" name="Suffix">
    <vt:lpwstr>14-aa0-00</vt:lpwstr>
  </property>
  <property fmtid="{D5CDD505-2E9C-101B-9397-08002B2CF9AE}" pid="9" name="CommencementDate">
    <vt:lpwstr>20211203</vt:lpwstr>
  </property>
</Properties>
</file>