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(Cost Recovery)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(Cost Recovery) Regulations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_Toc90472767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_Toc90472768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_Toc90472769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_Toc90472771 \h </w:instrText>
      </w:r>
      <w:r>
        <w:fldChar w:fldCharType="separate"/>
      </w:r>
      <w:r>
        <w:t>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_Toc90472772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(Cost Recovery) Regulations 2021</w:t>
      </w:r>
    </w:p>
    <w:p>
      <w:pPr>
        <w:pStyle w:val="Heading2"/>
        <w:pageBreakBefore w:val="0"/>
        <w:spacing w:before="360"/>
      </w:pPr>
      <w:bookmarkStart w:id="3" w:name="_Toc90389753"/>
      <w:bookmarkStart w:id="4" w:name="_Toc90390047"/>
      <w:bookmarkStart w:id="5" w:name="_Toc90390186"/>
      <w:bookmarkStart w:id="6" w:name="_Toc9047276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90472767"/>
      <w:r>
        <w:rPr>
          <w:rStyle w:val="CharSectno"/>
        </w:rPr>
        <w:t>1</w:t>
      </w:r>
      <w:r>
        <w:t>.</w:t>
      </w:r>
      <w:r>
        <w:tab/>
        <w:t>Citation</w:t>
      </w:r>
      <w:bookmarkEnd w:id="7"/>
    </w:p>
    <w:p>
      <w:pPr>
        <w:pStyle w:val="Subsection"/>
      </w:pPr>
      <w:r>
        <w:tab/>
      </w:r>
      <w:r>
        <w:tab/>
      </w:r>
      <w:bookmarkStart w:id="8" w:name="Start_Cursor"/>
      <w:bookmarkEnd w:id="8"/>
      <w:r>
        <w:t xml:space="preserve">These </w:t>
      </w:r>
      <w:r>
        <w:rPr>
          <w:spacing w:val="-2"/>
        </w:rPr>
        <w:t>regulations</w:t>
      </w:r>
      <w:r>
        <w:t xml:space="preserve"> are the </w:t>
      </w:r>
      <w:r>
        <w:rPr>
          <w:i/>
        </w:rPr>
        <w:t>Environmental Protection (Cost Recovery) Regulations 2021</w:t>
      </w:r>
      <w:r>
        <w:t>.</w:t>
      </w:r>
    </w:p>
    <w:p>
      <w:pPr>
        <w:pStyle w:val="Heading5"/>
        <w:rPr>
          <w:spacing w:val="-2"/>
        </w:rPr>
      </w:pPr>
      <w:bookmarkStart w:id="9" w:name="_Toc90472768"/>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rPr>
          <w:snapToGrid w:val="0"/>
        </w:rPr>
      </w:pPr>
      <w:bookmarkStart w:id="10" w:name="_Toc90472769"/>
      <w:r>
        <w:rPr>
          <w:rStyle w:val="CharSectno"/>
        </w:rPr>
        <w:t>3</w:t>
      </w:r>
      <w:r>
        <w:rPr>
          <w:snapToGrid w:val="0"/>
        </w:rPr>
        <w:t>.</w:t>
      </w:r>
      <w:r>
        <w:rPr>
          <w:snapToGrid w:val="0"/>
        </w:rPr>
        <w:tab/>
        <w:t>Terms used</w:t>
      </w:r>
      <w:bookmarkEnd w:id="10"/>
    </w:p>
    <w:p>
      <w:pPr>
        <w:pStyle w:val="Subsection"/>
      </w:pPr>
      <w:r>
        <w:tab/>
      </w:r>
      <w:r>
        <w:tab/>
        <w:t xml:space="preserve">In these regulations — </w:t>
      </w:r>
    </w:p>
    <w:p>
      <w:pPr>
        <w:pStyle w:val="Defstart"/>
      </w:pPr>
      <w:r>
        <w:tab/>
      </w:r>
      <w:r>
        <w:rPr>
          <w:rStyle w:val="CharDefText"/>
        </w:rPr>
        <w:t>accredited assessment process</w:t>
      </w:r>
      <w:r>
        <w:t xml:space="preserve"> means a process under Part IV of the Act that the Commonwealth Minister has, under the EPBC Act section 87(1), decided to use for an assessment for the purposes of the EPBC Act;</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Commonwealth Minister</w:t>
      </w:r>
      <w:r>
        <w:t xml:space="preserve"> means the Minister referred to in the EPBC Act;</w:t>
      </w:r>
    </w:p>
    <w:p>
      <w:pPr>
        <w:pStyle w:val="Defstart"/>
      </w:pPr>
      <w:r>
        <w:tab/>
      </w:r>
      <w:r>
        <w:rPr>
          <w:rStyle w:val="CharDefText"/>
        </w:rPr>
        <w:t>compliance priority rating</w:t>
      </w:r>
      <w:r>
        <w:t>, for an approved proposal, has the meaning given in regulation 12;</w:t>
      </w:r>
    </w:p>
    <w:p>
      <w:pPr>
        <w:pStyle w:val="Defstart"/>
        <w:keepNext/>
      </w:pPr>
      <w:r>
        <w:lastRenderedPageBreak/>
        <w:tab/>
      </w:r>
      <w:r>
        <w:rPr>
          <w:rStyle w:val="CharDefText"/>
        </w:rPr>
        <w:t>costs</w:t>
      </w:r>
      <w:r>
        <w:t xml:space="preserve">, of the Department — </w:t>
      </w:r>
    </w:p>
    <w:p>
      <w:pPr>
        <w:pStyle w:val="Defpara"/>
      </w:pPr>
      <w:r>
        <w:tab/>
        <w:t>(a)</w:t>
      </w:r>
      <w:r>
        <w:tab/>
        <w:t xml:space="preserve">means — </w:t>
      </w:r>
    </w:p>
    <w:p>
      <w:pPr>
        <w:pStyle w:val="Defsubpara"/>
      </w:pPr>
      <w:r>
        <w:tab/>
        <w:t>(i)</w:t>
      </w:r>
      <w:r>
        <w:tab/>
        <w:t>costs of employing Departmental staff who assess proposals; and</w:t>
      </w:r>
    </w:p>
    <w:p>
      <w:pPr>
        <w:pStyle w:val="Defsubpara"/>
      </w:pPr>
      <w:r>
        <w:tab/>
        <w:t>(ii)</w:t>
      </w:r>
      <w:r>
        <w:tab/>
        <w:t>costs of employing Departmental staff, to the extent that they manage or support staff referred to in subparagraph (i); and</w:t>
      </w:r>
    </w:p>
    <w:p>
      <w:pPr>
        <w:pStyle w:val="Defsubpara"/>
      </w:pPr>
      <w:r>
        <w:tab/>
        <w:t>(iii)</w:t>
      </w:r>
      <w:r>
        <w:tab/>
        <w:t>indirect costs of the Department; and</w:t>
      </w:r>
    </w:p>
    <w:p>
      <w:pPr>
        <w:pStyle w:val="Defsubpara"/>
      </w:pPr>
      <w:r>
        <w:tab/>
        <w:t>(iv)</w:t>
      </w:r>
      <w:r>
        <w:tab/>
        <w:t>costs of funding staff of another agency for the purposes of the other agency assisting, or providing advice, in relation to the Department assessing proposals;</w:t>
      </w:r>
    </w:p>
    <w:p>
      <w:pPr>
        <w:pStyle w:val="Defpara"/>
      </w:pPr>
      <w:r>
        <w:tab/>
      </w:r>
      <w:r>
        <w:tab/>
        <w:t>but</w:t>
      </w:r>
    </w:p>
    <w:p>
      <w:pPr>
        <w:pStyle w:val="Defpara"/>
      </w:pPr>
      <w:r>
        <w:tab/>
        <w:t>(b)</w:t>
      </w:r>
      <w:r>
        <w:tab/>
        <w:t>does not include external costs of the Department;</w:t>
      </w:r>
    </w:p>
    <w:p>
      <w:pPr>
        <w:pStyle w:val="Defstart"/>
      </w:pPr>
      <w:r>
        <w:tab/>
      </w:r>
      <w:r>
        <w:rPr>
          <w:rStyle w:val="CharDefText"/>
        </w:rPr>
        <w:t>Departmental staff</w:t>
      </w:r>
      <w:r>
        <w:t xml:space="preserve"> means persons referred to in section 22 or 24 of the Act;</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pPr>
      <w:r>
        <w:tab/>
      </w:r>
      <w:r>
        <w:rPr>
          <w:rStyle w:val="CharDefText"/>
        </w:rPr>
        <w:t>EMP</w:t>
      </w:r>
      <w:r>
        <w:t xml:space="preserve"> means </w:t>
      </w:r>
      <w:r>
        <w:rPr>
          <w:szCs w:val="24"/>
        </w:rPr>
        <w:t>an environmental management plan, environmental management system or environmental improvement plan;</w:t>
      </w:r>
    </w:p>
    <w:p>
      <w:pPr>
        <w:pStyle w:val="Defstart"/>
      </w:pPr>
      <w:r>
        <w:tab/>
      </w:r>
      <w:r>
        <w:rPr>
          <w:rStyle w:val="CharDefText"/>
        </w:rPr>
        <w:t>environmental offset</w:t>
      </w:r>
      <w:r>
        <w:t xml:space="preserve"> means a requirement intended to offset the impact of the implementation of a proposal on the environment, including a requirement of the kind referred to in section 45A(1)(b), (c) or (d) of the Act;</w:t>
      </w:r>
    </w:p>
    <w:p>
      <w:pPr>
        <w:pStyle w:val="Defstart"/>
      </w:pPr>
      <w:r>
        <w:tab/>
      </w:r>
      <w:r>
        <w:rPr>
          <w:rStyle w:val="CharDefText"/>
        </w:rPr>
        <w:t>EPBC Act</w:t>
      </w:r>
      <w:r>
        <w:t xml:space="preserve"> means the </w:t>
      </w:r>
      <w:r>
        <w:rPr>
          <w:i/>
        </w:rPr>
        <w:t>Environment Protection and Biodiversity Conservation Act 1999</w:t>
      </w:r>
      <w:r>
        <w:t xml:space="preserve"> (Commonwealth);</w:t>
      </w:r>
    </w:p>
    <w:p>
      <w:pPr>
        <w:pStyle w:val="Defstart"/>
      </w:pPr>
      <w:r>
        <w:tab/>
      </w:r>
      <w:r>
        <w:rPr>
          <w:rStyle w:val="CharDefText"/>
        </w:rPr>
        <w:t>external costs</w:t>
      </w:r>
      <w:r>
        <w:t xml:space="preserve">, of the Department, means — </w:t>
      </w:r>
    </w:p>
    <w:p>
      <w:pPr>
        <w:pStyle w:val="Defpara"/>
      </w:pPr>
      <w:r>
        <w:tab/>
        <w:t>(a)</w:t>
      </w:r>
      <w:r>
        <w:tab/>
        <w:t>costs of acquiring services in the nature of advice; and</w:t>
      </w:r>
    </w:p>
    <w:p>
      <w:pPr>
        <w:pStyle w:val="Defpara"/>
      </w:pPr>
      <w:r>
        <w:lastRenderedPageBreak/>
        <w:tab/>
        <w:t>(b)</w:t>
      </w:r>
      <w:r>
        <w:tab/>
        <w:t>costs (including of meals and accommodation) of Departmental staff travelling to the site of a proposal or a related site;</w:t>
      </w:r>
    </w:p>
    <w:p>
      <w:pPr>
        <w:pStyle w:val="Defstart"/>
      </w:pPr>
      <w:r>
        <w:tab/>
      </w:r>
      <w:r>
        <w:rPr>
          <w:rStyle w:val="CharDefText"/>
        </w:rPr>
        <w:t>fee</w:t>
      </w:r>
      <w:r>
        <w:t xml:space="preserve"> includes charge;</w:t>
      </w:r>
    </w:p>
    <w:p>
      <w:pPr>
        <w:pStyle w:val="Defstart"/>
      </w:pPr>
      <w:r>
        <w:tab/>
      </w:r>
      <w:r>
        <w:rPr>
          <w:rStyle w:val="CharDefText"/>
        </w:rPr>
        <w:t>indirect costs</w:t>
      </w:r>
      <w:r>
        <w:t>, of the Department, means costs that are not directly attributable to the performance of a particular function, including —</w:t>
      </w:r>
    </w:p>
    <w:p>
      <w:pPr>
        <w:pStyle w:val="Defpara"/>
      </w:pPr>
      <w:r>
        <w:tab/>
        <w:t>(a)</w:t>
      </w:r>
      <w:r>
        <w:tab/>
        <w:t>costs relating to office accommodation, motor vehicles and equipment; and</w:t>
      </w:r>
    </w:p>
    <w:p>
      <w:pPr>
        <w:pStyle w:val="Defpara"/>
      </w:pPr>
      <w:r>
        <w:tab/>
        <w:t>(b)</w:t>
      </w:r>
      <w:r>
        <w:tab/>
        <w:t>costs of licensing, including of equipment and intellectual property; and</w:t>
      </w:r>
    </w:p>
    <w:p>
      <w:pPr>
        <w:pStyle w:val="Defpara"/>
      </w:pPr>
      <w:r>
        <w:tab/>
        <w:t>(c)</w:t>
      </w:r>
      <w:r>
        <w:tab/>
        <w:t>depreciation;</w:t>
      </w:r>
    </w:p>
    <w:p>
      <w:pPr>
        <w:pStyle w:val="Defstart"/>
      </w:pPr>
      <w:r>
        <w:tab/>
      </w:r>
      <w:r>
        <w:rPr>
          <w:rStyle w:val="CharDefText"/>
        </w:rPr>
        <w:t>scoping document</w:t>
      </w:r>
      <w:r>
        <w:t xml:space="preserve"> means a document in which the Authority determines the form, content, timing and procedure of an environmental review, under section 40(3) of the Act;</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Ednotepart"/>
      </w:pPr>
      <w:r>
        <w:t>[Part 2 has not come into operation.]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1" w:name="_Toc90390076"/>
      <w:bookmarkStart w:id="12" w:name="_Toc90390215"/>
      <w:bookmarkStart w:id="13" w:name="_Toc90472770"/>
      <w:r>
        <w:lastRenderedPageBreak/>
        <w:t>Notes</w:t>
      </w:r>
      <w:bookmarkEnd w:id="11"/>
      <w:bookmarkEnd w:id="12"/>
      <w:bookmarkEnd w:id="13"/>
    </w:p>
    <w:p>
      <w:pPr>
        <w:pStyle w:val="nStatement"/>
      </w:pPr>
      <w:r>
        <w:t xml:space="preserve">This is a compilation of the </w:t>
      </w:r>
      <w:r>
        <w:rPr>
          <w:i/>
          <w:noProof/>
        </w:rPr>
        <w:t>Environmental Protection (Cost Recovery) Regulations 2021</w:t>
      </w:r>
      <w:r>
        <w:t>. For provisions that have come into operation see the compilation table. For provisions that have not yet come into operation see the uncommenced provisions table.</w:t>
      </w:r>
    </w:p>
    <w:p>
      <w:pPr>
        <w:pStyle w:val="nHeading3"/>
      </w:pPr>
      <w:bookmarkStart w:id="14" w:name="_Toc90472771"/>
      <w:r>
        <w:t>Compilation table</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Environmental Protection (Cost Recovery) Regulations 2021 </w:t>
            </w:r>
            <w:r>
              <w:rPr>
                <w:noProof/>
              </w:rPr>
              <w:t>Pt. 1</w:t>
            </w:r>
          </w:p>
        </w:tc>
        <w:tc>
          <w:tcPr>
            <w:tcW w:w="1276" w:type="dxa"/>
          </w:tcPr>
          <w:p>
            <w:pPr>
              <w:pStyle w:val="nTable"/>
              <w:spacing w:after="40"/>
            </w:pPr>
            <w:r>
              <w:t>SL 2021/217 17 Dec 2021</w:t>
            </w:r>
          </w:p>
        </w:tc>
        <w:tc>
          <w:tcPr>
            <w:tcW w:w="2693" w:type="dxa"/>
          </w:tcPr>
          <w:p>
            <w:pPr>
              <w:pStyle w:val="nTable"/>
              <w:spacing w:after="40"/>
            </w:pPr>
            <w:r>
              <w:t>17 Dec 2021 (see r. 2(a))</w:t>
            </w:r>
          </w:p>
        </w:tc>
      </w:tr>
    </w:tbl>
    <w:p>
      <w:pPr>
        <w:pStyle w:val="nHeading3"/>
      </w:pPr>
      <w:bookmarkStart w:id="15" w:name="_Toc90472772"/>
      <w:r>
        <w:t>Uncommenced provisions table</w:t>
      </w:r>
      <w:bookmarkEnd w:id="1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Environmental Protection (Cost Recovery) Regulations 2021 </w:t>
            </w:r>
            <w:r>
              <w:rPr>
                <w:noProof/>
              </w:rPr>
              <w:t>Pt. 2</w:t>
            </w:r>
          </w:p>
        </w:tc>
        <w:tc>
          <w:tcPr>
            <w:tcW w:w="1276" w:type="dxa"/>
          </w:tcPr>
          <w:p>
            <w:pPr>
              <w:pStyle w:val="nTable"/>
              <w:spacing w:after="40"/>
            </w:pPr>
            <w:r>
              <w:t>SL 2021/217 17 Dec 2021</w:t>
            </w:r>
          </w:p>
        </w:tc>
        <w:tc>
          <w:tcPr>
            <w:tcW w:w="2693" w:type="dxa"/>
          </w:tcPr>
          <w:p>
            <w:pPr>
              <w:pStyle w:val="nTable"/>
              <w:spacing w:after="40"/>
            </w:pPr>
            <w:r>
              <w:t>18 Dec 2021 (see r. 2(b))</w:t>
            </w:r>
          </w:p>
        </w:tc>
      </w:tr>
    </w:tbl>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7" w:name="_Toc90472773"/>
      <w:r>
        <w:rPr>
          <w:sz w:val="28"/>
        </w:rPr>
        <w:lastRenderedPageBreak/>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assessment process</w:t>
      </w:r>
      <w:r>
        <w:tab/>
        <w:t>3</w:t>
      </w:r>
    </w:p>
    <w:p>
      <w:pPr>
        <w:pStyle w:val="DefinedTerms"/>
      </w:pPr>
      <w:r>
        <w:t>agency</w:t>
      </w:r>
      <w:r>
        <w:tab/>
        <w:t>3</w:t>
      </w:r>
    </w:p>
    <w:p>
      <w:pPr>
        <w:pStyle w:val="DefinedTerms"/>
      </w:pPr>
      <w:r>
        <w:t>Commonwealth Minister</w:t>
      </w:r>
      <w:r>
        <w:tab/>
        <w:t>3</w:t>
      </w:r>
    </w:p>
    <w:p>
      <w:pPr>
        <w:pStyle w:val="DefinedTerms"/>
      </w:pPr>
      <w:r>
        <w:t>compliance priority rating</w:t>
      </w:r>
      <w:r>
        <w:tab/>
        <w:t>3</w:t>
      </w:r>
    </w:p>
    <w:p>
      <w:pPr>
        <w:pStyle w:val="DefinedTerms"/>
      </w:pPr>
      <w:r>
        <w:t>costs</w:t>
      </w:r>
      <w:r>
        <w:tab/>
        <w:t>3</w:t>
      </w:r>
    </w:p>
    <w:p>
      <w:pPr>
        <w:pStyle w:val="DefinedTerms"/>
      </w:pPr>
      <w:r>
        <w:t>Departmental staff</w:t>
      </w:r>
      <w:r>
        <w:tab/>
        <w:t>3</w:t>
      </w:r>
    </w:p>
    <w:p>
      <w:pPr>
        <w:pStyle w:val="DefinedTerms"/>
      </w:pPr>
      <w:r>
        <w:t>Department’s website</w:t>
      </w:r>
      <w:r>
        <w:tab/>
        <w:t>3</w:t>
      </w:r>
    </w:p>
    <w:p>
      <w:pPr>
        <w:pStyle w:val="DefinedTerms"/>
      </w:pPr>
      <w:r>
        <w:t>ecological community</w:t>
      </w:r>
      <w:r>
        <w:tab/>
        <w:t>3</w:t>
      </w:r>
    </w:p>
    <w:p>
      <w:pPr>
        <w:pStyle w:val="DefinedTerms"/>
      </w:pPr>
      <w:r>
        <w:t>EMP</w:t>
      </w:r>
      <w:r>
        <w:tab/>
        <w:t>3</w:t>
      </w:r>
    </w:p>
    <w:p>
      <w:pPr>
        <w:pStyle w:val="DefinedTerms"/>
      </w:pPr>
      <w:r>
        <w:t>environmental offset</w:t>
      </w:r>
      <w:r>
        <w:tab/>
        <w:t>3</w:t>
      </w:r>
    </w:p>
    <w:p>
      <w:pPr>
        <w:pStyle w:val="DefinedTerms"/>
      </w:pPr>
      <w:r>
        <w:t>EPBC Act</w:t>
      </w:r>
      <w:r>
        <w:tab/>
        <w:t>3</w:t>
      </w:r>
    </w:p>
    <w:p>
      <w:pPr>
        <w:pStyle w:val="DefinedTerms"/>
      </w:pPr>
      <w:r>
        <w:t>external costs</w:t>
      </w:r>
      <w:r>
        <w:tab/>
        <w:t>3</w:t>
      </w:r>
    </w:p>
    <w:p>
      <w:pPr>
        <w:pStyle w:val="DefinedTerms"/>
      </w:pPr>
      <w:r>
        <w:t>fee</w:t>
      </w:r>
      <w:r>
        <w:tab/>
        <w:t>3</w:t>
      </w:r>
    </w:p>
    <w:p>
      <w:pPr>
        <w:pStyle w:val="DefinedTerms"/>
      </w:pPr>
      <w:r>
        <w:t>indirect costs</w:t>
      </w:r>
      <w:r>
        <w:tab/>
        <w:t>3</w:t>
      </w:r>
    </w:p>
    <w:p>
      <w:pPr>
        <w:pStyle w:val="DefinedTerms"/>
      </w:pPr>
      <w:r>
        <w:t>scoping document</w:t>
      </w:r>
      <w:r>
        <w:tab/>
        <w:t>3</w:t>
      </w:r>
    </w:p>
    <w:p>
      <w:pPr>
        <w:pStyle w:val="DefinedTerms"/>
      </w:pPr>
      <w:r>
        <w:t>species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(Cost Recovery)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15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12141551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8231540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54048_GUID" w:val="f6e2f762-b369-4cae-a1e1-95ccf3db899a"/>
    <w:docVar w:name="WAFER_20210907110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10834_GUID" w:val="540ca4c7-f9e4-45ed-80eb-240603b98ad9"/>
    <w:docVar w:name="WAFER_20211116141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1949_GUID" w:val="1afd6add-b2e2-4192-ad24-012bd9680e1c"/>
    <w:docVar w:name="WAFER_202111230946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094631_GUID" w:val="99fa3960-632a-43a7-99d8-5b7d8af47b8f"/>
    <w:docVar w:name="WAFER_20211206092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6092817_GUID" w:val="7d13f577-baae-4fa0-9ed5-c9d46c03f7ae"/>
    <w:docVar w:name="WAFER_20211214155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55151_GUID" w:val="fce8232a-9f3d-4647-968b-4ab2db06c4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52F34DB3-B55D-4230-9ADB-11382D24E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98467-AEB1-4363-8F48-01DAE9415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773</Words>
  <Characters>4283</Characters>
  <Application>Microsoft Office Word</Application>
  <DocSecurity>0</DocSecurity>
  <Lines>164</Lines>
  <Paragraphs>120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(Cost Recovery) Regulations 2021 - 00-a0-00</dc:title>
  <dc:subject/>
  <dc:creator/>
  <cp:keywords/>
  <dc:description/>
  <cp:lastModifiedBy>Master Repository Process</cp:lastModifiedBy>
  <cp:revision>4</cp:revision>
  <cp:lastPrinted>2021-12-14T06:09:00Z</cp:lastPrinted>
  <dcterms:created xsi:type="dcterms:W3CDTF">2021-12-16T07:53:00Z</dcterms:created>
  <dcterms:modified xsi:type="dcterms:W3CDTF">2021-12-16T07:53:00Z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52984</vt:lpwstr>
  </property>
  <property fmtid="{D5CDD505-2E9C-101B-9397-08002B2CF9AE}" pid="3" name="DocumentType">
    <vt:lpwstr>Reg</vt:lpwstr>
  </property>
  <property fmtid="{D5CDD505-2E9C-101B-9397-08002B2CF9AE}" pid="4" name="AsAtDate">
    <vt:lpwstr>17 Dec 2021</vt:lpwstr>
  </property>
  <property fmtid="{D5CDD505-2E9C-101B-9397-08002B2CF9AE}" pid="5" name="Suffix">
    <vt:lpwstr>00-a0-00</vt:lpwstr>
  </property>
  <property fmtid="{D5CDD505-2E9C-101B-9397-08002B2CF9AE}" pid="6" name="CommencementDate">
    <vt:lpwstr>20211217</vt:lpwstr>
  </property>
</Properties>
</file>