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Supreme Court Act 1935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Supreme Court (Court of Appeal)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Supreme Court (Court of Appeal)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_Toc425243269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_Toc425243270 \h </w:instrText>
      </w:r>
      <w:r>
        <w:fldChar w:fldCharType="separate"/>
      </w:r>
      <w:r>
        <w:t>1</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_Toc425243271 \h </w:instrText>
      </w:r>
      <w:r>
        <w:fldChar w:fldCharType="separate"/>
      </w:r>
      <w:r>
        <w:t>1</w:t>
      </w:r>
      <w:r>
        <w:fldChar w:fldCharType="end"/>
      </w:r>
    </w:p>
    <w:p>
      <w:pPr>
        <w:pStyle w:val="TOC8"/>
        <w:rPr>
          <w:rFonts w:asciiTheme="minorHAnsi" w:eastAsiaTheme="minorEastAsia" w:hAnsiTheme="minorHAnsi" w:cstheme="minorBidi"/>
          <w:szCs w:val="22"/>
        </w:rPr>
      </w:pPr>
      <w:r>
        <w:t>4.</w:t>
      </w:r>
      <w:r>
        <w:tab/>
        <w:t>Application of these rules</w:t>
      </w:r>
      <w:r>
        <w:tab/>
      </w:r>
      <w:r>
        <w:fldChar w:fldCharType="begin"/>
      </w:r>
      <w:r>
        <w:instrText xml:space="preserve"> PAGEREF _Toc425243272 \h </w:instrText>
      </w:r>
      <w:r>
        <w:fldChar w:fldCharType="separate"/>
      </w:r>
      <w:r>
        <w:t>4</w:t>
      </w:r>
      <w:r>
        <w:fldChar w:fldCharType="end"/>
      </w:r>
    </w:p>
    <w:p>
      <w:pPr>
        <w:pStyle w:val="TOC8"/>
        <w:rPr>
          <w:rFonts w:asciiTheme="minorHAnsi" w:eastAsiaTheme="minorEastAsia" w:hAnsiTheme="minorHAnsi" w:cstheme="minorBidi"/>
          <w:szCs w:val="22"/>
        </w:rPr>
      </w:pPr>
      <w:r>
        <w:t>5.</w:t>
      </w:r>
      <w:r>
        <w:tab/>
        <w:t xml:space="preserve">Application of the </w:t>
      </w:r>
      <w:r>
        <w:rPr>
          <w:i/>
        </w:rPr>
        <w:t>Rules of the Supreme Court 1971</w:t>
      </w:r>
      <w:r>
        <w:tab/>
      </w:r>
      <w:r>
        <w:fldChar w:fldCharType="begin"/>
      </w:r>
      <w:r>
        <w:instrText xml:space="preserve"> PAGEREF _Toc425243273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Delegated jurisdiction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w:t>
      </w:r>
      <w:r>
        <w:tab/>
        <w:t>Hearings by telephone</w:t>
      </w:r>
      <w:r>
        <w:tab/>
      </w:r>
      <w:r>
        <w:fldChar w:fldCharType="begin"/>
      </w:r>
      <w:r>
        <w:instrText xml:space="preserve"> PAGEREF _Toc425243276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Single judge’s jurisdiction</w:t>
      </w:r>
    </w:p>
    <w:p>
      <w:pPr>
        <w:pStyle w:val="TOC8"/>
        <w:rPr>
          <w:rFonts w:asciiTheme="minorHAnsi" w:eastAsiaTheme="minorEastAsia" w:hAnsiTheme="minorHAnsi" w:cstheme="minorBidi"/>
          <w:szCs w:val="22"/>
        </w:rPr>
      </w:pPr>
      <w:r>
        <w:t>7.</w:t>
      </w:r>
      <w:r>
        <w:tab/>
        <w:t>General jurisdiction</w:t>
      </w:r>
      <w:r>
        <w:tab/>
      </w:r>
      <w:r>
        <w:fldChar w:fldCharType="begin"/>
      </w:r>
      <w:r>
        <w:instrText xml:space="preserve"> PAGEREF _Toc425243278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Reviewing decisions by a single judge</w:t>
      </w:r>
    </w:p>
    <w:p>
      <w:pPr>
        <w:pStyle w:val="TOC8"/>
        <w:rPr>
          <w:rFonts w:asciiTheme="minorHAnsi" w:eastAsiaTheme="minorEastAsia" w:hAnsiTheme="minorHAnsi" w:cstheme="minorBidi"/>
          <w:szCs w:val="22"/>
        </w:rPr>
      </w:pPr>
      <w:r>
        <w:t>8.</w:t>
      </w:r>
      <w:r>
        <w:tab/>
        <w:t>Application for review by Court of Appeal</w:t>
      </w:r>
      <w:r>
        <w:tab/>
      </w:r>
      <w:r>
        <w:fldChar w:fldCharType="begin"/>
      </w:r>
      <w:r>
        <w:instrText xml:space="preserve"> PAGEREF _Toc425243280 \h </w:instrText>
      </w:r>
      <w:r>
        <w:fldChar w:fldCharType="separate"/>
      </w:r>
      <w:r>
        <w:t>7</w:t>
      </w:r>
      <w:r>
        <w:fldChar w:fldCharType="end"/>
      </w:r>
    </w:p>
    <w:p>
      <w:pPr>
        <w:pStyle w:val="TOC8"/>
        <w:rPr>
          <w:rFonts w:asciiTheme="minorHAnsi" w:eastAsiaTheme="minorEastAsia" w:hAnsiTheme="minorHAnsi" w:cstheme="minorBidi"/>
          <w:szCs w:val="22"/>
        </w:rPr>
      </w:pPr>
      <w:r>
        <w:t>9.</w:t>
      </w:r>
      <w:r>
        <w:tab/>
        <w:t>Dealing with the application</w:t>
      </w:r>
      <w:r>
        <w:tab/>
      </w:r>
      <w:r>
        <w:fldChar w:fldCharType="begin"/>
      </w:r>
      <w:r>
        <w:instrText xml:space="preserve"> PAGEREF _Toc425243281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Registrar’s jurisdiction</w:t>
      </w:r>
    </w:p>
    <w:p>
      <w:pPr>
        <w:pStyle w:val="TOC8"/>
        <w:rPr>
          <w:rFonts w:asciiTheme="minorHAnsi" w:eastAsiaTheme="minorEastAsia" w:hAnsiTheme="minorHAnsi" w:cstheme="minorBidi"/>
          <w:szCs w:val="22"/>
        </w:rPr>
      </w:pPr>
      <w:r>
        <w:t>10.</w:t>
      </w:r>
      <w:r>
        <w:tab/>
        <w:t>General jurisdiction</w:t>
      </w:r>
      <w:r>
        <w:tab/>
      </w:r>
      <w:r>
        <w:fldChar w:fldCharType="begin"/>
      </w:r>
      <w:r>
        <w:instrText xml:space="preserve"> PAGEREF _Toc425243283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 may refer appeal to single judge</w:t>
      </w:r>
      <w:r>
        <w:tab/>
      </w:r>
      <w:r>
        <w:fldChar w:fldCharType="begin"/>
      </w:r>
      <w:r>
        <w:instrText xml:space="preserve"> PAGEREF _Toc425243284 \h </w:instrText>
      </w:r>
      <w:r>
        <w:fldChar w:fldCharType="separate"/>
      </w:r>
      <w:r>
        <w:t>9</w:t>
      </w:r>
      <w:r>
        <w:fldChar w:fldCharType="end"/>
      </w:r>
    </w:p>
    <w:p>
      <w:pPr>
        <w:pStyle w:val="TOC8"/>
        <w:rPr>
          <w:rFonts w:asciiTheme="minorHAnsi" w:eastAsiaTheme="minorEastAsia" w:hAnsiTheme="minorHAnsi" w:cstheme="minorBidi"/>
          <w:szCs w:val="22"/>
        </w:rPr>
      </w:pPr>
      <w:r>
        <w:t>12.</w:t>
      </w:r>
      <w:r>
        <w:tab/>
        <w:t>Hearing before single judge or registrar, parties to be notified</w:t>
      </w:r>
      <w:r>
        <w:tab/>
      </w:r>
      <w:r>
        <w:fldChar w:fldCharType="begin"/>
      </w:r>
      <w:r>
        <w:instrText xml:space="preserve"> PAGEREF _Toc425243285 \h </w:instrText>
      </w:r>
      <w:r>
        <w:fldChar w:fldCharType="separate"/>
      </w:r>
      <w:r>
        <w:t>9</w:t>
      </w:r>
      <w:r>
        <w:fldChar w:fldCharType="end"/>
      </w:r>
    </w:p>
    <w:p>
      <w:pPr>
        <w:pStyle w:val="TOC8"/>
        <w:rPr>
          <w:rFonts w:asciiTheme="minorHAnsi" w:eastAsiaTheme="minorEastAsia" w:hAnsiTheme="minorHAnsi" w:cstheme="minorBidi"/>
          <w:szCs w:val="22"/>
        </w:rPr>
      </w:pPr>
      <w:r>
        <w:t>13.</w:t>
      </w:r>
      <w:r>
        <w:tab/>
        <w:t>Written order by registrar, issue and service of</w:t>
      </w:r>
      <w:r>
        <w:tab/>
      </w:r>
      <w:r>
        <w:fldChar w:fldCharType="begin"/>
      </w:r>
      <w:r>
        <w:instrText xml:space="preserve"> PAGEREF _Toc425243286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5 — Reviewing decisions by the registrar</w:t>
      </w:r>
    </w:p>
    <w:p>
      <w:pPr>
        <w:pStyle w:val="TOC8"/>
        <w:rPr>
          <w:rFonts w:asciiTheme="minorHAnsi" w:eastAsiaTheme="minorEastAsia" w:hAnsiTheme="minorHAnsi" w:cstheme="minorBidi"/>
          <w:szCs w:val="22"/>
        </w:rPr>
      </w:pPr>
      <w:r>
        <w:t>14.</w:t>
      </w:r>
      <w:r>
        <w:tab/>
        <w:t>Interpretation</w:t>
      </w:r>
      <w:r>
        <w:tab/>
      </w:r>
      <w:r>
        <w:fldChar w:fldCharType="begin"/>
      </w:r>
      <w:r>
        <w:instrText xml:space="preserve"> PAGEREF _Toc425243288 \h </w:instrText>
      </w:r>
      <w:r>
        <w:fldChar w:fldCharType="separate"/>
      </w:r>
      <w:r>
        <w:t>10</w:t>
      </w:r>
      <w:r>
        <w:fldChar w:fldCharType="end"/>
      </w:r>
    </w:p>
    <w:p>
      <w:pPr>
        <w:pStyle w:val="TOC8"/>
        <w:rPr>
          <w:rFonts w:asciiTheme="minorHAnsi" w:eastAsiaTheme="minorEastAsia" w:hAnsiTheme="minorHAnsi" w:cstheme="minorBidi"/>
          <w:szCs w:val="22"/>
        </w:rPr>
      </w:pPr>
      <w:r>
        <w:t>15.</w:t>
      </w:r>
      <w:r>
        <w:tab/>
        <w:t>Application for review by single judge</w:t>
      </w:r>
      <w:r>
        <w:tab/>
      </w:r>
      <w:r>
        <w:fldChar w:fldCharType="begin"/>
      </w:r>
      <w:r>
        <w:instrText xml:space="preserve"> PAGEREF _Toc425243289 \h </w:instrText>
      </w:r>
      <w:r>
        <w:fldChar w:fldCharType="separate"/>
      </w:r>
      <w:r>
        <w:t>10</w:t>
      </w:r>
      <w:r>
        <w:fldChar w:fldCharType="end"/>
      </w:r>
    </w:p>
    <w:p>
      <w:pPr>
        <w:pStyle w:val="TOC8"/>
        <w:rPr>
          <w:rFonts w:asciiTheme="minorHAnsi" w:eastAsiaTheme="minorEastAsia" w:hAnsiTheme="minorHAnsi" w:cstheme="minorBidi"/>
          <w:szCs w:val="22"/>
        </w:rPr>
      </w:pPr>
      <w:r>
        <w:t>16.</w:t>
      </w:r>
      <w:r>
        <w:tab/>
        <w:t>Dealing with the application</w:t>
      </w:r>
      <w:r>
        <w:tab/>
      </w:r>
      <w:r>
        <w:fldChar w:fldCharType="begin"/>
      </w:r>
      <w:r>
        <w:instrText xml:space="preserve"> PAGEREF _Toc425243290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17.</w:t>
      </w:r>
      <w:r>
        <w:tab/>
        <w:t>Non-attendance by party, consequences of</w:t>
      </w:r>
      <w:r>
        <w:tab/>
      </w:r>
      <w:r>
        <w:fldChar w:fldCharType="begin"/>
      </w:r>
      <w:r>
        <w:instrText xml:space="preserve"> PAGEREF _Toc425243292 \h </w:instrText>
      </w:r>
      <w:r>
        <w:fldChar w:fldCharType="separate"/>
      </w:r>
      <w:r>
        <w:t>11</w:t>
      </w:r>
      <w:r>
        <w:fldChar w:fldCharType="end"/>
      </w:r>
    </w:p>
    <w:p>
      <w:pPr>
        <w:pStyle w:val="TOC8"/>
        <w:rPr>
          <w:rFonts w:asciiTheme="minorHAnsi" w:eastAsiaTheme="minorEastAsia" w:hAnsiTheme="minorHAnsi" w:cstheme="minorBidi"/>
          <w:szCs w:val="22"/>
        </w:rPr>
      </w:pPr>
      <w:r>
        <w:t>18.</w:t>
      </w:r>
      <w:r>
        <w:tab/>
        <w:t>Decisions made in absence of a party</w:t>
      </w:r>
      <w:r>
        <w:tab/>
      </w:r>
      <w:r>
        <w:fldChar w:fldCharType="begin"/>
      </w:r>
      <w:r>
        <w:instrText xml:space="preserve"> PAGEREF _Toc425243293 \h </w:instrText>
      </w:r>
      <w:r>
        <w:fldChar w:fldCharType="separate"/>
      </w:r>
      <w:r>
        <w:t>11</w:t>
      </w:r>
      <w:r>
        <w:fldChar w:fldCharType="end"/>
      </w:r>
    </w:p>
    <w:p>
      <w:pPr>
        <w:pStyle w:val="TOC8"/>
        <w:rPr>
          <w:rFonts w:asciiTheme="minorHAnsi" w:eastAsiaTheme="minorEastAsia" w:hAnsiTheme="minorHAnsi" w:cstheme="minorBidi"/>
          <w:szCs w:val="22"/>
        </w:rPr>
      </w:pPr>
      <w:r>
        <w:t>19.</w:t>
      </w:r>
      <w:r>
        <w:tab/>
        <w:t>Decisions made on the papers</w:t>
      </w:r>
      <w:r>
        <w:tab/>
      </w:r>
      <w:r>
        <w:fldChar w:fldCharType="begin"/>
      </w:r>
      <w:r>
        <w:instrText xml:space="preserve"> PAGEREF _Toc425243294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8"/>
        <w:rPr>
          <w:rFonts w:asciiTheme="minorHAnsi" w:eastAsiaTheme="minorEastAsia" w:hAnsiTheme="minorHAnsi" w:cstheme="minorBidi"/>
          <w:szCs w:val="22"/>
        </w:rPr>
      </w:pPr>
      <w:r>
        <w:t>20.</w:t>
      </w:r>
      <w:r>
        <w:tab/>
        <w:t>Forms, completion of</w:t>
      </w:r>
      <w:r>
        <w:tab/>
      </w:r>
      <w:r>
        <w:fldChar w:fldCharType="begin"/>
      </w:r>
      <w:r>
        <w:instrText xml:space="preserve"> PAGEREF _Toc425243296 \h </w:instrText>
      </w:r>
      <w:r>
        <w:fldChar w:fldCharType="separate"/>
      </w:r>
      <w:r>
        <w:t>13</w:t>
      </w:r>
      <w:r>
        <w:fldChar w:fldCharType="end"/>
      </w:r>
    </w:p>
    <w:p>
      <w:pPr>
        <w:pStyle w:val="TOC8"/>
        <w:rPr>
          <w:rFonts w:asciiTheme="minorHAnsi" w:eastAsiaTheme="minorEastAsia" w:hAnsiTheme="minorHAnsi" w:cstheme="minorBidi"/>
          <w:szCs w:val="22"/>
        </w:rPr>
      </w:pPr>
      <w:r>
        <w:t>21.</w:t>
      </w:r>
      <w:r>
        <w:tab/>
        <w:t>Filed documents, technical requirements</w:t>
      </w:r>
      <w:r>
        <w:tab/>
      </w:r>
      <w:r>
        <w:fldChar w:fldCharType="begin"/>
      </w:r>
      <w:r>
        <w:instrText xml:space="preserve"> PAGEREF _Toc425243297 \h </w:instrText>
      </w:r>
      <w:r>
        <w:fldChar w:fldCharType="separate"/>
      </w:r>
      <w:r>
        <w:t>14</w:t>
      </w:r>
      <w:r>
        <w:fldChar w:fldCharType="end"/>
      </w:r>
    </w:p>
    <w:p>
      <w:pPr>
        <w:pStyle w:val="TOC8"/>
        <w:rPr>
          <w:rFonts w:asciiTheme="minorHAnsi" w:eastAsiaTheme="minorEastAsia" w:hAnsiTheme="minorHAnsi" w:cstheme="minorBidi"/>
          <w:szCs w:val="22"/>
        </w:rPr>
      </w:pPr>
      <w:r>
        <w:t>22.</w:t>
      </w:r>
      <w:r>
        <w:tab/>
        <w:t>Filed documents to be served</w:t>
      </w:r>
      <w:r>
        <w:tab/>
      </w:r>
      <w:r>
        <w:fldChar w:fldCharType="begin"/>
      </w:r>
      <w:r>
        <w:instrText xml:space="preserve"> PAGEREF _Toc425243298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Duties of lawyers who act for parties</w:t>
      </w:r>
    </w:p>
    <w:p>
      <w:pPr>
        <w:pStyle w:val="TOC8"/>
        <w:rPr>
          <w:rFonts w:asciiTheme="minorHAnsi" w:eastAsiaTheme="minorEastAsia" w:hAnsiTheme="minorHAnsi" w:cstheme="minorBidi"/>
          <w:szCs w:val="22"/>
        </w:rPr>
      </w:pPr>
      <w:r>
        <w:t>23.</w:t>
      </w:r>
      <w:r>
        <w:tab/>
        <w:t>Duty to notify when acting for a party</w:t>
      </w:r>
      <w:r>
        <w:tab/>
      </w:r>
      <w:r>
        <w:fldChar w:fldCharType="begin"/>
      </w:r>
      <w:r>
        <w:instrText xml:space="preserve"> PAGEREF _Toc425243300 \h </w:instrText>
      </w:r>
      <w:r>
        <w:fldChar w:fldCharType="separate"/>
      </w:r>
      <w:r>
        <w:t>16</w:t>
      </w:r>
      <w:r>
        <w:fldChar w:fldCharType="end"/>
      </w:r>
    </w:p>
    <w:p>
      <w:pPr>
        <w:pStyle w:val="TOC8"/>
        <w:rPr>
          <w:rFonts w:asciiTheme="minorHAnsi" w:eastAsiaTheme="minorEastAsia" w:hAnsiTheme="minorHAnsi" w:cstheme="minorBidi"/>
          <w:szCs w:val="22"/>
        </w:rPr>
      </w:pPr>
      <w:r>
        <w:t>24.</w:t>
      </w:r>
      <w:r>
        <w:tab/>
        <w:t>Presumptions as to who is acting for a party</w:t>
      </w:r>
      <w:r>
        <w:tab/>
      </w:r>
      <w:r>
        <w:fldChar w:fldCharType="begin"/>
      </w:r>
      <w:r>
        <w:instrText xml:space="preserve"> PAGEREF _Toc425243301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Procedure for appeals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25.</w:t>
      </w:r>
      <w:r>
        <w:tab/>
        <w:t>Nature of appeals</w:t>
      </w:r>
      <w:r>
        <w:tab/>
      </w:r>
      <w:r>
        <w:fldChar w:fldCharType="begin"/>
      </w:r>
      <w:r>
        <w:instrText xml:space="preserve"> PAGEREF _Toc425243304 \h </w:instrText>
      </w:r>
      <w:r>
        <w:fldChar w:fldCharType="separate"/>
      </w:r>
      <w:r>
        <w:t>17</w:t>
      </w:r>
      <w:r>
        <w:fldChar w:fldCharType="end"/>
      </w:r>
    </w:p>
    <w:p>
      <w:pPr>
        <w:pStyle w:val="TOC8"/>
        <w:rPr>
          <w:rFonts w:asciiTheme="minorHAnsi" w:eastAsiaTheme="minorEastAsia" w:hAnsiTheme="minorHAnsi" w:cstheme="minorBidi"/>
          <w:szCs w:val="22"/>
        </w:rPr>
      </w:pPr>
      <w:r>
        <w:t>26.</w:t>
      </w:r>
      <w:r>
        <w:tab/>
        <w:t>Time for appealing</w:t>
      </w:r>
      <w:r>
        <w:tab/>
      </w:r>
      <w:r>
        <w:fldChar w:fldCharType="begin"/>
      </w:r>
      <w:r>
        <w:instrText xml:space="preserve"> PAGEREF _Toc425243305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Commencing an appeal</w:t>
      </w:r>
    </w:p>
    <w:p>
      <w:pPr>
        <w:pStyle w:val="TOC8"/>
        <w:rPr>
          <w:rFonts w:asciiTheme="minorHAnsi" w:eastAsiaTheme="minorEastAsia" w:hAnsiTheme="minorHAnsi" w:cstheme="minorBidi"/>
          <w:szCs w:val="22"/>
        </w:rPr>
      </w:pPr>
      <w:r>
        <w:t>27.</w:t>
      </w:r>
      <w:r>
        <w:tab/>
        <w:t>When an appeal is taken to be commenced</w:t>
      </w:r>
      <w:r>
        <w:tab/>
      </w:r>
      <w:r>
        <w:fldChar w:fldCharType="begin"/>
      </w:r>
      <w:r>
        <w:instrText xml:space="preserve"> PAGEREF _Toc425243307 \h </w:instrText>
      </w:r>
      <w:r>
        <w:fldChar w:fldCharType="separate"/>
      </w:r>
      <w:r>
        <w:t>17</w:t>
      </w:r>
      <w:r>
        <w:fldChar w:fldCharType="end"/>
      </w:r>
    </w:p>
    <w:p>
      <w:pPr>
        <w:pStyle w:val="TOC8"/>
        <w:rPr>
          <w:rFonts w:asciiTheme="minorHAnsi" w:eastAsiaTheme="minorEastAsia" w:hAnsiTheme="minorHAnsi" w:cstheme="minorBidi"/>
          <w:szCs w:val="22"/>
        </w:rPr>
      </w:pPr>
      <w:r>
        <w:t>28.</w:t>
      </w:r>
      <w:r>
        <w:tab/>
        <w:t>Criminal appeal, how to commence</w:t>
      </w:r>
      <w:r>
        <w:tab/>
      </w:r>
      <w:r>
        <w:fldChar w:fldCharType="begin"/>
      </w:r>
      <w:r>
        <w:instrText xml:space="preserve"> PAGEREF _Toc425243308 \h </w:instrText>
      </w:r>
      <w:r>
        <w:fldChar w:fldCharType="separate"/>
      </w:r>
      <w:r>
        <w:t>17</w:t>
      </w:r>
      <w:r>
        <w:fldChar w:fldCharType="end"/>
      </w:r>
    </w:p>
    <w:p>
      <w:pPr>
        <w:pStyle w:val="TOC8"/>
        <w:rPr>
          <w:rFonts w:asciiTheme="minorHAnsi" w:eastAsiaTheme="minorEastAsia" w:hAnsiTheme="minorHAnsi" w:cstheme="minorBidi"/>
          <w:szCs w:val="22"/>
        </w:rPr>
      </w:pPr>
      <w:r>
        <w:t>29.</w:t>
      </w:r>
      <w:r>
        <w:tab/>
        <w:t>Civil appeal, how to commence</w:t>
      </w:r>
      <w:r>
        <w:tab/>
      </w:r>
      <w:r>
        <w:fldChar w:fldCharType="begin"/>
      </w:r>
      <w:r>
        <w:instrText xml:space="preserve"> PAGEREF _Toc425243309 \h </w:instrText>
      </w:r>
      <w:r>
        <w:fldChar w:fldCharType="separate"/>
      </w:r>
      <w:r>
        <w:t>18</w:t>
      </w:r>
      <w:r>
        <w:fldChar w:fldCharType="end"/>
      </w:r>
    </w:p>
    <w:p>
      <w:pPr>
        <w:pStyle w:val="TOC8"/>
        <w:rPr>
          <w:rFonts w:asciiTheme="minorHAnsi" w:eastAsiaTheme="minorEastAsia" w:hAnsiTheme="minorHAnsi" w:cstheme="minorBidi"/>
          <w:szCs w:val="22"/>
        </w:rPr>
      </w:pPr>
      <w:r>
        <w:t>30.</w:t>
      </w:r>
      <w:r>
        <w:tab/>
        <w:t>Primary court to be notified and to supply records</w:t>
      </w:r>
      <w:r>
        <w:tab/>
      </w:r>
      <w:r>
        <w:fldChar w:fldCharType="begin"/>
      </w:r>
      <w:r>
        <w:instrText xml:space="preserve"> PAGEREF _Toc425243310 \h </w:instrText>
      </w:r>
      <w:r>
        <w:fldChar w:fldCharType="separate"/>
      </w:r>
      <w:r>
        <w:t>19</w:t>
      </w:r>
      <w:r>
        <w:fldChar w:fldCharType="end"/>
      </w:r>
    </w:p>
    <w:p>
      <w:pPr>
        <w:pStyle w:val="TOC8"/>
        <w:rPr>
          <w:rFonts w:asciiTheme="minorHAnsi" w:eastAsiaTheme="minorEastAsia" w:hAnsiTheme="minorHAnsi" w:cstheme="minorBidi"/>
          <w:szCs w:val="22"/>
        </w:rPr>
      </w:pPr>
      <w:r>
        <w:t>31.</w:t>
      </w:r>
      <w:r>
        <w:tab/>
        <w:t>Respondent’s options</w:t>
      </w:r>
      <w:r>
        <w:tab/>
      </w:r>
      <w:r>
        <w:fldChar w:fldCharType="begin"/>
      </w:r>
      <w:r>
        <w:instrText xml:space="preserve"> PAGEREF _Toc425243311 \h </w:instrText>
      </w:r>
      <w:r>
        <w:fldChar w:fldCharType="separate"/>
      </w:r>
      <w:r>
        <w:t>20</w:t>
      </w:r>
      <w:r>
        <w:fldChar w:fldCharType="end"/>
      </w:r>
    </w:p>
    <w:p>
      <w:pPr>
        <w:pStyle w:val="TOC8"/>
        <w:rPr>
          <w:rFonts w:asciiTheme="minorHAnsi" w:eastAsiaTheme="minorEastAsia" w:hAnsiTheme="minorHAnsi" w:cstheme="minorBidi"/>
          <w:szCs w:val="22"/>
        </w:rPr>
      </w:pPr>
      <w:r>
        <w:t>32.</w:t>
      </w:r>
      <w:r>
        <w:tab/>
        <w:t>“Appellant’s case” to be filed</w:t>
      </w:r>
      <w:r>
        <w:tab/>
      </w:r>
      <w:r>
        <w:fldChar w:fldCharType="begin"/>
      </w:r>
      <w:r>
        <w:instrText xml:space="preserve"> PAGEREF _Toc425243312 \h </w:instrText>
      </w:r>
      <w:r>
        <w:fldChar w:fldCharType="separate"/>
      </w:r>
      <w:r>
        <w:t>20</w:t>
      </w:r>
      <w:r>
        <w:fldChar w:fldCharType="end"/>
      </w:r>
    </w:p>
    <w:p>
      <w:pPr>
        <w:pStyle w:val="TOC8"/>
        <w:rPr>
          <w:rFonts w:asciiTheme="minorHAnsi" w:eastAsiaTheme="minorEastAsia" w:hAnsiTheme="minorHAnsi" w:cstheme="minorBidi"/>
          <w:szCs w:val="22"/>
        </w:rPr>
      </w:pPr>
      <w:r>
        <w:t>33.</w:t>
      </w:r>
      <w:r>
        <w:tab/>
        <w:t>“Respondent’s answer” to be filed</w:t>
      </w:r>
      <w:r>
        <w:tab/>
      </w:r>
      <w:r>
        <w:fldChar w:fldCharType="begin"/>
      </w:r>
      <w:r>
        <w:instrText xml:space="preserve"> PAGEREF _Toc425243313 \h </w:instrText>
      </w:r>
      <w:r>
        <w:fldChar w:fldCharType="separate"/>
      </w:r>
      <w:r>
        <w:t>24</w:t>
      </w:r>
      <w:r>
        <w:fldChar w:fldCharType="end"/>
      </w:r>
    </w:p>
    <w:p>
      <w:pPr>
        <w:pStyle w:val="TOC8"/>
        <w:rPr>
          <w:rFonts w:asciiTheme="minorHAnsi" w:eastAsiaTheme="minorEastAsia" w:hAnsiTheme="minorHAnsi" w:cstheme="minorBidi"/>
          <w:szCs w:val="22"/>
        </w:rPr>
      </w:pPr>
      <w:r>
        <w:t>34.</w:t>
      </w:r>
      <w:r>
        <w:tab/>
        <w:t>Appellant’s reply to notice of contention, when required</w:t>
      </w:r>
      <w:r>
        <w:tab/>
      </w:r>
      <w:r>
        <w:fldChar w:fldCharType="begin"/>
      </w:r>
      <w:r>
        <w:instrText xml:space="preserve"> PAGEREF _Toc425243314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Appeal books</w:t>
      </w:r>
    </w:p>
    <w:p>
      <w:pPr>
        <w:pStyle w:val="TOC8"/>
        <w:rPr>
          <w:rFonts w:asciiTheme="minorHAnsi" w:eastAsiaTheme="minorEastAsia" w:hAnsiTheme="minorHAnsi" w:cstheme="minorBidi"/>
          <w:szCs w:val="22"/>
        </w:rPr>
      </w:pPr>
      <w:r>
        <w:t>35.</w:t>
      </w:r>
      <w:r>
        <w:tab/>
        <w:t>Appeal book, when required</w:t>
      </w:r>
      <w:r>
        <w:tab/>
      </w:r>
      <w:r>
        <w:fldChar w:fldCharType="begin"/>
      </w:r>
      <w:r>
        <w:instrText xml:space="preserve"> PAGEREF _Toc425243316 \h </w:instrText>
      </w:r>
      <w:r>
        <w:fldChar w:fldCharType="separate"/>
      </w:r>
      <w:r>
        <w:t>27</w:t>
      </w:r>
      <w:r>
        <w:fldChar w:fldCharType="end"/>
      </w:r>
    </w:p>
    <w:p>
      <w:pPr>
        <w:pStyle w:val="TOC8"/>
        <w:rPr>
          <w:rFonts w:asciiTheme="minorHAnsi" w:eastAsiaTheme="minorEastAsia" w:hAnsiTheme="minorHAnsi" w:cstheme="minorBidi"/>
          <w:szCs w:val="22"/>
        </w:rPr>
      </w:pPr>
      <w:r>
        <w:t>36.</w:t>
      </w:r>
      <w:r>
        <w:tab/>
        <w:t>Indexes, settling of</w:t>
      </w:r>
      <w:r>
        <w:tab/>
      </w:r>
      <w:r>
        <w:fldChar w:fldCharType="begin"/>
      </w:r>
      <w:r>
        <w:instrText xml:space="preserve"> PAGEREF _Toc425243317 \h </w:instrText>
      </w:r>
      <w:r>
        <w:fldChar w:fldCharType="separate"/>
      </w:r>
      <w:r>
        <w:t>27</w:t>
      </w:r>
      <w:r>
        <w:fldChar w:fldCharType="end"/>
      </w:r>
    </w:p>
    <w:p>
      <w:pPr>
        <w:pStyle w:val="TOC8"/>
        <w:rPr>
          <w:rFonts w:asciiTheme="minorHAnsi" w:eastAsiaTheme="minorEastAsia" w:hAnsiTheme="minorHAnsi" w:cstheme="minorBidi"/>
          <w:szCs w:val="22"/>
        </w:rPr>
      </w:pPr>
      <w:r>
        <w:t>37.</w:t>
      </w:r>
      <w:r>
        <w:tab/>
        <w:t>Appeal book, general provisions</w:t>
      </w:r>
      <w:r>
        <w:tab/>
      </w:r>
      <w:r>
        <w:fldChar w:fldCharType="begin"/>
      </w:r>
      <w:r>
        <w:instrText xml:space="preserve"> PAGEREF _Toc425243318 \h </w:instrText>
      </w:r>
      <w:r>
        <w:fldChar w:fldCharType="separate"/>
      </w:r>
      <w:r>
        <w:t>28</w:t>
      </w:r>
      <w:r>
        <w:fldChar w:fldCharType="end"/>
      </w:r>
    </w:p>
    <w:p>
      <w:pPr>
        <w:pStyle w:val="TOC8"/>
        <w:rPr>
          <w:rFonts w:asciiTheme="minorHAnsi" w:eastAsiaTheme="minorEastAsia" w:hAnsiTheme="minorHAnsi" w:cstheme="minorBidi"/>
          <w:szCs w:val="22"/>
        </w:rPr>
      </w:pPr>
      <w:r>
        <w:t>38.</w:t>
      </w:r>
      <w:r>
        <w:tab/>
        <w:t>Appeal book, contents of</w:t>
      </w:r>
      <w:r>
        <w:tab/>
      </w:r>
      <w:r>
        <w:fldChar w:fldCharType="begin"/>
      </w:r>
      <w:r>
        <w:instrText xml:space="preserve"> PAGEREF _Toc425243319 \h </w:instrText>
      </w:r>
      <w:r>
        <w:fldChar w:fldCharType="separate"/>
      </w:r>
      <w:r>
        <w:t>29</w:t>
      </w:r>
      <w:r>
        <w:fldChar w:fldCharType="end"/>
      </w:r>
    </w:p>
    <w:p>
      <w:pPr>
        <w:pStyle w:val="TOC8"/>
        <w:rPr>
          <w:rFonts w:asciiTheme="minorHAnsi" w:eastAsiaTheme="minorEastAsia" w:hAnsiTheme="minorHAnsi" w:cstheme="minorBidi"/>
          <w:szCs w:val="22"/>
        </w:rPr>
      </w:pPr>
      <w:r>
        <w:t>39.</w:t>
      </w:r>
      <w:r>
        <w:tab/>
        <w:t>Appeal book, technical requirements</w:t>
      </w:r>
      <w:r>
        <w:tab/>
      </w:r>
      <w:r>
        <w:fldChar w:fldCharType="begin"/>
      </w:r>
      <w:r>
        <w:instrText xml:space="preserve"> PAGEREF _Toc425243320 \h </w:instrText>
      </w:r>
      <w:r>
        <w:fldChar w:fldCharType="separate"/>
      </w:r>
      <w:r>
        <w:t>32</w:t>
      </w:r>
      <w:r>
        <w:fldChar w:fldCharType="end"/>
      </w:r>
    </w:p>
    <w:p>
      <w:pPr>
        <w:pStyle w:val="TOC8"/>
        <w:rPr>
          <w:rFonts w:asciiTheme="minorHAnsi" w:eastAsiaTheme="minorEastAsia" w:hAnsiTheme="minorHAnsi" w:cstheme="minorBidi"/>
          <w:szCs w:val="22"/>
        </w:rPr>
      </w:pPr>
      <w:r>
        <w:t>40.</w:t>
      </w:r>
      <w:r>
        <w:tab/>
        <w:t>Sentence appeal, appeal book for</w:t>
      </w:r>
      <w:r>
        <w:tab/>
      </w:r>
      <w:r>
        <w:fldChar w:fldCharType="begin"/>
      </w:r>
      <w:r>
        <w:instrText xml:space="preserve"> PAGEREF _Toc425243321 \h </w:instrText>
      </w:r>
      <w:r>
        <w:fldChar w:fldCharType="separate"/>
      </w:r>
      <w:r>
        <w:t>33</w:t>
      </w:r>
      <w:r>
        <w:fldChar w:fldCharType="end"/>
      </w:r>
    </w:p>
    <w:p>
      <w:pPr>
        <w:pStyle w:val="TOC8"/>
        <w:rPr>
          <w:rFonts w:asciiTheme="minorHAnsi" w:eastAsiaTheme="minorEastAsia" w:hAnsiTheme="minorHAnsi" w:cstheme="minorBidi"/>
          <w:szCs w:val="22"/>
        </w:rPr>
      </w:pPr>
      <w:r>
        <w:t>41.</w:t>
      </w:r>
      <w:r>
        <w:tab/>
        <w:t>Appeal books to be prepared etc. by appellant</w:t>
      </w:r>
      <w:r>
        <w:tab/>
      </w:r>
      <w:r>
        <w:fldChar w:fldCharType="begin"/>
      </w:r>
      <w:r>
        <w:instrText xml:space="preserve"> PAGEREF _Toc425243322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4 — Matters prior to the hearing of any appeal</w:t>
      </w:r>
    </w:p>
    <w:p>
      <w:pPr>
        <w:pStyle w:val="TOC8"/>
        <w:rPr>
          <w:rFonts w:asciiTheme="minorHAnsi" w:eastAsiaTheme="minorEastAsia" w:hAnsiTheme="minorHAnsi" w:cstheme="minorBidi"/>
          <w:szCs w:val="22"/>
        </w:rPr>
      </w:pPr>
      <w:r>
        <w:t>42.</w:t>
      </w:r>
      <w:r>
        <w:tab/>
        <w:t>Application of Division</w:t>
      </w:r>
      <w:r>
        <w:tab/>
      </w:r>
      <w:r>
        <w:fldChar w:fldCharType="begin"/>
      </w:r>
      <w:r>
        <w:instrText xml:space="preserve"> PAGEREF _Toc425243324 \h </w:instrText>
      </w:r>
      <w:r>
        <w:fldChar w:fldCharType="separate"/>
      </w:r>
      <w:r>
        <w:t>34</w:t>
      </w:r>
      <w:r>
        <w:fldChar w:fldCharType="end"/>
      </w:r>
    </w:p>
    <w:p>
      <w:pPr>
        <w:pStyle w:val="TOC8"/>
        <w:rPr>
          <w:rFonts w:asciiTheme="minorHAnsi" w:eastAsiaTheme="minorEastAsia" w:hAnsiTheme="minorHAnsi" w:cstheme="minorBidi"/>
          <w:szCs w:val="22"/>
        </w:rPr>
      </w:pPr>
      <w:r>
        <w:t>43.</w:t>
      </w:r>
      <w:r>
        <w:tab/>
        <w:t>Single judge’s jurisdiction</w:t>
      </w:r>
      <w:r>
        <w:tab/>
      </w:r>
      <w:r>
        <w:fldChar w:fldCharType="begin"/>
      </w:r>
      <w:r>
        <w:instrText xml:space="preserve"> PAGEREF _Toc425243325 \h </w:instrText>
      </w:r>
      <w:r>
        <w:fldChar w:fldCharType="separate"/>
      </w:r>
      <w:r>
        <w:t>34</w:t>
      </w:r>
      <w:r>
        <w:fldChar w:fldCharType="end"/>
      </w:r>
    </w:p>
    <w:p>
      <w:pPr>
        <w:pStyle w:val="TOC8"/>
        <w:rPr>
          <w:rFonts w:asciiTheme="minorHAnsi" w:eastAsiaTheme="minorEastAsia" w:hAnsiTheme="minorHAnsi" w:cstheme="minorBidi"/>
          <w:szCs w:val="22"/>
        </w:rPr>
      </w:pPr>
      <w:r>
        <w:t>44.</w:t>
      </w:r>
      <w:r>
        <w:tab/>
        <w:t>Interim order, applying for</w:t>
      </w:r>
      <w:r>
        <w:tab/>
      </w:r>
      <w:r>
        <w:fldChar w:fldCharType="begin"/>
      </w:r>
      <w:r>
        <w:instrText xml:space="preserve"> PAGEREF _Toc425243326 \h </w:instrText>
      </w:r>
      <w:r>
        <w:fldChar w:fldCharType="separate"/>
      </w:r>
      <w:r>
        <w:t>35</w:t>
      </w:r>
      <w:r>
        <w:fldChar w:fldCharType="end"/>
      </w:r>
    </w:p>
    <w:p>
      <w:pPr>
        <w:pStyle w:val="TOC8"/>
        <w:rPr>
          <w:rFonts w:asciiTheme="minorHAnsi" w:eastAsiaTheme="minorEastAsia" w:hAnsiTheme="minorHAnsi" w:cstheme="minorBidi"/>
          <w:szCs w:val="22"/>
        </w:rPr>
      </w:pPr>
      <w:r>
        <w:t>45.</w:t>
      </w:r>
      <w:r>
        <w:tab/>
        <w:t>Consenting to orders</w:t>
      </w:r>
      <w:r>
        <w:tab/>
      </w:r>
      <w:r>
        <w:fldChar w:fldCharType="begin"/>
      </w:r>
      <w:r>
        <w:instrText xml:space="preserve"> PAGEREF _Toc425243327 \h </w:instrText>
      </w:r>
      <w:r>
        <w:fldChar w:fldCharType="separate"/>
      </w:r>
      <w:r>
        <w:t>36</w:t>
      </w:r>
      <w:r>
        <w:fldChar w:fldCharType="end"/>
      </w:r>
    </w:p>
    <w:p>
      <w:pPr>
        <w:pStyle w:val="TOC8"/>
        <w:rPr>
          <w:rFonts w:asciiTheme="minorHAnsi" w:eastAsiaTheme="minorEastAsia" w:hAnsiTheme="minorHAnsi" w:cstheme="minorBidi"/>
          <w:szCs w:val="22"/>
        </w:rPr>
      </w:pPr>
      <w:r>
        <w:t>46.</w:t>
      </w:r>
      <w:r>
        <w:tab/>
        <w:t>Urgent appeal order, nature of</w:t>
      </w:r>
      <w:r>
        <w:tab/>
      </w:r>
      <w:r>
        <w:fldChar w:fldCharType="begin"/>
      </w:r>
      <w:r>
        <w:instrText xml:space="preserve"> PAGEREF _Toc425243328 \h </w:instrText>
      </w:r>
      <w:r>
        <w:fldChar w:fldCharType="separate"/>
      </w:r>
      <w:r>
        <w:t>36</w:t>
      </w:r>
      <w:r>
        <w:fldChar w:fldCharType="end"/>
      </w:r>
    </w:p>
    <w:p>
      <w:pPr>
        <w:pStyle w:val="TOC8"/>
        <w:rPr>
          <w:rFonts w:asciiTheme="minorHAnsi" w:eastAsiaTheme="minorEastAsia" w:hAnsiTheme="minorHAnsi" w:cstheme="minorBidi"/>
          <w:szCs w:val="22"/>
        </w:rPr>
      </w:pPr>
      <w:r>
        <w:t>47.</w:t>
      </w:r>
      <w:r>
        <w:tab/>
        <w:t>Case management</w:t>
      </w:r>
      <w:r>
        <w:tab/>
      </w:r>
      <w:r>
        <w:fldChar w:fldCharType="begin"/>
      </w:r>
      <w:r>
        <w:instrText xml:space="preserve"> PAGEREF _Toc425243329 \h </w:instrText>
      </w:r>
      <w:r>
        <w:fldChar w:fldCharType="separate"/>
      </w:r>
      <w:r>
        <w:t>36</w:t>
      </w:r>
      <w:r>
        <w:fldChar w:fldCharType="end"/>
      </w:r>
    </w:p>
    <w:p>
      <w:pPr>
        <w:pStyle w:val="TOC8"/>
        <w:rPr>
          <w:rFonts w:asciiTheme="minorHAnsi" w:eastAsiaTheme="minorEastAsia" w:hAnsiTheme="minorHAnsi" w:cstheme="minorBidi"/>
          <w:szCs w:val="22"/>
        </w:rPr>
      </w:pPr>
      <w:r>
        <w:t>48.</w:t>
      </w:r>
      <w:r>
        <w:tab/>
        <w:t>Applications for adjournments to be made promptly</w:t>
      </w:r>
      <w:r>
        <w:tab/>
      </w:r>
      <w:r>
        <w:fldChar w:fldCharType="begin"/>
      </w:r>
      <w:r>
        <w:instrText xml:space="preserve"> PAGEREF _Toc425243330 \h </w:instrText>
      </w:r>
      <w:r>
        <w:fldChar w:fldCharType="separate"/>
      </w:r>
      <w:r>
        <w:t>37</w:t>
      </w:r>
      <w:r>
        <w:fldChar w:fldCharType="end"/>
      </w:r>
    </w:p>
    <w:p>
      <w:pPr>
        <w:pStyle w:val="TOC8"/>
        <w:rPr>
          <w:rFonts w:asciiTheme="minorHAnsi" w:eastAsiaTheme="minorEastAsia" w:hAnsiTheme="minorHAnsi" w:cstheme="minorBidi"/>
          <w:szCs w:val="22"/>
        </w:rPr>
      </w:pPr>
      <w:r>
        <w:t>49.</w:t>
      </w:r>
      <w:r>
        <w:tab/>
        <w:t>Offers of compromise</w:t>
      </w:r>
      <w:r>
        <w:tab/>
      </w:r>
      <w:r>
        <w:fldChar w:fldCharType="begin"/>
      </w:r>
      <w:r>
        <w:instrText xml:space="preserve"> PAGEREF _Toc425243331 \h </w:instrText>
      </w:r>
      <w:r>
        <w:fldChar w:fldCharType="separate"/>
      </w:r>
      <w:r>
        <w:t>38</w:t>
      </w:r>
      <w:r>
        <w:fldChar w:fldCharType="end"/>
      </w:r>
    </w:p>
    <w:p>
      <w:pPr>
        <w:pStyle w:val="TOC8"/>
        <w:rPr>
          <w:rFonts w:asciiTheme="minorHAnsi" w:eastAsiaTheme="minorEastAsia" w:hAnsiTheme="minorHAnsi" w:cstheme="minorBidi"/>
          <w:szCs w:val="22"/>
        </w:rPr>
      </w:pPr>
      <w:r>
        <w:t>50.</w:t>
      </w:r>
      <w:r>
        <w:tab/>
        <w:t>Court to be advised immediately of settlement etc.</w:t>
      </w:r>
      <w:r>
        <w:tab/>
      </w:r>
      <w:r>
        <w:fldChar w:fldCharType="begin"/>
      </w:r>
      <w:r>
        <w:instrText xml:space="preserve"> PAGEREF _Toc425243332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5 — Matters prior to the hearing of a criminal appeal</w:t>
      </w:r>
    </w:p>
    <w:p>
      <w:pPr>
        <w:pStyle w:val="TOC8"/>
        <w:rPr>
          <w:rFonts w:asciiTheme="minorHAnsi" w:eastAsiaTheme="minorEastAsia" w:hAnsiTheme="minorHAnsi" w:cstheme="minorBidi"/>
          <w:szCs w:val="22"/>
        </w:rPr>
      </w:pPr>
      <w:r>
        <w:t>51.</w:t>
      </w:r>
      <w:r>
        <w:tab/>
        <w:t>Application of Division</w:t>
      </w:r>
      <w:r>
        <w:tab/>
      </w:r>
      <w:r>
        <w:fldChar w:fldCharType="begin"/>
      </w:r>
      <w:r>
        <w:instrText xml:space="preserve"> PAGEREF _Toc425243334 \h </w:instrText>
      </w:r>
      <w:r>
        <w:fldChar w:fldCharType="separate"/>
      </w:r>
      <w:r>
        <w:t>38</w:t>
      </w:r>
      <w:r>
        <w:fldChar w:fldCharType="end"/>
      </w:r>
    </w:p>
    <w:p>
      <w:pPr>
        <w:pStyle w:val="TOC8"/>
        <w:rPr>
          <w:rFonts w:asciiTheme="minorHAnsi" w:eastAsiaTheme="minorEastAsia" w:hAnsiTheme="minorHAnsi" w:cstheme="minorBidi"/>
          <w:szCs w:val="22"/>
        </w:rPr>
      </w:pPr>
      <w:r>
        <w:t>52.</w:t>
      </w:r>
      <w:r>
        <w:tab/>
        <w:t>Applications for certain orders under CAA s. 40(1)</w:t>
      </w:r>
      <w:r>
        <w:tab/>
      </w:r>
      <w:r>
        <w:fldChar w:fldCharType="begin"/>
      </w:r>
      <w:r>
        <w:instrText xml:space="preserve"> PAGEREF _Toc425243335 \h </w:instrText>
      </w:r>
      <w:r>
        <w:fldChar w:fldCharType="separate"/>
      </w:r>
      <w:r>
        <w:t>39</w:t>
      </w:r>
      <w:r>
        <w:fldChar w:fldCharType="end"/>
      </w:r>
    </w:p>
    <w:p>
      <w:pPr>
        <w:pStyle w:val="TOC8"/>
        <w:rPr>
          <w:rFonts w:asciiTheme="minorHAnsi" w:eastAsiaTheme="minorEastAsia" w:hAnsiTheme="minorHAnsi" w:cstheme="minorBidi"/>
          <w:szCs w:val="22"/>
        </w:rPr>
      </w:pPr>
      <w:r>
        <w:t>53.</w:t>
      </w:r>
      <w:r>
        <w:tab/>
        <w:t>Single judge’s jurisdiction</w:t>
      </w:r>
      <w:r>
        <w:tab/>
      </w:r>
      <w:r>
        <w:fldChar w:fldCharType="begin"/>
      </w:r>
      <w:r>
        <w:instrText xml:space="preserve"> PAGEREF _Toc425243336 \h </w:instrText>
      </w:r>
      <w:r>
        <w:fldChar w:fldCharType="separate"/>
      </w:r>
      <w:r>
        <w:t>39</w:t>
      </w:r>
      <w:r>
        <w:fldChar w:fldCharType="end"/>
      </w:r>
    </w:p>
    <w:p>
      <w:pPr>
        <w:pStyle w:val="TOC8"/>
        <w:rPr>
          <w:rFonts w:asciiTheme="minorHAnsi" w:eastAsiaTheme="minorEastAsia" w:hAnsiTheme="minorHAnsi" w:cstheme="minorBidi"/>
          <w:szCs w:val="22"/>
        </w:rPr>
      </w:pPr>
      <w:r>
        <w:t>54.</w:t>
      </w:r>
      <w:r>
        <w:tab/>
        <w:t>Witnesses required by the Court of Appeal</w:t>
      </w:r>
      <w:r>
        <w:tab/>
      </w:r>
      <w:r>
        <w:fldChar w:fldCharType="begin"/>
      </w:r>
      <w:r>
        <w:instrText xml:space="preserve"> PAGEREF _Toc425243337 \h </w:instrText>
      </w:r>
      <w:r>
        <w:fldChar w:fldCharType="separate"/>
      </w:r>
      <w:r>
        <w:t>39</w:t>
      </w:r>
      <w:r>
        <w:fldChar w:fldCharType="end"/>
      </w:r>
    </w:p>
    <w:p>
      <w:pPr>
        <w:pStyle w:val="TOC8"/>
        <w:rPr>
          <w:rFonts w:asciiTheme="minorHAnsi" w:eastAsiaTheme="minorEastAsia" w:hAnsiTheme="minorHAnsi" w:cstheme="minorBidi"/>
          <w:szCs w:val="22"/>
        </w:rPr>
      </w:pPr>
      <w:r>
        <w:t>55.</w:t>
      </w:r>
      <w:r>
        <w:tab/>
        <w:t>Proceedings before an examiner</w:t>
      </w:r>
      <w:r>
        <w:tab/>
      </w:r>
      <w:r>
        <w:fldChar w:fldCharType="begin"/>
      </w:r>
      <w:r>
        <w:instrText xml:space="preserve"> PAGEREF _Toc425243338 \h </w:instrText>
      </w:r>
      <w:r>
        <w:fldChar w:fldCharType="separate"/>
      </w:r>
      <w:r>
        <w:t>39</w:t>
      </w:r>
      <w:r>
        <w:fldChar w:fldCharType="end"/>
      </w:r>
    </w:p>
    <w:p>
      <w:pPr>
        <w:pStyle w:val="TOC8"/>
        <w:rPr>
          <w:rFonts w:asciiTheme="minorHAnsi" w:eastAsiaTheme="minorEastAsia" w:hAnsiTheme="minorHAnsi" w:cstheme="minorBidi"/>
          <w:szCs w:val="22"/>
        </w:rPr>
      </w:pPr>
      <w:r>
        <w:t>56.</w:t>
      </w:r>
      <w:r>
        <w:tab/>
        <w:t>Special commissioners and assessors (CAA s. 40(1))</w:t>
      </w:r>
      <w:r>
        <w:tab/>
      </w:r>
      <w:r>
        <w:fldChar w:fldCharType="begin"/>
      </w:r>
      <w:r>
        <w:instrText xml:space="preserve"> PAGEREF _Toc425243339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6 — Hearing an appeal</w:t>
      </w:r>
    </w:p>
    <w:p>
      <w:pPr>
        <w:pStyle w:val="TOC8"/>
        <w:rPr>
          <w:rFonts w:asciiTheme="minorHAnsi" w:eastAsiaTheme="minorEastAsia" w:hAnsiTheme="minorHAnsi" w:cstheme="minorBidi"/>
          <w:szCs w:val="22"/>
        </w:rPr>
      </w:pPr>
      <w:r>
        <w:t>57.</w:t>
      </w:r>
      <w:r>
        <w:tab/>
        <w:t>Hearing date to be set</w:t>
      </w:r>
      <w:r>
        <w:tab/>
      </w:r>
      <w:r>
        <w:fldChar w:fldCharType="begin"/>
      </w:r>
      <w:r>
        <w:instrText xml:space="preserve"> PAGEREF _Toc425243341 \h </w:instrText>
      </w:r>
      <w:r>
        <w:fldChar w:fldCharType="separate"/>
      </w:r>
      <w:r>
        <w:t>41</w:t>
      </w:r>
      <w:r>
        <w:fldChar w:fldCharType="end"/>
      </w:r>
    </w:p>
    <w:p>
      <w:pPr>
        <w:pStyle w:val="TOC8"/>
        <w:rPr>
          <w:rFonts w:asciiTheme="minorHAnsi" w:eastAsiaTheme="minorEastAsia" w:hAnsiTheme="minorHAnsi" w:cstheme="minorBidi"/>
          <w:szCs w:val="22"/>
        </w:rPr>
      </w:pPr>
      <w:r>
        <w:t>58.</w:t>
      </w:r>
      <w:r>
        <w:tab/>
        <w:t>Unreported judgments to be provided</w:t>
      </w:r>
      <w:r>
        <w:tab/>
      </w:r>
      <w:r>
        <w:fldChar w:fldCharType="begin"/>
      </w:r>
      <w:r>
        <w:instrText xml:space="preserve"> PAGEREF _Toc425243342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Concluding an appeal</w:t>
      </w:r>
    </w:p>
    <w:p>
      <w:pPr>
        <w:pStyle w:val="TOC8"/>
        <w:rPr>
          <w:rFonts w:asciiTheme="minorHAnsi" w:eastAsiaTheme="minorEastAsia" w:hAnsiTheme="minorHAnsi" w:cstheme="minorBidi"/>
          <w:szCs w:val="22"/>
        </w:rPr>
      </w:pPr>
      <w:r>
        <w:t>59.</w:t>
      </w:r>
      <w:r>
        <w:tab/>
        <w:t>Discontinuing an appeal</w:t>
      </w:r>
      <w:r>
        <w:tab/>
      </w:r>
      <w:r>
        <w:fldChar w:fldCharType="begin"/>
      </w:r>
      <w:r>
        <w:instrText xml:space="preserve"> PAGEREF _Toc425243344 \h </w:instrText>
      </w:r>
      <w:r>
        <w:fldChar w:fldCharType="separate"/>
      </w:r>
      <w:r>
        <w:t>42</w:t>
      </w:r>
      <w:r>
        <w:fldChar w:fldCharType="end"/>
      </w:r>
    </w:p>
    <w:p>
      <w:pPr>
        <w:pStyle w:val="TOC8"/>
        <w:rPr>
          <w:rFonts w:asciiTheme="minorHAnsi" w:eastAsiaTheme="minorEastAsia" w:hAnsiTheme="minorHAnsi" w:cstheme="minorBidi"/>
          <w:szCs w:val="22"/>
        </w:rPr>
      </w:pPr>
      <w:r>
        <w:t>60.</w:t>
      </w:r>
      <w:r>
        <w:tab/>
        <w:t>Settling an appeal</w:t>
      </w:r>
      <w:r>
        <w:tab/>
      </w:r>
      <w:r>
        <w:fldChar w:fldCharType="begin"/>
      </w:r>
      <w:r>
        <w:instrText xml:space="preserve"> PAGEREF _Toc425243345 \h </w:instrText>
      </w:r>
      <w:r>
        <w:fldChar w:fldCharType="separate"/>
      </w:r>
      <w:r>
        <w:t>42</w:t>
      </w:r>
      <w:r>
        <w:fldChar w:fldCharType="end"/>
      </w:r>
    </w:p>
    <w:p>
      <w:pPr>
        <w:pStyle w:val="TOC8"/>
        <w:rPr>
          <w:rFonts w:asciiTheme="minorHAnsi" w:eastAsiaTheme="minorEastAsia" w:hAnsiTheme="minorHAnsi" w:cstheme="minorBidi"/>
          <w:szCs w:val="22"/>
        </w:rPr>
      </w:pPr>
      <w:r>
        <w:t>61.</w:t>
      </w:r>
      <w:r>
        <w:tab/>
        <w:t>Guideline judgments</w:t>
      </w:r>
      <w:r>
        <w:tab/>
      </w:r>
      <w:r>
        <w:fldChar w:fldCharType="begin"/>
      </w:r>
      <w:r>
        <w:instrText xml:space="preserve"> PAGEREF _Toc425243346 \h </w:instrText>
      </w:r>
      <w:r>
        <w:fldChar w:fldCharType="separate"/>
      </w:r>
      <w:r>
        <w:t>43</w:t>
      </w:r>
      <w:r>
        <w:fldChar w:fldCharType="end"/>
      </w:r>
    </w:p>
    <w:p>
      <w:pPr>
        <w:pStyle w:val="TOC8"/>
        <w:rPr>
          <w:rFonts w:asciiTheme="minorHAnsi" w:eastAsiaTheme="minorEastAsia" w:hAnsiTheme="minorHAnsi" w:cstheme="minorBidi"/>
          <w:szCs w:val="22"/>
        </w:rPr>
      </w:pPr>
      <w:r>
        <w:t>62.</w:t>
      </w:r>
      <w:r>
        <w:tab/>
        <w:t>Criminal appeals, certificate of conclusion of</w:t>
      </w:r>
      <w:r>
        <w:tab/>
      </w:r>
      <w:r>
        <w:fldChar w:fldCharType="begin"/>
      </w:r>
      <w:r>
        <w:instrText xml:space="preserve"> PAGEREF _Toc425243347 \h </w:instrText>
      </w:r>
      <w:r>
        <w:fldChar w:fldCharType="separate"/>
      </w:r>
      <w:r>
        <w:t>43</w:t>
      </w:r>
      <w:r>
        <w:fldChar w:fldCharType="end"/>
      </w:r>
    </w:p>
    <w:p>
      <w:pPr>
        <w:pStyle w:val="TOC8"/>
        <w:rPr>
          <w:rFonts w:asciiTheme="minorHAnsi" w:eastAsiaTheme="minorEastAsia" w:hAnsiTheme="minorHAnsi" w:cstheme="minorBidi"/>
          <w:szCs w:val="22"/>
        </w:rPr>
      </w:pPr>
      <w:r>
        <w:t>63.</w:t>
      </w:r>
      <w:r>
        <w:tab/>
        <w:t>Other appeals, final orders on</w:t>
      </w:r>
      <w:r>
        <w:tab/>
      </w:r>
      <w:r>
        <w:fldChar w:fldCharType="begin"/>
      </w:r>
      <w:r>
        <w:instrText xml:space="preserve"> PAGEREF _Toc425243348 \h </w:instrText>
      </w:r>
      <w:r>
        <w:fldChar w:fldCharType="separate"/>
      </w:r>
      <w:r>
        <w:t>44</w:t>
      </w:r>
      <w:r>
        <w:fldChar w:fldCharType="end"/>
      </w:r>
    </w:p>
    <w:p>
      <w:pPr>
        <w:pStyle w:val="TOC8"/>
        <w:rPr>
          <w:rFonts w:asciiTheme="minorHAnsi" w:eastAsiaTheme="minorEastAsia" w:hAnsiTheme="minorHAnsi" w:cstheme="minorBidi"/>
          <w:szCs w:val="22"/>
        </w:rPr>
      </w:pPr>
      <w:r>
        <w:t>64.</w:t>
      </w:r>
      <w:r>
        <w:tab/>
        <w:t>Return of exhibits</w:t>
      </w:r>
      <w:r>
        <w:tab/>
      </w:r>
      <w:r>
        <w:fldChar w:fldCharType="begin"/>
      </w:r>
      <w:r>
        <w:instrText xml:space="preserve"> PAGEREF _Toc425243349 \h </w:instrText>
      </w:r>
      <w:r>
        <w:fldChar w:fldCharType="separate"/>
      </w:r>
      <w:r>
        <w:t>44</w:t>
      </w:r>
      <w:r>
        <w:fldChar w:fldCharType="end"/>
      </w:r>
    </w:p>
    <w:p>
      <w:pPr>
        <w:pStyle w:val="TOC8"/>
        <w:rPr>
          <w:rFonts w:asciiTheme="minorHAnsi" w:eastAsiaTheme="minorEastAsia" w:hAnsiTheme="minorHAnsi" w:cstheme="minorBidi"/>
          <w:szCs w:val="22"/>
        </w:rPr>
      </w:pPr>
      <w:r>
        <w:t>65.</w:t>
      </w:r>
      <w:r>
        <w:tab/>
        <w:t>Enforcing judgments and orders</w:t>
      </w:r>
      <w:r>
        <w:tab/>
      </w:r>
      <w:r>
        <w:fldChar w:fldCharType="begin"/>
      </w:r>
      <w:r>
        <w:instrText xml:space="preserve"> PAGEREF _Toc425243350 \h </w:instrText>
      </w:r>
      <w:r>
        <w:fldChar w:fldCharType="separate"/>
      </w:r>
      <w:r>
        <w:t>45</w:t>
      </w:r>
      <w:r>
        <w:fldChar w:fldCharType="end"/>
      </w:r>
    </w:p>
    <w:p>
      <w:pPr>
        <w:pStyle w:val="TOC8"/>
        <w:rPr>
          <w:rFonts w:asciiTheme="minorHAnsi" w:eastAsiaTheme="minorEastAsia" w:hAnsiTheme="minorHAnsi" w:cstheme="minorBidi"/>
          <w:szCs w:val="22"/>
        </w:rPr>
      </w:pPr>
      <w:r>
        <w:t>66.</w:t>
      </w:r>
      <w:r>
        <w:tab/>
        <w:t>Costs</w:t>
      </w:r>
      <w:r>
        <w:tab/>
      </w:r>
      <w:r>
        <w:fldChar w:fldCharType="begin"/>
      </w:r>
      <w:r>
        <w:instrText xml:space="preserve"> PAGEREF _Toc425243351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Referred and other CA matters</w:t>
      </w:r>
    </w:p>
    <w:p>
      <w:pPr>
        <w:pStyle w:val="TOC8"/>
        <w:rPr>
          <w:rFonts w:asciiTheme="minorHAnsi" w:eastAsiaTheme="minorEastAsia" w:hAnsiTheme="minorHAnsi" w:cstheme="minorBidi"/>
          <w:szCs w:val="22"/>
        </w:rPr>
      </w:pPr>
      <w:r>
        <w:t>67.</w:t>
      </w:r>
      <w:r>
        <w:tab/>
        <w:t>Referring a legal issue to the Court of Appeal</w:t>
      </w:r>
      <w:r>
        <w:tab/>
      </w:r>
      <w:r>
        <w:fldChar w:fldCharType="begin"/>
      </w:r>
      <w:r>
        <w:instrText xml:space="preserve"> PAGEREF _Toc425243353 \h </w:instrText>
      </w:r>
      <w:r>
        <w:fldChar w:fldCharType="separate"/>
      </w:r>
      <w:r>
        <w:t>47</w:t>
      </w:r>
      <w:r>
        <w:fldChar w:fldCharType="end"/>
      </w:r>
    </w:p>
    <w:p>
      <w:pPr>
        <w:pStyle w:val="TOC8"/>
        <w:rPr>
          <w:rFonts w:asciiTheme="minorHAnsi" w:eastAsiaTheme="minorEastAsia" w:hAnsiTheme="minorHAnsi" w:cstheme="minorBidi"/>
          <w:szCs w:val="22"/>
        </w:rPr>
      </w:pPr>
      <w:r>
        <w:t>68.</w:t>
      </w:r>
      <w:r>
        <w:tab/>
        <w:t>Dealing with referred and other CA matters</w:t>
      </w:r>
      <w:r>
        <w:tab/>
      </w:r>
      <w:r>
        <w:fldChar w:fldCharType="begin"/>
      </w:r>
      <w:r>
        <w:instrText xml:space="preserve"> PAGEREF _Toc425243354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69.</w:t>
      </w:r>
      <w:r>
        <w:tab/>
        <w:t>Removal of District Court appeal into Court of Appeal</w:t>
      </w:r>
      <w:r>
        <w:tab/>
      </w:r>
      <w:r>
        <w:fldChar w:fldCharType="begin"/>
      </w:r>
      <w:r>
        <w:instrText xml:space="preserve"> PAGEREF _Toc425243356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w:t>
      </w:r>
      <w:r>
        <w:tab/>
        <w:t>Appeal notice (criminal) (r. 28)</w:t>
      </w:r>
      <w:r>
        <w:tab/>
      </w:r>
      <w:r>
        <w:fldChar w:fldCharType="begin"/>
      </w:r>
      <w:r>
        <w:instrText xml:space="preserve"> PAGEREF _Toc425243358 \h </w:instrText>
      </w:r>
      <w:r>
        <w:fldChar w:fldCharType="separate"/>
      </w:r>
      <w:r>
        <w:t>51</w:t>
      </w:r>
      <w:r>
        <w:fldChar w:fldCharType="end"/>
      </w:r>
    </w:p>
    <w:p>
      <w:pPr>
        <w:pStyle w:val="TOC8"/>
        <w:rPr>
          <w:rFonts w:asciiTheme="minorHAnsi" w:eastAsiaTheme="minorEastAsia" w:hAnsiTheme="minorHAnsi" w:cstheme="minorBidi"/>
          <w:szCs w:val="22"/>
        </w:rPr>
      </w:pPr>
      <w:r>
        <w:t>2.</w:t>
      </w:r>
      <w:r>
        <w:tab/>
        <w:t>Appeal notice (civil) (r. 29)</w:t>
      </w:r>
      <w:r>
        <w:tab/>
      </w:r>
      <w:r>
        <w:fldChar w:fldCharType="begin"/>
      </w:r>
      <w:r>
        <w:instrText xml:space="preserve"> PAGEREF _Toc425243359 \h </w:instrText>
      </w:r>
      <w:r>
        <w:fldChar w:fldCharType="separate"/>
      </w:r>
      <w:r>
        <w:t>53</w:t>
      </w:r>
      <w:r>
        <w:fldChar w:fldCharType="end"/>
      </w:r>
    </w:p>
    <w:p>
      <w:pPr>
        <w:pStyle w:val="TOC8"/>
        <w:rPr>
          <w:rFonts w:asciiTheme="minorHAnsi" w:eastAsiaTheme="minorEastAsia" w:hAnsiTheme="minorHAnsi" w:cstheme="minorBidi"/>
          <w:szCs w:val="22"/>
        </w:rPr>
      </w:pPr>
      <w:r>
        <w:t>3.</w:t>
      </w:r>
      <w:r>
        <w:tab/>
        <w:t>Service certificate (r. 28(7) &amp; 29(5))</w:t>
      </w:r>
      <w:r>
        <w:tab/>
      </w:r>
      <w:r>
        <w:fldChar w:fldCharType="begin"/>
      </w:r>
      <w:r>
        <w:instrText xml:space="preserve"> PAGEREF _Toc425243360 \h </w:instrText>
      </w:r>
      <w:r>
        <w:fldChar w:fldCharType="separate"/>
      </w:r>
      <w:r>
        <w:t>54</w:t>
      </w:r>
      <w:r>
        <w:fldChar w:fldCharType="end"/>
      </w:r>
    </w:p>
    <w:p>
      <w:pPr>
        <w:pStyle w:val="TOC8"/>
        <w:rPr>
          <w:rFonts w:asciiTheme="minorHAnsi" w:eastAsiaTheme="minorEastAsia" w:hAnsiTheme="minorHAnsi" w:cstheme="minorBidi"/>
          <w:szCs w:val="22"/>
        </w:rPr>
      </w:pPr>
      <w:r>
        <w:t>4.</w:t>
      </w:r>
      <w:r>
        <w:tab/>
        <w:t>Notice of respondent’s intention (r. 31)</w:t>
      </w:r>
      <w:r>
        <w:tab/>
      </w:r>
      <w:r>
        <w:fldChar w:fldCharType="begin"/>
      </w:r>
      <w:r>
        <w:instrText xml:space="preserve"> PAGEREF _Toc425243361 \h </w:instrText>
      </w:r>
      <w:r>
        <w:fldChar w:fldCharType="separate"/>
      </w:r>
      <w:r>
        <w:t>55</w:t>
      </w:r>
      <w:r>
        <w:fldChar w:fldCharType="end"/>
      </w:r>
    </w:p>
    <w:p>
      <w:pPr>
        <w:pStyle w:val="TOC8"/>
        <w:rPr>
          <w:rFonts w:asciiTheme="minorHAnsi" w:eastAsiaTheme="minorEastAsia" w:hAnsiTheme="minorHAnsi" w:cstheme="minorBidi"/>
          <w:szCs w:val="22"/>
        </w:rPr>
      </w:pPr>
      <w:r>
        <w:t>5.</w:t>
      </w:r>
      <w:r>
        <w:tab/>
        <w:t>Lawyer’s notice of acting (Part 4)</w:t>
      </w:r>
      <w:r>
        <w:tab/>
      </w:r>
      <w:r>
        <w:fldChar w:fldCharType="begin"/>
      </w:r>
      <w:r>
        <w:instrText xml:space="preserve"> PAGEREF _Toc425243362 \h </w:instrText>
      </w:r>
      <w:r>
        <w:fldChar w:fldCharType="separate"/>
      </w:r>
      <w:r>
        <w:t>56</w:t>
      </w:r>
      <w:r>
        <w:fldChar w:fldCharType="end"/>
      </w:r>
    </w:p>
    <w:p>
      <w:pPr>
        <w:pStyle w:val="TOC8"/>
        <w:rPr>
          <w:rFonts w:asciiTheme="minorHAnsi" w:eastAsiaTheme="minorEastAsia" w:hAnsiTheme="minorHAnsi" w:cstheme="minorBidi"/>
          <w:szCs w:val="22"/>
        </w:rPr>
      </w:pPr>
      <w:r>
        <w:t>6.</w:t>
      </w:r>
      <w:r>
        <w:tab/>
        <w:t>Notice of self-representation (r. 24)</w:t>
      </w:r>
      <w:r>
        <w:tab/>
      </w:r>
      <w:r>
        <w:fldChar w:fldCharType="begin"/>
      </w:r>
      <w:r>
        <w:instrText xml:space="preserve"> PAGEREF _Toc425243363 \h </w:instrText>
      </w:r>
      <w:r>
        <w:fldChar w:fldCharType="separate"/>
      </w:r>
      <w:r>
        <w:t>57</w:t>
      </w:r>
      <w:r>
        <w:fldChar w:fldCharType="end"/>
      </w:r>
    </w:p>
    <w:p>
      <w:pPr>
        <w:pStyle w:val="TOC8"/>
        <w:rPr>
          <w:rFonts w:asciiTheme="minorHAnsi" w:eastAsiaTheme="minorEastAsia" w:hAnsiTheme="minorHAnsi" w:cstheme="minorBidi"/>
          <w:szCs w:val="22"/>
        </w:rPr>
      </w:pPr>
      <w:r>
        <w:t>7.</w:t>
      </w:r>
      <w:r>
        <w:tab/>
        <w:t>Appellant’s case (r. 32)</w:t>
      </w:r>
      <w:r>
        <w:tab/>
      </w:r>
      <w:r>
        <w:fldChar w:fldCharType="begin"/>
      </w:r>
      <w:r>
        <w:instrText xml:space="preserve"> PAGEREF _Toc425243364 \h </w:instrText>
      </w:r>
      <w:r>
        <w:fldChar w:fldCharType="separate"/>
      </w:r>
      <w:r>
        <w:t>58</w:t>
      </w:r>
      <w:r>
        <w:fldChar w:fldCharType="end"/>
      </w:r>
    </w:p>
    <w:p>
      <w:pPr>
        <w:pStyle w:val="TOC8"/>
        <w:rPr>
          <w:rFonts w:asciiTheme="minorHAnsi" w:eastAsiaTheme="minorEastAsia" w:hAnsiTheme="minorHAnsi" w:cstheme="minorBidi"/>
          <w:szCs w:val="22"/>
        </w:rPr>
      </w:pPr>
      <w:r>
        <w:t>8.</w:t>
      </w:r>
      <w:r>
        <w:tab/>
        <w:t>Respondent’s answer (r. 33)</w:t>
      </w:r>
      <w:r>
        <w:tab/>
      </w:r>
      <w:r>
        <w:fldChar w:fldCharType="begin"/>
      </w:r>
      <w:r>
        <w:instrText xml:space="preserve"> PAGEREF _Toc425243365 \h </w:instrText>
      </w:r>
      <w:r>
        <w:fldChar w:fldCharType="separate"/>
      </w:r>
      <w:r>
        <w:t>59</w:t>
      </w:r>
      <w:r>
        <w:fldChar w:fldCharType="end"/>
      </w:r>
    </w:p>
    <w:p>
      <w:pPr>
        <w:pStyle w:val="TOC8"/>
        <w:rPr>
          <w:rFonts w:asciiTheme="minorHAnsi" w:eastAsiaTheme="minorEastAsia" w:hAnsiTheme="minorHAnsi" w:cstheme="minorBidi"/>
          <w:szCs w:val="22"/>
        </w:rPr>
      </w:pPr>
      <w:r>
        <w:t>9.</w:t>
      </w:r>
      <w:r>
        <w:tab/>
        <w:t>Application in an appeal (r. 44)</w:t>
      </w:r>
      <w:r>
        <w:tab/>
      </w:r>
      <w:r>
        <w:fldChar w:fldCharType="begin"/>
      </w:r>
      <w:r>
        <w:instrText xml:space="preserve"> PAGEREF _Toc425243366 \h </w:instrText>
      </w:r>
      <w:r>
        <w:fldChar w:fldCharType="separate"/>
      </w:r>
      <w:r>
        <w:t>60</w:t>
      </w:r>
      <w:r>
        <w:fldChar w:fldCharType="end"/>
      </w:r>
    </w:p>
    <w:p>
      <w:pPr>
        <w:pStyle w:val="TOC8"/>
        <w:rPr>
          <w:rFonts w:asciiTheme="minorHAnsi" w:eastAsiaTheme="minorEastAsia" w:hAnsiTheme="minorHAnsi" w:cstheme="minorBidi"/>
          <w:szCs w:val="22"/>
        </w:rPr>
      </w:pPr>
      <w:r>
        <w:t>10.</w:t>
      </w:r>
      <w:r>
        <w:tab/>
        <w:t>Consent notice (r. 45 &amp; 60)</w:t>
      </w:r>
      <w:r>
        <w:tab/>
      </w:r>
      <w:r>
        <w:fldChar w:fldCharType="begin"/>
      </w:r>
      <w:r>
        <w:instrText xml:space="preserve"> PAGEREF _Toc425243367 \h </w:instrText>
      </w:r>
      <w:r>
        <w:fldChar w:fldCharType="separate"/>
      </w:r>
      <w:r>
        <w:t>60</w:t>
      </w:r>
      <w:r>
        <w:fldChar w:fldCharType="end"/>
      </w:r>
    </w:p>
    <w:p>
      <w:pPr>
        <w:pStyle w:val="TOC8"/>
        <w:rPr>
          <w:rFonts w:asciiTheme="minorHAnsi" w:eastAsiaTheme="minorEastAsia" w:hAnsiTheme="minorHAnsi" w:cstheme="minorBidi"/>
          <w:szCs w:val="22"/>
        </w:rPr>
      </w:pPr>
      <w:r>
        <w:t>11.</w:t>
      </w:r>
      <w:r>
        <w:tab/>
        <w:t>Affidavit cover sheet (r. 21(3))</w:t>
      </w:r>
      <w:r>
        <w:tab/>
      </w:r>
      <w:r>
        <w:fldChar w:fldCharType="begin"/>
      </w:r>
      <w:r>
        <w:instrText xml:space="preserve"> PAGEREF _Toc425243368 \h </w:instrText>
      </w:r>
      <w:r>
        <w:fldChar w:fldCharType="separate"/>
      </w:r>
      <w:r>
        <w:t>61</w:t>
      </w:r>
      <w:r>
        <w:fldChar w:fldCharType="end"/>
      </w:r>
    </w:p>
    <w:p>
      <w:pPr>
        <w:pStyle w:val="TOC8"/>
        <w:rPr>
          <w:rFonts w:asciiTheme="minorHAnsi" w:eastAsiaTheme="minorEastAsia" w:hAnsiTheme="minorHAnsi" w:cstheme="minorBidi"/>
          <w:szCs w:val="22"/>
        </w:rPr>
      </w:pPr>
      <w:r>
        <w:t>12.</w:t>
      </w:r>
      <w:r>
        <w:tab/>
        <w:t>Request for hearing (r. 19)</w:t>
      </w:r>
      <w:r>
        <w:tab/>
      </w:r>
      <w:r>
        <w:fldChar w:fldCharType="begin"/>
      </w:r>
      <w:r>
        <w:instrText xml:space="preserve"> PAGEREF _Toc425243369 \h </w:instrText>
      </w:r>
      <w:r>
        <w:fldChar w:fldCharType="separate"/>
      </w:r>
      <w:r>
        <w:t>61</w:t>
      </w:r>
      <w:r>
        <w:fldChar w:fldCharType="end"/>
      </w:r>
    </w:p>
    <w:p>
      <w:pPr>
        <w:pStyle w:val="TOC8"/>
        <w:rPr>
          <w:rFonts w:asciiTheme="minorHAnsi" w:eastAsiaTheme="minorEastAsia" w:hAnsiTheme="minorHAnsi" w:cstheme="minorBidi"/>
          <w:szCs w:val="22"/>
        </w:rPr>
      </w:pPr>
      <w:r>
        <w:t>13.</w:t>
      </w:r>
      <w:r>
        <w:tab/>
        <w:t>Application for review of single judge’s or registrar’s decision (r. 8 &amp; 15)</w:t>
      </w:r>
      <w:r>
        <w:tab/>
      </w:r>
      <w:r>
        <w:fldChar w:fldCharType="begin"/>
      </w:r>
      <w:r>
        <w:instrText xml:space="preserve"> PAGEREF _Toc425243370 \h </w:instrText>
      </w:r>
      <w:r>
        <w:fldChar w:fldCharType="separate"/>
      </w:r>
      <w:r>
        <w:t>62</w:t>
      </w:r>
      <w:r>
        <w:fldChar w:fldCharType="end"/>
      </w:r>
    </w:p>
    <w:p>
      <w:pPr>
        <w:pStyle w:val="TOC8"/>
        <w:rPr>
          <w:rFonts w:asciiTheme="minorHAnsi" w:eastAsiaTheme="minorEastAsia" w:hAnsiTheme="minorHAnsi" w:cstheme="minorBidi"/>
          <w:szCs w:val="22"/>
        </w:rPr>
      </w:pPr>
      <w:r>
        <w:t>14.</w:t>
      </w:r>
      <w:r>
        <w:tab/>
        <w:t>Appeal book, cover page (r. 39(5))</w:t>
      </w:r>
      <w:r>
        <w:tab/>
      </w:r>
      <w:r>
        <w:fldChar w:fldCharType="begin"/>
      </w:r>
      <w:r>
        <w:instrText xml:space="preserve"> PAGEREF _Toc425243371 \h </w:instrText>
      </w:r>
      <w:r>
        <w:fldChar w:fldCharType="separate"/>
      </w:r>
      <w:r>
        <w:t>63</w:t>
      </w:r>
      <w:r>
        <w:fldChar w:fldCharType="end"/>
      </w:r>
    </w:p>
    <w:p>
      <w:pPr>
        <w:pStyle w:val="TOC8"/>
        <w:rPr>
          <w:rFonts w:asciiTheme="minorHAnsi" w:eastAsiaTheme="minorEastAsia" w:hAnsiTheme="minorHAnsi" w:cstheme="minorBidi"/>
          <w:szCs w:val="22"/>
        </w:rPr>
      </w:pPr>
      <w:r>
        <w:t>15.</w:t>
      </w:r>
      <w:r>
        <w:tab/>
        <w:t>Notice of hearing date (r. 57)</w:t>
      </w:r>
      <w:r>
        <w:tab/>
      </w:r>
      <w:r>
        <w:fldChar w:fldCharType="begin"/>
      </w:r>
      <w:r>
        <w:instrText xml:space="preserve"> PAGEREF _Toc425243372 \h </w:instrText>
      </w:r>
      <w:r>
        <w:fldChar w:fldCharType="separate"/>
      </w:r>
      <w:r>
        <w:t>64</w:t>
      </w:r>
      <w:r>
        <w:fldChar w:fldCharType="end"/>
      </w:r>
    </w:p>
    <w:p>
      <w:pPr>
        <w:pStyle w:val="TOC8"/>
        <w:rPr>
          <w:rFonts w:asciiTheme="minorHAnsi" w:eastAsiaTheme="minorEastAsia" w:hAnsiTheme="minorHAnsi" w:cstheme="minorBidi"/>
          <w:szCs w:val="22"/>
        </w:rPr>
      </w:pPr>
      <w:r>
        <w:t>16.</w:t>
      </w:r>
      <w:r>
        <w:tab/>
        <w:t>Discontinuance notice (r. 59)</w:t>
      </w:r>
      <w:r>
        <w:tab/>
      </w:r>
      <w:r>
        <w:fldChar w:fldCharType="begin"/>
      </w:r>
      <w:r>
        <w:instrText xml:space="preserve"> PAGEREF _Toc425243373 \h </w:instrText>
      </w:r>
      <w:r>
        <w:fldChar w:fldCharType="separate"/>
      </w:r>
      <w:r>
        <w:t>64</w:t>
      </w:r>
      <w:r>
        <w:fldChar w:fldCharType="end"/>
      </w:r>
    </w:p>
    <w:p>
      <w:pPr>
        <w:pStyle w:val="TOC8"/>
        <w:rPr>
          <w:rFonts w:asciiTheme="minorHAnsi" w:eastAsiaTheme="minorEastAsia" w:hAnsiTheme="minorHAnsi" w:cstheme="minorBidi"/>
          <w:szCs w:val="22"/>
        </w:rPr>
      </w:pPr>
      <w:r>
        <w:t>17.</w:t>
      </w:r>
      <w:r>
        <w:tab/>
        <w:t>Certificate of conclusion of criminal appeal (r. 62)</w:t>
      </w:r>
      <w:r>
        <w:tab/>
      </w:r>
      <w:r>
        <w:fldChar w:fldCharType="begin"/>
      </w:r>
      <w:r>
        <w:instrText xml:space="preserve"> PAGEREF _Toc425243374 \h </w:instrText>
      </w:r>
      <w:r>
        <w:fldChar w:fldCharType="separate"/>
      </w:r>
      <w:r>
        <w:t>65</w:t>
      </w:r>
      <w:r>
        <w:fldChar w:fldCharType="end"/>
      </w:r>
    </w:p>
    <w:p>
      <w:pPr>
        <w:pStyle w:val="TOC8"/>
        <w:rPr>
          <w:rFonts w:asciiTheme="minorHAnsi" w:eastAsiaTheme="minorEastAsia" w:hAnsiTheme="minorHAnsi" w:cstheme="minorBidi"/>
          <w:szCs w:val="22"/>
        </w:rPr>
      </w:pPr>
      <w:r>
        <w:t>18.</w:t>
      </w:r>
      <w:r>
        <w:tab/>
        <w:t>Referral of legal issue to Court of Appeal (r. 67)</w:t>
      </w:r>
      <w:r>
        <w:tab/>
      </w:r>
      <w:r>
        <w:fldChar w:fldCharType="begin"/>
      </w:r>
      <w:r>
        <w:instrText xml:space="preserve"> PAGEREF _Toc425243375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_Toc425243377 \h </w:instrText>
      </w:r>
      <w:r>
        <w:fldChar w:fldCharType="separate"/>
      </w:r>
      <w:r>
        <w:t>67</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Supreme Court Act 1935</w:t>
      </w:r>
    </w:p>
    <w:p>
      <w:pPr>
        <w:pStyle w:val="NameofActReg"/>
      </w:pPr>
      <w:r>
        <w:t>Supreme Court (Court of Appeal) Rules 2005</w:t>
      </w:r>
    </w:p>
    <w:p>
      <w:pPr>
        <w:pStyle w:val="Heading2"/>
        <w:pageBreakBefore w:val="0"/>
      </w:pPr>
      <w:bookmarkStart w:id="3" w:name="_Toc379203814"/>
      <w:bookmarkStart w:id="4" w:name="_Toc379203924"/>
      <w:bookmarkStart w:id="5" w:name="_Toc425243268"/>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79203925"/>
      <w:bookmarkStart w:id="7" w:name="_Toc425243269"/>
      <w:r>
        <w:rPr>
          <w:rStyle w:val="CharSectno"/>
        </w:rPr>
        <w:t>1</w:t>
      </w:r>
      <w:r>
        <w:t>.</w:t>
      </w:r>
      <w:r>
        <w:tab/>
        <w:t>Citation</w:t>
      </w:r>
      <w:bookmarkEnd w:id="6"/>
      <w:bookmarkEnd w:id="7"/>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8" w:name="_Toc379203926"/>
      <w:bookmarkStart w:id="9" w:name="_Toc425243270"/>
      <w:r>
        <w:rPr>
          <w:rStyle w:val="CharSectno"/>
        </w:rPr>
        <w:t>2</w:t>
      </w:r>
      <w:r>
        <w:rPr>
          <w:spacing w:val="-2"/>
        </w:rPr>
        <w:t>.</w:t>
      </w:r>
      <w:r>
        <w:rPr>
          <w:spacing w:val="-2"/>
        </w:rPr>
        <w:tab/>
        <w:t>Commencement</w:t>
      </w:r>
      <w:bookmarkEnd w:id="8"/>
      <w:bookmarkEnd w:id="9"/>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10" w:name="_Toc379203927"/>
      <w:bookmarkStart w:id="11" w:name="_Toc425243271"/>
      <w:r>
        <w:rPr>
          <w:rStyle w:val="CharSectno"/>
        </w:rPr>
        <w:t>3</w:t>
      </w:r>
      <w:r>
        <w:t>.</w:t>
      </w:r>
      <w:r>
        <w:tab/>
        <w:t>Interpretation</w:t>
      </w:r>
      <w:bookmarkEnd w:id="10"/>
      <w:bookmarkEnd w:id="11"/>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tab/>
      </w:r>
      <w:r>
        <w:rPr>
          <w:rStyle w:val="CharDefText"/>
        </w:rPr>
        <w:t>civil appeal</w:t>
      </w:r>
      <w:r>
        <w:t xml:space="preserve"> means any appeal to the Court of Appeal that is not a criminal appeal;</w:t>
      </w:r>
    </w:p>
    <w:p>
      <w:pPr>
        <w:pStyle w:val="Defstart"/>
      </w:pPr>
      <w:r>
        <w:rPr>
          <w:b/>
        </w:rPr>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or Part 3;</w:t>
      </w:r>
    </w:p>
    <w:p>
      <w:pPr>
        <w:pStyle w:val="Defstart"/>
      </w:pPr>
      <w:r>
        <w:rPr>
          <w:b/>
        </w:rPr>
        <w:tab/>
      </w:r>
      <w:r>
        <w:rPr>
          <w:rStyle w:val="CharDefText"/>
        </w:rPr>
        <w:t>decision</w:t>
      </w:r>
      <w:r>
        <w:t xml:space="preserve"> includes judgment, order and verdict;</w:t>
      </w:r>
    </w:p>
    <w:p>
      <w:pPr>
        <w:pStyle w:val="Defstart"/>
      </w:pPr>
      <w:r>
        <w:rPr>
          <w:b/>
        </w:rPr>
        <w:tab/>
      </w:r>
      <w:r>
        <w:rPr>
          <w:rStyle w:val="CharDefText"/>
        </w:rPr>
        <w:t>file</w:t>
      </w:r>
      <w:r>
        <w:t xml:space="preserve"> a document, means to file it at the Court of Appeal Office in the Supreme Court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ind w:left="0" w:firstLine="0"/>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pPr>
      <w:r>
        <w:tab/>
        <w:t>(g)</w:t>
      </w:r>
      <w:r>
        <w:tab/>
        <w:t>an order extending or shortening the time for obeying a requirement of these rules, other than the time for commencing an appeal;</w:t>
      </w:r>
    </w:p>
    <w:p>
      <w:pPr>
        <w:pStyle w:val="Defpara"/>
      </w:pPr>
      <w:r>
        <w:tab/>
        <w:t>(h)</w:t>
      </w:r>
      <w:r>
        <w:tab/>
        <w:t>any other order that the Court of Appeal may make before the appeal is concluded, other than an order giving or refusing to give leave to appeal;</w:t>
      </w:r>
    </w:p>
    <w:p>
      <w:pPr>
        <w:pStyle w:val="Defstart"/>
      </w:pPr>
      <w:r>
        <w:rPr>
          <w:b/>
        </w:rPr>
        <w:tab/>
      </w:r>
      <w:r>
        <w:rPr>
          <w:rStyle w:val="CharDefText"/>
        </w:rPr>
        <w:t>interlocutory civil appeal</w:t>
      </w:r>
      <w:r>
        <w:t xml:space="preserve"> means an appeal from an interlocutory decision made in civil proceedings in the General Division by a judge or master;</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registrar</w:t>
      </w:r>
      <w:r>
        <w:rPr>
          <w:b/>
        </w:rPr>
        <w:t xml:space="preserve"> </w:t>
      </w:r>
      <w:r>
        <w:t>means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Heading5"/>
      </w:pPr>
      <w:bookmarkStart w:id="12" w:name="_Toc379203928"/>
      <w:bookmarkStart w:id="13" w:name="_Toc425243272"/>
      <w:r>
        <w:rPr>
          <w:rStyle w:val="CharSectno"/>
        </w:rPr>
        <w:t>4</w:t>
      </w:r>
      <w:r>
        <w:t>.</w:t>
      </w:r>
      <w:r>
        <w:tab/>
        <w:t>Application of these rules</w:t>
      </w:r>
      <w:bookmarkEnd w:id="12"/>
      <w:bookmarkEnd w:id="13"/>
    </w:p>
    <w:p>
      <w:pPr>
        <w:pStyle w:val="Subsection"/>
      </w:pPr>
      <w:r>
        <w:tab/>
        <w:t>(1)</w:t>
      </w:r>
      <w:r>
        <w:tab/>
        <w:t>These rules apply to and in respect of any CA matter.</w:t>
      </w:r>
    </w:p>
    <w:p>
      <w:pPr>
        <w:pStyle w:val="Subsection"/>
      </w:pPr>
      <w:r>
        <w:tab/>
        <w:t>(2)</w:t>
      </w:r>
      <w:r>
        <w:tab/>
        <w:t xml:space="preserve">If when these rules commence a CA matter is pending before the Court of Appeal, the RSC, or the </w:t>
      </w:r>
      <w:r>
        <w:rPr>
          <w:i/>
        </w:rPr>
        <w:t>Criminal Procedure Rules 2000</w:t>
      </w:r>
      <w:r>
        <w:t xml:space="preserve"> Part 12, as the case may be, as in force immediately before these rules commence, continue to apply to and in respect of the matter unless — </w:t>
      </w:r>
    </w:p>
    <w:p>
      <w:pPr>
        <w:pStyle w:val="Indenta"/>
      </w:pPr>
      <w:r>
        <w:tab/>
        <w:t>(a)</w:t>
      </w:r>
      <w:r>
        <w:tab/>
        <w:t>under a direction given under subrule (3), any of these rules apply to and in respect of the matter; or</w:t>
      </w:r>
    </w:p>
    <w:p>
      <w:pPr>
        <w:pStyle w:val="Indenta"/>
      </w:pPr>
      <w:r>
        <w:tab/>
        <w:t>(b)</w:t>
      </w:r>
      <w:r>
        <w:tab/>
        <w:t>a single judge orders that any or all of these rules shall apply to and in respect of the matter.</w:t>
      </w:r>
    </w:p>
    <w:p>
      <w:pPr>
        <w:pStyle w:val="Subsection"/>
      </w:pPr>
      <w:r>
        <w:tab/>
        <w:t>(3)</w:t>
      </w:r>
      <w:r>
        <w:tab/>
        <w:t>The President may direct that some of these rules (specified in the direction) apply to and in respect of a class of CA matters (specified in the direction).</w:t>
      </w:r>
    </w:p>
    <w:p>
      <w:pPr>
        <w:pStyle w:val="Heading5"/>
        <w:rPr>
          <w:i/>
        </w:rPr>
      </w:pPr>
      <w:bookmarkStart w:id="14" w:name="_Toc379203929"/>
      <w:bookmarkStart w:id="15" w:name="_Toc425243273"/>
      <w:r>
        <w:rPr>
          <w:rStyle w:val="CharSectno"/>
        </w:rPr>
        <w:t>5</w:t>
      </w:r>
      <w:r>
        <w:t>.</w:t>
      </w:r>
      <w:r>
        <w:tab/>
        <w:t xml:space="preserve">Application of the </w:t>
      </w:r>
      <w:r>
        <w:rPr>
          <w:i/>
        </w:rPr>
        <w:t>Rules of the Supreme Court 1971</w:t>
      </w:r>
      <w:bookmarkEnd w:id="14"/>
      <w:bookmarkEnd w:id="15"/>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16" w:name="_Toc379203820"/>
      <w:bookmarkStart w:id="17" w:name="_Toc379203930"/>
      <w:bookmarkStart w:id="18" w:name="_Toc425243274"/>
      <w:r>
        <w:rPr>
          <w:rStyle w:val="CharPartNo"/>
        </w:rPr>
        <w:t>Part 2</w:t>
      </w:r>
      <w:r>
        <w:t> — </w:t>
      </w:r>
      <w:r>
        <w:rPr>
          <w:rStyle w:val="CharPartText"/>
        </w:rPr>
        <w:t>Delegated jurisdiction</w:t>
      </w:r>
      <w:bookmarkEnd w:id="16"/>
      <w:bookmarkEnd w:id="17"/>
      <w:bookmarkEnd w:id="18"/>
    </w:p>
    <w:p>
      <w:pPr>
        <w:pStyle w:val="Heading3"/>
      </w:pPr>
      <w:bookmarkStart w:id="19" w:name="_Toc379203821"/>
      <w:bookmarkStart w:id="20" w:name="_Toc379203931"/>
      <w:bookmarkStart w:id="21" w:name="_Toc425243275"/>
      <w:r>
        <w:rPr>
          <w:rStyle w:val="CharDivNo"/>
        </w:rPr>
        <w:t>Division 1</w:t>
      </w:r>
      <w:r>
        <w:t> — </w:t>
      </w:r>
      <w:r>
        <w:rPr>
          <w:rStyle w:val="CharDivText"/>
        </w:rPr>
        <w:t>General</w:t>
      </w:r>
      <w:bookmarkEnd w:id="19"/>
      <w:bookmarkEnd w:id="20"/>
      <w:bookmarkEnd w:id="21"/>
    </w:p>
    <w:p>
      <w:pPr>
        <w:pStyle w:val="Heading5"/>
      </w:pPr>
      <w:bookmarkStart w:id="22" w:name="_Toc379203932"/>
      <w:bookmarkStart w:id="23" w:name="_Toc425243276"/>
      <w:r>
        <w:rPr>
          <w:rStyle w:val="CharSectno"/>
        </w:rPr>
        <w:t>6</w:t>
      </w:r>
      <w:r>
        <w:t>.</w:t>
      </w:r>
      <w:r>
        <w:tab/>
        <w:t>Hearings by telephone</w:t>
      </w:r>
      <w:bookmarkEnd w:id="22"/>
      <w:bookmarkEnd w:id="23"/>
    </w:p>
    <w:p>
      <w:pPr>
        <w:pStyle w:val="Subsection"/>
      </w:pPr>
      <w:r>
        <w:tab/>
        <w:t>(1)</w:t>
      </w:r>
      <w:r>
        <w:tab/>
        <w:t>A single judge or the registrar may conduct a hearing with one or more of the parties to a CA matter by telephone.</w:t>
      </w:r>
    </w:p>
    <w:p>
      <w:pPr>
        <w:pStyle w:val="Subsection"/>
      </w:pPr>
      <w:r>
        <w:tab/>
        <w:t>(2)</w:t>
      </w:r>
      <w:r>
        <w:tab/>
        <w:t>A hearing conducted by telephone is to be taken to be a hearing in the presence of the judge or registrar.</w:t>
      </w:r>
    </w:p>
    <w:p>
      <w:pPr>
        <w:pStyle w:val="Subsection"/>
      </w:pPr>
      <w:r>
        <w:tab/>
        <w:t>(3)</w:t>
      </w:r>
      <w:r>
        <w:tab/>
        <w:t>The registrar must confirm in writing any order made at such a hearing.</w:t>
      </w:r>
    </w:p>
    <w:p>
      <w:pPr>
        <w:pStyle w:val="Heading3"/>
        <w:rPr>
          <w:rStyle w:val="CharDivText"/>
        </w:rPr>
      </w:pPr>
      <w:bookmarkStart w:id="24" w:name="_Toc379203823"/>
      <w:bookmarkStart w:id="25" w:name="_Toc379203933"/>
      <w:bookmarkStart w:id="26" w:name="_Toc425243277"/>
      <w:r>
        <w:rPr>
          <w:rStyle w:val="CharDivNo"/>
        </w:rPr>
        <w:t>Division 2</w:t>
      </w:r>
      <w:r>
        <w:t> — </w:t>
      </w:r>
      <w:r>
        <w:rPr>
          <w:rStyle w:val="CharDivText"/>
        </w:rPr>
        <w:t>Single judge’s jurisdiction</w:t>
      </w:r>
      <w:bookmarkEnd w:id="24"/>
      <w:bookmarkEnd w:id="25"/>
      <w:bookmarkEnd w:id="26"/>
    </w:p>
    <w:p>
      <w:pPr>
        <w:pStyle w:val="Heading5"/>
      </w:pPr>
      <w:bookmarkStart w:id="27" w:name="_Toc379203934"/>
      <w:bookmarkStart w:id="28" w:name="_Toc425243278"/>
      <w:r>
        <w:rPr>
          <w:rStyle w:val="CharSectno"/>
        </w:rPr>
        <w:t>7</w:t>
      </w:r>
      <w:r>
        <w:t>.</w:t>
      </w:r>
      <w:r>
        <w:tab/>
        <w:t>General jurisdiction</w:t>
      </w:r>
      <w:bookmarkEnd w:id="27"/>
      <w:bookmarkEnd w:id="28"/>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to decide an application on the basis of the documents filed and without listing it for hearing;</w:t>
      </w:r>
    </w:p>
    <w:p>
      <w:pPr>
        <w:pStyle w:val="Indenta"/>
      </w:pPr>
      <w:r>
        <w:tab/>
        <w:t>(c)</w:t>
      </w:r>
      <w:r>
        <w:tab/>
        <w:t>to make a decision on the judge’s own initiative on the basis of the documents filed and without requiring the parties to attend a hearing;</w:t>
      </w:r>
    </w:p>
    <w:p>
      <w:pPr>
        <w:pStyle w:val="Indenta"/>
      </w:pPr>
      <w:r>
        <w:tab/>
        <w:t>(d)</w:t>
      </w:r>
      <w:r>
        <w:tab/>
        <w:t>to hear and decide an application in the absence of any party other than the applicant;</w:t>
      </w:r>
    </w:p>
    <w:p>
      <w:pPr>
        <w:pStyle w:val="Indenta"/>
      </w:pPr>
      <w:r>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 before a single judge.</w:t>
      </w:r>
    </w:p>
    <w:p>
      <w:pPr>
        <w:pStyle w:val="Subsection"/>
      </w:pPr>
      <w:r>
        <w:tab/>
        <w:t>(2)</w:t>
      </w:r>
      <w:r>
        <w:tab/>
        <w:t>If a single judge makes a decision on the basis of the documents filed without requiring the parties to attend a hearing, rule 19 applies.</w:t>
      </w:r>
    </w:p>
    <w:p>
      <w:pPr>
        <w:pStyle w:val="Heading3"/>
      </w:pPr>
      <w:bookmarkStart w:id="29" w:name="_Toc379203825"/>
      <w:bookmarkStart w:id="30" w:name="_Toc379203935"/>
      <w:bookmarkStart w:id="31" w:name="_Toc425243279"/>
      <w:r>
        <w:rPr>
          <w:rStyle w:val="CharDivNo"/>
        </w:rPr>
        <w:t>Division 3</w:t>
      </w:r>
      <w:r>
        <w:t> — </w:t>
      </w:r>
      <w:r>
        <w:rPr>
          <w:rStyle w:val="CharDivText"/>
        </w:rPr>
        <w:t>Reviewing decisions by a single judge</w:t>
      </w:r>
      <w:bookmarkEnd w:id="29"/>
      <w:bookmarkEnd w:id="30"/>
      <w:bookmarkEnd w:id="31"/>
    </w:p>
    <w:p>
      <w:pPr>
        <w:pStyle w:val="Heading5"/>
      </w:pPr>
      <w:bookmarkStart w:id="32" w:name="_Toc379203936"/>
      <w:bookmarkStart w:id="33" w:name="_Toc425243280"/>
      <w:r>
        <w:rPr>
          <w:rStyle w:val="CharSectno"/>
        </w:rPr>
        <w:t>8</w:t>
      </w:r>
      <w:r>
        <w:t>.</w:t>
      </w:r>
      <w:r>
        <w:tab/>
        <w:t>Application for review by Court of Appeal</w:t>
      </w:r>
      <w:bookmarkEnd w:id="32"/>
      <w:bookmarkEnd w:id="33"/>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tab/>
        <w:t>(3)</w:t>
      </w:r>
      <w:r>
        <w:tab/>
        <w:t>Except as provided in subrule (2), an application made under subrule (1) does not stay the single judge’s decision or the CA matter unless the Court of Appeal orders otherwise.</w:t>
      </w:r>
    </w:p>
    <w:p>
      <w:pPr>
        <w:pStyle w:val="Heading5"/>
      </w:pPr>
      <w:bookmarkStart w:id="34" w:name="_Toc379203937"/>
      <w:bookmarkStart w:id="35" w:name="_Toc425243281"/>
      <w:r>
        <w:rPr>
          <w:rStyle w:val="CharSectno"/>
        </w:rPr>
        <w:t>9</w:t>
      </w:r>
      <w:r>
        <w:t>.</w:t>
      </w:r>
      <w:r>
        <w:tab/>
        <w:t>Dealing with the application</w:t>
      </w:r>
      <w:bookmarkEnd w:id="34"/>
      <w:bookmarkEnd w:id="35"/>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36" w:name="_Toc379203828"/>
      <w:bookmarkStart w:id="37" w:name="_Toc379203938"/>
      <w:bookmarkStart w:id="38" w:name="_Toc425243282"/>
      <w:r>
        <w:rPr>
          <w:rStyle w:val="CharDivNo"/>
        </w:rPr>
        <w:t>Division 4</w:t>
      </w:r>
      <w:r>
        <w:t> — </w:t>
      </w:r>
      <w:r>
        <w:rPr>
          <w:rStyle w:val="CharDivText"/>
        </w:rPr>
        <w:t>Registrar’s jurisdiction</w:t>
      </w:r>
      <w:bookmarkEnd w:id="36"/>
      <w:bookmarkEnd w:id="37"/>
      <w:bookmarkEnd w:id="38"/>
    </w:p>
    <w:p>
      <w:pPr>
        <w:pStyle w:val="Heading5"/>
      </w:pPr>
      <w:bookmarkStart w:id="39" w:name="_Toc379203939"/>
      <w:bookmarkStart w:id="40" w:name="_Toc425243283"/>
      <w:r>
        <w:rPr>
          <w:rStyle w:val="CharSectno"/>
        </w:rPr>
        <w:t>10</w:t>
      </w:r>
      <w:r>
        <w:t>.</w:t>
      </w:r>
      <w:r>
        <w:tab/>
        <w:t>General jurisdiction</w:t>
      </w:r>
      <w:bookmarkEnd w:id="39"/>
      <w:bookmarkEnd w:id="40"/>
    </w:p>
    <w:p>
      <w:pPr>
        <w:pStyle w:val="Subsection"/>
      </w:pPr>
      <w:r>
        <w:tab/>
        <w:t>(1)</w:t>
      </w:r>
      <w:r>
        <w:tab/>
        <w:t>The registrar may refuse to accept for filing any document that is required or permitted by these rules if it does not obey these rules or any order made under these rules.</w:t>
      </w:r>
    </w:p>
    <w:p>
      <w:pPr>
        <w:pStyle w:val="Subsection"/>
      </w:pPr>
      <w:r>
        <w:tab/>
        <w:t>(2)</w:t>
      </w:r>
      <w:r>
        <w:tab/>
        <w:t>The registrar has the same jurisdiction in respect of a CA matter as a single judge has under these rules, but does not have jurisdiction —</w:t>
      </w:r>
    </w:p>
    <w:p>
      <w:pPr>
        <w:pStyle w:val="Indenta"/>
      </w:pPr>
      <w:r>
        <w:tab/>
        <w:t>(a)</w:t>
      </w:r>
      <w:r>
        <w:tab/>
        <w:t>to make an order that concludes the CA matter;</w:t>
      </w:r>
    </w:p>
    <w:p>
      <w:pPr>
        <w:pStyle w:val="Indenta"/>
      </w:pPr>
      <w:r>
        <w:tab/>
        <w:t>(b)</w:t>
      </w:r>
      <w:r>
        <w:tab/>
        <w:t>to extend or to refuse to extend the time within which to appeal;</w:t>
      </w:r>
    </w:p>
    <w:p>
      <w:pPr>
        <w:pStyle w:val="Indenta"/>
      </w:pPr>
      <w:r>
        <w:tab/>
        <w:t>(c)</w:t>
      </w:r>
      <w:r>
        <w:tab/>
        <w:t>to give or refuse to give leave to appeal or to adjourn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 or</w:t>
      </w:r>
    </w:p>
    <w:p>
      <w:pPr>
        <w:pStyle w:val="Indenta"/>
      </w:pPr>
      <w:r>
        <w:tab/>
        <w:t>(h)</w:t>
      </w:r>
      <w:r>
        <w:tab/>
        <w:t>to exercise the jurisdiction conferred on a single judge by rule 49(2) or 64(5).</w:t>
      </w:r>
    </w:p>
    <w:p>
      <w:pPr>
        <w:pStyle w:val="Subsection"/>
      </w:pPr>
      <w:r>
        <w:tab/>
        <w:t>(3)</w:t>
      </w:r>
      <w:r>
        <w:tab/>
        <w:t>For the purposes of exercising the jurisdiction conferred on the registrar, the registrar has the same jurisdiction as a single judge has under rule 7(1).</w:t>
      </w:r>
    </w:p>
    <w:p>
      <w:pPr>
        <w:pStyle w:val="Heading5"/>
      </w:pPr>
      <w:bookmarkStart w:id="41" w:name="_Toc379203940"/>
      <w:bookmarkStart w:id="42" w:name="_Toc425243284"/>
      <w:r>
        <w:rPr>
          <w:rStyle w:val="CharSectno"/>
        </w:rPr>
        <w:t>11</w:t>
      </w:r>
      <w:r>
        <w:t>.</w:t>
      </w:r>
      <w:r>
        <w:tab/>
        <w:t>Registrar may refer appeal to single judge</w:t>
      </w:r>
      <w:bookmarkEnd w:id="41"/>
      <w:bookmarkEnd w:id="42"/>
    </w:p>
    <w:p>
      <w:pPr>
        <w:pStyle w:val="Subsection"/>
        <w:keepNext/>
      </w:pPr>
      <w:r>
        <w:tab/>
        <w:t>(1)</w:t>
      </w:r>
      <w:r>
        <w:tab/>
        <w:t xml:space="preserve">The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any application for an order that the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Heading5"/>
      </w:pPr>
      <w:bookmarkStart w:id="43" w:name="_Toc379203941"/>
      <w:bookmarkStart w:id="44" w:name="_Toc425243285"/>
      <w:r>
        <w:rPr>
          <w:rStyle w:val="CharSectno"/>
        </w:rPr>
        <w:t>12</w:t>
      </w:r>
      <w:r>
        <w:t>.</w:t>
      </w:r>
      <w:r>
        <w:tab/>
        <w:t>Hearing before single judge or registrar, parties to be notified</w:t>
      </w:r>
      <w:bookmarkEnd w:id="43"/>
      <w:bookmarkEnd w:id="44"/>
    </w:p>
    <w:p>
      <w:pPr>
        <w:pStyle w:val="Subsection"/>
      </w:pPr>
      <w:r>
        <w:tab/>
        <w:t>(1)</w:t>
      </w:r>
      <w:r>
        <w:tab/>
        <w:t>If a single judge or the registrar decides that a hearing of any matter within, respectively, a single judge’s or the registrar’s jurisdiction is necessary, the registrar must notify the parties of the hearing.</w:t>
      </w:r>
    </w:p>
    <w:p>
      <w:pPr>
        <w:pStyle w:val="Subsection"/>
        <w:keepNext/>
      </w:pPr>
      <w:r>
        <w:tab/>
        <w:t>(2)</w:t>
      </w:r>
      <w:r>
        <w:tab/>
        <w:t xml:space="preserve">The notice issued by the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Subsection"/>
        <w:keepNext/>
      </w:pPr>
      <w:r>
        <w:tab/>
        <w:t>(4)</w:t>
      </w:r>
      <w:r>
        <w:tab/>
        <w:t>The notice to a party may be served —</w:t>
      </w:r>
    </w:p>
    <w:p>
      <w:pPr>
        <w:pStyle w:val="Indenta"/>
      </w:pPr>
      <w:r>
        <w:tab/>
        <w:t>(a)</w:t>
      </w:r>
      <w:r>
        <w:tab/>
        <w:t>by posting it to the party’s address for service;</w:t>
      </w:r>
    </w:p>
    <w:p>
      <w:pPr>
        <w:pStyle w:val="Indenta"/>
      </w:pPr>
      <w:r>
        <w:tab/>
        <w:t>(b)</w:t>
      </w:r>
      <w:r>
        <w:tab/>
        <w:t>if the party has given a fax number for service, by sending the notice to the party by fax at that number;</w:t>
      </w:r>
    </w:p>
    <w:p>
      <w:pPr>
        <w:pStyle w:val="Indenta"/>
      </w:pPr>
      <w:r>
        <w:tab/>
        <w:t>(c)</w:t>
      </w:r>
      <w:r>
        <w:tab/>
        <w:t>if the party has given an email address for service, by sending the notice to the party as an attachment to an email sent to that address.</w:t>
      </w:r>
    </w:p>
    <w:p>
      <w:pPr>
        <w:pStyle w:val="Heading5"/>
      </w:pPr>
      <w:bookmarkStart w:id="45" w:name="_Toc379203942"/>
      <w:bookmarkStart w:id="46" w:name="_Toc425243286"/>
      <w:r>
        <w:rPr>
          <w:rStyle w:val="CharSectno"/>
        </w:rPr>
        <w:t>13</w:t>
      </w:r>
      <w:r>
        <w:t>.</w:t>
      </w:r>
      <w:r>
        <w:tab/>
        <w:t>Written order by registrar, issue and service of</w:t>
      </w:r>
      <w:bookmarkEnd w:id="45"/>
      <w:bookmarkEnd w:id="46"/>
    </w:p>
    <w:p>
      <w:pPr>
        <w:pStyle w:val="Subsection"/>
      </w:pPr>
      <w:r>
        <w:tab/>
        <w:t>(1)</w:t>
      </w:r>
      <w:r>
        <w:tab/>
        <w:t>The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tab/>
        <w:t>(c)</w:t>
      </w:r>
      <w:r>
        <w:tab/>
        <w:t>must be served on the party at least 3 clear working days before the date on which the party has to obey it.</w:t>
      </w:r>
    </w:p>
    <w:p>
      <w:pPr>
        <w:pStyle w:val="Subsection"/>
      </w:pPr>
      <w:r>
        <w:tab/>
        <w:t>(3)</w:t>
      </w:r>
      <w:r>
        <w:tab/>
        <w:t>Rule 12(4), with any necessary changes, applies to the service of such an order.</w:t>
      </w:r>
    </w:p>
    <w:p>
      <w:pPr>
        <w:pStyle w:val="Subsection"/>
      </w:pPr>
      <w:r>
        <w:tab/>
        <w:t>(4)</w:t>
      </w:r>
      <w:r>
        <w:tab/>
        <w:t>This rule does not limit the registrar’s other powers under these rules to make orders at a hearing.</w:t>
      </w:r>
    </w:p>
    <w:p>
      <w:pPr>
        <w:pStyle w:val="Heading3"/>
      </w:pPr>
      <w:bookmarkStart w:id="47" w:name="_Toc379203833"/>
      <w:bookmarkStart w:id="48" w:name="_Toc379203943"/>
      <w:bookmarkStart w:id="49" w:name="_Toc425243287"/>
      <w:r>
        <w:rPr>
          <w:rStyle w:val="CharDivNo"/>
        </w:rPr>
        <w:t>Division 5</w:t>
      </w:r>
      <w:r>
        <w:t> — </w:t>
      </w:r>
      <w:r>
        <w:rPr>
          <w:rStyle w:val="CharDivText"/>
        </w:rPr>
        <w:t>Reviewing decisions by the registrar</w:t>
      </w:r>
      <w:bookmarkEnd w:id="47"/>
      <w:bookmarkEnd w:id="48"/>
      <w:bookmarkEnd w:id="49"/>
    </w:p>
    <w:p>
      <w:pPr>
        <w:pStyle w:val="Heading5"/>
      </w:pPr>
      <w:bookmarkStart w:id="50" w:name="_Toc379203944"/>
      <w:bookmarkStart w:id="51" w:name="_Toc425243288"/>
      <w:r>
        <w:rPr>
          <w:rStyle w:val="CharSectno"/>
        </w:rPr>
        <w:t>14</w:t>
      </w:r>
      <w:r>
        <w:t>.</w:t>
      </w:r>
      <w:r>
        <w:tab/>
        <w:t>Interpretation</w:t>
      </w:r>
      <w:bookmarkEnd w:id="50"/>
      <w:bookmarkEnd w:id="51"/>
    </w:p>
    <w:p>
      <w:pPr>
        <w:pStyle w:val="Subsection"/>
        <w:keepNext/>
      </w:pPr>
      <w:r>
        <w:tab/>
      </w:r>
      <w:r>
        <w:tab/>
        <w:t xml:space="preserve">In this Division, unless the contrary intention appears — </w:t>
      </w:r>
    </w:p>
    <w:p>
      <w:pPr>
        <w:pStyle w:val="Defstart"/>
      </w:pPr>
      <w:r>
        <w:rPr>
          <w:b/>
        </w:rPr>
        <w:tab/>
      </w:r>
      <w:r>
        <w:rPr>
          <w:rStyle w:val="CharDefText"/>
        </w:rPr>
        <w:t>reviewable decision</w:t>
      </w:r>
      <w:r>
        <w:t xml:space="preserve"> means a decision by the registrar under these rules, other than a decision made as a Taxing Officer.</w:t>
      </w:r>
    </w:p>
    <w:p>
      <w:pPr>
        <w:pStyle w:val="Heading5"/>
      </w:pPr>
      <w:bookmarkStart w:id="52" w:name="_Toc379203945"/>
      <w:bookmarkStart w:id="53" w:name="_Toc425243289"/>
      <w:r>
        <w:rPr>
          <w:rStyle w:val="CharSectno"/>
        </w:rPr>
        <w:t>15</w:t>
      </w:r>
      <w:r>
        <w:t>.</w:t>
      </w:r>
      <w:r>
        <w:tab/>
        <w:t>Application for review by single judge</w:t>
      </w:r>
      <w:bookmarkEnd w:id="52"/>
      <w:bookmarkEnd w:id="53"/>
      <w:r>
        <w:t xml:space="preserve"> </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tab/>
        <w:t>(3)</w:t>
      </w:r>
      <w:r>
        <w:tab/>
        <w:t>An application made under subrule (1) does not stay the reviewable decision or the CA matter unless a single judge orders otherwise.</w:t>
      </w:r>
    </w:p>
    <w:p>
      <w:pPr>
        <w:pStyle w:val="Heading5"/>
      </w:pPr>
      <w:bookmarkStart w:id="54" w:name="_Toc379203946"/>
      <w:bookmarkStart w:id="55" w:name="_Toc425243290"/>
      <w:r>
        <w:rPr>
          <w:rStyle w:val="CharSectno"/>
        </w:rPr>
        <w:t>16</w:t>
      </w:r>
      <w:r>
        <w:t>.</w:t>
      </w:r>
      <w:r>
        <w:tab/>
        <w:t>Dealing with the application</w:t>
      </w:r>
      <w:bookmarkEnd w:id="54"/>
      <w:bookmarkEnd w:id="55"/>
    </w:p>
    <w:p>
      <w:pPr>
        <w:pStyle w:val="Subsection"/>
      </w:pPr>
      <w:r>
        <w:tab/>
      </w:r>
      <w:r>
        <w:tab/>
        <w:t>A single judge has jurisdiction to decide an application made under rule 15 and in doing so must consider afresh the matter that was decided by the registrar.</w:t>
      </w:r>
    </w:p>
    <w:p>
      <w:pPr>
        <w:pStyle w:val="Heading3"/>
      </w:pPr>
      <w:bookmarkStart w:id="56" w:name="_Toc379203837"/>
      <w:bookmarkStart w:id="57" w:name="_Toc379203947"/>
      <w:bookmarkStart w:id="58" w:name="_Toc425243291"/>
      <w:r>
        <w:rPr>
          <w:rStyle w:val="CharDivNo"/>
        </w:rPr>
        <w:t>Division 6</w:t>
      </w:r>
      <w:r>
        <w:t> — </w:t>
      </w:r>
      <w:r>
        <w:rPr>
          <w:rStyle w:val="CharDivText"/>
        </w:rPr>
        <w:t>Miscellaneous</w:t>
      </w:r>
      <w:bookmarkEnd w:id="56"/>
      <w:bookmarkEnd w:id="57"/>
      <w:bookmarkEnd w:id="58"/>
    </w:p>
    <w:p>
      <w:pPr>
        <w:pStyle w:val="Heading5"/>
      </w:pPr>
      <w:bookmarkStart w:id="59" w:name="_Toc379203948"/>
      <w:bookmarkStart w:id="60" w:name="_Toc425243292"/>
      <w:r>
        <w:rPr>
          <w:rStyle w:val="CharSectno"/>
        </w:rPr>
        <w:t>17</w:t>
      </w:r>
      <w:r>
        <w:t>.</w:t>
      </w:r>
      <w:r>
        <w:tab/>
        <w:t>Non-attendance by party, consequences of</w:t>
      </w:r>
      <w:bookmarkEnd w:id="59"/>
      <w:bookmarkEnd w:id="60"/>
    </w:p>
    <w:p>
      <w:pPr>
        <w:pStyle w:val="Subsection"/>
      </w:pPr>
      <w:r>
        <w:tab/>
        <w:t>(1)</w:t>
      </w:r>
      <w:r>
        <w:tab/>
        <w:t xml:space="preserve">Subject to the </w:t>
      </w:r>
      <w:r>
        <w:rPr>
          <w:i/>
        </w:rPr>
        <w:t xml:space="preserve">Criminal Appeals Act 2004 </w:t>
      </w:r>
      <w:r>
        <w:t>section 35, if a hearing before a single judge or the registrar is adjourned because a party who has been notified of it does not attend, the judge or registrar may order the party or the party’s lawyer to pay the costs of any party who attended.</w:t>
      </w:r>
    </w:p>
    <w:p>
      <w:pPr>
        <w:pStyle w:val="Subsection"/>
      </w:pPr>
      <w:r>
        <w:tab/>
        <w:t>(2)</w:t>
      </w:r>
      <w:r>
        <w:tab/>
        <w:t>If a party who has been notified of a hearing does not attend the hearing before a single judge or the registrar, the judge or registrar may proceed in the party’s absence.</w:t>
      </w:r>
    </w:p>
    <w:p>
      <w:pPr>
        <w:pStyle w:val="Heading5"/>
      </w:pPr>
      <w:bookmarkStart w:id="61" w:name="_Toc379203949"/>
      <w:bookmarkStart w:id="62" w:name="_Toc425243293"/>
      <w:r>
        <w:rPr>
          <w:rStyle w:val="CharSectno"/>
        </w:rPr>
        <w:t>18</w:t>
      </w:r>
      <w:r>
        <w:t>.</w:t>
      </w:r>
      <w:r>
        <w:tab/>
        <w:t>Decisions made in absence of a party</w:t>
      </w:r>
      <w:bookmarkEnd w:id="61"/>
      <w:bookmarkEnd w:id="62"/>
    </w:p>
    <w:p>
      <w:pPr>
        <w:pStyle w:val="Subsection"/>
      </w:pPr>
      <w:r>
        <w:tab/>
        <w:t>(1)</w:t>
      </w:r>
      <w:r>
        <w:tab/>
        <w:t>If a single judge or the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tab/>
        <w:t>(2)</w:t>
      </w:r>
      <w:r>
        <w:tab/>
        <w:t>If in a party’s absence a single judge or the registrar makes a decision in a CA matter, whether or not at a hearing, the registrar must notify the party of the decision.</w:t>
      </w:r>
    </w:p>
    <w:p>
      <w:pPr>
        <w:pStyle w:val="Heading5"/>
      </w:pPr>
      <w:bookmarkStart w:id="63" w:name="_Toc379203950"/>
      <w:bookmarkStart w:id="64" w:name="_Toc425243294"/>
      <w:r>
        <w:rPr>
          <w:rStyle w:val="CharSectno"/>
        </w:rPr>
        <w:t>19</w:t>
      </w:r>
      <w:r>
        <w:t>.</w:t>
      </w:r>
      <w:r>
        <w:tab/>
        <w:t>Decisions made on the papers</w:t>
      </w:r>
      <w:bookmarkEnd w:id="63"/>
      <w:bookmarkEnd w:id="64"/>
    </w:p>
    <w:p>
      <w:pPr>
        <w:pStyle w:val="Subsection"/>
      </w:pPr>
      <w:r>
        <w:tab/>
        <w:t>(1)</w:t>
      </w:r>
      <w:r>
        <w:tab/>
        <w:t>This rules applies if another rule says it applies.</w:t>
      </w:r>
    </w:p>
    <w:p>
      <w:pPr>
        <w:pStyle w:val="Subsection"/>
      </w:pPr>
      <w:r>
        <w:tab/>
        <w:t>(2)</w:t>
      </w:r>
      <w:r>
        <w:tab/>
        <w:t xml:space="preserve">If a decision is made under the other rule on the basis of the documents filed without requiring the parties to attend a hearing (the </w:t>
      </w:r>
      <w:r>
        <w:rPr>
          <w:rStyle w:val="CharDefText"/>
        </w:rPr>
        <w:t>provisional decision</w:t>
      </w:r>
      <w:r>
        <w:t>), the registrar must serve the parties with written notice of the provisional decision.</w:t>
      </w:r>
    </w:p>
    <w:p>
      <w:pPr>
        <w:pStyle w:val="Subsection"/>
      </w:pPr>
      <w:r>
        <w:tab/>
        <w:t>(3)</w:t>
      </w:r>
      <w:r>
        <w:tab/>
        <w:t>If a party wants a hearing of the matter that gave rise to the provisional decision, the party must file a Form 12 within 5 working days after the date on which the party is served with the notice of the provisional decision.</w:t>
      </w:r>
    </w:p>
    <w:p>
      <w:pPr>
        <w:pStyle w:val="Subsection"/>
      </w:pPr>
      <w:r>
        <w:tab/>
        <w:t>(4)</w:t>
      </w:r>
      <w:r>
        <w:tab/>
        <w:t>If no party lodges a Form 12 under subrule (3), the provisional decision becomes the final decision on the matter.</w:t>
      </w:r>
    </w:p>
    <w:p>
      <w:pPr>
        <w:pStyle w:val="Subsection"/>
      </w:pPr>
      <w:r>
        <w:tab/>
        <w:t>(5)</w:t>
      </w:r>
      <w:r>
        <w:tab/>
        <w:t>If any party lodges a Form 12 under subrule (3), a registrar must list the matter for hearing by the judge who made the provisional decision or, if he or she is absent, before another, and notify the parties.</w:t>
      </w:r>
    </w:p>
    <w:p>
      <w:pPr>
        <w:pStyle w:val="Subsection"/>
      </w:pPr>
      <w:r>
        <w:tab/>
        <w:t>(6)</w:t>
      </w:r>
      <w:r>
        <w:tab/>
        <w:t>At the hearing the provisional decision may be confirmed, amended or set aside.</w:t>
      </w:r>
    </w:p>
    <w:p>
      <w:pPr>
        <w:pStyle w:val="Subsection"/>
      </w:pPr>
      <w:r>
        <w:tab/>
        <w:t>(7)</w:t>
      </w:r>
      <w:r>
        <w:tab/>
        <w:t>The decision made at the hearing is the final decision on the matter.</w:t>
      </w:r>
    </w:p>
    <w:p>
      <w:pPr>
        <w:pStyle w:val="Subsection"/>
      </w:pPr>
      <w:r>
        <w:tab/>
        <w:t>(8)</w:t>
      </w:r>
      <w:r>
        <w:tab/>
        <w:t>Any right to appeal against, or to make an application as a result of or in respect of, a final decision on a matter cannot be exercised in relation to a provisional decision until it becomes a final decision.</w:t>
      </w:r>
    </w:p>
    <w:p>
      <w:pPr>
        <w:pStyle w:val="Heading2"/>
      </w:pPr>
      <w:bookmarkStart w:id="65" w:name="_Toc379203841"/>
      <w:bookmarkStart w:id="66" w:name="_Toc379203951"/>
      <w:bookmarkStart w:id="67" w:name="_Toc425243295"/>
      <w:r>
        <w:rPr>
          <w:rStyle w:val="CharPartNo"/>
        </w:rPr>
        <w:t>Part 3</w:t>
      </w:r>
      <w:r>
        <w:t> — </w:t>
      </w:r>
      <w:r>
        <w:rPr>
          <w:rStyle w:val="CharPartText"/>
        </w:rPr>
        <w:t>Administrative matters</w:t>
      </w:r>
      <w:bookmarkEnd w:id="65"/>
      <w:bookmarkEnd w:id="66"/>
      <w:bookmarkEnd w:id="67"/>
    </w:p>
    <w:p>
      <w:pPr>
        <w:pStyle w:val="Heading5"/>
      </w:pPr>
      <w:bookmarkStart w:id="68" w:name="_Toc379203952"/>
      <w:bookmarkStart w:id="69" w:name="_Toc425243296"/>
      <w:r>
        <w:rPr>
          <w:rStyle w:val="CharSectno"/>
        </w:rPr>
        <w:t>20</w:t>
      </w:r>
      <w:r>
        <w:t>.</w:t>
      </w:r>
      <w:r>
        <w:tab/>
        <w:t>Forms, completion of</w:t>
      </w:r>
      <w:bookmarkEnd w:id="68"/>
      <w:bookmarkEnd w:id="69"/>
    </w:p>
    <w:p>
      <w:pPr>
        <w:pStyle w:val="Subsection"/>
      </w:pPr>
      <w:r>
        <w:tab/>
        <w:t>(1)</w:t>
      </w:r>
      <w:r>
        <w:tab/>
        <w:t>This rule is in addition to the RSC Order 69.</w:t>
      </w:r>
    </w:p>
    <w:p>
      <w:pPr>
        <w:pStyle w:val="Subsection"/>
      </w:pPr>
      <w:r>
        <w:tab/>
        <w:t>(2)</w:t>
      </w:r>
      <w:r>
        <w:tab/>
        <w:t>When completing a form in Schedule 1 —</w:t>
      </w:r>
    </w:p>
    <w:p>
      <w:pPr>
        <w:pStyle w:val="Indenta"/>
      </w:pPr>
      <w:r>
        <w:tab/>
        <w:t>(a)</w:t>
      </w:r>
      <w:r>
        <w:tab/>
        <w:t>the name of a party must be capitalised according to the preference of the party; and</w:t>
      </w:r>
    </w:p>
    <w:p>
      <w:pPr>
        <w:pStyle w:val="Indenta"/>
        <w:keepNext/>
      </w:pPr>
      <w:r>
        <w:tab/>
        <w:t>(b)</w:t>
      </w:r>
      <w:r>
        <w:tab/>
        <w:t>the family name of a party must be underlined.</w:t>
      </w:r>
    </w:p>
    <w:p>
      <w:pPr>
        <w:pStyle w:val="MiscellaneousBody"/>
        <w:tabs>
          <w:tab w:val="left" w:pos="1134"/>
        </w:tabs>
        <w:rPr>
          <w:rFonts w:ascii="Arial" w:hAnsi="Arial" w:cs="Arial"/>
          <w:sz w:val="16"/>
          <w:szCs w:val="16"/>
        </w:rPr>
      </w:pPr>
      <w:r>
        <w:rPr>
          <w:rFonts w:ascii="Arial" w:hAnsi="Arial" w:cs="Arial"/>
          <w:sz w:val="16"/>
          <w:szCs w:val="16"/>
        </w:rPr>
        <w:tab/>
        <w:t xml:space="preserve">[Examples: Vincent </w:t>
      </w:r>
      <w:r>
        <w:rPr>
          <w:rFonts w:ascii="Arial" w:hAnsi="Arial" w:cs="Arial"/>
          <w:sz w:val="16"/>
          <w:szCs w:val="16"/>
          <w:u w:val="single"/>
        </w:rPr>
        <w:t>van Gogh</w:t>
      </w:r>
      <w:r>
        <w:rPr>
          <w:rFonts w:ascii="Arial" w:hAnsi="Arial" w:cs="Arial"/>
          <w:sz w:val="16"/>
          <w:szCs w:val="16"/>
        </w:rPr>
        <w:t xml:space="preserve">; </w:t>
      </w:r>
      <w:r>
        <w:rPr>
          <w:rFonts w:ascii="Arial" w:hAnsi="Arial" w:cs="Arial"/>
          <w:sz w:val="16"/>
          <w:szCs w:val="16"/>
          <w:u w:val="single"/>
        </w:rPr>
        <w:t>Wong</w:t>
      </w:r>
      <w:r>
        <w:rPr>
          <w:rFonts w:ascii="Arial" w:hAnsi="Arial" w:cs="Arial"/>
          <w:sz w:val="16"/>
          <w:szCs w:val="16"/>
        </w:rPr>
        <w:t xml:space="preserve"> Hei; Mary Jane </w:t>
      </w:r>
      <w:r>
        <w:rPr>
          <w:rFonts w:ascii="Arial" w:hAnsi="Arial" w:cs="Arial"/>
          <w:sz w:val="16"/>
          <w:szCs w:val="16"/>
          <w:u w:val="single"/>
        </w:rPr>
        <w:t>Citizen</w:t>
      </w:r>
      <w:r>
        <w:rPr>
          <w:rFonts w:ascii="Arial" w:hAnsi="Arial" w:cs="Arial"/>
          <w:sz w:val="16"/>
          <w:szCs w:val="16"/>
        </w:rPr>
        <w:t>.]</w:t>
      </w:r>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w:t>
      </w:r>
    </w:p>
    <w:p>
      <w:pPr>
        <w:pStyle w:val="Indenta"/>
      </w:pPr>
      <w:r>
        <w:tab/>
        <w:t>(b)</w:t>
      </w:r>
      <w:r>
        <w:tab/>
        <w:t xml:space="preserve">must bear the Court of Appeal’s file number; and  </w:t>
      </w:r>
    </w:p>
    <w:p>
      <w:pPr>
        <w:pStyle w:val="Indenta"/>
      </w:pPr>
      <w:r>
        <w:tab/>
        <w:t>(c)</w:t>
      </w:r>
      <w:r>
        <w:tab/>
        <w:t>must bear any heading required by subrule (4) or any other rule.</w:t>
      </w:r>
    </w:p>
    <w:p>
      <w:pPr>
        <w:pStyle w:val="Heading5"/>
      </w:pPr>
      <w:bookmarkStart w:id="70" w:name="_Toc379203953"/>
      <w:bookmarkStart w:id="71" w:name="_Toc425243297"/>
      <w:r>
        <w:rPr>
          <w:rStyle w:val="CharSectno"/>
        </w:rPr>
        <w:t>21</w:t>
      </w:r>
      <w:r>
        <w:t>.</w:t>
      </w:r>
      <w:r>
        <w:tab/>
        <w:t>Filed documents, technical requirements</w:t>
      </w:r>
      <w:bookmarkEnd w:id="70"/>
      <w:bookmarkEnd w:id="71"/>
    </w:p>
    <w:p>
      <w:pPr>
        <w:pStyle w:val="Subsection"/>
      </w:pPr>
      <w:r>
        <w:tab/>
        <w:t>(1)</w:t>
      </w:r>
      <w:r>
        <w:tab/>
        <w:t>Unless these rules provide otherwise or a single judge orders otherwise, any document that is filed —</w:t>
      </w:r>
    </w:p>
    <w:p>
      <w:pPr>
        <w:pStyle w:val="Indenta"/>
      </w:pPr>
      <w:r>
        <w:tab/>
        <w:t>(a)</w:t>
      </w:r>
      <w:r>
        <w:tab/>
        <w:t>must use durable white A4 paper;</w:t>
      </w:r>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w:t>
      </w:r>
    </w:p>
    <w:p>
      <w:pPr>
        <w:pStyle w:val="Indenta"/>
      </w:pPr>
      <w:r>
        <w:tab/>
        <w:t>(c)</w:t>
      </w:r>
      <w:r>
        <w:tab/>
        <w:t>must be typed in at least the size of type used for these rules (12 point Times New Roman);</w:t>
      </w:r>
    </w:p>
    <w:p>
      <w:pPr>
        <w:pStyle w:val="Indenta"/>
      </w:pPr>
      <w:r>
        <w:tab/>
        <w:t>(d)</w:t>
      </w:r>
      <w:r>
        <w:tab/>
        <w:t>must be typed using single line spacing or more;</w:t>
      </w:r>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pPr>
      <w:r>
        <w:tab/>
        <w:t>(2)</w:t>
      </w:r>
      <w:r>
        <w:tab/>
        <w:t>Subrule (1) does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Heading5"/>
      </w:pPr>
      <w:bookmarkStart w:id="72" w:name="_Toc379203954"/>
      <w:bookmarkStart w:id="73" w:name="_Toc425243298"/>
      <w:r>
        <w:rPr>
          <w:rStyle w:val="CharSectno"/>
        </w:rPr>
        <w:t>22</w:t>
      </w:r>
      <w:r>
        <w:t>.</w:t>
      </w:r>
      <w:r>
        <w:tab/>
        <w:t>Filed documents to be served</w:t>
      </w:r>
      <w:bookmarkEnd w:id="72"/>
      <w:bookmarkEnd w:id="73"/>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2"/>
      </w:pPr>
      <w:bookmarkStart w:id="74" w:name="_Toc379203845"/>
      <w:bookmarkStart w:id="75" w:name="_Toc379203955"/>
      <w:bookmarkStart w:id="76" w:name="_Toc425243299"/>
      <w:r>
        <w:rPr>
          <w:rStyle w:val="CharPartNo"/>
        </w:rPr>
        <w:t>Part 4</w:t>
      </w:r>
      <w:r>
        <w:rPr>
          <w:rStyle w:val="CharDivNo"/>
        </w:rPr>
        <w:t> </w:t>
      </w:r>
      <w:r>
        <w:t>—</w:t>
      </w:r>
      <w:r>
        <w:rPr>
          <w:rStyle w:val="CharDivText"/>
        </w:rPr>
        <w:t> </w:t>
      </w:r>
      <w:r>
        <w:rPr>
          <w:rStyle w:val="CharPartText"/>
        </w:rPr>
        <w:t>Duties of lawyers who act for parties</w:t>
      </w:r>
      <w:bookmarkEnd w:id="74"/>
      <w:bookmarkEnd w:id="75"/>
      <w:bookmarkEnd w:id="76"/>
    </w:p>
    <w:p>
      <w:pPr>
        <w:pStyle w:val="Heading5"/>
      </w:pPr>
      <w:bookmarkStart w:id="77" w:name="_Toc379203956"/>
      <w:bookmarkStart w:id="78" w:name="_Toc425243300"/>
      <w:r>
        <w:rPr>
          <w:rStyle w:val="CharSectno"/>
        </w:rPr>
        <w:t>23</w:t>
      </w:r>
      <w:r>
        <w:t>.</w:t>
      </w:r>
      <w:r>
        <w:tab/>
        <w:t>Duty to notify when acting for a party</w:t>
      </w:r>
      <w:bookmarkEnd w:id="77"/>
      <w:bookmarkEnd w:id="78"/>
    </w:p>
    <w:p>
      <w:pPr>
        <w:pStyle w:val="Subsection"/>
      </w:pPr>
      <w:r>
        <w:tab/>
        <w:t>(1)</w:t>
      </w:r>
      <w:r>
        <w:tab/>
        <w:t>On being instructed to act for a party to an appeal as a solicitor, whether or not also as counsel, a lawyer must file a Form 5 as soon as practicable.</w:t>
      </w:r>
    </w:p>
    <w:p>
      <w:pPr>
        <w:pStyle w:val="Subsection"/>
      </w:pPr>
      <w:r>
        <w:tab/>
        <w:t>(2)</w:t>
      </w:r>
      <w:r>
        <w:tab/>
        <w:t>Subrule (1) does not apply to a lawyer whose name and address for service is on a Form 1, 2 or 4 that has been filed.</w:t>
      </w:r>
    </w:p>
    <w:p>
      <w:pPr>
        <w:pStyle w:val="Heading5"/>
      </w:pPr>
      <w:bookmarkStart w:id="79" w:name="_Toc379203957"/>
      <w:bookmarkStart w:id="80" w:name="_Toc425243301"/>
      <w:r>
        <w:rPr>
          <w:rStyle w:val="CharSectno"/>
        </w:rPr>
        <w:t>24</w:t>
      </w:r>
      <w:r>
        <w:t>.</w:t>
      </w:r>
      <w:r>
        <w:tab/>
        <w:t>Presumptions as to who is acting for a party</w:t>
      </w:r>
      <w:bookmarkEnd w:id="79"/>
      <w:bookmarkEnd w:id="80"/>
    </w:p>
    <w:p>
      <w:pPr>
        <w:pStyle w:val="Subsection"/>
      </w:pPr>
      <w:r>
        <w:tab/>
      </w:r>
      <w:r>
        <w:tab/>
        <w:t xml:space="preserve">A lawyer who is said to be acting for a party by reason of a Form 1, 2, 4 or 5 that has been filed is to be taken to be acting for the party until — </w:t>
      </w:r>
    </w:p>
    <w:p>
      <w:pPr>
        <w:pStyle w:val="Indenta"/>
      </w:pPr>
      <w:r>
        <w:tab/>
        <w:t>(a)</w:t>
      </w:r>
      <w:r>
        <w:tab/>
        <w:t>another lawyer files a Form 5 under rule 23;</w:t>
      </w:r>
    </w:p>
    <w:p>
      <w:pPr>
        <w:pStyle w:val="Indenta"/>
      </w:pPr>
      <w:r>
        <w:tab/>
        <w:t>(b)</w:t>
      </w:r>
      <w:r>
        <w:tab/>
        <w:t>the party files a Form 6 notifying the court that the party is self-represented; or</w:t>
      </w:r>
    </w:p>
    <w:p>
      <w:pPr>
        <w:pStyle w:val="Indenta"/>
      </w:pPr>
      <w:r>
        <w:tab/>
        <w:t>(c)</w:t>
      </w:r>
      <w:r>
        <w:tab/>
        <w:t>the court gives leave for the lawyer to cease to act.</w:t>
      </w:r>
    </w:p>
    <w:p>
      <w:pPr>
        <w:pStyle w:val="Heading2"/>
      </w:pPr>
      <w:bookmarkStart w:id="81" w:name="_Toc379203848"/>
      <w:bookmarkStart w:id="82" w:name="_Toc379203958"/>
      <w:bookmarkStart w:id="83" w:name="_Toc425243302"/>
      <w:r>
        <w:rPr>
          <w:rStyle w:val="CharPartNo"/>
        </w:rPr>
        <w:t>Part 5</w:t>
      </w:r>
      <w:r>
        <w:t> — </w:t>
      </w:r>
      <w:r>
        <w:rPr>
          <w:rStyle w:val="CharPartText"/>
        </w:rPr>
        <w:t>Procedure for appeals</w:t>
      </w:r>
      <w:bookmarkEnd w:id="81"/>
      <w:bookmarkEnd w:id="82"/>
      <w:bookmarkEnd w:id="83"/>
    </w:p>
    <w:p>
      <w:pPr>
        <w:pStyle w:val="Heading3"/>
      </w:pPr>
      <w:bookmarkStart w:id="84" w:name="_Toc379203849"/>
      <w:bookmarkStart w:id="85" w:name="_Toc379203959"/>
      <w:bookmarkStart w:id="86" w:name="_Toc425243303"/>
      <w:r>
        <w:rPr>
          <w:rStyle w:val="CharDivNo"/>
        </w:rPr>
        <w:t>Division 1</w:t>
      </w:r>
      <w:r>
        <w:t> — </w:t>
      </w:r>
      <w:r>
        <w:rPr>
          <w:rStyle w:val="CharDivText"/>
        </w:rPr>
        <w:t>General</w:t>
      </w:r>
      <w:bookmarkEnd w:id="84"/>
      <w:bookmarkEnd w:id="85"/>
      <w:bookmarkEnd w:id="86"/>
    </w:p>
    <w:p>
      <w:pPr>
        <w:pStyle w:val="Heading5"/>
      </w:pPr>
      <w:bookmarkStart w:id="87" w:name="_Toc379203960"/>
      <w:bookmarkStart w:id="88" w:name="_Toc425243304"/>
      <w:r>
        <w:rPr>
          <w:rStyle w:val="CharSectno"/>
        </w:rPr>
        <w:t>25</w:t>
      </w:r>
      <w:r>
        <w:t>.</w:t>
      </w:r>
      <w:r>
        <w:tab/>
        <w:t>Nature of appeals</w:t>
      </w:r>
      <w:bookmarkEnd w:id="87"/>
      <w:bookmarkEnd w:id="88"/>
    </w:p>
    <w:p>
      <w:pPr>
        <w:pStyle w:val="Subsection"/>
      </w:pPr>
      <w:r>
        <w:tab/>
      </w:r>
      <w:r>
        <w:tab/>
        <w:t>An appeal to the Court of Appeal will be by way of a rehearing unless another written law provides otherwise.</w:t>
      </w:r>
    </w:p>
    <w:p>
      <w:pPr>
        <w:pStyle w:val="Heading5"/>
      </w:pPr>
      <w:bookmarkStart w:id="89" w:name="_Toc379203961"/>
      <w:bookmarkStart w:id="90" w:name="_Toc425243305"/>
      <w:r>
        <w:rPr>
          <w:rStyle w:val="CharSectno"/>
        </w:rPr>
        <w:t>26</w:t>
      </w:r>
      <w:r>
        <w:t>.</w:t>
      </w:r>
      <w:r>
        <w:tab/>
        <w:t>Time for appealing</w:t>
      </w:r>
      <w:bookmarkEnd w:id="89"/>
      <w:bookmarkEnd w:id="90"/>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3"/>
      </w:pPr>
      <w:bookmarkStart w:id="91" w:name="_Toc379203852"/>
      <w:bookmarkStart w:id="92" w:name="_Toc379203962"/>
      <w:bookmarkStart w:id="93" w:name="_Toc425243306"/>
      <w:r>
        <w:rPr>
          <w:rStyle w:val="CharDivNo"/>
        </w:rPr>
        <w:t>Division 2</w:t>
      </w:r>
      <w:r>
        <w:t> — </w:t>
      </w:r>
      <w:r>
        <w:rPr>
          <w:rStyle w:val="CharDivText"/>
        </w:rPr>
        <w:t>Commencing an appeal</w:t>
      </w:r>
      <w:bookmarkEnd w:id="91"/>
      <w:bookmarkEnd w:id="92"/>
      <w:bookmarkEnd w:id="93"/>
    </w:p>
    <w:p>
      <w:pPr>
        <w:pStyle w:val="Heading5"/>
      </w:pPr>
      <w:bookmarkStart w:id="94" w:name="_Toc379203963"/>
      <w:bookmarkStart w:id="95" w:name="_Toc425243307"/>
      <w:r>
        <w:rPr>
          <w:rStyle w:val="CharSectno"/>
        </w:rPr>
        <w:t>27</w:t>
      </w:r>
      <w:r>
        <w:t>.</w:t>
      </w:r>
      <w:r>
        <w:tab/>
        <w:t>When an appeal is taken to be commenced</w:t>
      </w:r>
      <w:bookmarkEnd w:id="94"/>
      <w:bookmarkEnd w:id="95"/>
    </w:p>
    <w:p>
      <w:pPr>
        <w:pStyle w:val="Subsection"/>
      </w:pPr>
      <w:r>
        <w:tab/>
      </w:r>
      <w:r>
        <w:tab/>
        <w:t>An appeal is not commenced until an appeal notice (with any other document required by rule 28 or 29) has been both filed and served in accordance with rule 28 or 29, as the case requires.</w:t>
      </w:r>
    </w:p>
    <w:p>
      <w:pPr>
        <w:pStyle w:val="Heading5"/>
      </w:pPr>
      <w:bookmarkStart w:id="96" w:name="_Toc379203964"/>
      <w:bookmarkStart w:id="97" w:name="_Toc425243308"/>
      <w:r>
        <w:rPr>
          <w:rStyle w:val="CharSectno"/>
        </w:rPr>
        <w:t>28</w:t>
      </w:r>
      <w:r>
        <w:t>.</w:t>
      </w:r>
      <w:r>
        <w:tab/>
        <w:t>Criminal appeal, how to commence</w:t>
      </w:r>
      <w:bookmarkEnd w:id="96"/>
      <w:bookmarkEnd w:id="97"/>
    </w:p>
    <w:p>
      <w:pPr>
        <w:pStyle w:val="Subsection"/>
      </w:pPr>
      <w:r>
        <w:tab/>
        <w:t>(1)</w:t>
      </w:r>
      <w:r>
        <w:tab/>
        <w:t>To —</w:t>
      </w:r>
    </w:p>
    <w:p>
      <w:pPr>
        <w:pStyle w:val="Indenta"/>
      </w:pPr>
      <w:r>
        <w:tab/>
        <w:t>(a)</w:t>
      </w:r>
      <w:r>
        <w:tab/>
        <w:t>commence a criminal appeal within time; or</w:t>
      </w:r>
    </w:p>
    <w:p>
      <w:pPr>
        <w:pStyle w:val="Indenta"/>
      </w:pPr>
      <w:r>
        <w:tab/>
        <w:t>(b)</w:t>
      </w:r>
      <w:r>
        <w:tab/>
        <w:t>apply for an extension of time within which to commence a criminal appeal,</w:t>
      </w:r>
    </w:p>
    <w:p>
      <w:pPr>
        <w:pStyle w:val="Subsection"/>
      </w:pPr>
      <w:r>
        <w:tab/>
      </w:r>
      <w:r>
        <w:tab/>
        <w:t>the appellant must file and then serve —</w:t>
      </w:r>
    </w:p>
    <w:p>
      <w:pPr>
        <w:pStyle w:val="Indenta"/>
      </w:pPr>
      <w:r>
        <w:tab/>
        <w:t>(c)</w:t>
      </w:r>
      <w:r>
        <w:tab/>
        <w:t>a Form 1; and</w:t>
      </w:r>
    </w:p>
    <w:p>
      <w:pPr>
        <w:pStyle w:val="Indenta"/>
      </w:pPr>
      <w:r>
        <w:tab/>
        <w:t>(d)</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In a criminal appeal the appellant, when preparing the grounds of appeal for the appellant’s case under rule 32, may amend or omit any of the draft grounds of appeal in the appellant’s Form 1, and may include additional grounds of appeal.</w:t>
      </w:r>
    </w:p>
    <w:p>
      <w:pPr>
        <w:pStyle w:val="Subsection"/>
      </w:pPr>
      <w:r>
        <w:tab/>
        <w:t>(6)</w:t>
      </w:r>
      <w:r>
        <w:tab/>
        <w:t>Any document filed under this rule must be served on the respondent personally but, if the appellant is in custody, it may be served on the respondent by post.</w:t>
      </w:r>
    </w:p>
    <w:p>
      <w:pPr>
        <w:pStyle w:val="Subsection"/>
      </w:pPr>
      <w:r>
        <w:tab/>
        <w:t>(7)</w:t>
      </w:r>
      <w:r>
        <w:tab/>
        <w:t>As soon as practicable after serving the respondent the appellant must file a Form 3 (Service certificate).</w:t>
      </w:r>
    </w:p>
    <w:p>
      <w:pPr>
        <w:pStyle w:val="Subsection"/>
      </w:pPr>
      <w:r>
        <w:tab/>
        <w:t>(8)</w:t>
      </w:r>
      <w:r>
        <w:tab/>
        <w:t xml:space="preserve">This rule does not affect the operation of the </w:t>
      </w:r>
      <w:r>
        <w:rPr>
          <w:i/>
        </w:rPr>
        <w:t>Criminal Appeals Act 2004</w:t>
      </w:r>
      <w:r>
        <w:t xml:space="preserve"> section 28.</w:t>
      </w:r>
    </w:p>
    <w:p>
      <w:pPr>
        <w:pStyle w:val="Heading5"/>
      </w:pPr>
      <w:bookmarkStart w:id="98" w:name="_Toc379203965"/>
      <w:bookmarkStart w:id="99" w:name="_Toc425243309"/>
      <w:r>
        <w:rPr>
          <w:rStyle w:val="CharSectno"/>
        </w:rPr>
        <w:t>29</w:t>
      </w:r>
      <w:r>
        <w:t>.</w:t>
      </w:r>
      <w:r>
        <w:tab/>
        <w:t>Civil appeal, how to commence</w:t>
      </w:r>
      <w:bookmarkEnd w:id="98"/>
      <w:bookmarkEnd w:id="99"/>
    </w:p>
    <w:p>
      <w:pPr>
        <w:pStyle w:val="Subsection"/>
      </w:pPr>
      <w:r>
        <w:tab/>
        <w:t>(1)</w:t>
      </w:r>
      <w:r>
        <w:tab/>
        <w:t>To —</w:t>
      </w:r>
    </w:p>
    <w:p>
      <w:pPr>
        <w:pStyle w:val="Indenta"/>
      </w:pPr>
      <w:r>
        <w:tab/>
        <w:t>(a)</w:t>
      </w:r>
      <w:r>
        <w:tab/>
        <w:t>commence a civil appeal (including an appeal that requires leave to appeal) within time; or</w:t>
      </w:r>
    </w:p>
    <w:p>
      <w:pPr>
        <w:pStyle w:val="Indenta"/>
      </w:pPr>
      <w:r>
        <w:tab/>
        <w:t>(b)</w:t>
      </w:r>
      <w:r>
        <w:tab/>
        <w:t>apply for an extension of time within which to commence a civil appeal (including an appeal that requires leave to appeal),</w:t>
      </w:r>
    </w:p>
    <w:p>
      <w:pPr>
        <w:pStyle w:val="Subsection"/>
      </w:pPr>
      <w:r>
        <w:tab/>
      </w:r>
      <w:r>
        <w:tab/>
        <w:t xml:space="preserve">the appellant must file and then serve — </w:t>
      </w:r>
    </w:p>
    <w:p>
      <w:pPr>
        <w:pStyle w:val="Indenta"/>
      </w:pPr>
      <w:r>
        <w:tab/>
        <w:t>(c)</w:t>
      </w:r>
      <w:r>
        <w:tab/>
        <w:t>a Form 2; and</w:t>
      </w:r>
    </w:p>
    <w:p>
      <w:pPr>
        <w:pStyle w:val="Indenta"/>
      </w:pPr>
      <w:r>
        <w:tab/>
        <w:t>(d)</w:t>
      </w:r>
      <w:r>
        <w:tab/>
        <w:t>any document required by subrule (2).</w:t>
      </w:r>
    </w:p>
    <w:p>
      <w:pPr>
        <w:pStyle w:val="Subsection"/>
      </w:pPr>
      <w:r>
        <w:tab/>
        <w:t>(2)</w:t>
      </w:r>
      <w:r>
        <w:tab/>
        <w:t>If the Form 2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2 may be filed together with an application, made in accordance with rule 44, for an interim order.</w:t>
      </w:r>
    </w:p>
    <w:p>
      <w:pPr>
        <w:pStyle w:val="Subsection"/>
      </w:pPr>
      <w:r>
        <w:tab/>
        <w:t>(4)</w:t>
      </w:r>
      <w:r>
        <w:tab/>
        <w:t>Any document filed under this rule must be served on the respondent personally.</w:t>
      </w:r>
    </w:p>
    <w:p>
      <w:pPr>
        <w:pStyle w:val="Subsection"/>
      </w:pPr>
      <w:r>
        <w:tab/>
        <w:t>(5)</w:t>
      </w:r>
      <w:r>
        <w:tab/>
        <w:t>As soon as practicable after serving the respondent the appellant must file a Form 3.</w:t>
      </w:r>
    </w:p>
    <w:p>
      <w:pPr>
        <w:pStyle w:val="Heading5"/>
      </w:pPr>
      <w:bookmarkStart w:id="100" w:name="_Toc379203966"/>
      <w:bookmarkStart w:id="101" w:name="_Toc425243310"/>
      <w:r>
        <w:rPr>
          <w:rStyle w:val="CharSectno"/>
        </w:rPr>
        <w:t>30</w:t>
      </w:r>
      <w:r>
        <w:t>.</w:t>
      </w:r>
      <w:r>
        <w:tab/>
        <w:t>Primary court to be notified and to supply records</w:t>
      </w:r>
      <w:bookmarkEnd w:id="100"/>
      <w:bookmarkEnd w:id="101"/>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decision being appealed was made.</w:t>
      </w:r>
    </w:p>
    <w:p>
      <w:pPr>
        <w:pStyle w:val="Subsection"/>
      </w:pPr>
      <w:r>
        <w:tab/>
        <w:t>(2)</w:t>
      </w:r>
      <w:r>
        <w:tab/>
        <w:t xml:space="preserve">As soon as practicable after an appeal notice is filed, the registrar must give the primary court concerned — </w:t>
      </w:r>
    </w:p>
    <w:p>
      <w:pPr>
        <w:pStyle w:val="Indenta"/>
      </w:pPr>
      <w:r>
        <w:tab/>
        <w:t>(a)</w:t>
      </w:r>
      <w:r>
        <w:tab/>
        <w:t>a copy of the appeal notice; and</w:t>
      </w:r>
    </w:p>
    <w:p>
      <w:pPr>
        <w:pStyle w:val="Indenta"/>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Heading5"/>
      </w:pPr>
      <w:bookmarkStart w:id="102" w:name="_Toc379203967"/>
      <w:bookmarkStart w:id="103" w:name="_Toc425243311"/>
      <w:r>
        <w:rPr>
          <w:rStyle w:val="CharSectno"/>
        </w:rPr>
        <w:t>31</w:t>
      </w:r>
      <w:r>
        <w:t>.</w:t>
      </w:r>
      <w:r>
        <w:tab/>
        <w:t>Respondent’s options</w:t>
      </w:r>
      <w:bookmarkEnd w:id="102"/>
      <w:bookmarkEnd w:id="103"/>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pPr>
      <w:r>
        <w:tab/>
        <w:t>(4)</w:t>
      </w:r>
      <w:r>
        <w:tab/>
        <w:t>If a respondent does not file a Form 4, the respondent is not entitled to take part or be heard in the appeal and is not a party to the appeal for the purposes of these rules.</w:t>
      </w:r>
    </w:p>
    <w:p>
      <w:pPr>
        <w:pStyle w:val="Subsection"/>
      </w:pPr>
      <w:r>
        <w:tab/>
        <w:t>(5)</w:t>
      </w:r>
      <w:r>
        <w:tab/>
        <w:t xml:space="preserve">If a respondent files a Form 4 in which the respondent also appeals against the decision specified in the appellant’s appeal notice, the registrar may order — </w:t>
      </w:r>
    </w:p>
    <w:p>
      <w:pPr>
        <w:pStyle w:val="Indenta"/>
      </w:pPr>
      <w:r>
        <w:tab/>
        <w:t>(a)</w:t>
      </w:r>
      <w:r>
        <w:tab/>
        <w:t>the respondent to file documents in respect of the respondent’s appeal that correspond to the “Appellant’s case” referred to in rule 32; and</w:t>
      </w:r>
    </w:p>
    <w:p>
      <w:pPr>
        <w:pStyle w:val="Indenta"/>
      </w:pPr>
      <w:r>
        <w:tab/>
        <w:t>(b)</w:t>
      </w:r>
      <w:r>
        <w:tab/>
        <w:t>the appellant to file documents in respect of the respondent’s appeal that correspond to the “Respondent’s answer” referred to in rule 33,</w:t>
      </w:r>
    </w:p>
    <w:p>
      <w:pPr>
        <w:pStyle w:val="Subsection"/>
      </w:pPr>
      <w:r>
        <w:tab/>
      </w:r>
      <w:r>
        <w:tab/>
        <w:t>within such periods as the registrar may order.</w:t>
      </w:r>
    </w:p>
    <w:p>
      <w:pPr>
        <w:pStyle w:val="Heading5"/>
      </w:pPr>
      <w:bookmarkStart w:id="104" w:name="_Toc379203968"/>
      <w:bookmarkStart w:id="105" w:name="_Toc425243312"/>
      <w:r>
        <w:rPr>
          <w:rStyle w:val="CharSectno"/>
        </w:rPr>
        <w:t>32</w:t>
      </w:r>
      <w:r>
        <w:t>.</w:t>
      </w:r>
      <w:r>
        <w:tab/>
        <w:t>“Appellant’s case” to be filed</w:t>
      </w:r>
      <w:bookmarkEnd w:id="104"/>
      <w:bookmarkEnd w:id="105"/>
    </w:p>
    <w:p>
      <w:pPr>
        <w:pStyle w:val="Subsection"/>
      </w:pPr>
      <w:r>
        <w:tab/>
        <w:t>(1)</w:t>
      </w:r>
      <w:r>
        <w:tab/>
        <w:t>After an appeal notice is filed, the appellant must file the “Appellant’s case”.</w:t>
      </w:r>
    </w:p>
    <w:p>
      <w:pPr>
        <w:pStyle w:val="Subsection"/>
        <w:keepNext/>
      </w:pPr>
      <w:r>
        <w:tab/>
        <w:t>(2)</w:t>
      </w:r>
      <w:r>
        <w:tab/>
        <w:t>The appellant’s case must be filed —</w:t>
      </w:r>
    </w:p>
    <w:p>
      <w:pPr>
        <w:pStyle w:val="Indenta"/>
      </w:pPr>
      <w:r>
        <w:tab/>
        <w:t>(a)</w:t>
      </w:r>
      <w:r>
        <w:tab/>
        <w:t>in an interlocutory civil appeal, within 7 days after the date on which the appeal notice is filed;</w:t>
      </w:r>
    </w:p>
    <w:p>
      <w:pPr>
        <w:pStyle w:val="Indenta"/>
      </w:pPr>
      <w:r>
        <w:tab/>
        <w:t>(b)</w:t>
      </w:r>
      <w:r>
        <w:tab/>
        <w:t>in any other appeal, within 35 days after the date on which the appeal notice is filed.</w:t>
      </w:r>
    </w:p>
    <w:p>
      <w:pPr>
        <w:pStyle w:val="Subsection"/>
      </w:pPr>
      <w:r>
        <w:tab/>
        <w:t>(3)</w:t>
      </w:r>
      <w:r>
        <w:tab/>
        <w:t xml:space="preserve">The appellant’s case consists of a Form 7 to which is attached — </w:t>
      </w:r>
    </w:p>
    <w:p>
      <w:pPr>
        <w:pStyle w:val="Indenta"/>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w:t>
      </w:r>
    </w:p>
    <w:p>
      <w:pPr>
        <w:pStyle w:val="Indenta"/>
      </w:pPr>
      <w:r>
        <w:tab/>
        <w:t>(b)</w:t>
      </w:r>
      <w:r>
        <w:tab/>
        <w:t xml:space="preserve">must state the grounds, and concise particulars of them, succinctly in numbered paragraphs and must not merely allege — </w:t>
      </w:r>
    </w:p>
    <w:p>
      <w:pPr>
        <w:pStyle w:val="Indenti"/>
      </w:pPr>
      <w:r>
        <w:tab/>
        <w:t>(i)</w:t>
      </w:r>
      <w:r>
        <w:tab/>
        <w:t>that the primary court erred in fact or in law;</w:t>
      </w:r>
    </w:p>
    <w:p>
      <w:pPr>
        <w:pStyle w:val="Indenti"/>
      </w:pPr>
      <w:r>
        <w:tab/>
        <w:t>(ii)</w:t>
      </w:r>
      <w:r>
        <w:tab/>
        <w:t>that the primary court’s decision is against the evidence or the weight of evidence or is unreasonable and cannot be supported having regard to the evidence;</w:t>
      </w:r>
    </w:p>
    <w:p>
      <w:pPr>
        <w:pStyle w:val="Indenti"/>
      </w:pPr>
      <w:r>
        <w:tab/>
        <w:t>(iii)</w:t>
      </w:r>
      <w:r>
        <w:tab/>
        <w:t>that the primary court’s decision is unsafe or unsatisfactory; or</w:t>
      </w:r>
    </w:p>
    <w:p>
      <w:pPr>
        <w:pStyle w:val="Indenti"/>
      </w:pPr>
      <w:r>
        <w:tab/>
        <w:t>(iv)</w:t>
      </w:r>
      <w:r>
        <w:tab/>
        <w:t>in the case of an appeal against a sentence, that the sentence is excessive or inadequate;</w:t>
      </w:r>
    </w:p>
    <w:p>
      <w:pPr>
        <w:pStyle w:val="Indenta"/>
      </w:pPr>
      <w:r>
        <w:tab/>
      </w:r>
      <w:r>
        <w:tab/>
        <w:t>and</w:t>
      </w:r>
    </w:p>
    <w:p>
      <w:pPr>
        <w:pStyle w:val="Indenta"/>
        <w:keepNext/>
      </w:pPr>
      <w:r>
        <w:tab/>
        <w:t>(c)</w:t>
      </w:r>
      <w:r>
        <w:tab/>
        <w:t xml:space="preserve">must state, for each ground, whether it is — </w:t>
      </w:r>
    </w:p>
    <w:p>
      <w:pPr>
        <w:pStyle w:val="Indenti"/>
      </w:pPr>
      <w:r>
        <w:tab/>
        <w:t>(i)</w:t>
      </w:r>
      <w:r>
        <w:tab/>
        <w:t>an error of fact;</w:t>
      </w:r>
    </w:p>
    <w:p>
      <w:pPr>
        <w:pStyle w:val="Indenti"/>
      </w:pPr>
      <w:r>
        <w:tab/>
        <w:t>(ii)</w:t>
      </w:r>
      <w:r>
        <w:tab/>
        <w:t>an error of law; or</w:t>
      </w:r>
    </w:p>
    <w:p>
      <w:pPr>
        <w:pStyle w:val="Indenti"/>
      </w:pPr>
      <w:r>
        <w:tab/>
        <w:t>(iii)</w:t>
      </w:r>
      <w:r>
        <w:tab/>
        <w:t>an error of mixed fact and law.</w:t>
      </w:r>
    </w:p>
    <w:p>
      <w:pPr>
        <w:pStyle w:val="Subsection"/>
      </w:pPr>
      <w:r>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w:t>
      </w:r>
    </w:p>
    <w:p>
      <w:pPr>
        <w:pStyle w:val="Indenta"/>
      </w:pPr>
      <w:r>
        <w:tab/>
        <w:t>(b)</w:t>
      </w:r>
      <w:r>
        <w:tab/>
        <w:t>must set out the submissions about the ground in numbered paragraphs;</w:t>
      </w:r>
    </w:p>
    <w:p>
      <w:pPr>
        <w:pStyle w:val="Indenta"/>
      </w:pPr>
      <w:r>
        <w:tab/>
        <w:t>(c)</w:t>
      </w:r>
      <w:r>
        <w:tab/>
        <w:t>must 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appellant relies in support of the ground;</w:t>
      </w:r>
    </w:p>
    <w:p>
      <w:pPr>
        <w:pStyle w:val="Indenta"/>
      </w:pPr>
      <w:r>
        <w:tab/>
        <w:t>(d)</w:t>
      </w:r>
      <w:r>
        <w:tab/>
        <w:t>must not be more than 20 pages long; and</w:t>
      </w:r>
    </w:p>
    <w:p>
      <w:pPr>
        <w:pStyle w:val="Indenta"/>
      </w:pPr>
      <w:r>
        <w:tab/>
        <w:t>(e)</w:t>
      </w:r>
      <w:r>
        <w:tab/>
        <w:t>must be signed by the person who prepared it.</w:t>
      </w:r>
    </w:p>
    <w:p>
      <w:pPr>
        <w:pStyle w:val="Subsection"/>
        <w:keepNext/>
      </w:pPr>
      <w:r>
        <w:tab/>
        <w:t>(6)</w:t>
      </w:r>
      <w:r>
        <w:tab/>
        <w:t>The document titled “Appellant’s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pPr>
      <w:r>
        <w:tab/>
        <w:t>(b)</w:t>
      </w:r>
      <w:r>
        <w:tab/>
        <w:t>must mark with an asterisk any legal authority from which it is intended to read any text to the court at the hearing;</w:t>
      </w:r>
    </w:p>
    <w:p>
      <w:pPr>
        <w:pStyle w:val="Indenta"/>
      </w:pPr>
      <w:r>
        <w:tab/>
        <w:t>(c)</w:t>
      </w:r>
      <w:r>
        <w:tab/>
        <w:t>for each written law listed, include its short title, its jurisdiction and each relevant section or provision of it;</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tab/>
        <w:t>(d)</w:t>
      </w:r>
      <w:r>
        <w:tab/>
        <w:t>for each judgment listed, include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23 WAR 254 at 274; [2000] WASCA 413 at [106].</w:t>
      </w:r>
      <w:r>
        <w:rPr>
          <w:rFonts w:ascii="Arial" w:hAnsi="Arial" w:cs="Arial"/>
          <w:sz w:val="18"/>
          <w:szCs w:val="18"/>
        </w:rPr>
        <w:br/>
        <w:t>4. 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Heading5"/>
      </w:pPr>
      <w:bookmarkStart w:id="106" w:name="_Toc379203969"/>
      <w:bookmarkStart w:id="107" w:name="_Toc425243313"/>
      <w:r>
        <w:rPr>
          <w:rStyle w:val="CharSectno"/>
        </w:rPr>
        <w:t>33</w:t>
      </w:r>
      <w:r>
        <w:t>.</w:t>
      </w:r>
      <w:r>
        <w:tab/>
        <w:t>“Respondent’s answer” to be filed</w:t>
      </w:r>
      <w:bookmarkEnd w:id="106"/>
      <w:bookmarkEnd w:id="107"/>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in an interlocutory civil appeal, within 7 days after;</w:t>
      </w:r>
    </w:p>
    <w:p>
      <w:pPr>
        <w:pStyle w:val="Indenta"/>
      </w:pPr>
      <w:r>
        <w:tab/>
        <w:t>(b)</w:t>
      </w:r>
      <w:r>
        <w:tab/>
        <w:t>in any other appeal within 21 days after,</w:t>
      </w:r>
    </w:p>
    <w:p>
      <w:pPr>
        <w:pStyle w:val="Subsection"/>
      </w:pPr>
      <w:r>
        <w:tab/>
      </w:r>
      <w:r>
        <w:tab/>
        <w:t>the date the respondent is served with a notice issued by the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a"/>
        <w:keepNext/>
      </w:pPr>
      <w:r>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state succinctly in numbered paragraphs each ground, not relied on by the primary court, on which the 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Heading5"/>
      </w:pPr>
      <w:bookmarkStart w:id="108" w:name="_Toc379203970"/>
      <w:bookmarkStart w:id="109" w:name="_Toc425243314"/>
      <w:r>
        <w:rPr>
          <w:rStyle w:val="CharSectno"/>
        </w:rPr>
        <w:t>34</w:t>
      </w:r>
      <w:r>
        <w:t>.</w:t>
      </w:r>
      <w:r>
        <w:tab/>
        <w:t>Appellant’s reply to notice of contention, when required</w:t>
      </w:r>
      <w:bookmarkEnd w:id="108"/>
      <w:bookmarkEnd w:id="109"/>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appellant relies.</w:t>
      </w:r>
    </w:p>
    <w:p>
      <w:pPr>
        <w:pStyle w:val="Heading3"/>
      </w:pPr>
      <w:bookmarkStart w:id="110" w:name="_Toc379203861"/>
      <w:bookmarkStart w:id="111" w:name="_Toc379203971"/>
      <w:bookmarkStart w:id="112" w:name="_Toc425243315"/>
      <w:r>
        <w:rPr>
          <w:rStyle w:val="CharDivNo"/>
        </w:rPr>
        <w:t>Division 3</w:t>
      </w:r>
      <w:r>
        <w:t> — </w:t>
      </w:r>
      <w:r>
        <w:rPr>
          <w:rStyle w:val="CharDivText"/>
        </w:rPr>
        <w:t>Appeal books</w:t>
      </w:r>
      <w:bookmarkEnd w:id="110"/>
      <w:bookmarkEnd w:id="111"/>
      <w:bookmarkEnd w:id="112"/>
    </w:p>
    <w:p>
      <w:pPr>
        <w:pStyle w:val="Heading5"/>
      </w:pPr>
      <w:bookmarkStart w:id="113" w:name="_Toc379203972"/>
      <w:bookmarkStart w:id="114" w:name="_Toc425243316"/>
      <w:r>
        <w:rPr>
          <w:rStyle w:val="CharSectno"/>
        </w:rPr>
        <w:t>35</w:t>
      </w:r>
      <w:r>
        <w:t>.</w:t>
      </w:r>
      <w:r>
        <w:tab/>
        <w:t>Appeal book, when required</w:t>
      </w:r>
      <w:bookmarkEnd w:id="113"/>
      <w:bookmarkEnd w:id="114"/>
    </w:p>
    <w:p>
      <w:pPr>
        <w:pStyle w:val="Subsection"/>
      </w:pPr>
      <w:r>
        <w:tab/>
      </w:r>
      <w:r>
        <w:tab/>
        <w:t>An appeal book, containing the documents required for the hearing of the appeal, is required for every appeal except an interlocutory civil appeal, unless a single judge orders otherwise in a particular appeal.</w:t>
      </w:r>
    </w:p>
    <w:p>
      <w:pPr>
        <w:pStyle w:val="Heading5"/>
      </w:pPr>
      <w:bookmarkStart w:id="115" w:name="_Toc379203973"/>
      <w:bookmarkStart w:id="116" w:name="_Toc425243317"/>
      <w:r>
        <w:rPr>
          <w:rStyle w:val="CharSectno"/>
        </w:rPr>
        <w:t>36</w:t>
      </w:r>
      <w:r>
        <w:t>.</w:t>
      </w:r>
      <w:r>
        <w:tab/>
        <w:t>Indexes, settling of</w:t>
      </w:r>
      <w:bookmarkEnd w:id="115"/>
      <w:bookmarkEnd w:id="116"/>
    </w:p>
    <w:p>
      <w:pPr>
        <w:pStyle w:val="Subsection"/>
      </w:pPr>
      <w:r>
        <w:tab/>
        <w:t>(1)</w:t>
      </w:r>
      <w:r>
        <w:tab/>
        <w:t>If draft appeal book indexes are filed in an appeal, the registrar must settle the indexes as soon as practicable after the respondent’s case is filed.</w:t>
      </w:r>
    </w:p>
    <w:p>
      <w:pPr>
        <w:pStyle w:val="Subsection"/>
        <w:keepNext/>
      </w:pPr>
      <w:r>
        <w:tab/>
        <w:t>(2)</w:t>
      </w:r>
      <w:r>
        <w:tab/>
        <w:t xml:space="preserve">When settling the appeal book indexes the registrar must — </w:t>
      </w:r>
    </w:p>
    <w:p>
      <w:pPr>
        <w:pStyle w:val="Indenta"/>
      </w:pPr>
      <w:r>
        <w:tab/>
        <w:t>(a)</w:t>
      </w:r>
      <w:r>
        <w:tab/>
        <w:t>ensure rule 37(2) is obeyed;</w:t>
      </w:r>
    </w:p>
    <w:p>
      <w:pPr>
        <w:pStyle w:val="Indenta"/>
      </w:pPr>
      <w:r>
        <w:tab/>
        <w:t>(b)</w:t>
      </w:r>
      <w:r>
        <w:tab/>
        <w:t>reduce as far as possible the number and length of the documents to be included in the appeal book;</w:t>
      </w:r>
    </w:p>
    <w:p>
      <w:pPr>
        <w:pStyle w:val="Indenta"/>
      </w:pPr>
      <w:r>
        <w:tab/>
        <w:t>(c)</w:t>
      </w:r>
      <w:r>
        <w:tab/>
        <w:t>avoid unnecessary duplication in the appeal book of documents or the information in them; and</w:t>
      </w:r>
    </w:p>
    <w:p>
      <w:pPr>
        <w:pStyle w:val="Indenta"/>
      </w:pPr>
      <w:r>
        <w:tab/>
        <w:t>(d)</w:t>
      </w:r>
      <w:r>
        <w:tab/>
        <w:t>if the respondent also appeals against the primary court’s decision, ensure that the appeal book also contains the documents required for the hearing of the respondent’s appeal.</w:t>
      </w:r>
    </w:p>
    <w:p>
      <w:pPr>
        <w:pStyle w:val="Subsection"/>
        <w:keepNext/>
      </w:pPr>
      <w:r>
        <w:tab/>
        <w:t>(3)</w:t>
      </w:r>
      <w:r>
        <w:tab/>
        <w:t>The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tab/>
        <w:t>(d)</w:t>
      </w:r>
      <w:r>
        <w:tab/>
        <w:t>to order that the contents of one or more parts of an appeal book be amalgamated in one part.</w:t>
      </w:r>
    </w:p>
    <w:p>
      <w:pPr>
        <w:pStyle w:val="Subsection"/>
      </w:pPr>
      <w:r>
        <w:tab/>
        <w:t>(4)</w:t>
      </w:r>
      <w:r>
        <w:tab/>
        <w:t>If the registrar settles the appeal book indexes in the absence of a party the registrar must give the party a copy of them and may do so by fax or email.</w:t>
      </w:r>
    </w:p>
    <w:p>
      <w:pPr>
        <w:pStyle w:val="Subsection"/>
      </w:pPr>
      <w:r>
        <w:tab/>
        <w:t>(5)</w:t>
      </w:r>
      <w:r>
        <w:tab/>
        <w:t>The appellant must file a clean copy of the settled appeal book indexes on or before the date set by the registrar when settling them.</w:t>
      </w:r>
    </w:p>
    <w:p>
      <w:pPr>
        <w:pStyle w:val="Heading5"/>
      </w:pPr>
      <w:bookmarkStart w:id="117" w:name="_Toc379203974"/>
      <w:bookmarkStart w:id="118" w:name="_Toc425243318"/>
      <w:r>
        <w:rPr>
          <w:rStyle w:val="CharSectno"/>
        </w:rPr>
        <w:t>37</w:t>
      </w:r>
      <w:r>
        <w:t>.</w:t>
      </w:r>
      <w:r>
        <w:tab/>
        <w:t>Appeal book, general provisions</w:t>
      </w:r>
      <w:bookmarkEnd w:id="117"/>
      <w:bookmarkEnd w:id="118"/>
    </w:p>
    <w:p>
      <w:pPr>
        <w:pStyle w:val="Subsection"/>
      </w:pPr>
      <w:r>
        <w:tab/>
        <w:t>(1)</w:t>
      </w:r>
      <w:r>
        <w:tab/>
        <w:t>The appeal book for an appeal must conform to this rule and rules 38 and 39 except to the extent that rule 40 provides otherwise or a single judge orders otherwise.</w:t>
      </w:r>
    </w:p>
    <w:p>
      <w:pPr>
        <w:pStyle w:val="Subsection"/>
      </w:pPr>
      <w:r>
        <w:tab/>
        <w:t>(2)</w:t>
      </w:r>
      <w:r>
        <w:tab/>
        <w:t>The documents required for the hearing of an appeal must be only those, or those parts of those, that are needed to consider and decide the issues in the appeal specified in the documents filed by the parties.</w:t>
      </w:r>
    </w:p>
    <w:p>
      <w:pPr>
        <w:pStyle w:val="Subsection"/>
      </w:pPr>
      <w:r>
        <w:tab/>
        <w:t>(3)</w:t>
      </w:r>
      <w:r>
        <w:tab/>
        <w:t>A single judge has jurisdiction to order that a document which is to be included in an appeal book and which is not clearly legible be typed or retyped, checked against the original, and certified as correct, before it is included.</w:t>
      </w:r>
    </w:p>
    <w:p>
      <w:pPr>
        <w:pStyle w:val="Heading5"/>
      </w:pPr>
      <w:bookmarkStart w:id="119" w:name="_Toc379203975"/>
      <w:bookmarkStart w:id="120" w:name="_Toc425243319"/>
      <w:r>
        <w:rPr>
          <w:rStyle w:val="CharSectno"/>
        </w:rPr>
        <w:t>38</w:t>
      </w:r>
      <w:r>
        <w:t>.</w:t>
      </w:r>
      <w:r>
        <w:tab/>
        <w:t>Appeal book, contents of</w:t>
      </w:r>
      <w:bookmarkEnd w:id="119"/>
      <w:bookmarkEnd w:id="120"/>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pPr>
      <w:r>
        <w:tab/>
        <w:t>(d)</w:t>
      </w:r>
      <w:r>
        <w:tab/>
        <w:t>any order extending the time within which to appeal;</w:t>
      </w:r>
    </w:p>
    <w:p>
      <w:pPr>
        <w:pStyle w:val="Indenta"/>
      </w:pPr>
      <w:r>
        <w:tab/>
        <w:t>(e)</w:t>
      </w:r>
      <w:r>
        <w:tab/>
        <w:t>any order giving leave to appeal;</w:t>
      </w:r>
    </w:p>
    <w:p>
      <w:pPr>
        <w:pStyle w:val="Indenta"/>
      </w:pPr>
      <w:r>
        <w:tab/>
        <w:t>(f)</w:t>
      </w:r>
      <w:r>
        <w:tab/>
        <w:t>any notice of the respondent’s intention (Form 4);</w:t>
      </w:r>
    </w:p>
    <w:p>
      <w:pPr>
        <w:pStyle w:val="Indenta"/>
      </w:pPr>
      <w:r>
        <w:tab/>
        <w:t>(g)</w:t>
      </w:r>
      <w:r>
        <w:tab/>
        <w:t>the appellant’s case filed under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tab/>
        <w:t>(k)</w:t>
      </w:r>
      <w:r>
        <w:tab/>
        <w:t>the signed certificate, required by rule 41(c), as to the correctness of the appeal book;</w:t>
      </w:r>
    </w:p>
    <w:p>
      <w:pPr>
        <w:pStyle w:val="Indenta"/>
      </w:pPr>
      <w:r>
        <w:tab/>
        <w:t>(l)</w:t>
      </w:r>
      <w:r>
        <w:tab/>
        <w:t>any other document filed in the Court of Appeal that the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any other document filed in the primary court that the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relevant parts of the primary court’s transcript;</w:t>
      </w:r>
    </w:p>
    <w:p>
      <w:pPr>
        <w:pStyle w:val="Indenta"/>
      </w:pPr>
      <w:r>
        <w:tab/>
        <w:t>(d)</w:t>
      </w:r>
      <w:r>
        <w:tab/>
        <w:t>a copy of any relevant documentary exhibit in the primary court arranged in accordance with subrule (5);</w:t>
      </w:r>
    </w:p>
    <w:p>
      <w:pPr>
        <w:pStyle w:val="Indenta"/>
      </w:pPr>
      <w:r>
        <w:tab/>
        <w:t>(e)</w:t>
      </w:r>
      <w:r>
        <w:tab/>
        <w:t>if the appeal is a sentence appeal or a criminal appeal that includes an appeal against a sentence — the accused’s antecedent report and criminal record, as provided to the primary court;</w:t>
      </w:r>
    </w:p>
    <w:p>
      <w:pPr>
        <w:pStyle w:val="Indenta"/>
      </w:pPr>
      <w:r>
        <w:tab/>
        <w:t>(f)</w:t>
      </w:r>
      <w:r>
        <w:tab/>
        <w:t>any other document containing evidence considered by the primary court when making its decision that the registrar orders to be included.</w:t>
      </w:r>
    </w:p>
    <w:p>
      <w:pPr>
        <w:pStyle w:val="Subsection"/>
      </w:pPr>
      <w:r>
        <w:tab/>
        <w:t>(5)</w:t>
      </w:r>
      <w:r>
        <w:tab/>
        <w:t xml:space="preserve">The documentary exhibits in the primary court must be arranged in the Green Appeal Book as follows — </w:t>
      </w:r>
    </w:p>
    <w:p>
      <w:pPr>
        <w:pStyle w:val="Indenta"/>
      </w:pPr>
      <w:r>
        <w:tab/>
        <w:t>(a)</w:t>
      </w:r>
      <w:r>
        <w:tab/>
        <w:t>they must not be in the order in which they are lettered or numbered as exhibits in the primary court;</w:t>
      </w:r>
    </w:p>
    <w:p>
      <w:pPr>
        <w:pStyle w:val="Indenta"/>
      </w:pPr>
      <w:r>
        <w:tab/>
        <w:t>(b)</w:t>
      </w:r>
      <w:r>
        <w:tab/>
        <w:t>they must be in chronological order according to the dates borne by each document or if a document is manifestly or admittedly misdated, its known date;</w:t>
      </w:r>
    </w:p>
    <w:p>
      <w:pPr>
        <w:pStyle w:val="Indenta"/>
      </w:pPr>
      <w:r>
        <w:tab/>
        <w:t>(c)</w:t>
      </w:r>
      <w:r>
        <w:tab/>
        <w:t xml:space="preserve">if a document is undated — </w:t>
      </w:r>
    </w:p>
    <w:p>
      <w:pPr>
        <w:pStyle w:val="Indenti"/>
      </w:pPr>
      <w:r>
        <w:tab/>
        <w:t>(i)</w:t>
      </w:r>
      <w:r>
        <w:tab/>
        <w:t>it must be put among the other documents in the place contended for by the appellant;</w:t>
      </w:r>
    </w:p>
    <w:p>
      <w:pPr>
        <w:pStyle w:val="Indenti"/>
      </w:pPr>
      <w:r>
        <w:tab/>
        <w:t>(ii)</w:t>
      </w:r>
      <w:r>
        <w:tab/>
        <w:t>the appellant must notify the respondent of the proposed place; and</w:t>
      </w:r>
    </w:p>
    <w:p>
      <w:pPr>
        <w:pStyle w:val="Indenti"/>
      </w:pPr>
      <w:r>
        <w:tab/>
        <w:t>(iii)</w:t>
      </w:r>
      <w:r>
        <w:tab/>
        <w:t>the respondent may require the appellant to insert “Date unknown, chronological position disputed” at the head of the document in the appeal book;</w:t>
      </w:r>
    </w:p>
    <w:p>
      <w:pPr>
        <w:pStyle w:val="Indenta"/>
      </w:pPr>
      <w:r>
        <w:tab/>
        <w:t>(d)</w:t>
      </w:r>
      <w:r>
        <w:tab/>
        <w:t>if there is correspondence between or among 2 or more people which should be read consecutively and not interspersed among the other documents, the correspondence may be arranged chronologically and placed together among the other documents at a convenient place in relation to the other documents.</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Heading5"/>
      </w:pPr>
      <w:bookmarkStart w:id="121" w:name="_Toc379203976"/>
      <w:bookmarkStart w:id="122" w:name="_Toc425243320"/>
      <w:r>
        <w:rPr>
          <w:rStyle w:val="CharSectno"/>
        </w:rPr>
        <w:t>39</w:t>
      </w:r>
      <w:r>
        <w:t>.</w:t>
      </w:r>
      <w:r>
        <w:tab/>
        <w:t>Appeal book, technical requirements</w:t>
      </w:r>
      <w:bookmarkEnd w:id="121"/>
      <w:bookmarkEnd w:id="122"/>
    </w:p>
    <w:p>
      <w:pPr>
        <w:pStyle w:val="Subsection"/>
      </w:pPr>
      <w:r>
        <w:tab/>
        <w:t>(1)</w:t>
      </w:r>
      <w:r>
        <w:tab/>
        <w:t>Each document in an appeal book must be clearly legible.</w:t>
      </w:r>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w:t>
      </w:r>
    </w:p>
    <w:p>
      <w:pPr>
        <w:pStyle w:val="Indenta"/>
      </w:pPr>
      <w:r>
        <w:tab/>
        <w:t>(b)</w:t>
      </w:r>
      <w:r>
        <w:tab/>
        <w:t>must start with the cover page for that part and volume;</w:t>
      </w:r>
    </w:p>
    <w:p>
      <w:pPr>
        <w:pStyle w:val="Indenta"/>
      </w:pPr>
      <w:r>
        <w:tab/>
        <w:t>(c)</w:t>
      </w:r>
      <w:r>
        <w:tab/>
        <w:t>must contain the index for that part;</w:t>
      </w:r>
    </w:p>
    <w:p>
      <w:pPr>
        <w:pStyle w:val="Indenta"/>
      </w:pPr>
      <w:r>
        <w:tab/>
        <w:t>(d)</w:t>
      </w:r>
      <w:r>
        <w:tab/>
        <w:t>must not comprise more than more than 500 pages (which is to say 250 sheets of paper);</w:t>
      </w:r>
    </w:p>
    <w:p>
      <w:pPr>
        <w:pStyle w:val="Indenta"/>
      </w:pPr>
      <w:r>
        <w:tab/>
        <w:t>(e)</w:t>
      </w:r>
      <w:r>
        <w:tab/>
        <w:t>must have a back sheet of the colour required for that part; and</w:t>
      </w:r>
    </w:p>
    <w:p>
      <w:pPr>
        <w:pStyle w:val="Indenta"/>
      </w:pPr>
      <w:r>
        <w:tab/>
        <w:t>(f)</w:t>
      </w:r>
      <w:r>
        <w:tab/>
        <w:t>must be bound so that when it is opened at a page, both sides of the volume lie flat and open at the page.</w:t>
      </w:r>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Heading5"/>
      </w:pPr>
      <w:bookmarkStart w:id="123" w:name="_Toc379203977"/>
      <w:bookmarkStart w:id="124" w:name="_Toc425243321"/>
      <w:r>
        <w:rPr>
          <w:rStyle w:val="CharSectno"/>
        </w:rPr>
        <w:t>40</w:t>
      </w:r>
      <w:r>
        <w:t>.</w:t>
      </w:r>
      <w:r>
        <w:tab/>
        <w:t>Sentence appeal, appeal book for</w:t>
      </w:r>
      <w:bookmarkEnd w:id="123"/>
      <w:bookmarkEnd w:id="124"/>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tab/>
        <w:t>(f)</w:t>
      </w:r>
      <w:r>
        <w:tab/>
        <w:t>rules 37 and 39, with any necessary changes, apply to the appeal book subject to this rule.</w:t>
      </w:r>
    </w:p>
    <w:p>
      <w:pPr>
        <w:pStyle w:val="Heading5"/>
      </w:pPr>
      <w:bookmarkStart w:id="125" w:name="_Toc379203978"/>
      <w:bookmarkStart w:id="126" w:name="_Toc425243322"/>
      <w:r>
        <w:rPr>
          <w:rStyle w:val="CharSectno"/>
        </w:rPr>
        <w:t>41</w:t>
      </w:r>
      <w:r>
        <w:t>.</w:t>
      </w:r>
      <w:r>
        <w:tab/>
        <w:t>Appeal books to be prepared etc. by appellant</w:t>
      </w:r>
      <w:bookmarkEnd w:id="125"/>
      <w:bookmarkEnd w:id="126"/>
    </w:p>
    <w:p>
      <w:pPr>
        <w:pStyle w:val="Subsection"/>
        <w:keepNext/>
      </w:pPr>
      <w:r>
        <w:tab/>
      </w:r>
      <w:r>
        <w:tab/>
        <w:t>The appellant must —</w:t>
      </w:r>
    </w:p>
    <w:p>
      <w:pPr>
        <w:pStyle w:val="Indenta"/>
      </w:pPr>
      <w:r>
        <w:tab/>
        <w:t>(a)</w:t>
      </w:r>
      <w:r>
        <w:tab/>
        <w:t>prepare the parts of the appeal book in accordance with the settled indexes for it and this Division;</w:t>
      </w:r>
    </w:p>
    <w:p>
      <w:pPr>
        <w:pStyle w:val="Indenta"/>
      </w:pPr>
      <w:r>
        <w:tab/>
        <w:t>(b)</w:t>
      </w:r>
      <w:r>
        <w:tab/>
        <w:t>prepare as many copies of the appeal book as the registrar orders when settling the indexes for it;</w:t>
      </w:r>
    </w:p>
    <w:p>
      <w:pPr>
        <w:pStyle w:val="Indenta"/>
      </w:pPr>
      <w:r>
        <w:tab/>
        <w:t>(c)</w:t>
      </w:r>
      <w:r>
        <w:tab/>
        <w:t>ensure that each party to the appeal, or its lawyer, checks the appeal book and signs a certificate that it is correct before it is filed; and</w:t>
      </w:r>
    </w:p>
    <w:p>
      <w:pPr>
        <w:pStyle w:val="Indenta"/>
      </w:pPr>
      <w:r>
        <w:tab/>
        <w:t>(d)</w:t>
      </w:r>
      <w:r>
        <w:tab/>
        <w:t>file the appeal book on or before the date set by the registrar when settling the indexes for it.</w:t>
      </w:r>
    </w:p>
    <w:p>
      <w:pPr>
        <w:pStyle w:val="Heading3"/>
      </w:pPr>
      <w:bookmarkStart w:id="127" w:name="_Toc379203869"/>
      <w:bookmarkStart w:id="128" w:name="_Toc379203979"/>
      <w:bookmarkStart w:id="129" w:name="_Toc425243323"/>
      <w:r>
        <w:rPr>
          <w:rStyle w:val="CharDivNo"/>
        </w:rPr>
        <w:t>Division 4</w:t>
      </w:r>
      <w:r>
        <w:t> — </w:t>
      </w:r>
      <w:r>
        <w:rPr>
          <w:rStyle w:val="CharDivText"/>
        </w:rPr>
        <w:t>Matters prior to the hearing of any appeal</w:t>
      </w:r>
      <w:bookmarkEnd w:id="127"/>
      <w:bookmarkEnd w:id="128"/>
      <w:bookmarkEnd w:id="129"/>
    </w:p>
    <w:p>
      <w:pPr>
        <w:pStyle w:val="Heading5"/>
      </w:pPr>
      <w:bookmarkStart w:id="130" w:name="_Toc379203980"/>
      <w:bookmarkStart w:id="131" w:name="_Toc425243324"/>
      <w:r>
        <w:rPr>
          <w:rStyle w:val="CharSectno"/>
        </w:rPr>
        <w:t>42</w:t>
      </w:r>
      <w:r>
        <w:t>.</w:t>
      </w:r>
      <w:r>
        <w:tab/>
        <w:t>Application of Division</w:t>
      </w:r>
      <w:bookmarkEnd w:id="130"/>
      <w:bookmarkEnd w:id="131"/>
    </w:p>
    <w:p>
      <w:pPr>
        <w:pStyle w:val="Subsection"/>
      </w:pPr>
      <w:r>
        <w:tab/>
      </w:r>
      <w:r>
        <w:tab/>
        <w:t>This Division applies to any appeal, civil or criminal, unless the contrary intention appears.</w:t>
      </w:r>
    </w:p>
    <w:p>
      <w:pPr>
        <w:pStyle w:val="Heading5"/>
      </w:pPr>
      <w:bookmarkStart w:id="132" w:name="_Toc379203981"/>
      <w:bookmarkStart w:id="133" w:name="_Toc425243325"/>
      <w:r>
        <w:rPr>
          <w:rStyle w:val="CharSectno"/>
        </w:rPr>
        <w:t>43</w:t>
      </w:r>
      <w:r>
        <w:t>.</w:t>
      </w:r>
      <w:r>
        <w:tab/>
        <w:t>Single judge’s jurisdiction</w:t>
      </w:r>
      <w:bookmarkEnd w:id="132"/>
      <w:bookmarkEnd w:id="133"/>
    </w:p>
    <w:p>
      <w:pPr>
        <w:pStyle w:val="Subsection"/>
      </w:pPr>
      <w:r>
        <w:tab/>
        <w:t>(1)</w:t>
      </w:r>
      <w:r>
        <w:tab/>
        <w:t>In this rule a reference to making an interim order includes a reference to amending or cancelling an interim order.</w:t>
      </w:r>
    </w:p>
    <w:p>
      <w:pPr>
        <w:pStyle w:val="Subsection"/>
        <w:keepNext/>
      </w:pPr>
      <w:r>
        <w:tab/>
        <w:t>(2)</w:t>
      </w:r>
      <w:r>
        <w:tab/>
        <w:t xml:space="preserve">A single judge has jurisdiction to do any of the following — </w:t>
      </w:r>
    </w:p>
    <w:p>
      <w:pPr>
        <w:pStyle w:val="Indenta"/>
      </w:pPr>
      <w:r>
        <w:tab/>
        <w:t>(a)</w:t>
      </w:r>
      <w:r>
        <w:tab/>
        <w:t>to extend or to refuse to extend the time within which the appeal can be commenced or to adjourn the question to the hearing of the appeal;</w:t>
      </w:r>
    </w:p>
    <w:p>
      <w:pPr>
        <w:pStyle w:val="Indenta"/>
      </w:pPr>
      <w:r>
        <w:tab/>
        <w:t>(b)</w:t>
      </w:r>
      <w:r>
        <w:tab/>
        <w:t>to give or to refuse to give leave to appeal or to adjourn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 does not have a reasonable prospect of succeeding;</w:t>
      </w:r>
    </w:p>
    <w:p>
      <w:pPr>
        <w:pStyle w:val="Indenta"/>
      </w:pPr>
      <w:r>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p>
    <w:p>
      <w:pPr>
        <w:pStyle w:val="Indenta"/>
      </w:pPr>
      <w:r>
        <w:tab/>
        <w:t>(h)</w:t>
      </w:r>
      <w:r>
        <w:tab/>
        <w:t>to make an interim order in an appeal;</w:t>
      </w:r>
    </w:p>
    <w:p>
      <w:pPr>
        <w:pStyle w:val="Indenta"/>
      </w:pPr>
      <w:r>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pPr>
      <w:r>
        <w:tab/>
        <w:t>(l)</w:t>
      </w:r>
      <w:r>
        <w:tab/>
        <w:t>to make any order that it is necessary or convenient to make as a result of an order made under any of the above paragraphs.</w:t>
      </w:r>
    </w:p>
    <w:p>
      <w:pPr>
        <w:pStyle w:val="Subsection"/>
      </w:pPr>
      <w:r>
        <w:tab/>
        <w:t>(3)</w:t>
      </w:r>
      <w:r>
        <w:tab/>
        <w:t>An order made under subrule (2), as varied by the Court of Appeal under the Act section 61(4), is to be taken to be an order made by the Court of Appeal unless it is set aside by the Court of Appeal under that section.</w:t>
      </w:r>
    </w:p>
    <w:p>
      <w:pPr>
        <w:pStyle w:val="Heading5"/>
      </w:pPr>
      <w:bookmarkStart w:id="134" w:name="_Toc379203982"/>
      <w:bookmarkStart w:id="135" w:name="_Toc425243326"/>
      <w:r>
        <w:rPr>
          <w:rStyle w:val="CharSectno"/>
        </w:rPr>
        <w:t>44</w:t>
      </w:r>
      <w:r>
        <w:t>.</w:t>
      </w:r>
      <w:r>
        <w:tab/>
        <w:t>Interim order, applying for</w:t>
      </w:r>
      <w:bookmarkEnd w:id="134"/>
      <w:bookmarkEnd w:id="135"/>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 xml:space="preserve">To make such an application, the party must file a Form 9 with —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(other than the RSC) provide otherwise;</w:t>
      </w:r>
    </w:p>
    <w:p>
      <w:pPr>
        <w:pStyle w:val="Indenta"/>
      </w:pPr>
      <w:r>
        <w:tab/>
        <w:t>(d)</w:t>
      </w:r>
      <w:r>
        <w:tab/>
        <w:t>another written law provides otherwise; or</w:t>
      </w:r>
    </w:p>
    <w:p>
      <w:pPr>
        <w:pStyle w:val="Indenta"/>
      </w:pPr>
      <w:r>
        <w:tab/>
        <w:t>(e)</w:t>
      </w:r>
      <w:r>
        <w:tab/>
        <w:t>a single judge orders otherwise.</w:t>
      </w:r>
    </w:p>
    <w:p>
      <w:pPr>
        <w:pStyle w:val="Heading5"/>
      </w:pPr>
      <w:bookmarkStart w:id="136" w:name="_Toc379203983"/>
      <w:bookmarkStart w:id="137" w:name="_Toc425243327"/>
      <w:r>
        <w:rPr>
          <w:rStyle w:val="CharSectno"/>
        </w:rPr>
        <w:t>45</w:t>
      </w:r>
      <w:r>
        <w:t>.</w:t>
      </w:r>
      <w:r>
        <w:tab/>
        <w:t>Consenting to orders</w:t>
      </w:r>
      <w:bookmarkEnd w:id="136"/>
      <w:bookmarkEnd w:id="137"/>
    </w:p>
    <w:p>
      <w:pPr>
        <w:pStyle w:val="Subsection"/>
      </w:pPr>
      <w:r>
        <w:tab/>
        <w:t>(1)</w:t>
      </w:r>
      <w:r>
        <w:tab/>
        <w:t>The parties to an appeal may consent to an interim or other order, other than an urgent appeal order, being made by filing a Form 10.</w:t>
      </w:r>
    </w:p>
    <w:p>
      <w:pPr>
        <w:pStyle w:val="Subsection"/>
      </w:pPr>
      <w:r>
        <w:tab/>
        <w:t>(2)</w:t>
      </w:r>
      <w:r>
        <w:tab/>
        <w:t>If the order is not one the registrar can make, the registrar must refer the Form 10 to a single judge who may make the order if it is just to do so.</w:t>
      </w:r>
    </w:p>
    <w:p>
      <w:pPr>
        <w:pStyle w:val="Subsection"/>
      </w:pPr>
      <w:r>
        <w:tab/>
        <w:t>(3)</w:t>
      </w:r>
      <w:r>
        <w:tab/>
        <w:t>If the order is one the registrar can make, the registrar may make the order if it is just to do so.</w:t>
      </w:r>
    </w:p>
    <w:p>
      <w:pPr>
        <w:pStyle w:val="Heading5"/>
      </w:pPr>
      <w:bookmarkStart w:id="138" w:name="_Toc379203984"/>
      <w:bookmarkStart w:id="139" w:name="_Toc425243328"/>
      <w:r>
        <w:rPr>
          <w:rStyle w:val="CharSectno"/>
        </w:rPr>
        <w:t>46</w:t>
      </w:r>
      <w:r>
        <w:t>.</w:t>
      </w:r>
      <w:r>
        <w:tab/>
        <w:t>Urgent appeal order, nature of</w:t>
      </w:r>
      <w:bookmarkEnd w:id="138"/>
      <w:bookmarkEnd w:id="139"/>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tab/>
        <w:t>(b)</w:t>
      </w:r>
      <w:r>
        <w:tab/>
        <w:t>any order that will or may facilitate the appeal being heard as quickly as practicable consistent with the proper administration of justice.</w:t>
      </w:r>
    </w:p>
    <w:p>
      <w:pPr>
        <w:pStyle w:val="Heading5"/>
      </w:pPr>
      <w:bookmarkStart w:id="140" w:name="_Toc379203985"/>
      <w:bookmarkStart w:id="141" w:name="_Toc425243329"/>
      <w:r>
        <w:rPr>
          <w:rStyle w:val="CharSectno"/>
        </w:rPr>
        <w:t>47</w:t>
      </w:r>
      <w:r>
        <w:t>.</w:t>
      </w:r>
      <w:r>
        <w:tab/>
        <w:t>Case management</w:t>
      </w:r>
      <w:bookmarkEnd w:id="140"/>
      <w:bookmarkEnd w:id="141"/>
    </w:p>
    <w:p>
      <w:pPr>
        <w:pStyle w:val="Subsection"/>
        <w:keepNext/>
      </w:pPr>
      <w:r>
        <w:tab/>
        <w:t>(1)</w:t>
      </w:r>
      <w:r>
        <w:tab/>
        <w:t xml:space="preserve">In this rule — </w:t>
      </w:r>
    </w:p>
    <w:p>
      <w:pPr>
        <w:pStyle w:val="Defstart"/>
      </w:pPr>
      <w:r>
        <w:rPr>
          <w:b/>
        </w:rPr>
        <w:tab/>
      </w:r>
      <w:r>
        <w:rPr>
          <w:rStyle w:val="CharDefText"/>
        </w:rPr>
        <w:t>approved mediator</w:t>
      </w:r>
      <w:r>
        <w:t xml:space="preserve"> means the Court of Appeal Registrar, or a person appointed by the Chief Justice to be a Mediation Registrar or a mediator for the purposes of the RSC Order 29.</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Heading5"/>
      </w:pPr>
      <w:bookmarkStart w:id="142" w:name="_Toc379203986"/>
      <w:bookmarkStart w:id="143" w:name="_Toc425243330"/>
      <w:r>
        <w:rPr>
          <w:rStyle w:val="CharSectno"/>
        </w:rPr>
        <w:t>48</w:t>
      </w:r>
      <w:r>
        <w:t>.</w:t>
      </w:r>
      <w:r>
        <w:tab/>
        <w:t>Applications for adjournments to be made promptly</w:t>
      </w:r>
      <w:bookmarkEnd w:id="142"/>
      <w:bookmarkEnd w:id="143"/>
    </w:p>
    <w:p>
      <w:pPr>
        <w:pStyle w:val="Subsection"/>
      </w:pPr>
      <w:r>
        <w:tab/>
      </w:r>
      <w:r>
        <w:tab/>
        <w:t>An application for an adjournment of the hearing of an appeal must be made immediately it is known that an adjournment is wanted.</w:t>
      </w:r>
    </w:p>
    <w:p>
      <w:pPr>
        <w:pStyle w:val="Heading5"/>
      </w:pPr>
      <w:bookmarkStart w:id="144" w:name="_Toc379203987"/>
      <w:bookmarkStart w:id="145" w:name="_Toc425243331"/>
      <w:r>
        <w:rPr>
          <w:rStyle w:val="CharSectno"/>
        </w:rPr>
        <w:t>49</w:t>
      </w:r>
      <w:r>
        <w:t>.</w:t>
      </w:r>
      <w:r>
        <w:tab/>
        <w:t>Offers of compromise</w:t>
      </w:r>
      <w:bookmarkEnd w:id="144"/>
      <w:bookmarkEnd w:id="145"/>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the time prescribed for paragraphs (1) and (5) of Order 24A rule 3 were immediately before the Court of 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tab/>
        <w:t>(f)</w:t>
      </w:r>
      <w:r>
        <w:tab/>
        <w:t>the reference in Order 24A rule 8(1)(a)(ii) to “the defence” were a reference to “the respondent’s answer”.</w:t>
      </w:r>
    </w:p>
    <w:p>
      <w:pPr>
        <w:pStyle w:val="Subsection"/>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146" w:name="_Toc379203988"/>
      <w:bookmarkStart w:id="147" w:name="_Toc425243332"/>
      <w:r>
        <w:rPr>
          <w:rStyle w:val="CharSectno"/>
        </w:rPr>
        <w:t>50</w:t>
      </w:r>
      <w:r>
        <w:t>.</w:t>
      </w:r>
      <w:r>
        <w:tab/>
        <w:t>Court to be advised immediately of settlement etc.</w:t>
      </w:r>
      <w:bookmarkEnd w:id="146"/>
      <w:bookmarkEnd w:id="147"/>
    </w:p>
    <w:p>
      <w:pPr>
        <w:pStyle w:val="Subsection"/>
      </w:pPr>
      <w:r>
        <w:tab/>
      </w:r>
      <w:r>
        <w:tab/>
        <w:t>If the parties to an appeal agree to settle the whole or any part of an appeal, they must notify the Court of Appeal Office immediately.</w:t>
      </w:r>
    </w:p>
    <w:p>
      <w:pPr>
        <w:pStyle w:val="Heading3"/>
      </w:pPr>
      <w:bookmarkStart w:id="148" w:name="_Toc379203879"/>
      <w:bookmarkStart w:id="149" w:name="_Toc379203989"/>
      <w:bookmarkStart w:id="150" w:name="_Toc425243333"/>
      <w:r>
        <w:rPr>
          <w:rStyle w:val="CharDivNo"/>
        </w:rPr>
        <w:t>Division 5</w:t>
      </w:r>
      <w:r>
        <w:t> — </w:t>
      </w:r>
      <w:r>
        <w:rPr>
          <w:rStyle w:val="CharDivText"/>
        </w:rPr>
        <w:t>Matters prior to the hearing of a criminal appeal</w:t>
      </w:r>
      <w:bookmarkEnd w:id="148"/>
      <w:bookmarkEnd w:id="149"/>
      <w:bookmarkEnd w:id="150"/>
    </w:p>
    <w:p>
      <w:pPr>
        <w:pStyle w:val="Heading5"/>
      </w:pPr>
      <w:bookmarkStart w:id="151" w:name="_Toc379203990"/>
      <w:bookmarkStart w:id="152" w:name="_Toc425243334"/>
      <w:r>
        <w:rPr>
          <w:rStyle w:val="CharSectno"/>
        </w:rPr>
        <w:t>51</w:t>
      </w:r>
      <w:r>
        <w:t>.</w:t>
      </w:r>
      <w:r>
        <w:tab/>
        <w:t>Application of Division</w:t>
      </w:r>
      <w:bookmarkEnd w:id="151"/>
      <w:bookmarkEnd w:id="152"/>
    </w:p>
    <w:p>
      <w:pPr>
        <w:pStyle w:val="Subsection"/>
      </w:pPr>
      <w:r>
        <w:tab/>
      </w:r>
      <w:r>
        <w:tab/>
        <w:t>This Division applies to criminal appeals.</w:t>
      </w:r>
    </w:p>
    <w:p>
      <w:pPr>
        <w:pStyle w:val="Heading5"/>
      </w:pPr>
      <w:bookmarkStart w:id="153" w:name="_Toc379203991"/>
      <w:bookmarkStart w:id="154" w:name="_Toc425243335"/>
      <w:r>
        <w:rPr>
          <w:rStyle w:val="CharSectno"/>
        </w:rPr>
        <w:t>52</w:t>
      </w:r>
      <w:r>
        <w:t>.</w:t>
      </w:r>
      <w:r>
        <w:tab/>
        <w:t>Applications for certain orders under CAA s. 40(1)</w:t>
      </w:r>
      <w:bookmarkEnd w:id="153"/>
      <w:bookmarkEnd w:id="154"/>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155" w:name="_Toc379203992"/>
      <w:bookmarkStart w:id="156" w:name="_Toc425243336"/>
      <w:r>
        <w:rPr>
          <w:rStyle w:val="CharSectno"/>
        </w:rPr>
        <w:t>53</w:t>
      </w:r>
      <w:r>
        <w:t>.</w:t>
      </w:r>
      <w:r>
        <w:tab/>
        <w:t>Single judge’s jurisdiction</w:t>
      </w:r>
      <w:bookmarkEnd w:id="155"/>
      <w:bookmarkEnd w:id="156"/>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157" w:name="_Toc379203993"/>
      <w:bookmarkStart w:id="158" w:name="_Toc425243337"/>
      <w:r>
        <w:rPr>
          <w:rStyle w:val="CharSectno"/>
        </w:rPr>
        <w:t>54</w:t>
      </w:r>
      <w:r>
        <w:t>.</w:t>
      </w:r>
      <w:r>
        <w:tab/>
        <w:t>Witnesses required by the Court of Appeal</w:t>
      </w:r>
      <w:bookmarkEnd w:id="157"/>
      <w:bookmarkEnd w:id="158"/>
    </w:p>
    <w:p>
      <w:pPr>
        <w:pStyle w:val="Subsection"/>
      </w:pPr>
      <w:r>
        <w:tab/>
        <w:t>(1)</w:t>
      </w:r>
      <w:r>
        <w:tab/>
        <w:t xml:space="preserve">The </w:t>
      </w:r>
      <w:r>
        <w:rPr>
          <w:i/>
        </w:rPr>
        <w:t>Criminal Procedure Act 2004</w:t>
      </w:r>
      <w:r>
        <w:t xml:space="preserve"> Part 5 Division 7 and Schedule 4, and the </w:t>
      </w:r>
      <w:r>
        <w:rPr>
          <w:i/>
        </w:rPr>
        <w:t>Criminal Procedure Rules 2005</w:t>
      </w:r>
      <w:r>
        <w:t xml:space="preserve">, apply for the purpose of compelling a witness to attend the Court of Appeal, or an examiner appointed by an appeal court under the </w:t>
      </w:r>
      <w:r>
        <w:rPr>
          <w:i/>
        </w:rPr>
        <w:t xml:space="preserve">Criminal Appeals Act 2004 </w:t>
      </w:r>
      <w:r>
        <w:t>section 40.</w:t>
      </w:r>
    </w:p>
    <w:p>
      <w:pPr>
        <w:pStyle w:val="Subsection"/>
      </w:pPr>
      <w:r>
        <w:tab/>
        <w:t>(2)</w:t>
      </w:r>
      <w:r>
        <w:tab/>
        <w:t xml:space="preserve">If under the </w:t>
      </w:r>
      <w:r>
        <w:rPr>
          <w:i/>
        </w:rPr>
        <w:t>Criminal Appeals Act 2004</w:t>
      </w:r>
      <w:r>
        <w:t xml:space="preserve"> section 40(1) the Court of Appeal orders a witness to attend the court or an examiner appointed by the court, then unless the court orders otherwise — </w:t>
      </w:r>
    </w:p>
    <w:p>
      <w:pPr>
        <w:pStyle w:val="Indenta"/>
      </w:pPr>
      <w:r>
        <w:tab/>
        <w:t>(a)</w:t>
      </w:r>
      <w:r>
        <w:tab/>
        <w:t>the party that applied for the order under section 40(1) must serve the witness summons; and</w:t>
      </w:r>
    </w:p>
    <w:p>
      <w:pPr>
        <w:pStyle w:val="Indenta"/>
      </w:pPr>
      <w:r>
        <w:tab/>
        <w:t>(b)</w:t>
      </w:r>
      <w:r>
        <w:tab/>
        <w:t xml:space="preserve">the witness summons must be served under the </w:t>
      </w:r>
      <w:r>
        <w:rPr>
          <w:i/>
        </w:rPr>
        <w:t>Criminal Procedure Act 2004</w:t>
      </w:r>
      <w:r>
        <w:t xml:space="preserve"> section 162.</w:t>
      </w:r>
    </w:p>
    <w:p>
      <w:pPr>
        <w:pStyle w:val="Heading5"/>
      </w:pPr>
      <w:bookmarkStart w:id="159" w:name="_Toc379203994"/>
      <w:bookmarkStart w:id="160" w:name="_Toc425243338"/>
      <w:r>
        <w:rPr>
          <w:rStyle w:val="CharSectno"/>
        </w:rPr>
        <w:t>55</w:t>
      </w:r>
      <w:r>
        <w:t>.</w:t>
      </w:r>
      <w:r>
        <w:tab/>
        <w:t>Proceedings before an examiner</w:t>
      </w:r>
      <w:bookmarkEnd w:id="159"/>
      <w:bookmarkEnd w:id="160"/>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the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give the registrar the certified recorded version and any record or thing referred to by the witness.</w:t>
      </w:r>
    </w:p>
    <w:p>
      <w:pPr>
        <w:pStyle w:val="Subsection"/>
      </w:pPr>
      <w:r>
        <w:tab/>
        <w:t>(6)</w:t>
      </w:r>
      <w:r>
        <w:tab/>
        <w:t>The registrar must keep the material supplied by the examiner in safe custody and deal with it in accordance with the directions of the Court of Appeal.</w:t>
      </w:r>
    </w:p>
    <w:p>
      <w:pPr>
        <w:pStyle w:val="Heading5"/>
      </w:pPr>
      <w:bookmarkStart w:id="161" w:name="_Toc379203995"/>
      <w:bookmarkStart w:id="162" w:name="_Toc425243339"/>
      <w:r>
        <w:rPr>
          <w:rStyle w:val="CharSectno"/>
        </w:rPr>
        <w:t>56</w:t>
      </w:r>
      <w:r>
        <w:t>.</w:t>
      </w:r>
      <w:r>
        <w:tab/>
        <w:t>Special commissioners and assessors (CAA s. 40(1))</w:t>
      </w:r>
      <w:bookmarkEnd w:id="161"/>
      <w:bookmarkEnd w:id="162"/>
    </w:p>
    <w:p>
      <w:pPr>
        <w:pStyle w:val="Subsection"/>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t>The registrar must serve the order on the special commissioner or the assessor together with any records that the Court of Appeal orders to be served.</w:t>
      </w:r>
    </w:p>
    <w:p>
      <w:pPr>
        <w:pStyle w:val="Subsection"/>
      </w:pPr>
      <w:r>
        <w:tab/>
        <w:t>(4)</w:t>
      </w:r>
      <w:r>
        <w:tab/>
        <w:t>A special commissioner or assessor must give any report required of him or her by the Court of Appeal to the registrar who must deal with it in accordance with the court’s orders.</w:t>
      </w:r>
    </w:p>
    <w:p>
      <w:pPr>
        <w:pStyle w:val="Heading3"/>
      </w:pPr>
      <w:bookmarkStart w:id="163" w:name="_Toc379203886"/>
      <w:bookmarkStart w:id="164" w:name="_Toc379203996"/>
      <w:bookmarkStart w:id="165" w:name="_Toc425243340"/>
      <w:r>
        <w:rPr>
          <w:rStyle w:val="CharDivNo"/>
        </w:rPr>
        <w:t>Division 6</w:t>
      </w:r>
      <w:r>
        <w:t> — </w:t>
      </w:r>
      <w:r>
        <w:rPr>
          <w:rStyle w:val="CharDivText"/>
        </w:rPr>
        <w:t>Hearing an appeal</w:t>
      </w:r>
      <w:bookmarkEnd w:id="163"/>
      <w:bookmarkEnd w:id="164"/>
      <w:bookmarkEnd w:id="165"/>
    </w:p>
    <w:p>
      <w:pPr>
        <w:pStyle w:val="Heading5"/>
      </w:pPr>
      <w:bookmarkStart w:id="166" w:name="_Toc379203997"/>
      <w:bookmarkStart w:id="167" w:name="_Toc425243341"/>
      <w:r>
        <w:rPr>
          <w:rStyle w:val="CharSectno"/>
        </w:rPr>
        <w:t>57</w:t>
      </w:r>
      <w:r>
        <w:t>.</w:t>
      </w:r>
      <w:r>
        <w:tab/>
        <w:t>Hearing date to be set</w:t>
      </w:r>
      <w:bookmarkEnd w:id="166"/>
      <w:bookmarkEnd w:id="167"/>
    </w:p>
    <w:p>
      <w:pPr>
        <w:pStyle w:val="Subsection"/>
      </w:pPr>
      <w:r>
        <w:tab/>
      </w:r>
      <w:r>
        <w:tab/>
        <w:t>When a date for hearing an appeal is set, the registrar must send each party a Form 15.</w:t>
      </w:r>
    </w:p>
    <w:p>
      <w:pPr>
        <w:pStyle w:val="Heading5"/>
      </w:pPr>
      <w:bookmarkStart w:id="168" w:name="_Toc379203998"/>
      <w:bookmarkStart w:id="169" w:name="_Toc425243342"/>
      <w:r>
        <w:rPr>
          <w:rStyle w:val="CharSectno"/>
        </w:rPr>
        <w:t>58</w:t>
      </w:r>
      <w:r>
        <w:t>.</w:t>
      </w:r>
      <w:r>
        <w:tab/>
        <w:t>Unreported judgments to be provided</w:t>
      </w:r>
      <w:bookmarkEnd w:id="168"/>
      <w:bookmarkEnd w:id="169"/>
    </w:p>
    <w:p>
      <w:pPr>
        <w:pStyle w:val="Subsection"/>
      </w:pPr>
      <w:r>
        <w:tab/>
      </w:r>
      <w:r>
        <w:tab/>
        <w:t>At least 7 days before the date on which the hearing of an appeal is to begin, each party must file 3 copies of any unreported judgment referred to in any document filed by the party under rule 32 or 33 or an order made by the registrar.</w:t>
      </w:r>
    </w:p>
    <w:p>
      <w:pPr>
        <w:pStyle w:val="Heading3"/>
      </w:pPr>
      <w:bookmarkStart w:id="170" w:name="_Toc379203889"/>
      <w:bookmarkStart w:id="171" w:name="_Toc379203999"/>
      <w:bookmarkStart w:id="172" w:name="_Toc425243343"/>
      <w:r>
        <w:rPr>
          <w:rStyle w:val="CharDivNo"/>
        </w:rPr>
        <w:t>Division 7</w:t>
      </w:r>
      <w:r>
        <w:t> — </w:t>
      </w:r>
      <w:r>
        <w:rPr>
          <w:rStyle w:val="CharDivText"/>
        </w:rPr>
        <w:t>Concluding an appeal</w:t>
      </w:r>
      <w:bookmarkEnd w:id="170"/>
      <w:bookmarkEnd w:id="171"/>
      <w:bookmarkEnd w:id="172"/>
    </w:p>
    <w:p>
      <w:pPr>
        <w:pStyle w:val="Heading5"/>
      </w:pPr>
      <w:bookmarkStart w:id="173" w:name="_Toc379204000"/>
      <w:bookmarkStart w:id="174" w:name="_Toc425243344"/>
      <w:r>
        <w:rPr>
          <w:rStyle w:val="CharSectno"/>
        </w:rPr>
        <w:t>59</w:t>
      </w:r>
      <w:r>
        <w:t>.</w:t>
      </w:r>
      <w:r>
        <w:tab/>
        <w:t>Discontinuing an appeal</w:t>
      </w:r>
      <w:bookmarkEnd w:id="173"/>
      <w:bookmarkEnd w:id="174"/>
    </w:p>
    <w:p>
      <w:pPr>
        <w:pStyle w:val="Subsection"/>
      </w:pPr>
      <w:r>
        <w:tab/>
        <w:t>(1)</w:t>
      </w:r>
      <w:r>
        <w:tab/>
        <w:t>The appellant may discontinue an appeal by filing and serving a Form 16.</w:t>
      </w:r>
    </w:p>
    <w:p>
      <w:pPr>
        <w:pStyle w:val="Subsection"/>
      </w:pPr>
      <w:r>
        <w:tab/>
        <w:t>(2)</w:t>
      </w:r>
      <w:r>
        <w:tab/>
        <w:t>If the appellant is a person under disability (as defined in the RSC Order 70 rule 1), the Form 16 does not have effect unless it is approved by a single judge.</w:t>
      </w:r>
    </w:p>
    <w:p>
      <w:pPr>
        <w:pStyle w:val="Subsection"/>
      </w:pPr>
      <w:r>
        <w:tab/>
        <w:t>(3)</w:t>
      </w:r>
      <w:r>
        <w:tab/>
        <w:t>An application for the approval of a single judge must be filed with an affidavit and, unless a single judge orders otherwise, an opinion by an independent lawyer.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Heading5"/>
      </w:pPr>
      <w:bookmarkStart w:id="175" w:name="_Toc379204001"/>
      <w:bookmarkStart w:id="176" w:name="_Toc425243345"/>
      <w:r>
        <w:rPr>
          <w:rStyle w:val="CharSectno"/>
        </w:rPr>
        <w:t>60</w:t>
      </w:r>
      <w:r>
        <w:t>.</w:t>
      </w:r>
      <w:r>
        <w:tab/>
        <w:t>Settling an appeal</w:t>
      </w:r>
      <w:bookmarkEnd w:id="175"/>
      <w:bookmarkEnd w:id="176"/>
    </w:p>
    <w:p>
      <w:pPr>
        <w:pStyle w:val="Subsection"/>
      </w:pPr>
      <w:r>
        <w:tab/>
        <w:t>(1)</w:t>
      </w:r>
      <w:r>
        <w:tab/>
        <w:t>The parties to an appeal may file a Form 10, modified as necessary, stating the final order that the parties consent to being made in the appeal.</w:t>
      </w:r>
    </w:p>
    <w:p>
      <w:pPr>
        <w:pStyle w:val="Subsection"/>
      </w:pPr>
      <w:r>
        <w:tab/>
        <w:t>(2)</w:t>
      </w:r>
      <w:r>
        <w:tab/>
        <w:t xml:space="preserve">When a consent notice is filed, the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tab/>
        <w:t>(4)</w:t>
      </w:r>
      <w:r>
        <w:tab/>
        <w:t>An application for the approval of a single judge must be filed with an affidavit and, unless a single judge orders otherwise, an opinion by an independent lawyer.</w:t>
      </w:r>
    </w:p>
    <w:p>
      <w:pPr>
        <w:pStyle w:val="Heading5"/>
      </w:pPr>
      <w:bookmarkStart w:id="177" w:name="_Toc379204002"/>
      <w:bookmarkStart w:id="178" w:name="_Toc425243346"/>
      <w:r>
        <w:rPr>
          <w:rStyle w:val="CharSectno"/>
        </w:rPr>
        <w:t>61</w:t>
      </w:r>
      <w:r>
        <w:t>.</w:t>
      </w:r>
      <w:r>
        <w:tab/>
        <w:t>Guideline judgments</w:t>
      </w:r>
      <w:bookmarkEnd w:id="177"/>
      <w:bookmarkEnd w:id="178"/>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179" w:name="_Toc379204003"/>
      <w:bookmarkStart w:id="180" w:name="_Toc425243347"/>
      <w:r>
        <w:rPr>
          <w:rStyle w:val="CharSectno"/>
        </w:rPr>
        <w:t>62</w:t>
      </w:r>
      <w:r>
        <w:t>.</w:t>
      </w:r>
      <w:r>
        <w:tab/>
        <w:t>Criminal appeals, certificate of conclusion of</w:t>
      </w:r>
      <w:bookmarkEnd w:id="179"/>
      <w:bookmarkEnd w:id="180"/>
    </w:p>
    <w:p>
      <w:pPr>
        <w:pStyle w:val="Subsection"/>
      </w:pPr>
      <w:r>
        <w:tab/>
        <w:t>(1)</w:t>
      </w:r>
      <w:r>
        <w:tab/>
        <w:t>This rule applies to any criminal appeal.</w:t>
      </w:r>
    </w:p>
    <w:p>
      <w:pPr>
        <w:pStyle w:val="Subsection"/>
      </w:pPr>
      <w:r>
        <w:tab/>
        <w:t>(2)</w:t>
      </w:r>
      <w:r>
        <w:tab/>
        <w:t>When the appeal is concluded, the registrar must issue a Form 17.</w:t>
      </w:r>
    </w:p>
    <w:p>
      <w:pPr>
        <w:pStyle w:val="Subsection"/>
      </w:pPr>
      <w:r>
        <w:tab/>
        <w:t>(3)</w:t>
      </w:r>
      <w:r>
        <w:tab/>
        <w:t>The Form 17 is the formal record of the Court of Appeal and forms part of the Supreme Court’s record.</w:t>
      </w:r>
    </w:p>
    <w:p>
      <w:pPr>
        <w:pStyle w:val="Subsection"/>
      </w:pPr>
      <w:r>
        <w:tab/>
        <w:t>(4)</w:t>
      </w:r>
      <w:r>
        <w:tab/>
        <w:t>The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chairperson of the Mentally Impaired Accused Review Board; and</w:t>
      </w:r>
    </w:p>
    <w:p>
      <w:pPr>
        <w:pStyle w:val="Indenta"/>
      </w:pPr>
      <w:r>
        <w:tab/>
        <w:t>(f)</w:t>
      </w:r>
      <w:r>
        <w:tab/>
        <w:t>any other person to whom an order made by the Court of Appeal in the appeal is directed.</w:t>
      </w:r>
    </w:p>
    <w:p>
      <w:pPr>
        <w:pStyle w:val="Subsection"/>
      </w:pPr>
      <w:r>
        <w:tab/>
        <w:t>(5)</w:t>
      </w:r>
      <w:r>
        <w:tab/>
        <w:t>If a warrant is issued to enforce a judgment or order of the Court of Appeal, a copy of the Form 17 must be sent with the warrant to any person to whom the warrant is directed.</w:t>
      </w:r>
    </w:p>
    <w:p>
      <w:pPr>
        <w:pStyle w:val="Heading5"/>
      </w:pPr>
      <w:bookmarkStart w:id="181" w:name="_Toc379204004"/>
      <w:bookmarkStart w:id="182" w:name="_Toc425243348"/>
      <w:r>
        <w:rPr>
          <w:rStyle w:val="CharSectno"/>
        </w:rPr>
        <w:t>63</w:t>
      </w:r>
      <w:r>
        <w:t>.</w:t>
      </w:r>
      <w:r>
        <w:tab/>
        <w:t>Other appeals, final orders on</w:t>
      </w:r>
      <w:bookmarkEnd w:id="181"/>
      <w:bookmarkEnd w:id="182"/>
    </w:p>
    <w:p>
      <w:pPr>
        <w:pStyle w:val="Subsection"/>
      </w:pPr>
      <w:r>
        <w:tab/>
        <w:t>(1)</w:t>
      </w:r>
      <w:r>
        <w:tab/>
        <w:t>This rule applies to any appeal that is not a criminal appeal.</w:t>
      </w:r>
    </w:p>
    <w:p>
      <w:pPr>
        <w:pStyle w:val="Subsection"/>
      </w:pPr>
      <w:r>
        <w:tab/>
        <w:t>(2)</w:t>
      </w:r>
      <w:r>
        <w:tab/>
        <w:t>When the appeal is concluded, the RSC Order 43 (other than rule 16) applies subject to this rule.</w:t>
      </w:r>
    </w:p>
    <w:p>
      <w:pPr>
        <w:pStyle w:val="Subsection"/>
      </w:pPr>
      <w:r>
        <w:tab/>
        <w:t>(3)</w:t>
      </w:r>
      <w:r>
        <w:tab/>
        <w:t>The party lodging the draft judgment or order under the RSC Order 43 rule 6 may lodge it by sending it to the Court of Appeal as an attachment to an email.</w:t>
      </w:r>
    </w:p>
    <w:p>
      <w:pPr>
        <w:pStyle w:val="Subsection"/>
      </w:pPr>
      <w:r>
        <w:tab/>
        <w:t>(4)</w:t>
      </w:r>
      <w:r>
        <w:tab/>
        <w:t>The registrar must send a copy of the Court of Appeal’s judgment or order to the primary court, unless it is the Supreme Court.</w:t>
      </w:r>
    </w:p>
    <w:p>
      <w:pPr>
        <w:pStyle w:val="Heading5"/>
      </w:pPr>
      <w:bookmarkStart w:id="183" w:name="_Toc379204005"/>
      <w:bookmarkStart w:id="184" w:name="_Toc425243349"/>
      <w:r>
        <w:rPr>
          <w:rStyle w:val="CharSectno"/>
        </w:rPr>
        <w:t>64</w:t>
      </w:r>
      <w:r>
        <w:t>.</w:t>
      </w:r>
      <w:r>
        <w:tab/>
        <w:t>Return of exhibits</w:t>
      </w:r>
      <w:bookmarkEnd w:id="183"/>
      <w:bookmarkEnd w:id="184"/>
    </w:p>
    <w:p>
      <w:pPr>
        <w:pStyle w:val="Subsection"/>
      </w:pPr>
      <w:r>
        <w:tab/>
        <w:t>(1)</w:t>
      </w:r>
      <w:r>
        <w:tab/>
        <w:t>After an appeal is concluded, the registrar must, unless the Court of Appeal has ordered otherwise —</w:t>
      </w:r>
    </w:p>
    <w:p>
      <w:pPr>
        <w:pStyle w:val="Indenta"/>
      </w:pPr>
      <w:r>
        <w:tab/>
        <w:t>(a)</w:t>
      </w:r>
      <w:r>
        <w:tab/>
        <w:t>return any record or thing given to the Court of Appeal by the primary court to the primary court;</w:t>
      </w:r>
    </w:p>
    <w:p>
      <w:pPr>
        <w:pStyle w:val="Indenta"/>
      </w:pPr>
      <w:r>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p>
    <w:p>
      <w:pPr>
        <w:pStyle w:val="Subsection"/>
        <w:keepNext/>
      </w:pPr>
      <w:r>
        <w:tab/>
        <w:t>(2)</w:t>
      </w:r>
      <w:r>
        <w:tab/>
        <w:t>The registrar must not act under subrule (1) until —</w:t>
      </w:r>
    </w:p>
    <w:p>
      <w:pPr>
        <w:pStyle w:val="Indenta"/>
      </w:pPr>
      <w:r>
        <w:tab/>
        <w:t>(a)</w:t>
      </w:r>
      <w:r>
        <w:tab/>
        <w:t>the time for commencing proceedings in the High Court in relation to the appeal has expired; or</w:t>
      </w:r>
    </w:p>
    <w:p>
      <w:pPr>
        <w:pStyle w:val="Indenta"/>
      </w:pPr>
      <w:r>
        <w:tab/>
        <w:t>(b)</w:t>
      </w:r>
      <w:r>
        <w:tab/>
        <w:t>if proceedings in the High Court in relation to the appeal are commenced before that time expires, the proceedings are concluded.</w:t>
      </w:r>
    </w:p>
    <w:p>
      <w:pPr>
        <w:pStyle w:val="Subsection"/>
        <w:keepNext/>
      </w:pPr>
      <w:r>
        <w:tab/>
        <w:t>(3)</w:t>
      </w:r>
      <w:r>
        <w:tab/>
        <w:t xml:space="preserve">Despite subrule (2), the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If under subrule (3)(b) the registrar releases a record or thing to a person, the registrar may require the person, as a condition of being given it, to give a written undertaking to the Court of Appeal as to the care maintenance and custody of it and its re</w:t>
      </w:r>
      <w:r>
        <w:noBreakHyphen/>
        <w:t>delivery to the court.</w:t>
      </w:r>
    </w:p>
    <w:p>
      <w:pPr>
        <w:pStyle w:val="Subsection"/>
      </w:pPr>
      <w:r>
        <w:tab/>
        <w:t>(5)</w:t>
      </w:r>
      <w:r>
        <w:tab/>
        <w:t>If a record or thing remains in the possession of the Court of Appeal after reasonable steps have been taken to identify a person who is entitled to possession of it and to require the person to collect it from the court, a single judge may order the registrar to destroy it or dispose of it in some other way.</w:t>
      </w:r>
    </w:p>
    <w:p>
      <w:pPr>
        <w:pStyle w:val="Heading5"/>
      </w:pPr>
      <w:bookmarkStart w:id="185" w:name="_Toc379204006"/>
      <w:bookmarkStart w:id="186" w:name="_Toc425243350"/>
      <w:r>
        <w:rPr>
          <w:rStyle w:val="CharSectno"/>
        </w:rPr>
        <w:t>65</w:t>
      </w:r>
      <w:r>
        <w:t>.</w:t>
      </w:r>
      <w:r>
        <w:tab/>
        <w:t>Enforcing judgments and orders</w:t>
      </w:r>
      <w:bookmarkEnd w:id="185"/>
      <w:bookmarkEnd w:id="186"/>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187" w:name="_Toc379204007"/>
      <w:bookmarkStart w:id="188" w:name="_Toc425243351"/>
      <w:r>
        <w:rPr>
          <w:rStyle w:val="CharSectno"/>
        </w:rPr>
        <w:t>66</w:t>
      </w:r>
      <w:r>
        <w:t>.</w:t>
      </w:r>
      <w:r>
        <w:tab/>
        <w:t>Costs</w:t>
      </w:r>
      <w:bookmarkEnd w:id="187"/>
      <w:bookmarkEnd w:id="188"/>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pPr>
      <w:r>
        <w:tab/>
        <w:t>(2)</w:t>
      </w:r>
      <w:r>
        <w:tab/>
        <w:t>A party who does not file a document required by these rules within the time specified in or under these rules for doing so is not entitled to the costs of preparing and filing the document unless the Court of Appeal orders otherwise.</w:t>
      </w:r>
    </w:p>
    <w:p>
      <w:pPr>
        <w:pStyle w:val="Subsection"/>
      </w:pPr>
      <w:r>
        <w:tab/>
        <w:t>(3)</w:t>
      </w:r>
      <w:r>
        <w:tab/>
        <w:t>Subrule (2) does not prevent the Court of Appeal from making an order under the RSC Order 66 rule 5 in respect of the costs of preparing and filing the document concerned.</w:t>
      </w:r>
    </w:p>
    <w:p>
      <w:pPr>
        <w:pStyle w:val="Subsection"/>
      </w:pPr>
      <w:r>
        <w:tab/>
        <w:t>(4)</w:t>
      </w:r>
      <w:r>
        <w:tab/>
        <w:t>The costs of preparing and settling the indexes to, and of preparing, filing and serving, the appeal book are costs in the cause unless the Court of Appeal orders otherwise.</w:t>
      </w:r>
    </w:p>
    <w:p>
      <w:pPr>
        <w:pStyle w:val="Subsection"/>
      </w:pPr>
      <w:r>
        <w:tab/>
        <w:t>(5)</w:t>
      </w:r>
      <w:r>
        <w:tab/>
        <w:t>The costs of copies of unnecessary documents or of copies of unnecessary parts of documents will not be allowed.</w:t>
      </w:r>
    </w:p>
    <w:p>
      <w:pPr>
        <w:pStyle w:val="Heading2"/>
      </w:pPr>
      <w:bookmarkStart w:id="189" w:name="_Toc379203898"/>
      <w:bookmarkStart w:id="190" w:name="_Toc379204008"/>
      <w:bookmarkStart w:id="191" w:name="_Toc425243352"/>
      <w:r>
        <w:rPr>
          <w:rStyle w:val="CharPartNo"/>
        </w:rPr>
        <w:t>Part 6</w:t>
      </w:r>
      <w:r>
        <w:rPr>
          <w:rStyle w:val="CharDivNo"/>
        </w:rPr>
        <w:t> </w:t>
      </w:r>
      <w:r>
        <w:t>—</w:t>
      </w:r>
      <w:r>
        <w:rPr>
          <w:rStyle w:val="CharDivText"/>
        </w:rPr>
        <w:t> </w:t>
      </w:r>
      <w:r>
        <w:rPr>
          <w:rStyle w:val="CharPartText"/>
        </w:rPr>
        <w:t>Referred and other CA matters</w:t>
      </w:r>
      <w:bookmarkEnd w:id="189"/>
      <w:bookmarkEnd w:id="190"/>
      <w:bookmarkEnd w:id="191"/>
    </w:p>
    <w:p>
      <w:pPr>
        <w:pStyle w:val="Heading5"/>
      </w:pPr>
      <w:bookmarkStart w:id="192" w:name="_Toc379204009"/>
      <w:bookmarkStart w:id="193" w:name="_Toc425243353"/>
      <w:r>
        <w:rPr>
          <w:rStyle w:val="CharSectno"/>
        </w:rPr>
        <w:t>67</w:t>
      </w:r>
      <w:r>
        <w:t>.</w:t>
      </w:r>
      <w:r>
        <w:tab/>
        <w:t>Referring a legal issue to the Court of Appeal</w:t>
      </w:r>
      <w:bookmarkEnd w:id="192"/>
      <w:bookmarkEnd w:id="193"/>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w:t>
      </w:r>
    </w:p>
    <w:p>
      <w:pPr>
        <w:pStyle w:val="Indenta"/>
      </w:pPr>
      <w:r>
        <w:tab/>
        <w:t>(b)</w:t>
      </w:r>
      <w:r>
        <w:tab/>
        <w:t>the circumstances out of which the legal issue being referred arose must refer to all the facts out of which the issue arose;</w:t>
      </w:r>
    </w:p>
    <w:p>
      <w:pPr>
        <w:pStyle w:val="Indenta"/>
      </w:pPr>
      <w:r>
        <w:tab/>
        <w:t>(c)</w:t>
      </w:r>
      <w:r>
        <w:tab/>
        <w:t>the circumstances out of which the legal issue being referred arose must be set out in numbered paragraphs;</w:t>
      </w:r>
    </w:p>
    <w:p>
      <w:pPr>
        <w:pStyle w:val="Indenta"/>
      </w:pPr>
      <w:r>
        <w:tab/>
        <w:t>(d)</w:t>
      </w:r>
      <w:r>
        <w:tab/>
        <w:t>the list of materials to be considered must include any document to which the Court of Appeal may need to refer to decide the legal issue;</w:t>
      </w:r>
    </w:p>
    <w:p>
      <w:pPr>
        <w:pStyle w:val="Indenta"/>
      </w:pPr>
      <w:r>
        <w:tab/>
        <w:t>(e)</w:t>
      </w:r>
      <w:r>
        <w:tab/>
        <w:t>all the documents to which the Court of Appeal may need to refer to decide the legal issue must be attached to the form.</w:t>
      </w:r>
    </w:p>
    <w:p>
      <w:pPr>
        <w:pStyle w:val="Heading5"/>
      </w:pPr>
      <w:bookmarkStart w:id="194" w:name="_Toc379204010"/>
      <w:bookmarkStart w:id="195" w:name="_Toc425243354"/>
      <w:r>
        <w:rPr>
          <w:rStyle w:val="CharSectno"/>
        </w:rPr>
        <w:t>68</w:t>
      </w:r>
      <w:r>
        <w:t>.</w:t>
      </w:r>
      <w:r>
        <w:tab/>
        <w:t>Dealing with referred and other CA matters</w:t>
      </w:r>
      <w:bookmarkEnd w:id="194"/>
      <w:bookmarkEnd w:id="195"/>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196" w:name="_Toc379203901"/>
      <w:bookmarkStart w:id="197" w:name="_Toc379204011"/>
      <w:bookmarkStart w:id="198" w:name="_Toc425243355"/>
      <w:r>
        <w:rPr>
          <w:rStyle w:val="CharPartNo"/>
        </w:rPr>
        <w:t>Part 7</w:t>
      </w:r>
      <w:r>
        <w:rPr>
          <w:rStyle w:val="CharDivNo"/>
        </w:rPr>
        <w:t> </w:t>
      </w:r>
      <w:r>
        <w:t>—</w:t>
      </w:r>
      <w:r>
        <w:rPr>
          <w:rStyle w:val="CharDivText"/>
        </w:rPr>
        <w:t> </w:t>
      </w:r>
      <w:r>
        <w:rPr>
          <w:rStyle w:val="CharPartText"/>
        </w:rPr>
        <w:t>Miscellaneous</w:t>
      </w:r>
      <w:bookmarkEnd w:id="196"/>
      <w:bookmarkEnd w:id="197"/>
      <w:bookmarkEnd w:id="198"/>
    </w:p>
    <w:p>
      <w:pPr>
        <w:pStyle w:val="Heading5"/>
      </w:pPr>
      <w:bookmarkStart w:id="199" w:name="_Toc379204012"/>
      <w:bookmarkStart w:id="200" w:name="_Toc425243356"/>
      <w:r>
        <w:rPr>
          <w:rStyle w:val="CharSectno"/>
        </w:rPr>
        <w:t>69</w:t>
      </w:r>
      <w:r>
        <w:t>.</w:t>
      </w:r>
      <w:r>
        <w:tab/>
        <w:t>Removal of District Court appeal into Court of Appeal</w:t>
      </w:r>
      <w:bookmarkEnd w:id="199"/>
      <w:bookmarkEnd w:id="200"/>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sectPr>
          <w:headerReference w:type="even" r:id="rId21"/>
          <w:headerReference w:type="default" r:id="rId22"/>
          <w:headerReference w:type="first" r:id="rId23"/>
          <w:endnotePr>
            <w:numFmt w:val="decimal"/>
          </w:endnotePr>
          <w:pgSz w:w="11907" w:h="16840" w:code="9"/>
          <w:pgMar w:top="2376" w:right="2405" w:bottom="3542" w:left="2405" w:header="706" w:footer="3528" w:gutter="0"/>
          <w:pgNumType w:start="1"/>
          <w:cols w:space="720"/>
          <w:noEndnote/>
          <w:titlePg/>
        </w:sectPr>
      </w:pPr>
    </w:p>
    <w:p>
      <w:pPr>
        <w:pStyle w:val="yScheduleHeading"/>
      </w:pPr>
      <w:bookmarkStart w:id="201" w:name="_Toc379203903"/>
      <w:bookmarkStart w:id="202" w:name="_Toc379204013"/>
      <w:bookmarkStart w:id="203" w:name="_Toc425243357"/>
      <w:r>
        <w:rPr>
          <w:rStyle w:val="CharSchNo"/>
        </w:rPr>
        <w:t>Schedule 1</w:t>
      </w:r>
      <w:r>
        <w:rPr>
          <w:rStyle w:val="CharSDivNo"/>
        </w:rPr>
        <w:t> </w:t>
      </w:r>
      <w:r>
        <w:t>—</w:t>
      </w:r>
      <w:r>
        <w:rPr>
          <w:rStyle w:val="CharSDivText"/>
        </w:rPr>
        <w:t> </w:t>
      </w:r>
      <w:r>
        <w:rPr>
          <w:rStyle w:val="CharSchText"/>
        </w:rPr>
        <w:t>Forms</w:t>
      </w:r>
      <w:bookmarkEnd w:id="201"/>
      <w:bookmarkEnd w:id="202"/>
      <w:bookmarkEnd w:id="203"/>
    </w:p>
    <w:p>
      <w:pPr>
        <w:pStyle w:val="yShoulderClause"/>
      </w:pPr>
      <w:r>
        <w:t>[r. 3]</w:t>
      </w:r>
    </w:p>
    <w:p>
      <w:pPr>
        <w:pStyle w:val="yHeading5"/>
        <w:spacing w:after="240"/>
      </w:pPr>
      <w:bookmarkStart w:id="204" w:name="_Toc379204014"/>
      <w:bookmarkStart w:id="205" w:name="_Toc425243358"/>
      <w:r>
        <w:rPr>
          <w:rStyle w:val="CharSClsNo"/>
        </w:rPr>
        <w:t>1</w:t>
      </w:r>
      <w:r>
        <w:t>.</w:t>
      </w:r>
      <w:r>
        <w:tab/>
        <w:t>Appeal notice (criminal) (r. 28)</w:t>
      </w:r>
      <w:bookmarkEnd w:id="204"/>
      <w:bookmarkEnd w:id="20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Appeal notice (criminal)</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Yes/No</w:t>
            </w:r>
            <w:r>
              <w:rPr>
                <w:sz w:val="20"/>
                <w:vertAlign w:val="superscript"/>
              </w:rPr>
              <w:t>7</w:t>
            </w:r>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t>Appellant’s details for service</w:t>
            </w:r>
            <w:r>
              <w:rPr>
                <w:sz w:val="20"/>
                <w:vertAlign w:val="superscript"/>
              </w:rPr>
              <w:t>7</w:t>
            </w:r>
          </w:p>
        </w:tc>
      </w:tr>
      <w:tr>
        <w:trPr>
          <w:cantSplit/>
        </w:trPr>
        <w:tc>
          <w:tcPr>
            <w:tcW w:w="2127" w:type="dxa"/>
            <w:tcBorders>
              <w:bottom w:val="nil"/>
            </w:tcBorders>
          </w:tcPr>
          <w:p>
            <w:pPr>
              <w:pStyle w:val="yTable"/>
              <w:spacing w:before="0"/>
              <w:rPr>
                <w:sz w:val="20"/>
              </w:rPr>
            </w:pPr>
            <w:r>
              <w:rPr>
                <w:sz w:val="20"/>
              </w:rPr>
              <w:t>Name</w:t>
            </w:r>
            <w:r>
              <w:rPr>
                <w:sz w:val="20"/>
                <w:vertAlign w:val="superscript"/>
              </w:rPr>
              <w:t>9</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lawyer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 —</w:t>
      </w:r>
    </w:p>
    <w:p>
      <w:pPr>
        <w:pStyle w:val="yMiscellaneousFootnotes"/>
        <w:spacing w:before="0"/>
        <w:ind w:left="425" w:hanging="425"/>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Footnotes"/>
        <w:spacing w:before="0"/>
        <w:ind w:left="425" w:hanging="425"/>
      </w:pPr>
      <w:r>
        <w:t>2.</w:t>
      </w:r>
      <w:r>
        <w:tab/>
        <w:t>Describe the offence. E.g. Dangerous driving causing death. If there is more than one conviction, put the details of the other convictions, sentences and orders on an attachment.</w:t>
      </w:r>
    </w:p>
    <w:p>
      <w:pPr>
        <w:pStyle w:val="yMiscellaneousFootnotes"/>
        <w:spacing w:before="0"/>
        <w:ind w:left="425" w:hanging="425"/>
      </w:pPr>
      <w:r>
        <w:t>3.</w:t>
      </w:r>
      <w:r>
        <w:tab/>
        <w:t>State the sentence. E.g. Imprisonment for 18 months with a parol eligibility order cumulative on the sentence for robbery.</w:t>
      </w:r>
    </w:p>
    <w:p>
      <w:pPr>
        <w:pStyle w:val="yMiscellaneousFootnotes"/>
        <w:spacing w:before="0"/>
        <w:ind w:left="425" w:hanging="425"/>
      </w:pPr>
      <w:r>
        <w:t>4.</w:t>
      </w:r>
      <w:r>
        <w:tab/>
        <w:t>State any other order made. E.g. Disqualified from holding or obtaining a driver’s licence for 4 years.</w:t>
      </w:r>
    </w:p>
    <w:p>
      <w:pPr>
        <w:pStyle w:val="yMiscellaneousFootnotes"/>
        <w:spacing w:before="0"/>
        <w:ind w:left="425" w:hanging="425"/>
      </w:pPr>
      <w:r>
        <w:t>5.</w:t>
      </w:r>
      <w:r>
        <w:tab/>
        <w:t>Tick this box if the appeal is against a decision other than a conviction or sentence or other order made as a result of a conviction. See note 1.</w:t>
      </w:r>
    </w:p>
    <w:p>
      <w:pPr>
        <w:pStyle w:val="yMiscellaneousFootnotes"/>
        <w:spacing w:before="0"/>
        <w:ind w:left="425" w:hanging="425"/>
      </w:pPr>
      <w:r>
        <w:t>6.</w:t>
      </w:r>
      <w:r>
        <w:tab/>
        <w:t>Set out the draft grounds in numbered paragraphs.</w:t>
      </w:r>
    </w:p>
    <w:p>
      <w:pPr>
        <w:pStyle w:val="yMiscellaneousFootnotes"/>
        <w:spacing w:before="0"/>
        <w:ind w:left="425" w:hanging="425"/>
      </w:pPr>
      <w:r>
        <w:t>7.</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pPr>
      <w:r>
        <w:t>8.</w:t>
      </w:r>
      <w:r>
        <w:tab/>
        <w:t>Leave this line blank if the appellant is self-represented.</w:t>
      </w:r>
    </w:p>
    <w:p>
      <w:pPr>
        <w:pStyle w:val="yHeading5"/>
        <w:pageBreakBefore/>
        <w:spacing w:after="240"/>
      </w:pPr>
      <w:bookmarkStart w:id="206" w:name="_Toc379204015"/>
      <w:bookmarkStart w:id="207" w:name="_Toc425243359"/>
      <w:r>
        <w:rPr>
          <w:rStyle w:val="CharSClsNo"/>
        </w:rPr>
        <w:t>2</w:t>
      </w:r>
      <w:r>
        <w:t>.</w:t>
      </w:r>
      <w:r>
        <w:tab/>
        <w:t>Appeal notice (civil) (r. 29)</w:t>
      </w:r>
      <w:bookmarkEnd w:id="206"/>
      <w:bookmarkEnd w:id="20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vAlign w:val="center"/>
          </w:tcPr>
          <w:p>
            <w:pPr>
              <w:pStyle w:val="yTable"/>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528"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528"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528"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528"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528" w:type="dxa"/>
            <w:gridSpan w:val="3"/>
            <w:tcBorders>
              <w:bottom w:val="nil"/>
            </w:tcBorders>
          </w:tcPr>
          <w:p>
            <w:pPr>
              <w:pStyle w:val="yTable"/>
              <w:tabs>
                <w:tab w:val="left" w:pos="4196"/>
              </w:tabs>
              <w:spacing w:before="0"/>
              <w:rPr>
                <w:sz w:val="20"/>
              </w:rPr>
            </w:pPr>
            <w:r>
              <w:rPr>
                <w:sz w:val="20"/>
              </w:rPr>
              <w:t>Is the appellant legally represented in this appeal? Yes/No</w:t>
            </w:r>
            <w:r>
              <w:rPr>
                <w:sz w:val="20"/>
                <w:vertAlign w:val="superscript"/>
              </w:rPr>
              <w:t>3</w:t>
            </w:r>
          </w:p>
          <w:p>
            <w:pPr>
              <w:pStyle w:val="yTable"/>
              <w:tabs>
                <w:tab w:val="left" w:pos="4196"/>
              </w:tabs>
              <w:spacing w:before="0"/>
              <w:rPr>
                <w:sz w:val="20"/>
              </w:rPr>
            </w:pPr>
            <w:r>
              <w:rPr>
                <w:sz w:val="20"/>
              </w:rPr>
              <w:t>Is the appellant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sz w:val="20"/>
              </w:rPr>
            </w:pPr>
            <w:r>
              <w:rPr>
                <w:sz w:val="20"/>
              </w:rPr>
              <w:t>Name</w:t>
            </w:r>
            <w:r>
              <w:rPr>
                <w:sz w:val="20"/>
                <w:vertAlign w:val="superscript"/>
              </w:rPr>
              <w:t>4</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528"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lawyer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2 —</w:t>
      </w:r>
    </w:p>
    <w:p>
      <w:pPr>
        <w:pStyle w:val="yMiscellaneousFootnotes"/>
        <w:spacing w:before="0"/>
        <w:ind w:left="425" w:hanging="425"/>
      </w:pPr>
      <w:r>
        <w:t>1.</w:t>
      </w:r>
      <w:r>
        <w:tab/>
        <w:t>Examples:</w:t>
      </w:r>
    </w:p>
    <w:p>
      <w:pPr>
        <w:pStyle w:val="yMiscellaneousFootnotes"/>
        <w:numPr>
          <w:ilvl w:val="0"/>
          <w:numId w:val="1"/>
        </w:numPr>
        <w:tabs>
          <w:tab w:val="clear" w:pos="1644"/>
        </w:tabs>
        <w:spacing w:before="0"/>
        <w:ind w:left="822"/>
      </w:pPr>
      <w:r>
        <w:t>Judgment against the defendant for $70 000.</w:t>
      </w:r>
    </w:p>
    <w:p>
      <w:pPr>
        <w:pStyle w:val="yMiscellaneousFootnotes"/>
        <w:numPr>
          <w:ilvl w:val="0"/>
          <w:numId w:val="1"/>
        </w:numPr>
        <w:tabs>
          <w:tab w:val="clear" w:pos="1644"/>
        </w:tabs>
        <w:spacing w:before="0"/>
        <w:ind w:left="822"/>
      </w:pPr>
      <w:r>
        <w:t>Dismissal of negligence action.</w:t>
      </w:r>
    </w:p>
    <w:p>
      <w:pPr>
        <w:pStyle w:val="yMiscellaneousFootnotes"/>
        <w:spacing w:before="0"/>
        <w:ind w:left="425" w:hanging="425"/>
      </w:pPr>
      <w:r>
        <w:t>2.</w:t>
      </w:r>
      <w:r>
        <w:tab/>
        <w:t>State the short title of the Act under which the appeal is being made.</w:t>
      </w:r>
    </w:p>
    <w:p>
      <w:pPr>
        <w:pStyle w:val="yMiscellaneousFootnotes"/>
        <w:spacing w:before="0"/>
        <w:ind w:left="425" w:hanging="425"/>
      </w:pPr>
      <w:r>
        <w:t>3.</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pPr>
      <w:r>
        <w:t>4.</w:t>
      </w:r>
      <w:r>
        <w:tab/>
        <w:t>Leave this line blank if the appellant is self-represented.</w:t>
      </w:r>
    </w:p>
    <w:p>
      <w:pPr>
        <w:pStyle w:val="yHeading5"/>
        <w:spacing w:after="240"/>
      </w:pPr>
      <w:bookmarkStart w:id="208" w:name="_Toc379204016"/>
      <w:bookmarkStart w:id="209" w:name="_Toc425243360"/>
      <w:r>
        <w:rPr>
          <w:rStyle w:val="CharSClsNo"/>
        </w:rPr>
        <w:t>3</w:t>
      </w:r>
      <w:r>
        <w:t>.</w:t>
      </w:r>
      <w:r>
        <w:tab/>
        <w:t>Service certificate (r. 28(7) &amp; 29(5))</w:t>
      </w:r>
      <w:bookmarkEnd w:id="208"/>
      <w:bookmarkEnd w:id="20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t>a copy of every other document that was filed with the appeal notice.</w:t>
            </w:r>
          </w:p>
          <w:p>
            <w:pPr>
              <w:pStyle w:val="yTable"/>
              <w:spacing w:before="0"/>
              <w:rPr>
                <w:sz w:val="20"/>
              </w:rPr>
            </w:pPr>
            <w:r>
              <w:rPr>
                <w:sz w:val="20"/>
              </w:rPr>
              <w:t>I undertake to file an affidavit of service if the Court 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3 —</w:t>
      </w:r>
    </w:p>
    <w:p>
      <w:pPr>
        <w:pStyle w:val="yMiscellaneousFootnotes"/>
        <w:spacing w:before="0"/>
        <w:ind w:left="425" w:hanging="425"/>
      </w:pPr>
      <w:r>
        <w:t>1.</w:t>
      </w:r>
      <w:r>
        <w:tab/>
        <w:t xml:space="preserve">Delete if no documents are required under rule </w:t>
      </w:r>
      <w:r>
        <w:rPr>
          <w:sz w:val="20"/>
        </w:rPr>
        <w:t>28(1)(d)</w:t>
      </w:r>
      <w:r>
        <w:t xml:space="preserve"> or </w:t>
      </w:r>
      <w:r>
        <w:rPr>
          <w:sz w:val="20"/>
        </w:rPr>
        <w:t>29(1)(d). Refer to rule 28(1)(d)</w:t>
      </w:r>
      <w:r>
        <w:t xml:space="preserve"> in a criminal appeal and to rule </w:t>
      </w:r>
      <w:r>
        <w:rPr>
          <w:sz w:val="20"/>
        </w:rPr>
        <w:t>29(1)(d) in a civil appeal.</w:t>
      </w:r>
    </w:p>
    <w:p>
      <w:pPr>
        <w:pStyle w:val="yHeading5"/>
        <w:pageBreakBefore/>
        <w:spacing w:after="240"/>
      </w:pPr>
      <w:bookmarkStart w:id="210" w:name="_Toc379204017"/>
      <w:bookmarkStart w:id="211" w:name="_Toc425243361"/>
      <w:r>
        <w:rPr>
          <w:rStyle w:val="CharSClsNo"/>
        </w:rPr>
        <w:t>4</w:t>
      </w:r>
      <w:r>
        <w:t>.</w:t>
      </w:r>
      <w:r>
        <w:tab/>
        <w:t>Notice of respondent’s intention (r. 31)</w:t>
      </w:r>
      <w:bookmarkEnd w:id="210"/>
      <w:bookmarkEnd w:id="21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respondent’s intention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Notice</w:t>
            </w:r>
          </w:p>
          <w:p>
            <w:pPr>
              <w:pStyle w:val="yTable"/>
              <w:spacing w:before="0"/>
              <w:rPr>
                <w:sz w:val="18"/>
              </w:rPr>
            </w:pPr>
            <w:r>
              <w:rPr>
                <w:sz w:val="18"/>
              </w:rPr>
              <w:t>[Tick one box]</w:t>
            </w:r>
          </w:p>
          <w:p>
            <w:pPr>
              <w:pStyle w:val="yTable"/>
              <w:spacing w:before="0"/>
              <w:rPr>
                <w:sz w:val="18"/>
              </w:rPr>
            </w:pPr>
          </w:p>
        </w:tc>
        <w:tc>
          <w:tcPr>
            <w:tcW w:w="5670" w:type="dxa"/>
            <w:gridSpan w:val="3"/>
          </w:tcPr>
          <w:p>
            <w:pPr>
              <w:pStyle w:val="yTable"/>
              <w:spacing w:before="0"/>
              <w:ind w:left="227" w:hanging="227"/>
              <w:rPr>
                <w:sz w:val="20"/>
              </w:rPr>
            </w:pPr>
            <w:r>
              <w:rPr>
                <w:sz w:val="20"/>
              </w:rPr>
              <w:tab/>
              <w:t>The respondent intends to take part in this appeal.</w:t>
            </w:r>
          </w:p>
          <w:p>
            <w:pPr>
              <w:pStyle w:val="yTable"/>
              <w:spacing w:before="0"/>
              <w:ind w:left="227" w:hanging="227"/>
              <w:rPr>
                <w:sz w:val="20"/>
              </w:rPr>
            </w:pPr>
            <w:r>
              <w:rPr>
                <w:sz w:val="20"/>
              </w:rPr>
              <w:tab/>
              <w:t>The respondent does not intend to take part in this appeal and will accept any order made by the court in the appeal other than as to costs.</w:t>
            </w:r>
          </w:p>
        </w:tc>
      </w:tr>
      <w:tr>
        <w:trPr>
          <w:cantSplit/>
        </w:trPr>
        <w:tc>
          <w:tcPr>
            <w:tcW w:w="1418" w:type="dxa"/>
          </w:tcPr>
          <w:p>
            <w:pPr>
              <w:pStyle w:val="yTable"/>
              <w:spacing w:before="0"/>
              <w:rPr>
                <w:sz w:val="20"/>
              </w:rPr>
            </w:pPr>
            <w:r>
              <w:rPr>
                <w:sz w:val="20"/>
              </w:rPr>
              <w:t>Cross appeal</w:t>
            </w:r>
          </w:p>
          <w:p>
            <w:pPr>
              <w:pStyle w:val="yTable"/>
              <w:spacing w:before="0"/>
              <w:rPr>
                <w:sz w:val="20"/>
              </w:rPr>
            </w:pPr>
            <w:r>
              <w:rPr>
                <w:sz w:val="18"/>
              </w:rPr>
              <w:t>[Tick one box]</w:t>
            </w:r>
          </w:p>
        </w:tc>
        <w:tc>
          <w:tcPr>
            <w:tcW w:w="5670" w:type="dxa"/>
            <w:gridSpan w:val="3"/>
          </w:tcPr>
          <w:p>
            <w:pPr>
              <w:pStyle w:val="yTable"/>
              <w:spacing w:before="0"/>
              <w:ind w:left="227" w:hanging="227"/>
              <w:rPr>
                <w:sz w:val="20"/>
              </w:rPr>
            </w:pPr>
            <w:r>
              <w:rPr>
                <w:sz w:val="20"/>
              </w:rPr>
              <w:tab/>
              <w:t>The respondent is not appealing against the primary court’s decision specified in the appellant’s appeal notice.</w:t>
            </w:r>
          </w:p>
          <w:p>
            <w:pPr>
              <w:pStyle w:val="yTable"/>
              <w:spacing w:before="0"/>
              <w:ind w:left="227" w:hanging="227"/>
              <w:rPr>
                <w:sz w:val="20"/>
              </w:rPr>
            </w:pPr>
            <w:r>
              <w:rPr>
                <w:sz w:val="20"/>
              </w:rPr>
              <w:tab/>
              <w:t>The respondent also appeals against the primary court’s decision specified in the appellant’s appeal notice.</w:t>
            </w:r>
          </w:p>
        </w:tc>
      </w:tr>
      <w:tr>
        <w:trPr>
          <w:cantSplit/>
        </w:trPr>
        <w:tc>
          <w:tcPr>
            <w:tcW w:w="1418" w:type="dxa"/>
            <w:tcBorders>
              <w:bottom w:val="nil"/>
            </w:tcBorders>
          </w:tcPr>
          <w:p>
            <w:pPr>
              <w:pStyle w:val="yTable"/>
              <w:spacing w:before="0"/>
              <w:rPr>
                <w:sz w:val="20"/>
              </w:rPr>
            </w:pPr>
            <w:r>
              <w:rPr>
                <w:sz w:val="20"/>
              </w:rPr>
              <w:t>Last date for appealing</w:t>
            </w:r>
            <w:r>
              <w:rPr>
                <w:sz w:val="20"/>
                <w:vertAlign w:val="superscript"/>
              </w:rPr>
              <w:t>1</w:t>
            </w:r>
          </w:p>
        </w:tc>
        <w:tc>
          <w:tcPr>
            <w:tcW w:w="5670"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418" w:type="dxa"/>
            <w:tcBorders>
              <w:bottom w:val="nil"/>
            </w:tcBorders>
          </w:tcPr>
          <w:p>
            <w:pPr>
              <w:pStyle w:val="yTable"/>
              <w:spacing w:before="0"/>
              <w:rPr>
                <w:sz w:val="20"/>
              </w:rPr>
            </w:pPr>
            <w:r>
              <w:rPr>
                <w:sz w:val="20"/>
              </w:rPr>
              <w:t>Leave to appeal</w:t>
            </w:r>
            <w:r>
              <w:rPr>
                <w:sz w:val="20"/>
                <w:vertAlign w:val="superscript"/>
              </w:rPr>
              <w:t>1</w:t>
            </w:r>
          </w:p>
        </w:tc>
        <w:tc>
          <w:tcPr>
            <w:tcW w:w="5670"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418" w:type="dxa"/>
            <w:tcBorders>
              <w:bottom w:val="nil"/>
            </w:tcBorders>
          </w:tcPr>
          <w:p>
            <w:pPr>
              <w:pStyle w:val="yTable"/>
              <w:spacing w:before="0"/>
              <w:rPr>
                <w:sz w:val="20"/>
              </w:rPr>
            </w:pPr>
            <w:r>
              <w:rPr>
                <w:sz w:val="20"/>
              </w:rPr>
              <w:t>Legal representation</w:t>
            </w:r>
          </w:p>
        </w:tc>
        <w:tc>
          <w:tcPr>
            <w:tcW w:w="5670" w:type="dxa"/>
            <w:gridSpan w:val="3"/>
            <w:tcBorders>
              <w:bottom w:val="nil"/>
            </w:tcBorders>
          </w:tcPr>
          <w:p>
            <w:pPr>
              <w:pStyle w:val="yTable"/>
              <w:tabs>
                <w:tab w:val="left" w:pos="4196"/>
              </w:tabs>
              <w:spacing w:before="0"/>
              <w:rPr>
                <w:sz w:val="20"/>
              </w:rPr>
            </w:pPr>
            <w:r>
              <w:rPr>
                <w:sz w:val="20"/>
              </w:rPr>
              <w:t>Is the respondent legally represented in this appeal? Yes/No</w:t>
            </w:r>
            <w:r>
              <w:rPr>
                <w:sz w:val="20"/>
                <w:vertAlign w:val="superscript"/>
              </w:rPr>
              <w:t>2</w:t>
            </w:r>
          </w:p>
          <w:p>
            <w:pPr>
              <w:pStyle w:val="yTable"/>
              <w:tabs>
                <w:tab w:val="left" w:pos="4196"/>
              </w:tabs>
              <w:spacing w:before="0"/>
              <w:rPr>
                <w:sz w:val="20"/>
              </w:rPr>
            </w:pPr>
            <w:r>
              <w:rPr>
                <w:sz w:val="20"/>
              </w:rPr>
              <w:t>Is the respondent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nil"/>
            </w:tcBorders>
          </w:tcPr>
          <w:p>
            <w:pPr>
              <w:pStyle w:val="yTable"/>
              <w:spacing w:before="0"/>
              <w:rPr>
                <w:sz w:val="20"/>
              </w:rPr>
            </w:pPr>
            <w:r>
              <w:rPr>
                <w:sz w:val="20"/>
              </w:rPr>
              <w:t>Name</w:t>
            </w:r>
            <w:r>
              <w:rPr>
                <w:sz w:val="20"/>
                <w:vertAlign w:val="superscript"/>
              </w:rPr>
              <w:t>3</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4 —</w:t>
      </w:r>
    </w:p>
    <w:p>
      <w:pPr>
        <w:pStyle w:val="yMiscellaneousFootnotes"/>
        <w:spacing w:before="0"/>
        <w:ind w:left="425" w:hanging="425"/>
      </w:pPr>
      <w:r>
        <w:t>1.</w:t>
      </w:r>
      <w:r>
        <w:tab/>
        <w:t>Complete this only if the respondent also appeals against the primary court’s decision.</w:t>
      </w:r>
    </w:p>
    <w:p>
      <w:pPr>
        <w:pStyle w:val="yMiscellaneousFootnotes"/>
        <w:spacing w:before="0"/>
        <w:ind w:left="425" w:hanging="425"/>
      </w:pPr>
      <w:r>
        <w:t>2.</w:t>
      </w:r>
      <w:r>
        <w:tab/>
        <w:t>If the respondent is represented by a lawyer, the respondent’s details below must be the lawyer’s. If the respondent is self-represented, the details must be the respondent’s personal details.</w:t>
      </w:r>
    </w:p>
    <w:p>
      <w:pPr>
        <w:pStyle w:val="yMiscellaneousFootnotes"/>
        <w:spacing w:before="0"/>
        <w:ind w:left="425" w:hanging="425"/>
      </w:pPr>
      <w:r>
        <w:t>3.</w:t>
      </w:r>
      <w:r>
        <w:tab/>
        <w:t>Leave this line blank if the respondent is self-represented.</w:t>
      </w:r>
    </w:p>
    <w:p>
      <w:pPr>
        <w:pStyle w:val="yHeading5"/>
        <w:pageBreakBefore/>
        <w:spacing w:after="240"/>
      </w:pPr>
      <w:bookmarkStart w:id="212" w:name="_Toc379204018"/>
      <w:bookmarkStart w:id="213" w:name="_Toc425243362"/>
      <w:r>
        <w:rPr>
          <w:rStyle w:val="CharSClsNo"/>
        </w:rPr>
        <w:t>5</w:t>
      </w:r>
      <w:r>
        <w:t>.</w:t>
      </w:r>
      <w:r>
        <w:tab/>
        <w:t>Lawyer’s notice of acting (Part 4)</w:t>
      </w:r>
      <w:bookmarkEnd w:id="212"/>
      <w:bookmarkEnd w:id="21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Lawyer’s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nil"/>
            </w:tcBorders>
          </w:tcPr>
          <w:p>
            <w:pPr>
              <w:pStyle w:val="yTable"/>
              <w:spacing w:before="0"/>
              <w:rPr>
                <w:sz w:val="20"/>
              </w:rPr>
            </w:pPr>
            <w:r>
              <w:rPr>
                <w:sz w:val="20"/>
              </w:rPr>
              <w:t>Client</w:t>
            </w:r>
          </w:p>
        </w:tc>
        <w:tc>
          <w:tcPr>
            <w:tcW w:w="5670" w:type="dxa"/>
            <w:gridSpan w:val="3"/>
            <w:tcBorders>
              <w:bottom w:val="nil"/>
            </w:tcBorders>
          </w:tcPr>
          <w:p>
            <w:pPr>
              <w:pStyle w:val="yTable"/>
              <w:tabs>
                <w:tab w:val="left" w:pos="3771"/>
              </w:tabs>
              <w:spacing w:before="0"/>
              <w:rPr>
                <w:sz w:val="20"/>
              </w:rPr>
            </w:pPr>
            <w:r>
              <w:rPr>
                <w:sz w:val="20"/>
              </w:rPr>
              <w:t>Appellant/Respondent</w:t>
            </w:r>
          </w:p>
        </w:tc>
      </w:tr>
      <w:tr>
        <w:trPr>
          <w:cantSplit/>
        </w:trPr>
        <w:tc>
          <w:tcPr>
            <w:tcW w:w="1418" w:type="dxa"/>
          </w:tcPr>
          <w:p>
            <w:pPr>
              <w:pStyle w:val="yTable"/>
              <w:spacing w:before="0"/>
              <w:rPr>
                <w:sz w:val="20"/>
              </w:rPr>
            </w:pPr>
            <w:r>
              <w:rPr>
                <w:sz w:val="20"/>
              </w:rPr>
              <w:t>Notice</w:t>
            </w:r>
          </w:p>
          <w:p>
            <w:pPr>
              <w:pStyle w:val="yTable"/>
              <w:spacing w:before="0"/>
              <w:rPr>
                <w:sz w:val="20"/>
              </w:rPr>
            </w:pPr>
          </w:p>
          <w:p>
            <w:pPr>
              <w:pStyle w:val="yTable"/>
              <w:spacing w:before="0"/>
              <w:rPr>
                <w:sz w:val="18"/>
              </w:rPr>
            </w:pPr>
            <w:r>
              <w:rPr>
                <w:sz w:val="18"/>
              </w:rPr>
              <w:t>[Tick one box]</w:t>
            </w:r>
          </w:p>
        </w:tc>
        <w:tc>
          <w:tcPr>
            <w:tcW w:w="5670" w:type="dxa"/>
            <w:gridSpan w:val="3"/>
          </w:tcPr>
          <w:p>
            <w:pPr>
              <w:pStyle w:val="yTable"/>
              <w:spacing w:before="0"/>
              <w:rPr>
                <w:sz w:val="20"/>
              </w:rPr>
            </w:pPr>
            <w:r>
              <w:rPr>
                <w:sz w:val="20"/>
              </w:rPr>
              <w:t xml:space="preserve">The lawyer or firm of practitioners named below — </w:t>
            </w:r>
          </w:p>
          <w:p>
            <w:pPr>
              <w:pStyle w:val="yTable"/>
              <w:spacing w:before="0"/>
              <w:ind w:left="227" w:hanging="227"/>
              <w:rPr>
                <w:sz w:val="20"/>
              </w:rPr>
            </w:pPr>
            <w:r>
              <w:rPr>
                <w:sz w:val="20"/>
              </w:rPr>
              <w:tab/>
              <w:t>is acting for the above client in this appeal.</w:t>
            </w:r>
          </w:p>
          <w:p>
            <w:pPr>
              <w:pStyle w:val="yTable"/>
              <w:spacing w:before="0"/>
              <w:ind w:left="227" w:hanging="227"/>
              <w:rPr>
                <w:sz w:val="20"/>
              </w:rPr>
            </w:pPr>
            <w:r>
              <w:rPr>
                <w:sz w:val="20"/>
              </w:rPr>
              <w:tab/>
              <w:t>has ceased to act for the above client in this appeal and the client’s address for service now is:</w:t>
            </w:r>
          </w:p>
          <w:p>
            <w:pPr>
              <w:pStyle w:val="yTable"/>
              <w:spacing w:before="0"/>
              <w:ind w:left="227" w:hanging="227"/>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Lawyer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lawyer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214" w:name="_Toc379204019"/>
      <w:bookmarkStart w:id="215" w:name="_Toc425243363"/>
      <w:r>
        <w:rPr>
          <w:rStyle w:val="CharSClsNo"/>
        </w:rPr>
        <w:t>6</w:t>
      </w:r>
      <w:r>
        <w:t>.</w:t>
      </w:r>
      <w:r>
        <w:tab/>
        <w:t>Notice of self-representation (r. 24)</w:t>
      </w:r>
      <w:bookmarkEnd w:id="214"/>
      <w:bookmarkEnd w:id="21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lawyer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216" w:name="_Toc379204020"/>
      <w:bookmarkStart w:id="217" w:name="_Toc425243364"/>
      <w:r>
        <w:rPr>
          <w:rStyle w:val="CharSClsNo"/>
        </w:rPr>
        <w:t>7</w:t>
      </w:r>
      <w:r>
        <w:t>.</w:t>
      </w:r>
      <w:r>
        <w:tab/>
        <w:t>Appellant’s case (r. 32)</w:t>
      </w:r>
      <w:bookmarkEnd w:id="216"/>
      <w:bookmarkEnd w:id="21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Appellant’s case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r>
              <w:rPr>
                <w:rFonts w:ascii="Times" w:hAnsi="Times"/>
                <w:sz w:val="20"/>
                <w:vertAlign w:val="superscript"/>
              </w:rPr>
              <w:t xml:space="preserve">1 </w:t>
            </w:r>
            <w:r>
              <w:rPr>
                <w:sz w:val="20"/>
              </w:rPr>
              <w:t>Draft appeal book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7 —</w:t>
      </w:r>
    </w:p>
    <w:p>
      <w:pPr>
        <w:pStyle w:val="yMiscellaneousFootnotes"/>
        <w:spacing w:before="0"/>
        <w:ind w:left="425" w:hanging="425"/>
      </w:pPr>
      <w:r>
        <w:t>1.</w:t>
      </w:r>
      <w:r>
        <w:tab/>
        <w:t>Delete this if the appeal is an interlocutory civil appeal or a sentence appeal.</w:t>
      </w:r>
    </w:p>
    <w:p>
      <w:pPr>
        <w:pStyle w:val="yHeading5"/>
        <w:pageBreakBefore/>
        <w:spacing w:after="240"/>
      </w:pPr>
      <w:bookmarkStart w:id="218" w:name="_Toc379204021"/>
      <w:bookmarkStart w:id="219" w:name="_Toc425243365"/>
      <w:r>
        <w:rPr>
          <w:rStyle w:val="CharSClsNo"/>
        </w:rPr>
        <w:t>8</w:t>
      </w:r>
      <w:r>
        <w:t>.</w:t>
      </w:r>
      <w:r>
        <w:tab/>
        <w:t>Respondent’s answer (r. 33)</w:t>
      </w:r>
      <w:bookmarkEnd w:id="218"/>
      <w:bookmarkEnd w:id="21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Respondent’s answer</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8 —</w:t>
      </w:r>
    </w:p>
    <w:p>
      <w:pPr>
        <w:pStyle w:val="yMiscellaneousFootnotes"/>
        <w:spacing w:before="0"/>
        <w:ind w:left="425" w:hanging="425"/>
      </w:pPr>
      <w:r>
        <w:t>1.</w:t>
      </w:r>
      <w:r>
        <w:tab/>
        <w:t>Delete this if the appeal is an interlocutory civil appeal or a sentence appeal.</w:t>
      </w:r>
    </w:p>
    <w:p>
      <w:pPr>
        <w:pStyle w:val="yHeading5"/>
        <w:pageBreakBefore/>
        <w:spacing w:after="240"/>
      </w:pPr>
      <w:bookmarkStart w:id="220" w:name="_Toc379204022"/>
      <w:bookmarkStart w:id="221" w:name="_Toc425243366"/>
      <w:r>
        <w:rPr>
          <w:rStyle w:val="CharSClsNo"/>
        </w:rPr>
        <w:t>9</w:t>
      </w:r>
      <w:r>
        <w:t>.</w:t>
      </w:r>
      <w:r>
        <w:tab/>
        <w:t>Application in an appeal (r. 44)</w:t>
      </w:r>
      <w:bookmarkEnd w:id="220"/>
      <w:bookmarkEnd w:id="22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spacing w:before="0"/>
              <w:rPr>
                <w:sz w:val="20"/>
              </w:rPr>
            </w:pPr>
            <w:r>
              <w:rPr>
                <w:sz w:val="20"/>
              </w:rPr>
              <w:t>Application</w:t>
            </w:r>
            <w:r>
              <w:rPr>
                <w:sz w:val="20"/>
                <w:vertAlign w:val="superscript"/>
              </w:rPr>
              <w:t>1</w:t>
            </w:r>
          </w:p>
        </w:tc>
        <w:tc>
          <w:tcPr>
            <w:tcW w:w="5670" w:type="dxa"/>
            <w:gridSpan w:val="3"/>
          </w:tcPr>
          <w:p>
            <w:pPr>
              <w:pStyle w:val="yTable"/>
              <w:spacing w:before="0"/>
              <w:rPr>
                <w:sz w:val="20"/>
              </w:rPr>
            </w:pPr>
            <w:r>
              <w:rPr>
                <w:sz w:val="20"/>
              </w:rPr>
              <w:t xml:space="preserve">The applicant applies for — </w:t>
            </w:r>
          </w:p>
          <w:p>
            <w:pPr>
              <w:pStyle w:val="yTable"/>
              <w:spacing w:before="0"/>
              <w:rPr>
                <w:sz w:val="20"/>
              </w:rPr>
            </w:pPr>
          </w:p>
        </w:tc>
      </w:tr>
      <w:tr>
        <w:trPr>
          <w:cantSplit/>
        </w:trPr>
        <w:tc>
          <w:tcPr>
            <w:tcW w:w="1418" w:type="dxa"/>
          </w:tcPr>
          <w:p>
            <w:pPr>
              <w:pStyle w:val="yTable"/>
              <w:spacing w:before="0"/>
              <w:rPr>
                <w:sz w:val="20"/>
              </w:rPr>
            </w:pPr>
            <w:r>
              <w:rPr>
                <w:sz w:val="20"/>
              </w:rPr>
              <w:t>Conference between parties</w:t>
            </w:r>
          </w:p>
          <w:p>
            <w:pPr>
              <w:pStyle w:val="yTable"/>
              <w:spacing w:before="0"/>
              <w:rPr>
                <w:sz w:val="20"/>
              </w:rPr>
            </w:pPr>
            <w:r>
              <w:rPr>
                <w:sz w:val="18"/>
              </w:rPr>
              <w:t>[Tick one box]</w:t>
            </w:r>
          </w:p>
        </w:tc>
        <w:tc>
          <w:tcPr>
            <w:tcW w:w="5670" w:type="dxa"/>
            <w:gridSpan w:val="3"/>
          </w:tcPr>
          <w:p>
            <w:pPr>
              <w:pStyle w:val="yTable"/>
              <w:spacing w:before="0"/>
              <w:ind w:left="227" w:hanging="227"/>
              <w:rPr>
                <w:sz w:val="20"/>
              </w:rPr>
            </w:pPr>
            <w:r>
              <w:rPr>
                <w:sz w:val="20"/>
              </w:rPr>
              <w:tab/>
              <w:t>The parties to this application have conferred about the issues giving rise to this application and have not resolved them.</w:t>
            </w:r>
          </w:p>
          <w:p>
            <w:pPr>
              <w:pStyle w:val="yTable"/>
              <w:spacing w:before="0"/>
              <w:ind w:left="227" w:hanging="227"/>
              <w:rPr>
                <w:sz w:val="20"/>
              </w:rPr>
            </w:pPr>
            <w:r>
              <w:rPr>
                <w:sz w:val="20"/>
              </w:rPr>
              <w:tab/>
              <w:t>The parties to this application have not conferred about the issues giving rise to this application because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Signature of applicant or lawyer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418" w:type="dxa"/>
            <w:tcBorders>
              <w:bottom w:val="single" w:sz="4" w:space="0" w:color="auto"/>
            </w:tcBorders>
          </w:tcPr>
          <w:p>
            <w:pPr>
              <w:pStyle w:val="yTable"/>
              <w:spacing w:before="0"/>
              <w:rPr>
                <w:sz w:val="20"/>
              </w:rPr>
            </w:pPr>
            <w:r>
              <w:rPr>
                <w:sz w:val="20"/>
              </w:rPr>
              <w:t>Date:</w:t>
            </w:r>
          </w:p>
        </w:tc>
      </w:tr>
    </w:tbl>
    <w:p>
      <w:pPr>
        <w:pStyle w:val="yMiscellaneousFootnotes"/>
      </w:pPr>
      <w:r>
        <w:t>Notes to Form 9 —</w:t>
      </w:r>
    </w:p>
    <w:p>
      <w:pPr>
        <w:pStyle w:val="yMiscellaneousFootnotes"/>
        <w:spacing w:before="0"/>
        <w:ind w:left="425" w:hanging="425"/>
      </w:pPr>
      <w:r>
        <w:t>1.</w:t>
      </w:r>
      <w:r>
        <w:tab/>
        <w:t>State —</w:t>
      </w:r>
    </w:p>
    <w:p>
      <w:pPr>
        <w:pStyle w:val="yMiscellaneousFootnotes"/>
        <w:numPr>
          <w:ilvl w:val="0"/>
          <w:numId w:val="1"/>
        </w:numPr>
        <w:tabs>
          <w:tab w:val="clear" w:pos="1644"/>
        </w:tabs>
        <w:spacing w:before="0"/>
        <w:ind w:left="822"/>
      </w:pPr>
      <w:r>
        <w:t>the order or orders sought; and</w:t>
      </w:r>
    </w:p>
    <w:p>
      <w:pPr>
        <w:pStyle w:val="yMiscellaneousFootnotes"/>
        <w:numPr>
          <w:ilvl w:val="0"/>
          <w:numId w:val="1"/>
        </w:numPr>
        <w:tabs>
          <w:tab w:val="clear" w:pos="1644"/>
        </w:tabs>
        <w:spacing w:before="0"/>
        <w:ind w:left="822"/>
      </w:pPr>
      <w:r>
        <w:t>the written law and provision under which the application is made.</w:t>
      </w:r>
    </w:p>
    <w:p>
      <w:pPr>
        <w:pStyle w:val="yMiscellaneousFootnotes"/>
        <w:spacing w:before="0"/>
        <w:ind w:left="425" w:hanging="425"/>
      </w:pPr>
      <w:r>
        <w:t>2.</w:t>
      </w:r>
      <w:r>
        <w:tab/>
        <w:t>State the reasons why the parties have not conferred.</w:t>
      </w:r>
    </w:p>
    <w:p>
      <w:pPr>
        <w:pStyle w:val="yHeading5"/>
        <w:spacing w:after="240"/>
      </w:pPr>
      <w:bookmarkStart w:id="222" w:name="_Toc379204023"/>
      <w:bookmarkStart w:id="223" w:name="_Toc425243367"/>
      <w:r>
        <w:rPr>
          <w:rStyle w:val="CharSClsNo"/>
        </w:rPr>
        <w:t>10</w:t>
      </w:r>
      <w:r>
        <w:t>.</w:t>
      </w:r>
      <w:r>
        <w:tab/>
        <w:t>Consent notice (r. 45 &amp; 60)</w:t>
      </w:r>
      <w:bookmarkEnd w:id="222"/>
      <w:bookmarkEnd w:id="22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224" w:name="_Toc379204024"/>
      <w:bookmarkStart w:id="225" w:name="_Toc425243368"/>
      <w:r>
        <w:rPr>
          <w:rStyle w:val="CharSClsNo"/>
        </w:rPr>
        <w:t>11</w:t>
      </w:r>
      <w:r>
        <w:t>.</w:t>
      </w:r>
      <w:r>
        <w:tab/>
        <w:t>Affidavit cover sheet (r. 21(3))</w:t>
      </w:r>
      <w:bookmarkEnd w:id="224"/>
      <w:bookmarkEnd w:id="22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spacing w:before="0"/>
              <w:rPr>
                <w:sz w:val="20"/>
              </w:rPr>
            </w:pPr>
            <w:r>
              <w:rPr>
                <w:sz w:val="20"/>
              </w:rPr>
              <w:t>Index</w:t>
            </w:r>
            <w:r>
              <w:rPr>
                <w:sz w:val="20"/>
                <w:vertAlign w:val="superscript"/>
              </w:rPr>
              <w:t>2</w:t>
            </w:r>
          </w:p>
        </w:tc>
        <w:tc>
          <w:tcPr>
            <w:tcW w:w="4961" w:type="dxa"/>
            <w:gridSpan w:val="2"/>
          </w:tcPr>
          <w:p>
            <w:pPr>
              <w:pStyle w:val="yTable"/>
              <w:tabs>
                <w:tab w:val="left" w:pos="227"/>
              </w:tabs>
              <w:spacing w:before="0"/>
              <w:rPr>
                <w:sz w:val="20"/>
              </w:rPr>
            </w:pPr>
            <w:r>
              <w:rPr>
                <w:sz w:val="20"/>
              </w:rPr>
              <w:t>Contents</w:t>
            </w:r>
          </w:p>
        </w:tc>
        <w:tc>
          <w:tcPr>
            <w:tcW w:w="709" w:type="dxa"/>
          </w:tcPr>
          <w:p>
            <w:pPr>
              <w:pStyle w:val="yTable"/>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spacing w:before="0"/>
              <w:rPr>
                <w:sz w:val="20"/>
              </w:rPr>
            </w:pPr>
          </w:p>
        </w:tc>
        <w:tc>
          <w:tcPr>
            <w:tcW w:w="4961" w:type="dxa"/>
            <w:gridSpan w:val="2"/>
            <w:tcBorders>
              <w:bottom w:val="single" w:sz="4" w:space="0" w:color="auto"/>
            </w:tcBorders>
          </w:tcPr>
          <w:p>
            <w:pPr>
              <w:pStyle w:val="yTable"/>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tabs>
                <w:tab w:val="left" w:pos="227"/>
              </w:tabs>
              <w:spacing w:before="0"/>
              <w:rPr>
                <w:i/>
                <w:sz w:val="20"/>
              </w:rPr>
            </w:pPr>
            <w:r>
              <w:rPr>
                <w:i/>
                <w:sz w:val="20"/>
              </w:rPr>
              <w:t>2.</w:t>
            </w:r>
            <w:r>
              <w:rPr>
                <w:i/>
                <w:sz w:val="20"/>
              </w:rPr>
              <w:tab/>
              <w:t>Annexure VVG 1 — M J Citizen’s birth certificate</w:t>
            </w:r>
          </w:p>
          <w:p>
            <w:pPr>
              <w:pStyle w:val="yTable"/>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tabs>
                <w:tab w:val="left" w:pos="227"/>
              </w:tabs>
              <w:spacing w:before="0"/>
              <w:rPr>
                <w:i/>
                <w:sz w:val="20"/>
              </w:rPr>
            </w:pPr>
            <w:r>
              <w:rPr>
                <w:i/>
                <w:sz w:val="20"/>
              </w:rPr>
              <w:t>1</w:t>
            </w:r>
          </w:p>
          <w:p>
            <w:pPr>
              <w:pStyle w:val="yTable"/>
              <w:tabs>
                <w:tab w:val="left" w:pos="227"/>
              </w:tabs>
              <w:spacing w:before="0"/>
              <w:rPr>
                <w:i/>
                <w:sz w:val="20"/>
              </w:rPr>
            </w:pPr>
            <w:r>
              <w:rPr>
                <w:i/>
                <w:sz w:val="20"/>
              </w:rPr>
              <w:t>7</w:t>
            </w:r>
          </w:p>
          <w:p>
            <w:pPr>
              <w:pStyle w:val="yTable"/>
              <w:tabs>
                <w:tab w:val="left" w:pos="227"/>
              </w:tabs>
              <w:spacing w:before="0"/>
              <w:rPr>
                <w:i/>
                <w:sz w:val="20"/>
              </w:rPr>
            </w:pPr>
            <w:r>
              <w:rPr>
                <w:i/>
                <w:sz w:val="20"/>
              </w:rPr>
              <w:t>8</w:t>
            </w:r>
          </w:p>
        </w:tc>
      </w:tr>
    </w:tbl>
    <w:p>
      <w:pPr>
        <w:pStyle w:val="yMiscellaneousFootnotes"/>
      </w:pPr>
      <w:r>
        <w:t>Notes to Form 11 —</w:t>
      </w:r>
    </w:p>
    <w:p>
      <w:pPr>
        <w:pStyle w:val="yMiscellaneousFootnotes"/>
        <w:spacing w:before="0"/>
        <w:ind w:left="425" w:hanging="425"/>
      </w:pPr>
      <w:r>
        <w:t>1.</w:t>
      </w:r>
      <w:r>
        <w:tab/>
        <w:t>The affidavit must comply with the RSC Order 37.</w:t>
      </w:r>
    </w:p>
    <w:p>
      <w:pPr>
        <w:pStyle w:val="yMiscellaneousFootnotes"/>
        <w:spacing w:before="0"/>
        <w:ind w:left="425" w:hanging="425"/>
      </w:pPr>
      <w:r>
        <w:t>2.</w:t>
      </w:r>
      <w:r>
        <w:tab/>
        <w:t>The index must comply with the RSC Order 37 Rule 2(7). The above form contains in italics an example of an index.</w:t>
      </w:r>
    </w:p>
    <w:p>
      <w:pPr>
        <w:pStyle w:val="yHeading5"/>
        <w:spacing w:after="240"/>
      </w:pPr>
      <w:bookmarkStart w:id="226" w:name="_Toc379204025"/>
      <w:bookmarkStart w:id="227" w:name="_Toc425243369"/>
      <w:r>
        <w:rPr>
          <w:rStyle w:val="CharSClsNo"/>
        </w:rPr>
        <w:t>12</w:t>
      </w:r>
      <w:r>
        <w:t>.</w:t>
      </w:r>
      <w:r>
        <w:tab/>
        <w:t>Request for hearing (r. 19)</w:t>
      </w:r>
      <w:bookmarkEnd w:id="226"/>
      <w:bookmarkEnd w:id="22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Request for hearing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Request</w:t>
            </w:r>
          </w:p>
        </w:tc>
        <w:tc>
          <w:tcPr>
            <w:tcW w:w="5670" w:type="dxa"/>
            <w:gridSpan w:val="3"/>
          </w:tcPr>
          <w:p>
            <w:pPr>
              <w:pStyle w:val="yTable"/>
              <w:spacing w:before="0"/>
              <w:rPr>
                <w:sz w:val="20"/>
              </w:rPr>
            </w:pPr>
            <w:r>
              <w:rPr>
                <w:sz w:val="20"/>
              </w:rPr>
              <w:t>The appellant/respondent requests a hearing of the matter decided provisionally by [</w:t>
            </w:r>
            <w:r>
              <w:rPr>
                <w:i/>
                <w:sz w:val="20"/>
              </w:rPr>
              <w:t>name of judge</w:t>
            </w:r>
            <w:r>
              <w:rPr>
                <w:sz w:val="20"/>
              </w:rPr>
              <w:t>] on [</w:t>
            </w:r>
            <w:r>
              <w:rPr>
                <w:i/>
                <w:sz w:val="20"/>
              </w:rPr>
              <w:t>date</w:t>
            </w:r>
            <w:r>
              <w:rPr>
                <w:sz w:val="20"/>
              </w:rPr>
              <w:t>] in this appeal.</w:t>
            </w:r>
          </w:p>
        </w:tc>
      </w:tr>
      <w:tr>
        <w:trPr>
          <w:cantSplit/>
        </w:trPr>
        <w:tc>
          <w:tcPr>
            <w:tcW w:w="1418" w:type="dxa"/>
            <w:tcBorders>
              <w:bottom w:val="single" w:sz="4" w:space="0" w:color="auto"/>
            </w:tcBorders>
          </w:tcPr>
          <w:p>
            <w:pPr>
              <w:pStyle w:val="yTable"/>
              <w:spacing w:before="0"/>
              <w:rPr>
                <w:sz w:val="20"/>
              </w:rPr>
            </w:pPr>
            <w:r>
              <w:rPr>
                <w:sz w:val="20"/>
              </w:rPr>
              <w:t>Signature of party requesting or lawyer</w:t>
            </w:r>
          </w:p>
        </w:tc>
        <w:tc>
          <w:tcPr>
            <w:tcW w:w="4507" w:type="dxa"/>
            <w:gridSpan w:val="2"/>
            <w:tcBorders>
              <w:bottom w:val="single" w:sz="4" w:space="0" w:color="auto"/>
            </w:tcBorders>
          </w:tcPr>
          <w:p>
            <w:pPr>
              <w:pStyle w:val="yTable"/>
              <w:spacing w:before="0"/>
              <w:rPr>
                <w:sz w:val="20"/>
              </w:rPr>
            </w:pPr>
          </w:p>
          <w:p>
            <w:pPr>
              <w:pStyle w:val="yTable"/>
              <w:spacing w:before="0"/>
              <w:rPr>
                <w:sz w:val="20"/>
              </w:rPr>
            </w:pPr>
            <w:r>
              <w:rPr>
                <w:sz w:val="20"/>
              </w:rPr>
              <w:t>Appellant/Respondent/</w:t>
            </w:r>
          </w:p>
          <w:p>
            <w:pPr>
              <w:pStyle w:val="yTable"/>
              <w:spacing w:before="0"/>
              <w:rPr>
                <w:sz w:val="20"/>
              </w:rPr>
            </w:pPr>
            <w:r>
              <w:rPr>
                <w:sz w:val="20"/>
              </w:rPr>
              <w:t>Appellant’s lawyer/Respondent’s lawyer</w:t>
            </w:r>
          </w:p>
        </w:tc>
        <w:tc>
          <w:tcPr>
            <w:tcW w:w="1163"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228" w:name="_Toc379204026"/>
      <w:bookmarkStart w:id="229" w:name="_Toc425243370"/>
      <w:r>
        <w:rPr>
          <w:rStyle w:val="CharSClsNo"/>
        </w:rPr>
        <w:t>13</w:t>
      </w:r>
      <w:r>
        <w:t>.</w:t>
      </w:r>
      <w:r>
        <w:tab/>
        <w:t>Application for review of single judge’s or registrar’s decision (r. 8 &amp; 15)</w:t>
      </w:r>
      <w:bookmarkEnd w:id="228"/>
      <w:bookmarkEnd w:id="22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lawyer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13 —</w:t>
      </w:r>
    </w:p>
    <w:p>
      <w:pPr>
        <w:pStyle w:val="yMiscellaneousFootnotes"/>
        <w:spacing w:before="0"/>
        <w:ind w:left="425" w:hanging="425"/>
      </w:pPr>
      <w:r>
        <w:t>1.</w:t>
      </w:r>
      <w:r>
        <w:tab/>
        <w:t>Set out the grounds in numbered paragraphs.</w:t>
      </w:r>
    </w:p>
    <w:p>
      <w:pPr>
        <w:pStyle w:val="yHeading5"/>
        <w:pageBreakBefore/>
        <w:spacing w:after="240"/>
      </w:pPr>
      <w:bookmarkStart w:id="230" w:name="_Toc379204027"/>
      <w:bookmarkStart w:id="231" w:name="_Toc425243371"/>
      <w:r>
        <w:rPr>
          <w:rStyle w:val="CharSClsNo"/>
        </w:rPr>
        <w:t>14</w:t>
      </w:r>
      <w:r>
        <w:t>.</w:t>
      </w:r>
      <w:r>
        <w:tab/>
        <w:t>Appeal book, cover page (r. 39(5))</w:t>
      </w:r>
      <w:bookmarkEnd w:id="230"/>
      <w:bookmarkEnd w:id="23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Footnotes"/>
        <w:keepNext/>
      </w:pPr>
      <w:r>
        <w:t>Notes to Form 14 —</w:t>
      </w:r>
    </w:p>
    <w:p>
      <w:pPr>
        <w:pStyle w:val="yMiscellaneousFootnotes"/>
        <w:spacing w:before="0"/>
        <w:ind w:left="425" w:hanging="425"/>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Footnotes"/>
        <w:spacing w:before="0"/>
        <w:ind w:left="425" w:hanging="425"/>
      </w:pPr>
      <w:r>
        <w:t>2.</w:t>
      </w:r>
      <w:r>
        <w:tab/>
        <w:t>If the party is represented by a lawyer, these details must be the lawyer’s. If the party is self-represented, these details must be the party’s personal details.</w:t>
      </w:r>
    </w:p>
    <w:p>
      <w:pPr>
        <w:pStyle w:val="yHeading5"/>
        <w:pageBreakBefore/>
        <w:spacing w:after="240"/>
      </w:pPr>
      <w:bookmarkStart w:id="232" w:name="_Toc379204028"/>
      <w:bookmarkStart w:id="233" w:name="_Toc425243372"/>
      <w:r>
        <w:rPr>
          <w:rStyle w:val="CharSClsNo"/>
        </w:rPr>
        <w:t>15.</w:t>
      </w:r>
      <w:r>
        <w:tab/>
        <w:t>Notice of hearing date (r. 57)</w:t>
      </w:r>
      <w:bookmarkEnd w:id="232"/>
      <w:bookmarkEnd w:id="23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234" w:name="_Toc379204029"/>
      <w:bookmarkStart w:id="235" w:name="_Toc425243373"/>
      <w:r>
        <w:rPr>
          <w:rStyle w:val="CharSClsNo"/>
        </w:rPr>
        <w:t>16</w:t>
      </w:r>
      <w:r>
        <w:t>.</w:t>
      </w:r>
      <w:r>
        <w:tab/>
        <w:t>Discontinuance notice (r. 59)</w:t>
      </w:r>
      <w:bookmarkEnd w:id="234"/>
      <w:bookmarkEnd w:id="23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Discontinuance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The appellant discontinues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236" w:name="_Toc379204030"/>
      <w:bookmarkStart w:id="237" w:name="_Toc425243374"/>
      <w:r>
        <w:rPr>
          <w:rStyle w:val="CharSClsNo"/>
        </w:rPr>
        <w:t>17</w:t>
      </w:r>
      <w:r>
        <w:t>.</w:t>
      </w:r>
      <w:r>
        <w:tab/>
        <w:t>Certificate of conclusion of criminal appeal (r. 62)</w:t>
      </w:r>
      <w:bookmarkEnd w:id="236"/>
      <w:bookmarkEnd w:id="23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pPr>
      <w:r>
        <w:t>Notes to Form 17 —</w:t>
      </w:r>
    </w:p>
    <w:p>
      <w:pPr>
        <w:pStyle w:val="yMiscellaneousFootnotes"/>
        <w:spacing w:before="0"/>
        <w:ind w:left="425" w:hanging="425"/>
      </w:pPr>
      <w:r>
        <w:t>1.</w:t>
      </w:r>
      <w:r>
        <w:tab/>
        <w:t>Do not complete if appeal is discontinued.</w:t>
      </w:r>
    </w:p>
    <w:p>
      <w:pPr>
        <w:pStyle w:val="yMiscellaneousFootnotes"/>
        <w:spacing w:before="0"/>
        <w:ind w:left="425" w:hanging="425"/>
      </w:pPr>
      <w:r>
        <w:t>2.</w:t>
      </w:r>
      <w:r>
        <w:tab/>
        <w:t>Set out the Court of Appeal’s judgment and any consequential orders made or, if the appeal was discontinued, that it was discontinued.</w:t>
      </w:r>
    </w:p>
    <w:p>
      <w:pPr>
        <w:pStyle w:val="yHeading5"/>
        <w:pageBreakBefore/>
        <w:spacing w:after="240"/>
      </w:pPr>
      <w:bookmarkStart w:id="238" w:name="_Toc379204031"/>
      <w:bookmarkStart w:id="239" w:name="_Toc425243375"/>
      <w:r>
        <w:rPr>
          <w:rStyle w:val="CharSClsNo"/>
        </w:rPr>
        <w:t>18</w:t>
      </w:r>
      <w:r>
        <w:t>.</w:t>
      </w:r>
      <w:r>
        <w:tab/>
        <w:t>Referral of legal issue to Court of Appeal (r. 67)</w:t>
      </w:r>
      <w:bookmarkEnd w:id="238"/>
      <w:bookmarkEnd w:id="23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18 —</w:t>
      </w:r>
    </w:p>
    <w:p>
      <w:pPr>
        <w:pStyle w:val="yMiscellaneousFootnotes"/>
        <w:spacing w:before="0"/>
        <w:ind w:left="425" w:hanging="425"/>
      </w:pPr>
      <w:r>
        <w:t>1.</w:t>
      </w:r>
      <w:r>
        <w:tab/>
        <w:t>Set out the nature of the primary court case. Examples:</w:t>
      </w:r>
    </w:p>
    <w:p>
      <w:pPr>
        <w:pStyle w:val="yMiscellaneousFootnotes"/>
        <w:numPr>
          <w:ilvl w:val="0"/>
          <w:numId w:val="1"/>
        </w:numPr>
        <w:tabs>
          <w:tab w:val="clear" w:pos="1644"/>
        </w:tabs>
        <w:spacing w:before="0"/>
        <w:ind w:left="822"/>
      </w:pPr>
      <w:r>
        <w:t>… the accused was indicted on the attached indictment …</w:t>
      </w:r>
    </w:p>
    <w:p>
      <w:pPr>
        <w:pStyle w:val="yMiscellaneousFootnotes"/>
        <w:numPr>
          <w:ilvl w:val="0"/>
          <w:numId w:val="1"/>
        </w:numPr>
        <w:tabs>
          <w:tab w:val="clear" w:pos="1644"/>
        </w:tabs>
        <w:spacing w:before="0"/>
        <w:ind w:left="822"/>
      </w:pPr>
      <w:r>
        <w:t>… the plaintiff sued the defendant in negligence …</w:t>
      </w:r>
    </w:p>
    <w:p>
      <w:pPr>
        <w:pStyle w:val="yMiscellaneousFootnotes"/>
        <w:spacing w:before="0"/>
        <w:ind w:left="425" w:hanging="425"/>
      </w:pPr>
      <w:r>
        <w:t>2.</w:t>
      </w:r>
      <w:r>
        <w:tab/>
        <w:t>State the short title and section of the Act under which the referral is being made.</w:t>
      </w:r>
    </w:p>
    <w:p>
      <w:pPr>
        <w:pStyle w:val="yMiscellaneousFootnotes"/>
        <w:spacing w:before="0"/>
        <w:ind w:left="425" w:hanging="425"/>
      </w:pPr>
      <w:r>
        <w:t>3.</w:t>
      </w:r>
      <w:r>
        <w:tab/>
        <w:t>List the records, documents, transcripts and exhibits to be considered by the Court of Appeal.</w:t>
      </w:r>
    </w:p>
    <w:p>
      <w:pPr>
        <w:pStyle w:val="yScheduleHeading"/>
        <w:sectPr>
          <w:headerReference w:type="even" r:id="rId24"/>
          <w:headerReference w:type="default" r:id="rId25"/>
          <w:foot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241" w:name="_Toc379203922"/>
      <w:bookmarkStart w:id="242" w:name="_Toc379204032"/>
      <w:bookmarkStart w:id="243" w:name="_Toc425243376"/>
      <w:r>
        <w:t>Notes</w:t>
      </w:r>
      <w:bookmarkEnd w:id="241"/>
      <w:bookmarkEnd w:id="242"/>
      <w:bookmarkEnd w:id="243"/>
    </w:p>
    <w:p>
      <w:pPr>
        <w:pStyle w:val="nSubsection"/>
        <w:rPr>
          <w:snapToGrid w:val="0"/>
        </w:rPr>
      </w:pPr>
      <w:r>
        <w:rPr>
          <w:snapToGrid w:val="0"/>
          <w:vertAlign w:val="superscript"/>
        </w:rPr>
        <w:t>1</w:t>
      </w:r>
      <w:r>
        <w:rPr>
          <w:snapToGrid w:val="0"/>
        </w:rPr>
        <w:tab/>
        <w:t xml:space="preserve">This is a compilation of the </w:t>
      </w:r>
      <w:r>
        <w:rPr>
          <w:i/>
        </w:rPr>
        <w:t>Supreme Court (Court of Appeal) Rules 2005.</w:t>
      </w:r>
      <w:r>
        <w:t xml:space="preserve">  </w:t>
      </w:r>
      <w:r>
        <w:rPr>
          <w:snapToGrid w:val="0"/>
        </w:rPr>
        <w:t>The following table contains information about those rules.</w:t>
      </w:r>
    </w:p>
    <w:p>
      <w:pPr>
        <w:pStyle w:val="nHeading3"/>
      </w:pPr>
      <w:bookmarkStart w:id="244" w:name="_Toc379204033"/>
      <w:bookmarkStart w:id="245" w:name="_Toc425243377"/>
      <w:r>
        <w:t>Compilation table</w:t>
      </w:r>
      <w:bookmarkEnd w:id="244"/>
      <w:bookmarkEnd w:id="24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top w:val="single" w:sz="8" w:space="0" w:color="auto"/>
              <w:bottom w:val="single" w:sz="4" w:space="0" w:color="auto"/>
            </w:tcBorders>
          </w:tcPr>
          <w:p>
            <w:pPr>
              <w:pStyle w:val="nTable"/>
            </w:pPr>
            <w:r>
              <w:rPr>
                <w:i/>
              </w:rPr>
              <w:t>Supreme Court (Court of Appeal) Rules 2005</w:t>
            </w:r>
          </w:p>
        </w:tc>
        <w:tc>
          <w:tcPr>
            <w:tcW w:w="1276" w:type="dxa"/>
            <w:tcBorders>
              <w:top w:val="single" w:sz="8" w:space="0" w:color="auto"/>
              <w:bottom w:val="single" w:sz="4" w:space="0" w:color="auto"/>
            </w:tcBorders>
          </w:tcPr>
          <w:p>
            <w:pPr>
              <w:pStyle w:val="nTable"/>
            </w:pPr>
            <w:r>
              <w:t>29 Apr 2005 p. 1803-75</w:t>
            </w:r>
          </w:p>
        </w:tc>
        <w:tc>
          <w:tcPr>
            <w:tcW w:w="2693" w:type="dxa"/>
            <w:tcBorders>
              <w:top w:val="single" w:sz="8" w:space="0" w:color="auto"/>
              <w:bottom w:val="single" w:sz="4" w:space="0" w:color="auto"/>
            </w:tcBorders>
          </w:tcPr>
          <w:p>
            <w:pPr>
              <w:pStyle w:val="nTable"/>
            </w:pPr>
            <w:r>
              <w:t>2 May 2005 (see r. 2)</w:t>
            </w:r>
          </w:p>
        </w:tc>
      </w:tr>
    </w:tbl>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3(1)</w:t>
      </w:r>
    </w:p>
    <w:p>
      <w:pPr>
        <w:pStyle w:val="DefinedTerms"/>
      </w:pPr>
      <w:r>
        <w:t>appeal</w:t>
      </w:r>
      <w:r>
        <w:tab/>
        <w:t>3(1)</w:t>
      </w:r>
    </w:p>
    <w:p>
      <w:pPr>
        <w:pStyle w:val="DefinedTerms"/>
      </w:pPr>
      <w:r>
        <w:t>appeal notice</w:t>
      </w:r>
      <w:r>
        <w:tab/>
        <w:t>3(1)</w:t>
      </w:r>
    </w:p>
    <w:p>
      <w:pPr>
        <w:pStyle w:val="DefinedTerms"/>
      </w:pPr>
      <w:r>
        <w:t>appellant</w:t>
      </w:r>
      <w:r>
        <w:tab/>
        <w:t>3(1)</w:t>
      </w:r>
    </w:p>
    <w:p>
      <w:pPr>
        <w:pStyle w:val="DefinedTerms"/>
      </w:pPr>
      <w:r>
        <w:t>appellant’s grounds of appeal</w:t>
      </w:r>
      <w:r>
        <w:tab/>
        <w:t>33(1)</w:t>
      </w:r>
    </w:p>
    <w:p>
      <w:pPr>
        <w:pStyle w:val="DefinedTerms"/>
      </w:pPr>
      <w:r>
        <w:t>approved mediator</w:t>
      </w:r>
      <w:r>
        <w:tab/>
        <w:t>47(1)</w:t>
      </w:r>
    </w:p>
    <w:p>
      <w:pPr>
        <w:pStyle w:val="DefinedTerms"/>
      </w:pPr>
      <w:r>
        <w:t>CA matter</w:t>
      </w:r>
      <w:r>
        <w:tab/>
        <w:t>3(1)</w:t>
      </w:r>
    </w:p>
    <w:p>
      <w:pPr>
        <w:pStyle w:val="DefinedTerms"/>
      </w:pPr>
      <w:r>
        <w:t>civil appeal</w:t>
      </w:r>
      <w:r>
        <w:tab/>
        <w:t>3(1)</w:t>
      </w:r>
    </w:p>
    <w:p>
      <w:pPr>
        <w:pStyle w:val="DefinedTerms"/>
      </w:pPr>
      <w:r>
        <w:t>concluded</w:t>
      </w:r>
      <w:r>
        <w:tab/>
        <w:t>3(1)</w:t>
      </w:r>
    </w:p>
    <w:p>
      <w:pPr>
        <w:pStyle w:val="DefinedTerms"/>
      </w:pPr>
      <w:r>
        <w:t>costs</w:t>
      </w:r>
      <w:r>
        <w:tab/>
        <w:t>66(1)</w:t>
      </w:r>
    </w:p>
    <w:p>
      <w:pPr>
        <w:pStyle w:val="DefinedTerms"/>
      </w:pPr>
      <w:r>
        <w:t>criminal appeal</w:t>
      </w:r>
      <w:r>
        <w:tab/>
        <w:t>3(1)</w:t>
      </w:r>
    </w:p>
    <w:p>
      <w:pPr>
        <w:pStyle w:val="DefinedTerms"/>
      </w:pPr>
      <w:r>
        <w:t>decision</w:t>
      </w:r>
      <w:r>
        <w:tab/>
        <w:t>3(1)</w:t>
      </w:r>
    </w:p>
    <w:p>
      <w:pPr>
        <w:pStyle w:val="DefinedTerms"/>
      </w:pPr>
      <w:r>
        <w:t>examiner</w:t>
      </w:r>
      <w:r>
        <w:tab/>
        <w:t>55(1)</w:t>
      </w:r>
    </w:p>
    <w:p>
      <w:pPr>
        <w:pStyle w:val="DefinedTerms"/>
      </w:pPr>
      <w:r>
        <w:t>file</w:t>
      </w:r>
      <w:r>
        <w:tab/>
        <w:t>3(1)</w:t>
      </w:r>
    </w:p>
    <w:p>
      <w:pPr>
        <w:pStyle w:val="DefinedTerms"/>
      </w:pPr>
      <w:r>
        <w:t>Form</w:t>
      </w:r>
      <w:r>
        <w:tab/>
        <w:t>3(1)</w:t>
      </w:r>
    </w:p>
    <w:p>
      <w:pPr>
        <w:pStyle w:val="DefinedTerms"/>
      </w:pPr>
      <w:r>
        <w:t>interim order</w:t>
      </w:r>
      <w:r>
        <w:tab/>
        <w:t>3(1)</w:t>
      </w:r>
    </w:p>
    <w:p>
      <w:pPr>
        <w:pStyle w:val="DefinedTerms"/>
      </w:pPr>
      <w:r>
        <w:t>interlocutory civil appeal</w:t>
      </w:r>
      <w:r>
        <w:tab/>
        <w:t>3(1)</w:t>
      </w:r>
    </w:p>
    <w:p>
      <w:pPr>
        <w:pStyle w:val="DefinedTerms"/>
      </w:pPr>
      <w:r>
        <w:t>lawyer</w:t>
      </w:r>
      <w:r>
        <w:tab/>
        <w:t>3(1)</w:t>
      </w:r>
    </w:p>
    <w:p>
      <w:pPr>
        <w:pStyle w:val="DefinedTerms"/>
      </w:pPr>
      <w:r>
        <w:t>legal issue</w:t>
      </w:r>
      <w:r>
        <w:tab/>
        <w:t>67(1)</w:t>
      </w:r>
    </w:p>
    <w:p>
      <w:pPr>
        <w:pStyle w:val="DefinedTerms"/>
      </w:pPr>
      <w:r>
        <w:t>party</w:t>
      </w:r>
      <w:r>
        <w:tab/>
        <w:t>3(1)</w:t>
      </w:r>
    </w:p>
    <w:p>
      <w:pPr>
        <w:pStyle w:val="DefinedTerms"/>
      </w:pPr>
      <w:r>
        <w:t>primary court</w:t>
      </w:r>
      <w:r>
        <w:tab/>
        <w:t>3(1)</w:t>
      </w:r>
    </w:p>
    <w:p>
      <w:pPr>
        <w:pStyle w:val="DefinedTerms"/>
      </w:pPr>
      <w:r>
        <w:t>primary court case</w:t>
      </w:r>
      <w:r>
        <w:tab/>
        <w:t>30(1)</w:t>
      </w:r>
    </w:p>
    <w:p>
      <w:pPr>
        <w:pStyle w:val="DefinedTerms"/>
      </w:pPr>
      <w:r>
        <w:t>primary court’s decision</w:t>
      </w:r>
      <w:r>
        <w:tab/>
        <w:t>3(1)</w:t>
      </w:r>
    </w:p>
    <w:p>
      <w:pPr>
        <w:pStyle w:val="DefinedTerms"/>
      </w:pPr>
      <w:r>
        <w:t>primary court’s transcript</w:t>
      </w:r>
      <w:r>
        <w:tab/>
        <w:t>3(1)</w:t>
      </w:r>
    </w:p>
    <w:p>
      <w:pPr>
        <w:pStyle w:val="DefinedTerms"/>
      </w:pPr>
      <w:r>
        <w:t>provisional decision</w:t>
      </w:r>
      <w:r>
        <w:tab/>
        <w:t>19(2)</w:t>
      </w:r>
    </w:p>
    <w:p>
      <w:pPr>
        <w:pStyle w:val="DefinedTerms"/>
      </w:pPr>
      <w:r>
        <w:t>record</w:t>
      </w:r>
      <w:r>
        <w:tab/>
        <w:t>3(1)</w:t>
      </w:r>
    </w:p>
    <w:p>
      <w:pPr>
        <w:pStyle w:val="DefinedTerms"/>
      </w:pPr>
      <w:r>
        <w:t>refer to</w:t>
      </w:r>
      <w:r>
        <w:tab/>
        <w:t>67(1)</w:t>
      </w:r>
    </w:p>
    <w:p>
      <w:pPr>
        <w:pStyle w:val="DefinedTerms"/>
      </w:pPr>
      <w:r>
        <w:t>registrar</w:t>
      </w:r>
      <w:r>
        <w:tab/>
        <w:t>3(1)</w:t>
      </w:r>
    </w:p>
    <w:p>
      <w:pPr>
        <w:pStyle w:val="DefinedTerms"/>
      </w:pPr>
      <w:r>
        <w:t>reviewable decision</w:t>
      </w:r>
      <w:r>
        <w:tab/>
        <w:t>14</w:t>
      </w:r>
    </w:p>
    <w:p>
      <w:pPr>
        <w:pStyle w:val="DefinedTerms"/>
      </w:pPr>
      <w:r>
        <w:t>RSC</w:t>
      </w:r>
      <w:r>
        <w:tab/>
        <w:t>3(1)</w:t>
      </w:r>
    </w:p>
    <w:p>
      <w:pPr>
        <w:pStyle w:val="DefinedTerms"/>
      </w:pPr>
      <w:r>
        <w:t>sentence appeal</w:t>
      </w:r>
      <w:r>
        <w:tab/>
        <w:t>3(1)</w:t>
      </w:r>
    </w:p>
    <w:p>
      <w:pPr>
        <w:pStyle w:val="DefinedTerms"/>
      </w:pPr>
      <w:r>
        <w:t>single judge</w:t>
      </w:r>
      <w:r>
        <w:tab/>
        <w:t>3(1)</w:t>
      </w:r>
    </w:p>
    <w:p>
      <w:pPr>
        <w:pStyle w:val="DefinedTerms"/>
      </w:pPr>
      <w:r>
        <w:t>urgent appeal order</w:t>
      </w:r>
      <w:r>
        <w:tab/>
        <w:t>3(1)</w:t>
      </w:r>
    </w:p>
    <w:p>
      <w:pPr>
        <w:pStyle w:val="DefinedTerms"/>
      </w:pPr>
      <w:r>
        <w:t>working day</w:t>
      </w:r>
      <w:r>
        <w:tab/>
        <w:t>3(1)</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May 2005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May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May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May 2005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May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May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May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40" w:name="Schedule"/>
    <w:bookmarkEnd w:id="24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46" w:name="Compilation"/>
    <w:bookmarkEnd w:id="24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7" w:name="DefinedTerms"/>
    <w:bookmarkEnd w:id="24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8" w:name="Coversheet"/>
    <w:bookmarkEnd w:id="24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4FB7BCE"/>
    <w:multiLevelType w:val="hybridMultilevel"/>
    <w:tmpl w:val="CBD43C3C"/>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64154"/>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15581</Words>
  <Characters>73077</Characters>
  <Application>Microsoft Office Word</Application>
  <DocSecurity>0</DocSecurity>
  <Lines>2357</Lines>
  <Paragraphs>1672</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Drafting Template (Regs)</vt:lpstr>
      <vt:lpstr>    Part 1 — Preliminary</vt:lpstr>
      <vt:lpstr>    Part 2 — Delegated jurisdiction</vt:lpstr>
      <vt:lpstr>        Division 1 — General</vt:lpstr>
      <vt:lpstr>        Division 2 — Single judge’s jurisdiction</vt:lpstr>
      <vt:lpstr>        Division 3 — Reviewing decisions by a single judge</vt:lpstr>
      <vt:lpstr>        Division 4 — Registrar’s jurisdiction</vt:lpstr>
      <vt:lpstr>        Division 5 — Reviewing decisions by the registrar</vt:lpstr>
      <vt:lpstr>        Division 6 — Miscellaneous</vt:lpstr>
      <vt:lpstr>    Part 3 — Administrative matters</vt:lpstr>
      <vt:lpstr>    Part 4 — Duties of lawyers who act for parties</vt:lpstr>
      <vt:lpstr>    Part 5 — Procedure for appeals</vt:lpstr>
      <vt:lpstr>        Division 1 — General</vt:lpstr>
      <vt:lpstr>        Division 2 — Commencing an appeal</vt:lpstr>
      <vt:lpstr>        Division 3 — Appeal books</vt:lpstr>
      <vt:lpstr>        Division 4 — Matters prior to the hearing of any appeal</vt:lpstr>
      <vt:lpstr>        Division 5 — Matters prior to the hearing of a criminal appeal</vt:lpstr>
      <vt:lpstr>        Division 6 — Hearing an appeal</vt:lpstr>
      <vt:lpstr>        Division 7 — Concluding an appeal</vt:lpstr>
      <vt:lpstr>    Part 6 — Referred and other CA matters</vt:lpstr>
      <vt:lpstr>    Part 7 — Miscellaneous</vt:lpstr>
      <vt:lpstr>    Schedule 1 — Forms</vt:lpstr>
      <vt:lpstr>    </vt:lpstr>
      <vt:lpstr>    Notes</vt:lpstr>
    </vt:vector>
  </TitlesOfParts>
  <Manager/>
  <Company/>
  <LinksUpToDate>false</LinksUpToDate>
  <CharactersWithSpaces>86986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2005 - 00-a0-13</dc:title>
  <dc:subject/>
  <dc:creator/>
  <cp:keywords/>
  <dc:description/>
  <cp:lastModifiedBy>svcMRProcess</cp:lastModifiedBy>
  <cp:revision>4</cp:revision>
  <cp:lastPrinted>2005-04-20T02:58:00Z</cp:lastPrinted>
  <dcterms:created xsi:type="dcterms:W3CDTF">2018-09-16T08:11:00Z</dcterms:created>
  <dcterms:modified xsi:type="dcterms:W3CDTF">2018-09-16T08:11:00Z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CommencementDate">
    <vt:lpwstr>20050502</vt:lpwstr>
  </property>
  <property fmtid="{D5CDD505-2E9C-101B-9397-08002B2CF9AE}" pid="4" name="DocumentType">
    <vt:lpwstr>Reg</vt:lpwstr>
  </property>
  <property fmtid="{D5CDD505-2E9C-101B-9397-08002B2CF9AE}" pid="5" name="OwlsUID">
    <vt:i4>37136</vt:i4>
  </property>
  <property fmtid="{D5CDD505-2E9C-101B-9397-08002B2CF9AE}" pid="6" name="AsAtDate">
    <vt:lpwstr>02 May 2005</vt:lpwstr>
  </property>
  <property fmtid="{D5CDD505-2E9C-101B-9397-08002B2CF9AE}" pid="7" name="Suffix">
    <vt:lpwstr>00-a0-13</vt:lpwstr>
  </property>
</Properties>
</file>