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Minimum Conditions of Employment Act 1993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Minimum Conditions of Employment Act 1993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_Toc90979061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_Toc90979062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_Toc90979063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Crown</w:t>
      </w:r>
      <w:r>
        <w:tab/>
      </w:r>
      <w:r>
        <w:fldChar w:fldCharType="begin"/>
      </w:r>
      <w:r>
        <w:instrText xml:space="preserve"> PAGEREF _Toc90979064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 — Application of minimum conditions</w:t>
      </w:r>
    </w:p>
    <w:p>
      <w:pPr>
        <w:pStyle w:val="TOC8"/>
        <w:rPr>
          <w:rFonts w:asciiTheme="minorHAnsi" w:eastAsiaTheme="minorEastAsia" w:hAnsiTheme="minorHAnsi" w:cstheme="minorBidi"/>
          <w:szCs w:val="22"/>
        </w:rPr>
      </w:pPr>
      <w:r>
        <w:t>5</w:t>
      </w:r>
      <w:r>
        <w:rPr>
          <w:snapToGrid w:val="0"/>
        </w:rPr>
        <w:t>.</w:t>
      </w:r>
      <w:r>
        <w:rPr>
          <w:snapToGrid w:val="0"/>
        </w:rPr>
        <w:tab/>
        <w:t>Minimum conditions implied in awards etc.</w:t>
      </w:r>
      <w:r>
        <w:tab/>
      </w:r>
      <w:r>
        <w:fldChar w:fldCharType="begin"/>
      </w:r>
      <w:r>
        <w:instrText xml:space="preserve"> PAGEREF _Toc90979066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offshore</w:t>
      </w:r>
      <w:r>
        <w:tab/>
      </w:r>
      <w:r>
        <w:fldChar w:fldCharType="begin"/>
      </w:r>
      <w:r>
        <w:instrText xml:space="preserve"> PAGEREF _Toc90979067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Enforcement of minimum conditions</w:t>
      </w:r>
      <w:r>
        <w:tab/>
      </w:r>
      <w:r>
        <w:fldChar w:fldCharType="begin"/>
      </w:r>
      <w:r>
        <w:instrText xml:space="preserve"> PAGEREF _Toc90979068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contracting</w:t>
      </w:r>
      <w:r>
        <w:rPr>
          <w:snapToGrid w:val="0"/>
        </w:rPr>
        <w:noBreakHyphen/>
        <w:t>out of annual leave conditions</w:t>
      </w:r>
      <w:r>
        <w:tab/>
      </w:r>
      <w:r>
        <w:fldChar w:fldCharType="begin"/>
      </w:r>
      <w:r>
        <w:instrText xml:space="preserve"> PAGEREF _Toc90979069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Limited contracting</w:t>
      </w:r>
      <w:r>
        <w:rPr>
          <w:snapToGrid w:val="0"/>
        </w:rPr>
        <w:noBreakHyphen/>
        <w:t>out of minimum wage entitlement</w:t>
      </w:r>
      <w:r>
        <w:tab/>
      </w:r>
      <w:r>
        <w:fldChar w:fldCharType="begin"/>
      </w:r>
      <w:r>
        <w:instrText xml:space="preserve"> PAGEREF _Toc90979070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2A</w:t>
      </w:r>
      <w:r>
        <w:rPr>
          <w:b w:val="0"/>
          <w:noProof/>
        </w:rPr>
        <w:t> </w:t>
      </w:r>
      <w:r>
        <w:rPr>
          <w:noProof/>
        </w:rPr>
        <w:t>— Reasonable hours of work</w:t>
      </w:r>
    </w:p>
    <w:p>
      <w:pPr>
        <w:pStyle w:val="TOC8"/>
        <w:rPr>
          <w:rFonts w:asciiTheme="minorHAnsi" w:eastAsiaTheme="minorEastAsia" w:hAnsiTheme="minorHAnsi" w:cstheme="minorBidi"/>
          <w:szCs w:val="22"/>
        </w:rPr>
      </w:pPr>
      <w:r>
        <w:t>9A.</w:t>
      </w:r>
      <w:r>
        <w:tab/>
        <w:t>Maximum hours of work</w:t>
      </w:r>
      <w:r>
        <w:tab/>
      </w:r>
      <w:r>
        <w:fldChar w:fldCharType="begin"/>
      </w:r>
      <w:r>
        <w:instrText xml:space="preserve"> PAGEREF _Toc90979072 \h </w:instrText>
      </w:r>
      <w:r>
        <w:fldChar w:fldCharType="separate"/>
      </w:r>
      <w:r>
        <w:t>8</w:t>
      </w:r>
      <w:r>
        <w:fldChar w:fldCharType="end"/>
      </w:r>
    </w:p>
    <w:p>
      <w:pPr>
        <w:pStyle w:val="TOC8"/>
        <w:rPr>
          <w:rFonts w:asciiTheme="minorHAnsi" w:eastAsiaTheme="minorEastAsia" w:hAnsiTheme="minorHAnsi" w:cstheme="minorBidi"/>
          <w:szCs w:val="22"/>
        </w:rPr>
      </w:pPr>
      <w:r>
        <w:t>9B.</w:t>
      </w:r>
      <w:r>
        <w:tab/>
        <w:t>Reasonable additional hours</w:t>
      </w:r>
      <w:r>
        <w:tab/>
      </w:r>
      <w:r>
        <w:fldChar w:fldCharType="begin"/>
      </w:r>
      <w:r>
        <w:instrText xml:space="preserve"> PAGEREF _Toc90979073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 — Minimum rates of pay</w:t>
      </w:r>
    </w:p>
    <w:p>
      <w:pPr>
        <w:pStyle w:val="TOC8"/>
        <w:rPr>
          <w:rFonts w:asciiTheme="minorHAnsi" w:eastAsiaTheme="minorEastAsia" w:hAnsiTheme="minorHAnsi" w:cstheme="minorBidi"/>
          <w:szCs w:val="22"/>
        </w:rPr>
      </w:pPr>
      <w:r>
        <w:t>10.</w:t>
      </w:r>
      <w:r>
        <w:tab/>
        <w:t>Entitlement of employees to be paid minimum rate of pay</w:t>
      </w:r>
      <w:r>
        <w:tab/>
      </w:r>
      <w:r>
        <w:fldChar w:fldCharType="begin"/>
      </w:r>
      <w:r>
        <w:instrText xml:space="preserve"> PAGEREF _Toc90979075 \h </w:instrText>
      </w:r>
      <w:r>
        <w:fldChar w:fldCharType="separate"/>
      </w:r>
      <w:r>
        <w:t>10</w:t>
      </w:r>
      <w:r>
        <w:fldChar w:fldCharType="end"/>
      </w:r>
    </w:p>
    <w:p>
      <w:pPr>
        <w:pStyle w:val="TOC8"/>
        <w:rPr>
          <w:rFonts w:asciiTheme="minorHAnsi" w:eastAsiaTheme="minorEastAsia" w:hAnsiTheme="minorHAnsi" w:cstheme="minorBidi"/>
          <w:szCs w:val="22"/>
        </w:rPr>
      </w:pPr>
      <w:r>
        <w:t>11.</w:t>
      </w:r>
      <w:r>
        <w:tab/>
        <w:t>Minimum rate of pay for casual employees includes loading</w:t>
      </w:r>
      <w:r>
        <w:tab/>
      </w:r>
      <w:r>
        <w:fldChar w:fldCharType="begin"/>
      </w:r>
      <w:r>
        <w:instrText xml:space="preserve"> PAGEREF _Toc90979076 \h </w:instrText>
      </w:r>
      <w:r>
        <w:fldChar w:fldCharType="separate"/>
      </w:r>
      <w:r>
        <w:t>10</w:t>
      </w:r>
      <w:r>
        <w:fldChar w:fldCharType="end"/>
      </w:r>
    </w:p>
    <w:p>
      <w:pPr>
        <w:pStyle w:val="TOC8"/>
        <w:rPr>
          <w:rFonts w:asciiTheme="minorHAnsi" w:eastAsiaTheme="minorEastAsia" w:hAnsiTheme="minorHAnsi" w:cstheme="minorBidi"/>
          <w:szCs w:val="22"/>
        </w:rPr>
      </w:pPr>
      <w:r>
        <w:t>12.</w:t>
      </w:r>
      <w:r>
        <w:tab/>
        <w:t>Minimum weekly rate of pay for employees aged 21 or more</w:t>
      </w:r>
      <w:r>
        <w:tab/>
      </w:r>
      <w:r>
        <w:fldChar w:fldCharType="begin"/>
      </w:r>
      <w:r>
        <w:instrText xml:space="preserve"> PAGEREF _Toc90979077 \h </w:instrText>
      </w:r>
      <w:r>
        <w:fldChar w:fldCharType="separate"/>
      </w:r>
      <w:r>
        <w:t>10</w:t>
      </w:r>
      <w:r>
        <w:fldChar w:fldCharType="end"/>
      </w:r>
    </w:p>
    <w:p>
      <w:pPr>
        <w:pStyle w:val="TOC8"/>
        <w:rPr>
          <w:rFonts w:asciiTheme="minorHAnsi" w:eastAsiaTheme="minorEastAsia" w:hAnsiTheme="minorHAnsi" w:cstheme="minorBidi"/>
          <w:szCs w:val="22"/>
        </w:rPr>
      </w:pPr>
      <w:r>
        <w:t>13.</w:t>
      </w:r>
      <w:r>
        <w:tab/>
        <w:t>Minimum weekly rate of pay for employees aged under 21</w:t>
      </w:r>
      <w:r>
        <w:tab/>
      </w:r>
      <w:r>
        <w:fldChar w:fldCharType="begin"/>
      </w:r>
      <w:r>
        <w:instrText xml:space="preserve"> PAGEREF _Toc90979078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14.</w:t>
      </w:r>
      <w:r>
        <w:tab/>
        <w:t>Minimum weekly rates of pay for apprentices</w:t>
      </w:r>
      <w:r>
        <w:tab/>
      </w:r>
      <w:r>
        <w:fldChar w:fldCharType="begin"/>
      </w:r>
      <w:r>
        <w:instrText xml:space="preserve"> PAGEREF _Toc90979079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3A — Other requirements as to pay</w:t>
      </w:r>
    </w:p>
    <w:p>
      <w:pPr>
        <w:pStyle w:val="TOC8"/>
        <w:rPr>
          <w:rFonts w:asciiTheme="minorHAnsi" w:eastAsiaTheme="minorEastAsia" w:hAnsiTheme="minorHAnsi" w:cstheme="minorBidi"/>
          <w:szCs w:val="22"/>
        </w:rPr>
      </w:pPr>
      <w:r>
        <w:t>17A</w:t>
      </w:r>
      <w:r>
        <w:rPr>
          <w:snapToGrid w:val="0"/>
        </w:rPr>
        <w:t>.</w:t>
      </w:r>
      <w:r>
        <w:rPr>
          <w:snapToGrid w:val="0"/>
        </w:rPr>
        <w:tab/>
        <w:t>Terms used</w:t>
      </w:r>
      <w:r>
        <w:tab/>
      </w:r>
      <w:r>
        <w:fldChar w:fldCharType="begin"/>
      </w:r>
      <w:r>
        <w:instrText xml:space="preserve"> PAGEREF _Toc90979081 \h </w:instrText>
      </w:r>
      <w:r>
        <w:fldChar w:fldCharType="separate"/>
      </w:r>
      <w:r>
        <w:t>13</w:t>
      </w:r>
      <w:r>
        <w:fldChar w:fldCharType="end"/>
      </w:r>
    </w:p>
    <w:p>
      <w:pPr>
        <w:pStyle w:val="TOC8"/>
        <w:rPr>
          <w:rFonts w:asciiTheme="minorHAnsi" w:eastAsiaTheme="minorEastAsia" w:hAnsiTheme="minorHAnsi" w:cstheme="minorBidi"/>
          <w:szCs w:val="22"/>
        </w:rPr>
      </w:pPr>
      <w:r>
        <w:t>17B</w:t>
      </w:r>
      <w:r>
        <w:rPr>
          <w:snapToGrid w:val="0"/>
        </w:rPr>
        <w:t xml:space="preserve">. </w:t>
      </w:r>
      <w:r>
        <w:rPr>
          <w:snapToGrid w:val="0"/>
        </w:rPr>
        <w:tab/>
        <w:t>Employee not to be compelled to accept other than money for pay etc.</w:t>
      </w:r>
      <w:r>
        <w:tab/>
      </w:r>
      <w:r>
        <w:fldChar w:fldCharType="begin"/>
      </w:r>
      <w:r>
        <w:instrText xml:space="preserve"> PAGEREF _Toc90979082 \h </w:instrText>
      </w:r>
      <w:r>
        <w:fldChar w:fldCharType="separate"/>
      </w:r>
      <w:r>
        <w:t>13</w:t>
      </w:r>
      <w:r>
        <w:fldChar w:fldCharType="end"/>
      </w:r>
    </w:p>
    <w:p>
      <w:pPr>
        <w:pStyle w:val="TOC8"/>
        <w:rPr>
          <w:rFonts w:asciiTheme="minorHAnsi" w:eastAsiaTheme="minorEastAsia" w:hAnsiTheme="minorHAnsi" w:cstheme="minorBidi"/>
          <w:szCs w:val="22"/>
        </w:rPr>
      </w:pPr>
      <w:r>
        <w:t>17C</w:t>
      </w:r>
      <w:r>
        <w:rPr>
          <w:snapToGrid w:val="0"/>
        </w:rPr>
        <w:t xml:space="preserve">. </w:t>
      </w:r>
      <w:r>
        <w:rPr>
          <w:snapToGrid w:val="0"/>
        </w:rPr>
        <w:tab/>
        <w:t>Employee’s pay, methods of payment</w:t>
      </w:r>
      <w:r>
        <w:tab/>
      </w:r>
      <w:r>
        <w:fldChar w:fldCharType="begin"/>
      </w:r>
      <w:r>
        <w:instrText xml:space="preserve"> PAGEREF _Toc90979083 \h </w:instrText>
      </w:r>
      <w:r>
        <w:fldChar w:fldCharType="separate"/>
      </w:r>
      <w:r>
        <w:t>14</w:t>
      </w:r>
      <w:r>
        <w:fldChar w:fldCharType="end"/>
      </w:r>
    </w:p>
    <w:p>
      <w:pPr>
        <w:pStyle w:val="TOC8"/>
        <w:rPr>
          <w:rFonts w:asciiTheme="minorHAnsi" w:eastAsiaTheme="minorEastAsia" w:hAnsiTheme="minorHAnsi" w:cstheme="minorBidi"/>
          <w:szCs w:val="22"/>
        </w:rPr>
      </w:pPr>
      <w:r>
        <w:t>17D</w:t>
      </w:r>
      <w:r>
        <w:rPr>
          <w:snapToGrid w:val="0"/>
        </w:rPr>
        <w:t xml:space="preserve">. </w:t>
      </w:r>
      <w:r>
        <w:rPr>
          <w:snapToGrid w:val="0"/>
        </w:rPr>
        <w:tab/>
        <w:t>Authorised deductions from pay</w:t>
      </w:r>
      <w:r>
        <w:tab/>
      </w:r>
      <w:r>
        <w:fldChar w:fldCharType="begin"/>
      </w:r>
      <w:r>
        <w:instrText xml:space="preserve"> PAGEREF _Toc90979084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4 — Minimum leave conditions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18</w:t>
      </w:r>
      <w:r>
        <w:rPr>
          <w:snapToGrid w:val="0"/>
        </w:rPr>
        <w:t>.</w:t>
      </w:r>
      <w:r>
        <w:rPr>
          <w:snapToGrid w:val="0"/>
        </w:rPr>
        <w:tab/>
        <w:t>Paid leave, how pay calculated</w:t>
      </w:r>
      <w:r>
        <w:tab/>
      </w:r>
      <w:r>
        <w:fldChar w:fldCharType="begin"/>
      </w:r>
      <w:r>
        <w:instrText xml:space="preserve"> PAGEREF _Toc90979087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Leave for illness or injury or family care</w:t>
      </w:r>
    </w:p>
    <w:p>
      <w:pPr>
        <w:pStyle w:val="TOC8"/>
        <w:rPr>
          <w:rFonts w:asciiTheme="minorHAnsi" w:eastAsiaTheme="minorEastAsia" w:hAnsiTheme="minorHAnsi" w:cstheme="minorBidi"/>
          <w:szCs w:val="22"/>
        </w:rPr>
      </w:pPr>
      <w:r>
        <w:t>19.</w:t>
      </w:r>
      <w:r>
        <w:tab/>
        <w:t>Entitlement to paid leave for illness, injury or family care</w:t>
      </w:r>
      <w:r>
        <w:tab/>
      </w:r>
      <w:r>
        <w:fldChar w:fldCharType="begin"/>
      </w:r>
      <w:r>
        <w:instrText xml:space="preserve"> PAGEREF _Toc90979089 \h </w:instrText>
      </w:r>
      <w:r>
        <w:fldChar w:fldCharType="separate"/>
      </w:r>
      <w:r>
        <w:t>16</w:t>
      </w:r>
      <w:r>
        <w:fldChar w:fldCharType="end"/>
      </w:r>
    </w:p>
    <w:p>
      <w:pPr>
        <w:pStyle w:val="TOC8"/>
        <w:rPr>
          <w:rFonts w:asciiTheme="minorHAnsi" w:eastAsiaTheme="minorEastAsia" w:hAnsiTheme="minorHAnsi" w:cstheme="minorBidi"/>
          <w:szCs w:val="22"/>
        </w:rPr>
      </w:pPr>
      <w:r>
        <w:t>20.</w:t>
      </w:r>
      <w:r>
        <w:tab/>
        <w:t>Employee may use entitlement as paid sick leave</w:t>
      </w:r>
      <w:r>
        <w:tab/>
      </w:r>
      <w:r>
        <w:fldChar w:fldCharType="begin"/>
      </w:r>
      <w:r>
        <w:instrText xml:space="preserve"> PAGEREF _Toc90979090 \h </w:instrText>
      </w:r>
      <w:r>
        <w:fldChar w:fldCharType="separate"/>
      </w:r>
      <w:r>
        <w:t>17</w:t>
      </w:r>
      <w:r>
        <w:fldChar w:fldCharType="end"/>
      </w:r>
    </w:p>
    <w:p>
      <w:pPr>
        <w:pStyle w:val="TOC8"/>
        <w:rPr>
          <w:rFonts w:asciiTheme="minorHAnsi" w:eastAsiaTheme="minorEastAsia" w:hAnsiTheme="minorHAnsi" w:cstheme="minorBidi"/>
          <w:szCs w:val="22"/>
        </w:rPr>
      </w:pPr>
      <w:r>
        <w:t>20A.</w:t>
      </w:r>
      <w:r>
        <w:tab/>
        <w:t>Employee may use entitlement as paid carer’s leave</w:t>
      </w:r>
      <w:r>
        <w:tab/>
      </w:r>
      <w:r>
        <w:fldChar w:fldCharType="begin"/>
      </w:r>
      <w:r>
        <w:instrText xml:space="preserve"> PAGEREF _Toc90979091 \h </w:instrText>
      </w:r>
      <w:r>
        <w:fldChar w:fldCharType="separate"/>
      </w:r>
      <w:r>
        <w:t>17</w:t>
      </w:r>
      <w:r>
        <w:fldChar w:fldCharType="end"/>
      </w:r>
    </w:p>
    <w:p>
      <w:pPr>
        <w:pStyle w:val="TOC8"/>
        <w:rPr>
          <w:rFonts w:asciiTheme="minorHAnsi" w:eastAsiaTheme="minorEastAsia" w:hAnsiTheme="minorHAnsi" w:cstheme="minorBidi"/>
          <w:szCs w:val="22"/>
        </w:rPr>
      </w:pPr>
      <w:r>
        <w:t>20B.</w:t>
      </w:r>
      <w:r>
        <w:tab/>
        <w:t>Unpaid carer’s leave</w:t>
      </w:r>
      <w:r>
        <w:tab/>
      </w:r>
      <w:r>
        <w:fldChar w:fldCharType="begin"/>
      </w:r>
      <w:r>
        <w:instrText xml:space="preserve"> PAGEREF _Toc90979092 \h </w:instrText>
      </w:r>
      <w:r>
        <w:fldChar w:fldCharType="separate"/>
      </w:r>
      <w:r>
        <w:t>18</w:t>
      </w:r>
      <w:r>
        <w:fldChar w:fldCharType="end"/>
      </w:r>
    </w:p>
    <w:p>
      <w:pPr>
        <w:pStyle w:val="TOC8"/>
        <w:rPr>
          <w:rFonts w:asciiTheme="minorHAnsi" w:eastAsiaTheme="minorEastAsia" w:hAnsiTheme="minorHAnsi" w:cstheme="minorBidi"/>
          <w:szCs w:val="22"/>
        </w:rPr>
      </w:pPr>
      <w:r>
        <w:t>21.</w:t>
      </w:r>
      <w:r>
        <w:tab/>
        <w:t>Certain matters as to sick leave not minimum conditions</w:t>
      </w:r>
      <w:r>
        <w:tab/>
      </w:r>
      <w:r>
        <w:fldChar w:fldCharType="begin"/>
      </w:r>
      <w:r>
        <w:instrText xml:space="preserve"> PAGEREF _Toc90979093 \h </w:instrText>
      </w:r>
      <w:r>
        <w:fldChar w:fldCharType="separate"/>
      </w:r>
      <w:r>
        <w:t>18</w:t>
      </w:r>
      <w:r>
        <w:fldChar w:fldCharType="end"/>
      </w:r>
    </w:p>
    <w:p>
      <w:pPr>
        <w:pStyle w:val="TOC8"/>
        <w:rPr>
          <w:rFonts w:asciiTheme="minorHAnsi" w:eastAsiaTheme="minorEastAsia" w:hAnsiTheme="minorHAnsi" w:cstheme="minorBidi"/>
          <w:szCs w:val="22"/>
        </w:rPr>
      </w:pPr>
      <w:r>
        <w:t>22.</w:t>
      </w:r>
      <w:r>
        <w:tab/>
        <w:t>Employee to prove entitlements under this Division</w:t>
      </w:r>
      <w:r>
        <w:tab/>
      </w:r>
      <w:r>
        <w:fldChar w:fldCharType="begin"/>
      </w:r>
      <w:r>
        <w:instrText xml:space="preserve"> PAGEREF _Toc90979094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Annual leave</w:t>
      </w:r>
    </w:p>
    <w:p>
      <w:pPr>
        <w:pStyle w:val="TOC8"/>
        <w:rPr>
          <w:rFonts w:asciiTheme="minorHAnsi" w:eastAsiaTheme="minorEastAsia" w:hAnsiTheme="minorHAnsi" w:cstheme="minorBidi"/>
          <w:szCs w:val="22"/>
        </w:rPr>
      </w:pPr>
      <w:r>
        <w:t>23</w:t>
      </w:r>
      <w:r>
        <w:rPr>
          <w:snapToGrid w:val="0"/>
        </w:rPr>
        <w:t>.</w:t>
      </w:r>
      <w:r>
        <w:rPr>
          <w:snapToGrid w:val="0"/>
        </w:rPr>
        <w:tab/>
        <w:t>Paid annual leave, entitlement to</w:t>
      </w:r>
      <w:r>
        <w:tab/>
      </w:r>
      <w:r>
        <w:fldChar w:fldCharType="begin"/>
      </w:r>
      <w:r>
        <w:instrText xml:space="preserve"> PAGEREF _Toc90979096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Annual leave payments, when to be made</w:t>
      </w:r>
      <w:r>
        <w:tab/>
      </w:r>
      <w:r>
        <w:fldChar w:fldCharType="begin"/>
      </w:r>
      <w:r>
        <w:instrText xml:space="preserve"> PAGEREF _Toc90979097 \h </w:instrText>
      </w:r>
      <w:r>
        <w:fldChar w:fldCharType="separate"/>
      </w:r>
      <w:r>
        <w:t>20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Annual leave, when may be taken</w:t>
      </w:r>
      <w:r>
        <w:tab/>
      </w:r>
      <w:r>
        <w:fldChar w:fldCharType="begin"/>
      </w:r>
      <w:r>
        <w:instrText xml:space="preserve"> PAGEREF _Toc90979098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General Order as to annual leave of no effect</w:t>
      </w:r>
      <w:r>
        <w:tab/>
      </w:r>
      <w:r>
        <w:fldChar w:fldCharType="begin"/>
      </w:r>
      <w:r>
        <w:instrText xml:space="preserve"> PAGEREF _Toc90979099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Bereavement leave</w:t>
      </w:r>
    </w:p>
    <w:p>
      <w:pPr>
        <w:pStyle w:val="TOC8"/>
        <w:rPr>
          <w:rFonts w:asciiTheme="minorHAnsi" w:eastAsiaTheme="minorEastAsia" w:hAnsiTheme="minorHAnsi" w:cstheme="minorBidi"/>
          <w:szCs w:val="22"/>
        </w:rPr>
      </w:pPr>
      <w:r>
        <w:t>27</w:t>
      </w:r>
      <w:r>
        <w:rPr>
          <w:snapToGrid w:val="0"/>
        </w:rPr>
        <w:t>.</w:t>
      </w:r>
      <w:r>
        <w:rPr>
          <w:snapToGrid w:val="0"/>
        </w:rPr>
        <w:tab/>
        <w:t>Paid bereavement leave, entitlement to</w:t>
      </w:r>
      <w:r>
        <w:tab/>
      </w:r>
      <w:r>
        <w:fldChar w:fldCharType="begin"/>
      </w:r>
      <w:r>
        <w:instrText xml:space="preserve"> PAGEREF _Toc90979101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Proof of entitlement may be required</w:t>
      </w:r>
      <w:r>
        <w:tab/>
      </w:r>
      <w:r>
        <w:fldChar w:fldCharType="begin"/>
      </w:r>
      <w:r>
        <w:instrText xml:space="preserve"> PAGEREF _Toc90979102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Public holidays</w:t>
      </w:r>
    </w:p>
    <w:p>
      <w:pPr>
        <w:pStyle w:val="TOC8"/>
        <w:rPr>
          <w:rFonts w:asciiTheme="minorHAnsi" w:eastAsiaTheme="minorEastAsia" w:hAnsiTheme="minorHAnsi" w:cstheme="minorBidi"/>
          <w:szCs w:val="22"/>
        </w:rPr>
      </w:pPr>
      <w:r>
        <w:t>30</w:t>
      </w:r>
      <w:r>
        <w:rPr>
          <w:snapToGrid w:val="0"/>
        </w:rPr>
        <w:t>.</w:t>
      </w:r>
      <w:r>
        <w:rPr>
          <w:snapToGrid w:val="0"/>
        </w:rPr>
        <w:tab/>
        <w:t>Public holidays, entitlement to pay for</w:t>
      </w:r>
      <w:r>
        <w:tab/>
      </w:r>
      <w:r>
        <w:fldChar w:fldCharType="begin"/>
      </w:r>
      <w:r>
        <w:instrText xml:space="preserve"> PAGEREF _Toc90979104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Penalty rates for work on public holidays not a minimum condition</w:t>
      </w:r>
      <w:r>
        <w:tab/>
      </w:r>
      <w:r>
        <w:fldChar w:fldCharType="begin"/>
      </w:r>
      <w:r>
        <w:instrText xml:space="preserve"> PAGEREF _Toc90979105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w:t>
      </w:r>
      <w:r>
        <w:rPr>
          <w:snapToGrid w:val="0"/>
        </w:rPr>
        <w:t> — </w:t>
      </w:r>
      <w:r>
        <w:t>Parental leave</w:t>
      </w:r>
    </w:p>
    <w:p>
      <w:pPr>
        <w:pStyle w:val="TOC8"/>
        <w:rPr>
          <w:rFonts w:asciiTheme="minorHAnsi" w:eastAsiaTheme="minorEastAsia" w:hAnsiTheme="minorHAnsi" w:cstheme="minorBidi"/>
          <w:szCs w:val="22"/>
        </w:rPr>
      </w:pPr>
      <w:r>
        <w:t>32</w:t>
      </w:r>
      <w:r>
        <w:rPr>
          <w:snapToGrid w:val="0"/>
        </w:rPr>
        <w:t>.</w:t>
      </w:r>
      <w:r>
        <w:rPr>
          <w:snapToGrid w:val="0"/>
        </w:rPr>
        <w:tab/>
        <w:t>Terms used</w:t>
      </w:r>
      <w:r>
        <w:tab/>
      </w:r>
      <w:r>
        <w:fldChar w:fldCharType="begin"/>
      </w:r>
      <w:r>
        <w:instrText xml:space="preserve"> PAGEREF _Toc90979107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Unpaid parental leave, entitlement to</w:t>
      </w:r>
      <w:r>
        <w:tab/>
      </w:r>
      <w:r>
        <w:fldChar w:fldCharType="begin"/>
      </w:r>
      <w:r>
        <w:instrText xml:space="preserve"> PAGEREF _Toc90979108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Maternity leave to start 6 weeks before birth</w:t>
      </w:r>
      <w:r>
        <w:tab/>
      </w:r>
      <w:r>
        <w:fldChar w:fldCharType="begin"/>
      </w:r>
      <w:r>
        <w:instrText xml:space="preserve"> PAGEREF _Toc90979109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Employee to prove entitlement to parental leave</w:t>
      </w:r>
      <w:r>
        <w:tab/>
      </w:r>
      <w:r>
        <w:fldChar w:fldCharType="begin"/>
      </w:r>
      <w:r>
        <w:instrText xml:space="preserve"> PAGEREF _Toc90979110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Employee to notify employer of spouse’s parental leave</w:t>
      </w:r>
      <w:r>
        <w:tab/>
      </w:r>
      <w:r>
        <w:fldChar w:fldCharType="begin"/>
      </w:r>
      <w:r>
        <w:instrText xml:space="preserve"> PAGEREF _Toc90979111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Parental leave period, notice to employer of etc.</w:t>
      </w:r>
      <w:r>
        <w:tab/>
      </w:r>
      <w:r>
        <w:fldChar w:fldCharType="begin"/>
      </w:r>
      <w:r>
        <w:instrText xml:space="preserve"> PAGEREF _Toc90979112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Return to work after parental leave</w:t>
      </w:r>
      <w:r>
        <w:tab/>
      </w:r>
      <w:r>
        <w:fldChar w:fldCharType="begin"/>
      </w:r>
      <w:r>
        <w:instrText xml:space="preserve"> PAGEREF _Toc90979113 \h </w:instrText>
      </w:r>
      <w:r>
        <w:fldChar w:fldCharType="separate"/>
      </w:r>
      <w:r>
        <w:t>26</w:t>
      </w:r>
      <w:r>
        <w:fldChar w:fldCharType="end"/>
      </w:r>
    </w:p>
    <w:p>
      <w:pPr>
        <w:pStyle w:val="TOC8"/>
        <w:rPr>
          <w:rFonts w:asciiTheme="minorHAnsi" w:eastAsiaTheme="minorEastAsia" w:hAnsiTheme="minorHAnsi" w:cstheme="minorBidi"/>
          <w:szCs w:val="22"/>
        </w:rPr>
      </w:pPr>
      <w:r>
        <w:t>38A.</w:t>
      </w:r>
      <w:r>
        <w:tab/>
        <w:t>How and when a request or requirement as to parental leave or return to work can be made</w:t>
      </w:r>
      <w:r>
        <w:tab/>
      </w:r>
      <w:r>
        <w:fldChar w:fldCharType="begin"/>
      </w:r>
      <w:r>
        <w:instrText xml:space="preserve"> PAGEREF _Toc90979114 \h </w:instrText>
      </w:r>
      <w:r>
        <w:fldChar w:fldCharType="separate"/>
      </w:r>
      <w:r>
        <w:t>28</w:t>
      </w:r>
      <w:r>
        <w:fldChar w:fldCharType="end"/>
      </w:r>
    </w:p>
    <w:p>
      <w:pPr>
        <w:pStyle w:val="TOC8"/>
        <w:rPr>
          <w:rFonts w:asciiTheme="minorHAnsi" w:eastAsiaTheme="minorEastAsia" w:hAnsiTheme="minorHAnsi" w:cstheme="minorBidi"/>
          <w:szCs w:val="22"/>
        </w:rPr>
      </w:pPr>
      <w:r>
        <w:t>38B.</w:t>
      </w:r>
      <w:r>
        <w:tab/>
        <w:t>Grounds for determining a request or making a requirement as to parental leave or return to work</w:t>
      </w:r>
      <w:r>
        <w:tab/>
      </w:r>
      <w:r>
        <w:fldChar w:fldCharType="begin"/>
      </w:r>
      <w:r>
        <w:instrText xml:space="preserve"> PAGEREF _Toc90979115 \h </w:instrText>
      </w:r>
      <w:r>
        <w:fldChar w:fldCharType="separate"/>
      </w:r>
      <w:r>
        <w:t>29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Effect of parental leave on service record</w:t>
      </w:r>
      <w:r>
        <w:tab/>
      </w:r>
      <w:r>
        <w:fldChar w:fldCharType="begin"/>
      </w:r>
      <w:r>
        <w:instrText xml:space="preserve"> PAGEREF _Toc90979116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5 — Minimum conditions for employment changes with significant effect, and redundancy</w:t>
      </w:r>
    </w:p>
    <w:p>
      <w:pPr>
        <w:pStyle w:val="TOC8"/>
        <w:rPr>
          <w:rFonts w:asciiTheme="minorHAnsi" w:eastAsiaTheme="minorEastAsia" w:hAnsiTheme="minorHAnsi" w:cstheme="minorBidi"/>
          <w:szCs w:val="22"/>
        </w:rPr>
      </w:pPr>
      <w:r>
        <w:t>40</w:t>
      </w:r>
      <w:r>
        <w:rPr>
          <w:snapToGrid w:val="0"/>
        </w:rPr>
        <w:t>.</w:t>
      </w:r>
      <w:r>
        <w:rPr>
          <w:snapToGrid w:val="0"/>
        </w:rPr>
        <w:tab/>
        <w:t>Terms used</w:t>
      </w:r>
      <w:r>
        <w:tab/>
      </w:r>
      <w:r>
        <w:fldChar w:fldCharType="begin"/>
      </w:r>
      <w:r>
        <w:instrText xml:space="preserve"> PAGEREF _Toc90979118 \h </w:instrText>
      </w:r>
      <w:r>
        <w:fldChar w:fldCharType="separate"/>
      </w:r>
      <w:r>
        <w:t>31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Employee to be informed</w:t>
      </w:r>
      <w:r>
        <w:tab/>
      </w:r>
      <w:r>
        <w:fldChar w:fldCharType="begin"/>
      </w:r>
      <w:r>
        <w:instrText xml:space="preserve"> PAGEREF _Toc90979119 \h </w:instrText>
      </w:r>
      <w:r>
        <w:fldChar w:fldCharType="separate"/>
      </w:r>
      <w:r>
        <w:t>32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Employer not bound to disclose prejudicial information</w:t>
      </w:r>
      <w:r>
        <w:tab/>
      </w:r>
      <w:r>
        <w:fldChar w:fldCharType="begin"/>
      </w:r>
      <w:r>
        <w:instrText xml:space="preserve"> PAGEREF _Toc90979120 \h </w:instrText>
      </w:r>
      <w:r>
        <w:fldChar w:fldCharType="separate"/>
      </w:r>
      <w:r>
        <w:t>32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Paid leave for job interviews, entitlement to</w:t>
      </w:r>
      <w:r>
        <w:tab/>
      </w:r>
      <w:r>
        <w:fldChar w:fldCharType="begin"/>
      </w:r>
      <w:r>
        <w:instrText xml:space="preserve"> PAGEREF _Toc90979121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6 — Keeping of records</w:t>
      </w:r>
    </w:p>
    <w:p>
      <w:pPr>
        <w:pStyle w:val="TOC8"/>
        <w:rPr>
          <w:rFonts w:asciiTheme="minorHAnsi" w:eastAsiaTheme="minorEastAsia" w:hAnsiTheme="minorHAnsi" w:cstheme="minorBidi"/>
          <w:szCs w:val="22"/>
        </w:rPr>
      </w:pPr>
      <w:r>
        <w:t>44</w:t>
      </w:r>
      <w:r>
        <w:rPr>
          <w:snapToGrid w:val="0"/>
        </w:rPr>
        <w:t>.</w:t>
      </w:r>
      <w:r>
        <w:rPr>
          <w:snapToGrid w:val="0"/>
        </w:rPr>
        <w:tab/>
        <w:t>Employment records to be kept by employer</w:t>
      </w:r>
      <w:r>
        <w:tab/>
      </w:r>
      <w:r>
        <w:fldChar w:fldCharType="begin"/>
      </w:r>
      <w:r>
        <w:instrText xml:space="preserve"> PAGEREF _Toc90979123 \h </w:instrText>
      </w:r>
      <w:r>
        <w:fldChar w:fldCharType="separate"/>
      </w:r>
      <w:r>
        <w:t>34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Access to records kept by employer</w:t>
      </w:r>
      <w:r>
        <w:tab/>
      </w:r>
      <w:r>
        <w:fldChar w:fldCharType="begin"/>
      </w:r>
      <w:r>
        <w:instrText xml:space="preserve"> PAGEREF _Toc90979124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7 — Regulations</w:t>
      </w:r>
    </w:p>
    <w:p>
      <w:pPr>
        <w:pStyle w:val="TOC8"/>
        <w:rPr>
          <w:rFonts w:asciiTheme="minorHAnsi" w:eastAsiaTheme="minorEastAsia" w:hAnsiTheme="minorHAnsi" w:cstheme="minorBidi"/>
          <w:szCs w:val="22"/>
        </w:rPr>
      </w:pPr>
      <w:r>
        <w:t>47</w:t>
      </w:r>
      <w:r>
        <w:rPr>
          <w:snapToGrid w:val="0"/>
        </w:rPr>
        <w:t>.</w:t>
      </w:r>
      <w:r>
        <w:rPr>
          <w:snapToGrid w:val="0"/>
        </w:rPr>
        <w:tab/>
        <w:t>Regulations</w:t>
      </w:r>
      <w:r>
        <w:tab/>
      </w:r>
      <w:r>
        <w:fldChar w:fldCharType="begin"/>
      </w:r>
      <w:r>
        <w:instrText xml:space="preserve"> PAGEREF _Toc90979126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Public holidays</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_Toc90979129 \h </w:instrText>
      </w:r>
      <w:r>
        <w:fldChar w:fldCharType="separate"/>
      </w:r>
      <w:r>
        <w:t>39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_Toc90979130 \h </w:instrText>
      </w:r>
      <w:r>
        <w:fldChar w:fldCharType="separate"/>
      </w:r>
      <w:r>
        <w:t>41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_Toc90979131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pacing w:before="1080" w:after="1200"/>
      </w:pPr>
      <w:r>
        <w:lastRenderedPageBreak/>
        <w:t>Minimum Conditions of Employment Act 1993</w:t>
      </w:r>
    </w:p>
    <w:p>
      <w:pPr>
        <w:pStyle w:val="LongTitle"/>
        <w:rPr>
          <w:snapToGrid w:val="0"/>
        </w:rPr>
      </w:pPr>
      <w:r>
        <w:rPr>
          <w:snapToGrid w:val="0"/>
        </w:rPr>
        <w:t>An Act to provide for minimum conditions of employment for employees in Western Australia and for related purposes.</w:t>
      </w:r>
    </w:p>
    <w:p>
      <w:pPr>
        <w:pStyle w:val="Heading2"/>
      </w:pPr>
      <w:bookmarkStart w:id="3" w:name="_Toc90973568"/>
      <w:bookmarkStart w:id="4" w:name="_Toc90974559"/>
      <w:bookmarkStart w:id="5" w:name="_Toc9097906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spacing w:before="200"/>
        <w:rPr>
          <w:snapToGrid w:val="0"/>
        </w:rPr>
      </w:pPr>
      <w:bookmarkStart w:id="6" w:name="_Toc90979061"/>
      <w:r>
        <w:rPr>
          <w:rStyle w:val="CharSectno"/>
        </w:rPr>
        <w:t>1</w:t>
      </w:r>
      <w:r>
        <w:rPr>
          <w:snapToGrid w:val="0"/>
        </w:rPr>
        <w:t>.</w:t>
      </w:r>
      <w:r>
        <w:rPr>
          <w:snapToGrid w:val="0"/>
        </w:rPr>
        <w:tab/>
        <w:t>Short title</w:t>
      </w:r>
      <w:bookmarkEnd w:id="6"/>
    </w:p>
    <w:p>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r>
        <w:rPr>
          <w:snapToGrid w:val="0"/>
        </w:rPr>
        <w:t>.</w:t>
      </w:r>
    </w:p>
    <w:p>
      <w:pPr>
        <w:pStyle w:val="Heading5"/>
        <w:rPr>
          <w:snapToGrid w:val="0"/>
        </w:rPr>
      </w:pPr>
      <w:bookmarkStart w:id="7" w:name="_Toc90979062"/>
      <w:r>
        <w:rPr>
          <w:rStyle w:val="CharSectno"/>
        </w:rPr>
        <w:t>2</w:t>
      </w:r>
      <w:r>
        <w:rPr>
          <w:snapToGrid w:val="0"/>
        </w:rPr>
        <w:t>.</w:t>
      </w:r>
      <w:r>
        <w:rPr>
          <w:snapToGrid w:val="0"/>
        </w:rPr>
        <w:tab/>
        <w:t>Commencement</w:t>
      </w:r>
      <w:bookmarkEnd w:id="7"/>
    </w:p>
    <w:p>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vertAlign w:val="superscript"/>
        </w:rPr>
        <w:t> 1</w:t>
      </w:r>
      <w:r>
        <w:rPr>
          <w:snapToGrid w:val="0"/>
        </w:rPr>
        <w:t xml:space="preserve"> comes into operation.</w:t>
      </w:r>
    </w:p>
    <w:p>
      <w:pPr>
        <w:pStyle w:val="Heading5"/>
        <w:rPr>
          <w:snapToGrid w:val="0"/>
        </w:rPr>
      </w:pPr>
      <w:bookmarkStart w:id="8" w:name="_Toc90979063"/>
      <w:r>
        <w:rPr>
          <w:rStyle w:val="CharSectno"/>
        </w:rPr>
        <w:t>3</w:t>
      </w:r>
      <w:r>
        <w:rPr>
          <w:snapToGrid w:val="0"/>
        </w:rPr>
        <w:t>.</w:t>
      </w:r>
      <w:r>
        <w:rPr>
          <w:snapToGrid w:val="0"/>
        </w:rPr>
        <w:tab/>
        <w:t>Terms used</w:t>
      </w:r>
      <w:bookmarkEnd w:id="8"/>
    </w:p>
    <w:p>
      <w:pPr>
        <w:pStyle w:val="Subsection"/>
        <w:spacing w:before="140"/>
        <w:rPr>
          <w:snapToGrid w:val="0"/>
        </w:rPr>
      </w:pPr>
      <w:r>
        <w:rPr>
          <w:snapToGrid w:val="0"/>
        </w:rPr>
        <w:tab/>
        <w:t>(1)</w:t>
      </w:r>
      <w:r>
        <w:rPr>
          <w:snapToGrid w:val="0"/>
        </w:rPr>
        <w:tab/>
        <w:t>In this Act, unless the contrary intention appears —</w:t>
      </w:r>
    </w:p>
    <w:p>
      <w:pPr>
        <w:pStyle w:val="Defstart"/>
        <w:spacing w:before="70"/>
      </w:pPr>
      <w:r>
        <w:rPr>
          <w:b/>
        </w:rPr>
        <w:tab/>
      </w:r>
      <w:r>
        <w:rPr>
          <w:rStyle w:val="CharDefText"/>
        </w:rPr>
        <w:t>annual leave</w:t>
      </w:r>
      <w:r>
        <w:t xml:space="preserve"> means leave provided for under Division 3 of Part 4;</w:t>
      </w:r>
    </w:p>
    <w:p>
      <w:pPr>
        <w:pStyle w:val="Defstart"/>
        <w:spacing w:before="70"/>
      </w:pPr>
      <w:r>
        <w:tab/>
      </w:r>
      <w:r>
        <w:rPr>
          <w:rStyle w:val="CharDefText"/>
        </w:rPr>
        <w:t>apprentice</w:t>
      </w:r>
      <w:r>
        <w:t xml:space="preserve"> has the same meaning as in the IR Act;</w:t>
      </w:r>
    </w:p>
    <w:p>
      <w:pPr>
        <w:pStyle w:val="Defstart"/>
        <w:spacing w:before="70"/>
      </w:pPr>
      <w:r>
        <w:rPr>
          <w:b/>
        </w:rPr>
        <w:tab/>
      </w:r>
      <w:r>
        <w:rPr>
          <w:rStyle w:val="CharDefText"/>
        </w:rPr>
        <w:t>award</w:t>
      </w:r>
      <w:r>
        <w:t xml:space="preserve"> means an award made under the IR Act and includes any industrial agreement or order of the Commission under that Act;</w:t>
      </w:r>
    </w:p>
    <w:p>
      <w:pPr>
        <w:pStyle w:val="Defstart"/>
        <w:spacing w:before="70"/>
      </w:pPr>
      <w:r>
        <w:rPr>
          <w:b/>
        </w:rPr>
        <w:tab/>
      </w:r>
      <w:r>
        <w:rPr>
          <w:rStyle w:val="CharDefText"/>
        </w:rPr>
        <w:t>carer’s leave</w:t>
      </w:r>
      <w:r>
        <w:t xml:space="preserve"> means leave taken by an employee to provide care or support to a member of the employee’s family or household who requires care or support because of —</w:t>
      </w:r>
    </w:p>
    <w:p>
      <w:pPr>
        <w:pStyle w:val="Defpara"/>
        <w:spacing w:before="60"/>
      </w:pPr>
      <w:r>
        <w:tab/>
        <w:t>(a)</w:t>
      </w:r>
      <w:r>
        <w:tab/>
        <w:t>an illness or injury of the member; or</w:t>
      </w:r>
    </w:p>
    <w:p>
      <w:pPr>
        <w:pStyle w:val="Defpara"/>
        <w:spacing w:before="60"/>
      </w:pPr>
      <w:r>
        <w:tab/>
        <w:t>(b)</w:t>
      </w:r>
      <w:r>
        <w:tab/>
        <w:t>an unexpected emergency affecting the member;</w:t>
      </w:r>
    </w:p>
    <w:p>
      <w:pPr>
        <w:pStyle w:val="Defstart"/>
        <w:spacing w:before="70"/>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spacing w:before="70"/>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spacing w:before="70"/>
      </w:pPr>
      <w:r>
        <w:rPr>
          <w:b/>
        </w:rPr>
        <w:tab/>
      </w:r>
      <w:r>
        <w:rPr>
          <w:rStyle w:val="CharDefText"/>
        </w:rPr>
        <w:t>employer</w:t>
      </w:r>
      <w:r>
        <w:t xml:space="preserve"> has the same meaning as in the IR Act;</w:t>
      </w:r>
    </w:p>
    <w:p>
      <w:pPr>
        <w:pStyle w:val="Defstart"/>
        <w:spacing w:before="70"/>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lastRenderedPageBreak/>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member of the employee’s family or household</w:t>
      </w:r>
      <w:r>
        <w:t xml:space="preserve"> means any of the following persons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w:t>
      </w:r>
    </w:p>
    <w:p>
      <w:pPr>
        <w:pStyle w:val="Defpara"/>
      </w:pPr>
      <w:r>
        <w:tab/>
        <w:t>(aa)</w:t>
      </w:r>
      <w:r>
        <w:tab/>
        <w:t>the requirement as to maximum hours of work prescribed by Part 2A; or</w:t>
      </w:r>
    </w:p>
    <w:p>
      <w:pPr>
        <w:pStyle w:val="Defpara"/>
      </w:pPr>
      <w:r>
        <w:tab/>
        <w:t>(a)</w:t>
      </w:r>
      <w:r>
        <w:tab/>
        <w:t>a rate of pay prescribed by this Act; or</w:t>
      </w:r>
    </w:p>
    <w:p>
      <w:pPr>
        <w:pStyle w:val="Defpara"/>
      </w:pPr>
      <w:r>
        <w:tab/>
        <w:t>(b)</w:t>
      </w:r>
      <w:r>
        <w:tab/>
        <w:t>a requirement as to pay, other than a rate of pay, prescribed by this Act; or</w:t>
      </w:r>
    </w:p>
    <w:p>
      <w:pPr>
        <w:pStyle w:val="Defpara"/>
      </w:pPr>
      <w:r>
        <w:tab/>
        <w:t>(c)</w:t>
      </w:r>
      <w:r>
        <w:tab/>
        <w:t>a condition for leave prescribed by this Act; or</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lastRenderedPageBreak/>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w:t>
      </w:r>
    </w:p>
    <w:p>
      <w:pPr>
        <w:pStyle w:val="Indenta"/>
        <w:rPr>
          <w:snapToGrid w:val="0"/>
        </w:rPr>
      </w:pPr>
      <w:r>
        <w:rPr>
          <w:snapToGrid w:val="0"/>
        </w:rPr>
        <w:tab/>
        <w:t>(a)</w:t>
      </w:r>
      <w:r>
        <w:rPr>
          <w:snapToGrid w:val="0"/>
        </w:rPr>
        <w:tab/>
        <w:t>to remain at his or her place of employment; or</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No. 79 of 1995 s. 66(5); No. 58 of 1996 s. 4; No. 20 of 2002 s. 22(2), 164 and 177; No. 28 of 2003 s. 144; No. 36 of 2006 s. 4 and 28; No. 22 of 2008 Sch. 3 cl. 36; No. 44 of 2008 s. 56(2)-(3); No. 35 of 2010 s. 116; amended: Gazette 15 Aug 2003 p. 3688.]</w:t>
      </w:r>
    </w:p>
    <w:p>
      <w:pPr>
        <w:pStyle w:val="Heading5"/>
        <w:rPr>
          <w:snapToGrid w:val="0"/>
        </w:rPr>
      </w:pPr>
      <w:bookmarkStart w:id="9" w:name="_Toc90979064"/>
      <w:r>
        <w:rPr>
          <w:rStyle w:val="CharSectno"/>
        </w:rPr>
        <w:t>4</w:t>
      </w:r>
      <w:r>
        <w:rPr>
          <w:snapToGrid w:val="0"/>
        </w:rPr>
        <w:t>.</w:t>
      </w:r>
      <w:r>
        <w:rPr>
          <w:snapToGrid w:val="0"/>
        </w:rPr>
        <w:tab/>
        <w:t>Application to Crown</w:t>
      </w:r>
      <w:bookmarkEnd w:id="9"/>
    </w:p>
    <w:p>
      <w:pPr>
        <w:pStyle w:val="Subsection"/>
        <w:rPr>
          <w:snapToGrid w:val="0"/>
        </w:rPr>
      </w:pPr>
      <w:r>
        <w:rPr>
          <w:snapToGrid w:val="0"/>
        </w:rPr>
        <w:tab/>
      </w:r>
      <w:r>
        <w:rPr>
          <w:snapToGrid w:val="0"/>
        </w:rPr>
        <w:tab/>
        <w:t>This Act binds the Crown.</w:t>
      </w:r>
    </w:p>
    <w:p>
      <w:pPr>
        <w:pStyle w:val="Heading2"/>
      </w:pPr>
      <w:bookmarkStart w:id="10" w:name="_Toc90973573"/>
      <w:bookmarkStart w:id="11" w:name="_Toc90974564"/>
      <w:bookmarkStart w:id="12" w:name="_Toc90979065"/>
      <w:r>
        <w:rPr>
          <w:rStyle w:val="CharPartNo"/>
        </w:rPr>
        <w:lastRenderedPageBreak/>
        <w:t>Part 2</w:t>
      </w:r>
      <w:r>
        <w:rPr>
          <w:rStyle w:val="CharDivNo"/>
        </w:rPr>
        <w:t> </w:t>
      </w:r>
      <w:r>
        <w:t>—</w:t>
      </w:r>
      <w:r>
        <w:rPr>
          <w:rStyle w:val="CharDivText"/>
        </w:rPr>
        <w:t> </w:t>
      </w:r>
      <w:r>
        <w:rPr>
          <w:rStyle w:val="CharPartText"/>
        </w:rPr>
        <w:t>Application of minimum conditions</w:t>
      </w:r>
      <w:bookmarkEnd w:id="10"/>
      <w:bookmarkEnd w:id="11"/>
      <w:bookmarkEnd w:id="12"/>
    </w:p>
    <w:p>
      <w:pPr>
        <w:pStyle w:val="Heading5"/>
        <w:rPr>
          <w:snapToGrid w:val="0"/>
        </w:rPr>
      </w:pPr>
      <w:bookmarkStart w:id="13" w:name="_Toc90979066"/>
      <w:r>
        <w:rPr>
          <w:rStyle w:val="CharSectno"/>
        </w:rPr>
        <w:t>5</w:t>
      </w:r>
      <w:r>
        <w:rPr>
          <w:snapToGrid w:val="0"/>
        </w:rPr>
        <w:t>.</w:t>
      </w:r>
      <w:r>
        <w:rPr>
          <w:snapToGrid w:val="0"/>
        </w:rPr>
        <w:tab/>
        <w:t>Minimum conditions implied in awards etc.</w:t>
      </w:r>
      <w:bookmarkEnd w:id="13"/>
    </w:p>
    <w:p>
      <w:pPr>
        <w:pStyle w:val="Subsection"/>
        <w:rPr>
          <w:snapToGrid w:val="0"/>
        </w:rPr>
      </w:pPr>
      <w:r>
        <w:rPr>
          <w:snapToGrid w:val="0"/>
        </w:rPr>
        <w:tab/>
        <w:t>(1)</w:t>
      </w:r>
      <w:r>
        <w:rPr>
          <w:snapToGrid w:val="0"/>
        </w:rPr>
        <w:tab/>
        <w:t>The minimum conditions of employment extend to and bind all employees and employers and are taken to be implied —</w:t>
      </w:r>
    </w:p>
    <w:p>
      <w:pPr>
        <w:pStyle w:val="Ednotepara"/>
        <w:spacing w:before="80"/>
      </w:pPr>
      <w:r>
        <w:tab/>
        <w:t>[(a)</w:t>
      </w:r>
      <w:r>
        <w:tab/>
        <w:t>deleted]</w:t>
      </w:r>
    </w:p>
    <w:p>
      <w:pPr>
        <w:pStyle w:val="Indenta"/>
      </w:pPr>
      <w:r>
        <w:tab/>
        <w:t>(aa)</w:t>
      </w:r>
      <w:r>
        <w:tab/>
        <w:t>in any employer</w:t>
      </w:r>
      <w:r>
        <w:noBreakHyphen/>
        <w:t>employee agreement; or</w:t>
      </w:r>
    </w:p>
    <w:p>
      <w:pPr>
        <w:pStyle w:val="Indenta"/>
        <w:rPr>
          <w:snapToGrid w:val="0"/>
        </w:rPr>
      </w:pPr>
      <w:r>
        <w:rPr>
          <w:snapToGrid w:val="0"/>
        </w:rPr>
        <w:tab/>
        <w:t>(b)</w:t>
      </w:r>
      <w:r>
        <w:rPr>
          <w:snapToGrid w:val="0"/>
        </w:rPr>
        <w:tab/>
        <w:t>in any award; or</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No. 20 of 2002 s. 22(3)</w:t>
      </w:r>
      <w:r>
        <w:noBreakHyphen/>
        <w:t>(4); amended: Gazette 15 Aug 2003 p. 3688.]</w:t>
      </w:r>
    </w:p>
    <w:p>
      <w:pPr>
        <w:pStyle w:val="Heading5"/>
        <w:rPr>
          <w:snapToGrid w:val="0"/>
        </w:rPr>
      </w:pPr>
      <w:bookmarkStart w:id="14" w:name="_Toc90979067"/>
      <w:r>
        <w:rPr>
          <w:rStyle w:val="CharSectno"/>
        </w:rPr>
        <w:t>6</w:t>
      </w:r>
      <w:r>
        <w:rPr>
          <w:snapToGrid w:val="0"/>
        </w:rPr>
        <w:t>.</w:t>
      </w:r>
      <w:r>
        <w:rPr>
          <w:snapToGrid w:val="0"/>
        </w:rPr>
        <w:tab/>
        <w:t>Application offshore</w:t>
      </w:r>
      <w:bookmarkEnd w:id="14"/>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lastRenderedPageBreak/>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No. 20 of 2002 s. 177.]</w:t>
      </w:r>
    </w:p>
    <w:p>
      <w:pPr>
        <w:pStyle w:val="Heading5"/>
        <w:rPr>
          <w:snapToGrid w:val="0"/>
        </w:rPr>
      </w:pPr>
      <w:bookmarkStart w:id="15" w:name="_Toc90979068"/>
      <w:r>
        <w:rPr>
          <w:rStyle w:val="CharSectno"/>
        </w:rPr>
        <w:t>7</w:t>
      </w:r>
      <w:r>
        <w:rPr>
          <w:snapToGrid w:val="0"/>
        </w:rPr>
        <w:t>.</w:t>
      </w:r>
      <w:r>
        <w:rPr>
          <w:snapToGrid w:val="0"/>
        </w:rPr>
        <w:tab/>
        <w:t>Enforcement of minimum conditions</w:t>
      </w:r>
      <w:bookmarkEnd w:id="15"/>
    </w:p>
    <w:p>
      <w:pPr>
        <w:pStyle w:val="Subsection"/>
        <w:rPr>
          <w:snapToGrid w:val="0"/>
        </w:rPr>
      </w:pPr>
      <w:r>
        <w:rPr>
          <w:snapToGrid w:val="0"/>
        </w:rPr>
        <w:tab/>
      </w:r>
      <w:r>
        <w:rPr>
          <w:snapToGrid w:val="0"/>
        </w:rPr>
        <w:tab/>
        <w:t>A minimum condition of employment may be enforced —</w:t>
      </w:r>
    </w:p>
    <w:p>
      <w:pPr>
        <w:pStyle w:val="Ednotepara"/>
      </w:pPr>
      <w:r>
        <w:tab/>
        <w:t>[(a)</w:t>
      </w:r>
      <w:r>
        <w:tab/>
        <w:t>deleted]</w:t>
      </w:r>
    </w:p>
    <w:p>
      <w:pPr>
        <w:pStyle w:val="Indenta"/>
      </w:pPr>
      <w:r>
        <w:tab/>
        <w:t>(aa)</w:t>
      </w:r>
      <w:r>
        <w:tab/>
        <w:t>where the condition is implied in an employer</w:t>
      </w:r>
      <w:r>
        <w:noBreakHyphen/>
        <w:t>employee agreement, under section 83 of the IR Act; or</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No. 20 of 2002 s. 22(5) and 177; No. 50 of 2016 s. 19; amended: Gazette 15 Aug 2003 p. 3688.]</w:t>
      </w:r>
    </w:p>
    <w:p>
      <w:pPr>
        <w:pStyle w:val="Heading5"/>
        <w:rPr>
          <w:snapToGrid w:val="0"/>
        </w:rPr>
      </w:pPr>
      <w:bookmarkStart w:id="16" w:name="_Toc90979069"/>
      <w:r>
        <w:rPr>
          <w:rStyle w:val="CharSectno"/>
        </w:rPr>
        <w:t>8</w:t>
      </w:r>
      <w:r>
        <w:rPr>
          <w:snapToGrid w:val="0"/>
        </w:rPr>
        <w:t>.</w:t>
      </w:r>
      <w:r>
        <w:rPr>
          <w:snapToGrid w:val="0"/>
        </w:rPr>
        <w:tab/>
        <w:t>Limited contracting</w:t>
      </w:r>
      <w:r>
        <w:rPr>
          <w:snapToGrid w:val="0"/>
        </w:rPr>
        <w:noBreakHyphen/>
        <w:t>out of annual leave conditions</w:t>
      </w:r>
      <w:bookmarkEnd w:id="16"/>
    </w:p>
    <w:p>
      <w:pPr>
        <w:pStyle w:val="Subsection"/>
      </w:pPr>
      <w:r>
        <w:tab/>
        <w:t>(1)</w:t>
      </w:r>
      <w:r>
        <w:tab/>
        <w:t>After the completion of any year of service by an employee, the employer and employee may agree that the employee may forgo taking annual leave to which the employee became entitled in relation to that year of service if —</w:t>
      </w:r>
    </w:p>
    <w:p>
      <w:pPr>
        <w:pStyle w:val="Indenta"/>
      </w:pPr>
      <w:r>
        <w:tab/>
        <w:t>(a)</w:t>
      </w:r>
      <w:r>
        <w:tab/>
        <w:t>the amount of annual leave forgone does not exceed 50% of the whole amount of annual leave to which the employee became entitled in relation to that year of service; and</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lastRenderedPageBreak/>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The employer must not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No. 20 of 2002 s. 165(1) and (2); No. 36 of 2006 s. 29.]</w:t>
      </w:r>
    </w:p>
    <w:p>
      <w:pPr>
        <w:pStyle w:val="Heading5"/>
        <w:rPr>
          <w:snapToGrid w:val="0"/>
        </w:rPr>
      </w:pPr>
      <w:bookmarkStart w:id="17" w:name="_Toc90979070"/>
      <w:r>
        <w:rPr>
          <w:rStyle w:val="CharSectno"/>
        </w:rPr>
        <w:t>9</w:t>
      </w:r>
      <w:r>
        <w:rPr>
          <w:snapToGrid w:val="0"/>
        </w:rPr>
        <w:t>.</w:t>
      </w:r>
      <w:r>
        <w:rPr>
          <w:snapToGrid w:val="0"/>
        </w:rPr>
        <w:tab/>
        <w:t>Limited contracting</w:t>
      </w:r>
      <w:r>
        <w:rPr>
          <w:snapToGrid w:val="0"/>
        </w:rPr>
        <w:noBreakHyphen/>
        <w:t>out of minimum wage entitlement</w:t>
      </w:r>
      <w:bookmarkEnd w:id="17"/>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No. 20 of 2002 s. 166.]</w:t>
      </w:r>
    </w:p>
    <w:p>
      <w:pPr>
        <w:pStyle w:val="Heading2"/>
      </w:pPr>
      <w:bookmarkStart w:id="18" w:name="_Toc90973579"/>
      <w:bookmarkStart w:id="19" w:name="_Toc90974570"/>
      <w:bookmarkStart w:id="20" w:name="_Toc90979071"/>
      <w:r>
        <w:rPr>
          <w:rStyle w:val="CharPartNo"/>
        </w:rPr>
        <w:lastRenderedPageBreak/>
        <w:t>Part 2A</w:t>
      </w:r>
      <w:r>
        <w:rPr>
          <w:b w:val="0"/>
        </w:rPr>
        <w:t> </w:t>
      </w:r>
      <w:r>
        <w:t xml:space="preserve">— </w:t>
      </w:r>
      <w:r>
        <w:rPr>
          <w:rStyle w:val="CharPartText"/>
        </w:rPr>
        <w:t>Reasonable hours of work</w:t>
      </w:r>
      <w:bookmarkEnd w:id="18"/>
      <w:bookmarkEnd w:id="19"/>
      <w:bookmarkEnd w:id="20"/>
    </w:p>
    <w:p>
      <w:pPr>
        <w:pStyle w:val="Footnoteheading"/>
      </w:pPr>
      <w:r>
        <w:tab/>
        <w:t>[Heading inserted: No. 36 of 2006 s. 5.]</w:t>
      </w:r>
    </w:p>
    <w:p>
      <w:pPr>
        <w:pStyle w:val="Heading5"/>
      </w:pPr>
      <w:bookmarkStart w:id="21" w:name="_Toc90979072"/>
      <w:r>
        <w:rPr>
          <w:rStyle w:val="CharSectno"/>
        </w:rPr>
        <w:t>9A</w:t>
      </w:r>
      <w:r>
        <w:t>.</w:t>
      </w:r>
      <w:r>
        <w:tab/>
        <w:t>Maximum hours of work</w:t>
      </w:r>
      <w:bookmarkEnd w:id="21"/>
    </w:p>
    <w:p>
      <w:pPr>
        <w:pStyle w:val="Subsection"/>
      </w:pPr>
      <w:r>
        <w:tab/>
        <w:t>(1)</w:t>
      </w:r>
      <w:r>
        <w:tab/>
        <w:t>An employee is not to be required or requested by an employer to work more than —</w:t>
      </w:r>
    </w:p>
    <w:p>
      <w:pPr>
        <w:pStyle w:val="Indenta"/>
      </w:pPr>
      <w:r>
        <w:tab/>
        <w:t>(a)</w:t>
      </w:r>
      <w:r>
        <w:tab/>
        <w:t>either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In this section —</w:t>
      </w:r>
    </w:p>
    <w:p>
      <w:pPr>
        <w:pStyle w:val="Defstart"/>
      </w:pPr>
      <w:r>
        <w:rPr>
          <w:b/>
        </w:rPr>
        <w:tab/>
      </w:r>
      <w:r>
        <w:rPr>
          <w:rStyle w:val="CharDefText"/>
        </w:rPr>
        <w:t>authorised leave</w:t>
      </w:r>
      <w:r>
        <w:t xml:space="preserve"> means leave, or an absence, whether paid or unpaid, that is authorised —</w:t>
      </w:r>
    </w:p>
    <w:p>
      <w:pPr>
        <w:pStyle w:val="Defpara"/>
      </w:pPr>
      <w:r>
        <w:tab/>
        <w:t>(a)</w:t>
      </w:r>
      <w:r>
        <w:tab/>
        <w:t>by an employee’s employer; or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lastRenderedPageBreak/>
        <w:tab/>
      </w:r>
      <w:r>
        <w:rPr>
          <w:rStyle w:val="CharDefText"/>
        </w:rPr>
        <w:t>industrial instrument</w:t>
      </w:r>
      <w:r>
        <w:t xml:space="preserve"> means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No. 36 of 2006 s. 5.]</w:t>
      </w:r>
    </w:p>
    <w:p>
      <w:pPr>
        <w:pStyle w:val="Heading5"/>
      </w:pPr>
      <w:bookmarkStart w:id="22" w:name="_Toc90979073"/>
      <w:r>
        <w:rPr>
          <w:rStyle w:val="CharSectno"/>
        </w:rPr>
        <w:t>9B</w:t>
      </w:r>
      <w:r>
        <w:t>.</w:t>
      </w:r>
      <w:r>
        <w:tab/>
        <w:t>Reasonable additional hours</w:t>
      </w:r>
      <w:bookmarkEnd w:id="22"/>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The factors that may be taken into account include, but are not limited to, the following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No. 36 of 2006 s. 5.]</w:t>
      </w:r>
    </w:p>
    <w:p>
      <w:pPr>
        <w:pStyle w:val="Heading2"/>
      </w:pPr>
      <w:bookmarkStart w:id="23" w:name="_Toc90973582"/>
      <w:bookmarkStart w:id="24" w:name="_Toc90974573"/>
      <w:bookmarkStart w:id="25" w:name="_Toc90979074"/>
      <w:r>
        <w:rPr>
          <w:rStyle w:val="CharPartNo"/>
        </w:rPr>
        <w:lastRenderedPageBreak/>
        <w:t>Part 3</w:t>
      </w:r>
      <w:r>
        <w:t xml:space="preserve"> — </w:t>
      </w:r>
      <w:r>
        <w:rPr>
          <w:rStyle w:val="CharPartText"/>
        </w:rPr>
        <w:t>Minimum rates of pay</w:t>
      </w:r>
      <w:bookmarkEnd w:id="23"/>
      <w:bookmarkEnd w:id="24"/>
      <w:bookmarkEnd w:id="25"/>
    </w:p>
    <w:p>
      <w:pPr>
        <w:pStyle w:val="Footnoteheading"/>
        <w:tabs>
          <w:tab w:val="left" w:pos="851"/>
        </w:tabs>
      </w:pPr>
      <w:r>
        <w:tab/>
        <w:t>[Heading inserted: No. 20 of 2002 s. 167.]</w:t>
      </w:r>
    </w:p>
    <w:p>
      <w:pPr>
        <w:pStyle w:val="Heading5"/>
      </w:pPr>
      <w:bookmarkStart w:id="26" w:name="_Toc90979075"/>
      <w:r>
        <w:rPr>
          <w:rStyle w:val="CharSectno"/>
        </w:rPr>
        <w:t>10</w:t>
      </w:r>
      <w:r>
        <w:t>.</w:t>
      </w:r>
      <w:r>
        <w:tab/>
        <w:t>Entitlement of employees to be paid minimum rate of pay</w:t>
      </w:r>
      <w:bookmarkEnd w:id="26"/>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No. 20 of 2002 s. 167.]</w:t>
      </w:r>
    </w:p>
    <w:p>
      <w:pPr>
        <w:pStyle w:val="Heading5"/>
      </w:pPr>
      <w:bookmarkStart w:id="27" w:name="_Toc90979076"/>
      <w:r>
        <w:rPr>
          <w:rStyle w:val="CharSectno"/>
        </w:rPr>
        <w:t>11</w:t>
      </w:r>
      <w:r>
        <w:t>.</w:t>
      </w:r>
      <w:r>
        <w:tab/>
        <w:t>Minimum rate of pay for casual employees includes loading</w:t>
      </w:r>
      <w:bookmarkEnd w:id="27"/>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In subsection (1) —</w:t>
      </w:r>
    </w:p>
    <w:p>
      <w:pPr>
        <w:pStyle w:val="Defstart"/>
      </w:pPr>
      <w:r>
        <w:tab/>
      </w:r>
      <w:r>
        <w:rPr>
          <w:rStyle w:val="CharDefText"/>
        </w:rPr>
        <w:t>prescribed percentage</w:t>
      </w:r>
      <w:r>
        <w:t xml:space="preserve"> means —</w:t>
      </w:r>
    </w:p>
    <w:p>
      <w:pPr>
        <w:pStyle w:val="Defpara"/>
      </w:pPr>
      <w:r>
        <w:tab/>
        <w:t>(a)</w:t>
      </w:r>
      <w:r>
        <w:tab/>
        <w:t>20%; or</w:t>
      </w:r>
    </w:p>
    <w:p>
      <w:pPr>
        <w:pStyle w:val="Defpara"/>
      </w:pPr>
      <w:r>
        <w:tab/>
        <w:t>(b)</w:t>
      </w:r>
      <w:r>
        <w:tab/>
        <w:t>if a percentage higher than 20% is set by order under section 51I of the IR Act for the purposes of this section, that percentage.</w:t>
      </w:r>
    </w:p>
    <w:p>
      <w:pPr>
        <w:pStyle w:val="Footnotesection"/>
        <w:ind w:left="0" w:firstLine="0"/>
      </w:pPr>
      <w:r>
        <w:tab/>
        <w:t>[Section 11 inserted: No. 20 of 2002 s. 167.]</w:t>
      </w:r>
    </w:p>
    <w:p>
      <w:pPr>
        <w:pStyle w:val="Heading5"/>
      </w:pPr>
      <w:bookmarkStart w:id="28" w:name="_Toc90979077"/>
      <w:r>
        <w:rPr>
          <w:rStyle w:val="CharSectno"/>
        </w:rPr>
        <w:t>12</w:t>
      </w:r>
      <w:r>
        <w:t>.</w:t>
      </w:r>
      <w:r>
        <w:tab/>
        <w:t>Minimum weekly rate of pay for employees aged 21 or more</w:t>
      </w:r>
      <w:bookmarkEnd w:id="28"/>
    </w:p>
    <w:p>
      <w:pPr>
        <w:pStyle w:val="Subsection"/>
      </w:pPr>
      <w:r>
        <w:tab/>
      </w:r>
      <w:r>
        <w:tab/>
        <w:t>The minimum weekly rate of pay applicable at a particular time to an employee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No. 20 of 2002 s. 167; amended: No. 36 of 2006 s. 21(2); No. 44 of 2008 s. 56(4).]</w:t>
      </w:r>
    </w:p>
    <w:p>
      <w:pPr>
        <w:pStyle w:val="Heading5"/>
      </w:pPr>
      <w:bookmarkStart w:id="29" w:name="_Toc90979078"/>
      <w:r>
        <w:rPr>
          <w:rStyle w:val="CharSectno"/>
        </w:rPr>
        <w:lastRenderedPageBreak/>
        <w:t>13</w:t>
      </w:r>
      <w:r>
        <w:t>.</w:t>
      </w:r>
      <w:r>
        <w:tab/>
        <w:t>Minimum weekly rate of pay for employees aged under 21</w:t>
      </w:r>
      <w:bookmarkEnd w:id="29"/>
    </w:p>
    <w:p>
      <w:pPr>
        <w:pStyle w:val="Subsection"/>
      </w:pPr>
      <w:r>
        <w:tab/>
      </w:r>
      <w:r>
        <w:tab/>
        <w:t>The minimum weekly rate of pay applicable at a particular time to an employee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tc>
          <w:tcPr>
            <w:tcW w:w="1802" w:type="dxa"/>
          </w:tcPr>
          <w:p>
            <w:pPr>
              <w:pStyle w:val="TableAm"/>
              <w:spacing w:before="0"/>
              <w:rPr>
                <w:b/>
              </w:rPr>
            </w:pPr>
            <w:r>
              <w:rPr>
                <w:b/>
              </w:rPr>
              <w:t>Age</w:t>
            </w:r>
          </w:p>
        </w:tc>
        <w:tc>
          <w:tcPr>
            <w:tcW w:w="3301" w:type="dxa"/>
          </w:tcPr>
          <w:p>
            <w:pPr>
              <w:pStyle w:val="TableAm"/>
              <w:spacing w:before="0"/>
              <w:rPr>
                <w:b/>
              </w:rPr>
            </w:pPr>
            <w:r>
              <w:rPr>
                <w:b/>
              </w:rPr>
              <w:t>Percentage of 21 year old rate</w:t>
            </w:r>
          </w:p>
        </w:tc>
      </w:tr>
      <w:tr>
        <w:tc>
          <w:tcPr>
            <w:tcW w:w="1802" w:type="dxa"/>
          </w:tcPr>
          <w:p>
            <w:pPr>
              <w:pStyle w:val="TableAm"/>
              <w:spacing w:before="60"/>
            </w:pPr>
            <w:r>
              <w:t>20 years</w:t>
            </w:r>
          </w:p>
        </w:tc>
        <w:tc>
          <w:tcPr>
            <w:tcW w:w="3301" w:type="dxa"/>
          </w:tcPr>
          <w:p>
            <w:pPr>
              <w:pStyle w:val="TableAm"/>
              <w:spacing w:before="60"/>
            </w:pPr>
            <w:r>
              <w:t>90%</w:t>
            </w:r>
          </w:p>
        </w:tc>
      </w:tr>
      <w:tr>
        <w:tc>
          <w:tcPr>
            <w:tcW w:w="1802" w:type="dxa"/>
          </w:tcPr>
          <w:p>
            <w:pPr>
              <w:pStyle w:val="TableAm"/>
              <w:spacing w:before="60"/>
            </w:pPr>
            <w:r>
              <w:t>19 years</w:t>
            </w:r>
          </w:p>
        </w:tc>
        <w:tc>
          <w:tcPr>
            <w:tcW w:w="3301" w:type="dxa"/>
          </w:tcPr>
          <w:p>
            <w:pPr>
              <w:pStyle w:val="TableAm"/>
              <w:spacing w:before="60"/>
            </w:pPr>
            <w:r>
              <w:t>80%</w:t>
            </w:r>
          </w:p>
        </w:tc>
      </w:tr>
      <w:tr>
        <w:tc>
          <w:tcPr>
            <w:tcW w:w="1802" w:type="dxa"/>
          </w:tcPr>
          <w:p>
            <w:pPr>
              <w:pStyle w:val="TableAm"/>
              <w:spacing w:before="60"/>
            </w:pPr>
            <w:r>
              <w:t>18 years</w:t>
            </w:r>
          </w:p>
        </w:tc>
        <w:tc>
          <w:tcPr>
            <w:tcW w:w="3301" w:type="dxa"/>
          </w:tcPr>
          <w:p>
            <w:pPr>
              <w:pStyle w:val="TableAm"/>
              <w:spacing w:before="60"/>
            </w:pPr>
            <w:r>
              <w:t>70%</w:t>
            </w:r>
          </w:p>
        </w:tc>
      </w:tr>
      <w:tr>
        <w:tc>
          <w:tcPr>
            <w:tcW w:w="1802" w:type="dxa"/>
          </w:tcPr>
          <w:p>
            <w:pPr>
              <w:pStyle w:val="TableAm"/>
              <w:spacing w:before="60"/>
            </w:pPr>
            <w:r>
              <w:t>17 years</w:t>
            </w:r>
          </w:p>
        </w:tc>
        <w:tc>
          <w:tcPr>
            <w:tcW w:w="3301" w:type="dxa"/>
          </w:tcPr>
          <w:p>
            <w:pPr>
              <w:pStyle w:val="TableAm"/>
              <w:spacing w:before="60"/>
            </w:pPr>
            <w:r>
              <w:t>60%</w:t>
            </w:r>
          </w:p>
        </w:tc>
      </w:tr>
      <w:tr>
        <w:tc>
          <w:tcPr>
            <w:tcW w:w="1802" w:type="dxa"/>
          </w:tcPr>
          <w:p>
            <w:pPr>
              <w:pStyle w:val="TableAm"/>
              <w:spacing w:before="60"/>
            </w:pPr>
            <w:r>
              <w:t>16 years</w:t>
            </w:r>
          </w:p>
        </w:tc>
        <w:tc>
          <w:tcPr>
            <w:tcW w:w="3301" w:type="dxa"/>
          </w:tcPr>
          <w:p>
            <w:pPr>
              <w:pStyle w:val="TableAm"/>
              <w:spacing w:before="60"/>
            </w:pPr>
            <w:r>
              <w:t>50%</w:t>
            </w:r>
          </w:p>
        </w:tc>
      </w:tr>
      <w:tr>
        <w:tc>
          <w:tcPr>
            <w:tcW w:w="1802" w:type="dxa"/>
          </w:tcPr>
          <w:p>
            <w:pPr>
              <w:pStyle w:val="TableAm"/>
              <w:spacing w:before="60"/>
            </w:pPr>
            <w:r>
              <w:t>Under 16 years</w:t>
            </w:r>
          </w:p>
        </w:tc>
        <w:tc>
          <w:tcPr>
            <w:tcW w:w="3301" w:type="dxa"/>
          </w:tcPr>
          <w:p>
            <w:pPr>
              <w:pStyle w:val="TableAm"/>
              <w:spacing w:before="60"/>
            </w:pPr>
            <w:r>
              <w:t>40%</w:t>
            </w:r>
          </w:p>
        </w:tc>
      </w:tr>
    </w:tbl>
    <w:p>
      <w:pPr>
        <w:pStyle w:val="Footnotesection"/>
        <w:ind w:left="960" w:hanging="960"/>
      </w:pPr>
      <w:r>
        <w:tab/>
        <w:t>[Section 13 inserted: No. 20 of 2002 s. 167; amended: No. 44 of 2008 s. 56(5).]</w:t>
      </w:r>
    </w:p>
    <w:p>
      <w:pPr>
        <w:pStyle w:val="Heading5"/>
      </w:pPr>
      <w:bookmarkStart w:id="30" w:name="_Toc90979079"/>
      <w:r>
        <w:rPr>
          <w:rStyle w:val="CharSectno"/>
        </w:rPr>
        <w:t>14</w:t>
      </w:r>
      <w:r>
        <w:t>.</w:t>
      </w:r>
      <w:r>
        <w:tab/>
        <w:t>Minimum weekly rates of pay for apprentices</w:t>
      </w:r>
      <w:bookmarkEnd w:id="30"/>
    </w:p>
    <w:p>
      <w:pPr>
        <w:pStyle w:val="Subsection"/>
      </w:pPr>
      <w:r>
        <w:tab/>
      </w:r>
      <w:r>
        <w:tab/>
        <w:t>The minimum weekly rate of pay applicable at a particular time to an employee who is an apprentice —</w:t>
      </w:r>
    </w:p>
    <w:p>
      <w:pPr>
        <w:pStyle w:val="Indenta"/>
      </w:pPr>
      <w:r>
        <w:tab/>
        <w:t>(a)</w:t>
      </w:r>
      <w:r>
        <w:tab/>
        <w:t>in the case where a rate is in effect at that time under section 50A(1)(a)(ii) of the IR Act in relation to the class of apprentice to which the employee belongs, is that rate;</w:t>
      </w:r>
    </w:p>
    <w:p>
      <w:pPr>
        <w:pStyle w:val="Indenta"/>
      </w:pPr>
      <w:r>
        <w:tab/>
        <w:t>(b)</w:t>
      </w:r>
      <w:r>
        <w:tab/>
        <w:t>otherwise, is the rate in effect at that time under section 50A(1)(a)(ii) of the IR Act in relation to apprentices generally.</w:t>
      </w:r>
    </w:p>
    <w:p>
      <w:pPr>
        <w:pStyle w:val="Footnotesection"/>
      </w:pPr>
      <w:r>
        <w:tab/>
        <w:t>[Section 14 inserted: No. 20 of 2002 s. 167; amended: No. 36 of 2006 s. 21(3).]</w:t>
      </w:r>
    </w:p>
    <w:p>
      <w:pPr>
        <w:pStyle w:val="Ednotesection"/>
        <w:rPr>
          <w:i w:val="0"/>
        </w:rPr>
      </w:pPr>
      <w:r>
        <w:lastRenderedPageBreak/>
        <w:t>[</w:t>
      </w:r>
      <w:r>
        <w:rPr>
          <w:b/>
        </w:rPr>
        <w:t>15.</w:t>
      </w:r>
      <w:r>
        <w:tab/>
        <w:t>Deleted: No. 44 of 2008 s. 56(6).]</w:t>
      </w:r>
    </w:p>
    <w:p>
      <w:pPr>
        <w:pStyle w:val="Ednotesection"/>
        <w:rPr>
          <w:i w:val="0"/>
        </w:rPr>
      </w:pPr>
      <w:r>
        <w:t>[</w:t>
      </w:r>
      <w:r>
        <w:rPr>
          <w:b/>
        </w:rPr>
        <w:t>16</w:t>
      </w:r>
      <w:r>
        <w:rPr>
          <w:b/>
        </w:rPr>
        <w:noBreakHyphen/>
        <w:t>17.</w:t>
      </w:r>
      <w:r>
        <w:tab/>
        <w:t>Deleted: No. 20 of 2002 s. 167.]</w:t>
      </w:r>
    </w:p>
    <w:p>
      <w:pPr>
        <w:pStyle w:val="Heading2"/>
      </w:pPr>
      <w:bookmarkStart w:id="31" w:name="_Toc90973588"/>
      <w:bookmarkStart w:id="32" w:name="_Toc90974579"/>
      <w:bookmarkStart w:id="33" w:name="_Toc90979080"/>
      <w:r>
        <w:rPr>
          <w:rStyle w:val="CharPartNo"/>
        </w:rPr>
        <w:lastRenderedPageBreak/>
        <w:t>Part 3A</w:t>
      </w:r>
      <w:r>
        <w:rPr>
          <w:rStyle w:val="CharDivNo"/>
        </w:rPr>
        <w:t> </w:t>
      </w:r>
      <w:r>
        <w:t>—</w:t>
      </w:r>
      <w:r>
        <w:rPr>
          <w:rStyle w:val="CharDivText"/>
        </w:rPr>
        <w:t> </w:t>
      </w:r>
      <w:r>
        <w:rPr>
          <w:rStyle w:val="CharPartText"/>
        </w:rPr>
        <w:t>Other requirements as to pay</w:t>
      </w:r>
      <w:bookmarkEnd w:id="31"/>
      <w:bookmarkEnd w:id="32"/>
      <w:bookmarkEnd w:id="33"/>
    </w:p>
    <w:p>
      <w:pPr>
        <w:pStyle w:val="Footnoteheading"/>
        <w:rPr>
          <w:snapToGrid w:val="0"/>
        </w:rPr>
      </w:pPr>
      <w:r>
        <w:rPr>
          <w:snapToGrid w:val="0"/>
        </w:rPr>
        <w:tab/>
        <w:t>[Heading inserted: No. 79 of 1995 s. 66(6).]</w:t>
      </w:r>
    </w:p>
    <w:p>
      <w:pPr>
        <w:pStyle w:val="Heading5"/>
        <w:rPr>
          <w:snapToGrid w:val="0"/>
        </w:rPr>
      </w:pPr>
      <w:bookmarkStart w:id="34" w:name="_Toc90979081"/>
      <w:r>
        <w:rPr>
          <w:rStyle w:val="CharSectno"/>
        </w:rPr>
        <w:t>17A</w:t>
      </w:r>
      <w:r>
        <w:rPr>
          <w:snapToGrid w:val="0"/>
        </w:rPr>
        <w:t>.</w:t>
      </w:r>
      <w:r>
        <w:rPr>
          <w:snapToGrid w:val="0"/>
        </w:rPr>
        <w:tab/>
        <w:t>Terms used</w:t>
      </w:r>
      <w:bookmarkEnd w:id="34"/>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No. 79 of 1995 s. 66(6).]</w:t>
      </w:r>
    </w:p>
    <w:p>
      <w:pPr>
        <w:pStyle w:val="Heading5"/>
        <w:rPr>
          <w:snapToGrid w:val="0"/>
        </w:rPr>
      </w:pPr>
      <w:bookmarkStart w:id="35" w:name="_Toc90979082"/>
      <w:r>
        <w:rPr>
          <w:rStyle w:val="CharSectno"/>
        </w:rPr>
        <w:t>17B</w:t>
      </w:r>
      <w:r>
        <w:rPr>
          <w:snapToGrid w:val="0"/>
        </w:rPr>
        <w:t xml:space="preserve">. </w:t>
      </w:r>
      <w:r>
        <w:rPr>
          <w:snapToGrid w:val="0"/>
        </w:rPr>
        <w:tab/>
        <w:t>Employee not to be compelled to accept other than money for pay etc.</w:t>
      </w:r>
      <w:bookmarkEnd w:id="35"/>
    </w:p>
    <w:p>
      <w:pPr>
        <w:pStyle w:val="Subsection"/>
        <w:rPr>
          <w:snapToGrid w:val="0"/>
        </w:rPr>
      </w:pPr>
      <w:r>
        <w:rPr>
          <w:snapToGrid w:val="0"/>
        </w:rPr>
        <w:tab/>
        <w:t>(1)</w:t>
      </w:r>
      <w:r>
        <w:rPr>
          <w:snapToGrid w:val="0"/>
        </w:rPr>
        <w:tab/>
        <w:t>An employee is not to be directly or indirectly compelled by an employer to accept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lastRenderedPageBreak/>
        <w:tab/>
        <w:t>(b)</w:t>
      </w:r>
      <w:r>
        <w:rPr>
          <w:snapToGrid w:val="0"/>
        </w:rPr>
        <w:tab/>
        <w:t>any amount that the employee has been compelled to spend contrary to subsection (2) is to be treated as if it had never been paid to the employee.</w:t>
      </w:r>
    </w:p>
    <w:p>
      <w:pPr>
        <w:pStyle w:val="Footnotesection"/>
      </w:pPr>
      <w:r>
        <w:tab/>
        <w:t>[Section 17B inserted: No. 79 of 1995 s. 66(6); amended: No. 20 of 2002 s. 22(7); amended: Gazette 15 Aug 2003 p. 3688.]</w:t>
      </w:r>
    </w:p>
    <w:p>
      <w:pPr>
        <w:pStyle w:val="Heading5"/>
        <w:rPr>
          <w:snapToGrid w:val="0"/>
        </w:rPr>
      </w:pPr>
      <w:bookmarkStart w:id="36" w:name="_Toc90979083"/>
      <w:r>
        <w:rPr>
          <w:rStyle w:val="CharSectno"/>
        </w:rPr>
        <w:t>17C</w:t>
      </w:r>
      <w:r>
        <w:rPr>
          <w:snapToGrid w:val="0"/>
        </w:rPr>
        <w:t xml:space="preserve">. </w:t>
      </w:r>
      <w:r>
        <w:rPr>
          <w:snapToGrid w:val="0"/>
        </w:rPr>
        <w:tab/>
        <w:t>Employee’s pay, methods of payment</w:t>
      </w:r>
      <w:bookmarkEnd w:id="36"/>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w:t>
      </w:r>
    </w:p>
    <w:p>
      <w:pPr>
        <w:pStyle w:val="Indenta"/>
        <w:rPr>
          <w:snapToGrid w:val="0"/>
        </w:rPr>
      </w:pPr>
      <w:r>
        <w:rPr>
          <w:snapToGrid w:val="0"/>
        </w:rPr>
        <w:tab/>
        <w:t>(a)</w:t>
      </w:r>
      <w:r>
        <w:rPr>
          <w:snapToGrid w:val="0"/>
        </w:rPr>
        <w:tab/>
        <w:t>in cash; or</w:t>
      </w:r>
    </w:p>
    <w:p>
      <w:pPr>
        <w:pStyle w:val="Indenta"/>
        <w:rPr>
          <w:snapToGrid w:val="0"/>
        </w:rPr>
      </w:pPr>
      <w:r>
        <w:rPr>
          <w:snapToGrid w:val="0"/>
        </w:rPr>
        <w:tab/>
        <w:t>(b)</w:t>
      </w:r>
      <w:r>
        <w:rPr>
          <w:snapToGrid w:val="0"/>
        </w:rPr>
        <w:tab/>
        <w:t>by cheque, postal order or money order payable to the employee; or</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No. 79 of 1995 s. 66(6); amended: No. 20 of 2002 s. 22(7); amended: Gazette 15 Aug 2003 p. 3688.]</w:t>
      </w:r>
    </w:p>
    <w:p>
      <w:pPr>
        <w:pStyle w:val="Heading5"/>
        <w:rPr>
          <w:snapToGrid w:val="0"/>
        </w:rPr>
      </w:pPr>
      <w:bookmarkStart w:id="37" w:name="_Toc90979084"/>
      <w:r>
        <w:rPr>
          <w:rStyle w:val="CharSectno"/>
        </w:rPr>
        <w:t>17D</w:t>
      </w:r>
      <w:r>
        <w:rPr>
          <w:snapToGrid w:val="0"/>
        </w:rPr>
        <w:t xml:space="preserve">. </w:t>
      </w:r>
      <w:r>
        <w:rPr>
          <w:snapToGrid w:val="0"/>
        </w:rPr>
        <w:tab/>
        <w:t>Authorised deductions from pay</w:t>
      </w:r>
      <w:bookmarkEnd w:id="37"/>
    </w:p>
    <w:p>
      <w:pPr>
        <w:pStyle w:val="Subsection"/>
        <w:rPr>
          <w:snapToGrid w:val="0"/>
        </w:rPr>
      </w:pPr>
      <w:r>
        <w:rPr>
          <w:snapToGrid w:val="0"/>
        </w:rPr>
        <w:tab/>
        <w:t>(1)</w:t>
      </w:r>
      <w:r>
        <w:rPr>
          <w:snapToGrid w:val="0"/>
        </w:rPr>
        <w:tab/>
        <w:t>Despite section 17C, an employer may deduct from an employee’s pay —</w:t>
      </w:r>
    </w:p>
    <w:p>
      <w:pPr>
        <w:pStyle w:val="Indenta"/>
        <w:rPr>
          <w:snapToGrid w:val="0"/>
        </w:rPr>
      </w:pPr>
      <w:r>
        <w:rPr>
          <w:snapToGrid w:val="0"/>
        </w:rPr>
        <w:tab/>
        <w:t>(a)</w:t>
      </w:r>
      <w:r>
        <w:rPr>
          <w:snapToGrid w:val="0"/>
        </w:rPr>
        <w:tab/>
        <w:t>an amount the employer is authorised, in writing, by the employee to deduct and pay on behalf of the employee; and</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lastRenderedPageBreak/>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No. 79 of 1995 s. 66(6); amended: No. 20 of 2002 s. 22(7); amended: Gazette 15 Aug 2003 p. 3688.]</w:t>
      </w:r>
    </w:p>
    <w:p>
      <w:pPr>
        <w:pStyle w:val="Heading2"/>
      </w:pPr>
      <w:bookmarkStart w:id="38" w:name="_Toc90973593"/>
      <w:bookmarkStart w:id="39" w:name="_Toc90974584"/>
      <w:bookmarkStart w:id="40" w:name="_Toc90979085"/>
      <w:r>
        <w:rPr>
          <w:rStyle w:val="CharPartNo"/>
        </w:rPr>
        <w:lastRenderedPageBreak/>
        <w:t>Part 4</w:t>
      </w:r>
      <w:r>
        <w:t> — </w:t>
      </w:r>
      <w:r>
        <w:rPr>
          <w:rStyle w:val="CharPartText"/>
        </w:rPr>
        <w:t>Minimum leave conditions</w:t>
      </w:r>
      <w:bookmarkEnd w:id="38"/>
      <w:bookmarkEnd w:id="39"/>
      <w:bookmarkEnd w:id="40"/>
    </w:p>
    <w:p>
      <w:pPr>
        <w:pStyle w:val="Heading3"/>
      </w:pPr>
      <w:bookmarkStart w:id="41" w:name="_Toc90973594"/>
      <w:bookmarkStart w:id="42" w:name="_Toc90974585"/>
      <w:bookmarkStart w:id="43" w:name="_Toc90979086"/>
      <w:r>
        <w:rPr>
          <w:rStyle w:val="CharDivNo"/>
        </w:rPr>
        <w:t>Division 1</w:t>
      </w:r>
      <w:r>
        <w:rPr>
          <w:snapToGrid w:val="0"/>
        </w:rPr>
        <w:t> — </w:t>
      </w:r>
      <w:r>
        <w:rPr>
          <w:rStyle w:val="CharDivText"/>
        </w:rPr>
        <w:t>Preliminary</w:t>
      </w:r>
      <w:bookmarkEnd w:id="41"/>
      <w:bookmarkEnd w:id="42"/>
      <w:bookmarkEnd w:id="43"/>
    </w:p>
    <w:p>
      <w:pPr>
        <w:pStyle w:val="Heading5"/>
        <w:rPr>
          <w:snapToGrid w:val="0"/>
        </w:rPr>
      </w:pPr>
      <w:bookmarkStart w:id="44" w:name="_Toc90979087"/>
      <w:r>
        <w:rPr>
          <w:rStyle w:val="CharSectno"/>
        </w:rPr>
        <w:t>18</w:t>
      </w:r>
      <w:r>
        <w:rPr>
          <w:snapToGrid w:val="0"/>
        </w:rPr>
        <w:t>.</w:t>
      </w:r>
      <w:r>
        <w:rPr>
          <w:snapToGrid w:val="0"/>
        </w:rPr>
        <w:tab/>
        <w:t>Paid leave, how pay calculated</w:t>
      </w:r>
      <w:bookmarkEnd w:id="44"/>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No. 20 of 2002 s. 22(7); amended: Gazette 15 Aug 2003 p. 3688.]</w:t>
      </w:r>
    </w:p>
    <w:p>
      <w:pPr>
        <w:pStyle w:val="Heading3"/>
      </w:pPr>
      <w:bookmarkStart w:id="45" w:name="_Toc90973596"/>
      <w:bookmarkStart w:id="46" w:name="_Toc90974587"/>
      <w:bookmarkStart w:id="47" w:name="_Toc90979088"/>
      <w:r>
        <w:rPr>
          <w:rStyle w:val="CharDivNo"/>
        </w:rPr>
        <w:t>Division 2</w:t>
      </w:r>
      <w:r>
        <w:rPr>
          <w:snapToGrid w:val="0"/>
        </w:rPr>
        <w:t> — </w:t>
      </w:r>
      <w:r>
        <w:rPr>
          <w:rStyle w:val="CharDivText"/>
        </w:rPr>
        <w:t>Leave for illness or injury or family care</w:t>
      </w:r>
      <w:bookmarkEnd w:id="45"/>
      <w:bookmarkEnd w:id="46"/>
      <w:bookmarkEnd w:id="47"/>
    </w:p>
    <w:p>
      <w:pPr>
        <w:pStyle w:val="Footnoteheading"/>
      </w:pPr>
      <w:r>
        <w:tab/>
        <w:t>[Heading amended: No. 36 of 2006 s. 30.]</w:t>
      </w:r>
    </w:p>
    <w:p>
      <w:pPr>
        <w:pStyle w:val="Heading5"/>
      </w:pPr>
      <w:bookmarkStart w:id="48" w:name="_Toc90979089"/>
      <w:r>
        <w:rPr>
          <w:rStyle w:val="CharSectno"/>
        </w:rPr>
        <w:t>19</w:t>
      </w:r>
      <w:r>
        <w:t>.</w:t>
      </w:r>
      <w:r>
        <w:tab/>
        <w:t>Entitlement to paid leave for illness, injury or family care</w:t>
      </w:r>
      <w:bookmarkEnd w:id="48"/>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lastRenderedPageBreak/>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In subsection (1) —</w:t>
      </w:r>
    </w:p>
    <w:p>
      <w:pPr>
        <w:pStyle w:val="Defstart"/>
      </w:pPr>
      <w:r>
        <w:rPr>
          <w:b/>
        </w:rPr>
        <w:tab/>
      </w:r>
      <w:r>
        <w:rPr>
          <w:rStyle w:val="CharDefText"/>
        </w:rPr>
        <w:t>year</w:t>
      </w:r>
      <w:r>
        <w:t xml:space="preserve"> does not include any period of unpaid leave.</w:t>
      </w:r>
    </w:p>
    <w:p>
      <w:pPr>
        <w:pStyle w:val="Footnotesection"/>
      </w:pPr>
      <w:r>
        <w:tab/>
        <w:t>[Section 19 inserted: No. 36 of 2006 s. 31(1).]</w:t>
      </w:r>
    </w:p>
    <w:p>
      <w:pPr>
        <w:pStyle w:val="Heading5"/>
      </w:pPr>
      <w:bookmarkStart w:id="49" w:name="_Toc90979090"/>
      <w:r>
        <w:rPr>
          <w:rStyle w:val="CharSectno"/>
        </w:rPr>
        <w:t>20</w:t>
      </w:r>
      <w:r>
        <w:t>.</w:t>
      </w:r>
      <w:r>
        <w:tab/>
        <w:t>Employee may use entitlement as paid sick leave</w:t>
      </w:r>
      <w:bookmarkEnd w:id="49"/>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If an employee’s illness or injury is attributable to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No. 36 of 2006 s. 31(1).]</w:t>
      </w:r>
    </w:p>
    <w:p>
      <w:pPr>
        <w:pStyle w:val="Heading5"/>
      </w:pPr>
      <w:bookmarkStart w:id="50" w:name="_Toc90979091"/>
      <w:r>
        <w:rPr>
          <w:rStyle w:val="CharSectno"/>
        </w:rPr>
        <w:t>20A</w:t>
      </w:r>
      <w:r>
        <w:t>.</w:t>
      </w:r>
      <w:r>
        <w:tab/>
        <w:t>Employee may use entitlement as paid carer’s leave</w:t>
      </w:r>
      <w:bookmarkEnd w:id="50"/>
    </w:p>
    <w:p>
      <w:pPr>
        <w:pStyle w:val="Subsection"/>
      </w:pPr>
      <w:r>
        <w:tab/>
        <w:t>(1)</w:t>
      </w:r>
      <w:r>
        <w:tab/>
        <w:t>Subject to subsection (3), an employee is entitled to use any part of the employee’s entitlement under section 19(1) as paid carer’s leave.</w:t>
      </w:r>
    </w:p>
    <w:p>
      <w:pPr>
        <w:pStyle w:val="Subsection"/>
      </w:pPr>
      <w:r>
        <w:tab/>
        <w:t>(2)</w:t>
      </w:r>
      <w:r>
        <w:tab/>
        <w:t xml:space="preserve">Subsection (3) applies to an employee if, at a particular time (the </w:t>
      </w:r>
      <w:r>
        <w:rPr>
          <w:rStyle w:val="CharDefText"/>
        </w:rPr>
        <w:t>time</w:t>
      </w:r>
      <w:r>
        <w:t>), the employee —</w:t>
      </w:r>
    </w:p>
    <w:p>
      <w:pPr>
        <w:pStyle w:val="Indenta"/>
      </w:pPr>
      <w:r>
        <w:tab/>
        <w:t>(a)</w:t>
      </w:r>
      <w:r>
        <w:tab/>
        <w:t>is employed by an employer; and</w:t>
      </w:r>
    </w:p>
    <w:p>
      <w:pPr>
        <w:pStyle w:val="Indenta"/>
      </w:pPr>
      <w:r>
        <w:lastRenderedPageBreak/>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No. 36 of 2006 s. 31(1).]</w:t>
      </w:r>
    </w:p>
    <w:p>
      <w:pPr>
        <w:pStyle w:val="Heading5"/>
      </w:pPr>
      <w:bookmarkStart w:id="51" w:name="_Toc90979092"/>
      <w:r>
        <w:rPr>
          <w:rStyle w:val="CharSectno"/>
        </w:rPr>
        <w:t>20B</w:t>
      </w:r>
      <w:r>
        <w:t>.</w:t>
      </w:r>
      <w:r>
        <w:tab/>
        <w:t>Unpaid carer’s leave</w:t>
      </w:r>
      <w:bookmarkEnd w:id="51"/>
    </w:p>
    <w:p>
      <w:pPr>
        <w:pStyle w:val="Subsection"/>
      </w:pPr>
      <w:r>
        <w:tab/>
        <w:t>(1)</w:t>
      </w:r>
      <w:r>
        <w:tab/>
        <w:t xml:space="preserve">Subject to subsection (2), an employee is entitled to unpaid carer’s leave of up to 2 days for each occasion (a </w:t>
      </w:r>
      <w:r>
        <w:rPr>
          <w:rStyle w:val="CharDefText"/>
        </w:rPr>
        <w:t>permissible occasion</w:t>
      </w:r>
      <w:r>
        <w:t>) on which a member of the employee’s family or household requires care or support because of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In subsection (2)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No. 36 of 2006 s. 31(1).]</w:t>
      </w:r>
    </w:p>
    <w:p>
      <w:pPr>
        <w:pStyle w:val="Heading5"/>
      </w:pPr>
      <w:bookmarkStart w:id="52" w:name="_Toc90979093"/>
      <w:r>
        <w:rPr>
          <w:rStyle w:val="CharSectno"/>
        </w:rPr>
        <w:t>21</w:t>
      </w:r>
      <w:r>
        <w:t>.</w:t>
      </w:r>
      <w:r>
        <w:tab/>
        <w:t>Certain matters as to sick leave not minimum conditions</w:t>
      </w:r>
      <w:bookmarkEnd w:id="52"/>
    </w:p>
    <w:p>
      <w:pPr>
        <w:pStyle w:val="Subsection"/>
      </w:pPr>
      <w:r>
        <w:tab/>
      </w:r>
      <w:r>
        <w:tab/>
        <w:t>Nothing in this Division requires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lastRenderedPageBreak/>
        <w:tab/>
        <w:t>(c)</w:t>
      </w:r>
      <w:r>
        <w:tab/>
        <w:t>an employer to pay an employee in lieu of the employee’s untaken entitlement under section 19(1), on the termination of the employee’s employment.</w:t>
      </w:r>
    </w:p>
    <w:p>
      <w:pPr>
        <w:pStyle w:val="Footnotesection"/>
      </w:pPr>
      <w:r>
        <w:tab/>
        <w:t>[Section 21 inserted: No. 20 of 2002 s. 171; amended: No. 36 of 2006 s. 32.]</w:t>
      </w:r>
    </w:p>
    <w:p>
      <w:pPr>
        <w:pStyle w:val="Heading5"/>
      </w:pPr>
      <w:bookmarkStart w:id="53" w:name="_Toc90979094"/>
      <w:r>
        <w:rPr>
          <w:rStyle w:val="CharSectno"/>
        </w:rPr>
        <w:t>22</w:t>
      </w:r>
      <w:r>
        <w:t>.</w:t>
      </w:r>
      <w:r>
        <w:tab/>
        <w:t>Employee to prove entitlements under this Division</w:t>
      </w:r>
      <w:bookmarkEnd w:id="53"/>
    </w:p>
    <w:p>
      <w:pPr>
        <w:pStyle w:val="Subsection"/>
      </w:pPr>
      <w:r>
        <w:tab/>
      </w:r>
      <w:r>
        <w:tab/>
        <w:t>An employee who claims to be entitled —</w:t>
      </w:r>
    </w:p>
    <w:p>
      <w:pPr>
        <w:pStyle w:val="Indenta"/>
      </w:pPr>
      <w:r>
        <w:tab/>
        <w:t>(a)</w:t>
      </w:r>
      <w:r>
        <w:tab/>
        <w:t>to use the employee’s entitlement under section 19(1) as paid leave under section 20(1); or</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No. 20 of 2002 s. 172; amended: No. 36 of 2006 s. 33.]</w:t>
      </w:r>
    </w:p>
    <w:p>
      <w:pPr>
        <w:pStyle w:val="Heading3"/>
      </w:pPr>
      <w:bookmarkStart w:id="54" w:name="_Toc90973603"/>
      <w:bookmarkStart w:id="55" w:name="_Toc90974594"/>
      <w:bookmarkStart w:id="56" w:name="_Toc90979095"/>
      <w:r>
        <w:rPr>
          <w:rStyle w:val="CharDivNo"/>
        </w:rPr>
        <w:t>Division 3</w:t>
      </w:r>
      <w:r>
        <w:rPr>
          <w:snapToGrid w:val="0"/>
        </w:rPr>
        <w:t> — </w:t>
      </w:r>
      <w:r>
        <w:rPr>
          <w:rStyle w:val="CharDivText"/>
        </w:rPr>
        <w:t>Annual leave</w:t>
      </w:r>
      <w:bookmarkEnd w:id="54"/>
      <w:bookmarkEnd w:id="55"/>
      <w:bookmarkEnd w:id="56"/>
    </w:p>
    <w:p>
      <w:pPr>
        <w:pStyle w:val="Heading5"/>
        <w:rPr>
          <w:snapToGrid w:val="0"/>
        </w:rPr>
      </w:pPr>
      <w:bookmarkStart w:id="57" w:name="_Toc90979096"/>
      <w:r>
        <w:rPr>
          <w:rStyle w:val="CharSectno"/>
        </w:rPr>
        <w:t>23</w:t>
      </w:r>
      <w:r>
        <w:rPr>
          <w:snapToGrid w:val="0"/>
        </w:rPr>
        <w:t>.</w:t>
      </w:r>
      <w:r>
        <w:rPr>
          <w:snapToGrid w:val="0"/>
        </w:rPr>
        <w:tab/>
        <w:t>Paid annual leave, entitlement to</w:t>
      </w:r>
      <w:bookmarkEnd w:id="57"/>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lastRenderedPageBreak/>
        <w:tab/>
        <w:t xml:space="preserve">(4) </w:t>
      </w:r>
      <w:r>
        <w:rPr>
          <w:snapToGrid w:val="0"/>
        </w:rPr>
        <w:tab/>
        <w:t>Subsection (1) does not apply to an employee of a class prescribed by the regulations.</w:t>
      </w:r>
    </w:p>
    <w:p>
      <w:pPr>
        <w:pStyle w:val="Footnotesection"/>
      </w:pPr>
      <w:r>
        <w:tab/>
        <w:t>[Section 23 amended: No. 20 of 2002 s. 173(1); No. 36 of 2006 s. 34.]</w:t>
      </w:r>
    </w:p>
    <w:p>
      <w:pPr>
        <w:pStyle w:val="Heading5"/>
        <w:rPr>
          <w:snapToGrid w:val="0"/>
        </w:rPr>
      </w:pPr>
      <w:bookmarkStart w:id="58" w:name="_Toc90979097"/>
      <w:r>
        <w:rPr>
          <w:rStyle w:val="CharSectno"/>
        </w:rPr>
        <w:t>24</w:t>
      </w:r>
      <w:r>
        <w:rPr>
          <w:snapToGrid w:val="0"/>
        </w:rPr>
        <w:t>.</w:t>
      </w:r>
      <w:r>
        <w:rPr>
          <w:snapToGrid w:val="0"/>
        </w:rPr>
        <w:tab/>
        <w:t>Annual leave payments, when to be made</w:t>
      </w:r>
      <w:bookmarkEnd w:id="58"/>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w:t>
      </w:r>
    </w:p>
    <w:p>
      <w:pPr>
        <w:pStyle w:val="Defstart"/>
        <w:keepNext/>
        <w:keepLines/>
      </w:pPr>
      <w:r>
        <w:rPr>
          <w:b/>
        </w:rPr>
        <w:tab/>
      </w:r>
      <w:r>
        <w:rPr>
          <w:rStyle w:val="CharDefText"/>
        </w:rPr>
        <w:t>year</w:t>
      </w:r>
      <w:r>
        <w:t xml:space="preserve"> does not include any period of unpaid leave.</w:t>
      </w:r>
    </w:p>
    <w:p>
      <w:pPr>
        <w:pStyle w:val="Footnotesection"/>
      </w:pPr>
      <w:r>
        <w:tab/>
        <w:t>[Section 24 amended: No. 3 of 1997 s. 39.]</w:t>
      </w:r>
    </w:p>
    <w:p>
      <w:pPr>
        <w:pStyle w:val="Heading5"/>
        <w:rPr>
          <w:snapToGrid w:val="0"/>
        </w:rPr>
      </w:pPr>
      <w:bookmarkStart w:id="59" w:name="_Toc90979098"/>
      <w:r>
        <w:rPr>
          <w:rStyle w:val="CharSectno"/>
        </w:rPr>
        <w:lastRenderedPageBreak/>
        <w:t>25</w:t>
      </w:r>
      <w:r>
        <w:rPr>
          <w:snapToGrid w:val="0"/>
        </w:rPr>
        <w:t>.</w:t>
      </w:r>
      <w:r>
        <w:rPr>
          <w:snapToGrid w:val="0"/>
        </w:rPr>
        <w:tab/>
        <w:t>Annual leave, when may be taken</w:t>
      </w:r>
      <w:bookmarkEnd w:id="59"/>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60" w:name="_Toc90979099"/>
      <w:r>
        <w:rPr>
          <w:rStyle w:val="CharSectno"/>
        </w:rPr>
        <w:t>26</w:t>
      </w:r>
      <w:r>
        <w:rPr>
          <w:snapToGrid w:val="0"/>
        </w:rPr>
        <w:t>.</w:t>
      </w:r>
      <w:r>
        <w:rPr>
          <w:snapToGrid w:val="0"/>
        </w:rPr>
        <w:tab/>
        <w:t>General Order as to annual leave of no effect</w:t>
      </w:r>
      <w:bookmarkEnd w:id="60"/>
    </w:p>
    <w:p>
      <w:pPr>
        <w:pStyle w:val="Subsection"/>
        <w:rPr>
          <w:snapToGrid w:val="0"/>
        </w:rPr>
      </w:pPr>
      <w:r>
        <w:rPr>
          <w:snapToGrid w:val="0"/>
        </w:rPr>
        <w:tab/>
      </w:r>
      <w:r>
        <w:rPr>
          <w:snapToGrid w:val="0"/>
        </w:rPr>
        <w:tab/>
        <w:t>The General Order prescribing minimum conditions as to annual leave under section 50(5)</w:t>
      </w:r>
      <w:r>
        <w:rPr>
          <w:snapToGrid w:val="0"/>
          <w:vertAlign w:val="superscript"/>
        </w:rPr>
        <w:t> 2</w:t>
      </w:r>
      <w:r>
        <w:rPr>
          <w:snapToGrid w:val="0"/>
        </w:rPr>
        <w:t xml:space="preserve"> of the IR Act in force at the commencement of this Act is of no effect after the commencement.</w:t>
      </w:r>
    </w:p>
    <w:p>
      <w:pPr>
        <w:pStyle w:val="Footnotesection"/>
      </w:pPr>
      <w:r>
        <w:tab/>
        <w:t>[Section 26 amended: No. 20 of 2002 s. 177.]</w:t>
      </w:r>
    </w:p>
    <w:p>
      <w:pPr>
        <w:pStyle w:val="Heading3"/>
      </w:pPr>
      <w:bookmarkStart w:id="61" w:name="_Toc90973608"/>
      <w:bookmarkStart w:id="62" w:name="_Toc90974599"/>
      <w:bookmarkStart w:id="63" w:name="_Toc90979100"/>
      <w:r>
        <w:rPr>
          <w:rStyle w:val="CharDivNo"/>
        </w:rPr>
        <w:t>Division 4</w:t>
      </w:r>
      <w:r>
        <w:rPr>
          <w:snapToGrid w:val="0"/>
        </w:rPr>
        <w:t> — </w:t>
      </w:r>
      <w:r>
        <w:rPr>
          <w:rStyle w:val="CharDivText"/>
        </w:rPr>
        <w:t>Bereavement leave</w:t>
      </w:r>
      <w:bookmarkEnd w:id="61"/>
      <w:bookmarkEnd w:id="62"/>
      <w:bookmarkEnd w:id="63"/>
    </w:p>
    <w:p>
      <w:pPr>
        <w:pStyle w:val="Heading5"/>
        <w:spacing w:before="180"/>
        <w:rPr>
          <w:snapToGrid w:val="0"/>
        </w:rPr>
      </w:pPr>
      <w:bookmarkStart w:id="64" w:name="_Toc90979101"/>
      <w:r>
        <w:rPr>
          <w:rStyle w:val="CharSectno"/>
        </w:rPr>
        <w:t>27</w:t>
      </w:r>
      <w:r>
        <w:rPr>
          <w:snapToGrid w:val="0"/>
        </w:rPr>
        <w:t>.</w:t>
      </w:r>
      <w:r>
        <w:rPr>
          <w:snapToGrid w:val="0"/>
        </w:rPr>
        <w:tab/>
        <w:t>Paid bereavement leave, entitlement to</w:t>
      </w:r>
      <w:bookmarkEnd w:id="64"/>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No. 28 of 2003 s. 146; No. 36 of 2006 s. 35.]</w:t>
      </w:r>
    </w:p>
    <w:p>
      <w:pPr>
        <w:pStyle w:val="Heading5"/>
        <w:rPr>
          <w:snapToGrid w:val="0"/>
        </w:rPr>
      </w:pPr>
      <w:bookmarkStart w:id="65" w:name="_Toc90979102"/>
      <w:r>
        <w:rPr>
          <w:rStyle w:val="CharSectno"/>
        </w:rPr>
        <w:t>28</w:t>
      </w:r>
      <w:r>
        <w:rPr>
          <w:snapToGrid w:val="0"/>
        </w:rPr>
        <w:t>.</w:t>
      </w:r>
      <w:r>
        <w:rPr>
          <w:snapToGrid w:val="0"/>
        </w:rPr>
        <w:tab/>
        <w:t>Proof of entitlement may be required</w:t>
      </w:r>
      <w:bookmarkEnd w:id="65"/>
    </w:p>
    <w:p>
      <w:pPr>
        <w:pStyle w:val="Subsection"/>
        <w:rPr>
          <w:snapToGrid w:val="0"/>
        </w:rPr>
      </w:pPr>
      <w:r>
        <w:rPr>
          <w:snapToGrid w:val="0"/>
        </w:rPr>
        <w:tab/>
      </w:r>
      <w:r>
        <w:rPr>
          <w:snapToGrid w:val="0"/>
        </w:rPr>
        <w:tab/>
        <w:t xml:space="preserve">An employee who claims to be entitled to paid leave under section 27(1) is to provide to the employer, if so requested by </w:t>
      </w:r>
      <w:r>
        <w:rPr>
          <w:snapToGrid w:val="0"/>
        </w:rPr>
        <w:lastRenderedPageBreak/>
        <w:t>the employer, evidence that would satisfy a reasonable person as to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pPr>
      <w:bookmarkStart w:id="66" w:name="_Toc90973611"/>
      <w:bookmarkStart w:id="67" w:name="_Toc90974602"/>
      <w:bookmarkStart w:id="68" w:name="_Toc90979103"/>
      <w:r>
        <w:rPr>
          <w:rStyle w:val="CharDivNo"/>
        </w:rPr>
        <w:t>Division 5</w:t>
      </w:r>
      <w:r>
        <w:rPr>
          <w:snapToGrid w:val="0"/>
        </w:rPr>
        <w:t> — </w:t>
      </w:r>
      <w:r>
        <w:rPr>
          <w:rStyle w:val="CharDivText"/>
        </w:rPr>
        <w:t>Public holidays</w:t>
      </w:r>
      <w:bookmarkEnd w:id="66"/>
      <w:bookmarkEnd w:id="67"/>
      <w:bookmarkEnd w:id="68"/>
    </w:p>
    <w:p>
      <w:pPr>
        <w:pStyle w:val="Ednotesection"/>
        <w:keepNext/>
        <w:keepLines/>
      </w:pPr>
      <w:r>
        <w:t>[</w:t>
      </w:r>
      <w:r>
        <w:rPr>
          <w:b/>
        </w:rPr>
        <w:t>29.</w:t>
      </w:r>
      <w:r>
        <w:tab/>
        <w:t>Deleted: No. 36 of 2006 s. 6.]</w:t>
      </w:r>
    </w:p>
    <w:p>
      <w:pPr>
        <w:pStyle w:val="Heading5"/>
        <w:rPr>
          <w:snapToGrid w:val="0"/>
        </w:rPr>
      </w:pPr>
      <w:bookmarkStart w:id="69" w:name="_Toc90979104"/>
      <w:r>
        <w:rPr>
          <w:rStyle w:val="CharSectno"/>
        </w:rPr>
        <w:t>30</w:t>
      </w:r>
      <w:r>
        <w:rPr>
          <w:snapToGrid w:val="0"/>
        </w:rPr>
        <w:t>.</w:t>
      </w:r>
      <w:r>
        <w:rPr>
          <w:snapToGrid w:val="0"/>
        </w:rPr>
        <w:tab/>
        <w:t>Public holidays, entitlement to pay for</w:t>
      </w:r>
      <w:bookmarkEnd w:id="69"/>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70" w:name="_Toc90979105"/>
      <w:r>
        <w:rPr>
          <w:rStyle w:val="CharSectno"/>
        </w:rPr>
        <w:t>31</w:t>
      </w:r>
      <w:r>
        <w:rPr>
          <w:snapToGrid w:val="0"/>
        </w:rPr>
        <w:t>.</w:t>
      </w:r>
      <w:r>
        <w:rPr>
          <w:snapToGrid w:val="0"/>
        </w:rPr>
        <w:tab/>
        <w:t>Penalty rates for work on public holidays not a minimum condition</w:t>
      </w:r>
      <w:bookmarkEnd w:id="70"/>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pPr>
      <w:bookmarkStart w:id="71" w:name="_Toc90973614"/>
      <w:bookmarkStart w:id="72" w:name="_Toc90974605"/>
      <w:bookmarkStart w:id="73" w:name="_Toc90979106"/>
      <w:r>
        <w:rPr>
          <w:rStyle w:val="CharDivNo"/>
        </w:rPr>
        <w:t>Division 6</w:t>
      </w:r>
      <w:r>
        <w:rPr>
          <w:snapToGrid w:val="0"/>
        </w:rPr>
        <w:t> — </w:t>
      </w:r>
      <w:r>
        <w:rPr>
          <w:rStyle w:val="CharDivText"/>
        </w:rPr>
        <w:t>Parental leave</w:t>
      </w:r>
      <w:bookmarkEnd w:id="71"/>
      <w:bookmarkEnd w:id="72"/>
      <w:bookmarkEnd w:id="73"/>
    </w:p>
    <w:p>
      <w:pPr>
        <w:pStyle w:val="Heading5"/>
        <w:rPr>
          <w:snapToGrid w:val="0"/>
        </w:rPr>
      </w:pPr>
      <w:bookmarkStart w:id="74" w:name="_Toc90979107"/>
      <w:r>
        <w:rPr>
          <w:rStyle w:val="CharSectno"/>
        </w:rPr>
        <w:t>32</w:t>
      </w:r>
      <w:r>
        <w:rPr>
          <w:snapToGrid w:val="0"/>
        </w:rPr>
        <w:t>.</w:t>
      </w:r>
      <w:r>
        <w:rPr>
          <w:snapToGrid w:val="0"/>
        </w:rPr>
        <w:tab/>
        <w:t>Terms used</w:t>
      </w:r>
      <w:bookmarkEnd w:id="74"/>
    </w:p>
    <w:p>
      <w:pPr>
        <w:pStyle w:val="Subsection"/>
        <w:rPr>
          <w:snapToGrid w:val="0"/>
        </w:rPr>
      </w:pPr>
      <w:r>
        <w:rPr>
          <w:snapToGrid w:val="0"/>
        </w:rPr>
        <w:tab/>
        <w:t>(1)</w:t>
      </w:r>
      <w:r>
        <w:rPr>
          <w:snapToGrid w:val="0"/>
        </w:rPr>
        <w:tab/>
        <w:t>In this Division —</w:t>
      </w:r>
    </w:p>
    <w:p>
      <w:pPr>
        <w:pStyle w:val="Defstart"/>
      </w:pPr>
      <w:r>
        <w:rPr>
          <w:b/>
        </w:rPr>
        <w:tab/>
      </w:r>
      <w:r>
        <w:rPr>
          <w:rStyle w:val="CharDefText"/>
        </w:rPr>
        <w:t>adoption</w:t>
      </w:r>
      <w:r>
        <w:t>, in relation to a child, is a reference to a child who —</w:t>
      </w:r>
    </w:p>
    <w:p>
      <w:pPr>
        <w:pStyle w:val="Defpara"/>
      </w:pPr>
      <w:r>
        <w:tab/>
        <w:t>(a)</w:t>
      </w:r>
      <w:r>
        <w:tab/>
        <w:t>is not the child or the step</w:t>
      </w:r>
      <w:r>
        <w:noBreakHyphen/>
        <w:t>child of the employee or the employee’s spouse or de facto partner; and</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w:t>
      </w:r>
      <w:r>
        <w:lastRenderedPageBreak/>
        <w:t>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 and</w:t>
      </w:r>
    </w:p>
    <w:p>
      <w:pPr>
        <w:pStyle w:val="Indenta"/>
        <w:spacing w:before="120"/>
      </w:pPr>
      <w:r>
        <w:tab/>
        <w:t>(b)</w:t>
      </w:r>
      <w:r>
        <w:tab/>
        <w:t>at the end of the first period of employment, the employee ceased, on the employer’s initiative, to be so engaged by the employer; and</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 and</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t>
      </w:r>
      <w:r>
        <w:lastRenderedPageBreak/>
        <w:t>would have a reasonable expectation of continuing engagement by the employer on a regular and systematic basis.</w:t>
      </w:r>
    </w:p>
    <w:p>
      <w:pPr>
        <w:pStyle w:val="Footnotesection"/>
        <w:keepLines w:val="0"/>
        <w:ind w:left="890" w:hanging="890"/>
      </w:pPr>
      <w:r>
        <w:tab/>
        <w:t>[Section 32 amended: No. 20 of 2002 s. 22(6); No. 28 of 2003 s. 147; No. 36 of 2006 s. 36; amended: Gazette 15 Aug 2003 p. 3688.]</w:t>
      </w:r>
    </w:p>
    <w:p>
      <w:pPr>
        <w:pStyle w:val="Heading5"/>
        <w:rPr>
          <w:snapToGrid w:val="0"/>
        </w:rPr>
      </w:pPr>
      <w:bookmarkStart w:id="75" w:name="_Toc90979108"/>
      <w:r>
        <w:rPr>
          <w:rStyle w:val="CharSectno"/>
        </w:rPr>
        <w:t>33</w:t>
      </w:r>
      <w:r>
        <w:rPr>
          <w:snapToGrid w:val="0"/>
        </w:rPr>
        <w:t>.</w:t>
      </w:r>
      <w:r>
        <w:rPr>
          <w:snapToGrid w:val="0"/>
        </w:rPr>
        <w:tab/>
        <w:t>Unpaid parental leave, entitlement to</w:t>
      </w:r>
      <w:bookmarkEnd w:id="75"/>
    </w:p>
    <w:p>
      <w:pPr>
        <w:pStyle w:val="Subsection"/>
        <w:rPr>
          <w:snapToGrid w:val="0"/>
        </w:rPr>
      </w:pPr>
      <w:r>
        <w:rPr>
          <w:snapToGrid w:val="0"/>
        </w:rPr>
        <w:tab/>
        <w:t>(1)</w:t>
      </w:r>
      <w:r>
        <w:rPr>
          <w:snapToGrid w:val="0"/>
        </w:rPr>
        <w:tab/>
        <w:t>Subject to sections 35, 36(1) and 37(1), an employee is entitled to take up to 52 consecutive weeks of unpaid leave in respect of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w:t>
      </w:r>
      <w:r>
        <w:rPr>
          <w:snapToGrid w:val="0"/>
        </w:rPr>
        <w:lastRenderedPageBreak/>
        <w:t xml:space="preserve">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The entitlement of an employee to parental leave is reduced by any period of parental leave taken by the employee’s spouse or de facto partner in relation to the same child, except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No. 28 of 2003 s. 148 and 150; No. 36 of 2006 s. 37.]</w:t>
      </w:r>
    </w:p>
    <w:p>
      <w:pPr>
        <w:pStyle w:val="Heading5"/>
        <w:rPr>
          <w:snapToGrid w:val="0"/>
        </w:rPr>
      </w:pPr>
      <w:bookmarkStart w:id="76" w:name="_Toc90979109"/>
      <w:r>
        <w:rPr>
          <w:rStyle w:val="CharSectno"/>
        </w:rPr>
        <w:t>34</w:t>
      </w:r>
      <w:r>
        <w:rPr>
          <w:snapToGrid w:val="0"/>
        </w:rPr>
        <w:t>.</w:t>
      </w:r>
      <w:r>
        <w:rPr>
          <w:snapToGrid w:val="0"/>
        </w:rPr>
        <w:tab/>
        <w:t>Maternity leave to start 6 weeks before birth</w:t>
      </w:r>
      <w:bookmarkEnd w:id="76"/>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No. 28 of 2003 s. 149.]</w:t>
      </w:r>
    </w:p>
    <w:p>
      <w:pPr>
        <w:pStyle w:val="Heading5"/>
        <w:rPr>
          <w:snapToGrid w:val="0"/>
        </w:rPr>
      </w:pPr>
      <w:bookmarkStart w:id="77" w:name="_Toc90979110"/>
      <w:r>
        <w:rPr>
          <w:rStyle w:val="CharSectno"/>
        </w:rPr>
        <w:t>35</w:t>
      </w:r>
      <w:r>
        <w:rPr>
          <w:snapToGrid w:val="0"/>
        </w:rPr>
        <w:t>.</w:t>
      </w:r>
      <w:r>
        <w:rPr>
          <w:snapToGrid w:val="0"/>
        </w:rPr>
        <w:tab/>
        <w:t>Employee to prove entitlement to parental leave</w:t>
      </w:r>
      <w:bookmarkEnd w:id="77"/>
    </w:p>
    <w:p>
      <w:pPr>
        <w:pStyle w:val="Subsection"/>
        <w:rPr>
          <w:snapToGrid w:val="0"/>
        </w:rPr>
      </w:pPr>
      <w:r>
        <w:rPr>
          <w:snapToGrid w:val="0"/>
        </w:rPr>
        <w:tab/>
      </w:r>
      <w:r>
        <w:rPr>
          <w:snapToGrid w:val="0"/>
        </w:rPr>
        <w:tab/>
        <w:t xml:space="preserve">An employee who has given notice of his or her intention to take parental leave, other than for adoption, is to provide to the </w:t>
      </w:r>
      <w:r>
        <w:rPr>
          <w:snapToGrid w:val="0"/>
        </w:rPr>
        <w:lastRenderedPageBreak/>
        <w:t>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No. 28 of 2003 s. 150.]</w:t>
      </w:r>
    </w:p>
    <w:p>
      <w:pPr>
        <w:pStyle w:val="Heading5"/>
        <w:rPr>
          <w:snapToGrid w:val="0"/>
        </w:rPr>
      </w:pPr>
      <w:bookmarkStart w:id="78" w:name="_Toc90979111"/>
      <w:r>
        <w:rPr>
          <w:rStyle w:val="CharSectno"/>
        </w:rPr>
        <w:t>36</w:t>
      </w:r>
      <w:r>
        <w:rPr>
          <w:snapToGrid w:val="0"/>
        </w:rPr>
        <w:t>.</w:t>
      </w:r>
      <w:r>
        <w:rPr>
          <w:snapToGrid w:val="0"/>
        </w:rPr>
        <w:tab/>
        <w:t>Employee to notify employer of spouse’s parental leave</w:t>
      </w:r>
      <w:bookmarkEnd w:id="78"/>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No. 28 of 2003 s. 150.]</w:t>
      </w:r>
    </w:p>
    <w:p>
      <w:pPr>
        <w:pStyle w:val="Heading5"/>
        <w:rPr>
          <w:snapToGrid w:val="0"/>
        </w:rPr>
      </w:pPr>
      <w:bookmarkStart w:id="79" w:name="_Toc90979112"/>
      <w:r>
        <w:rPr>
          <w:rStyle w:val="CharSectno"/>
        </w:rPr>
        <w:t>37</w:t>
      </w:r>
      <w:r>
        <w:rPr>
          <w:snapToGrid w:val="0"/>
        </w:rPr>
        <w:t>.</w:t>
      </w:r>
      <w:r>
        <w:rPr>
          <w:snapToGrid w:val="0"/>
        </w:rPr>
        <w:tab/>
        <w:t>Parental leave period, notice to employer of etc.</w:t>
      </w:r>
      <w:bookmarkEnd w:id="79"/>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80" w:name="_Toc90979113"/>
      <w:r>
        <w:rPr>
          <w:rStyle w:val="CharSectno"/>
        </w:rPr>
        <w:t>38</w:t>
      </w:r>
      <w:r>
        <w:rPr>
          <w:snapToGrid w:val="0"/>
        </w:rPr>
        <w:t>.</w:t>
      </w:r>
      <w:r>
        <w:rPr>
          <w:snapToGrid w:val="0"/>
        </w:rPr>
        <w:tab/>
        <w:t>Return to work after parental leave</w:t>
      </w:r>
      <w:bookmarkEnd w:id="80"/>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w:t>
      </w:r>
    </w:p>
    <w:p>
      <w:pPr>
        <w:pStyle w:val="Indenta"/>
        <w:spacing w:before="60"/>
        <w:rPr>
          <w:snapToGrid w:val="0"/>
        </w:rPr>
      </w:pPr>
      <w:r>
        <w:rPr>
          <w:snapToGrid w:val="0"/>
        </w:rPr>
        <w:tab/>
        <w:t>(a)</w:t>
      </w:r>
      <w:r>
        <w:rPr>
          <w:snapToGrid w:val="0"/>
        </w:rPr>
        <w:tab/>
        <w:t>for which the employee is qualified; and</w:t>
      </w:r>
    </w:p>
    <w:p>
      <w:pPr>
        <w:pStyle w:val="Indenta"/>
        <w:rPr>
          <w:snapToGrid w:val="0"/>
        </w:rPr>
      </w:pPr>
      <w:r>
        <w:rPr>
          <w:snapToGrid w:val="0"/>
        </w:rPr>
        <w:lastRenderedPageBreak/>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lastRenderedPageBreak/>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In subsections (4) to (7) —</w:t>
      </w:r>
    </w:p>
    <w:p>
      <w:pPr>
        <w:pStyle w:val="Defstart"/>
      </w:pPr>
      <w:r>
        <w:rPr>
          <w:b/>
        </w:rPr>
        <w:tab/>
      </w:r>
      <w:r>
        <w:rPr>
          <w:rStyle w:val="CharDefText"/>
        </w:rPr>
        <w:t>modified basis</w:t>
      </w:r>
      <w:r>
        <w:t xml:space="preserve"> means a basis that involves the employee working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If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No. 36 of 2006 s. 38.]</w:t>
      </w:r>
    </w:p>
    <w:p>
      <w:pPr>
        <w:pStyle w:val="Heading5"/>
      </w:pPr>
      <w:bookmarkStart w:id="81" w:name="_Toc90979114"/>
      <w:r>
        <w:rPr>
          <w:rStyle w:val="CharSectno"/>
        </w:rPr>
        <w:t>38A</w:t>
      </w:r>
      <w:r>
        <w:t>.</w:t>
      </w:r>
      <w:r>
        <w:tab/>
        <w:t>How and when a request or requirement as to parental leave or return to work can be made</w:t>
      </w:r>
      <w:bookmarkEnd w:id="81"/>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lastRenderedPageBreak/>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No. 36 of 2006 s. 39.]</w:t>
      </w:r>
    </w:p>
    <w:p>
      <w:pPr>
        <w:pStyle w:val="Heading5"/>
      </w:pPr>
      <w:bookmarkStart w:id="82" w:name="_Toc90979115"/>
      <w:r>
        <w:rPr>
          <w:rStyle w:val="CharSectno"/>
        </w:rPr>
        <w:t>38B</w:t>
      </w:r>
      <w:r>
        <w:t>.</w:t>
      </w:r>
      <w:r>
        <w:tab/>
        <w:t>Grounds for determining a request or making a requirement as to parental leave or return to work</w:t>
      </w:r>
      <w:bookmarkEnd w:id="82"/>
    </w:p>
    <w:p>
      <w:pPr>
        <w:pStyle w:val="Subsection"/>
      </w:pPr>
      <w:r>
        <w:tab/>
        <w:t>(1)</w:t>
      </w:r>
      <w:r>
        <w:tab/>
        <w:t>The employer is to agree to a request under section 33(4) or (5) or 38(4) unless —</w:t>
      </w:r>
    </w:p>
    <w:p>
      <w:pPr>
        <w:pStyle w:val="Indenta"/>
        <w:spacing w:before="60"/>
      </w:pPr>
      <w:r>
        <w:tab/>
        <w:t>(a)</w:t>
      </w:r>
      <w:r>
        <w:tab/>
        <w:t>the employer, having considered the employee’s circumstances, is not satisfied that the request is genuinely based on the employee’s parental responsibilities; or</w:t>
      </w:r>
    </w:p>
    <w:p>
      <w:pPr>
        <w:pStyle w:val="Indenta"/>
        <w:spacing w:before="60"/>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 xml:space="preserve">The employer is to agree to a request under section 38(5) unless there are grounds to refuse the request relating to the adverse </w:t>
      </w:r>
      <w:r>
        <w:lastRenderedPageBreak/>
        <w:t>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Without limiting subsection (1) or section 38(7)(a) the grounds on which a refusal under subsection (1)(b), or a requirement under section 38(6), may be based include the following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spacing w:before="100"/>
        <w:ind w:left="890" w:hanging="890"/>
      </w:pPr>
      <w:r>
        <w:tab/>
        <w:t>[Section 38B inserted: No. 36 of 2006 s. 39.]</w:t>
      </w:r>
    </w:p>
    <w:p>
      <w:pPr>
        <w:pStyle w:val="Heading5"/>
        <w:rPr>
          <w:snapToGrid w:val="0"/>
        </w:rPr>
      </w:pPr>
      <w:bookmarkStart w:id="83" w:name="_Toc90979116"/>
      <w:r>
        <w:rPr>
          <w:rStyle w:val="CharSectno"/>
        </w:rPr>
        <w:t>39</w:t>
      </w:r>
      <w:r>
        <w:rPr>
          <w:snapToGrid w:val="0"/>
        </w:rPr>
        <w:t>.</w:t>
      </w:r>
      <w:r>
        <w:rPr>
          <w:snapToGrid w:val="0"/>
        </w:rPr>
        <w:tab/>
        <w:t>Effect of parental leave on service record</w:t>
      </w:r>
      <w:bookmarkEnd w:id="83"/>
    </w:p>
    <w:p>
      <w:pPr>
        <w:pStyle w:val="Subsection"/>
        <w:rPr>
          <w:snapToGrid w:val="0"/>
        </w:rPr>
      </w:pPr>
      <w:r>
        <w:rPr>
          <w:snapToGrid w:val="0"/>
        </w:rPr>
        <w:tab/>
      </w:r>
      <w:r>
        <w:rPr>
          <w:snapToGrid w:val="0"/>
        </w:rPr>
        <w:tab/>
        <w:t>Absence on parental leave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spacing w:before="100"/>
        <w:ind w:left="890" w:hanging="890"/>
      </w:pPr>
      <w:r>
        <w:tab/>
        <w:t>[Section 39 amended: No. 20 of 2002 s. 22(7); amended: Gazette 15 Aug 2003 p. 3688.]</w:t>
      </w:r>
    </w:p>
    <w:p>
      <w:pPr>
        <w:pStyle w:val="Heading2"/>
      </w:pPr>
      <w:bookmarkStart w:id="84" w:name="_Toc90973625"/>
      <w:bookmarkStart w:id="85" w:name="_Toc90974616"/>
      <w:bookmarkStart w:id="86" w:name="_Toc90979117"/>
      <w:r>
        <w:rPr>
          <w:rStyle w:val="CharPartNo"/>
        </w:rPr>
        <w:lastRenderedPageBreak/>
        <w:t>Part 5</w:t>
      </w:r>
      <w:r>
        <w:rPr>
          <w:rStyle w:val="CharDivNo"/>
        </w:rPr>
        <w:t> </w:t>
      </w:r>
      <w:r>
        <w:t>—</w:t>
      </w:r>
      <w:r>
        <w:rPr>
          <w:rStyle w:val="CharDivText"/>
        </w:rPr>
        <w:t> </w:t>
      </w:r>
      <w:r>
        <w:rPr>
          <w:rStyle w:val="CharPartText"/>
        </w:rPr>
        <w:t>Minimum conditions for employment changes with significant effect, and redundancy</w:t>
      </w:r>
      <w:bookmarkEnd w:id="84"/>
      <w:bookmarkEnd w:id="85"/>
      <w:bookmarkEnd w:id="86"/>
    </w:p>
    <w:p>
      <w:pPr>
        <w:pStyle w:val="Heading5"/>
        <w:rPr>
          <w:snapToGrid w:val="0"/>
        </w:rPr>
      </w:pPr>
      <w:bookmarkStart w:id="87" w:name="_Toc90979118"/>
      <w:r>
        <w:rPr>
          <w:rStyle w:val="CharSectno"/>
        </w:rPr>
        <w:t>40</w:t>
      </w:r>
      <w:r>
        <w:rPr>
          <w:snapToGrid w:val="0"/>
        </w:rPr>
        <w:t>.</w:t>
      </w:r>
      <w:r>
        <w:rPr>
          <w:snapToGrid w:val="0"/>
        </w:rPr>
        <w:tab/>
        <w:t>Terms used</w:t>
      </w:r>
      <w:bookmarkEnd w:id="87"/>
    </w:p>
    <w:p>
      <w:pPr>
        <w:pStyle w:val="Subsection"/>
        <w:rPr>
          <w:snapToGrid w:val="0"/>
        </w:rPr>
      </w:pPr>
      <w:r>
        <w:rPr>
          <w:snapToGrid w:val="0"/>
        </w:rPr>
        <w:tab/>
        <w:t>(1)</w:t>
      </w:r>
      <w:r>
        <w:rPr>
          <w:snapToGrid w:val="0"/>
        </w:rPr>
        <w:tab/>
        <w:t>In this Part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w:t>
      </w:r>
    </w:p>
    <w:p>
      <w:pPr>
        <w:pStyle w:val="Indenta"/>
        <w:rPr>
          <w:snapToGrid w:val="0"/>
        </w:rPr>
      </w:pPr>
      <w:r>
        <w:rPr>
          <w:snapToGrid w:val="0"/>
        </w:rPr>
        <w:tab/>
        <w:t>(a)</w:t>
      </w:r>
      <w:r>
        <w:rPr>
          <w:snapToGrid w:val="0"/>
        </w:rPr>
        <w:tab/>
        <w:t>there is to be a major change in the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 or</w:t>
      </w:r>
    </w:p>
    <w:p>
      <w:pPr>
        <w:pStyle w:val="Indenta"/>
        <w:rPr>
          <w:snapToGrid w:val="0"/>
        </w:rPr>
      </w:pPr>
      <w:r>
        <w:rPr>
          <w:snapToGrid w:val="0"/>
        </w:rPr>
        <w:tab/>
        <w:t>(b)</w:t>
      </w:r>
      <w:r>
        <w:rPr>
          <w:snapToGrid w:val="0"/>
        </w:rPr>
        <w:tab/>
        <w:t>there is to be elimination or reduction of —</w:t>
      </w:r>
    </w:p>
    <w:p>
      <w:pPr>
        <w:pStyle w:val="Indenti"/>
        <w:rPr>
          <w:snapToGrid w:val="0"/>
        </w:rPr>
      </w:pPr>
      <w:r>
        <w:rPr>
          <w:snapToGrid w:val="0"/>
        </w:rPr>
        <w:tab/>
        <w:t>(i)</w:t>
      </w:r>
      <w:r>
        <w:rPr>
          <w:snapToGrid w:val="0"/>
        </w:rPr>
        <w:tab/>
        <w:t>a job opportunity; or</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 or</w:t>
      </w:r>
    </w:p>
    <w:p>
      <w:pPr>
        <w:pStyle w:val="Indenta"/>
        <w:rPr>
          <w:snapToGrid w:val="0"/>
        </w:rPr>
      </w:pPr>
      <w:r>
        <w:rPr>
          <w:snapToGrid w:val="0"/>
        </w:rPr>
        <w:tab/>
        <w:t>(c)</w:t>
      </w:r>
      <w:r>
        <w:rPr>
          <w:snapToGrid w:val="0"/>
        </w:rPr>
        <w:tab/>
        <w:t>the hours of the employee’s work are to significantly increase or decrease; or</w:t>
      </w:r>
    </w:p>
    <w:p>
      <w:pPr>
        <w:pStyle w:val="Indenta"/>
        <w:rPr>
          <w:snapToGrid w:val="0"/>
        </w:rPr>
      </w:pPr>
      <w:r>
        <w:rPr>
          <w:snapToGrid w:val="0"/>
        </w:rPr>
        <w:tab/>
        <w:t>(d)</w:t>
      </w:r>
      <w:r>
        <w:rPr>
          <w:snapToGrid w:val="0"/>
        </w:rPr>
        <w:tab/>
        <w:t>the employee is to be required to be retrained; or</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No. 20 of 2002 s. 174; No. 44 of 2008 s. 56(7).]</w:t>
      </w:r>
    </w:p>
    <w:p>
      <w:pPr>
        <w:pStyle w:val="Heading5"/>
        <w:rPr>
          <w:snapToGrid w:val="0"/>
        </w:rPr>
      </w:pPr>
      <w:bookmarkStart w:id="88" w:name="_Toc90979119"/>
      <w:r>
        <w:rPr>
          <w:rStyle w:val="CharSectno"/>
        </w:rPr>
        <w:lastRenderedPageBreak/>
        <w:t>41</w:t>
      </w:r>
      <w:r>
        <w:rPr>
          <w:snapToGrid w:val="0"/>
        </w:rPr>
        <w:t>.</w:t>
      </w:r>
      <w:r>
        <w:rPr>
          <w:snapToGrid w:val="0"/>
        </w:rPr>
        <w:tab/>
        <w:t>Employee to be informed</w:t>
      </w:r>
      <w:bookmarkEnd w:id="88"/>
    </w:p>
    <w:p>
      <w:pPr>
        <w:pStyle w:val="Subsection"/>
        <w:keepNext/>
        <w:keepLines/>
        <w:rPr>
          <w:snapToGrid w:val="0"/>
        </w:rPr>
      </w:pPr>
      <w:r>
        <w:rPr>
          <w:snapToGrid w:val="0"/>
        </w:rPr>
        <w:tab/>
        <w:t>(1)</w:t>
      </w:r>
      <w:r>
        <w:rPr>
          <w:snapToGrid w:val="0"/>
        </w:rPr>
        <w:tab/>
        <w:t>Where an employer has decided to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89" w:name="_Toc90979120"/>
      <w:r>
        <w:rPr>
          <w:rStyle w:val="CharSectno"/>
        </w:rPr>
        <w:t>42</w:t>
      </w:r>
      <w:r>
        <w:rPr>
          <w:snapToGrid w:val="0"/>
        </w:rPr>
        <w:t>.</w:t>
      </w:r>
      <w:r>
        <w:rPr>
          <w:snapToGrid w:val="0"/>
        </w:rPr>
        <w:tab/>
        <w:t>Employer not bound to disclose prejudicial information</w:t>
      </w:r>
      <w:bookmarkEnd w:id="89"/>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90" w:name="_Toc90979121"/>
      <w:r>
        <w:rPr>
          <w:rStyle w:val="CharSectno"/>
        </w:rPr>
        <w:t>43</w:t>
      </w:r>
      <w:r>
        <w:rPr>
          <w:snapToGrid w:val="0"/>
        </w:rPr>
        <w:t>.</w:t>
      </w:r>
      <w:r>
        <w:rPr>
          <w:snapToGrid w:val="0"/>
        </w:rPr>
        <w:tab/>
        <w:t>Paid leave for job interviews, entitlement to</w:t>
      </w:r>
      <w:bookmarkEnd w:id="90"/>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lastRenderedPageBreak/>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No. 20 of 2002 s. 175.]</w:t>
      </w:r>
    </w:p>
    <w:p>
      <w:pPr>
        <w:pStyle w:val="Heading2"/>
      </w:pPr>
      <w:bookmarkStart w:id="91" w:name="_Toc90973630"/>
      <w:bookmarkStart w:id="92" w:name="_Toc90974621"/>
      <w:bookmarkStart w:id="93" w:name="_Toc90979122"/>
      <w:r>
        <w:rPr>
          <w:rStyle w:val="CharPartNo"/>
        </w:rPr>
        <w:lastRenderedPageBreak/>
        <w:t>Part 6</w:t>
      </w:r>
      <w:r>
        <w:rPr>
          <w:rStyle w:val="CharDivNo"/>
        </w:rPr>
        <w:t> </w:t>
      </w:r>
      <w:r>
        <w:t>—</w:t>
      </w:r>
      <w:r>
        <w:rPr>
          <w:rStyle w:val="CharDivText"/>
        </w:rPr>
        <w:t> </w:t>
      </w:r>
      <w:r>
        <w:rPr>
          <w:rStyle w:val="CharPartText"/>
        </w:rPr>
        <w:t>Keeping of records</w:t>
      </w:r>
      <w:bookmarkEnd w:id="91"/>
      <w:bookmarkEnd w:id="92"/>
      <w:bookmarkEnd w:id="93"/>
    </w:p>
    <w:p>
      <w:pPr>
        <w:pStyle w:val="Heading5"/>
        <w:rPr>
          <w:snapToGrid w:val="0"/>
        </w:rPr>
      </w:pPr>
      <w:bookmarkStart w:id="94" w:name="_Toc90979123"/>
      <w:r>
        <w:rPr>
          <w:rStyle w:val="CharSectno"/>
        </w:rPr>
        <w:t>44</w:t>
      </w:r>
      <w:r>
        <w:rPr>
          <w:snapToGrid w:val="0"/>
        </w:rPr>
        <w:t>.</w:t>
      </w:r>
      <w:r>
        <w:rPr>
          <w:snapToGrid w:val="0"/>
        </w:rPr>
        <w:tab/>
        <w:t>Employment records to be kept by employer</w:t>
      </w:r>
      <w:bookmarkEnd w:id="94"/>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w:t>
      </w:r>
    </w:p>
    <w:p>
      <w:pPr>
        <w:pStyle w:val="Indenta"/>
        <w:rPr>
          <w:snapToGrid w:val="0"/>
        </w:rPr>
      </w:pPr>
      <w:r>
        <w:rPr>
          <w:snapToGrid w:val="0"/>
        </w:rPr>
        <w:tab/>
        <w:t>(a)</w:t>
      </w:r>
      <w:r>
        <w:rPr>
          <w:snapToGrid w:val="0"/>
        </w:rPr>
        <w:tab/>
        <w:t>the employee’s name and, if the employee is under 21 years of age, his or her date of birth; and</w:t>
      </w:r>
    </w:p>
    <w:p>
      <w:pPr>
        <w:pStyle w:val="Indenta"/>
        <w:rPr>
          <w:snapToGrid w:val="0"/>
        </w:rPr>
      </w:pPr>
      <w:r>
        <w:rPr>
          <w:snapToGrid w:val="0"/>
        </w:rPr>
        <w:tab/>
        <w:t>(aa)</w:t>
      </w:r>
      <w:r>
        <w:rPr>
          <w:snapToGrid w:val="0"/>
        </w:rPr>
        <w:tab/>
        <w:t>the date on which the employee commenced employment with the employer; and</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 and</w:t>
      </w:r>
    </w:p>
    <w:p>
      <w:pPr>
        <w:pStyle w:val="Indenta"/>
        <w:rPr>
          <w:snapToGrid w:val="0"/>
        </w:rPr>
      </w:pPr>
      <w:r>
        <w:rPr>
          <w:snapToGrid w:val="0"/>
        </w:rPr>
        <w:tab/>
        <w:t>(b)</w:t>
      </w:r>
      <w:r>
        <w:rPr>
          <w:snapToGrid w:val="0"/>
        </w:rPr>
        <w:tab/>
        <w:t>the gross and net amounts paid to the employee under the contract of employment, and all deductions and the reasons for them; and</w:t>
      </w:r>
    </w:p>
    <w:p>
      <w:pPr>
        <w:pStyle w:val="Indenta"/>
        <w:rPr>
          <w:snapToGrid w:val="0"/>
        </w:rPr>
      </w:pPr>
      <w:r>
        <w:rPr>
          <w:snapToGrid w:val="0"/>
        </w:rPr>
        <w:tab/>
        <w:t>(c)</w:t>
      </w:r>
      <w:r>
        <w:rPr>
          <w:snapToGrid w:val="0"/>
        </w:rPr>
        <w:tab/>
        <w:t>all leave taken by the employee, whether paid, partly paid or unpaid; and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lastRenderedPageBreak/>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[Section 44 amended: No. 79 of 1995 s. 64; No. 20 of 2002 s. 22(7) and 176; No. 36 of 2006 s. 40; amended: Gazette 15 Aug 2003 p. 3688.]</w:t>
      </w:r>
    </w:p>
    <w:p>
      <w:pPr>
        <w:pStyle w:val="Heading5"/>
        <w:rPr>
          <w:snapToGrid w:val="0"/>
        </w:rPr>
      </w:pPr>
      <w:bookmarkStart w:id="95" w:name="_Toc90979124"/>
      <w:r>
        <w:rPr>
          <w:rStyle w:val="CharSectno"/>
        </w:rPr>
        <w:t>45</w:t>
      </w:r>
      <w:r>
        <w:rPr>
          <w:snapToGrid w:val="0"/>
        </w:rPr>
        <w:t>.</w:t>
      </w:r>
      <w:r>
        <w:rPr>
          <w:snapToGrid w:val="0"/>
        </w:rPr>
        <w:tab/>
        <w:t>Access to records kept by employer</w:t>
      </w:r>
      <w:bookmarkEnd w:id="95"/>
    </w:p>
    <w:p>
      <w:pPr>
        <w:pStyle w:val="Subsection"/>
        <w:rPr>
          <w:snapToGrid w:val="0"/>
        </w:rPr>
      </w:pPr>
      <w:r>
        <w:rPr>
          <w:snapToGrid w:val="0"/>
        </w:rPr>
        <w:tab/>
        <w:t>(1)</w:t>
      </w:r>
      <w:r>
        <w:rPr>
          <w:snapToGrid w:val="0"/>
        </w:rPr>
        <w:tab/>
        <w:t>An employer, on request in writing by a relevant person, must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lastRenderedPageBreak/>
        <w:tab/>
        <w:t>(3)</w:t>
      </w:r>
      <w:r>
        <w:rPr>
          <w:snapToGrid w:val="0"/>
        </w:rPr>
        <w:tab/>
        <w:t>The duty placed on an employer by subsection (1) —</w:t>
      </w:r>
    </w:p>
    <w:p>
      <w:pPr>
        <w:pStyle w:val="Indenta"/>
        <w:rPr>
          <w:snapToGrid w:val="0"/>
        </w:rPr>
      </w:pPr>
      <w:r>
        <w:rPr>
          <w:snapToGrid w:val="0"/>
        </w:rPr>
        <w:tab/>
        <w:t>(a)</w:t>
      </w:r>
      <w:r>
        <w:rPr>
          <w:snapToGrid w:val="0"/>
        </w:rPr>
        <w:tab/>
        <w:t>continues so long as the record is required to be kept under section 44(3)(b); and</w:t>
      </w:r>
    </w:p>
    <w:p>
      <w:pPr>
        <w:pStyle w:val="Indenta"/>
        <w:rPr>
          <w:snapToGrid w:val="0"/>
        </w:rPr>
      </w:pPr>
      <w:r>
        <w:rPr>
          <w:snapToGrid w:val="0"/>
        </w:rPr>
        <w:tab/>
        <w:t>(b)</w:t>
      </w:r>
      <w:r>
        <w:rPr>
          <w:snapToGrid w:val="0"/>
        </w:rPr>
        <w:tab/>
        <w:t>is not affected by the fact that the employee is no longer employed by the employer; and</w:t>
      </w:r>
    </w:p>
    <w:p>
      <w:pPr>
        <w:pStyle w:val="Indenta"/>
        <w:rPr>
          <w:snapToGrid w:val="0"/>
        </w:rPr>
      </w:pPr>
      <w:r>
        <w:rPr>
          <w:snapToGrid w:val="0"/>
        </w:rPr>
        <w:tab/>
        <w:t>(c)</w:t>
      </w:r>
      <w:r>
        <w:rPr>
          <w:snapToGrid w:val="0"/>
        </w:rPr>
        <w:tab/>
        <w:t>includes the further duties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No. 20 of 2002 s. 177; No. 36 of 2006 s. 41.]</w:t>
      </w:r>
    </w:p>
    <w:p>
      <w:pPr>
        <w:pStyle w:val="Ednotesection"/>
      </w:pPr>
      <w:r>
        <w:t>[</w:t>
      </w:r>
      <w:r>
        <w:rPr>
          <w:b/>
        </w:rPr>
        <w:t>46.</w:t>
      </w:r>
      <w:r>
        <w:tab/>
        <w:t>Deleted: No. 36 of 2006 s. 42.]</w:t>
      </w:r>
    </w:p>
    <w:p>
      <w:pPr>
        <w:pStyle w:val="Heading2"/>
      </w:pPr>
      <w:bookmarkStart w:id="96" w:name="_Toc90973633"/>
      <w:bookmarkStart w:id="97" w:name="_Toc90974624"/>
      <w:bookmarkStart w:id="98" w:name="_Toc90979125"/>
      <w:r>
        <w:rPr>
          <w:rStyle w:val="CharPartNo"/>
        </w:rPr>
        <w:lastRenderedPageBreak/>
        <w:t>Part 7</w:t>
      </w:r>
      <w:r>
        <w:rPr>
          <w:rStyle w:val="CharDivNo"/>
        </w:rPr>
        <w:t> </w:t>
      </w:r>
      <w:r>
        <w:t>—</w:t>
      </w:r>
      <w:r>
        <w:rPr>
          <w:rStyle w:val="CharDivText"/>
        </w:rPr>
        <w:t> </w:t>
      </w:r>
      <w:r>
        <w:rPr>
          <w:rStyle w:val="CharPartText"/>
        </w:rPr>
        <w:t>Regulations</w:t>
      </w:r>
      <w:bookmarkEnd w:id="96"/>
      <w:bookmarkEnd w:id="97"/>
      <w:bookmarkEnd w:id="98"/>
    </w:p>
    <w:p>
      <w:pPr>
        <w:pStyle w:val="Heading5"/>
        <w:rPr>
          <w:snapToGrid w:val="0"/>
        </w:rPr>
      </w:pPr>
      <w:bookmarkStart w:id="99" w:name="_Toc90979126"/>
      <w:r>
        <w:rPr>
          <w:rStyle w:val="CharSectno"/>
        </w:rPr>
        <w:t>47</w:t>
      </w:r>
      <w:r>
        <w:rPr>
          <w:snapToGrid w:val="0"/>
        </w:rPr>
        <w:t>.</w:t>
      </w:r>
      <w:r>
        <w:rPr>
          <w:snapToGrid w:val="0"/>
        </w:rPr>
        <w:tab/>
        <w:t>Regulations</w:t>
      </w:r>
      <w:bookmarkEnd w:id="9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00" w:name="_Toc90973635"/>
      <w:bookmarkStart w:id="101" w:name="_Toc90974626"/>
      <w:bookmarkStart w:id="102" w:name="_Toc90979127"/>
      <w:r>
        <w:rPr>
          <w:rStyle w:val="CharSchNo"/>
        </w:rPr>
        <w:lastRenderedPageBreak/>
        <w:t>Schedule 1</w:t>
      </w:r>
      <w:r>
        <w:rPr>
          <w:rStyle w:val="CharSDivNo"/>
        </w:rPr>
        <w:t> </w:t>
      </w:r>
      <w:r>
        <w:t>—</w:t>
      </w:r>
      <w:r>
        <w:rPr>
          <w:rStyle w:val="CharSDivText"/>
        </w:rPr>
        <w:t> </w:t>
      </w:r>
      <w:r>
        <w:rPr>
          <w:rStyle w:val="CharSchText"/>
        </w:rPr>
        <w:t>Public holidays</w:t>
      </w:r>
      <w:bookmarkEnd w:id="100"/>
      <w:bookmarkEnd w:id="101"/>
      <w:bookmarkEnd w:id="102"/>
    </w:p>
    <w:p>
      <w:pPr>
        <w:pStyle w:val="yShoulderClause"/>
        <w:rPr>
          <w:snapToGrid w:val="0"/>
        </w:rPr>
      </w:pPr>
      <w:r>
        <w:t>[s. 3(1)]</w:t>
      </w:r>
    </w:p>
    <w:p>
      <w:pPr>
        <w:pStyle w:val="yFootnoteheading"/>
        <w:rPr>
          <w:b/>
          <w:snapToGrid w:val="0"/>
        </w:rPr>
      </w:pPr>
      <w:r>
        <w:tab/>
        <w:t>[Heading amended: No. 19 of 2010 s. 4; No. 53 of 2011 s. 50.]</w:t>
      </w:r>
    </w:p>
    <w:p>
      <w:pPr>
        <w:pStyle w:val="yMiscellaneousBody"/>
        <w:rPr>
          <w:snapToGrid w:val="0"/>
        </w:rPr>
      </w:pPr>
      <w:r>
        <w:rPr>
          <w:snapToGrid w:val="0"/>
        </w:rPr>
        <w:t>The following are public holidays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r>
        <w:rPr>
          <w:szCs w:val="22"/>
        </w:rPr>
        <w:t>Western Australia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No. 74 of 2003 s. 84; No. 53 of 2011 s. 50; No. 3 of 2012 s. 7.]</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04" w:name="_Toc90974627"/>
      <w:bookmarkStart w:id="105" w:name="_Toc90979128"/>
      <w:bookmarkStart w:id="106" w:name="_Toc90973638"/>
      <w:r>
        <w:lastRenderedPageBreak/>
        <w:t>Notes</w:t>
      </w:r>
      <w:bookmarkEnd w:id="104"/>
      <w:bookmarkEnd w:id="105"/>
    </w:p>
    <w:p>
      <w:pPr>
        <w:pStyle w:val="nStatement"/>
      </w:pPr>
      <w:r>
        <w:t xml:space="preserve">This is a compilation of the </w:t>
      </w:r>
      <w:r>
        <w:rPr>
          <w:i/>
          <w:noProof/>
        </w:rPr>
        <w:t>Minimum Conditions of Employment Act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7" w:name="_Toc90979129"/>
      <w:r>
        <w:t>Compilation table</w:t>
      </w:r>
      <w:bookmarkEnd w:id="107"/>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9"/>
        <w:gridCol w:w="2523"/>
        <w:gridCol w:w="28"/>
      </w:tblGrid>
      <w:tr>
        <w:trPr>
          <w:gridAfter w:val="1"/>
          <w:wAfter w:w="28"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Minimum Conditions of Employment Act 1993</w:t>
            </w:r>
          </w:p>
        </w:tc>
        <w:tc>
          <w:tcPr>
            <w:tcW w:w="1134" w:type="dxa"/>
            <w:gridSpan w:val="2"/>
          </w:tcPr>
          <w:p>
            <w:pPr>
              <w:pStyle w:val="nTable"/>
              <w:spacing w:after="40"/>
            </w:pPr>
            <w:r>
              <w:t>14 of 1993</w:t>
            </w:r>
          </w:p>
        </w:tc>
        <w:tc>
          <w:tcPr>
            <w:tcW w:w="1135" w:type="dxa"/>
            <w:gridSpan w:val="2"/>
          </w:tcPr>
          <w:p>
            <w:pPr>
              <w:pStyle w:val="nTable"/>
              <w:spacing w:after="40"/>
            </w:pPr>
            <w:r>
              <w:t>23 Nov 1993</w:t>
            </w:r>
          </w:p>
        </w:tc>
        <w:tc>
          <w:tcPr>
            <w:tcW w:w="2551" w:type="dxa"/>
            <w:gridSpan w:val="2"/>
          </w:tcPr>
          <w:p>
            <w:pPr>
              <w:pStyle w:val="nTable"/>
              <w:spacing w:after="40"/>
            </w:pPr>
            <w:r>
              <w:t>s. 1 and 2: 23 Nov 1993;</w:t>
            </w:r>
            <w:r>
              <w:br/>
              <w:t xml:space="preserve">Act other than s. 1 and 2: 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Industrial Relations Legislation Amendment and Repeal Act 1995</w:t>
            </w:r>
            <w:r>
              <w:t xml:space="preserve"> s. 64 and 66(5) and (6)</w:t>
            </w:r>
          </w:p>
        </w:tc>
        <w:tc>
          <w:tcPr>
            <w:tcW w:w="1134" w:type="dxa"/>
            <w:gridSpan w:val="2"/>
          </w:tcPr>
          <w:p>
            <w:pPr>
              <w:pStyle w:val="nTable"/>
              <w:spacing w:after="40"/>
            </w:pPr>
            <w:r>
              <w:t>79 of 1995</w:t>
            </w:r>
          </w:p>
        </w:tc>
        <w:tc>
          <w:tcPr>
            <w:tcW w:w="1135" w:type="dxa"/>
            <w:gridSpan w:val="2"/>
          </w:tcPr>
          <w:p>
            <w:pPr>
              <w:pStyle w:val="nTable"/>
              <w:spacing w:after="40"/>
            </w:pPr>
            <w:r>
              <w:t>16 Jan 1996</w:t>
            </w:r>
          </w:p>
        </w:tc>
        <w:tc>
          <w:tcPr>
            <w:tcW w:w="2551" w:type="dxa"/>
            <w:gridSpan w:val="2"/>
          </w:tcPr>
          <w:p>
            <w:pPr>
              <w:pStyle w:val="nTable"/>
              <w:spacing w:after="40"/>
            </w:pPr>
            <w:r>
              <w:t>s. 64: 16 Jan 1996 (see s. 3(1));</w:t>
            </w:r>
            <w:r>
              <w:br/>
              <w:t xml:space="preserve">s. 66(5) and (6): 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Minimum Conditions of Employment Amendment Act 1996</w:t>
            </w:r>
          </w:p>
        </w:tc>
        <w:tc>
          <w:tcPr>
            <w:tcW w:w="1134" w:type="dxa"/>
            <w:gridSpan w:val="2"/>
          </w:tcPr>
          <w:p>
            <w:pPr>
              <w:pStyle w:val="nTable"/>
              <w:spacing w:after="40"/>
            </w:pPr>
            <w:r>
              <w:t>58 of 1996</w:t>
            </w:r>
          </w:p>
        </w:tc>
        <w:tc>
          <w:tcPr>
            <w:tcW w:w="1135" w:type="dxa"/>
            <w:gridSpan w:val="2"/>
          </w:tcPr>
          <w:p>
            <w:pPr>
              <w:pStyle w:val="nTable"/>
              <w:spacing w:after="40"/>
            </w:pPr>
            <w:r>
              <w:t>11 Nov 1996</w:t>
            </w:r>
          </w:p>
        </w:tc>
        <w:tc>
          <w:tcPr>
            <w:tcW w:w="2551" w:type="dxa"/>
            <w:gridSpan w:val="2"/>
          </w:tcPr>
          <w:p>
            <w:pPr>
              <w:pStyle w:val="nTable"/>
              <w:spacing w:after="40"/>
            </w:pPr>
            <w:r>
              <w:t>1 Dec 1993 (see s. 3)</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Labour Relations Legislation Amendment Act 1997</w:t>
            </w:r>
            <w:r>
              <w:t xml:space="preserve"> s. 39</w:t>
            </w:r>
          </w:p>
        </w:tc>
        <w:tc>
          <w:tcPr>
            <w:tcW w:w="1134" w:type="dxa"/>
            <w:gridSpan w:val="2"/>
          </w:tcPr>
          <w:p>
            <w:pPr>
              <w:pStyle w:val="nTable"/>
              <w:spacing w:after="40"/>
            </w:pPr>
            <w:r>
              <w:t>3 of 1997</w:t>
            </w:r>
          </w:p>
        </w:tc>
        <w:tc>
          <w:tcPr>
            <w:tcW w:w="1135" w:type="dxa"/>
            <w:gridSpan w:val="2"/>
          </w:tcPr>
          <w:p>
            <w:pPr>
              <w:pStyle w:val="nTable"/>
              <w:spacing w:after="40"/>
            </w:pPr>
            <w:r>
              <w:t>23 May 1997</w:t>
            </w:r>
          </w:p>
        </w:tc>
        <w:tc>
          <w:tcPr>
            <w:tcW w:w="2551" w:type="dxa"/>
            <w:gridSpan w:val="2"/>
          </w:tcPr>
          <w:p>
            <w:pPr>
              <w:pStyle w:val="nTable"/>
              <w:spacing w:after="40"/>
            </w:pPr>
            <w:r>
              <w:t>23 May 1997 (see s. 2(1))</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vertAlign w:val="superscript"/>
              </w:rPr>
            </w:pPr>
            <w:r>
              <w:rPr>
                <w:i/>
              </w:rPr>
              <w:t xml:space="preserve">Labour Relations Reform Act 2002 </w:t>
            </w:r>
            <w:r>
              <w:t>s. 22 and Pt. 10 Div. 1 </w:t>
            </w:r>
          </w:p>
        </w:tc>
        <w:tc>
          <w:tcPr>
            <w:tcW w:w="1134" w:type="dxa"/>
            <w:gridSpan w:val="2"/>
          </w:tcPr>
          <w:p>
            <w:pPr>
              <w:pStyle w:val="nTable"/>
              <w:spacing w:after="40"/>
            </w:pPr>
            <w:r>
              <w:t xml:space="preserve">20 of 2002 </w:t>
            </w:r>
          </w:p>
        </w:tc>
        <w:tc>
          <w:tcPr>
            <w:tcW w:w="1135" w:type="dxa"/>
            <w:gridSpan w:val="2"/>
          </w:tcPr>
          <w:p>
            <w:pPr>
              <w:pStyle w:val="nTable"/>
              <w:spacing w:after="40"/>
            </w:pPr>
            <w:r>
              <w:t>8 Jul 2002</w:t>
            </w:r>
          </w:p>
        </w:tc>
        <w:tc>
          <w:tcPr>
            <w:tcW w:w="2551" w:type="dxa"/>
            <w:gridSpan w:val="2"/>
          </w:tcPr>
          <w:p>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Acts Amendment (Equality of Status) Act 2003</w:t>
            </w:r>
            <w:r>
              <w:t xml:space="preserve"> Pt. 45</w:t>
            </w:r>
          </w:p>
        </w:tc>
        <w:tc>
          <w:tcPr>
            <w:tcW w:w="1134" w:type="dxa"/>
            <w:gridSpan w:val="2"/>
          </w:tcPr>
          <w:p>
            <w:pPr>
              <w:pStyle w:val="nTable"/>
              <w:spacing w:after="40"/>
            </w:pPr>
            <w:r>
              <w:t>28 of 2003</w:t>
            </w:r>
          </w:p>
        </w:tc>
        <w:tc>
          <w:tcPr>
            <w:tcW w:w="1135"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gridBefore w:val="1"/>
          <w:wBefore w:w="28" w:type="dxa"/>
          <w:cantSplit/>
        </w:trPr>
        <w:tc>
          <w:tcPr>
            <w:tcW w:w="4537" w:type="dxa"/>
            <w:gridSpan w:val="6"/>
          </w:tcPr>
          <w:p>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51" w:type="dxa"/>
            <w:gridSpan w:val="2"/>
          </w:tcPr>
          <w:p>
            <w:pPr>
              <w:pStyle w:val="nTable"/>
              <w:spacing w:after="40"/>
            </w:pPr>
            <w:r>
              <w:t>15 Sep 2003 (see r. 2)</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pPr>
            <w:r>
              <w:rPr>
                <w:i/>
              </w:rPr>
              <w:t>Statutes (Repeals and Minor Amendments) Act 2003</w:t>
            </w:r>
            <w:r>
              <w:t xml:space="preserve"> s. 84</w:t>
            </w:r>
          </w:p>
        </w:tc>
        <w:tc>
          <w:tcPr>
            <w:tcW w:w="1134" w:type="dxa"/>
            <w:gridSpan w:val="2"/>
          </w:tcPr>
          <w:p>
            <w:pPr>
              <w:pStyle w:val="nTable"/>
              <w:spacing w:after="40"/>
            </w:pPr>
            <w:r>
              <w:t>74 of 2003</w:t>
            </w:r>
          </w:p>
        </w:tc>
        <w:tc>
          <w:tcPr>
            <w:tcW w:w="1135" w:type="dxa"/>
            <w:gridSpan w:val="2"/>
          </w:tcPr>
          <w:p>
            <w:pPr>
              <w:pStyle w:val="nTable"/>
              <w:spacing w:after="40"/>
            </w:pPr>
            <w:r>
              <w:t>15 Dec 2003</w:t>
            </w:r>
          </w:p>
        </w:tc>
        <w:tc>
          <w:tcPr>
            <w:tcW w:w="2551"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59"/>
              <w:rPr>
                <w:i/>
              </w:rPr>
            </w:pPr>
            <w:r>
              <w:rPr>
                <w:i/>
                <w:snapToGrid w:val="0"/>
              </w:rPr>
              <w:lastRenderedPageBreak/>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i/>
                <w:snapToGrid w:val="0"/>
              </w:rPr>
            </w:pPr>
            <w:r>
              <w:rPr>
                <w:i/>
                <w:snapToGrid w:val="0"/>
              </w:rPr>
              <w:t>Criminal Procedure and Appeals (Consequential and Other Provisions) Act 2004</w:t>
            </w:r>
            <w:r>
              <w:rPr>
                <w:snapToGrid w:val="0"/>
              </w:rPr>
              <w:t xml:space="preserve"> s. 78 </w:t>
            </w:r>
            <w:r>
              <w:rPr>
                <w:snapToGrid w:val="0"/>
                <w:vertAlign w:val="superscript"/>
              </w:rPr>
              <w:t>3</w:t>
            </w:r>
          </w:p>
        </w:tc>
        <w:tc>
          <w:tcPr>
            <w:tcW w:w="1134" w:type="dxa"/>
            <w:gridSpan w:val="2"/>
          </w:tcPr>
          <w:p>
            <w:pPr>
              <w:pStyle w:val="nTable"/>
              <w:spacing w:after="40"/>
              <w:rPr>
                <w:snapToGrid w:val="0"/>
              </w:rPr>
            </w:pPr>
            <w:r>
              <w:rPr>
                <w:snapToGrid w:val="0"/>
              </w:rPr>
              <w:t>84 of 2004 (as amended by No. 2 of 2008 s. 78(3))</w:t>
            </w:r>
          </w:p>
        </w:tc>
        <w:tc>
          <w:tcPr>
            <w:tcW w:w="1135"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snapToGrid w:val="0"/>
              </w:rPr>
            </w:pPr>
            <w:r>
              <w:rPr>
                <w:i/>
                <w:snapToGrid w:val="0"/>
              </w:rPr>
              <w:t>Labour Relations Legislation Amendment Act 2006</w:t>
            </w:r>
            <w:r>
              <w:rPr>
                <w:snapToGrid w:val="0"/>
              </w:rPr>
              <w:t xml:space="preserve"> Pt. 2, s. 21 and Pt. 6 </w:t>
            </w:r>
            <w:r>
              <w:rPr>
                <w:snapToGrid w:val="0"/>
                <w:vertAlign w:val="superscript"/>
              </w:rPr>
              <w:t>4</w:t>
            </w:r>
          </w:p>
        </w:tc>
        <w:tc>
          <w:tcPr>
            <w:tcW w:w="1134" w:type="dxa"/>
            <w:gridSpan w:val="2"/>
          </w:tcPr>
          <w:p>
            <w:pPr>
              <w:pStyle w:val="nTable"/>
              <w:spacing w:after="40"/>
              <w:rPr>
                <w:snapToGrid w:val="0"/>
              </w:rPr>
            </w:pPr>
            <w:r>
              <w:rPr>
                <w:snapToGrid w:val="0"/>
              </w:rPr>
              <w:t>36 of 2006</w:t>
            </w:r>
          </w:p>
        </w:tc>
        <w:tc>
          <w:tcPr>
            <w:tcW w:w="1135" w:type="dxa"/>
            <w:gridSpan w:val="2"/>
          </w:tcPr>
          <w:p>
            <w:pPr>
              <w:pStyle w:val="nTable"/>
              <w:spacing w:after="40"/>
            </w:pPr>
            <w:r>
              <w:t>4 Jul 2006</w:t>
            </w:r>
          </w:p>
        </w:tc>
        <w:tc>
          <w:tcPr>
            <w:tcW w:w="2551" w:type="dxa"/>
            <w:gridSpan w:val="2"/>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snapToGrid w:val="0"/>
              </w:rPr>
            </w:pPr>
            <w:r>
              <w:rPr>
                <w:i/>
                <w:snapToGrid w:val="0"/>
              </w:rPr>
              <w:t>Medical Practitioners Act 2008</w:t>
            </w:r>
            <w:r>
              <w:t xml:space="preserve"> Sch. 3 cl. 36</w:t>
            </w:r>
          </w:p>
        </w:tc>
        <w:tc>
          <w:tcPr>
            <w:tcW w:w="1134" w:type="dxa"/>
            <w:gridSpan w:val="2"/>
          </w:tcPr>
          <w:p>
            <w:pPr>
              <w:pStyle w:val="nTable"/>
              <w:spacing w:after="40"/>
              <w:rPr>
                <w:snapToGrid w:val="0"/>
              </w:rPr>
            </w:pPr>
            <w:r>
              <w:t>22 of 2008</w:t>
            </w:r>
          </w:p>
        </w:tc>
        <w:tc>
          <w:tcPr>
            <w:tcW w:w="1135"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8"/>
          </w:tcPr>
          <w:p>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tblPrEx>
          <w:tblBorders>
            <w:top w:val="none" w:sz="0" w:space="0" w:color="auto"/>
            <w:bottom w:val="none" w:sz="0" w:space="0" w:color="auto"/>
            <w:insideH w:val="none" w:sz="0" w:space="0" w:color="auto"/>
          </w:tblBorders>
        </w:tblPrEx>
        <w:trPr>
          <w:gridBefore w:val="1"/>
          <w:wBefore w:w="28" w:type="dxa"/>
        </w:trPr>
        <w:tc>
          <w:tcPr>
            <w:tcW w:w="2268" w:type="dxa"/>
            <w:gridSpan w:val="2"/>
          </w:tcPr>
          <w:p>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gridSpan w:val="2"/>
          </w:tcPr>
          <w:p>
            <w:pPr>
              <w:pStyle w:val="nTable"/>
              <w:spacing w:after="40"/>
            </w:pPr>
            <w:r>
              <w:t>44 of 2008</w:t>
            </w:r>
          </w:p>
        </w:tc>
        <w:tc>
          <w:tcPr>
            <w:tcW w:w="1135" w:type="dxa"/>
            <w:gridSpan w:val="2"/>
          </w:tcPr>
          <w:p>
            <w:pPr>
              <w:pStyle w:val="nTable"/>
              <w:spacing w:after="40"/>
            </w:pPr>
            <w:r>
              <w:t>10 Dec 2008</w:t>
            </w:r>
          </w:p>
        </w:tc>
        <w:tc>
          <w:tcPr>
            <w:tcW w:w="2551" w:type="dxa"/>
            <w:gridSpan w:val="2"/>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36</w:t>
            </w:r>
          </w:p>
        </w:tc>
        <w:tc>
          <w:tcPr>
            <w:tcW w:w="1134" w:type="dxa"/>
            <w:gridSpan w:val="2"/>
          </w:tcPr>
          <w:p>
            <w:pPr>
              <w:pStyle w:val="nTable"/>
              <w:spacing w:after="40"/>
              <w:rPr>
                <w:snapToGrid w:val="0"/>
              </w:rPr>
            </w:pPr>
            <w:r>
              <w:rPr>
                <w:snapToGrid w:val="0"/>
              </w:rPr>
              <w:t>35 of 2010</w:t>
            </w:r>
          </w:p>
        </w:tc>
        <w:tc>
          <w:tcPr>
            <w:tcW w:w="1135"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 xml:space="preserve">Industrial Legislation Amendment Act 2011 </w:t>
            </w:r>
            <w:r>
              <w:rPr>
                <w:snapToGrid w:val="0"/>
              </w:rPr>
              <w:t>Pt. 4</w:t>
            </w:r>
          </w:p>
        </w:tc>
        <w:tc>
          <w:tcPr>
            <w:tcW w:w="1134" w:type="dxa"/>
            <w:gridSpan w:val="2"/>
          </w:tcPr>
          <w:p>
            <w:pPr>
              <w:pStyle w:val="nTable"/>
              <w:spacing w:after="40"/>
              <w:rPr>
                <w:snapToGrid w:val="0"/>
              </w:rPr>
            </w:pPr>
            <w:r>
              <w:rPr>
                <w:snapToGrid w:val="0"/>
              </w:rPr>
              <w:t>53 of 2011</w:t>
            </w:r>
          </w:p>
        </w:tc>
        <w:tc>
          <w:tcPr>
            <w:tcW w:w="1135" w:type="dxa"/>
            <w:gridSpan w:val="2"/>
          </w:tcPr>
          <w:p>
            <w:pPr>
              <w:pStyle w:val="nTable"/>
              <w:spacing w:after="40"/>
              <w:rPr>
                <w:snapToGrid w:val="0"/>
              </w:rPr>
            </w:pPr>
            <w:r>
              <w:rPr>
                <w:snapToGrid w:val="0"/>
              </w:rPr>
              <w:t>11 Nov 2011</w:t>
            </w:r>
          </w:p>
        </w:tc>
        <w:tc>
          <w:tcPr>
            <w:tcW w:w="2551" w:type="dxa"/>
            <w:gridSpan w:val="2"/>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snapToGrid w:val="0"/>
              </w:rPr>
            </w:pPr>
            <w:r>
              <w:rPr>
                <w:i/>
                <w:snapToGrid w:val="0"/>
              </w:rPr>
              <w:t>Western Australia Day (Renaming) Act 2012</w:t>
            </w:r>
            <w:r>
              <w:rPr>
                <w:snapToGrid w:val="0"/>
              </w:rPr>
              <w:t xml:space="preserve"> Pt. 2 Div. 2</w:t>
            </w:r>
          </w:p>
        </w:tc>
        <w:tc>
          <w:tcPr>
            <w:tcW w:w="1134" w:type="dxa"/>
            <w:gridSpan w:val="2"/>
            <w:shd w:val="clear" w:color="auto" w:fill="auto"/>
          </w:tcPr>
          <w:p>
            <w:pPr>
              <w:pStyle w:val="nTable"/>
              <w:spacing w:after="40"/>
              <w:rPr>
                <w:snapToGrid w:val="0"/>
              </w:rPr>
            </w:pPr>
            <w:r>
              <w:rPr>
                <w:snapToGrid w:val="0"/>
              </w:rPr>
              <w:t>3 of 2012</w:t>
            </w:r>
          </w:p>
        </w:tc>
        <w:tc>
          <w:tcPr>
            <w:tcW w:w="1135" w:type="dxa"/>
            <w:gridSpan w:val="2"/>
            <w:shd w:val="clear" w:color="auto" w:fill="auto"/>
          </w:tcPr>
          <w:p>
            <w:pPr>
              <w:pStyle w:val="nTable"/>
              <w:spacing w:after="40"/>
              <w:rPr>
                <w:snapToGrid w:val="0"/>
              </w:rPr>
            </w:pPr>
            <w:r>
              <w:rPr>
                <w:snapToGrid w:val="0"/>
              </w:rPr>
              <w:t>10 Apr 2012</w:t>
            </w:r>
          </w:p>
        </w:tc>
        <w:tc>
          <w:tcPr>
            <w:tcW w:w="2551" w:type="dxa"/>
            <w:gridSpan w:val="2"/>
            <w:shd w:val="clear" w:color="auto" w:fill="auto"/>
          </w:tcPr>
          <w:p>
            <w:pPr>
              <w:pStyle w:val="nTable"/>
              <w:spacing w:after="40"/>
              <w:rPr>
                <w:snapToGrid w:val="0"/>
              </w:rPr>
            </w:pPr>
            <w:r>
              <w:rPr>
                <w:snapToGrid w:val="0"/>
              </w:rPr>
              <w:t>11 Apr 2012 (see s. 2(b))</w:t>
            </w:r>
          </w:p>
        </w:tc>
      </w:tr>
      <w:tr>
        <w:tblPrEx>
          <w:tblBorders>
            <w:top w:val="single" w:sz="4" w:space="0" w:color="auto"/>
            <w:bottom w:val="single" w:sz="4" w:space="0" w:color="auto"/>
            <w:insideH w:val="none" w:sz="0" w:space="0" w:color="auto"/>
          </w:tblBorders>
        </w:tblPrEx>
        <w:trPr>
          <w:gridBefore w:val="1"/>
          <w:wBefore w:w="28" w:type="dxa"/>
          <w:cantSplit/>
        </w:trPr>
        <w:tc>
          <w:tcPr>
            <w:tcW w:w="7088" w:type="dxa"/>
            <w:gridSpan w:val="8"/>
            <w:shd w:val="clear" w:color="auto" w:fill="auto"/>
          </w:tcPr>
          <w:p>
            <w:pPr>
              <w:pStyle w:val="nTable"/>
              <w:spacing w:after="40"/>
              <w:rPr>
                <w:snapToGrid w:val="0"/>
              </w:rPr>
            </w:pPr>
            <w:r>
              <w:rPr>
                <w:b/>
              </w:rPr>
              <w:t xml:space="preserve">Reprint 5: The </w:t>
            </w:r>
            <w:r>
              <w:rPr>
                <w:b/>
                <w:i/>
              </w:rPr>
              <w:t>Minimum Conditions of Employment Act 1993</w:t>
            </w:r>
            <w:r>
              <w:rPr>
                <w:b/>
              </w:rPr>
              <w:t xml:space="preserve"> as at 6 Jul 2012</w:t>
            </w:r>
            <w:r>
              <w:rPr>
                <w:b/>
              </w:rPr>
              <w:br/>
            </w:r>
            <w:r>
              <w:t>(includes amendments listed above)</w:t>
            </w:r>
          </w:p>
        </w:tc>
      </w:tr>
      <w:tr>
        <w:tblPrEx>
          <w:tblBorders>
            <w:top w:val="single" w:sz="4" w:space="0" w:color="auto"/>
            <w:bottom w:val="single" w:sz="4" w:space="0" w:color="auto"/>
            <w:insideH w:val="none" w:sz="0" w:space="0" w:color="auto"/>
          </w:tblBorders>
        </w:tblPrEx>
        <w:trPr>
          <w:gridBefore w:val="1"/>
          <w:wBefore w:w="28" w:type="dxa"/>
          <w:cantSplit/>
        </w:trPr>
        <w:tc>
          <w:tcPr>
            <w:tcW w:w="2268" w:type="dxa"/>
            <w:gridSpan w:val="2"/>
            <w:tcBorders>
              <w:bottom w:val="single" w:sz="4" w:space="0" w:color="auto"/>
            </w:tcBorders>
            <w:shd w:val="clear" w:color="auto" w:fill="auto"/>
          </w:tcPr>
          <w:p>
            <w:pPr>
              <w:pStyle w:val="nTable"/>
              <w:spacing w:after="40"/>
              <w:ind w:right="113"/>
              <w:rPr>
                <w:snapToGrid w:val="0"/>
              </w:rPr>
            </w:pPr>
            <w:r>
              <w:rPr>
                <w:i/>
                <w:snapToGrid w:val="0"/>
              </w:rPr>
              <w:t>Statutes (Repeals) Act 2016</w:t>
            </w:r>
            <w:r>
              <w:rPr>
                <w:snapToGrid w:val="0"/>
              </w:rPr>
              <w:t xml:space="preserve"> Pt. 3 Div. 3</w:t>
            </w:r>
          </w:p>
        </w:tc>
        <w:tc>
          <w:tcPr>
            <w:tcW w:w="1134" w:type="dxa"/>
            <w:gridSpan w:val="2"/>
            <w:tcBorders>
              <w:bottom w:val="single" w:sz="4" w:space="0" w:color="auto"/>
            </w:tcBorders>
            <w:shd w:val="clear" w:color="auto" w:fill="auto"/>
          </w:tcPr>
          <w:p>
            <w:pPr>
              <w:pStyle w:val="nTable"/>
              <w:spacing w:after="40"/>
              <w:rPr>
                <w:snapToGrid w:val="0"/>
              </w:rPr>
            </w:pPr>
            <w:r>
              <w:rPr>
                <w:snapToGrid w:val="0"/>
              </w:rPr>
              <w:t>50 of 2016</w:t>
            </w:r>
          </w:p>
        </w:tc>
        <w:tc>
          <w:tcPr>
            <w:tcW w:w="1135" w:type="dxa"/>
            <w:gridSpan w:val="2"/>
            <w:tcBorders>
              <w:bottom w:val="single" w:sz="4" w:space="0" w:color="auto"/>
            </w:tcBorders>
            <w:shd w:val="clear" w:color="auto" w:fill="auto"/>
          </w:tcPr>
          <w:p>
            <w:pPr>
              <w:pStyle w:val="nTable"/>
              <w:spacing w:after="40"/>
              <w:rPr>
                <w:snapToGrid w:val="0"/>
              </w:rPr>
            </w:pPr>
            <w:r>
              <w:rPr>
                <w:snapToGrid w:val="0"/>
              </w:rPr>
              <w:t>28 Nov 2016</w:t>
            </w:r>
          </w:p>
        </w:tc>
        <w:tc>
          <w:tcPr>
            <w:tcW w:w="2551" w:type="dxa"/>
            <w:gridSpan w:val="2"/>
            <w:tcBorders>
              <w:bottom w:val="single" w:sz="4" w:space="0" w:color="auto"/>
            </w:tcBorders>
            <w:shd w:val="clear" w:color="auto" w:fill="auto"/>
          </w:tcPr>
          <w:p>
            <w:pPr>
              <w:pStyle w:val="nTable"/>
              <w:spacing w:after="40"/>
              <w:rPr>
                <w:snapToGrid w:val="0"/>
              </w:rPr>
            </w:pPr>
            <w:r>
              <w:rPr>
                <w:snapToGrid w:val="0"/>
              </w:rPr>
              <w:t>29 Nov 2016 (see s. 2(b))</w:t>
            </w:r>
          </w:p>
        </w:tc>
      </w:tr>
    </w:tbl>
    <w:p>
      <w:pPr>
        <w:pStyle w:val="nHeading3"/>
      </w:pPr>
      <w:bookmarkStart w:id="108" w:name="_Toc90979130"/>
      <w:r>
        <w:lastRenderedPageBreak/>
        <w:t>Uncommenced provisions table</w:t>
      </w:r>
      <w:bookmarkEnd w:id="10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Industrial Relations Legislation Amendment Act 2021</w:t>
            </w:r>
            <w:r>
              <w:t xml:space="preserve"> Pt. 5</w:t>
            </w:r>
          </w:p>
        </w:tc>
        <w:tc>
          <w:tcPr>
            <w:tcW w:w="1134" w:type="dxa"/>
          </w:tcPr>
          <w:p>
            <w:pPr>
              <w:pStyle w:val="nTable"/>
              <w:spacing w:after="40"/>
              <w:rPr>
                <w:highlight w:val="yellow"/>
              </w:rPr>
            </w:pPr>
            <w:r>
              <w:t>30 of 2021</w:t>
            </w:r>
          </w:p>
        </w:tc>
        <w:tc>
          <w:tcPr>
            <w:tcW w:w="1134" w:type="dxa"/>
          </w:tcPr>
          <w:p>
            <w:pPr>
              <w:pStyle w:val="nTable"/>
              <w:spacing w:after="40"/>
              <w:rPr>
                <w:highlight w:val="yellow"/>
              </w:rPr>
            </w:pPr>
            <w:r>
              <w:t>22 Dec 2021</w:t>
            </w:r>
          </w:p>
        </w:tc>
        <w:tc>
          <w:tcPr>
            <w:tcW w:w="2552" w:type="dxa"/>
          </w:tcPr>
          <w:p>
            <w:pPr>
              <w:pStyle w:val="nTable"/>
              <w:spacing w:after="40"/>
              <w:rPr>
                <w:highlight w:val="yellow"/>
              </w:rPr>
            </w:pPr>
            <w:r>
              <w:rPr>
                <w:snapToGrid w:val="0"/>
              </w:rPr>
              <w:t>To be proclaimed (see s. 2(1)(b))</w:t>
            </w:r>
          </w:p>
        </w:tc>
      </w:tr>
    </w:tbl>
    <w:p>
      <w:pPr>
        <w:pStyle w:val="nHeading3"/>
      </w:pPr>
      <w:bookmarkStart w:id="109" w:name="_Toc90970786"/>
      <w:bookmarkStart w:id="110" w:name="_Toc90972928"/>
      <w:bookmarkStart w:id="111" w:name="_Toc90979131"/>
      <w:r>
        <w:t>Other notes</w:t>
      </w:r>
      <w:bookmarkEnd w:id="109"/>
      <w:bookmarkEnd w:id="110"/>
      <w:bookmarkEnd w:id="111"/>
    </w:p>
    <w:p>
      <w:pPr>
        <w:pStyle w:val="nNote"/>
        <w:spacing w:before="160"/>
        <w:rPr>
          <w:snapToGrid w:val="0"/>
        </w:rPr>
      </w:pPr>
      <w:r>
        <w:rPr>
          <w:snapToGrid w:val="0"/>
          <w:vertAlign w:val="superscript"/>
        </w:rPr>
        <w:t>1</w:t>
      </w:r>
      <w:r>
        <w:rPr>
          <w:snapToGrid w:val="0"/>
          <w:vertAlign w:val="superscript"/>
        </w:rPr>
        <w:tab/>
      </w:r>
      <w:r>
        <w:rPr>
          <w:snapToGrid w:val="0"/>
        </w:rPr>
        <w:t>Expired 14 September 2003.</w:t>
      </w:r>
    </w:p>
    <w:p>
      <w:pPr>
        <w:pStyle w:val="nNote"/>
        <w:keepNext/>
        <w:spacing w:before="160"/>
        <w:rPr>
          <w:snapToGrid w:val="0"/>
        </w:rPr>
      </w:pPr>
      <w:r>
        <w:rPr>
          <w:snapToGrid w:val="0"/>
          <w:vertAlign w:val="superscript"/>
        </w:rPr>
        <w:t>2</w:t>
      </w:r>
      <w:r>
        <w:rPr>
          <w:snapToGrid w:val="0"/>
          <w:vertAlign w:val="superscript"/>
        </w:rPr>
        <w:tab/>
      </w:r>
      <w:r>
        <w:t xml:space="preserve">Deleted by the </w:t>
      </w:r>
      <w:r>
        <w:rPr>
          <w:i/>
        </w:rPr>
        <w:t>Industrial Relations Amendment Act 1993</w:t>
      </w:r>
      <w:r>
        <w:t xml:space="preserve"> s. 18(1)(c).</w:t>
      </w:r>
    </w:p>
    <w:p>
      <w:pPr>
        <w:pStyle w:val="nNote"/>
        <w:spacing w:before="120"/>
        <w:rPr>
          <w:snapToGrid w:val="0"/>
        </w:rPr>
      </w:pPr>
      <w:r>
        <w:rPr>
          <w:vertAlign w:val="superscript"/>
        </w:rPr>
        <w:t>3</w:t>
      </w:r>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pPr>
        <w:pStyle w:val="nNote"/>
        <w:spacing w:before="120"/>
        <w:rPr>
          <w:snapToGrid w:val="0"/>
          <w:sz w:val="19"/>
        </w:rPr>
      </w:pPr>
      <w:r>
        <w:rPr>
          <w:snapToGrid w:val="0"/>
          <w:vertAlign w:val="superscript"/>
        </w:rPr>
        <w:t>4</w:t>
      </w:r>
      <w:r>
        <w:rPr>
          <w:snapToGrid w:val="0"/>
        </w:rPr>
        <w:tab/>
        <w:t xml:space="preserve">The </w:t>
      </w:r>
      <w:r>
        <w:rPr>
          <w:i/>
          <w:snapToGrid w:val="0"/>
          <w:sz w:val="19"/>
        </w:rPr>
        <w:t>Labour Relations Legislation Amendment Act 2006</w:t>
      </w:r>
      <w:r>
        <w:rPr>
          <w:snapToGrid w:val="0"/>
          <w:sz w:val="19"/>
        </w:rPr>
        <w:t xml:space="preserve"> s. 31(2) reads as follows:</w:t>
      </w:r>
    </w:p>
    <w:p>
      <w:pPr>
        <w:pStyle w:val="BlankOpen"/>
        <w:rPr>
          <w:snapToGrid w:val="0"/>
        </w:rPr>
      </w:pP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bookmarkEnd w:id="106"/>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13" w:name="_Toc90970569"/>
      <w:bookmarkStart w:id="114" w:name="_Toc90970787"/>
      <w:bookmarkStart w:id="115" w:name="_Toc90972929"/>
      <w:bookmarkStart w:id="116" w:name="_Toc90974631"/>
      <w:bookmarkStart w:id="117" w:name="_Toc90979132"/>
      <w:r>
        <w:rPr>
          <w:sz w:val="28"/>
        </w:rPr>
        <w:lastRenderedPageBreak/>
        <w:t>Defined terms</w:t>
      </w:r>
      <w:bookmarkEnd w:id="113"/>
      <w:bookmarkEnd w:id="114"/>
      <w:bookmarkEnd w:id="115"/>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adoption</w:t>
      </w:r>
      <w:r>
        <w:tab/>
        <w:t>32(1)</w:t>
      </w:r>
    </w:p>
    <w:p>
      <w:pPr>
        <w:pStyle w:val="DefinedTerms"/>
      </w:pPr>
      <w:r>
        <w:t>annual leave</w:t>
      </w:r>
      <w:r>
        <w:tab/>
        <w:t>3(1)</w:t>
      </w:r>
    </w:p>
    <w:p>
      <w:pPr>
        <w:pStyle w:val="DefinedTerms"/>
      </w:pPr>
      <w:r>
        <w:t>apprentice</w:t>
      </w:r>
      <w:r>
        <w:tab/>
        <w:t>3(1)</w:t>
      </w:r>
    </w:p>
    <w:p>
      <w:pPr>
        <w:pStyle w:val="DefinedTerms"/>
      </w:pPr>
      <w:r>
        <w:t>authorised leave</w:t>
      </w:r>
      <w:r>
        <w:tab/>
        <w:t>9A(4)</w:t>
      </w:r>
    </w:p>
    <w:p>
      <w:pPr>
        <w:pStyle w:val="DefinedTerms"/>
      </w:pPr>
      <w:r>
        <w:t>award</w:t>
      </w:r>
      <w:r>
        <w:tab/>
        <w:t>3(1)</w:t>
      </w:r>
    </w:p>
    <w:p>
      <w:pPr>
        <w:pStyle w:val="DefinedTerms"/>
      </w:pPr>
      <w:r>
        <w:t>carer’s leave</w:t>
      </w:r>
      <w:r>
        <w:tab/>
        <w:t>3(1)</w:t>
      </w:r>
    </w:p>
    <w:p>
      <w:pPr>
        <w:pStyle w:val="DefinedTerms"/>
      </w:pPr>
      <w:r>
        <w:t>continuous service</w:t>
      </w:r>
      <w:r>
        <w:tab/>
        <w:t>3(1)</w:t>
      </w:r>
    </w:p>
    <w:p>
      <w:pPr>
        <w:pStyle w:val="DefinedTerms"/>
      </w:pPr>
      <w:r>
        <w:t>eligible</w:t>
      </w:r>
      <w:r>
        <w:tab/>
        <w:t>32(2), 32(3)</w:t>
      </w:r>
    </w:p>
    <w:p>
      <w:pPr>
        <w:pStyle w:val="DefinedTerms"/>
      </w:pPr>
      <w:r>
        <w:t>employee</w:t>
      </w:r>
      <w:r>
        <w:tab/>
        <w:t>3(1), 32(1), 40(1)</w:t>
      </w:r>
    </w:p>
    <w:p>
      <w:pPr>
        <w:pStyle w:val="DefinedTerms"/>
      </w:pPr>
      <w:r>
        <w:t>employer</w:t>
      </w:r>
      <w:r>
        <w:tab/>
        <w:t>3(1)</w:t>
      </w:r>
    </w:p>
    <w:p>
      <w:pPr>
        <w:pStyle w:val="DefinedTerms"/>
      </w:pPr>
      <w:r>
        <w:t>employer</w:t>
      </w:r>
      <w:r>
        <w:noBreakHyphen/>
        <w:t>employee agreement</w:t>
      </w:r>
      <w:r>
        <w:tab/>
        <w:t>3(1)</w:t>
      </w:r>
    </w:p>
    <w:p>
      <w:pPr>
        <w:pStyle w:val="DefinedTerms"/>
      </w:pPr>
      <w:r>
        <w:t>expected date of birth</w:t>
      </w:r>
      <w:r>
        <w:tab/>
        <w:t>32(1)</w:t>
      </w:r>
    </w:p>
    <w:p>
      <w:pPr>
        <w:pStyle w:val="DefinedTerms"/>
      </w:pPr>
      <w:r>
        <w:t>first period of employment</w:t>
      </w:r>
      <w:r>
        <w:tab/>
        <w:t>32(3)</w:t>
      </w:r>
    </w:p>
    <w:p>
      <w:pPr>
        <w:pStyle w:val="DefinedTerms"/>
      </w:pPr>
      <w:r>
        <w:t>industrial instrument</w:t>
      </w:r>
      <w:r>
        <w:tab/>
        <w:t>9A(4)</w:t>
      </w:r>
    </w:p>
    <w:p>
      <w:pPr>
        <w:pStyle w:val="DefinedTerms"/>
      </w:pPr>
      <w:r>
        <w:t>IR Act</w:t>
      </w:r>
      <w:r>
        <w:tab/>
        <w:t>3(1)</w:t>
      </w:r>
    </w:p>
    <w:p>
      <w:pPr>
        <w:pStyle w:val="DefinedTerms"/>
      </w:pPr>
      <w:r>
        <w:t>medical practitioner</w:t>
      </w:r>
      <w:r>
        <w:tab/>
        <w:t>3(1)</w:t>
      </w:r>
    </w:p>
    <w:p>
      <w:pPr>
        <w:pStyle w:val="DefinedTerms"/>
      </w:pPr>
      <w:r>
        <w:t>member of the employee’s family or household</w:t>
      </w:r>
      <w:r>
        <w:tab/>
        <w:t>3(1)</w:t>
      </w:r>
    </w:p>
    <w:p>
      <w:pPr>
        <w:pStyle w:val="DefinedTerms"/>
      </w:pPr>
      <w:r>
        <w:t>minimum condition of employment</w:t>
      </w:r>
      <w:r>
        <w:tab/>
        <w:t>3(1)</w:t>
      </w:r>
    </w:p>
    <w:p>
      <w:pPr>
        <w:pStyle w:val="DefinedTerms"/>
      </w:pPr>
      <w:r>
        <w:t>modified basis</w:t>
      </w:r>
      <w:r>
        <w:tab/>
        <w:t>38(8)</w:t>
      </w:r>
    </w:p>
    <w:p>
      <w:pPr>
        <w:pStyle w:val="DefinedTerms"/>
      </w:pPr>
      <w:r>
        <w:t>offshore area</w:t>
      </w:r>
      <w:r>
        <w:tab/>
        <w:t>6(2)</w:t>
      </w:r>
    </w:p>
    <w:p>
      <w:pPr>
        <w:pStyle w:val="DefinedTerms"/>
      </w:pPr>
      <w:r>
        <w:t>on call</w:t>
      </w:r>
      <w:r>
        <w:tab/>
        <w:t>3(3)</w:t>
      </w:r>
    </w:p>
    <w:p>
      <w:pPr>
        <w:pStyle w:val="DefinedTerms"/>
      </w:pPr>
      <w:r>
        <w:t>paid carer’s leave</w:t>
      </w:r>
      <w:r>
        <w:tab/>
        <w:t>20B(3)</w:t>
      </w:r>
    </w:p>
    <w:p>
      <w:pPr>
        <w:pStyle w:val="DefinedTerms"/>
      </w:pPr>
      <w:r>
        <w:t>parental leave</w:t>
      </w:r>
      <w:r>
        <w:tab/>
        <w:t>32(1)</w:t>
      </w:r>
    </w:p>
    <w:p>
      <w:pPr>
        <w:pStyle w:val="DefinedTerms"/>
      </w:pPr>
      <w:r>
        <w:t>permissible occasion</w:t>
      </w:r>
      <w:r>
        <w:tab/>
        <w:t>20B(1)</w:t>
      </w:r>
    </w:p>
    <w:p>
      <w:pPr>
        <w:pStyle w:val="DefinedTerms"/>
      </w:pPr>
      <w:r>
        <w:t>prescribed percentage</w:t>
      </w:r>
      <w:r>
        <w:tab/>
        <w:t>11(2)</w:t>
      </w:r>
    </w:p>
    <w:p>
      <w:pPr>
        <w:pStyle w:val="DefinedTerms"/>
      </w:pPr>
      <w:r>
        <w:t>public holiday</w:t>
      </w:r>
      <w:r>
        <w:tab/>
        <w:t>3(1)</w:t>
      </w:r>
    </w:p>
    <w:p>
      <w:pPr>
        <w:pStyle w:val="DefinedTerms"/>
      </w:pPr>
      <w:r>
        <w:t>redundant</w:t>
      </w:r>
      <w:r>
        <w:tab/>
        <w:t>40(1)</w:t>
      </w:r>
    </w:p>
    <w:p>
      <w:pPr>
        <w:pStyle w:val="DefinedTerms"/>
      </w:pPr>
      <w:r>
        <w:t>second period of employment</w:t>
      </w:r>
      <w:r>
        <w:tab/>
        <w:t>32(3)</w:t>
      </w:r>
    </w:p>
    <w:p>
      <w:pPr>
        <w:pStyle w:val="DefinedTerms"/>
      </w:pPr>
      <w:r>
        <w:t>time</w:t>
      </w:r>
      <w:r>
        <w:tab/>
        <w:t>20A(2)</w:t>
      </w:r>
    </w:p>
    <w:p>
      <w:pPr>
        <w:pStyle w:val="DefinedTerms"/>
      </w:pPr>
      <w:r>
        <w:t>wages</w:t>
      </w:r>
      <w:r>
        <w:tab/>
        <w:t>17A(2)</w:t>
      </w:r>
    </w:p>
    <w:p>
      <w:pPr>
        <w:pStyle w:val="DefinedTerms"/>
      </w:pPr>
      <w:r>
        <w:t>year</w:t>
      </w:r>
      <w:r>
        <w:tab/>
        <w:t>19(5), 23(3), 24(4)</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3" w:name="Schedule"/>
    <w:bookmarkEnd w:id="1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9" w:name="Coversheet"/>
    <w:bookmarkEnd w:id="1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21100349"/>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 w:name="WAFER_20211221100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0349_GUID" w:val="cb0d49d3-915f-425d-a759-2fd74260b8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10207</Words>
  <Characters>46854</Characters>
  <Application>Microsoft Office Word</Application>
  <DocSecurity>0</DocSecurity>
  <Lines>1378</Lines>
  <Paragraphs>877</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1993 - 05-c0-00</dc:title>
  <dc:subject/>
  <dc:creator/>
  <cp:keywords/>
  <dc:description/>
  <cp:lastModifiedBy>Master Repository Process</cp:lastModifiedBy>
  <cp:revision>4</cp:revision>
  <cp:lastPrinted>2016-12-06T07:55:00Z</cp:lastPrinted>
  <dcterms:created xsi:type="dcterms:W3CDTF">2021-12-23T02:54:00Z</dcterms:created>
  <dcterms:modified xsi:type="dcterms:W3CDTF">2021-12-23T02:54:00Z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DocumentType">
    <vt:lpwstr>Act</vt:lpwstr>
  </property>
  <property fmtid="{D5CDD505-2E9C-101B-9397-08002B2CF9AE}" pid="4" name="OwlsUID">
    <vt:i4>516</vt:i4>
  </property>
  <property fmtid="{D5CDD505-2E9C-101B-9397-08002B2CF9AE}" pid="5" name="ReprintNo">
    <vt:lpwstr>5</vt:lpwstr>
  </property>
  <property fmtid="{D5CDD505-2E9C-101B-9397-08002B2CF9AE}" pid="6" name="ReprintedAsAt">
    <vt:filetime>2012-07-05T16:00:00Z</vt:filetime>
  </property>
  <property fmtid="{D5CDD505-2E9C-101B-9397-08002B2CF9AE}" pid="7" name="AsAtDate">
    <vt:lpwstr>22 Dec 2021</vt:lpwstr>
  </property>
  <property fmtid="{D5CDD505-2E9C-101B-9397-08002B2CF9AE}" pid="8" name="Suffix">
    <vt:lpwstr>05-c0-00</vt:lpwstr>
  </property>
  <property fmtid="{D5CDD505-2E9C-101B-9397-08002B2CF9AE}" pid="9" name="CommencementDate">
    <vt:lpwstr>20211222</vt:lpwstr>
  </property>
</Properties>
</file>