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_Toc95122840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_Toc95122841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_Toc95122842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_Toc95122843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_Toc95122844 \h </w:instrText>
      </w:r>
      <w:r>
        <w:fldChar w:fldCharType="separate"/>
      </w:r>
      <w:r>
        <w:t>9</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_Toc95122845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_Toc95122846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_Toc95122847 \h </w:instrText>
      </w:r>
      <w:r>
        <w:fldChar w:fldCharType="separate"/>
      </w:r>
      <w:r>
        <w:t>13</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_Toc95122848 \h </w:instrText>
      </w:r>
      <w:r>
        <w:fldChar w:fldCharType="separate"/>
      </w:r>
      <w:r>
        <w:t>13</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_Toc95122849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_Toc95122850 \h </w:instrText>
      </w:r>
      <w:r>
        <w:fldChar w:fldCharType="separate"/>
      </w:r>
      <w:r>
        <w:t>14</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_Toc95122851 \h </w:instrText>
      </w:r>
      <w:r>
        <w:fldChar w:fldCharType="separate"/>
      </w:r>
      <w:r>
        <w:t>15</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_Toc95122852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_Toc95122855 \h </w:instrText>
      </w:r>
      <w:r>
        <w:fldChar w:fldCharType="separate"/>
      </w:r>
      <w:r>
        <w:t>17</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_Toc95122856 \h </w:instrText>
      </w:r>
      <w:r>
        <w:fldChar w:fldCharType="separate"/>
      </w:r>
      <w:r>
        <w:t>19</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_Toc95122857 \h </w:instrText>
      </w:r>
      <w:r>
        <w:fldChar w:fldCharType="separate"/>
      </w:r>
      <w:r>
        <w:t>20</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_Toc95122858 \h </w:instrText>
      </w:r>
      <w:r>
        <w:fldChar w:fldCharType="separate"/>
      </w:r>
      <w:r>
        <w:t>20</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_Toc95122859 \h </w:instrText>
      </w:r>
      <w:r>
        <w:fldChar w:fldCharType="separate"/>
      </w:r>
      <w:r>
        <w:t>21</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_Toc95122860 \h </w:instrText>
      </w:r>
      <w:r>
        <w:fldChar w:fldCharType="separate"/>
      </w:r>
      <w:r>
        <w:t>21</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_Toc95122861 \h </w:instrText>
      </w:r>
      <w:r>
        <w:fldChar w:fldCharType="separate"/>
      </w:r>
      <w:r>
        <w:t>21</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_Toc95122862 \h </w:instrText>
      </w:r>
      <w:r>
        <w:fldChar w:fldCharType="separate"/>
      </w:r>
      <w:r>
        <w:t>23</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_Toc95122863 \h </w:instrText>
      </w:r>
      <w:r>
        <w:fldChar w:fldCharType="separate"/>
      </w:r>
      <w:r>
        <w:t>24</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_Toc95122864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_Toc95122867 \h </w:instrText>
      </w:r>
      <w:r>
        <w:fldChar w:fldCharType="separate"/>
      </w:r>
      <w:r>
        <w:t>27</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_Toc95122868 \h </w:instrText>
      </w:r>
      <w:r>
        <w:fldChar w:fldCharType="separate"/>
      </w:r>
      <w:r>
        <w:t>28</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_Toc95122869 \h </w:instrText>
      </w:r>
      <w:r>
        <w:fldChar w:fldCharType="separate"/>
      </w:r>
      <w:r>
        <w:t>31</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_Toc95122870 \h </w:instrText>
      </w:r>
      <w:r>
        <w:fldChar w:fldCharType="separate"/>
      </w:r>
      <w:r>
        <w:t>31</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_Toc95122871 \h </w:instrText>
      </w:r>
      <w:r>
        <w:fldChar w:fldCharType="separate"/>
      </w:r>
      <w:r>
        <w:t>33</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_Toc95122872 \h </w:instrText>
      </w:r>
      <w:r>
        <w:fldChar w:fldCharType="separate"/>
      </w:r>
      <w:r>
        <w:t>34</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_Toc95122873 \h </w:instrText>
      </w:r>
      <w:r>
        <w:fldChar w:fldCharType="separate"/>
      </w:r>
      <w:r>
        <w:t>34</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_Toc95122874 \h </w:instrText>
      </w:r>
      <w:r>
        <w:fldChar w:fldCharType="separate"/>
      </w:r>
      <w:r>
        <w:t>35</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_Toc95122875 \h </w:instrText>
      </w:r>
      <w:r>
        <w:fldChar w:fldCharType="separate"/>
      </w:r>
      <w:r>
        <w:t>35</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_Toc95122876 \h </w:instrText>
      </w:r>
      <w:r>
        <w:fldChar w:fldCharType="separate"/>
      </w:r>
      <w:r>
        <w:t>36</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_Toc95122877 \h </w:instrText>
      </w:r>
      <w:r>
        <w:fldChar w:fldCharType="separate"/>
      </w:r>
      <w:r>
        <w:t>36</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_Toc95122878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_Toc95122880 \h </w:instrText>
      </w:r>
      <w:r>
        <w:fldChar w:fldCharType="separate"/>
      </w:r>
      <w:r>
        <w:t>36</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_Toc95122881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_Toc95122883 \h </w:instrText>
      </w:r>
      <w:r>
        <w:fldChar w:fldCharType="separate"/>
      </w:r>
      <w:r>
        <w:t>38</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_Toc95122884 \h </w:instrText>
      </w:r>
      <w:r>
        <w:fldChar w:fldCharType="separate"/>
      </w:r>
      <w:r>
        <w:t>39</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_Toc95122885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_Toc95122887 \h </w:instrText>
      </w:r>
      <w:r>
        <w:fldChar w:fldCharType="separate"/>
      </w:r>
      <w:r>
        <w:t>40</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_Toc95122888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elements</w:t>
      </w:r>
      <w:r>
        <w:tab/>
      </w:r>
      <w:r>
        <w:fldChar w:fldCharType="begin"/>
      </w:r>
      <w:r>
        <w:instrText xml:space="preserve"> PAGEREF _Toc95122890 \h </w:instrText>
      </w:r>
      <w:r>
        <w:fldChar w:fldCharType="separate"/>
      </w:r>
      <w:r>
        <w:t>40</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_Toc95122891 \h </w:instrText>
      </w:r>
      <w:r>
        <w:fldChar w:fldCharType="separate"/>
      </w:r>
      <w:r>
        <w:t>41</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_Toc95122892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elements</w:t>
      </w:r>
      <w:r>
        <w:tab/>
      </w:r>
      <w:r>
        <w:fldChar w:fldCharType="begin"/>
      </w:r>
      <w:r>
        <w:instrText xml:space="preserve"> PAGEREF _Toc95122894 \h </w:instrText>
      </w:r>
      <w:r>
        <w:fldChar w:fldCharType="separate"/>
      </w:r>
      <w:r>
        <w:t>43</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_Toc95122895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_Toc95122898 \h </w:instrText>
      </w:r>
      <w:r>
        <w:fldChar w:fldCharType="separate"/>
      </w:r>
      <w:r>
        <w:t>45</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_Toc95122899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_Toc95122901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_Toc95122902 \h </w:instrText>
      </w:r>
      <w:r>
        <w:fldChar w:fldCharType="separate"/>
      </w:r>
      <w:r>
        <w:t>47</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_Toc95122903 \h </w:instrText>
      </w:r>
      <w:r>
        <w:fldChar w:fldCharType="separate"/>
      </w:r>
      <w:r>
        <w:t>47</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_Toc95122904 \h </w:instrText>
      </w:r>
      <w:r>
        <w:fldChar w:fldCharType="separate"/>
      </w:r>
      <w:r>
        <w:t>47</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_Toc95122905 \h </w:instrText>
      </w:r>
      <w:r>
        <w:fldChar w:fldCharType="separate"/>
      </w:r>
      <w:r>
        <w:t>48</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_Toc95122906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_Toc95122909 \h </w:instrText>
      </w:r>
      <w:r>
        <w:fldChar w:fldCharType="separate"/>
      </w:r>
      <w:r>
        <w:t>50</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_Toc95122910 \h </w:instrText>
      </w:r>
      <w:r>
        <w:fldChar w:fldCharType="separate"/>
      </w:r>
      <w:r>
        <w:t>52</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_Toc95122911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_Toc95122913 \h </w:instrText>
      </w:r>
      <w:r>
        <w:fldChar w:fldCharType="separate"/>
      </w:r>
      <w:r>
        <w:t>52</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_Toc95122914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_Toc95122917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_Toc95122919 \h </w:instrText>
      </w:r>
      <w:r>
        <w:fldChar w:fldCharType="separate"/>
      </w:r>
      <w:r>
        <w:t>54</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_Toc95122920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_Toc95122922 \h </w:instrText>
      </w:r>
      <w:r>
        <w:fldChar w:fldCharType="separate"/>
      </w:r>
      <w:r>
        <w:t>55</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_Toc95122923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_Toc95122925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_Toc95122928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_Toc95122930 \h </w:instrText>
      </w:r>
      <w:r>
        <w:fldChar w:fldCharType="separate"/>
      </w:r>
      <w:r>
        <w:t>59</w:t>
      </w:r>
      <w:r>
        <w:fldChar w:fldCharType="end"/>
      </w:r>
    </w:p>
    <w:p>
      <w:pPr>
        <w:pStyle w:val="TOC8"/>
        <w:rPr>
          <w:rFonts w:asciiTheme="minorHAnsi" w:eastAsiaTheme="minorEastAsia" w:hAnsiTheme="minorHAnsi" w:cstheme="minorBidi"/>
          <w:szCs w:val="22"/>
        </w:rPr>
      </w:pPr>
      <w:r>
        <w:t>74.</w:t>
      </w:r>
      <w:r>
        <w:tab/>
        <w:t>Documenting of child assessments or evaluations for delivery of educational program</w:t>
      </w:r>
      <w:r>
        <w:tab/>
      </w:r>
      <w:r>
        <w:fldChar w:fldCharType="begin"/>
      </w:r>
      <w:r>
        <w:instrText xml:space="preserve"> PAGEREF _Toc95122931 \h </w:instrText>
      </w:r>
      <w:r>
        <w:fldChar w:fldCharType="separate"/>
      </w:r>
      <w:r>
        <w:t>59</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_Toc95122932 \h </w:instrText>
      </w:r>
      <w:r>
        <w:fldChar w:fldCharType="separate"/>
      </w:r>
      <w:r>
        <w:t>60</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_Toc95122933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_Toc95122936 \h </w:instrText>
      </w:r>
      <w:r>
        <w:fldChar w:fldCharType="separate"/>
      </w:r>
      <w:r>
        <w:t>61</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_Toc95122937 \h </w:instrText>
      </w:r>
      <w:r>
        <w:fldChar w:fldCharType="separate"/>
      </w:r>
      <w:r>
        <w:t>62</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_Toc95122938 \h </w:instrText>
      </w:r>
      <w:r>
        <w:fldChar w:fldCharType="separate"/>
      </w:r>
      <w:r>
        <w:t>63</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_Toc95122939 \h </w:instrText>
      </w:r>
      <w:r>
        <w:fldChar w:fldCharType="separate"/>
      </w:r>
      <w:r>
        <w:t>65</w:t>
      </w:r>
      <w:r>
        <w:fldChar w:fldCharType="end"/>
      </w:r>
    </w:p>
    <w:p>
      <w:pPr>
        <w:pStyle w:val="TOC8"/>
        <w:rPr>
          <w:rFonts w:asciiTheme="minorHAnsi" w:eastAsiaTheme="minorEastAsia" w:hAnsiTheme="minorHAnsi" w:cstheme="minorBidi"/>
          <w:szCs w:val="22"/>
        </w:rPr>
      </w:pPr>
      <w:r>
        <w:t>81.</w:t>
      </w:r>
      <w:r>
        <w:tab/>
        <w:t>Sleep and rest</w:t>
      </w:r>
      <w:r>
        <w:tab/>
      </w:r>
      <w:r>
        <w:fldChar w:fldCharType="begin"/>
      </w:r>
      <w:r>
        <w:instrText xml:space="preserve"> PAGEREF _Toc95122940 \h </w:instrText>
      </w:r>
      <w:r>
        <w:fldChar w:fldCharType="separate"/>
      </w:r>
      <w:r>
        <w:t>66</w:t>
      </w:r>
      <w:r>
        <w:fldChar w:fldCharType="end"/>
      </w:r>
    </w:p>
    <w:p>
      <w:pPr>
        <w:pStyle w:val="TOC8"/>
        <w:rPr>
          <w:rFonts w:asciiTheme="minorHAnsi" w:eastAsiaTheme="minorEastAsia" w:hAnsiTheme="minorHAnsi" w:cstheme="minorBidi"/>
          <w:szCs w:val="22"/>
        </w:rPr>
      </w:pPr>
      <w:r>
        <w:t>82.</w:t>
      </w:r>
      <w:r>
        <w:tab/>
        <w:t>Tobacco, drug and alcohol</w:t>
      </w:r>
      <w:r>
        <w:noBreakHyphen/>
        <w:t>free environment</w:t>
      </w:r>
      <w:r>
        <w:tab/>
      </w:r>
      <w:r>
        <w:fldChar w:fldCharType="begin"/>
      </w:r>
      <w:r>
        <w:instrText xml:space="preserve"> PAGEREF _Toc95122941 \h </w:instrText>
      </w:r>
      <w:r>
        <w:fldChar w:fldCharType="separate"/>
      </w:r>
      <w:r>
        <w:t>67</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_Toc95122942 \h </w:instrText>
      </w:r>
      <w:r>
        <w:fldChar w:fldCharType="separate"/>
      </w:r>
      <w:r>
        <w:t>67</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_Toc95122943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_Toc95122945 \h </w:instrText>
      </w:r>
      <w:r>
        <w:fldChar w:fldCharType="separate"/>
      </w:r>
      <w:r>
        <w:t>68</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_Toc95122946 \h </w:instrText>
      </w:r>
      <w:r>
        <w:fldChar w:fldCharType="separate"/>
      </w:r>
      <w:r>
        <w:t>69</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_Toc95122947 \h </w:instrText>
      </w:r>
      <w:r>
        <w:fldChar w:fldCharType="separate"/>
      </w:r>
      <w:r>
        <w:t>69</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_Toc95122948 \h </w:instrText>
      </w:r>
      <w:r>
        <w:fldChar w:fldCharType="separate"/>
      </w:r>
      <w:r>
        <w:t>71</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_Toc95122949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_Toc95122951 \h </w:instrText>
      </w:r>
      <w:r>
        <w:fldChar w:fldCharType="separate"/>
      </w:r>
      <w:r>
        <w:t>72</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_Toc95122952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_Toc95122954 \h </w:instrText>
      </w:r>
      <w:r>
        <w:fldChar w:fldCharType="separate"/>
      </w:r>
      <w:r>
        <w:t>75</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_Toc95122955 \h </w:instrText>
      </w:r>
      <w:r>
        <w:fldChar w:fldCharType="separate"/>
      </w:r>
      <w:r>
        <w:t>76</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_Toc95122956 \h </w:instrText>
      </w:r>
      <w:r>
        <w:fldChar w:fldCharType="separate"/>
      </w:r>
      <w:r>
        <w:t>77</w:t>
      </w:r>
      <w:r>
        <w:fldChar w:fldCharType="end"/>
      </w:r>
    </w:p>
    <w:p>
      <w:pPr>
        <w:pStyle w:val="TOC8"/>
        <w:rPr>
          <w:rFonts w:asciiTheme="minorHAnsi" w:eastAsiaTheme="minorEastAsia" w:hAnsiTheme="minorHAnsi" w:cstheme="minorBidi"/>
          <w:szCs w:val="22"/>
        </w:rPr>
      </w:pPr>
      <w:r>
        <w:t>95.</w:t>
      </w:r>
      <w:r>
        <w:tab/>
        <w:t>Procedure for administration of medication</w:t>
      </w:r>
      <w:r>
        <w:tab/>
      </w:r>
      <w:r>
        <w:fldChar w:fldCharType="begin"/>
      </w:r>
      <w:r>
        <w:instrText xml:space="preserve"> PAGEREF _Toc95122957 \h </w:instrText>
      </w:r>
      <w:r>
        <w:fldChar w:fldCharType="separate"/>
      </w:r>
      <w:r>
        <w:t>78</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_Toc95122958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_Toc95122960 \h </w:instrText>
      </w:r>
      <w:r>
        <w:fldChar w:fldCharType="separate"/>
      </w:r>
      <w:r>
        <w:t>79</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_Toc95122961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_Toc95122963 \h </w:instrText>
      </w:r>
      <w:r>
        <w:fldChar w:fldCharType="separate"/>
      </w:r>
      <w:r>
        <w:t>81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_Toc95122964 \h </w:instrText>
      </w:r>
      <w:r>
        <w:fldChar w:fldCharType="separate"/>
      </w:r>
      <w:r>
        <w:t>81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_Toc95122965 \h </w:instrText>
      </w:r>
      <w:r>
        <w:fldChar w:fldCharType="separate"/>
      </w:r>
      <w:r>
        <w:t>82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_Toc95122966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_Toc95122968 \h </w:instrText>
      </w:r>
      <w:r>
        <w:fldChar w:fldCharType="separate"/>
      </w:r>
      <w:r>
        <w:t>85</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_Toc95122969 \h </w:instrText>
      </w:r>
      <w:r>
        <w:fldChar w:fldCharType="separate"/>
      </w:r>
      <w:r>
        <w:t>85</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_Toc95122970 \h </w:instrText>
      </w:r>
      <w:r>
        <w:fldChar w:fldCharType="separate"/>
      </w:r>
      <w:r>
        <w:t>86</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_Toc95122971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_Toc95122974 \h </w:instrText>
      </w:r>
      <w:r>
        <w:fldChar w:fldCharType="separate"/>
      </w:r>
      <w:r>
        <w:t>89</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_Toc95122975 \h </w:instrText>
      </w:r>
      <w:r>
        <w:fldChar w:fldCharType="separate"/>
      </w:r>
      <w:r>
        <w:t>89</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_Toc95122976 \h </w:instrText>
      </w:r>
      <w:r>
        <w:fldChar w:fldCharType="separate"/>
      </w:r>
      <w:r>
        <w:t>90</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_Toc95122977 \h </w:instrText>
      </w:r>
      <w:r>
        <w:fldChar w:fldCharType="separate"/>
      </w:r>
      <w:r>
        <w:t>90</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_Toc95122978 \h </w:instrText>
      </w:r>
      <w:r>
        <w:fldChar w:fldCharType="separate"/>
      </w:r>
      <w:r>
        <w:t>91</w:t>
      </w:r>
      <w:r>
        <w:fldChar w:fldCharType="end"/>
      </w:r>
    </w:p>
    <w:p>
      <w:pPr>
        <w:pStyle w:val="TOC8"/>
        <w:rPr>
          <w:rFonts w:asciiTheme="minorHAnsi" w:eastAsiaTheme="minorEastAsia" w:hAnsiTheme="minorHAnsi" w:cstheme="minorBidi"/>
          <w:szCs w:val="22"/>
        </w:rPr>
      </w:pPr>
      <w:r>
        <w:t>108.</w:t>
      </w:r>
      <w:r>
        <w:tab/>
        <w:t>Space requirements — outdoor space</w:t>
      </w:r>
      <w:r>
        <w:tab/>
      </w:r>
      <w:r>
        <w:fldChar w:fldCharType="begin"/>
      </w:r>
      <w:r>
        <w:instrText xml:space="preserve"> PAGEREF _Toc95122979 \h </w:instrText>
      </w:r>
      <w:r>
        <w:fldChar w:fldCharType="separate"/>
      </w:r>
      <w:r>
        <w:t>92</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_Toc95122980 \h </w:instrText>
      </w:r>
      <w:r>
        <w:fldChar w:fldCharType="separate"/>
      </w:r>
      <w:r>
        <w:t>93</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_Toc95122981 \h </w:instrText>
      </w:r>
      <w:r>
        <w:fldChar w:fldCharType="separate"/>
      </w:r>
      <w:r>
        <w:t>94</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_Toc95122983 \h </w:instrText>
      </w:r>
      <w:r>
        <w:fldChar w:fldCharType="separate"/>
      </w:r>
      <w:r>
        <w:t>94</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_Toc95122984 \h </w:instrText>
      </w:r>
      <w:r>
        <w:fldChar w:fldCharType="separate"/>
      </w:r>
      <w:r>
        <w:t>94</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_Toc95122985 \h </w:instrText>
      </w:r>
      <w:r>
        <w:fldChar w:fldCharType="separate"/>
      </w:r>
      <w:r>
        <w:t>95</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_Toc95122986 \h </w:instrText>
      </w:r>
      <w:r>
        <w:fldChar w:fldCharType="separate"/>
      </w:r>
      <w:r>
        <w:t>95</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_Toc95122987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_Toc95122989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Glass</w:t>
      </w:r>
      <w:r>
        <w:tab/>
      </w:r>
      <w:r>
        <w:fldChar w:fldCharType="begin"/>
      </w:r>
      <w:r>
        <w:instrText xml:space="preserve"> PAGEREF _Toc95122990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_Toc95122992 \h </w:instrText>
      </w:r>
      <w:r>
        <w:fldChar w:fldCharType="separate"/>
      </w:r>
      <w:r>
        <w:t>99</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_Toc95122993 \h </w:instrText>
      </w:r>
      <w:r>
        <w:fldChar w:fldCharType="separate"/>
      </w:r>
      <w:r>
        <w:t>99</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_Toc95122994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_Toc95122997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_Toc95122999 \h </w:instrText>
      </w:r>
      <w:r>
        <w:fldChar w:fldCharType="separate"/>
      </w:r>
      <w:r>
        <w:t>102</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_Toc95123000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_Toc95123002 \h </w:instrText>
      </w:r>
      <w:r>
        <w:fldChar w:fldCharType="separate"/>
      </w:r>
      <w:r>
        <w:t>103</w:t>
      </w:r>
      <w:r>
        <w:fldChar w:fldCharType="end"/>
      </w:r>
    </w:p>
    <w:p>
      <w:pPr>
        <w:pStyle w:val="TOC8"/>
        <w:rPr>
          <w:rFonts w:asciiTheme="minorHAnsi" w:eastAsiaTheme="minorEastAsia" w:hAnsiTheme="minorHAnsi" w:cstheme="minorBidi"/>
          <w:szCs w:val="22"/>
        </w:rPr>
      </w:pPr>
      <w:r>
        <w:t>122.</w:t>
      </w:r>
      <w:r>
        <w:tab/>
        <w:t>Educators must be working directly with children to be included in ratios</w:t>
      </w:r>
      <w:r>
        <w:tab/>
      </w:r>
      <w:r>
        <w:fldChar w:fldCharType="begin"/>
      </w:r>
      <w:r>
        <w:instrText xml:space="preserve"> PAGEREF _Toc95123003 \h </w:instrText>
      </w:r>
      <w:r>
        <w:fldChar w:fldCharType="separate"/>
      </w:r>
      <w:r>
        <w:t>103</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_Toc95123004 \h </w:instrText>
      </w:r>
      <w:r>
        <w:fldChar w:fldCharType="separate"/>
      </w:r>
      <w:r>
        <w:t>103</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_Toc95123005 \h </w:instrText>
      </w:r>
      <w:r>
        <w:fldChar w:fldCharType="separate"/>
      </w:r>
      <w:r>
        <w:t>106</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_Toc95123006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_Toc95123008 \h </w:instrText>
      </w:r>
      <w:r>
        <w:fldChar w:fldCharType="separate"/>
      </w:r>
      <w:r>
        <w:t>108</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_Toc95123009 \h </w:instrText>
      </w:r>
      <w:r>
        <w:fldChar w:fldCharType="separate"/>
      </w:r>
      <w:r>
        <w:t>108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_Toc95123010 \h </w:instrText>
      </w:r>
      <w:r>
        <w:fldChar w:fldCharType="separate"/>
      </w:r>
      <w:r>
        <w:t>110</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_Toc95123011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_Toc95123013 \h </w:instrText>
      </w:r>
      <w:r>
        <w:fldChar w:fldCharType="separate"/>
      </w:r>
      <w:r>
        <w:t>110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_Toc95123014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131.</w:t>
      </w:r>
      <w:r>
        <w:tab/>
        <w:t>Requirement for early childhood teacher — centre</w:t>
      </w:r>
      <w:r>
        <w:noBreakHyphen/>
        <w:t>based services — 25 or more approved places but fewer than 25 children</w:t>
      </w:r>
      <w:r>
        <w:tab/>
      </w:r>
      <w:r>
        <w:fldChar w:fldCharType="begin"/>
      </w:r>
      <w:r>
        <w:instrText xml:space="preserve"> PAGEREF _Toc95123015 \h </w:instrText>
      </w:r>
      <w:r>
        <w:fldChar w:fldCharType="separate"/>
      </w:r>
      <w:r>
        <w:t>111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_Toc95123016 \h </w:instrText>
      </w:r>
      <w:r>
        <w:fldChar w:fldCharType="separate"/>
      </w:r>
      <w:r>
        <w:t>111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_Toc95123017 \h </w:instrText>
      </w:r>
      <w:r>
        <w:fldChar w:fldCharType="separate"/>
      </w:r>
      <w:r>
        <w:t>112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_Toc95123018 \h </w:instrText>
      </w:r>
      <w:r>
        <w:fldChar w:fldCharType="separate"/>
      </w:r>
      <w:r>
        <w:t>113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_Toc95123019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_Toc95123021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_Toc95123023 \h </w:instrText>
      </w:r>
      <w:r>
        <w:fldChar w:fldCharType="separate"/>
      </w:r>
      <w:r>
        <w:t>118</w:t>
      </w:r>
      <w:r>
        <w:fldChar w:fldCharType="end"/>
      </w:r>
    </w:p>
    <w:p>
      <w:pPr>
        <w:pStyle w:val="TOC8"/>
        <w:rPr>
          <w:rFonts w:asciiTheme="minorHAnsi" w:eastAsiaTheme="minorEastAsia" w:hAnsiTheme="minorHAnsi" w:cstheme="minorBidi"/>
          <w:szCs w:val="22"/>
        </w:rPr>
      </w:pPr>
      <w:r>
        <w:t>138.</w:t>
      </w:r>
      <w:r>
        <w:tab/>
        <w:t>Application for qualification to be assessed for inclusion on the list of approved qualifications</w:t>
      </w:r>
      <w:r>
        <w:tab/>
      </w:r>
      <w:r>
        <w:fldChar w:fldCharType="begin"/>
      </w:r>
      <w:r>
        <w:instrText xml:space="preserve"> PAGEREF _Toc95123024 \h </w:instrText>
      </w:r>
      <w:r>
        <w:fldChar w:fldCharType="separate"/>
      </w:r>
      <w:r>
        <w:t>119</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_Toc95123025 \h </w:instrText>
      </w:r>
      <w:r>
        <w:fldChar w:fldCharType="separate"/>
      </w:r>
      <w:r>
        <w:t>120</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_Toc95123026 \h </w:instrText>
      </w:r>
      <w:r>
        <w:fldChar w:fldCharType="separate"/>
      </w:r>
      <w:r>
        <w:t>120</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_Toc95123027 \h </w:instrText>
      </w:r>
      <w:r>
        <w:fldChar w:fldCharType="separate"/>
      </w:r>
      <w:r>
        <w:t>123</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_Toc95123028 \h </w:instrText>
      </w:r>
      <w:r>
        <w:fldChar w:fldCharType="separate"/>
      </w:r>
      <w:r>
        <w:t>124</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_Toc95123029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_Toc95123031 \h </w:instrText>
      </w:r>
      <w:r>
        <w:fldChar w:fldCharType="separate"/>
      </w:r>
      <w:r>
        <w:t>125</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_Toc95123032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_Toc95123034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_Toc95123036 \h </w:instrText>
      </w:r>
      <w:r>
        <w:fldChar w:fldCharType="separate"/>
      </w:r>
      <w:r>
        <w:t>128</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_Toc95123037 \h </w:instrText>
      </w:r>
      <w:r>
        <w:fldChar w:fldCharType="separate"/>
      </w:r>
      <w:r>
        <w:t>128</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_Toc95123038 \h </w:instrText>
      </w:r>
      <w:r>
        <w:fldChar w:fldCharType="separate"/>
      </w:r>
      <w:r>
        <w:t>129</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_Toc95123039 \h </w:instrText>
      </w:r>
      <w:r>
        <w:fldChar w:fldCharType="separate"/>
      </w:r>
      <w:r>
        <w:t>130</w:t>
      </w:r>
      <w:r>
        <w:fldChar w:fldCharType="end"/>
      </w:r>
    </w:p>
    <w:p>
      <w:pPr>
        <w:pStyle w:val="TOC8"/>
        <w:rPr>
          <w:rFonts w:asciiTheme="minorHAnsi" w:eastAsiaTheme="minorEastAsia" w:hAnsiTheme="minorHAnsi" w:cstheme="minorBidi"/>
          <w:szCs w:val="22"/>
        </w:rPr>
      </w:pPr>
      <w:r>
        <w:lastRenderedPageBreak/>
        <w:t>149.</w:t>
      </w:r>
      <w:r>
        <w:tab/>
        <w:t>Volunteers and students</w:t>
      </w:r>
      <w:r>
        <w:tab/>
      </w:r>
      <w:r>
        <w:fldChar w:fldCharType="begin"/>
      </w:r>
      <w:r>
        <w:instrText xml:space="preserve"> PAGEREF _Toc95123040 \h </w:instrText>
      </w:r>
      <w:r>
        <w:fldChar w:fldCharType="separate"/>
      </w:r>
      <w:r>
        <w:t>130</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_Toc95123041 \h </w:instrText>
      </w:r>
      <w:r>
        <w:fldChar w:fldCharType="separate"/>
      </w:r>
      <w:r>
        <w:t>131</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_Toc95123042 \h </w:instrText>
      </w:r>
      <w:r>
        <w:fldChar w:fldCharType="separate"/>
      </w:r>
      <w:r>
        <w:t>131</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_Toc95123043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_Toc95123045 \h </w:instrText>
      </w:r>
      <w:r>
        <w:fldChar w:fldCharType="separate"/>
      </w:r>
      <w:r>
        <w:t>132</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_Toc95123046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_Toc95123048 \h </w:instrText>
      </w:r>
      <w:r>
        <w:fldChar w:fldCharType="separate"/>
      </w:r>
      <w:r>
        <w:t>139</w:t>
      </w:r>
      <w:r>
        <w:fldChar w:fldCharType="end"/>
      </w:r>
    </w:p>
    <w:p>
      <w:pPr>
        <w:pStyle w:val="TOC8"/>
        <w:rPr>
          <w:rFonts w:asciiTheme="minorHAnsi" w:eastAsiaTheme="minorEastAsia" w:hAnsiTheme="minorHAnsi" w:cstheme="minorBidi"/>
          <w:szCs w:val="22"/>
        </w:rPr>
      </w:pPr>
      <w:r>
        <w:t>156.</w:t>
      </w:r>
      <w:r>
        <w:tab/>
        <w:t>Relationships in groups</w:t>
      </w:r>
      <w:r>
        <w:tab/>
      </w:r>
      <w:r>
        <w:fldChar w:fldCharType="begin"/>
      </w:r>
      <w:r>
        <w:instrText xml:space="preserve"> PAGEREF _Toc95123049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_Toc95123051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_Toc95123054 \h </w:instrText>
      </w:r>
      <w:r>
        <w:fldChar w:fldCharType="separate"/>
      </w:r>
      <w:r>
        <w:t>141</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_Toc95123055 \h </w:instrText>
      </w:r>
      <w:r>
        <w:fldChar w:fldCharType="separate"/>
      </w:r>
      <w:r>
        <w:t>142</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_Toc95123056 \h </w:instrText>
      </w:r>
      <w:r>
        <w:fldChar w:fldCharType="separate"/>
      </w:r>
      <w:r>
        <w:t>143</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_Toc95123057 \h </w:instrText>
      </w:r>
      <w:r>
        <w:fldChar w:fldCharType="separate"/>
      </w:r>
      <w:r>
        <w:t>144</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_Toc95123058 \h </w:instrText>
      </w:r>
      <w:r>
        <w:fldChar w:fldCharType="separate"/>
      </w:r>
      <w:r>
        <w:t>146</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_Toc95123059 \h </w:instrText>
      </w:r>
      <w:r>
        <w:fldChar w:fldCharType="separate"/>
      </w:r>
      <w:r>
        <w:t>147</w:t>
      </w:r>
      <w:r>
        <w:fldChar w:fldCharType="end"/>
      </w:r>
    </w:p>
    <w:p>
      <w:pPr>
        <w:pStyle w:val="TOC8"/>
        <w:rPr>
          <w:rFonts w:asciiTheme="minorHAnsi" w:eastAsiaTheme="minorEastAsia" w:hAnsiTheme="minorHAnsi" w:cstheme="minorBidi"/>
          <w:szCs w:val="22"/>
        </w:rPr>
      </w:pPr>
      <w:r>
        <w:t>164.</w:t>
      </w:r>
      <w:r>
        <w:tab/>
        <w:t>Requirement for notice of new persons at residence</w:t>
      </w:r>
      <w:r>
        <w:tab/>
      </w:r>
      <w:r>
        <w:fldChar w:fldCharType="begin"/>
      </w:r>
      <w:r>
        <w:instrText xml:space="preserve"> PAGEREF _Toc95123060 \h </w:instrText>
      </w:r>
      <w:r>
        <w:fldChar w:fldCharType="separate"/>
      </w:r>
      <w:r>
        <w:t>149</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_Toc95123061 \h </w:instrText>
      </w:r>
      <w:r>
        <w:fldChar w:fldCharType="separate"/>
      </w:r>
      <w:r>
        <w:t>149</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_Toc95123062 \h </w:instrText>
      </w:r>
      <w:r>
        <w:fldChar w:fldCharType="separate"/>
      </w:r>
      <w:r>
        <w:t>150</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_Toc95123063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_Toc95123065 \h </w:instrText>
      </w:r>
      <w:r>
        <w:fldChar w:fldCharType="separate"/>
      </w:r>
      <w:r>
        <w:t>152</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_Toc95123066 \h </w:instrText>
      </w:r>
      <w:r>
        <w:fldChar w:fldCharType="separate"/>
      </w:r>
      <w:r>
        <w:t>154</w:t>
      </w:r>
      <w:r>
        <w:fldChar w:fldCharType="end"/>
      </w:r>
    </w:p>
    <w:p>
      <w:pPr>
        <w:pStyle w:val="TOC8"/>
        <w:rPr>
          <w:rFonts w:asciiTheme="minorHAnsi" w:eastAsiaTheme="minorEastAsia" w:hAnsiTheme="minorHAnsi" w:cstheme="minorBidi"/>
          <w:szCs w:val="22"/>
        </w:rPr>
      </w:pPr>
      <w:r>
        <w:lastRenderedPageBreak/>
        <w:t>170.</w:t>
      </w:r>
      <w:r>
        <w:tab/>
        <w:t>Policies and procedures to be followed</w:t>
      </w:r>
      <w:r>
        <w:tab/>
      </w:r>
      <w:r>
        <w:fldChar w:fldCharType="begin"/>
      </w:r>
      <w:r>
        <w:instrText xml:space="preserve"> PAGEREF _Toc95123067 \h </w:instrText>
      </w:r>
      <w:r>
        <w:fldChar w:fldCharType="separate"/>
      </w:r>
      <w:r>
        <w:t>155</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_Toc95123068 \h </w:instrText>
      </w:r>
      <w:r>
        <w:fldChar w:fldCharType="separate"/>
      </w:r>
      <w:r>
        <w:t>155</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_Toc95123069 \h </w:instrText>
      </w:r>
      <w:r>
        <w:fldChar w:fldCharType="separate"/>
      </w:r>
      <w:r>
        <w:t>156</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_Toc95123071 \h </w:instrText>
      </w:r>
      <w:r>
        <w:fldChar w:fldCharType="separate"/>
      </w:r>
      <w:r>
        <w:t>157</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_Toc95123072 \h </w:instrText>
      </w:r>
      <w:r>
        <w:fldChar w:fldCharType="separate"/>
      </w:r>
      <w:r>
        <w:t>159</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_Toc95123073 \h </w:instrText>
      </w:r>
      <w:r>
        <w:fldChar w:fldCharType="separate"/>
      </w:r>
      <w:r>
        <w:t>160</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_Toc95123074 \h </w:instrText>
      </w:r>
      <w:r>
        <w:fldChar w:fldCharType="separate"/>
      </w:r>
      <w:r>
        <w:t>160</w:t>
      </w:r>
      <w:r>
        <w:fldChar w:fldCharType="end"/>
      </w:r>
    </w:p>
    <w:p>
      <w:pPr>
        <w:pStyle w:val="TOC8"/>
        <w:rPr>
          <w:rFonts w:asciiTheme="minorHAnsi" w:eastAsiaTheme="minorEastAsia" w:hAnsiTheme="minorHAnsi" w:cstheme="minorBidi"/>
          <w:szCs w:val="22"/>
        </w:rPr>
      </w:pPr>
      <w:r>
        <w:t>176.</w:t>
      </w:r>
      <w:r>
        <w:tab/>
        <w:t>Time to notify certain information to Regulatory Authority</w:t>
      </w:r>
      <w:r>
        <w:tab/>
      </w:r>
      <w:r>
        <w:fldChar w:fldCharType="begin"/>
      </w:r>
      <w:r>
        <w:instrText xml:space="preserve"> PAGEREF _Toc95123075 \h </w:instrText>
      </w:r>
      <w:r>
        <w:fldChar w:fldCharType="separate"/>
      </w:r>
      <w:r>
        <w:t>161</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_Toc95123076 \h </w:instrText>
      </w:r>
      <w:r>
        <w:fldChar w:fldCharType="separate"/>
      </w:r>
      <w:r>
        <w:t>162</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_Toc95123077 \h </w:instrText>
      </w:r>
      <w:r>
        <w:fldChar w:fldCharType="separate"/>
      </w:r>
      <w:r>
        <w:t>163</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_Toc95123078 \h </w:instrText>
      </w:r>
      <w:r>
        <w:fldChar w:fldCharType="separate"/>
      </w:r>
      <w:r>
        <w:t>165</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_Toc95123079 \h </w:instrText>
      </w:r>
      <w:r>
        <w:fldChar w:fldCharType="separate"/>
      </w:r>
      <w:r>
        <w:t>166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_Toc95123080 \h </w:instrText>
      </w:r>
      <w:r>
        <w:fldChar w:fldCharType="separate"/>
      </w:r>
      <w:r>
        <w:t>166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_Toc95123081 \h </w:instrText>
      </w:r>
      <w:r>
        <w:fldChar w:fldCharType="separate"/>
      </w:r>
      <w:r>
        <w:t>166</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_Toc95123082 \h </w:instrText>
      </w:r>
      <w:r>
        <w:fldChar w:fldCharType="separate"/>
      </w:r>
      <w:r>
        <w:t>167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_Toc95123083 \h </w:instrText>
      </w:r>
      <w:r>
        <w:fldChar w:fldCharType="separate"/>
      </w:r>
      <w:r>
        <w:t>168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_Toc95123084 \h </w:instrText>
      </w:r>
      <w:r>
        <w:fldChar w:fldCharType="separate"/>
      </w:r>
      <w:r>
        <w:t>169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_Toc95123085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_Toc95123088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_Toc95123090 \h </w:instrText>
      </w:r>
      <w:r>
        <w:fldChar w:fldCharType="separate"/>
      </w:r>
      <w:r>
        <w:t>171</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_Toc95123091 \h </w:instrText>
      </w:r>
      <w:r>
        <w:fldChar w:fldCharType="separate"/>
      </w:r>
      <w:r>
        <w:t>171</w:t>
      </w:r>
      <w:r>
        <w:fldChar w:fldCharType="end"/>
      </w:r>
    </w:p>
    <w:p>
      <w:pPr>
        <w:pStyle w:val="TOC8"/>
        <w:rPr>
          <w:rFonts w:asciiTheme="minorHAnsi" w:eastAsiaTheme="minorEastAsia" w:hAnsiTheme="minorHAnsi" w:cstheme="minorBidi"/>
          <w:szCs w:val="22"/>
        </w:rPr>
      </w:pPr>
      <w:r>
        <w:lastRenderedPageBreak/>
        <w:t>189.</w:t>
      </w:r>
      <w:r>
        <w:tab/>
        <w:t>Application to cancel prohibition notice</w:t>
      </w:r>
      <w:r>
        <w:tab/>
      </w:r>
      <w:r>
        <w:fldChar w:fldCharType="begin"/>
      </w:r>
      <w:r>
        <w:instrText xml:space="preserve"> PAGEREF _Toc95123092 \h </w:instrText>
      </w:r>
      <w:r>
        <w:fldChar w:fldCharType="separate"/>
      </w:r>
      <w:r>
        <w:t>171</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_Toc95123093 \h </w:instrText>
      </w:r>
      <w:r>
        <w:fldChar w:fldCharType="separate"/>
      </w:r>
      <w:r>
        <w:t>172</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_Toc95123094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_Toc95123097 \h </w:instrText>
      </w:r>
      <w:r>
        <w:fldChar w:fldCharType="separate"/>
      </w:r>
      <w:r>
        <w:t>174</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_Toc95123098 \h </w:instrText>
      </w:r>
      <w:r>
        <w:fldChar w:fldCharType="separate"/>
      </w:r>
      <w:r>
        <w:t>175</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_Toc95123099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_Toc95123102 \h </w:instrText>
      </w:r>
      <w:r>
        <w:fldChar w:fldCharType="separate"/>
      </w:r>
      <w:r>
        <w:t>176</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_Toc95123103 \h </w:instrText>
      </w:r>
      <w:r>
        <w:fldChar w:fldCharType="separate"/>
      </w:r>
      <w:r>
        <w:t>176</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_Toc95123104 \h </w:instrText>
      </w:r>
      <w:r>
        <w:fldChar w:fldCharType="separate"/>
      </w:r>
      <w:r>
        <w:t>178</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_Toc95123105 \h </w:instrText>
      </w:r>
      <w:r>
        <w:fldChar w:fldCharType="separate"/>
      </w:r>
      <w:r>
        <w:t>179</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_Toc95123106 \h </w:instrText>
      </w:r>
      <w:r>
        <w:fldChar w:fldCharType="separate"/>
      </w:r>
      <w:r>
        <w:t>179</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_Toc95123107 \h </w:instrText>
      </w:r>
      <w:r>
        <w:fldChar w:fldCharType="separate"/>
      </w:r>
      <w:r>
        <w:t>180</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_Toc95123108 \h </w:instrText>
      </w:r>
      <w:r>
        <w:fldChar w:fldCharType="separate"/>
      </w:r>
      <w:r>
        <w:t>180</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_Toc95123109 \h </w:instrText>
      </w:r>
      <w:r>
        <w:fldChar w:fldCharType="separate"/>
      </w:r>
      <w:r>
        <w:t>182</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_Toc95123110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_Toc95123112 \h </w:instrText>
      </w:r>
      <w:r>
        <w:fldChar w:fldCharType="separate"/>
      </w:r>
      <w:r>
        <w:t>183</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_Toc95123113 \h </w:instrText>
      </w:r>
      <w:r>
        <w:fldChar w:fldCharType="separate"/>
      </w:r>
      <w:r>
        <w:t>183</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_Toc95123114 \h </w:instrText>
      </w:r>
      <w:r>
        <w:fldChar w:fldCharType="separate"/>
      </w:r>
      <w:r>
        <w:t>186</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_Toc95123115 \h </w:instrText>
      </w:r>
      <w:r>
        <w:fldChar w:fldCharType="separate"/>
      </w:r>
      <w:r>
        <w:t>187</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_Toc95123116 \h </w:instrText>
      </w:r>
      <w:r>
        <w:fldChar w:fldCharType="separate"/>
      </w:r>
      <w:r>
        <w:t>187</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_Toc95123117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210.</w:t>
      </w:r>
      <w:r>
        <w:tab/>
        <w:t>Relevant administrative tribunal</w:t>
      </w:r>
      <w:r>
        <w:tab/>
      </w:r>
      <w:r>
        <w:fldChar w:fldCharType="begin"/>
      </w:r>
      <w:r>
        <w:instrText xml:space="preserve"> PAGEREF _Toc95123118 \h </w:instrText>
      </w:r>
      <w:r>
        <w:fldChar w:fldCharType="separate"/>
      </w:r>
      <w:r>
        <w:t>190</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_Toc95123119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_Toc95123121 \h </w:instrText>
      </w:r>
      <w:r>
        <w:fldChar w:fldCharType="separate"/>
      </w:r>
      <w:r>
        <w:t>191</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_Toc95123122 \h </w:instrText>
      </w:r>
      <w:r>
        <w:fldChar w:fldCharType="separate"/>
      </w:r>
      <w:r>
        <w:t>191</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_Toc95123123 \h </w:instrText>
      </w:r>
      <w:r>
        <w:fldChar w:fldCharType="separate"/>
      </w:r>
      <w:r>
        <w:t>191</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_Toc95123124 \h </w:instrText>
      </w:r>
      <w:r>
        <w:fldChar w:fldCharType="separate"/>
      </w:r>
      <w:r>
        <w:t>192</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_Toc95123125 \h </w:instrText>
      </w:r>
      <w:r>
        <w:fldChar w:fldCharType="separate"/>
      </w:r>
      <w:r>
        <w:t>192</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_Toc95123126 \h </w:instrText>
      </w:r>
      <w:r>
        <w:fldChar w:fldCharType="separate"/>
      </w:r>
      <w:r>
        <w:t>195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_Toc95123128 \h </w:instrText>
      </w:r>
      <w:r>
        <w:fldChar w:fldCharType="separate"/>
      </w:r>
      <w:r>
        <w:t>195</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_Toc95123129 \h </w:instrText>
      </w:r>
      <w:r>
        <w:fldChar w:fldCharType="separate"/>
      </w:r>
      <w:r>
        <w:t>195</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_Toc95123130 \h </w:instrText>
      </w:r>
      <w:r>
        <w:fldChar w:fldCharType="separate"/>
      </w:r>
      <w:r>
        <w:t>196</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_Toc95123131 \h </w:instrText>
      </w:r>
      <w:r>
        <w:fldChar w:fldCharType="separate"/>
      </w:r>
      <w:r>
        <w:t>197</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_Toc95123132 \h </w:instrText>
      </w:r>
      <w:r>
        <w:fldChar w:fldCharType="separate"/>
      </w:r>
      <w:r>
        <w:t>198</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_Toc95123133 \h </w:instrText>
      </w:r>
      <w:r>
        <w:fldChar w:fldCharType="separate"/>
      </w:r>
      <w:r>
        <w:t>198</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_Toc95123134 \h </w:instrText>
      </w:r>
      <w:r>
        <w:fldChar w:fldCharType="separate"/>
      </w:r>
      <w:r>
        <w:t>200</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_Toc95123135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_Toc95123137 \h </w:instrText>
      </w:r>
      <w:r>
        <w:fldChar w:fldCharType="separate"/>
      </w:r>
      <w:r>
        <w:t>201</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_Toc95123138 \h </w:instrText>
      </w:r>
      <w:r>
        <w:fldChar w:fldCharType="separate"/>
      </w:r>
      <w:r>
        <w:t>201</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_Toc95123139 \h </w:instrText>
      </w:r>
      <w:r>
        <w:fldChar w:fldCharType="separate"/>
      </w:r>
      <w:r>
        <w:t>205</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_Toc95123141 \h </w:instrText>
      </w:r>
      <w:r>
        <w:fldChar w:fldCharType="separate"/>
      </w:r>
      <w:r>
        <w:t>206</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_Toc95123142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8"/>
        <w:rPr>
          <w:rFonts w:asciiTheme="minorHAnsi" w:eastAsiaTheme="minorEastAsia" w:hAnsiTheme="minorHAnsi" w:cstheme="minorBidi"/>
          <w:szCs w:val="22"/>
        </w:rPr>
      </w:pPr>
      <w:r>
        <w:t>232.</w:t>
      </w:r>
      <w:r>
        <w:tab/>
        <w:t>Prescribed fees</w:t>
      </w:r>
      <w:r>
        <w:tab/>
      </w:r>
      <w:r>
        <w:fldChar w:fldCharType="begin"/>
      </w:r>
      <w:r>
        <w:instrText xml:space="preserve"> PAGEREF _Toc95123144 \h </w:instrText>
      </w:r>
      <w:r>
        <w:fldChar w:fldCharType="separate"/>
      </w:r>
      <w:r>
        <w:t>207</w:t>
      </w:r>
      <w:r>
        <w:fldChar w:fldCharType="end"/>
      </w:r>
    </w:p>
    <w:p>
      <w:pPr>
        <w:pStyle w:val="TOC8"/>
        <w:rPr>
          <w:rFonts w:asciiTheme="minorHAnsi" w:eastAsiaTheme="minorEastAsia" w:hAnsiTheme="minorHAnsi" w:cstheme="minorBidi"/>
          <w:szCs w:val="22"/>
        </w:rPr>
      </w:pPr>
      <w:r>
        <w:t>233.</w:t>
      </w:r>
      <w:r>
        <w:tab/>
        <w:t>Late payment fees (annual fees)</w:t>
      </w:r>
      <w:r>
        <w:tab/>
      </w:r>
      <w:r>
        <w:fldChar w:fldCharType="begin"/>
      </w:r>
      <w:r>
        <w:instrText xml:space="preserve"> PAGEREF _Toc95123145 \h </w:instrText>
      </w:r>
      <w:r>
        <w:fldChar w:fldCharType="separate"/>
      </w:r>
      <w:r>
        <w:t>207</w:t>
      </w:r>
      <w:r>
        <w:fldChar w:fldCharType="end"/>
      </w:r>
    </w:p>
    <w:p>
      <w:pPr>
        <w:pStyle w:val="TOC8"/>
        <w:rPr>
          <w:rFonts w:asciiTheme="minorHAnsi" w:eastAsiaTheme="minorEastAsia" w:hAnsiTheme="minorHAnsi" w:cstheme="minorBidi"/>
          <w:szCs w:val="22"/>
        </w:rPr>
      </w:pPr>
      <w:r>
        <w:t>234.</w:t>
      </w:r>
      <w:r>
        <w:tab/>
        <w:t>Waiver, reduction, deferral and refund of fees</w:t>
      </w:r>
      <w:r>
        <w:tab/>
      </w:r>
      <w:r>
        <w:fldChar w:fldCharType="begin"/>
      </w:r>
      <w:r>
        <w:instrText xml:space="preserve"> PAGEREF _Toc95123146 \h </w:instrText>
      </w:r>
      <w:r>
        <w:fldChar w:fldCharType="separate"/>
      </w:r>
      <w:r>
        <w:t>207</w:t>
      </w:r>
      <w:r>
        <w:fldChar w:fldCharType="end"/>
      </w:r>
    </w:p>
    <w:p>
      <w:pPr>
        <w:pStyle w:val="TOC8"/>
        <w:rPr>
          <w:rFonts w:asciiTheme="minorHAnsi" w:eastAsiaTheme="minorEastAsia" w:hAnsiTheme="minorHAnsi" w:cstheme="minorBidi"/>
          <w:szCs w:val="22"/>
        </w:rPr>
      </w:pPr>
      <w:r>
        <w:t>235.</w:t>
      </w:r>
      <w:r>
        <w:tab/>
        <w:t>Indexation of fees</w:t>
      </w:r>
      <w:r>
        <w:tab/>
      </w:r>
      <w:r>
        <w:fldChar w:fldCharType="begin"/>
      </w:r>
      <w:r>
        <w:instrText xml:space="preserve"> PAGEREF _Toc95123147 \h </w:instrText>
      </w:r>
      <w:r>
        <w:fldChar w:fldCharType="separate"/>
      </w:r>
      <w:r>
        <w:t>207</w:t>
      </w:r>
      <w:r>
        <w:fldChar w:fldCharType="end"/>
      </w:r>
    </w:p>
    <w:p>
      <w:pPr>
        <w:pStyle w:val="TOC8"/>
        <w:rPr>
          <w:rFonts w:asciiTheme="minorHAnsi" w:eastAsiaTheme="minorEastAsia" w:hAnsiTheme="minorHAnsi" w:cstheme="minorBidi"/>
          <w:szCs w:val="22"/>
        </w:rPr>
      </w:pPr>
      <w:r>
        <w:t>236.</w:t>
      </w:r>
      <w:r>
        <w:tab/>
        <w:t>Publication of indexed fees</w:t>
      </w:r>
      <w:r>
        <w:tab/>
      </w:r>
      <w:r>
        <w:fldChar w:fldCharType="begin"/>
      </w:r>
      <w:r>
        <w:instrText xml:space="preserve"> PAGEREF _Toc95123148 \h </w:instrText>
      </w:r>
      <w:r>
        <w:fldChar w:fldCharType="separate"/>
      </w:r>
      <w:r>
        <w:t>209</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_Toc95123150 \h </w:instrText>
      </w:r>
      <w:r>
        <w:fldChar w:fldCharType="separate"/>
      </w:r>
      <w:r>
        <w:t>209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_Toc95123154 \h </w:instrText>
      </w:r>
      <w:r>
        <w:fldChar w:fldCharType="separate"/>
      </w:r>
      <w:r>
        <w:t>210</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_Toc95123155 \h </w:instrText>
      </w:r>
      <w:r>
        <w:fldChar w:fldCharType="separate"/>
      </w:r>
      <w:r>
        <w:t>211</w:t>
      </w:r>
      <w:r>
        <w:fldChar w:fldCharType="end"/>
      </w:r>
    </w:p>
    <w:p>
      <w:pPr>
        <w:pStyle w:val="TOC8"/>
        <w:rPr>
          <w:rFonts w:asciiTheme="minorHAnsi" w:eastAsiaTheme="minorEastAsia" w:hAnsiTheme="minorHAnsi" w:cstheme="minorBidi"/>
          <w:szCs w:val="22"/>
        </w:rPr>
      </w:pPr>
      <w:r>
        <w:t>240.</w:t>
      </w:r>
      <w:r>
        <w:tab/>
        <w:t>Qualifications for educators — centre</w:t>
      </w:r>
      <w:r>
        <w:noBreakHyphen/>
        <w:t>based service</w:t>
      </w:r>
      <w:r>
        <w:tab/>
      </w:r>
      <w:r>
        <w:fldChar w:fldCharType="begin"/>
      </w:r>
      <w:r>
        <w:instrText xml:space="preserve"> PAGEREF _Toc95123156 \h </w:instrText>
      </w:r>
      <w:r>
        <w:fldChar w:fldCharType="separate"/>
      </w:r>
      <w:r>
        <w:t>212</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_Toc95123157 \h </w:instrText>
      </w:r>
      <w:r>
        <w:fldChar w:fldCharType="separate"/>
      </w:r>
      <w:r>
        <w:t>213</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_Toc95123158 \h </w:instrText>
      </w:r>
      <w:r>
        <w:fldChar w:fldCharType="separate"/>
      </w:r>
      <w:r>
        <w:t>216</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_Toc95123159 \h </w:instrText>
      </w:r>
      <w:r>
        <w:fldChar w:fldCharType="separate"/>
      </w:r>
      <w:r>
        <w:t>217</w:t>
      </w:r>
      <w:r>
        <w:fldChar w:fldCharType="end"/>
      </w:r>
    </w:p>
    <w:p>
      <w:pPr>
        <w:pStyle w:val="TOC8"/>
        <w:rPr>
          <w:rFonts w:asciiTheme="minorHAnsi" w:eastAsiaTheme="minorEastAsia" w:hAnsiTheme="minorHAnsi" w:cstheme="minorBidi"/>
          <w:szCs w:val="22"/>
        </w:rPr>
      </w:pPr>
      <w:r>
        <w:t>243A.</w:t>
      </w:r>
      <w:r>
        <w:tab/>
        <w:t>Persons taken to hold an approved diploma level education and care qualification for regulation 128 in Queensland</w:t>
      </w:r>
      <w:r>
        <w:tab/>
      </w:r>
      <w:r>
        <w:fldChar w:fldCharType="begin"/>
      </w:r>
      <w:r>
        <w:instrText xml:space="preserve"> PAGEREF _Toc95123160 \h </w:instrText>
      </w:r>
      <w:r>
        <w:fldChar w:fldCharType="separate"/>
      </w:r>
      <w:r>
        <w:t>217</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_Toc95123161 \h </w:instrText>
      </w:r>
      <w:r>
        <w:fldChar w:fldCharType="separate"/>
      </w:r>
      <w:r>
        <w:t>218</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_Toc95123163 \h </w:instrText>
      </w:r>
      <w:r>
        <w:fldChar w:fldCharType="separate"/>
      </w:r>
      <w:r>
        <w:t>218</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_Toc95123164 \h </w:instrText>
      </w:r>
      <w:r>
        <w:fldChar w:fldCharType="separate"/>
      </w:r>
      <w:r>
        <w:t>219</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_Toc95123165 \h </w:instrText>
      </w:r>
      <w:r>
        <w:fldChar w:fldCharType="separate"/>
      </w:r>
      <w:r>
        <w:t>220</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_Toc95123166 \h </w:instrText>
      </w:r>
      <w:r>
        <w:fldChar w:fldCharType="separate"/>
      </w:r>
      <w:r>
        <w:t>220</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_Toc95123168 \h </w:instrText>
      </w:r>
      <w:r>
        <w:fldChar w:fldCharType="separate"/>
      </w:r>
      <w:r>
        <w:t>221</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_Toc95123169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8"/>
        <w:rPr>
          <w:rFonts w:asciiTheme="minorHAnsi" w:eastAsiaTheme="minorEastAsia" w:hAnsiTheme="minorHAnsi" w:cstheme="minorBidi"/>
          <w:szCs w:val="22"/>
        </w:rPr>
      </w:pPr>
      <w:r>
        <w:t>254.</w:t>
      </w:r>
      <w:r>
        <w:tab/>
        <w:t>Declared approved learning frameworks</w:t>
      </w:r>
      <w:r>
        <w:tab/>
      </w:r>
      <w:r>
        <w:fldChar w:fldCharType="begin"/>
      </w:r>
      <w:r>
        <w:instrText xml:space="preserve"> PAGEREF _Toc95123171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_Toc95123173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_Toc95123175 \h </w:instrText>
      </w:r>
      <w:r>
        <w:fldChar w:fldCharType="separate"/>
      </w:r>
      <w:r>
        <w:t>223</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_Toc95123176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_Toc95123186 \h </w:instrText>
      </w:r>
      <w:r>
        <w:fldChar w:fldCharType="separate"/>
      </w:r>
      <w:r>
        <w:t>225</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_Toc95123187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_Toc95123189 \h </w:instrText>
      </w:r>
      <w:r>
        <w:fldChar w:fldCharType="separate"/>
      </w:r>
      <w:r>
        <w:t>226</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 children over preschool age</w:t>
      </w:r>
      <w:r>
        <w:tab/>
      </w:r>
      <w:r>
        <w:fldChar w:fldCharType="begin"/>
      </w:r>
      <w:r>
        <w:instrText xml:space="preserve"> PAGEREF _Toc95123191 \h </w:instrText>
      </w:r>
      <w:r>
        <w:fldChar w:fldCharType="separate"/>
      </w:r>
      <w:r>
        <w:t>227</w:t>
      </w:r>
      <w:r>
        <w:fldChar w:fldCharType="end"/>
      </w:r>
    </w:p>
    <w:p>
      <w:pPr>
        <w:pStyle w:val="TOC8"/>
        <w:rPr>
          <w:rFonts w:asciiTheme="minorHAnsi" w:eastAsiaTheme="minorEastAsia" w:hAnsiTheme="minorHAnsi" w:cstheme="minorBidi"/>
          <w:szCs w:val="22"/>
        </w:rPr>
      </w:pPr>
      <w:r>
        <w:t>370.</w:t>
      </w:r>
      <w:r>
        <w:tab/>
        <w:t>General qualification requirements for educators — children over preschool age</w:t>
      </w:r>
      <w:r>
        <w:tab/>
      </w:r>
      <w:r>
        <w:fldChar w:fldCharType="begin"/>
      </w:r>
      <w:r>
        <w:instrText xml:space="preserve"> PAGEREF _Toc95123192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_Toc95123194 \h </w:instrText>
      </w:r>
      <w:r>
        <w:fldChar w:fldCharType="separate"/>
      </w:r>
      <w:r>
        <w:t>229</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_Toc95123195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_Toc95123197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_Toc95123199 \h </w:instrText>
      </w:r>
      <w:r>
        <w:fldChar w:fldCharType="separate"/>
      </w:r>
      <w:r>
        <w:t>230</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_Toc95123201 \h </w:instrText>
      </w:r>
      <w:r>
        <w:fldChar w:fldCharType="separate"/>
      </w:r>
      <w:r>
        <w:t>231</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_Toc95123202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8"/>
        <w:rPr>
          <w:rFonts w:asciiTheme="minorHAnsi" w:eastAsiaTheme="minorEastAsia" w:hAnsiTheme="minorHAnsi" w:cstheme="minorBidi"/>
          <w:szCs w:val="22"/>
        </w:rPr>
      </w:pPr>
      <w:r>
        <w:t>393.</w:t>
      </w:r>
      <w:r>
        <w:tab/>
        <w:t>Application of Division</w:t>
      </w:r>
      <w:r>
        <w:tab/>
      </w:r>
      <w:r>
        <w:fldChar w:fldCharType="begin"/>
      </w:r>
      <w:r>
        <w:instrText xml:space="preserve"> PAGEREF _Toc95123209 \h </w:instrText>
      </w:r>
      <w:r>
        <w:fldChar w:fldCharType="separate"/>
      </w:r>
      <w:r>
        <w:t>233</w:t>
      </w:r>
      <w:r>
        <w:fldChar w:fldCharType="end"/>
      </w:r>
    </w:p>
    <w:p>
      <w:pPr>
        <w:pStyle w:val="TOC8"/>
        <w:rPr>
          <w:rFonts w:asciiTheme="minorHAnsi" w:eastAsiaTheme="minorEastAsia" w:hAnsiTheme="minorHAnsi" w:cstheme="minorBidi"/>
          <w:szCs w:val="22"/>
        </w:rPr>
      </w:pPr>
      <w:r>
        <w:t>394.</w:t>
      </w:r>
      <w:r>
        <w:tab/>
        <w:t>Resignation of early childhood teacher</w:t>
      </w:r>
      <w:r>
        <w:tab/>
      </w:r>
      <w:r>
        <w:fldChar w:fldCharType="begin"/>
      </w:r>
      <w:r>
        <w:instrText xml:space="preserve"> PAGEREF _Toc95123210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_Toc95123212 \h </w:instrText>
      </w:r>
      <w:r>
        <w:fldChar w:fldCharType="separate"/>
      </w:r>
      <w:r>
        <w:t>234</w:t>
      </w:r>
      <w:r>
        <w:fldChar w:fldCharType="end"/>
      </w:r>
    </w:p>
    <w:p>
      <w:pPr>
        <w:pStyle w:val="TOC8"/>
        <w:rPr>
          <w:rFonts w:asciiTheme="minorHAnsi" w:eastAsiaTheme="minorEastAsia" w:hAnsiTheme="minorHAnsi" w:cstheme="minorBidi"/>
          <w:szCs w:val="22"/>
        </w:rPr>
      </w:pPr>
      <w:r>
        <w:lastRenderedPageBreak/>
        <w:t>396.</w:t>
      </w:r>
      <w:r>
        <w:tab/>
        <w:t>Quality improvement plan held prior to commencement day</w:t>
      </w:r>
      <w:r>
        <w:tab/>
      </w:r>
      <w:r>
        <w:fldChar w:fldCharType="begin"/>
      </w:r>
      <w:r>
        <w:instrText xml:space="preserve"> PAGEREF _Toc95123213 \h </w:instrText>
      </w:r>
      <w:r>
        <w:fldChar w:fldCharType="separate"/>
      </w:r>
      <w:r>
        <w:t>234</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_Toc95123214 \h </w:instrText>
      </w:r>
      <w:r>
        <w:fldChar w:fldCharType="separate"/>
      </w:r>
      <w:r>
        <w:t>234</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_Toc95123215 \h </w:instrText>
      </w:r>
      <w:r>
        <w:fldChar w:fldCharType="separate"/>
      </w:r>
      <w:r>
        <w:t>235</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_Toc95123216 \h </w:instrText>
      </w:r>
      <w:r>
        <w:fldChar w:fldCharType="separate"/>
      </w:r>
      <w:r>
        <w:t>235</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_Toc95123217 \h </w:instrText>
      </w:r>
      <w:r>
        <w:fldChar w:fldCharType="separate"/>
      </w:r>
      <w:r>
        <w:t>236</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_Toc95123218 \h </w:instrText>
      </w:r>
      <w:r>
        <w:fldChar w:fldCharType="separate"/>
      </w:r>
      <w:r>
        <w:t>237</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_Toc95123219 \h </w:instrText>
      </w:r>
      <w:r>
        <w:fldChar w:fldCharType="separate"/>
      </w:r>
      <w:r>
        <w:t>237</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_Toc95123220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8"/>
        <w:rPr>
          <w:rFonts w:asciiTheme="minorHAnsi" w:eastAsiaTheme="minorEastAsia" w:hAnsiTheme="minorHAnsi" w:cstheme="minorBidi"/>
          <w:szCs w:val="22"/>
        </w:rPr>
      </w:pPr>
      <w:r>
        <w:t>410.</w:t>
      </w:r>
      <w:r>
        <w:tab/>
        <w:t>Application of Division</w:t>
      </w:r>
      <w:r>
        <w:tab/>
      </w:r>
      <w:r>
        <w:fldChar w:fldCharType="begin"/>
      </w:r>
      <w:r>
        <w:instrText xml:space="preserve"> PAGEREF _Toc95123226 \h </w:instrText>
      </w:r>
      <w:r>
        <w:fldChar w:fldCharType="separate"/>
      </w:r>
      <w:r>
        <w:t>239</w:t>
      </w:r>
      <w:r>
        <w:fldChar w:fldCharType="end"/>
      </w:r>
    </w:p>
    <w:p>
      <w:pPr>
        <w:pStyle w:val="TOC8"/>
        <w:rPr>
          <w:rFonts w:asciiTheme="minorHAnsi" w:eastAsiaTheme="minorEastAsia" w:hAnsiTheme="minorHAnsi" w:cstheme="minorBidi"/>
          <w:szCs w:val="22"/>
        </w:rPr>
      </w:pPr>
      <w:r>
        <w:t>411.</w:t>
      </w:r>
      <w:r>
        <w:tab/>
        <w:t>Resignation of suitably qualified person</w:t>
      </w:r>
      <w:r>
        <w:tab/>
      </w:r>
      <w:r>
        <w:fldChar w:fldCharType="begin"/>
      </w:r>
      <w:r>
        <w:instrText xml:space="preserve"> PAGEREF _Toc95123227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7.13 — Transitional and saving provisions for 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_Toc95123230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Northern Territory</w:t>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4"/>
        <w:tabs>
          <w:tab w:val="right" w:leader="dot" w:pos="7077"/>
        </w:tabs>
        <w:rPr>
          <w:rFonts w:asciiTheme="minorHAnsi" w:eastAsiaTheme="minorEastAsia" w:hAnsiTheme="minorHAnsi" w:cstheme="minorBidi"/>
          <w:b w:val="0"/>
          <w:szCs w:val="22"/>
        </w:rPr>
      </w:pPr>
      <w:r>
        <w:t>Part 1 — Fees relating to provider approvals, service approvals and ratings</w:t>
      </w:r>
    </w:p>
    <w:p>
      <w:pPr>
        <w:pStyle w:val="TOC4"/>
        <w:tabs>
          <w:tab w:val="right" w:leader="dot" w:pos="7077"/>
        </w:tabs>
        <w:rPr>
          <w:rFonts w:asciiTheme="minorHAnsi" w:eastAsiaTheme="minorEastAsia" w:hAnsiTheme="minorHAnsi" w:cstheme="minorBidi"/>
          <w:b w:val="0"/>
          <w:szCs w:val="22"/>
        </w:rPr>
      </w:pPr>
      <w:r>
        <w:t>Part 2 — Other fees</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_Toc95123239 \h </w:instrText>
      </w:r>
      <w:r>
        <w:fldChar w:fldCharType="separate"/>
      </w:r>
      <w:r>
        <w:t>261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_Toc95123240 \h </w:instrText>
      </w:r>
      <w:r>
        <w:fldChar w:fldCharType="separate"/>
      </w:r>
      <w:r>
        <w:t>263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_Toc95123241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3" w:name="_Toc95122839"/>
      <w:r>
        <w:rPr>
          <w:rStyle w:val="CharPartNo"/>
        </w:rPr>
        <w:t>Chapter 1</w:t>
      </w:r>
      <w:r>
        <w:rPr>
          <w:rStyle w:val="CharDivNo"/>
        </w:rPr>
        <w:t> </w:t>
      </w:r>
      <w:r>
        <w:t>—</w:t>
      </w:r>
      <w:r>
        <w:rPr>
          <w:rStyle w:val="CharDivText"/>
        </w:rPr>
        <w:t> </w:t>
      </w:r>
      <w:r>
        <w:rPr>
          <w:rStyle w:val="CharPartText"/>
        </w:rPr>
        <w:t>Preliminary</w:t>
      </w:r>
      <w:bookmarkEnd w:id="3"/>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4" w:name="_Toc95122840"/>
      <w:r>
        <w:rPr>
          <w:rStyle w:val="CharSectno"/>
        </w:rPr>
        <w:t>1</w:t>
      </w:r>
      <w:r>
        <w:t>.</w:t>
      </w:r>
      <w:r>
        <w:tab/>
        <w:t>Citation</w:t>
      </w:r>
      <w:bookmarkEnd w:id="4"/>
    </w:p>
    <w:p>
      <w:pPr>
        <w:pStyle w:val="Subsection"/>
      </w:pPr>
      <w:r>
        <w:tab/>
      </w:r>
      <w:r>
        <w:tab/>
      </w:r>
      <w:bookmarkStart w:id="5" w:name="Start_Cursor"/>
      <w:bookmarkEnd w:id="5"/>
      <w:r>
        <w:t xml:space="preserve">These Regulations are the </w:t>
      </w:r>
      <w:r>
        <w:rPr>
          <w:i/>
        </w:rPr>
        <w:t>Education and Care Services National Regulations 2012</w:t>
      </w:r>
      <w:r>
        <w:t>.</w:t>
      </w:r>
    </w:p>
    <w:p>
      <w:pPr>
        <w:pStyle w:val="Heading5"/>
      </w:pPr>
      <w:bookmarkStart w:id="6" w:name="_Toc95122841"/>
      <w:r>
        <w:rPr>
          <w:rStyle w:val="CharSectno"/>
        </w:rPr>
        <w:t>2</w:t>
      </w:r>
      <w:r>
        <w:t>.</w:t>
      </w:r>
      <w:r>
        <w:tab/>
        <w:t>Authorising provisions</w:t>
      </w:r>
      <w:bookmarkEnd w:id="6"/>
    </w:p>
    <w:p>
      <w:pPr>
        <w:pStyle w:val="Subsection"/>
      </w:pPr>
      <w:r>
        <w:tab/>
      </w:r>
      <w:r>
        <w:tab/>
        <w:t xml:space="preserve">These Regulations are made under sections 301 and 324 of the </w:t>
      </w:r>
      <w:r>
        <w:rPr>
          <w:i/>
        </w:rPr>
        <w:t>Education and Care Services National Law</w:t>
      </w:r>
      <w:r>
        <w:t>.</w:t>
      </w:r>
    </w:p>
    <w:p>
      <w:pPr>
        <w:pStyle w:val="Heading5"/>
      </w:pPr>
      <w:bookmarkStart w:id="7" w:name="_Toc95122842"/>
      <w:r>
        <w:rPr>
          <w:rStyle w:val="CharSectno"/>
        </w:rPr>
        <w:t>3</w:t>
      </w:r>
      <w:r>
        <w:t>.</w:t>
      </w:r>
      <w:r>
        <w:tab/>
        <w:t>Commencement</w:t>
      </w:r>
      <w:bookmarkEnd w:id="7"/>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8" w:name="_Toc95122843"/>
      <w:r>
        <w:rPr>
          <w:rStyle w:val="CharSectno"/>
        </w:rPr>
        <w:lastRenderedPageBreak/>
        <w:t>4</w:t>
      </w:r>
      <w:r>
        <w:t>.</w:t>
      </w:r>
      <w:r>
        <w:tab/>
        <w:t>Definitions</w:t>
      </w:r>
      <w:bookmarkEnd w:id="8"/>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tab/>
        <w:t>(e)</w:t>
      </w:r>
      <w:r>
        <w:tab/>
        <w:t>a person who is accredited under a law of a participating jurisdiction to design buildings that will be used to provide education and care services;</w:t>
      </w:r>
    </w:p>
    <w:p>
      <w:pPr>
        <w:pStyle w:val="Defstart"/>
      </w:pPr>
      <w:r>
        <w:lastRenderedPageBreak/>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whether the individual is or has been subject to a formal disciplinary proceeding or action under an education law of a participating jurisdiction (other than a proceeding or action that was unsuccessful or was withdrawn); and</w:t>
      </w:r>
    </w:p>
    <w:p>
      <w:pPr>
        <w:pStyle w:val="Defpara"/>
      </w:pPr>
      <w:r>
        <w:tab/>
        <w:t>(b)</w:t>
      </w:r>
      <w:r>
        <w:tab/>
        <w:t>the outcome of the proceeding or action (if known);</w:t>
      </w:r>
    </w:p>
    <w:p>
      <w:pPr>
        <w:pStyle w:val="Defstart"/>
      </w:pPr>
      <w:r>
        <w:lastRenderedPageBreak/>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tab/>
      </w:r>
      <w:r>
        <w:rPr>
          <w:rStyle w:val="CharDefText"/>
        </w:rPr>
        <w:t>in attendance</w:t>
      </w:r>
      <w:r>
        <w:t>, at a centre</w:t>
      </w:r>
      <w:r>
        <w:noBreakHyphen/>
        <w:t>based service, in relation to an early childhood teacher or a suitably qualified person — see regulation 11;</w:t>
      </w:r>
    </w:p>
    <w:p>
      <w:pPr>
        <w:pStyle w:val="Defstart"/>
      </w:pPr>
      <w:r>
        <w:rPr>
          <w:bCs/>
        </w:rPr>
        <w:lastRenderedPageBreak/>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pPr>
      <w:r>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lastRenderedPageBreak/>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lastRenderedPageBreak/>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lastRenderedPageBreak/>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w:t>
      </w:r>
    </w:p>
    <w:p>
      <w:pPr>
        <w:pStyle w:val="Heading5"/>
        <w:spacing w:before="260"/>
      </w:pPr>
      <w:bookmarkStart w:id="9" w:name="_Toc95122844"/>
      <w:r>
        <w:rPr>
          <w:rStyle w:val="CharSectno"/>
        </w:rPr>
        <w:t>5</w:t>
      </w:r>
      <w:r>
        <w:t>.</w:t>
      </w:r>
      <w:r>
        <w:tab/>
        <w:t>Services that are not education and care services</w:t>
      </w:r>
      <w:bookmarkEnd w:id="9"/>
      <w:r>
        <w:t xml:space="preserve"> </w:t>
      </w:r>
    </w:p>
    <w:p>
      <w:pPr>
        <w:pStyle w:val="Subsection"/>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w:t>
      </w:r>
      <w:r>
        <w:lastRenderedPageBreak/>
        <w:t xml:space="preserve">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lastRenderedPageBreak/>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a secondary school or college providing education and care to the children of students attending the school or college where a parent of each child retains 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lastRenderedPageBreak/>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lastRenderedPageBreak/>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0" w:name="_Toc95122845"/>
      <w:r>
        <w:rPr>
          <w:rStyle w:val="CharSectno"/>
        </w:rPr>
        <w:t>6</w:t>
      </w:r>
      <w:r>
        <w:t>.</w:t>
      </w:r>
      <w:r>
        <w:tab/>
        <w:t>Eligible association</w:t>
      </w:r>
      <w:bookmarkEnd w:id="10"/>
      <w:r>
        <w:t xml:space="preserve"> </w:t>
      </w:r>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1" w:name="_Toc95122846"/>
      <w:r>
        <w:rPr>
          <w:rStyle w:val="CharSectno"/>
        </w:rPr>
        <w:t>7</w:t>
      </w:r>
      <w:r>
        <w:t>.</w:t>
      </w:r>
      <w:r>
        <w:tab/>
        <w:t>Prescribed rating system</w:t>
      </w:r>
      <w:bookmarkEnd w:id="11"/>
      <w:r>
        <w:t xml:space="preserve"> </w:t>
      </w:r>
    </w:p>
    <w:p>
      <w:pPr>
        <w:pStyle w:val="Subsection"/>
      </w:pPr>
      <w:r>
        <w:tab/>
      </w:r>
      <w:r>
        <w:tab/>
        <w:t xml:space="preserve">For the purposes of paragraph (d) of the definition of </w:t>
      </w:r>
      <w:r>
        <w:rPr>
          <w:b/>
          <w:i/>
        </w:rPr>
        <w:t>national education and care services quality framework</w:t>
      </w:r>
      <w:r>
        <w:t xml:space="preserve"> in section 5(1) of the Law, the prescribed rating system is set out in Parts 3.2 to 3.5.</w:t>
      </w:r>
    </w:p>
    <w:p>
      <w:pPr>
        <w:pStyle w:val="Heading5"/>
      </w:pPr>
      <w:bookmarkStart w:id="12" w:name="_Toc95122847"/>
      <w:r>
        <w:rPr>
          <w:rStyle w:val="CharSectno"/>
        </w:rPr>
        <w:t>8</w:t>
      </w:r>
      <w:r>
        <w:t>.</w:t>
      </w:r>
      <w:r>
        <w:tab/>
        <w:t>National Quality Standard</w:t>
      </w:r>
      <w:bookmarkEnd w:id="12"/>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3" w:name="_Toc95122848"/>
      <w:r>
        <w:rPr>
          <w:rStyle w:val="CharSectno"/>
        </w:rPr>
        <w:t>9</w:t>
      </w:r>
      <w:r>
        <w:t>.</w:t>
      </w:r>
      <w:r>
        <w:tab/>
        <w:t>Prescribed entities</w:t>
      </w:r>
      <w:bookmarkEnd w:id="13"/>
    </w:p>
    <w:p>
      <w:pPr>
        <w:pStyle w:val="Subsection"/>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lastRenderedPageBreak/>
        <w:tab/>
        <w:t>(b)</w:t>
      </w:r>
      <w:r>
        <w:tab/>
        <w:t>a body politic.</w:t>
      </w:r>
    </w:p>
    <w:p>
      <w:pPr>
        <w:pStyle w:val="Footnotesection"/>
      </w:pPr>
      <w:r>
        <w:tab/>
        <w:t>[Regulation 9 inserted: Gazette 13 Dec 2013 p.</w:t>
      </w:r>
      <w:r>
        <w:rPr>
          <w:sz w:val="19"/>
        </w:rPr>
        <w:t> </w:t>
      </w:r>
      <w:r>
        <w:t>6152.]</w:t>
      </w:r>
    </w:p>
    <w:p>
      <w:pPr>
        <w:pStyle w:val="Heading5"/>
      </w:pPr>
      <w:bookmarkStart w:id="14" w:name="_Toc95122849"/>
      <w:r>
        <w:rPr>
          <w:rStyle w:val="CharSectno"/>
        </w:rPr>
        <w:t>10</w:t>
      </w:r>
      <w:r>
        <w:t>.</w:t>
      </w:r>
      <w:r>
        <w:tab/>
        <w:t xml:space="preserve">Meaning of </w:t>
      </w:r>
      <w:r>
        <w:rPr>
          <w:i/>
        </w:rPr>
        <w:t>actively working towards</w:t>
      </w:r>
      <w:r>
        <w:t xml:space="preserve"> a qualification</w:t>
      </w:r>
      <w:bookmarkEnd w:id="14"/>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5" w:name="_Toc95122850"/>
      <w:r>
        <w:rPr>
          <w:rStyle w:val="CharSectno"/>
        </w:rPr>
        <w:t>11</w:t>
      </w:r>
      <w:r>
        <w:t>.</w:t>
      </w:r>
      <w:r>
        <w:tab/>
        <w:t xml:space="preserve">Meaning of </w:t>
      </w:r>
      <w:r>
        <w:rPr>
          <w:i/>
        </w:rPr>
        <w:t>in attendance</w:t>
      </w:r>
      <w:r>
        <w:t xml:space="preserve"> at a centre</w:t>
      </w:r>
      <w:r>
        <w:noBreakHyphen/>
        <w:t>based service</w:t>
      </w:r>
      <w:bookmarkEnd w:id="15"/>
    </w:p>
    <w:p>
      <w:pPr>
        <w:pStyle w:val="Subsection"/>
      </w:pPr>
      <w:r>
        <w:tab/>
      </w:r>
      <w:r>
        <w:tab/>
        <w:t xml:space="preserve">For the purposes of these Regulations, an early childhood teacher or a suitably qualified person is </w:t>
      </w:r>
      <w:r>
        <w:rPr>
          <w:rStyle w:val="CharDefText"/>
        </w:rPr>
        <w:t>in attendance</w:t>
      </w:r>
      <w:r>
        <w:t xml:space="preserve"> at a </w:t>
      </w:r>
      <w:r>
        <w:lastRenderedPageBreak/>
        <w:t>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6" w:name="_Toc95122851"/>
      <w:r>
        <w:rPr>
          <w:rStyle w:val="CharSectno"/>
        </w:rPr>
        <w:t>12</w:t>
      </w:r>
      <w:r>
        <w:t>.</w:t>
      </w:r>
      <w:r>
        <w:tab/>
        <w:t xml:space="preserve">Meaning of </w:t>
      </w:r>
      <w:r>
        <w:rPr>
          <w:i/>
        </w:rPr>
        <w:t>serious incident</w:t>
      </w:r>
      <w:bookmarkEnd w:id="16"/>
    </w:p>
    <w:p>
      <w:pPr>
        <w:pStyle w:val="Subsection"/>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lastRenderedPageBreak/>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7" w:name="_Toc95122852"/>
      <w:r>
        <w:rPr>
          <w:rStyle w:val="CharSectno"/>
        </w:rPr>
        <w:t>13</w:t>
      </w:r>
      <w:r>
        <w:t>.</w:t>
      </w:r>
      <w:r>
        <w:tab/>
        <w:t xml:space="preserve">Meaning of </w:t>
      </w:r>
      <w:r>
        <w:rPr>
          <w:i/>
        </w:rPr>
        <w:t>working directly with children</w:t>
      </w:r>
      <w:bookmarkEnd w:id="17"/>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8" w:name="_Toc95122853"/>
      <w:r>
        <w:rPr>
          <w:rStyle w:val="CharPartNo"/>
        </w:rPr>
        <w:lastRenderedPageBreak/>
        <w:t>Chapter 2</w:t>
      </w:r>
      <w:r>
        <w:t> — </w:t>
      </w:r>
      <w:r>
        <w:rPr>
          <w:rStyle w:val="CharPartText"/>
        </w:rPr>
        <w:t>Approvals</w:t>
      </w:r>
      <w:bookmarkEnd w:id="18"/>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19" w:name="_Toc95122854"/>
      <w:r>
        <w:rPr>
          <w:rStyle w:val="CharDivNo"/>
        </w:rPr>
        <w:t>Part 2.1</w:t>
      </w:r>
      <w:r>
        <w:t> — </w:t>
      </w:r>
      <w:r>
        <w:rPr>
          <w:rStyle w:val="CharDivText"/>
        </w:rPr>
        <w:t>Provider approvals</w:t>
      </w:r>
      <w:bookmarkEnd w:id="19"/>
    </w:p>
    <w:p>
      <w:pPr>
        <w:pStyle w:val="Heading5"/>
      </w:pPr>
      <w:bookmarkStart w:id="20" w:name="_Toc95122855"/>
      <w:r>
        <w:rPr>
          <w:rStyle w:val="CharSectno"/>
        </w:rPr>
        <w:t>14</w:t>
      </w:r>
      <w:r>
        <w:t>.</w:t>
      </w:r>
      <w:r>
        <w:tab/>
        <w:t>Application for provider approval by individual</w:t>
      </w:r>
      <w:bookmarkEnd w:id="20"/>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tab/>
        <w:t>(f)</w:t>
      </w:r>
      <w:r>
        <w:tab/>
        <w:t xml:space="preserve">except in the case of an application to the New South Wales Regulatory Authority or the Queensland </w:t>
      </w:r>
      <w:r>
        <w:lastRenderedPageBreak/>
        <w:t xml:space="preserve">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1" w:name="_Toc95122856"/>
      <w:r>
        <w:rPr>
          <w:rStyle w:val="CharSectno"/>
        </w:rPr>
        <w:t>15</w:t>
      </w:r>
      <w:r>
        <w:t>.</w:t>
      </w:r>
      <w:r>
        <w:tab/>
        <w:t>Application for provider approval by person other than an individual</w:t>
      </w:r>
      <w:bookmarkEnd w:id="21"/>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2" w:name="_Toc95122857"/>
      <w:r>
        <w:rPr>
          <w:rStyle w:val="CharSectno"/>
        </w:rPr>
        <w:t>16</w:t>
      </w:r>
      <w:r>
        <w:t>.</w:t>
      </w:r>
      <w:r>
        <w:tab/>
        <w:t>Matters relating to criminal history</w:t>
      </w:r>
      <w:bookmarkEnd w:id="22"/>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3" w:name="_Toc95122858"/>
      <w:r>
        <w:rPr>
          <w:rStyle w:val="CharSectno"/>
        </w:rPr>
        <w:t>17</w:t>
      </w:r>
      <w:r>
        <w:t>.</w:t>
      </w:r>
      <w:r>
        <w:tab/>
        <w:t>Application for amendment of provider approval</w:t>
      </w:r>
      <w:bookmarkEnd w:id="23"/>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4" w:name="_Toc95122859"/>
      <w:r>
        <w:rPr>
          <w:rStyle w:val="CharSectno"/>
        </w:rPr>
        <w:lastRenderedPageBreak/>
        <w:t>18</w:t>
      </w:r>
      <w:r>
        <w:t>.</w:t>
      </w:r>
      <w:r>
        <w:tab/>
        <w:t>Maximum period of suspension of provider approval</w:t>
      </w:r>
      <w:bookmarkEnd w:id="24"/>
      <w:r>
        <w:t xml:space="preserve"> </w:t>
      </w:r>
    </w:p>
    <w:p>
      <w:pPr>
        <w:pStyle w:val="Subsection"/>
      </w:pPr>
      <w:r>
        <w:tab/>
      </w:r>
      <w:r>
        <w:tab/>
        <w:t>The prescribed maximum period of suspension of a provider approval under section 27(a) or 33(1)(a)(ii) of the Law is 12 months.</w:t>
      </w:r>
    </w:p>
    <w:p>
      <w:pPr>
        <w:pStyle w:val="Heading5"/>
      </w:pPr>
      <w:bookmarkStart w:id="25" w:name="_Toc95122860"/>
      <w:r>
        <w:rPr>
          <w:rStyle w:val="CharSectno"/>
        </w:rPr>
        <w:t>19</w:t>
      </w:r>
      <w:r>
        <w:t>.</w:t>
      </w:r>
      <w:r>
        <w:tab/>
        <w:t>Application for voluntary suspension of provider approval</w:t>
      </w:r>
      <w:bookmarkEnd w:id="25"/>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26" w:name="_Toc95122861"/>
      <w:r>
        <w:rPr>
          <w:rStyle w:val="CharSectno"/>
        </w:rPr>
        <w:t>20</w:t>
      </w:r>
      <w:r>
        <w:t>.</w:t>
      </w:r>
      <w:r>
        <w:tab/>
        <w:t>Application by individual executor for provider approval</w:t>
      </w:r>
      <w:bookmarkEnd w:id="26"/>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27" w:name="_Toc95122862"/>
      <w:r>
        <w:rPr>
          <w:rStyle w:val="CharSectno"/>
        </w:rPr>
        <w:t>21</w:t>
      </w:r>
      <w:r>
        <w:t>.</w:t>
      </w:r>
      <w:r>
        <w:tab/>
        <w:t>Application by executor other than an individual for provider approval</w:t>
      </w:r>
      <w:bookmarkEnd w:id="27"/>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28" w:name="_Toc95122863"/>
      <w:r>
        <w:rPr>
          <w:rStyle w:val="CharSectno"/>
        </w:rPr>
        <w:t>22</w:t>
      </w:r>
      <w:r>
        <w:t>.</w:t>
      </w:r>
      <w:r>
        <w:tab/>
        <w:t>Application by individual for provider approval on incapacity of approved provider</w:t>
      </w:r>
      <w:bookmarkEnd w:id="28"/>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lastRenderedPageBreak/>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29" w:name="_Toc95122864"/>
      <w:r>
        <w:rPr>
          <w:rStyle w:val="CharSectno"/>
        </w:rPr>
        <w:t>23</w:t>
      </w:r>
      <w:r>
        <w:t>.</w:t>
      </w:r>
      <w:r>
        <w:tab/>
        <w:t>Application by person other than an individual for provider approval on incapacity of approved provider</w:t>
      </w:r>
      <w:bookmarkEnd w:id="29"/>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spacing w:before="100"/>
      </w:pPr>
      <w:r>
        <w:tab/>
        <w:t>(e)</w:t>
      </w:r>
      <w:r>
        <w:tab/>
        <w:t xml:space="preserve">the proposed duration of the provider approval; </w:t>
      </w:r>
    </w:p>
    <w:p>
      <w:pPr>
        <w:pStyle w:val="MiscellaneousBody"/>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lastRenderedPageBreak/>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0" w:name="_Toc95122865"/>
      <w:r>
        <w:rPr>
          <w:rStyle w:val="CharDivNo"/>
        </w:rPr>
        <w:t>Part 2.2</w:t>
      </w:r>
      <w:r>
        <w:t> — </w:t>
      </w:r>
      <w:r>
        <w:rPr>
          <w:rStyle w:val="CharDivText"/>
        </w:rPr>
        <w:t>Service approvals</w:t>
      </w:r>
      <w:bookmarkEnd w:id="30"/>
    </w:p>
    <w:p>
      <w:pPr>
        <w:pStyle w:val="Heading4"/>
      </w:pPr>
      <w:bookmarkStart w:id="31" w:name="_Toc95122866"/>
      <w:r>
        <w:t>Division 1 — Applications for service approvals</w:t>
      </w:r>
      <w:bookmarkEnd w:id="31"/>
    </w:p>
    <w:p>
      <w:pPr>
        <w:pStyle w:val="Heading5"/>
      </w:pPr>
      <w:bookmarkStart w:id="32" w:name="_Toc95122867"/>
      <w:r>
        <w:rPr>
          <w:rStyle w:val="CharSectno"/>
        </w:rPr>
        <w:t>24</w:t>
      </w:r>
      <w:r>
        <w:t>.</w:t>
      </w:r>
      <w:r>
        <w:tab/>
        <w:t>Application for service approval — centre</w:t>
      </w:r>
      <w:r>
        <w:noBreakHyphen/>
        <w:t>based service</w:t>
      </w:r>
      <w:bookmarkEnd w:id="32"/>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tab/>
        <w:t>(d)</w:t>
      </w:r>
      <w:r>
        <w:tab/>
        <w:t>if known, the contact details, including an after</w:t>
      </w:r>
      <w:r>
        <w:noBreakHyphen/>
        <w:t>hours telephone number, for the proposed education and care service;</w:t>
      </w:r>
    </w:p>
    <w:p>
      <w:pPr>
        <w:pStyle w:val="Indenta"/>
      </w:pPr>
      <w:r>
        <w:lastRenderedPageBreak/>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w:t>
      </w:r>
    </w:p>
    <w:p>
      <w:pPr>
        <w:pStyle w:val="Heading5"/>
      </w:pPr>
      <w:bookmarkStart w:id="33" w:name="_Toc95122868"/>
      <w:r>
        <w:rPr>
          <w:rStyle w:val="CharSectno"/>
        </w:rPr>
        <w:t>25</w:t>
      </w:r>
      <w:r>
        <w:t>.</w:t>
      </w:r>
      <w:r>
        <w:tab/>
        <w:t>Additional information about proposed education and care service premises</w:t>
      </w:r>
      <w:bookmarkEnd w:id="33"/>
      <w:r>
        <w:t xml:space="preserve"> </w:t>
      </w:r>
    </w:p>
    <w:p>
      <w:pPr>
        <w:pStyle w:val="Subsection"/>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lastRenderedPageBreak/>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 xml:space="preserve">if a soil assessment for the site of the proposed education and care service premises has previously been undertaken, a statement to that </w:t>
      </w:r>
      <w:r>
        <w:lastRenderedPageBreak/>
        <w:t>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w:t>
      </w:r>
    </w:p>
    <w:p>
      <w:pPr>
        <w:pStyle w:val="Heading5"/>
      </w:pPr>
      <w:bookmarkStart w:id="34" w:name="_Toc95122869"/>
      <w:r>
        <w:rPr>
          <w:rStyle w:val="CharSectno"/>
        </w:rPr>
        <w:lastRenderedPageBreak/>
        <w:t>25A</w:t>
      </w:r>
      <w:r>
        <w:t>.</w:t>
      </w:r>
      <w:r>
        <w:tab/>
        <w:t>Application for service approval for a centre</w:t>
      </w:r>
      <w:r>
        <w:noBreakHyphen/>
        <w:t>based service — relocation of existing centre</w:t>
      </w:r>
      <w:r>
        <w:noBreakHyphen/>
        <w:t>based service</w:t>
      </w:r>
      <w:bookmarkEnd w:id="34"/>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35" w:name="_Toc95122870"/>
      <w:r>
        <w:rPr>
          <w:rStyle w:val="CharSectno"/>
        </w:rPr>
        <w:t>26</w:t>
      </w:r>
      <w:r>
        <w:t>.</w:t>
      </w:r>
      <w:r>
        <w:tab/>
        <w:t>Application for service approval — family day care service</w:t>
      </w:r>
      <w:bookmarkEnd w:id="35"/>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lastRenderedPageBreak/>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lastRenderedPageBreak/>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w:t>
      </w:r>
    </w:p>
    <w:p>
      <w:pPr>
        <w:pStyle w:val="Heading5"/>
      </w:pPr>
      <w:bookmarkStart w:id="36" w:name="_Toc95122871"/>
      <w:r>
        <w:rPr>
          <w:rStyle w:val="CharSectno"/>
        </w:rPr>
        <w:t>27</w:t>
      </w:r>
      <w:r>
        <w:t>.</w:t>
      </w:r>
      <w:r>
        <w:tab/>
        <w:t>Additional matters to have regard to in determining application for service approval</w:t>
      </w:r>
      <w:bookmarkEnd w:id="36"/>
      <w:r>
        <w:t xml:space="preserve"> </w:t>
      </w:r>
    </w:p>
    <w:p>
      <w:pPr>
        <w:pStyle w:val="Subsection"/>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PermNoteHeading"/>
      </w:pPr>
      <w:r>
        <w:tab/>
        <w:t>Note for this regulation:</w:t>
      </w:r>
    </w:p>
    <w:p>
      <w:pPr>
        <w:pStyle w:val="PermNoteText"/>
      </w:pPr>
      <w:r>
        <w:tab/>
      </w:r>
      <w:r>
        <w:tab/>
        <w:t>See section 47(1)(g) of the Law.</w:t>
      </w:r>
    </w:p>
    <w:p>
      <w:pPr>
        <w:pStyle w:val="Heading5"/>
      </w:pPr>
      <w:bookmarkStart w:id="37" w:name="_Toc95122872"/>
      <w:r>
        <w:rPr>
          <w:rStyle w:val="CharSectno"/>
        </w:rPr>
        <w:lastRenderedPageBreak/>
        <w:t>28</w:t>
      </w:r>
      <w:r>
        <w:t>.</w:t>
      </w:r>
      <w:r>
        <w:tab/>
        <w:t>Additional grounds for refusal to grant service approval</w:t>
      </w:r>
      <w:bookmarkEnd w:id="37"/>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38" w:name="_Toc95122873"/>
      <w:r>
        <w:rPr>
          <w:rStyle w:val="CharSectno"/>
        </w:rPr>
        <w:t>29</w:t>
      </w:r>
      <w:r>
        <w:t>.</w:t>
      </w:r>
      <w:r>
        <w:tab/>
        <w:t>Condition on service approval — insurance</w:t>
      </w:r>
      <w:bookmarkEnd w:id="38"/>
      <w:r>
        <w:t xml:space="preserve"> </w:t>
      </w:r>
    </w:p>
    <w:p>
      <w:pPr>
        <w:pStyle w:val="Subsection"/>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lastRenderedPageBreak/>
        <w:tab/>
        <w:t>2.</w:t>
      </w:r>
      <w:r>
        <w:tab/>
        <w:t>See regulation 180 for the requirement to keep evidence of prescribed insurance.</w:t>
      </w:r>
    </w:p>
    <w:p>
      <w:pPr>
        <w:pStyle w:val="Heading5"/>
      </w:pPr>
      <w:bookmarkStart w:id="39" w:name="_Toc95122874"/>
      <w:r>
        <w:rPr>
          <w:rStyle w:val="CharSectno"/>
        </w:rPr>
        <w:t>30</w:t>
      </w:r>
      <w:r>
        <w:t>.</w:t>
      </w:r>
      <w:r>
        <w:tab/>
        <w:t>Condition on service approval — family day care educator insurance</w:t>
      </w:r>
      <w:bookmarkEnd w:id="39"/>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0" w:name="_Toc95122875"/>
      <w:r>
        <w:rPr>
          <w:rStyle w:val="CharSectno"/>
        </w:rPr>
        <w:t>31</w:t>
      </w:r>
      <w:r>
        <w:t>.</w:t>
      </w:r>
      <w:r>
        <w:tab/>
        <w:t>Condition on service approval — quality improvement plan</w:t>
      </w:r>
      <w:bookmarkEnd w:id="40"/>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41" w:name="_Toc95122876"/>
      <w:r>
        <w:rPr>
          <w:rStyle w:val="CharSectno"/>
        </w:rPr>
        <w:lastRenderedPageBreak/>
        <w:t>32</w:t>
      </w:r>
      <w:r>
        <w:t>.</w:t>
      </w:r>
      <w:r>
        <w:tab/>
        <w:t>Condition on service approval — entitlement to occupy premises</w:t>
      </w:r>
      <w:bookmarkEnd w:id="41"/>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42" w:name="_Toc95122877"/>
      <w:r>
        <w:rPr>
          <w:rStyle w:val="CharSectno"/>
        </w:rPr>
        <w:t>32A</w:t>
      </w:r>
      <w:r>
        <w:t>.</w:t>
      </w:r>
      <w:r>
        <w:tab/>
        <w:t>Condition on service approval — maximum number of family day care educators</w:t>
      </w:r>
      <w:bookmarkEnd w:id="42"/>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43" w:name="_Toc95122878"/>
      <w:r>
        <w:rPr>
          <w:rStyle w:val="CharSectno"/>
        </w:rPr>
        <w:t>33</w:t>
      </w:r>
      <w:r>
        <w:t>.</w:t>
      </w:r>
      <w:r>
        <w:tab/>
        <w:t>Annual fees</w:t>
      </w:r>
      <w:bookmarkEnd w:id="43"/>
    </w:p>
    <w:p>
      <w:pPr>
        <w:pStyle w:val="Subsection"/>
      </w:pPr>
      <w:r>
        <w:tab/>
      </w:r>
      <w:r>
        <w:tab/>
        <w:t>The approved provider of an education and care service must pay the relevant annual fee set out in Schedule 2 for the service approval on or before 1 July each year.</w:t>
      </w:r>
    </w:p>
    <w:p>
      <w:pPr>
        <w:pStyle w:val="Footnotesection"/>
      </w:pPr>
      <w:r>
        <w:tab/>
        <w:t>[Regulation 33 amended: Gazette 13 Dec 2013 p.</w:t>
      </w:r>
      <w:r>
        <w:rPr>
          <w:sz w:val="19"/>
        </w:rPr>
        <w:t> </w:t>
      </w:r>
      <w:r>
        <w:t>6157.]</w:t>
      </w:r>
    </w:p>
    <w:p>
      <w:pPr>
        <w:pStyle w:val="Heading4"/>
      </w:pPr>
      <w:bookmarkStart w:id="44" w:name="_Toc95122879"/>
      <w:r>
        <w:t>Division 2 — Amendment of service approval and notice of change to nominated supervisor</w:t>
      </w:r>
      <w:bookmarkEnd w:id="44"/>
    </w:p>
    <w:p>
      <w:pPr>
        <w:pStyle w:val="Heading5"/>
      </w:pPr>
      <w:bookmarkStart w:id="45" w:name="_Toc95122880"/>
      <w:r>
        <w:rPr>
          <w:rStyle w:val="CharSectno"/>
        </w:rPr>
        <w:t>34</w:t>
      </w:r>
      <w:r>
        <w:t>.</w:t>
      </w:r>
      <w:r>
        <w:tab/>
        <w:t>Prescribed information for application to amend service approval</w:t>
      </w:r>
      <w:bookmarkEnd w:id="45"/>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lastRenderedPageBreak/>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(2)</w:t>
      </w:r>
      <w:r>
        <w:tab/>
        <w:t>An assessment referred to in subregulation (1)(f)(iii) must consider the matters set out in regulation 116(2).</w:t>
      </w:r>
    </w:p>
    <w:p>
      <w:pPr>
        <w:pStyle w:val="Footnotesection"/>
      </w:pPr>
      <w:r>
        <w:tab/>
        <w:t>[Regulation 34 amended: Gazette 28 Sep 2018 p. 3614</w:t>
      </w:r>
      <w:r>
        <w:noBreakHyphen/>
        <w:t>15.]</w:t>
      </w:r>
    </w:p>
    <w:p>
      <w:pPr>
        <w:pStyle w:val="Heading5"/>
      </w:pPr>
      <w:bookmarkStart w:id="46" w:name="_Toc95122881"/>
      <w:r>
        <w:rPr>
          <w:rStyle w:val="CharSectno"/>
        </w:rPr>
        <w:t>35</w:t>
      </w:r>
      <w:r>
        <w:t>.</w:t>
      </w:r>
      <w:r>
        <w:tab/>
        <w:t>Notice of addition of new nominated supervisor</w:t>
      </w:r>
      <w:bookmarkEnd w:id="46"/>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47" w:name="_Toc95122882"/>
      <w:r>
        <w:t>Division 3 — Transfer of service approval</w:t>
      </w:r>
      <w:bookmarkEnd w:id="47"/>
    </w:p>
    <w:p>
      <w:pPr>
        <w:pStyle w:val="Heading5"/>
      </w:pPr>
      <w:bookmarkStart w:id="48" w:name="_Toc95122883"/>
      <w:r>
        <w:rPr>
          <w:rStyle w:val="CharSectno"/>
        </w:rPr>
        <w:t>36</w:t>
      </w:r>
      <w:r>
        <w:t>.</w:t>
      </w:r>
      <w:r>
        <w:tab/>
        <w:t>Notice of transfer of service approval — centre</w:t>
      </w:r>
      <w:r>
        <w:noBreakHyphen/>
        <w:t>based service</w:t>
      </w:r>
      <w:bookmarkEnd w:id="48"/>
      <w:r>
        <w:t xml:space="preserve"> </w:t>
      </w:r>
    </w:p>
    <w:p>
      <w:pPr>
        <w:pStyle w:val="Subsection"/>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49" w:name="_Toc95122884"/>
      <w:r>
        <w:rPr>
          <w:rStyle w:val="CharSectno"/>
        </w:rPr>
        <w:lastRenderedPageBreak/>
        <w:t>37</w:t>
      </w:r>
      <w:r>
        <w:t>.</w:t>
      </w:r>
      <w:r>
        <w:tab/>
        <w:t>Notice of transfer of service approval — family day care service</w:t>
      </w:r>
      <w:bookmarkEnd w:id="49"/>
      <w:r>
        <w:t xml:space="preserve"> </w:t>
      </w:r>
    </w:p>
    <w:p>
      <w:pPr>
        <w:pStyle w:val="Subsection"/>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50" w:name="_Toc95122885"/>
      <w:r>
        <w:rPr>
          <w:rStyle w:val="CharSectno"/>
        </w:rPr>
        <w:t>38</w:t>
      </w:r>
      <w:r>
        <w:t>.</w:t>
      </w:r>
      <w:r>
        <w:tab/>
        <w:t>Notification of decision to intervene in transfer of service approval</w:t>
      </w:r>
      <w:bookmarkEnd w:id="50"/>
      <w:r>
        <w:t xml:space="preserve"> </w:t>
      </w:r>
    </w:p>
    <w:p>
      <w:pPr>
        <w:pStyle w:val="Subsection"/>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51" w:name="_Toc95122886"/>
      <w:r>
        <w:lastRenderedPageBreak/>
        <w:t>Division 4 — Suspension of service approval</w:t>
      </w:r>
      <w:bookmarkEnd w:id="51"/>
    </w:p>
    <w:p>
      <w:pPr>
        <w:pStyle w:val="Heading5"/>
      </w:pPr>
      <w:bookmarkStart w:id="52" w:name="_Toc95122887"/>
      <w:r>
        <w:rPr>
          <w:rStyle w:val="CharSectno"/>
        </w:rPr>
        <w:t>39</w:t>
      </w:r>
      <w:r>
        <w:t>.</w:t>
      </w:r>
      <w:r>
        <w:tab/>
        <w:t>Maximum period of suspension of service approval</w:t>
      </w:r>
      <w:bookmarkEnd w:id="52"/>
      <w:r>
        <w:t xml:space="preserve"> </w:t>
      </w:r>
    </w:p>
    <w:p>
      <w:pPr>
        <w:pStyle w:val="Subsection"/>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53" w:name="_Toc95122888"/>
      <w:r>
        <w:rPr>
          <w:rStyle w:val="CharSectno"/>
        </w:rPr>
        <w:t>40</w:t>
      </w:r>
      <w:r>
        <w:t>.</w:t>
      </w:r>
      <w:r>
        <w:tab/>
        <w:t>Application for voluntary suspension of service approval</w:t>
      </w:r>
      <w:bookmarkEnd w:id="53"/>
      <w:r>
        <w:t xml:space="preserve"> </w:t>
      </w:r>
    </w:p>
    <w:p>
      <w:pPr>
        <w:pStyle w:val="Subsection"/>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54" w:name="_Toc95122889"/>
      <w:r>
        <w:t>Division 5 — Service waiver</w:t>
      </w:r>
      <w:bookmarkEnd w:id="54"/>
    </w:p>
    <w:p>
      <w:pPr>
        <w:pStyle w:val="Heading5"/>
      </w:pPr>
      <w:bookmarkStart w:id="55" w:name="_Toc95122890"/>
      <w:r>
        <w:rPr>
          <w:rStyle w:val="CharSectno"/>
        </w:rPr>
        <w:t>41</w:t>
      </w:r>
      <w:r>
        <w:t>.</w:t>
      </w:r>
      <w:r>
        <w:tab/>
        <w:t>Service waiver — prescribed elements</w:t>
      </w:r>
      <w:bookmarkEnd w:id="55"/>
      <w:r>
        <w:t xml:space="preserve"> </w:t>
      </w:r>
    </w:p>
    <w:p>
      <w:pPr>
        <w:pStyle w:val="Subsection"/>
      </w:pPr>
      <w:r>
        <w:tab/>
      </w:r>
      <w:r>
        <w:tab/>
        <w:t xml:space="preserve">For the purposes of section 87(1) of the Law, the prescribed elements are — </w:t>
      </w:r>
    </w:p>
    <w:p>
      <w:pPr>
        <w:pStyle w:val="Indenta"/>
        <w:spacing w:before="70"/>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lastRenderedPageBreak/>
        <w:tab/>
        <w:t>(ii)</w:t>
      </w:r>
      <w:r>
        <w:tab/>
        <w:t>in the case of a centre</w:t>
      </w:r>
      <w:r>
        <w:noBreakHyphen/>
        <w:t>based service, Division 2 of Part 4.3 and regulations 120, 123, 126 and 130 to 134; and</w:t>
      </w:r>
    </w:p>
    <w:p>
      <w:pPr>
        <w:pStyle w:val="Indenti"/>
      </w:pPr>
      <w:r>
        <w:tab/>
        <w:t>(iii)</w:t>
      </w:r>
      <w:r>
        <w:tab/>
        <w:t>in the case of a family day care service, regulations 72A, 117, 124, 127 and 128; and</w:t>
      </w:r>
    </w:p>
    <w:p>
      <w:pPr>
        <w:pStyle w:val="Indenti"/>
      </w:pPr>
      <w:r>
        <w:tab/>
        <w:t>(iv)</w:t>
      </w:r>
      <w:r>
        <w:tab/>
        <w:t>any provision in Chapter 7 that applies in place of a provision referred to in subparagraph (i), (ii) or (iii).</w:t>
      </w:r>
    </w:p>
    <w:p>
      <w:pPr>
        <w:pStyle w:val="Footnotesection"/>
      </w:pPr>
      <w:r>
        <w:tab/>
        <w:t>[Regulation 41 amended: Gazette 28 Sep 2018 p. 3616.]</w:t>
      </w:r>
    </w:p>
    <w:p>
      <w:pPr>
        <w:pStyle w:val="Heading5"/>
      </w:pPr>
      <w:bookmarkStart w:id="56" w:name="_Toc95122891"/>
      <w:r>
        <w:rPr>
          <w:rStyle w:val="CharSectno"/>
        </w:rPr>
        <w:t>42</w:t>
      </w:r>
      <w:r>
        <w:t>.</w:t>
      </w:r>
      <w:r>
        <w:tab/>
        <w:t>Prescribed information — application for service waiver</w:t>
      </w:r>
      <w:bookmarkEnd w:id="56"/>
      <w:r>
        <w:t xml:space="preserve"> </w:t>
      </w:r>
    </w:p>
    <w:p>
      <w:pPr>
        <w:pStyle w:val="Subsection"/>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that specifies — </w:t>
      </w:r>
    </w:p>
    <w:p>
      <w:pPr>
        <w:pStyle w:val="Indenti"/>
      </w:pPr>
      <w:r>
        <w:tab/>
        <w:t>(i)</w:t>
      </w:r>
      <w:r>
        <w:tab/>
        <w:t>the elements of the National Quality Standard and the regulations in relation to which a service waiver is sought; and</w:t>
      </w:r>
    </w:p>
    <w:p>
      <w:pPr>
        <w:pStyle w:val="Indenti"/>
      </w:pPr>
      <w:r>
        <w:tab/>
        <w:t>(ii)</w:t>
      </w:r>
      <w:r>
        <w:tab/>
        <w:t>the way in which the education and care service does not or will not comply with the specified elements or regulations;</w:t>
      </w:r>
    </w:p>
    <w:p>
      <w:pPr>
        <w:pStyle w:val="Indenta"/>
      </w:pPr>
      <w:r>
        <w:tab/>
        <w:t>(e)</w:t>
      </w:r>
      <w:r>
        <w:tab/>
        <w:t xml:space="preserve">if the education and care service is unable to comply with the specified elements or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elements or regulations;</w:t>
      </w:r>
    </w:p>
    <w:p>
      <w:pPr>
        <w:pStyle w:val="Indenta"/>
        <w:keepNext/>
      </w:pPr>
      <w:r>
        <w:lastRenderedPageBreak/>
        <w:tab/>
        <w:t>(f)</w:t>
      </w:r>
      <w:r>
        <w:tab/>
        <w:t>in any other case, the reasons that the education and care service seeks the service waiver;</w:t>
      </w:r>
    </w:p>
    <w:p>
      <w:pPr>
        <w:pStyle w:val="Indenta"/>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pPr>
      <w:r>
        <w:tab/>
        <w:t>2.</w:t>
      </w:r>
      <w:r>
        <w:tab/>
        <w:t>This regulation differs from regulation 42 of the national regulations made by the Ministerial Council.</w:t>
      </w:r>
    </w:p>
    <w:p>
      <w:pPr>
        <w:pStyle w:val="Footnotesection"/>
      </w:pPr>
      <w:r>
        <w:tab/>
        <w:t>[Regulation 42 amended: Gazette 28 Sep 2018 p. 3617.]</w:t>
      </w:r>
    </w:p>
    <w:p>
      <w:pPr>
        <w:pStyle w:val="Heading5"/>
      </w:pPr>
      <w:bookmarkStart w:id="57" w:name="_Toc95122892"/>
      <w:r>
        <w:rPr>
          <w:rStyle w:val="CharSectno"/>
        </w:rPr>
        <w:t>43</w:t>
      </w:r>
      <w:r>
        <w:t>.</w:t>
      </w:r>
      <w:r>
        <w:tab/>
        <w:t>Prescribed period — revocation of service waiver</w:t>
      </w:r>
      <w:bookmarkEnd w:id="57"/>
      <w:r>
        <w:t xml:space="preserve"> </w:t>
      </w:r>
    </w:p>
    <w:p>
      <w:pPr>
        <w:pStyle w:val="Subsection"/>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58" w:name="_Toc95122893"/>
      <w:r>
        <w:lastRenderedPageBreak/>
        <w:t>Division 6 — Temporary waiver</w:t>
      </w:r>
      <w:bookmarkEnd w:id="58"/>
    </w:p>
    <w:p>
      <w:pPr>
        <w:pStyle w:val="Heading5"/>
      </w:pPr>
      <w:bookmarkStart w:id="59" w:name="_Toc95122894"/>
      <w:r>
        <w:rPr>
          <w:rStyle w:val="CharSectno"/>
        </w:rPr>
        <w:t>44</w:t>
      </w:r>
      <w:r>
        <w:t>.</w:t>
      </w:r>
      <w:r>
        <w:tab/>
        <w:t>Temporary waiver — prescribed elements</w:t>
      </w:r>
      <w:bookmarkEnd w:id="59"/>
    </w:p>
    <w:p>
      <w:pPr>
        <w:pStyle w:val="Subsection"/>
        <w:keepNext/>
      </w:pPr>
      <w:r>
        <w:tab/>
      </w:r>
      <w:r>
        <w:tab/>
        <w:t xml:space="preserve">For the purposes of section 94 of the Law, the prescribed elements are — </w:t>
      </w:r>
    </w:p>
    <w:p>
      <w:pPr>
        <w:pStyle w:val="Indenta"/>
      </w:pPr>
      <w:r>
        <w:tab/>
        <w:t>(a)</w:t>
      </w:r>
      <w:r>
        <w:tab/>
        <w:t>the standards and elements set out in Quality Areas 3 and 4 of the National Quality Standard; and</w:t>
      </w:r>
    </w:p>
    <w:p>
      <w:pPr>
        <w:pStyle w:val="Indenta"/>
      </w:pPr>
      <w:r>
        <w:tab/>
        <w:t>(b)</w:t>
      </w:r>
      <w:r>
        <w:tab/>
        <w:t xml:space="preserve">the following provisions — </w:t>
      </w:r>
    </w:p>
    <w:p>
      <w:pPr>
        <w:pStyle w:val="Indenti"/>
      </w:pPr>
      <w:r>
        <w:tab/>
        <w:t>(i)</w:t>
      </w:r>
      <w:r>
        <w:tab/>
        <w:t>regulations 104, 107, 108 and 110; and</w:t>
      </w:r>
    </w:p>
    <w:p>
      <w:pPr>
        <w:pStyle w:val="Indenti"/>
      </w:pPr>
      <w:r>
        <w:tab/>
        <w:t>(ii)</w:t>
      </w:r>
      <w:r>
        <w:tab/>
        <w:t>in the case of a centre</w:t>
      </w:r>
      <w:r>
        <w:noBreakHyphen/>
        <w:t>based service, Division 2 of Part 4.3 and regulations 120, 123, 126, 130 to 134 and 136; and</w:t>
      </w:r>
    </w:p>
    <w:p>
      <w:pPr>
        <w:pStyle w:val="Indenti"/>
        <w:keepNext/>
      </w:pPr>
      <w:r>
        <w:tab/>
        <w:t>(iii)</w:t>
      </w:r>
      <w:r>
        <w:tab/>
        <w:t>in the case of a family day care service, regulations 72A, 117, 124, 127, 128 and 136; and</w:t>
      </w:r>
    </w:p>
    <w:p>
      <w:pPr>
        <w:pStyle w:val="Indenti"/>
      </w:pPr>
      <w:r>
        <w:tab/>
        <w:t>(iv)</w:t>
      </w:r>
      <w:r>
        <w:tab/>
        <w:t>any provision in Chapter 7 that applies in place of a provision referred to in subparagraph (i), (ii) or (iii).</w:t>
      </w:r>
    </w:p>
    <w:p>
      <w:pPr>
        <w:pStyle w:val="Footnotesection"/>
      </w:pPr>
      <w:r>
        <w:tab/>
        <w:t>[Regulation 44 amended: Gazette 28 Sep 2018 p. 3617.]</w:t>
      </w:r>
    </w:p>
    <w:p>
      <w:pPr>
        <w:pStyle w:val="Heading5"/>
      </w:pPr>
      <w:bookmarkStart w:id="60" w:name="_Toc95122895"/>
      <w:r>
        <w:rPr>
          <w:rStyle w:val="CharSectno"/>
        </w:rPr>
        <w:t>45</w:t>
      </w:r>
      <w:r>
        <w:t>.</w:t>
      </w:r>
      <w:r>
        <w:tab/>
        <w:t>Application for temporary waiver</w:t>
      </w:r>
      <w:bookmarkEnd w:id="60"/>
      <w:r>
        <w:t xml:space="preserve"> </w:t>
      </w:r>
    </w:p>
    <w:p>
      <w:pPr>
        <w:pStyle w:val="Subsection"/>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elements of the National Quality Standard and the regulations in relation to which a temporary waiver is sought; and</w:t>
      </w:r>
    </w:p>
    <w:p>
      <w:pPr>
        <w:pStyle w:val="Indenti"/>
      </w:pPr>
      <w:r>
        <w:tab/>
        <w:t>(ii)</w:t>
      </w:r>
      <w:r>
        <w:tab/>
        <w:t>the way in which the education and care service does not or will not comply with the specified elements or regulations;</w:t>
      </w:r>
    </w:p>
    <w:p>
      <w:pPr>
        <w:pStyle w:val="Indenta"/>
      </w:pPr>
      <w:r>
        <w:lastRenderedPageBreak/>
        <w:tab/>
        <w:t>(e)</w:t>
      </w:r>
      <w:r>
        <w:tab/>
        <w:t>the reasons that the education and care service is unable to comply with the specified elements or regulations;</w:t>
      </w:r>
    </w:p>
    <w:p>
      <w:pPr>
        <w:pStyle w:val="Indenta"/>
      </w:pPr>
      <w:r>
        <w:tab/>
        <w:t>(f)</w:t>
      </w:r>
      <w:r>
        <w:tab/>
        <w:t>details and evidence of any attempts made to comply with the specified elements or regulations;</w:t>
      </w:r>
    </w:p>
    <w:p>
      <w:pPr>
        <w:pStyle w:val="Indenta"/>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elements or regulations;</w:t>
      </w:r>
    </w:p>
    <w:p>
      <w:pPr>
        <w:pStyle w:val="Indenta"/>
        <w:keepNext/>
      </w:pPr>
      <w:r>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pPr>
      <w:r>
        <w:tab/>
      </w:r>
      <w:r>
        <w:tab/>
        <w:t>See section 95 of the Law.</w:t>
      </w:r>
    </w:p>
    <w:p>
      <w:pPr>
        <w:pStyle w:val="Ednotepart"/>
      </w:pPr>
      <w:r>
        <w:t>[Part 2.3 (r. 46</w:t>
      </w:r>
      <w:r>
        <w:noBreakHyphen/>
        <w:t>54) deleted: Gazette 28 Sep 2018 p. 3617.]</w:t>
      </w:r>
    </w:p>
    <w:p>
      <w:pPr>
        <w:pStyle w:val="Heading2"/>
      </w:pPr>
      <w:bookmarkStart w:id="61" w:name="_Toc95122896"/>
      <w:r>
        <w:rPr>
          <w:rStyle w:val="CharPartNo"/>
        </w:rPr>
        <w:lastRenderedPageBreak/>
        <w:t>Chapter 3</w:t>
      </w:r>
      <w:r>
        <w:t> — </w:t>
      </w:r>
      <w:r>
        <w:rPr>
          <w:rStyle w:val="CharPartText"/>
        </w:rPr>
        <w:t>Assessments and ratings</w:t>
      </w:r>
      <w:bookmarkEnd w:id="61"/>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10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10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100"/>
        <w:ind w:left="284"/>
      </w:pPr>
      <w:r>
        <w:rPr>
          <w:i/>
        </w:rPr>
        <w:t>Division 1</w:t>
      </w:r>
      <w:r>
        <w:t xml:space="preserve"> sets out the process for applying for a review of a rating of an education and care service by the Regulatory Authority.</w:t>
      </w:r>
    </w:p>
    <w:p>
      <w:pPr>
        <w:pStyle w:val="MiscellaneousBody"/>
        <w:spacing w:before="10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62" w:name="_Toc95122897"/>
      <w:r>
        <w:rPr>
          <w:rStyle w:val="CharDivNo"/>
        </w:rPr>
        <w:t>Part 3.1</w:t>
      </w:r>
      <w:r>
        <w:t> — </w:t>
      </w:r>
      <w:r>
        <w:rPr>
          <w:rStyle w:val="CharDivText"/>
        </w:rPr>
        <w:t>Quality improvement plans</w:t>
      </w:r>
      <w:bookmarkEnd w:id="62"/>
    </w:p>
    <w:p>
      <w:pPr>
        <w:pStyle w:val="Heading5"/>
      </w:pPr>
      <w:bookmarkStart w:id="63" w:name="_Toc95122898"/>
      <w:r>
        <w:rPr>
          <w:rStyle w:val="CharSectno"/>
        </w:rPr>
        <w:t>55</w:t>
      </w:r>
      <w:r>
        <w:t>.</w:t>
      </w:r>
      <w:r>
        <w:tab/>
        <w:t>Quality improvement plans</w:t>
      </w:r>
      <w:bookmarkEnd w:id="63"/>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64" w:name="_Toc95122899"/>
      <w:r>
        <w:rPr>
          <w:rStyle w:val="CharSectno"/>
        </w:rPr>
        <w:t>56</w:t>
      </w:r>
      <w:r>
        <w:t>.</w:t>
      </w:r>
      <w:r>
        <w:tab/>
        <w:t>Review and revision of quality improvement plans</w:t>
      </w:r>
      <w:bookmarkEnd w:id="64"/>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65" w:name="_Toc95122900"/>
      <w:r>
        <w:rPr>
          <w:rStyle w:val="CharDivNo"/>
        </w:rPr>
        <w:t>Part 3.2</w:t>
      </w:r>
      <w:r>
        <w:t> — </w:t>
      </w:r>
      <w:r>
        <w:rPr>
          <w:rStyle w:val="CharDivText"/>
        </w:rPr>
        <w:t>Prescribed rating levels</w:t>
      </w:r>
      <w:bookmarkEnd w:id="65"/>
    </w:p>
    <w:p>
      <w:pPr>
        <w:pStyle w:val="Heading5"/>
      </w:pPr>
      <w:bookmarkStart w:id="66" w:name="_Toc95122901"/>
      <w:r>
        <w:rPr>
          <w:rStyle w:val="CharSectno"/>
        </w:rPr>
        <w:t>57</w:t>
      </w:r>
      <w:r>
        <w:t>.</w:t>
      </w:r>
      <w:r>
        <w:tab/>
        <w:t>Rating levels</w:t>
      </w:r>
      <w:bookmarkEnd w:id="66"/>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67" w:name="_Toc95122902"/>
      <w:r>
        <w:rPr>
          <w:rStyle w:val="CharSectno"/>
        </w:rPr>
        <w:t>58</w:t>
      </w:r>
      <w:r>
        <w:t>.</w:t>
      </w:r>
      <w:r>
        <w:tab/>
        <w:t>Prescribed provisional rating</w:t>
      </w:r>
      <w:bookmarkEnd w:id="67"/>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68" w:name="_Toc95122903"/>
      <w:r>
        <w:rPr>
          <w:rStyle w:val="CharSectno"/>
        </w:rPr>
        <w:t>59</w:t>
      </w:r>
      <w:r>
        <w:t>.</w:t>
      </w:r>
      <w:r>
        <w:tab/>
        <w:t>Significant Improvement Required</w:t>
      </w:r>
      <w:bookmarkEnd w:id="68"/>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69" w:name="_Toc95122904"/>
      <w:r>
        <w:rPr>
          <w:rStyle w:val="CharSectno"/>
        </w:rPr>
        <w:t>60</w:t>
      </w:r>
      <w:r>
        <w:t>.</w:t>
      </w:r>
      <w:r>
        <w:tab/>
        <w:t>Working Towards National Quality Standard</w:t>
      </w:r>
      <w:bookmarkEnd w:id="69"/>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70" w:name="_Toc95122905"/>
      <w:r>
        <w:rPr>
          <w:rStyle w:val="CharSectno"/>
        </w:rPr>
        <w:t>61</w:t>
      </w:r>
      <w:r>
        <w:t>.</w:t>
      </w:r>
      <w:r>
        <w:tab/>
        <w:t>Meeting National Quality Standard</w:t>
      </w:r>
      <w:bookmarkEnd w:id="70"/>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71" w:name="_Toc95122906"/>
      <w:r>
        <w:rPr>
          <w:rStyle w:val="CharSectno"/>
        </w:rPr>
        <w:t>62</w:t>
      </w:r>
      <w:r>
        <w:t>.</w:t>
      </w:r>
      <w:r>
        <w:tab/>
        <w:t>Exceeding National Quality Standard</w:t>
      </w:r>
      <w:bookmarkEnd w:id="71"/>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72" w:name="_Toc95122907"/>
      <w:r>
        <w:rPr>
          <w:rStyle w:val="CharDivNo"/>
        </w:rPr>
        <w:lastRenderedPageBreak/>
        <w:t>Part 3.3</w:t>
      </w:r>
      <w:r>
        <w:t> — </w:t>
      </w:r>
      <w:r>
        <w:rPr>
          <w:rStyle w:val="CharDivText"/>
        </w:rPr>
        <w:t>Assessment</w:t>
      </w:r>
      <w:bookmarkEnd w:id="72"/>
    </w:p>
    <w:p>
      <w:pPr>
        <w:pStyle w:val="Heading4"/>
      </w:pPr>
      <w:bookmarkStart w:id="73" w:name="_Toc95122908"/>
      <w:r>
        <w:t>Division 1 — Assessment</w:t>
      </w:r>
      <w:bookmarkEnd w:id="73"/>
    </w:p>
    <w:p>
      <w:pPr>
        <w:pStyle w:val="Heading5"/>
      </w:pPr>
      <w:bookmarkStart w:id="74" w:name="_Toc95122909"/>
      <w:r>
        <w:rPr>
          <w:rStyle w:val="CharSectno"/>
        </w:rPr>
        <w:t>63</w:t>
      </w:r>
      <w:r>
        <w:t>.</w:t>
      </w:r>
      <w:r>
        <w:tab/>
        <w:t>Assessing approved education and care services</w:t>
      </w:r>
      <w:bookmarkEnd w:id="74"/>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75" w:name="_Toc95122910"/>
      <w:r>
        <w:rPr>
          <w:rStyle w:val="CharSectno"/>
        </w:rPr>
        <w:t>64</w:t>
      </w:r>
      <w:r>
        <w:t>.</w:t>
      </w:r>
      <w:r>
        <w:tab/>
        <w:t>Matters for determination of rating</w:t>
      </w:r>
      <w:bookmarkEnd w:id="75"/>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76" w:name="_Toc95122911"/>
      <w:r>
        <w:rPr>
          <w:rStyle w:val="CharSectno"/>
        </w:rPr>
        <w:t>65</w:t>
      </w:r>
      <w:r>
        <w:t>.</w:t>
      </w:r>
      <w:r>
        <w:tab/>
        <w:t>Assessment and rating of new education and care services</w:t>
      </w:r>
      <w:bookmarkEnd w:id="76"/>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77" w:name="_Toc95122912"/>
      <w:r>
        <w:t>Division 2 — Reassessment</w:t>
      </w:r>
      <w:bookmarkEnd w:id="77"/>
    </w:p>
    <w:p>
      <w:pPr>
        <w:pStyle w:val="Heading5"/>
      </w:pPr>
      <w:bookmarkStart w:id="78" w:name="_Toc95122913"/>
      <w:r>
        <w:rPr>
          <w:rStyle w:val="CharSectno"/>
        </w:rPr>
        <w:t>66</w:t>
      </w:r>
      <w:r>
        <w:t>.</w:t>
      </w:r>
      <w:r>
        <w:tab/>
        <w:t>Application for reassessment</w:t>
      </w:r>
      <w:bookmarkEnd w:id="78"/>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spacing w:before="100"/>
      </w:pPr>
      <w:r>
        <w:tab/>
        <w:t>(a)</w:t>
      </w:r>
      <w:r>
        <w:tab/>
        <w:t>the name of the education and care service;</w:t>
      </w:r>
    </w:p>
    <w:p>
      <w:pPr>
        <w:pStyle w:val="Indenta"/>
        <w:spacing w:before="100"/>
      </w:pPr>
      <w:r>
        <w:tab/>
        <w:t>(b)</w:t>
      </w:r>
      <w:r>
        <w:tab/>
        <w:t>the service approval number;</w:t>
      </w:r>
    </w:p>
    <w:p>
      <w:pPr>
        <w:pStyle w:val="Indenta"/>
        <w:spacing w:before="100"/>
      </w:pPr>
      <w:r>
        <w:tab/>
        <w:t>(c)</w:t>
      </w:r>
      <w:r>
        <w:tab/>
        <w:t>the name and contact details of the contact person for the purposes of the application;</w:t>
      </w:r>
    </w:p>
    <w:p>
      <w:pPr>
        <w:pStyle w:val="Indenta"/>
        <w:spacing w:before="100"/>
      </w:pPr>
      <w:r>
        <w:tab/>
        <w:t>(d)</w:t>
      </w:r>
      <w:r>
        <w:tab/>
        <w:t xml:space="preserve">the nature of the reassessment sought, including whether — </w:t>
      </w:r>
    </w:p>
    <w:p>
      <w:pPr>
        <w:pStyle w:val="Indenti"/>
        <w:spacing w:before="100"/>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79" w:name="_Toc95122914"/>
      <w:r>
        <w:rPr>
          <w:rStyle w:val="CharSectno"/>
        </w:rPr>
        <w:t>67</w:t>
      </w:r>
      <w:r>
        <w:t>.</w:t>
      </w:r>
      <w:r>
        <w:tab/>
        <w:t>Reassessment by Regulatory Authority</w:t>
      </w:r>
      <w:bookmarkEnd w:id="79"/>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pPr>
      <w:bookmarkStart w:id="80" w:name="_Toc95122915"/>
      <w:r>
        <w:rPr>
          <w:rStyle w:val="CharDivNo"/>
        </w:rPr>
        <w:t>Part 3.4</w:t>
      </w:r>
      <w:r>
        <w:t> — </w:t>
      </w:r>
      <w:r>
        <w:rPr>
          <w:rStyle w:val="CharDivText"/>
        </w:rPr>
        <w:t>Review of ratings</w:t>
      </w:r>
      <w:bookmarkEnd w:id="80"/>
    </w:p>
    <w:p>
      <w:pPr>
        <w:pStyle w:val="Heading4"/>
      </w:pPr>
      <w:bookmarkStart w:id="81" w:name="_Toc95122916"/>
      <w:r>
        <w:t>Division 1 — Review of ratings by Regulatory Authority</w:t>
      </w:r>
      <w:bookmarkEnd w:id="81"/>
    </w:p>
    <w:p>
      <w:pPr>
        <w:pStyle w:val="Heading5"/>
      </w:pPr>
      <w:bookmarkStart w:id="82" w:name="_Toc95122917"/>
      <w:r>
        <w:rPr>
          <w:rStyle w:val="CharSectno"/>
        </w:rPr>
        <w:t>68</w:t>
      </w:r>
      <w:r>
        <w:t>.</w:t>
      </w:r>
      <w:r>
        <w:tab/>
        <w:t>Prescribed information for request for review of rating</w:t>
      </w:r>
      <w:bookmarkEnd w:id="82"/>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83" w:name="_Toc95122918"/>
      <w:r>
        <w:t>Division 2 — Review of ratings by Ratings Review Panel</w:t>
      </w:r>
      <w:bookmarkEnd w:id="83"/>
    </w:p>
    <w:p>
      <w:pPr>
        <w:pStyle w:val="Heading5"/>
      </w:pPr>
      <w:bookmarkStart w:id="84" w:name="_Toc95122919"/>
      <w:r>
        <w:rPr>
          <w:rStyle w:val="CharSectno"/>
        </w:rPr>
        <w:t>69</w:t>
      </w:r>
      <w:r>
        <w:t>.</w:t>
      </w:r>
      <w:r>
        <w:tab/>
        <w:t>Application for further review by Ratings Review Panel</w:t>
      </w:r>
      <w:bookmarkEnd w:id="84"/>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85" w:name="_Toc95122920"/>
      <w:r>
        <w:rPr>
          <w:rStyle w:val="CharSectno"/>
        </w:rPr>
        <w:t>70</w:t>
      </w:r>
      <w:r>
        <w:t>.</w:t>
      </w:r>
      <w:r>
        <w:tab/>
        <w:t>Prescribed areas of expertise or expert knowledge of Ratings Review Panel pool</w:t>
      </w:r>
      <w:bookmarkEnd w:id="85"/>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86" w:name="_Toc95122921"/>
      <w:r>
        <w:rPr>
          <w:rStyle w:val="CharDivNo"/>
        </w:rPr>
        <w:t>Part 3.5</w:t>
      </w:r>
      <w:r>
        <w:t> — </w:t>
      </w:r>
      <w:r>
        <w:rPr>
          <w:rStyle w:val="CharDivText"/>
        </w:rPr>
        <w:t>Highest rating</w:t>
      </w:r>
      <w:bookmarkEnd w:id="86"/>
    </w:p>
    <w:p>
      <w:pPr>
        <w:pStyle w:val="Heading5"/>
      </w:pPr>
      <w:bookmarkStart w:id="87" w:name="_Toc95122922"/>
      <w:r>
        <w:rPr>
          <w:rStyle w:val="CharSectno"/>
        </w:rPr>
        <w:t>70A</w:t>
      </w:r>
      <w:r>
        <w:t>.</w:t>
      </w:r>
      <w:r>
        <w:tab/>
        <w:t>Prescribed rating levels for application for highest rating</w:t>
      </w:r>
      <w:bookmarkEnd w:id="87"/>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88" w:name="_Toc95122923"/>
      <w:r>
        <w:rPr>
          <w:rStyle w:val="CharSectno"/>
        </w:rPr>
        <w:t>71</w:t>
      </w:r>
      <w:r>
        <w:t>.</w:t>
      </w:r>
      <w:r>
        <w:tab/>
        <w:t>Application or reapplication for the highest rating</w:t>
      </w:r>
      <w:bookmarkEnd w:id="88"/>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89" w:name="_Toc95122924"/>
      <w:r>
        <w:rPr>
          <w:rStyle w:val="CharDivNo"/>
        </w:rPr>
        <w:t>Part 3.6</w:t>
      </w:r>
      <w:r>
        <w:t> — </w:t>
      </w:r>
      <w:r>
        <w:rPr>
          <w:rStyle w:val="CharDivText"/>
        </w:rPr>
        <w:t>Offences</w:t>
      </w:r>
      <w:bookmarkEnd w:id="89"/>
    </w:p>
    <w:p>
      <w:pPr>
        <w:pStyle w:val="Heading5"/>
      </w:pPr>
      <w:bookmarkStart w:id="90" w:name="_Toc95122925"/>
      <w:r>
        <w:rPr>
          <w:rStyle w:val="CharSectno"/>
        </w:rPr>
        <w:t>72</w:t>
      </w:r>
      <w:r>
        <w:t>.</w:t>
      </w:r>
      <w:r>
        <w:tab/>
        <w:t>Offences in relation to giving false or misleading statements about ratings</w:t>
      </w:r>
      <w:bookmarkEnd w:id="90"/>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PermNoteText"/>
      </w:pPr>
    </w:p>
    <w:p>
      <w:pPr>
        <w:pStyle w:val="Heading2"/>
      </w:pPr>
      <w:bookmarkStart w:id="91" w:name="_Toc95122926"/>
      <w:r>
        <w:rPr>
          <w:rStyle w:val="CharPartNo"/>
        </w:rPr>
        <w:lastRenderedPageBreak/>
        <w:t>Chapter 4</w:t>
      </w:r>
      <w:r>
        <w:rPr>
          <w:rStyle w:val="CharDivNo"/>
        </w:rPr>
        <w:t> </w:t>
      </w:r>
      <w:r>
        <w:t>—</w:t>
      </w:r>
      <w:r>
        <w:rPr>
          <w:rStyle w:val="CharDivText"/>
        </w:rPr>
        <w:t> </w:t>
      </w:r>
      <w:r>
        <w:rPr>
          <w:rStyle w:val="CharPartText"/>
        </w:rPr>
        <w:t>Operational requirements</w:t>
      </w:r>
      <w:bookmarkEnd w:id="91"/>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lastRenderedPageBreak/>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92" w:name="_Toc95122927"/>
      <w:r>
        <w:rPr>
          <w:rStyle w:val="CharDivNo"/>
        </w:rPr>
        <w:t>Part 4.1AA</w:t>
      </w:r>
      <w:r>
        <w:t> — </w:t>
      </w:r>
      <w:r>
        <w:rPr>
          <w:rStyle w:val="CharDivText"/>
        </w:rPr>
        <w:t>Location of principal office</w:t>
      </w:r>
      <w:bookmarkEnd w:id="92"/>
    </w:p>
    <w:p>
      <w:pPr>
        <w:pStyle w:val="Footnoteheading"/>
      </w:pPr>
      <w:r>
        <w:tab/>
        <w:t>[Heading inserted: Gazette 28 Sep 2018 p. 3618.]</w:t>
      </w:r>
    </w:p>
    <w:p>
      <w:pPr>
        <w:pStyle w:val="Heading5"/>
      </w:pPr>
      <w:bookmarkStart w:id="93" w:name="_Toc95122928"/>
      <w:r>
        <w:rPr>
          <w:rStyle w:val="CharSectno"/>
        </w:rPr>
        <w:t>72A</w:t>
      </w:r>
      <w:r>
        <w:t>.</w:t>
      </w:r>
      <w:r>
        <w:tab/>
        <w:t>Location of principal office of family day care service</w:t>
      </w:r>
      <w:bookmarkEnd w:id="93"/>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94" w:name="_Toc95122929"/>
      <w:r>
        <w:rPr>
          <w:rStyle w:val="CharDivNo"/>
        </w:rPr>
        <w:lastRenderedPageBreak/>
        <w:t>Part 4.1</w:t>
      </w:r>
      <w:r>
        <w:t> — </w:t>
      </w:r>
      <w:r>
        <w:rPr>
          <w:rStyle w:val="CharDivText"/>
        </w:rPr>
        <w:t>Educational program and practice</w:t>
      </w:r>
      <w:bookmarkEnd w:id="94"/>
    </w:p>
    <w:p>
      <w:pPr>
        <w:pStyle w:val="Heading5"/>
      </w:pPr>
      <w:bookmarkStart w:id="95" w:name="_Toc95122930"/>
      <w:r>
        <w:rPr>
          <w:rStyle w:val="CharSectno"/>
        </w:rPr>
        <w:t>73</w:t>
      </w:r>
      <w:r>
        <w:t>.</w:t>
      </w:r>
      <w:r>
        <w:tab/>
        <w:t>Educational program</w:t>
      </w:r>
      <w:bookmarkEnd w:id="95"/>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96" w:name="_Toc95122931"/>
      <w:r>
        <w:rPr>
          <w:rStyle w:val="CharSectno"/>
        </w:rPr>
        <w:t>74</w:t>
      </w:r>
      <w:r>
        <w:t>.</w:t>
      </w:r>
      <w:r>
        <w:tab/>
        <w:t>Documenting of child assessments or evaluations for delivery of educational program</w:t>
      </w:r>
      <w:bookmarkEnd w:id="96"/>
      <w:r>
        <w:t xml:space="preserve"> </w:t>
      </w:r>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evaluations of the child’s wellbeing, development and learning.</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97" w:name="_Toc95122932"/>
      <w:r>
        <w:rPr>
          <w:rStyle w:val="CharSectno"/>
        </w:rPr>
        <w:t>75</w:t>
      </w:r>
      <w:r>
        <w:t>.</w:t>
      </w:r>
      <w:r>
        <w:tab/>
        <w:t>Information about educational program to be kept available</w:t>
      </w:r>
      <w:bookmarkEnd w:id="97"/>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lastRenderedPageBreak/>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98" w:name="_Toc95122933"/>
      <w:r>
        <w:rPr>
          <w:rStyle w:val="CharSectno"/>
        </w:rPr>
        <w:t>76</w:t>
      </w:r>
      <w:r>
        <w:t>.</w:t>
      </w:r>
      <w:r>
        <w:tab/>
        <w:t>Information about educational program to be given to parents</w:t>
      </w:r>
      <w:bookmarkEnd w:id="98"/>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99" w:name="_Toc95122934"/>
      <w:r>
        <w:rPr>
          <w:rStyle w:val="CharDivNo"/>
        </w:rPr>
        <w:t>Part 4.2</w:t>
      </w:r>
      <w:r>
        <w:t> — </w:t>
      </w:r>
      <w:r>
        <w:rPr>
          <w:rStyle w:val="CharDivText"/>
        </w:rPr>
        <w:t>Children’s health and safety</w:t>
      </w:r>
      <w:bookmarkEnd w:id="99"/>
    </w:p>
    <w:p>
      <w:pPr>
        <w:pStyle w:val="Heading4"/>
      </w:pPr>
      <w:bookmarkStart w:id="100" w:name="_Toc95122935"/>
      <w:r>
        <w:t>Division 1 — Health, safety and wellbeing of children</w:t>
      </w:r>
      <w:bookmarkEnd w:id="100"/>
    </w:p>
    <w:p>
      <w:pPr>
        <w:pStyle w:val="Heading5"/>
      </w:pPr>
      <w:bookmarkStart w:id="101" w:name="_Toc95122936"/>
      <w:r>
        <w:rPr>
          <w:rStyle w:val="CharSectno"/>
        </w:rPr>
        <w:t>77</w:t>
      </w:r>
      <w:r>
        <w:t>.</w:t>
      </w:r>
      <w:r>
        <w:tab/>
        <w:t>Health, hygiene and safe food practices</w:t>
      </w:r>
      <w:bookmarkEnd w:id="101"/>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lastRenderedPageBreak/>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02" w:name="_Toc95122937"/>
      <w:r>
        <w:rPr>
          <w:rStyle w:val="CharSectno"/>
        </w:rPr>
        <w:t>78</w:t>
      </w:r>
      <w:r>
        <w:t>.</w:t>
      </w:r>
      <w:r>
        <w:tab/>
        <w:t>Food and beverages</w:t>
      </w:r>
      <w:bookmarkEnd w:id="102"/>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appropriate to the needs of each child on a regular basis throughout the day.</w:t>
      </w:r>
    </w:p>
    <w:p>
      <w:pPr>
        <w:pStyle w:val="Penstart"/>
      </w:pPr>
      <w:r>
        <w:tab/>
        <w:t>Penalty: $2000.</w:t>
      </w:r>
    </w:p>
    <w:p>
      <w:pPr>
        <w:pStyle w:val="Subsection"/>
        <w:keepNext/>
      </w:pPr>
      <w:r>
        <w:lastRenderedPageBreak/>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03" w:name="_Toc95122938"/>
      <w:r>
        <w:rPr>
          <w:rStyle w:val="CharSectno"/>
        </w:rPr>
        <w:t>79</w:t>
      </w:r>
      <w:r>
        <w:t>.</w:t>
      </w:r>
      <w:r>
        <w:tab/>
        <w:t>Service providing food and beverages</w:t>
      </w:r>
      <w:bookmarkEnd w:id="103"/>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lastRenderedPageBreak/>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04" w:name="_Toc95122939"/>
      <w:r>
        <w:rPr>
          <w:rStyle w:val="CharSectno"/>
        </w:rPr>
        <w:lastRenderedPageBreak/>
        <w:t>80</w:t>
      </w:r>
      <w:r>
        <w:t>.</w:t>
      </w:r>
      <w:r>
        <w:tab/>
        <w:t>Weekly menu</w:t>
      </w:r>
      <w:bookmarkEnd w:id="104"/>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$1000.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is displayed at a place at the family day care residence or approved family day care venue accessible to family members of children being educated and cared for by the service; and</w:t>
      </w:r>
    </w:p>
    <w:p>
      <w:pPr>
        <w:pStyle w:val="Indenta"/>
      </w:pPr>
      <w:r>
        <w:tab/>
        <w:t>(b)</w:t>
      </w:r>
      <w:r>
        <w:tab/>
        <w:t>accurately describes the food and beverages to be provided by the family day care educator each day.</w:t>
      </w:r>
    </w:p>
    <w:p>
      <w:pPr>
        <w:pStyle w:val="Penstart"/>
      </w:pPr>
      <w:r>
        <w:tab/>
        <w:t>Penalty: $1000.</w:t>
      </w:r>
    </w:p>
    <w:p>
      <w:pPr>
        <w:pStyle w:val="Subsection"/>
      </w:pPr>
      <w:r>
        <w:lastRenderedPageBreak/>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w:t>
      </w:r>
    </w:p>
    <w:p>
      <w:pPr>
        <w:pStyle w:val="Heading5"/>
      </w:pPr>
      <w:bookmarkStart w:id="105" w:name="_Toc95122940"/>
      <w:r>
        <w:rPr>
          <w:rStyle w:val="CharSectno"/>
        </w:rPr>
        <w:t>81</w:t>
      </w:r>
      <w:r>
        <w:t>.</w:t>
      </w:r>
      <w:r>
        <w:tab/>
        <w:t>Sleep and rest</w:t>
      </w:r>
      <w:bookmarkEnd w:id="105"/>
      <w:r>
        <w:t xml:space="preserve"> </w:t>
      </w:r>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(2)</w:t>
      </w:r>
      <w:r>
        <w:tab/>
        <w:t>A nominated supervisor of an education and care service must take reasonable steps to ensure that the needs for sleep and rest of children being educated and cared for by the service are met, having regard to the ages, development stages and individual needs of the children.</w:t>
      </w:r>
    </w:p>
    <w:p>
      <w:pPr>
        <w:pStyle w:val="Penstart"/>
      </w:pPr>
      <w:r>
        <w:tab/>
        <w:t>Penalty: $1000.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 stages and individual needs of the children.</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81 amended: Gazette 28 Sep 2018 p. 3619.]</w:t>
      </w:r>
    </w:p>
    <w:p>
      <w:pPr>
        <w:pStyle w:val="Heading5"/>
      </w:pPr>
      <w:bookmarkStart w:id="106" w:name="_Toc95122941"/>
      <w:r>
        <w:rPr>
          <w:rStyle w:val="CharSectno"/>
        </w:rPr>
        <w:lastRenderedPageBreak/>
        <w:t>82</w:t>
      </w:r>
      <w:r>
        <w:t>.</w:t>
      </w:r>
      <w:r>
        <w:tab/>
        <w:t>Tobacco, drug and alcohol</w:t>
      </w:r>
      <w:r>
        <w:noBreakHyphen/>
        <w:t>free environment</w:t>
      </w:r>
      <w:bookmarkEnd w:id="10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illicit drugs and alcohol.</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5"/>
      </w:pPr>
      <w:bookmarkStart w:id="107" w:name="_Toc95122942"/>
      <w:r>
        <w:rPr>
          <w:rStyle w:val="CharSectno"/>
        </w:rPr>
        <w:t>83</w:t>
      </w:r>
      <w:r>
        <w:t>.</w:t>
      </w:r>
      <w:r>
        <w:tab/>
        <w:t>Staff members and family day care educators not to be affected by alcohol or drugs</w:t>
      </w:r>
      <w:bookmarkEnd w:id="10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lastRenderedPageBreak/>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08" w:name="_Toc95122943"/>
      <w:r>
        <w:rPr>
          <w:rStyle w:val="CharSectno"/>
        </w:rPr>
        <w:t>84</w:t>
      </w:r>
      <w:r>
        <w:t>.</w:t>
      </w:r>
      <w:r>
        <w:tab/>
        <w:t>Awareness of child protection law</w:t>
      </w:r>
      <w:bookmarkEnd w:id="108"/>
      <w:r>
        <w:t xml:space="preserve"> </w:t>
      </w:r>
    </w:p>
    <w:p>
      <w:pPr>
        <w:pStyle w:val="Subsection"/>
      </w:pPr>
      <w:r>
        <w:tab/>
      </w:r>
      <w:r>
        <w:tab/>
        <w:t xml:space="preserve">The approved provider of an education and care service must ensure that nominated supervisors and staff members at the service who work with children are advised of — </w:t>
      </w:r>
    </w:p>
    <w:p>
      <w:pPr>
        <w:pStyle w:val="Indenta"/>
      </w:pPr>
      <w:r>
        <w:tab/>
        <w:t>(a)</w:t>
      </w:r>
      <w:r>
        <w:tab/>
        <w:t>the existence and application of the current child protection law; and</w:t>
      </w:r>
    </w:p>
    <w:p>
      <w:pPr>
        <w:pStyle w:val="Indenta"/>
      </w:pPr>
      <w:r>
        <w:tab/>
        <w:t>(b)</w:t>
      </w:r>
      <w:r>
        <w:tab/>
        <w:t>any obligations that they may have under that law.</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84 amended: Gazette 28 Sep 2018 p. 3620.]</w:t>
      </w:r>
    </w:p>
    <w:p>
      <w:pPr>
        <w:pStyle w:val="Heading4"/>
      </w:pPr>
      <w:bookmarkStart w:id="109" w:name="_Toc95122944"/>
      <w:r>
        <w:t>Division 2 — Incidents, injury, trauma and illness</w:t>
      </w:r>
      <w:bookmarkEnd w:id="109"/>
    </w:p>
    <w:p>
      <w:pPr>
        <w:pStyle w:val="Heading5"/>
      </w:pPr>
      <w:bookmarkStart w:id="110" w:name="_Toc95122945"/>
      <w:r>
        <w:rPr>
          <w:rStyle w:val="CharSectno"/>
        </w:rPr>
        <w:t>85</w:t>
      </w:r>
      <w:r>
        <w:t>.</w:t>
      </w:r>
      <w:r>
        <w:tab/>
        <w:t>Incident, injury, trauma and illness policies and procedures</w:t>
      </w:r>
      <w:bookmarkEnd w:id="110"/>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w:t>
      </w:r>
      <w:r>
        <w:lastRenderedPageBreak/>
        <w:t xml:space="preserve">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11" w:name="_Toc95122946"/>
      <w:r>
        <w:rPr>
          <w:rStyle w:val="CharSectno"/>
        </w:rPr>
        <w:t>86</w:t>
      </w:r>
      <w:r>
        <w:t>.</w:t>
      </w:r>
      <w:r>
        <w:tab/>
        <w:t>Notification to parents of incident, injury, trauma and illness</w:t>
      </w:r>
      <w:bookmarkEnd w:id="111"/>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12" w:name="_Toc95122947"/>
      <w:r>
        <w:rPr>
          <w:rStyle w:val="CharSectno"/>
        </w:rPr>
        <w:t>87</w:t>
      </w:r>
      <w:r>
        <w:t>.</w:t>
      </w:r>
      <w:r>
        <w:tab/>
        <w:t>Incident, injury, trauma and illness record</w:t>
      </w:r>
      <w:bookmarkEnd w:id="112"/>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w:t>
      </w:r>
      <w:r>
        <w:lastRenderedPageBreak/>
        <w:t xml:space="preserve">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tab/>
        <w:t>(d)</w:t>
      </w:r>
      <w:r>
        <w:tab/>
        <w:t>details of any person who witnessed the incident, injury or trauma;</w:t>
      </w:r>
    </w:p>
    <w:p>
      <w:pPr>
        <w:pStyle w:val="Indenta"/>
        <w:keepNext/>
      </w:pPr>
      <w:r>
        <w:tab/>
        <w:t>(e)</w:t>
      </w:r>
      <w:r>
        <w:tab/>
        <w:t xml:space="preserve">the name of any person — </w:t>
      </w:r>
    </w:p>
    <w:p>
      <w:pPr>
        <w:pStyle w:val="Indenti"/>
      </w:pPr>
      <w:r>
        <w:tab/>
        <w:t>(i)</w:t>
      </w:r>
      <w:r>
        <w:tab/>
        <w:t xml:space="preserve">whom the education and care service notified or attempted to notify, of any incident, injury, trauma or illness which a child has suffered while </w:t>
      </w:r>
      <w:r>
        <w:lastRenderedPageBreak/>
        <w:t>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13" w:name="_Toc95122948"/>
      <w:r>
        <w:rPr>
          <w:rStyle w:val="CharSectno"/>
        </w:rPr>
        <w:t>88</w:t>
      </w:r>
      <w:r>
        <w:t>.</w:t>
      </w:r>
      <w:r>
        <w:tab/>
        <w:t>Infectious diseases</w:t>
      </w:r>
      <w:bookmarkEnd w:id="113"/>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pPr>
      <w:r>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14" w:name="_Toc95122949"/>
      <w:r>
        <w:rPr>
          <w:rStyle w:val="CharSectno"/>
        </w:rPr>
        <w:lastRenderedPageBreak/>
        <w:t>89</w:t>
      </w:r>
      <w:r>
        <w:t>.</w:t>
      </w:r>
      <w:r>
        <w:tab/>
        <w:t>First aid kits</w:t>
      </w:r>
      <w:bookmarkEnd w:id="114"/>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15" w:name="_Toc95122950"/>
      <w:r>
        <w:t>Division 3 — Medical conditions policy</w:t>
      </w:r>
      <w:bookmarkEnd w:id="115"/>
    </w:p>
    <w:p>
      <w:pPr>
        <w:pStyle w:val="Heading5"/>
      </w:pPr>
      <w:bookmarkStart w:id="116" w:name="_Toc95122951"/>
      <w:r>
        <w:rPr>
          <w:rStyle w:val="CharSectno"/>
        </w:rPr>
        <w:t>90</w:t>
      </w:r>
      <w:r>
        <w:t>.</w:t>
      </w:r>
      <w:r>
        <w:tab/>
        <w:t>Medical conditions policy</w:t>
      </w:r>
      <w:bookmarkEnd w:id="116"/>
      <w:r>
        <w:t xml:space="preserve"> </w:t>
      </w:r>
    </w:p>
    <w:p>
      <w:pPr>
        <w:pStyle w:val="Subsection"/>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lastRenderedPageBreak/>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if relevant, to ensure that practices and procedures to ensure that the parents are notified of any known allergens that 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 xml:space="preserve">if relevant, to ensure that practices and procedures ensuring that the child does not attend the service without </w:t>
      </w:r>
      <w:r>
        <w:lastRenderedPageBreak/>
        <w:t>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17" w:name="_Toc95122952"/>
      <w:r>
        <w:rPr>
          <w:rStyle w:val="CharSectno"/>
        </w:rPr>
        <w:t>91</w:t>
      </w:r>
      <w:r>
        <w:t>.</w:t>
      </w:r>
      <w:r>
        <w:tab/>
        <w:t>Medical conditions policy to be provided to parents</w:t>
      </w:r>
      <w:bookmarkEnd w:id="117"/>
      <w:r>
        <w:t xml:space="preserve"> </w:t>
      </w:r>
    </w:p>
    <w:p>
      <w:pPr>
        <w:pStyle w:val="Subsection"/>
        <w:keepNext/>
      </w:pPr>
      <w:r>
        <w:tab/>
      </w:r>
      <w:r>
        <w:tab/>
        <w:t xml:space="preserve">The approved provider of an education and care service must ensure that a copy of the medical conditions policy document is provided to the parent of a child enrolled at an education and </w:t>
      </w:r>
      <w:r>
        <w:lastRenderedPageBreak/>
        <w:t>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18" w:name="_Toc95122953"/>
      <w:r>
        <w:t>Division 4 — Administration of medication</w:t>
      </w:r>
      <w:bookmarkEnd w:id="118"/>
    </w:p>
    <w:p>
      <w:pPr>
        <w:pStyle w:val="Heading5"/>
      </w:pPr>
      <w:bookmarkStart w:id="119" w:name="_Toc95122954"/>
      <w:r>
        <w:rPr>
          <w:rStyle w:val="CharSectno"/>
        </w:rPr>
        <w:t>92</w:t>
      </w:r>
      <w:r>
        <w:t>.</w:t>
      </w:r>
      <w:r>
        <w:tab/>
        <w:t>Medication record</w:t>
      </w:r>
      <w:bookmarkEnd w:id="119"/>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lastRenderedPageBreak/>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20" w:name="_Toc95122955"/>
      <w:r>
        <w:rPr>
          <w:rStyle w:val="CharSectno"/>
        </w:rPr>
        <w:t>93</w:t>
      </w:r>
      <w:r>
        <w:t>.</w:t>
      </w:r>
      <w:r>
        <w:tab/>
        <w:t>Administration of medication</w:t>
      </w:r>
      <w:bookmarkEnd w:id="120"/>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$1000.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lastRenderedPageBreak/>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spacing w:before="50"/>
      </w:pPr>
      <w:r>
        <w:tab/>
        <w:t>(ii)</w:t>
      </w:r>
      <w:r>
        <w:tab/>
        <w:t>if a parent or person named in the enrolment record cannot reasonably be contacted in the circumstances, a registered medical practitioner or an emergency service.</w:t>
      </w:r>
    </w:p>
    <w:p>
      <w:pPr>
        <w:pStyle w:val="Footnotesection"/>
      </w:pPr>
      <w:r>
        <w:tab/>
        <w:t>[Regulation 93 amended: Gazette 28 Sep 2018 p. 3620.]</w:t>
      </w:r>
    </w:p>
    <w:p>
      <w:pPr>
        <w:pStyle w:val="Heading5"/>
        <w:spacing w:before="200"/>
      </w:pPr>
      <w:bookmarkStart w:id="121" w:name="_Toc95122956"/>
      <w:r>
        <w:rPr>
          <w:rStyle w:val="CharSectno"/>
        </w:rPr>
        <w:t>94</w:t>
      </w:r>
      <w:r>
        <w:t>.</w:t>
      </w:r>
      <w:r>
        <w:tab/>
        <w:t>Exception to authorisation requirement — anaphylaxis or asthma emergency</w:t>
      </w:r>
      <w:bookmarkEnd w:id="121"/>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w:t>
      </w:r>
      <w:r>
        <w:lastRenderedPageBreak/>
        <w:t xml:space="preserve">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22" w:name="_Toc95122957"/>
      <w:r>
        <w:rPr>
          <w:rStyle w:val="CharSectno"/>
        </w:rPr>
        <w:t>95</w:t>
      </w:r>
      <w:r>
        <w:t>.</w:t>
      </w:r>
      <w:r>
        <w:tab/>
        <w:t>Procedure for administration of medication</w:t>
      </w:r>
      <w:bookmarkEnd w:id="122"/>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if the medication has been prescribed by a registered medical practitioner, from its original container, bearing the original label with the name of the child to whom the medication is to 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lastRenderedPageBreak/>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23" w:name="_Toc95122958"/>
      <w:r>
        <w:rPr>
          <w:rStyle w:val="CharSectno"/>
        </w:rPr>
        <w:t>96</w:t>
      </w:r>
      <w:r>
        <w:t>.</w:t>
      </w:r>
      <w:r>
        <w:tab/>
        <w:t>Self</w:t>
      </w:r>
      <w:r>
        <w:noBreakHyphen/>
        <w:t>administration of medication</w:t>
      </w:r>
      <w:bookmarkEnd w:id="123"/>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24" w:name="_Toc95122959"/>
      <w:r>
        <w:t>Division 5 — Emergencies and communication</w:t>
      </w:r>
      <w:bookmarkEnd w:id="124"/>
    </w:p>
    <w:p>
      <w:pPr>
        <w:pStyle w:val="Heading5"/>
      </w:pPr>
      <w:bookmarkStart w:id="125" w:name="_Toc95122960"/>
      <w:r>
        <w:rPr>
          <w:rStyle w:val="CharSectno"/>
        </w:rPr>
        <w:t>97</w:t>
      </w:r>
      <w:r>
        <w:t>.</w:t>
      </w:r>
      <w:r>
        <w:tab/>
        <w:t>Emergency and evacuation procedures</w:t>
      </w:r>
      <w:bookmarkEnd w:id="125"/>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w:t>
      </w:r>
    </w:p>
    <w:p>
      <w:pPr>
        <w:pStyle w:val="Subsection"/>
      </w:pPr>
      <w:r>
        <w:tab/>
        <w:t>(2)</w:t>
      </w:r>
      <w:r>
        <w:tab/>
        <w:t>For the purposes of preparing the emergency and evacuation procedures, the approved provider of an education and care service must ensure that a risk assessment is conducted to identify potential emergencies that are relevant to the service.</w:t>
      </w:r>
    </w:p>
    <w:p>
      <w:pPr>
        <w:pStyle w:val="Penstart"/>
      </w:pPr>
      <w:r>
        <w:tab/>
        <w:t>Penalty: $2000.</w:t>
      </w:r>
    </w:p>
    <w:p>
      <w:pPr>
        <w:pStyle w:val="Subsection"/>
      </w:pPr>
      <w:r>
        <w:lastRenderedPageBreak/>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(3) or (4).</w:t>
      </w:r>
    </w:p>
    <w:p>
      <w:pPr>
        <w:pStyle w:val="Footnotesection"/>
      </w:pPr>
      <w:r>
        <w:tab/>
        <w:t>[Regulation 97 amended: Gazette 13 Dec 2013 p.</w:t>
      </w:r>
      <w:r>
        <w:rPr>
          <w:sz w:val="19"/>
        </w:rPr>
        <w:t> </w:t>
      </w:r>
      <w:r>
        <w:t>6158</w:t>
      </w:r>
      <w:r>
        <w:noBreakHyphen/>
        <w:t>9.]</w:t>
      </w:r>
    </w:p>
    <w:p>
      <w:pPr>
        <w:pStyle w:val="Heading5"/>
      </w:pPr>
      <w:bookmarkStart w:id="126" w:name="_Toc95122961"/>
      <w:r>
        <w:rPr>
          <w:rStyle w:val="CharSectno"/>
        </w:rPr>
        <w:t>98</w:t>
      </w:r>
      <w:r>
        <w:t>.</w:t>
      </w:r>
      <w:r>
        <w:tab/>
        <w:t>Telephone or other communication equipment</w:t>
      </w:r>
      <w:bookmarkEnd w:id="126"/>
      <w:r>
        <w:t xml:space="preserve"> </w:t>
      </w:r>
    </w:p>
    <w:p>
      <w:pPr>
        <w:pStyle w:val="Subsection"/>
      </w:pPr>
      <w:r>
        <w:tab/>
      </w:r>
      <w:r>
        <w:tab/>
        <w:t xml:space="preserve">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w:t>
      </w:r>
      <w:r>
        <w:lastRenderedPageBreak/>
        <w:t>to and from parents, family members and other adults who may need to be in contact about a child and emergency services.</w:t>
      </w:r>
    </w:p>
    <w:p>
      <w:pPr>
        <w:pStyle w:val="Penstart"/>
      </w:pPr>
      <w:r>
        <w:tab/>
        <w:t>Penalty: $1000.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w:t>
      </w:r>
    </w:p>
    <w:p>
      <w:pPr>
        <w:pStyle w:val="Heading4"/>
        <w:keepLines/>
      </w:pPr>
      <w:bookmarkStart w:id="127" w:name="_Toc95122962"/>
      <w:r>
        <w:t>Division 6 — Collection of children from premises and excursions</w:t>
      </w:r>
      <w:bookmarkEnd w:id="127"/>
    </w:p>
    <w:p>
      <w:pPr>
        <w:pStyle w:val="Heading5"/>
      </w:pPr>
      <w:bookmarkStart w:id="128" w:name="_Toc95122963"/>
      <w:r>
        <w:rPr>
          <w:rStyle w:val="CharSectno"/>
        </w:rPr>
        <w:t>99</w:t>
      </w:r>
      <w:r>
        <w:t>.</w:t>
      </w:r>
      <w:r>
        <w:tab/>
        <w:t>Children leaving the education and care service premises</w:t>
      </w:r>
      <w:bookmarkEnd w:id="128"/>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29" w:name="_Toc95122964"/>
      <w:r>
        <w:rPr>
          <w:rStyle w:val="CharSectno"/>
        </w:rPr>
        <w:t>100</w:t>
      </w:r>
      <w:r>
        <w:t>.</w:t>
      </w:r>
      <w:r>
        <w:tab/>
        <w:t>Risk assessment must be conducted before excursion</w:t>
      </w:r>
      <w:bookmarkEnd w:id="129"/>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lastRenderedPageBreak/>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pPr>
      <w:r>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30" w:name="_Toc95122965"/>
      <w:r>
        <w:rPr>
          <w:rStyle w:val="CharSectno"/>
        </w:rPr>
        <w:t>101</w:t>
      </w:r>
      <w:r>
        <w:t>.</w:t>
      </w:r>
      <w:r>
        <w:tab/>
        <w:t>Conduct of risk assessment for excursion</w:t>
      </w:r>
      <w:bookmarkEnd w:id="130"/>
      <w:r>
        <w:t xml:space="preserve"> </w:t>
      </w:r>
    </w:p>
    <w:p>
      <w:pPr>
        <w:pStyle w:val="Subsection"/>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lastRenderedPageBreak/>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pPr>
      <w:r>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31" w:name="_Toc95122966"/>
      <w:r>
        <w:rPr>
          <w:rStyle w:val="CharSectno"/>
        </w:rPr>
        <w:t>102</w:t>
      </w:r>
      <w:r>
        <w:t>.</w:t>
      </w:r>
      <w:r>
        <w:tab/>
        <w:t>Authorisation for excursions</w:t>
      </w:r>
      <w:bookmarkEnd w:id="131"/>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$1000.</w:t>
      </w:r>
    </w:p>
    <w:p>
      <w:pPr>
        <w:pStyle w:val="Subsection"/>
      </w:pPr>
      <w:r>
        <w:tab/>
        <w:t>(2)</w:t>
      </w:r>
      <w:r>
        <w:tab/>
        <w:t xml:space="preserve">A nominated supervisor of an education and care service must ensure that a child being educated and cared for by the service is not taken outside the education and care service premises on an </w:t>
      </w:r>
      <w:r>
        <w:lastRenderedPageBreak/>
        <w:t>excursion unless written authorisation has been provided under subregulation (4).</w:t>
      </w:r>
    </w:p>
    <w:p>
      <w:pPr>
        <w:pStyle w:val="Penstart"/>
      </w:pPr>
      <w:r>
        <w:tab/>
        <w:t>Penalty: $1000.</w:t>
      </w:r>
    </w:p>
    <w:p>
      <w:pPr>
        <w:pStyle w:val="Subsection"/>
        <w:keepNext/>
      </w:pPr>
      <w:r>
        <w:tab/>
        <w:t>(3)</w:t>
      </w:r>
      <w:r>
        <w:tab/>
        <w:t>A family day care educator must ensure that a child who is being educated and cared for by the educator as part of a family day care service is not taken outside the residence or approved family day care venue on an excursion unless written authorisation has been provided under subregulation (4).</w:t>
      </w:r>
    </w:p>
    <w:p>
      <w:pPr>
        <w:pStyle w:val="Penstart"/>
      </w:pPr>
      <w:r>
        <w:tab/>
        <w:t>Penalty: $1000.</w:t>
      </w:r>
    </w:p>
    <w:p>
      <w:pPr>
        <w:pStyle w:val="Subsection"/>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lastRenderedPageBreak/>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w:t>
      </w:r>
    </w:p>
    <w:p>
      <w:pPr>
        <w:pStyle w:val="Heading4"/>
      </w:pPr>
      <w:bookmarkStart w:id="132" w:name="_Toc95122967"/>
      <w:r>
        <w:t>Division 7 — Transportation of children other than as part of excursion</w:t>
      </w:r>
      <w:bookmarkEnd w:id="132"/>
    </w:p>
    <w:p>
      <w:pPr>
        <w:pStyle w:val="Footnoteheading"/>
      </w:pPr>
      <w:r>
        <w:tab/>
        <w:t>[Heading inserted: SL 2020/143 r. 9.]</w:t>
      </w:r>
    </w:p>
    <w:p>
      <w:pPr>
        <w:pStyle w:val="Heading5"/>
      </w:pPr>
      <w:bookmarkStart w:id="133" w:name="_Toc95122968"/>
      <w:r>
        <w:rPr>
          <w:rStyle w:val="CharSectno"/>
        </w:rPr>
        <w:t>102A</w:t>
      </w:r>
      <w:r>
        <w:t>.</w:t>
      </w:r>
      <w:r>
        <w:tab/>
        <w:t>Application of Division</w:t>
      </w:r>
      <w:bookmarkEnd w:id="133"/>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134" w:name="_Toc95122969"/>
      <w:r>
        <w:rPr>
          <w:rStyle w:val="CharSectno"/>
        </w:rPr>
        <w:t>102B</w:t>
      </w:r>
      <w:r>
        <w:t>.</w:t>
      </w:r>
      <w:r>
        <w:tab/>
        <w:t>Transport risk assessment must be conducted before service transports child</w:t>
      </w:r>
      <w:bookmarkEnd w:id="134"/>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lastRenderedPageBreak/>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for this subregulation: a fine of $2 000.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for this subregulation: a fine of $2 000.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Footnotesection"/>
      </w:pPr>
      <w:r>
        <w:tab/>
        <w:t>[Regulation 102B inserted: SL 2020/143 r. 9.]</w:t>
      </w:r>
    </w:p>
    <w:p>
      <w:pPr>
        <w:pStyle w:val="Heading5"/>
      </w:pPr>
      <w:bookmarkStart w:id="135" w:name="_Toc95122970"/>
      <w:r>
        <w:rPr>
          <w:rStyle w:val="CharSectno"/>
        </w:rPr>
        <w:t>102C</w:t>
      </w:r>
      <w:r>
        <w:t>.</w:t>
      </w:r>
      <w:r>
        <w:tab/>
        <w:t>Conduct of risk assessment for transporting of children by education and care service</w:t>
      </w:r>
      <w:bookmarkEnd w:id="135"/>
    </w:p>
    <w:p>
      <w:pPr>
        <w:pStyle w:val="Subsection"/>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lastRenderedPageBreak/>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pPr>
      <w:r>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136" w:name="_Toc95122971"/>
      <w:r>
        <w:rPr>
          <w:rStyle w:val="CharSectno"/>
        </w:rPr>
        <w:t>102D</w:t>
      </w:r>
      <w:r>
        <w:t>.</w:t>
      </w:r>
      <w:r>
        <w:tab/>
        <w:t>Authorisation for service to transport children</w:t>
      </w:r>
      <w:bookmarkEnd w:id="136"/>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(2)</w:t>
      </w:r>
      <w:r>
        <w:tab/>
        <w:t xml:space="preserve">A nominated supervisor of an education and care service must ensure that a child being educated and cared for by the service is </w:t>
      </w:r>
      <w:r>
        <w:lastRenderedPageBreak/>
        <w:t>not transported by the service or on transportation arranged by the service unless written authorisation has been given under subregulation (4).</w:t>
      </w:r>
    </w:p>
    <w:p>
      <w:pPr>
        <w:pStyle w:val="Penstart"/>
      </w:pPr>
      <w:r>
        <w:tab/>
        <w:t>Penalty for this subregulation: a fine of $1 000.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for this subregulation: a fine of $1000.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lastRenderedPageBreak/>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w:t>
      </w:r>
    </w:p>
    <w:p>
      <w:pPr>
        <w:pStyle w:val="Heading3"/>
      </w:pPr>
      <w:bookmarkStart w:id="137" w:name="_Toc95122972"/>
      <w:r>
        <w:rPr>
          <w:rStyle w:val="CharDivNo"/>
        </w:rPr>
        <w:t>Part 4.3</w:t>
      </w:r>
      <w:r>
        <w:t> — </w:t>
      </w:r>
      <w:r>
        <w:rPr>
          <w:rStyle w:val="CharDivText"/>
        </w:rPr>
        <w:t>Physical environment</w:t>
      </w:r>
      <w:bookmarkEnd w:id="137"/>
    </w:p>
    <w:p>
      <w:pPr>
        <w:pStyle w:val="Heading4"/>
      </w:pPr>
      <w:bookmarkStart w:id="138" w:name="_Toc95122973"/>
      <w:r>
        <w:t>Division 1 — Centre</w:t>
      </w:r>
      <w:r>
        <w:noBreakHyphen/>
        <w:t>based services and family day care services</w:t>
      </w:r>
      <w:bookmarkEnd w:id="138"/>
    </w:p>
    <w:p>
      <w:pPr>
        <w:pStyle w:val="Heading5"/>
      </w:pPr>
      <w:bookmarkStart w:id="139" w:name="_Toc95122974"/>
      <w:r>
        <w:rPr>
          <w:rStyle w:val="CharSectno"/>
        </w:rPr>
        <w:t>103</w:t>
      </w:r>
      <w:r>
        <w:t>.</w:t>
      </w:r>
      <w:r>
        <w:tab/>
        <w:t>Premises, furniture and equipment to be safe, clean and in good repair</w:t>
      </w:r>
      <w:bookmarkEnd w:id="139"/>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pPr>
      <w:r>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0" w:name="_Toc95122975"/>
      <w:r>
        <w:rPr>
          <w:rStyle w:val="CharSectno"/>
        </w:rPr>
        <w:t>104</w:t>
      </w:r>
      <w:r>
        <w:t>.</w:t>
      </w:r>
      <w:r>
        <w:tab/>
        <w:t>Fencing</w:t>
      </w:r>
      <w:bookmarkEnd w:id="140"/>
      <w:r>
        <w:t xml:space="preserve"> </w:t>
      </w:r>
    </w:p>
    <w:p>
      <w:pPr>
        <w:pStyle w:val="Subsection"/>
      </w:pPr>
      <w:r>
        <w:tab/>
        <w:t>(1)</w:t>
      </w:r>
      <w:r>
        <w:tab/>
        <w:t xml:space="preserve">The approved provider of an education and care service must ensure that any outdoor space used by children at the education and care service premises is enclosed by a fence or barrier that </w:t>
      </w:r>
      <w:r>
        <w:lastRenderedPageBreak/>
        <w:t>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141" w:name="_Toc95122976"/>
      <w:r>
        <w:rPr>
          <w:rStyle w:val="CharSectno"/>
        </w:rPr>
        <w:t>105</w:t>
      </w:r>
      <w:r>
        <w:t>.</w:t>
      </w:r>
      <w:r>
        <w:tab/>
        <w:t>Furniture, materials and equipment</w:t>
      </w:r>
      <w:bookmarkEnd w:id="141"/>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42" w:name="_Toc95122977"/>
      <w:r>
        <w:rPr>
          <w:rStyle w:val="CharSectno"/>
        </w:rPr>
        <w:t>106</w:t>
      </w:r>
      <w:r>
        <w:t>.</w:t>
      </w:r>
      <w:r>
        <w:tab/>
        <w:t>Laundry and hygiene facilities</w:t>
      </w:r>
      <w:bookmarkEnd w:id="142"/>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pPr>
      <w:r>
        <w:lastRenderedPageBreak/>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143" w:name="_Toc95122978"/>
      <w:r>
        <w:rPr>
          <w:rStyle w:val="CharSectno"/>
        </w:rPr>
        <w:t>107</w:t>
      </w:r>
      <w:r>
        <w:t>.</w:t>
      </w:r>
      <w:r>
        <w:tab/>
        <w:t>Space requirements — indoor space</w:t>
      </w:r>
      <w:bookmarkEnd w:id="143"/>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lastRenderedPageBreak/>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144" w:name="_Toc95122979"/>
      <w:r>
        <w:rPr>
          <w:rStyle w:val="CharSectno"/>
        </w:rPr>
        <w:t>108</w:t>
      </w:r>
      <w:r>
        <w:t>.</w:t>
      </w:r>
      <w:r>
        <w:tab/>
        <w:t>Space requirements — outdoor space</w:t>
      </w:r>
      <w:bookmarkEnd w:id="144"/>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lastRenderedPageBreak/>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145" w:name="_Toc95122980"/>
      <w:r>
        <w:rPr>
          <w:rStyle w:val="CharSectno"/>
        </w:rPr>
        <w:t>109</w:t>
      </w:r>
      <w:r>
        <w:t>.</w:t>
      </w:r>
      <w:r>
        <w:tab/>
        <w:t>Toilet and hygiene facilities</w:t>
      </w:r>
      <w:bookmarkEnd w:id="145"/>
      <w:r>
        <w:t xml:space="preserve"> </w:t>
      </w:r>
    </w:p>
    <w:p>
      <w:pPr>
        <w:pStyle w:val="Subsection"/>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146" w:name="_Toc95122981"/>
      <w:r>
        <w:rPr>
          <w:rStyle w:val="CharSectno"/>
        </w:rPr>
        <w:lastRenderedPageBreak/>
        <w:t>110</w:t>
      </w:r>
      <w:r>
        <w:t>.</w:t>
      </w:r>
      <w:r>
        <w:tab/>
        <w:t>Ventilation and natural light</w:t>
      </w:r>
      <w:bookmarkEnd w:id="146"/>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pPr>
      <w:r>
        <w:tab/>
        <w:t>(c)</w:t>
      </w:r>
      <w:r>
        <w:tab/>
        <w:t>are maintained at a temperature that ensures the safety and wellbeing of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47" w:name="_Toc95122982"/>
      <w:r>
        <w:t>Division 2 — Additional requirements for centre</w:t>
      </w:r>
      <w:r>
        <w:noBreakHyphen/>
        <w:t>based services</w:t>
      </w:r>
      <w:bookmarkEnd w:id="147"/>
    </w:p>
    <w:p>
      <w:pPr>
        <w:pStyle w:val="Heading5"/>
      </w:pPr>
      <w:bookmarkStart w:id="148" w:name="_Toc95122983"/>
      <w:r>
        <w:rPr>
          <w:rStyle w:val="CharSectno"/>
        </w:rPr>
        <w:t>111</w:t>
      </w:r>
      <w:r>
        <w:t>.</w:t>
      </w:r>
      <w:r>
        <w:tab/>
        <w:t>Administrative space</w:t>
      </w:r>
      <w:bookmarkEnd w:id="148"/>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149" w:name="_Toc95122984"/>
      <w:r>
        <w:rPr>
          <w:rStyle w:val="CharSectno"/>
        </w:rPr>
        <w:t>112</w:t>
      </w:r>
      <w:r>
        <w:t>.</w:t>
      </w:r>
      <w:r>
        <w:tab/>
        <w:t>Nappy change facilities</w:t>
      </w:r>
      <w:bookmarkEnd w:id="149"/>
      <w:r>
        <w:t xml:space="preserve"> </w:t>
      </w:r>
    </w:p>
    <w:p>
      <w:pPr>
        <w:pStyle w:val="Subsection"/>
      </w:pPr>
      <w:r>
        <w:tab/>
        <w:t>(1)</w:t>
      </w:r>
      <w:r>
        <w:tab/>
        <w:t>This regulation applies if a centre</w:t>
      </w:r>
      <w:r>
        <w:noBreakHyphen/>
        <w:t>based service educates and cares for children who wear nappies.</w:t>
      </w:r>
    </w:p>
    <w:p>
      <w:pPr>
        <w:pStyle w:val="Subsection"/>
      </w:pPr>
      <w:r>
        <w:lastRenderedPageBreak/>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$1000.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Heading5"/>
      </w:pPr>
      <w:bookmarkStart w:id="150" w:name="_Toc95122985"/>
      <w:r>
        <w:rPr>
          <w:rStyle w:val="CharSectno"/>
        </w:rPr>
        <w:t>113</w:t>
      </w:r>
      <w:r>
        <w:t>.</w:t>
      </w:r>
      <w:r>
        <w:tab/>
        <w:t>Outdoor space — natural environment</w:t>
      </w:r>
      <w:bookmarkEnd w:id="150"/>
      <w:r>
        <w:t xml:space="preserve"> </w:t>
      </w:r>
    </w:p>
    <w:p>
      <w:pPr>
        <w:pStyle w:val="Subsection"/>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1" w:name="_Toc95122986"/>
      <w:r>
        <w:rPr>
          <w:rStyle w:val="CharSectno"/>
        </w:rPr>
        <w:t>114</w:t>
      </w:r>
      <w:r>
        <w:t>.</w:t>
      </w:r>
      <w:r>
        <w:tab/>
        <w:t>Outdoor space — shade</w:t>
      </w:r>
      <w:bookmarkEnd w:id="151"/>
      <w:r>
        <w:t xml:space="preserve"> </w:t>
      </w:r>
    </w:p>
    <w:p>
      <w:pPr>
        <w:pStyle w:val="Subsection"/>
        <w:keepNext/>
      </w:pPr>
      <w:r>
        <w:tab/>
      </w:r>
      <w:r>
        <w:tab/>
        <w:t>The approved provider of a centre</w:t>
      </w:r>
      <w:r>
        <w:noBreakHyphen/>
        <w:t xml:space="preserve">based service must ensure that outdoor spaces provided at the education and care service </w:t>
      </w:r>
      <w:r>
        <w:lastRenderedPageBreak/>
        <w:t>premises include adequate shaded areas to protect children from overexposure to ultraviolet radiation from the sun.</w:t>
      </w:r>
    </w:p>
    <w:p>
      <w:pPr>
        <w:pStyle w:val="Penstart"/>
        <w:keepNex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52" w:name="_Toc95122987"/>
      <w:r>
        <w:rPr>
          <w:rStyle w:val="CharSectno"/>
        </w:rPr>
        <w:t>115</w:t>
      </w:r>
      <w:r>
        <w:t>.</w:t>
      </w:r>
      <w:r>
        <w:tab/>
        <w:t>Premises designed to facilitate supervision</w:t>
      </w:r>
      <w:bookmarkEnd w:id="152"/>
      <w:r>
        <w:t xml:space="preserve"> </w:t>
      </w:r>
    </w:p>
    <w:p>
      <w:pPr>
        <w:pStyle w:val="Subsection"/>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53" w:name="_Toc95122988"/>
      <w:r>
        <w:t>Division 3 — Additional provisions for family day care services</w:t>
      </w:r>
      <w:bookmarkEnd w:id="153"/>
    </w:p>
    <w:p>
      <w:pPr>
        <w:pStyle w:val="Heading5"/>
      </w:pPr>
      <w:bookmarkStart w:id="154" w:name="_Toc95122989"/>
      <w:r>
        <w:rPr>
          <w:rStyle w:val="CharSectno"/>
        </w:rPr>
        <w:t>116</w:t>
      </w:r>
      <w:r>
        <w:t>.</w:t>
      </w:r>
      <w:r>
        <w:tab/>
        <w:t>Assessments of family day care residences and approved family day care venues</w:t>
      </w:r>
      <w:bookmarkEnd w:id="154"/>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$2 000.</w:t>
      </w:r>
    </w:p>
    <w:p>
      <w:pPr>
        <w:pStyle w:val="Subsection"/>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lastRenderedPageBreak/>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$2 000.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pPr>
      <w:r>
        <w:tab/>
        <w:t>(b)</w:t>
      </w:r>
      <w:r>
        <w:tab/>
        <w:t>the suitability of the residence (and areas within the residence) or venue according to the number, ages and abilities of children attending, or likely to attend, the service at the residence or venue;</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lastRenderedPageBreak/>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w:t>
      </w:r>
    </w:p>
    <w:p>
      <w:pPr>
        <w:pStyle w:val="Heading5"/>
      </w:pPr>
      <w:bookmarkStart w:id="155" w:name="_Toc95122990"/>
      <w:r>
        <w:rPr>
          <w:rStyle w:val="CharSectno"/>
        </w:rPr>
        <w:t>117</w:t>
      </w:r>
      <w:r>
        <w:t>.</w:t>
      </w:r>
      <w:r>
        <w:tab/>
        <w:t>Glass</w:t>
      </w:r>
      <w:bookmarkEnd w:id="155"/>
      <w:r>
        <w:t xml:space="preserve"> </w:t>
      </w:r>
    </w:p>
    <w:p>
      <w:pPr>
        <w:pStyle w:val="Subsection"/>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156" w:name="_Toc95122991"/>
      <w:r>
        <w:rPr>
          <w:rStyle w:val="CharDivNo"/>
        </w:rPr>
        <w:lastRenderedPageBreak/>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156"/>
    </w:p>
    <w:p>
      <w:pPr>
        <w:pStyle w:val="Footnoteheading"/>
      </w:pPr>
      <w:r>
        <w:tab/>
        <w:t>[Heading inserted: Gazette 28 Sep 2018 p. 3622.]</w:t>
      </w:r>
    </w:p>
    <w:p>
      <w:pPr>
        <w:pStyle w:val="Heading5"/>
      </w:pPr>
      <w:bookmarkStart w:id="157" w:name="_Toc95122992"/>
      <w:r>
        <w:rPr>
          <w:rStyle w:val="CharSectno"/>
        </w:rPr>
        <w:t>117A</w:t>
      </w:r>
      <w:r>
        <w:t>.</w:t>
      </w:r>
      <w:r>
        <w:tab/>
        <w:t>Placing a person in day</w:t>
      </w:r>
      <w:r>
        <w:noBreakHyphen/>
        <w:t>to</w:t>
      </w:r>
      <w:r>
        <w:noBreakHyphen/>
        <w:t>day charge</w:t>
      </w:r>
      <w:bookmarkEnd w:id="15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158" w:name="_Toc95122993"/>
      <w:r>
        <w:rPr>
          <w:rStyle w:val="CharSectno"/>
        </w:rPr>
        <w:t>117B</w:t>
      </w:r>
      <w:r>
        <w:t>.</w:t>
      </w:r>
      <w:r>
        <w:tab/>
        <w:t>Minimum requirements for a person in day</w:t>
      </w:r>
      <w:r>
        <w:noBreakHyphen/>
        <w:t>to</w:t>
      </w:r>
      <w:r>
        <w:noBreakHyphen/>
        <w:t>day charge</w:t>
      </w:r>
      <w:bookmarkEnd w:id="15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159" w:name="_Toc95122994"/>
      <w:r>
        <w:rPr>
          <w:rStyle w:val="CharSectno"/>
        </w:rPr>
        <w:t>117C</w:t>
      </w:r>
      <w:r>
        <w:t>.</w:t>
      </w:r>
      <w:r>
        <w:tab/>
        <w:t>Minimum requirements for a nominated supervisor</w:t>
      </w:r>
      <w:bookmarkEnd w:id="15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lastRenderedPageBreak/>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160" w:name="_Toc95122995"/>
      <w:r>
        <w:rPr>
          <w:rStyle w:val="CharDivNo"/>
        </w:rPr>
        <w:t>Part 4.4</w:t>
      </w:r>
      <w:r>
        <w:t> — </w:t>
      </w:r>
      <w:r>
        <w:rPr>
          <w:rStyle w:val="CharDivText"/>
        </w:rPr>
        <w:t>Staffing arrangements</w:t>
      </w:r>
      <w:bookmarkEnd w:id="160"/>
    </w:p>
    <w:p>
      <w:pPr>
        <w:pStyle w:val="Heading4"/>
      </w:pPr>
      <w:bookmarkStart w:id="161" w:name="_Toc95122996"/>
      <w:r>
        <w:t>Division 1 — Educational leader</w:t>
      </w:r>
      <w:bookmarkEnd w:id="161"/>
    </w:p>
    <w:p>
      <w:pPr>
        <w:pStyle w:val="Heading5"/>
      </w:pPr>
      <w:bookmarkStart w:id="162" w:name="_Toc95122997"/>
      <w:r>
        <w:rPr>
          <w:rStyle w:val="CharSectno"/>
        </w:rPr>
        <w:t>118</w:t>
      </w:r>
      <w:r>
        <w:t>.</w:t>
      </w:r>
      <w:r>
        <w:tab/>
        <w:t>Educational leader</w:t>
      </w:r>
      <w:bookmarkEnd w:id="162"/>
      <w:r>
        <w:t xml:space="preserve"> </w:t>
      </w:r>
    </w:p>
    <w:p>
      <w:pPr>
        <w:pStyle w:val="Subsection"/>
        <w:keepNext/>
      </w:pPr>
      <w:r>
        <w:tab/>
      </w:r>
      <w:r>
        <w:tab/>
        <w:t>The approved provider of an education and care service must designate, in writing, a suitably qualified and experienced educator, co</w:t>
      </w:r>
      <w:r>
        <w:noBreakHyphen/>
        <w:t xml:space="preserve">ordinator or other individual as educational leader </w:t>
      </w:r>
      <w:r>
        <w:lastRenderedPageBreak/>
        <w:t>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3" w:name="_Toc95122998"/>
      <w:r>
        <w:t>Division 2 — Age and supervision requirements</w:t>
      </w:r>
      <w:bookmarkEnd w:id="163"/>
    </w:p>
    <w:p>
      <w:pPr>
        <w:pStyle w:val="Heading5"/>
      </w:pPr>
      <w:bookmarkStart w:id="164" w:name="_Toc95122999"/>
      <w:r>
        <w:rPr>
          <w:rStyle w:val="CharSectno"/>
        </w:rPr>
        <w:t>119</w:t>
      </w:r>
      <w:r>
        <w:t>.</w:t>
      </w:r>
      <w:r>
        <w:tab/>
        <w:t>Family day care educator and family day care educator assistant to be at least 18 years old</w:t>
      </w:r>
      <w:bookmarkEnd w:id="164"/>
      <w:r>
        <w:t xml:space="preserve"> </w:t>
      </w:r>
    </w:p>
    <w:p>
      <w:pPr>
        <w:pStyle w:val="Subsection"/>
      </w:pPr>
      <w:r>
        <w:tab/>
      </w:r>
      <w:r>
        <w:tab/>
        <w:t>The approved provider of a family day care service must ensure that any family day care educator and any family day care educator assistant engaged by or registered with the service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165" w:name="_Toc95123000"/>
      <w:r>
        <w:rPr>
          <w:rStyle w:val="CharSectno"/>
        </w:rPr>
        <w:t>120</w:t>
      </w:r>
      <w:r>
        <w:t>.</w:t>
      </w:r>
      <w:r>
        <w:tab/>
        <w:t>Educators who are under 18 to be supervised</w:t>
      </w:r>
      <w:bookmarkEnd w:id="165"/>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66" w:name="_Toc95123001"/>
      <w:r>
        <w:lastRenderedPageBreak/>
        <w:t>Division 3 — Minimum number of educators and family day care co</w:t>
      </w:r>
      <w:r>
        <w:noBreakHyphen/>
        <w:t>ordinators required</w:t>
      </w:r>
      <w:bookmarkEnd w:id="166"/>
    </w:p>
    <w:p>
      <w:pPr>
        <w:pStyle w:val="Footnoteheading"/>
        <w:keepNext/>
      </w:pPr>
      <w:r>
        <w:tab/>
        <w:t>[Heading amended: Gazette 28 Sep 2018 p. 3625.]</w:t>
      </w:r>
    </w:p>
    <w:p>
      <w:pPr>
        <w:pStyle w:val="Heading5"/>
      </w:pPr>
      <w:bookmarkStart w:id="167" w:name="_Toc95123002"/>
      <w:r>
        <w:rPr>
          <w:rStyle w:val="CharSectno"/>
        </w:rPr>
        <w:t>121</w:t>
      </w:r>
      <w:r>
        <w:t>.</w:t>
      </w:r>
      <w:r>
        <w:tab/>
        <w:t>Application of Division 3</w:t>
      </w:r>
      <w:bookmarkEnd w:id="167"/>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pPr>
      <w:r>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168" w:name="_Toc95123003"/>
      <w:r>
        <w:rPr>
          <w:rStyle w:val="CharSectno"/>
        </w:rPr>
        <w:t>122</w:t>
      </w:r>
      <w:r>
        <w:t>.</w:t>
      </w:r>
      <w:r>
        <w:tab/>
        <w:t>Educators must be working directly with children to be included in ratios</w:t>
      </w:r>
      <w:bookmarkEnd w:id="168"/>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169" w:name="_Toc95123004"/>
      <w:r>
        <w:rPr>
          <w:rStyle w:val="CharSectno"/>
        </w:rPr>
        <w:t>123</w:t>
      </w:r>
      <w:r>
        <w:t>.</w:t>
      </w:r>
      <w:r>
        <w:tab/>
        <w:t>Educator to child ratios — centre</w:t>
      </w:r>
      <w:r>
        <w:noBreakHyphen/>
        <w:t>based services</w:t>
      </w:r>
      <w:bookmarkEnd w:id="169"/>
      <w:r>
        <w:t xml:space="preserve"> </w:t>
      </w:r>
    </w:p>
    <w:p>
      <w:pPr>
        <w:pStyle w:val="Subsection"/>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lastRenderedPageBreak/>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lastRenderedPageBreak/>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spacing w:before="70"/>
      </w:pPr>
      <w:r>
        <w:tab/>
        <w:t>(ii)</w:t>
      </w:r>
      <w:r>
        <w:tab/>
        <w:t>makes and keeps a record of that decision;</w:t>
      </w:r>
    </w:p>
    <w:p>
      <w:pPr>
        <w:pStyle w:val="Indenta"/>
        <w:spacing w:before="70"/>
      </w:pPr>
      <w:r>
        <w:tab/>
      </w:r>
      <w:r>
        <w:tab/>
        <w:t>and</w:t>
      </w:r>
    </w:p>
    <w:p>
      <w:pPr>
        <w:pStyle w:val="Indenta"/>
        <w:spacing w:before="70"/>
      </w:pPr>
      <w:r>
        <w:lastRenderedPageBreak/>
        <w:tab/>
        <w:t>(b)</w:t>
      </w:r>
      <w:r>
        <w:tab/>
        <w:t>a parent of the child has agreed with that decision and has signed the record of the decision to indicate that agreement.</w:t>
      </w:r>
    </w:p>
    <w:p>
      <w:pPr>
        <w:pStyle w:val="PermNoteHeading"/>
      </w:pPr>
      <w:r>
        <w:tab/>
        <w:t>Notes for this regulation:</w:t>
      </w:r>
    </w:p>
    <w:p>
      <w:pPr>
        <w:pStyle w:val="PermNoteText"/>
      </w:pPr>
      <w:r>
        <w:tab/>
        <w:t>1.</w:t>
      </w:r>
      <w:r>
        <w:tab/>
        <w:t>This regulation differs from regulation 123 of the national regulations made by the Ministerial Council.</w:t>
      </w:r>
    </w:p>
    <w:p>
      <w:pPr>
        <w:pStyle w:val="PermNoteText"/>
      </w:pPr>
      <w:r>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170" w:name="_Toc95123005"/>
      <w:r>
        <w:rPr>
          <w:rStyle w:val="CharSectno"/>
        </w:rPr>
        <w:t>123A</w:t>
      </w:r>
      <w:r>
        <w:t>.</w:t>
      </w:r>
      <w:r>
        <w:tab/>
        <w:t>Family day care co</w:t>
      </w:r>
      <w:r>
        <w:noBreakHyphen/>
        <w:t>ordinator to educator ratios — family day care service</w:t>
      </w:r>
      <w:bookmarkEnd w:id="170"/>
    </w:p>
    <w:p>
      <w:pPr>
        <w:pStyle w:val="Subsection"/>
      </w:pPr>
      <w:r>
        <w:tab/>
      </w:r>
      <w:r>
        <w:tab/>
        <w:t>For the purposes of section 163(1) of the Law,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for the first 12 months after the service commences providing education and care to children as part of the family day care service, 1 full</w:t>
      </w:r>
      <w:r>
        <w:noBreakHyphen/>
        <w:t>time equivalent family day care co</w:t>
      </w:r>
      <w:r>
        <w:noBreakHyphen/>
        <w:t>ordinator for every 15 family day care educators;</w:t>
      </w:r>
    </w:p>
    <w:p>
      <w:pPr>
        <w:pStyle w:val="Indenta"/>
      </w:pPr>
      <w:r>
        <w:tab/>
        <w:t>(b)</w:t>
      </w:r>
      <w:r>
        <w:tab/>
        <w:t>after the end of that 12 month period, 1 full</w:t>
      </w:r>
      <w:r>
        <w:noBreakHyphen/>
        <w:t>time equivalent family day care co</w:t>
      </w:r>
      <w:r>
        <w:noBreakHyphen/>
        <w:t>ordinator for every 25 family day care educators.</w:t>
      </w:r>
    </w:p>
    <w:p>
      <w:pPr>
        <w:pStyle w:val="Footnotesection"/>
      </w:pPr>
      <w:r>
        <w:tab/>
        <w:t>[Regulation 123A inserted: Gazette 28 Sep 2018 p. 3626.]</w:t>
      </w:r>
    </w:p>
    <w:p>
      <w:pPr>
        <w:pStyle w:val="Heading5"/>
      </w:pPr>
      <w:bookmarkStart w:id="171" w:name="_Toc95123006"/>
      <w:r>
        <w:rPr>
          <w:rStyle w:val="CharSectno"/>
        </w:rPr>
        <w:t>124</w:t>
      </w:r>
      <w:r>
        <w:t>.</w:t>
      </w:r>
      <w:r>
        <w:tab/>
        <w:t>Number of children who can be educated and cared for — family day care educator</w:t>
      </w:r>
      <w:bookmarkEnd w:id="171"/>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lastRenderedPageBreak/>
        <w:tab/>
        <w:t>(2)</w:t>
      </w:r>
      <w:r>
        <w:tab/>
        <w:t xml:space="preserve">In determining the number of children who can be educated and cared for by a family day care educator for the purposes of subregulation (1) — </w:t>
      </w:r>
    </w:p>
    <w:p>
      <w:pPr>
        <w:pStyle w:val="Indenta"/>
        <w:spacing w:before="70"/>
      </w:pPr>
      <w:r>
        <w:tab/>
        <w:t>(a)</w:t>
      </w:r>
      <w:r>
        <w:tab/>
        <w:t>no more than 4 can be preschool age or under;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preschool age or under,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 xml:space="preserve">a child to be educated and cared for is determined to be in need of protection under a child protection law and </w:t>
      </w:r>
      <w:r>
        <w:lastRenderedPageBreak/>
        <w:t>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Heading4"/>
      </w:pPr>
      <w:bookmarkStart w:id="172" w:name="_Toc95123007"/>
      <w:r>
        <w:t>Division 4 — Educational qualifications for educators</w:t>
      </w:r>
      <w:bookmarkEnd w:id="172"/>
    </w:p>
    <w:p>
      <w:pPr>
        <w:pStyle w:val="Heading5"/>
        <w:spacing w:before="200"/>
      </w:pPr>
      <w:bookmarkStart w:id="173" w:name="_Toc95123008"/>
      <w:r>
        <w:rPr>
          <w:rStyle w:val="CharSectno"/>
        </w:rPr>
        <w:t>125</w:t>
      </w:r>
      <w:r>
        <w:t>.</w:t>
      </w:r>
      <w:r>
        <w:tab/>
        <w:t>Application of Division 4</w:t>
      </w:r>
      <w:bookmarkEnd w:id="1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174" w:name="_Toc95123009"/>
      <w:r>
        <w:rPr>
          <w:rStyle w:val="CharSectno"/>
        </w:rPr>
        <w:t>126</w:t>
      </w:r>
      <w:r>
        <w:t>.</w:t>
      </w:r>
      <w:r>
        <w:tab/>
        <w:t>Centre</w:t>
      </w:r>
      <w:r>
        <w:noBreakHyphen/>
        <w:t>based services — general educator qualifications</w:t>
      </w:r>
      <w:bookmarkEnd w:id="174"/>
      <w:r>
        <w:t xml:space="preserve"> </w:t>
      </w:r>
    </w:p>
    <w:p>
      <w:pPr>
        <w:pStyle w:val="Subsection"/>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have, or be actively working towards, at least an approved diploma level education and care qualification; and</w:t>
      </w:r>
    </w:p>
    <w:p>
      <w:pPr>
        <w:pStyle w:val="Indenta"/>
        <w:spacing w:before="60"/>
      </w:pPr>
      <w:r>
        <w:tab/>
        <w:t>(b)</w:t>
      </w:r>
      <w:r>
        <w:tab/>
        <w:t>all other educators who are required to meet the relevant educator to child ratios for the service must have, or be actively working towards, at least an approved certificate III level education and care qualification.</w:t>
      </w:r>
    </w:p>
    <w:p>
      <w:pPr>
        <w:pStyle w:val="Subsection"/>
      </w:pPr>
      <w:r>
        <w:lastRenderedPageBreak/>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An early childhood teacher or suitably qualified person can be included in determining the number of educators who have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w:t>
      </w:r>
    </w:p>
    <w:p>
      <w:pPr>
        <w:pStyle w:val="Heading5"/>
      </w:pPr>
      <w:bookmarkStart w:id="175" w:name="_Toc95123010"/>
      <w:r>
        <w:rPr>
          <w:rStyle w:val="CharSectno"/>
        </w:rPr>
        <w:lastRenderedPageBreak/>
        <w:t>127</w:t>
      </w:r>
      <w:r>
        <w:t>.</w:t>
      </w:r>
      <w:r>
        <w:tab/>
        <w:t>Family day care educator qualifications</w:t>
      </w:r>
      <w:bookmarkEnd w:id="175"/>
      <w:r>
        <w:t xml:space="preserve"> </w:t>
      </w:r>
    </w:p>
    <w:p>
      <w:pPr>
        <w:pStyle w:val="Subsection"/>
      </w:pPr>
      <w:r>
        <w:tab/>
      </w:r>
      <w:r>
        <w:tab/>
        <w:t>A family day care educator must have, or be actively working towards, at least an approved certificate III level education and care qualification.</w:t>
      </w:r>
    </w:p>
    <w:p>
      <w:pPr>
        <w:pStyle w:val="Heading5"/>
      </w:pPr>
      <w:bookmarkStart w:id="176" w:name="_Toc95123011"/>
      <w:r>
        <w:rPr>
          <w:rStyle w:val="CharSectno"/>
        </w:rPr>
        <w:t>128</w:t>
      </w:r>
      <w:r>
        <w:t>.</w:t>
      </w:r>
      <w:r>
        <w:tab/>
        <w:t>Family day care co</w:t>
      </w:r>
      <w:r>
        <w:noBreakHyphen/>
        <w:t>ordinator qualifications</w:t>
      </w:r>
      <w:bookmarkEnd w:id="176"/>
      <w:r>
        <w:t xml:space="preserve"> </w:t>
      </w:r>
    </w:p>
    <w:p>
      <w:pPr>
        <w:pStyle w:val="Subsection"/>
      </w:pPr>
      <w:r>
        <w:tab/>
      </w:r>
      <w:r>
        <w:tab/>
        <w:t>A family day care co</w:t>
      </w:r>
      <w:r>
        <w:noBreakHyphen/>
        <w:t>ordinator must have an approved diploma level education and care qualification.</w:t>
      </w:r>
    </w:p>
    <w:p>
      <w:pPr>
        <w:pStyle w:val="Heading4"/>
      </w:pPr>
      <w:bookmarkStart w:id="177" w:name="_Toc95123012"/>
      <w:r>
        <w:t>Division 5 — Requirements for educators who are early childhood teachers</w:t>
      </w:r>
      <w:bookmarkEnd w:id="177"/>
    </w:p>
    <w:p>
      <w:pPr>
        <w:pStyle w:val="Heading5"/>
      </w:pPr>
      <w:bookmarkStart w:id="178" w:name="_Toc95123013"/>
      <w:r>
        <w:rPr>
          <w:rStyle w:val="CharSectno"/>
        </w:rPr>
        <w:t>129</w:t>
      </w:r>
      <w:r>
        <w:t>.</w:t>
      </w:r>
      <w:r>
        <w:tab/>
        <w:t>Application of Division 5</w:t>
      </w:r>
      <w:bookmarkEnd w:id="178"/>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179" w:name="_Toc95123014"/>
      <w:r>
        <w:rPr>
          <w:rStyle w:val="CharSectno"/>
        </w:rPr>
        <w:t>130</w:t>
      </w:r>
      <w:r>
        <w:t>.</w:t>
      </w:r>
      <w:r>
        <w:tab/>
        <w:t>Requirement for early childhood teacher — centre</w:t>
      </w:r>
      <w:r>
        <w:noBreakHyphen/>
        <w:t>based services — fewer than 25 approved places</w:t>
      </w:r>
      <w:bookmarkEnd w:id="179"/>
      <w:r>
        <w:t xml:space="preserve"> </w:t>
      </w:r>
    </w:p>
    <w:p>
      <w:pPr>
        <w:pStyle w:val="Subsection"/>
      </w:pPr>
      <w:r>
        <w:tab/>
        <w:t>(1)</w:t>
      </w:r>
      <w:r>
        <w:tab/>
        <w:t>If the approved number of places for children preschool age or under at a centre</w:t>
      </w:r>
      <w:r>
        <w:noBreakHyphen/>
        <w:t xml:space="preserve">based service is fewer than 25, the service must have access to an early childhood teacher working with the </w:t>
      </w:r>
      <w:r>
        <w:lastRenderedPageBreak/>
        <w:t>service for at least 20% of the time that the service provides education and care.</w:t>
      </w:r>
    </w:p>
    <w:p>
      <w:pPr>
        <w:pStyle w:val="Subsection"/>
        <w:spacing w:before="180"/>
      </w:pPr>
      <w:r>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180" w:name="_Toc95123015"/>
      <w:r>
        <w:rPr>
          <w:rStyle w:val="CharSectno"/>
        </w:rPr>
        <w:t>131</w:t>
      </w:r>
      <w:r>
        <w:t>.</w:t>
      </w:r>
      <w:r>
        <w:tab/>
        <w:t>Requirement for early childhood teacher — centre</w:t>
      </w:r>
      <w:r>
        <w:noBreakHyphen/>
        <w:t>based services — 25 or more approved places but fewer than 25 children</w:t>
      </w:r>
      <w:bookmarkEnd w:id="180"/>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181" w:name="_Toc95123016"/>
      <w:r>
        <w:rPr>
          <w:rStyle w:val="CharSectno"/>
        </w:rPr>
        <w:t>132</w:t>
      </w:r>
      <w:r>
        <w:t>.</w:t>
      </w:r>
      <w:r>
        <w:tab/>
        <w:t>Requirement for early childhood teacher — centre</w:t>
      </w:r>
      <w:r>
        <w:noBreakHyphen/>
        <w:t>based services — 25 to 59 children</w:t>
      </w:r>
      <w:bookmarkEnd w:id="181"/>
      <w:r>
        <w:t xml:space="preserve"> </w:t>
      </w:r>
    </w:p>
    <w:p>
      <w:pPr>
        <w:pStyle w:val="Subsection"/>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182" w:name="_Toc95123017"/>
      <w:r>
        <w:rPr>
          <w:rStyle w:val="CharSectno"/>
        </w:rPr>
        <w:t>133</w:t>
      </w:r>
      <w:r>
        <w:t>.</w:t>
      </w:r>
      <w:r>
        <w:tab/>
        <w:t>Requirement for early childhood teacher — centre</w:t>
      </w:r>
      <w:r>
        <w:noBreakHyphen/>
        <w:t>based services — 60 to 80 children</w:t>
      </w:r>
      <w:bookmarkEnd w:id="182"/>
      <w:r>
        <w:t xml:space="preserve"> </w:t>
      </w:r>
    </w:p>
    <w:p>
      <w:pPr>
        <w:pStyle w:val="Subsection"/>
        <w:keepNext/>
      </w:pPr>
      <w:r>
        <w:tab/>
        <w:t>(1)</w:t>
      </w:r>
      <w:r>
        <w:tab/>
        <w:t>If a centre</w:t>
      </w:r>
      <w:r>
        <w:noBreakHyphen/>
        <w:t xml:space="preserve">based service provides education and care to 60 or more but not more than 80 children preschool age or under on a given day — </w:t>
      </w:r>
    </w:p>
    <w:p>
      <w:pPr>
        <w:pStyle w:val="Indenta"/>
        <w:keepNext/>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183" w:name="_Toc95123018"/>
      <w:r>
        <w:rPr>
          <w:rStyle w:val="CharSectno"/>
        </w:rPr>
        <w:t>134</w:t>
      </w:r>
      <w:r>
        <w:t>.</w:t>
      </w:r>
      <w:r>
        <w:tab/>
        <w:t>Requirement for early childhood teacher — centre</w:t>
      </w:r>
      <w:r>
        <w:noBreakHyphen/>
        <w:t>based services — more than 80 children</w:t>
      </w:r>
      <w:bookmarkEnd w:id="183"/>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184" w:name="_Toc95123019"/>
      <w:r>
        <w:rPr>
          <w:rStyle w:val="CharSectno"/>
        </w:rPr>
        <w:t>135</w:t>
      </w:r>
      <w:r>
        <w:t>.</w:t>
      </w:r>
      <w:r>
        <w:tab/>
        <w:t>Illness or absence of early childhood teacher or suitably qualified person</w:t>
      </w:r>
      <w:bookmarkEnd w:id="184"/>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based service because of short</w:t>
      </w:r>
      <w:r>
        <w:noBreakHyphen/>
        <w:t xml:space="preserve">term illness or leave, the 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pPr>
      <w:r>
        <w:lastRenderedPageBreak/>
        <w:tab/>
        <w:t>(2)</w:t>
      </w:r>
      <w:r>
        <w:tab/>
        <w:t>If a second early childhood teacher or a suitably qualified person who is required under regulation 133(1)(b) or 134(1)(b) to be in attendance at a centre</w:t>
      </w:r>
      <w:r>
        <w:noBreakHyphen/>
        <w:t>based service is absent from the centre</w:t>
      </w:r>
      <w:r>
        <w:noBreakHyphen/>
        <w:t>based service because of short</w:t>
      </w:r>
      <w:r>
        <w:noBreakHyphen/>
        <w:t xml:space="preserve">term illness or leave,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time second early childhood teacher or part</w:t>
      </w:r>
      <w:r>
        <w:noBreakHyphen/>
        <w:t>time suitably qualified person (as the case requires), 60 days is to be calculated on a pro rata basis.</w:t>
      </w:r>
    </w:p>
    <w:p>
      <w:pPr>
        <w:pStyle w:val="Footnotesection"/>
      </w:pPr>
      <w:r>
        <w:tab/>
        <w:t>[Regulation 135 inserted: Gazette 24 Dec 2019 p. 4424</w:t>
      </w:r>
      <w:r>
        <w:noBreakHyphen/>
        <w:t>5.]</w:t>
      </w:r>
    </w:p>
    <w:p>
      <w:pPr>
        <w:pStyle w:val="Heading4"/>
      </w:pPr>
      <w:bookmarkStart w:id="185" w:name="_Toc95123020"/>
      <w:r>
        <w:t>Division 6 — First aid qualifications</w:t>
      </w:r>
      <w:bookmarkEnd w:id="185"/>
    </w:p>
    <w:p>
      <w:pPr>
        <w:pStyle w:val="Heading5"/>
      </w:pPr>
      <w:bookmarkStart w:id="186" w:name="_Toc95123021"/>
      <w:r>
        <w:rPr>
          <w:rStyle w:val="CharSectno"/>
        </w:rPr>
        <w:t>136</w:t>
      </w:r>
      <w:r>
        <w:t>.</w:t>
      </w:r>
      <w:r>
        <w:tab/>
        <w:t>First aid qualifications</w:t>
      </w:r>
      <w:bookmarkEnd w:id="186"/>
      <w:r>
        <w:t xml:space="preserve"> </w:t>
      </w:r>
    </w:p>
    <w:p>
      <w:pPr>
        <w:pStyle w:val="Subsection"/>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lastRenderedPageBreak/>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lastRenderedPageBreak/>
        <w:tab/>
        <w:t>(4)</w:t>
      </w:r>
      <w:r>
        <w:tab/>
        <w:t>The same person may hold one or more of the qualifications set out in subregulation (1).</w:t>
      </w:r>
    </w:p>
    <w:p>
      <w:pPr>
        <w:pStyle w:val="Subsection"/>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w:t>
      </w:r>
    </w:p>
    <w:p>
      <w:pPr>
        <w:pStyle w:val="Heading4"/>
      </w:pPr>
      <w:bookmarkStart w:id="187" w:name="_Toc95123022"/>
      <w:r>
        <w:lastRenderedPageBreak/>
        <w:t>Division 7 — Approval and determination of qualifications</w:t>
      </w:r>
      <w:bookmarkEnd w:id="187"/>
    </w:p>
    <w:p>
      <w:pPr>
        <w:pStyle w:val="Heading5"/>
      </w:pPr>
      <w:bookmarkStart w:id="188" w:name="_Toc95123023"/>
      <w:r>
        <w:rPr>
          <w:rStyle w:val="CharSectno"/>
        </w:rPr>
        <w:t>137</w:t>
      </w:r>
      <w:r>
        <w:t>.</w:t>
      </w:r>
      <w:r>
        <w:tab/>
        <w:t>Approval of qualifications</w:t>
      </w:r>
      <w:bookmarkEnd w:id="188"/>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pPr>
      <w:r>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pPr>
      <w:r>
        <w:tab/>
        <w:t>(ii)</w:t>
      </w:r>
      <w:r>
        <w:tab/>
        <w:t xml:space="preserve">certificate III level education and care qualifications; </w:t>
      </w:r>
    </w:p>
    <w:p>
      <w:pPr>
        <w:pStyle w:val="Indenta"/>
      </w:pPr>
      <w:r>
        <w:lastRenderedPageBreak/>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pPr>
      <w:r>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189" w:name="_Toc95123024"/>
      <w:r>
        <w:rPr>
          <w:rStyle w:val="CharSectno"/>
        </w:rPr>
        <w:t>138</w:t>
      </w:r>
      <w:r>
        <w:t>.</w:t>
      </w:r>
      <w:r>
        <w:tab/>
        <w:t>Application for qualification to be assessed for inclusion on the list of approved qualifications</w:t>
      </w:r>
      <w:bookmarkEnd w:id="189"/>
      <w:r>
        <w:t xml:space="preserve"> </w:t>
      </w:r>
    </w:p>
    <w:p>
      <w:pPr>
        <w:pStyle w:val="Subsection"/>
      </w:pPr>
      <w:r>
        <w:tab/>
        <w:t>(1)</w:t>
      </w:r>
      <w:r>
        <w:tab/>
        <w:t>A person may apply to the National Authority to assess a qualification for the purpose of approving that qualification under the Law.</w:t>
      </w:r>
    </w:p>
    <w:p>
      <w:pPr>
        <w:pStyle w:val="Subsection"/>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set out in Schedule 2.</w:t>
      </w:r>
    </w:p>
    <w:p>
      <w:pPr>
        <w:pStyle w:val="Heading5"/>
      </w:pPr>
      <w:bookmarkStart w:id="190" w:name="_Toc95123025"/>
      <w:r>
        <w:rPr>
          <w:rStyle w:val="CharSectno"/>
        </w:rPr>
        <w:lastRenderedPageBreak/>
        <w:t>139</w:t>
      </w:r>
      <w:r>
        <w:t>.</w:t>
      </w:r>
      <w:r>
        <w:tab/>
        <w:t>Application for determination of equivalent qualification</w:t>
      </w:r>
      <w:bookmarkEnd w:id="190"/>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set out in Schedule 2.</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w:t>
      </w:r>
    </w:p>
    <w:p>
      <w:pPr>
        <w:pStyle w:val="Heading5"/>
      </w:pPr>
      <w:bookmarkStart w:id="191" w:name="_Toc95123026"/>
      <w:r>
        <w:rPr>
          <w:rStyle w:val="CharSectno"/>
        </w:rPr>
        <w:t>140</w:t>
      </w:r>
      <w:r>
        <w:t>.</w:t>
      </w:r>
      <w:r>
        <w:tab/>
        <w:t>Application for determination of an equivalent qualification</w:t>
      </w:r>
      <w:bookmarkEnd w:id="191"/>
      <w:r>
        <w:t xml:space="preserve"> </w:t>
      </w:r>
    </w:p>
    <w:p>
      <w:pPr>
        <w:pStyle w:val="Subsection"/>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lastRenderedPageBreak/>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lastRenderedPageBreak/>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tab/>
        <w:t>(v)</w:t>
      </w:r>
      <w:r>
        <w:tab/>
        <w:t>the year the placement was completed;</w:t>
      </w:r>
    </w:p>
    <w:p>
      <w:pPr>
        <w:pStyle w:val="Indenti"/>
        <w:spacing w:before="50"/>
      </w:pPr>
      <w:r>
        <w:tab/>
        <w:t>(vi)</w:t>
      </w:r>
      <w:r>
        <w:tab/>
        <w:t>evidence of the successful completion of the placement;</w:t>
      </w:r>
    </w:p>
    <w:p>
      <w:pPr>
        <w:pStyle w:val="Indenta"/>
        <w:spacing w:before="50"/>
      </w:pPr>
      <w:r>
        <w:tab/>
        <w:t>(j)</w:t>
      </w:r>
      <w:r>
        <w:tab/>
        <w:t xml:space="preserve">a summary of the applicant’s education, other than the qualification that is to be determined, including — </w:t>
      </w:r>
    </w:p>
    <w:p>
      <w:pPr>
        <w:pStyle w:val="Indenti"/>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spacing w:before="60"/>
      </w:pPr>
      <w:r>
        <w:tab/>
        <w:t>(C)</w:t>
      </w:r>
      <w:r>
        <w:tab/>
        <w:t>any relevant vocational schooling;</w:t>
      </w:r>
    </w:p>
    <w:p>
      <w:pPr>
        <w:pStyle w:val="Indenti"/>
        <w:spacing w:before="60"/>
      </w:pPr>
      <w:r>
        <w:tab/>
      </w:r>
      <w:r>
        <w:tab/>
        <w:t>and</w:t>
      </w:r>
    </w:p>
    <w:p>
      <w:pPr>
        <w:pStyle w:val="Indenti"/>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192" w:name="_Toc95123027"/>
      <w:r>
        <w:rPr>
          <w:rStyle w:val="CharSectno"/>
        </w:rPr>
        <w:lastRenderedPageBreak/>
        <w:t>141</w:t>
      </w:r>
      <w:r>
        <w:t>.</w:t>
      </w:r>
      <w:r>
        <w:tab/>
        <w:t>Additional information for application for determination of equivalent qualification</w:t>
      </w:r>
      <w:bookmarkEnd w:id="192"/>
      <w:r>
        <w:t xml:space="preserve"> </w:t>
      </w:r>
    </w:p>
    <w:p>
      <w:pPr>
        <w:pStyle w:val="Subsection"/>
      </w:pPr>
      <w:r>
        <w:tab/>
        <w:t>(1)</w:t>
      </w:r>
      <w:r>
        <w:tab/>
        <w:t xml:space="preserve">The following documents must also be provided with an application for determination of an equivalent qualification — </w:t>
      </w:r>
    </w:p>
    <w:p>
      <w:pPr>
        <w:pStyle w:val="Indenta"/>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lastRenderedPageBreak/>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193" w:name="_Toc95123028"/>
      <w:r>
        <w:rPr>
          <w:rStyle w:val="CharSectno"/>
        </w:rPr>
        <w:t>142</w:t>
      </w:r>
      <w:r>
        <w:t>.</w:t>
      </w:r>
      <w:r>
        <w:tab/>
        <w:t>Translations of documents</w:t>
      </w:r>
      <w:bookmarkEnd w:id="193"/>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194" w:name="_Toc95123029"/>
      <w:r>
        <w:rPr>
          <w:rStyle w:val="CharSectno"/>
        </w:rPr>
        <w:t>143</w:t>
      </w:r>
      <w:r>
        <w:t>.</w:t>
      </w:r>
      <w:r>
        <w:tab/>
        <w:t>Certification of documents</w:t>
      </w:r>
      <w:bookmarkEnd w:id="194"/>
      <w:r>
        <w:t xml:space="preserve"> </w:t>
      </w:r>
    </w:p>
    <w:p>
      <w:pPr>
        <w:pStyle w:val="Subsection"/>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3"/>
      </w:pPr>
      <w:bookmarkStart w:id="195" w:name="_Toc95123030"/>
      <w:r>
        <w:lastRenderedPageBreak/>
        <w:t>Division 7A — Minimum requirements for a family day care educator</w:t>
      </w:r>
      <w:bookmarkEnd w:id="195"/>
    </w:p>
    <w:p>
      <w:pPr>
        <w:pStyle w:val="Footnoteheading"/>
      </w:pPr>
      <w:r>
        <w:tab/>
        <w:t>[Heading inserted: Gazette 28 Sep 2018 p. 3627.]</w:t>
      </w:r>
    </w:p>
    <w:p>
      <w:pPr>
        <w:pStyle w:val="Heading5"/>
      </w:pPr>
      <w:bookmarkStart w:id="196" w:name="_Toc95123031"/>
      <w:r>
        <w:rPr>
          <w:rStyle w:val="CharSectno"/>
        </w:rPr>
        <w:t>143A</w:t>
      </w:r>
      <w:r>
        <w:t>.</w:t>
      </w:r>
      <w:r>
        <w:tab/>
        <w:t>Minimum requirements for a family day care educator</w:t>
      </w:r>
      <w:bookmarkEnd w:id="196"/>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pPr>
      <w:r>
        <w:tab/>
        <w:t>(2)</w:t>
      </w:r>
      <w:r>
        <w:tab/>
        <w:t xml:space="preserve">For the purposes of subregulation (1)(a),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lastRenderedPageBreak/>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197" w:name="_Toc95123032"/>
      <w:r>
        <w:rPr>
          <w:rStyle w:val="CharSectno"/>
        </w:rPr>
        <w:t>143B</w:t>
      </w:r>
      <w:r>
        <w:t>.</w:t>
      </w:r>
      <w:r>
        <w:tab/>
        <w:t>Ongoing management of family day care educators</w:t>
      </w:r>
      <w:bookmarkEnd w:id="197"/>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tab/>
        <w:t>(b)</w:t>
      </w:r>
      <w:r>
        <w:tab/>
        <w:t>any serious incident that occurs while a child is being educated and cared for by a family day care educator as part of the service is adequately addressed; and</w:t>
      </w:r>
    </w:p>
    <w:p>
      <w:pPr>
        <w:pStyle w:val="Indenta"/>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pPr>
      <w:r>
        <w:tab/>
        <w:t>Penalty: $2 000.</w:t>
      </w:r>
    </w:p>
    <w:p>
      <w:pPr>
        <w:pStyle w:val="Footnotesection"/>
      </w:pPr>
      <w:r>
        <w:tab/>
        <w:t>[Regulation 143B inserted: Gazette 28 Sep 2018 p. 3628</w:t>
      </w:r>
      <w:r>
        <w:noBreakHyphen/>
        <w:t>9.]</w:t>
      </w:r>
    </w:p>
    <w:p>
      <w:pPr>
        <w:pStyle w:val="Heading4"/>
      </w:pPr>
      <w:bookmarkStart w:id="198" w:name="_Toc95123033"/>
      <w:r>
        <w:t>Division 8 — Family day care educator assistant</w:t>
      </w:r>
      <w:bookmarkEnd w:id="198"/>
    </w:p>
    <w:p>
      <w:pPr>
        <w:pStyle w:val="Heading5"/>
      </w:pPr>
      <w:bookmarkStart w:id="199" w:name="_Toc95123034"/>
      <w:r>
        <w:rPr>
          <w:rStyle w:val="CharSectno"/>
        </w:rPr>
        <w:t>144</w:t>
      </w:r>
      <w:r>
        <w:t>.</w:t>
      </w:r>
      <w:r>
        <w:tab/>
        <w:t>Family day care educator assistant</w:t>
      </w:r>
      <w:bookmarkEnd w:id="199"/>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lastRenderedPageBreak/>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pPr>
      <w:r>
        <w:tab/>
        <w:t>(4)</w:t>
      </w:r>
      <w:r>
        <w:tab/>
        <w:t xml:space="preserve">An approved family day care educator assistant may assist the family day care educator — </w:t>
      </w:r>
    </w:p>
    <w:p>
      <w:pPr>
        <w:pStyle w:val="Indenta"/>
      </w:pPr>
      <w:r>
        <w:tab/>
        <w:t>(a)</w:t>
      </w:r>
      <w:r>
        <w:tab/>
        <w:t xml:space="preserve">in the absence of the family day care educator, to transport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lastRenderedPageBreak/>
        <w:tab/>
        <w:t>(d)</w:t>
      </w:r>
      <w:r>
        <w:tab/>
        <w:t>while the educator is educating and caring for children as part of the family day care service.</w:t>
      </w:r>
    </w:p>
    <w:p>
      <w:pPr>
        <w:pStyle w:val="Footnotesection"/>
      </w:pPr>
      <w:r>
        <w:tab/>
        <w:t>[Regulation 144 inserted: Gazette 28 Sep 2018 p. 3629</w:t>
      </w:r>
      <w:r>
        <w:noBreakHyphen/>
        <w:t>30.]</w:t>
      </w:r>
    </w:p>
    <w:p>
      <w:pPr>
        <w:pStyle w:val="Heading4"/>
        <w:spacing w:before="220"/>
      </w:pPr>
      <w:bookmarkStart w:id="200" w:name="_Toc95123035"/>
      <w:r>
        <w:t>Division 9 — Staff and educator records — centre</w:t>
      </w:r>
      <w:r>
        <w:noBreakHyphen/>
        <w:t>based services</w:t>
      </w:r>
      <w:bookmarkEnd w:id="200"/>
    </w:p>
    <w:p>
      <w:pPr>
        <w:pStyle w:val="Heading5"/>
        <w:spacing w:before="180"/>
      </w:pPr>
      <w:bookmarkStart w:id="201" w:name="_Toc95123036"/>
      <w:r>
        <w:rPr>
          <w:rStyle w:val="CharSectno"/>
        </w:rPr>
        <w:t>145</w:t>
      </w:r>
      <w:r>
        <w:t>.</w:t>
      </w:r>
      <w:r>
        <w:tab/>
        <w:t>Staff record</w:t>
      </w:r>
      <w:bookmarkEnd w:id="201"/>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202" w:name="_Toc95123037"/>
      <w:r>
        <w:rPr>
          <w:rStyle w:val="CharSectno"/>
        </w:rPr>
        <w:t>146</w:t>
      </w:r>
      <w:r>
        <w:t>.</w:t>
      </w:r>
      <w:r>
        <w:tab/>
        <w:t>Nominated supervisor</w:t>
      </w:r>
      <w:bookmarkEnd w:id="202"/>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lastRenderedPageBreak/>
        <w:tab/>
        <w:t>(c)</w:t>
      </w:r>
      <w:r>
        <w:tab/>
        <w:t>evidence of any approved training (including first aid training) completed by the nominated supervisor;</w:t>
      </w:r>
    </w:p>
    <w:p>
      <w:pPr>
        <w:pStyle w:val="Indenta"/>
      </w:pPr>
      <w:r>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203" w:name="_Toc95123038"/>
      <w:r>
        <w:rPr>
          <w:rStyle w:val="CharSectno"/>
        </w:rPr>
        <w:t>147</w:t>
      </w:r>
      <w:r>
        <w:t>.</w:t>
      </w:r>
      <w:r>
        <w:tab/>
        <w:t>Staff members</w:t>
      </w:r>
      <w:bookmarkEnd w:id="203"/>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204" w:name="_Toc95123039"/>
      <w:r>
        <w:rPr>
          <w:rStyle w:val="CharSectno"/>
        </w:rPr>
        <w:t>148</w:t>
      </w:r>
      <w:r>
        <w:t>.</w:t>
      </w:r>
      <w:r>
        <w:tab/>
        <w:t>Educational leader</w:t>
      </w:r>
      <w:bookmarkEnd w:id="204"/>
      <w:r>
        <w:t xml:space="preserve"> </w:t>
      </w:r>
    </w:p>
    <w:p>
      <w:pPr>
        <w:pStyle w:val="Subsection"/>
      </w:pPr>
      <w:r>
        <w:tab/>
      </w:r>
      <w:r>
        <w:tab/>
        <w:t>The staff record must include the name of the person designated as the educational leader in accordance with regulation 118.</w:t>
      </w:r>
    </w:p>
    <w:p>
      <w:pPr>
        <w:pStyle w:val="Heading5"/>
      </w:pPr>
      <w:bookmarkStart w:id="205" w:name="_Toc95123040"/>
      <w:r>
        <w:rPr>
          <w:rStyle w:val="CharSectno"/>
        </w:rPr>
        <w:t>149</w:t>
      </w:r>
      <w:r>
        <w:t>.</w:t>
      </w:r>
      <w:r>
        <w:tab/>
        <w:t>Volunteers and students</w:t>
      </w:r>
      <w:bookmarkEnd w:id="205"/>
      <w:r>
        <w:t xml:space="preserve"> </w:t>
      </w:r>
    </w:p>
    <w:p>
      <w:pPr>
        <w:pStyle w:val="Subsection"/>
      </w:pPr>
      <w:r>
        <w:tab/>
        <w:t>(1)</w:t>
      </w:r>
      <w:r>
        <w:tab/>
        <w:t>The staff record must include the full name, address and date of birth of each student or volunteer who participates in the centre</w:t>
      </w:r>
      <w:r>
        <w:noBreakHyphen/>
        <w:t>based service.</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Heading5"/>
      </w:pPr>
      <w:bookmarkStart w:id="206" w:name="_Toc95123041"/>
      <w:r>
        <w:rPr>
          <w:rStyle w:val="CharSectno"/>
        </w:rPr>
        <w:lastRenderedPageBreak/>
        <w:t>150</w:t>
      </w:r>
      <w:r>
        <w:t>.</w:t>
      </w:r>
      <w:r>
        <w:tab/>
        <w:t>Responsible person</w:t>
      </w:r>
      <w:bookmarkEnd w:id="206"/>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207" w:name="_Toc95123042"/>
      <w:r>
        <w:rPr>
          <w:rStyle w:val="CharSectno"/>
        </w:rPr>
        <w:t>151</w:t>
      </w:r>
      <w:r>
        <w:t>.</w:t>
      </w:r>
      <w:r>
        <w:tab/>
        <w:t>Record of educators working directly with children</w:t>
      </w:r>
      <w:bookmarkEnd w:id="207"/>
      <w:r>
        <w:t xml:space="preserve"> </w:t>
      </w:r>
    </w:p>
    <w:p>
      <w:pPr>
        <w:pStyle w:val="Subsection"/>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208" w:name="_Toc95123043"/>
      <w:r>
        <w:rPr>
          <w:rStyle w:val="CharSectno"/>
        </w:rPr>
        <w:t>152</w:t>
      </w:r>
      <w:r>
        <w:t>.</w:t>
      </w:r>
      <w:r>
        <w:tab/>
        <w:t>Record of access to early childhood teachers</w:t>
      </w:r>
      <w:bookmarkEnd w:id="208"/>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 xml:space="preserve">based service that provides education and care to 60 or more children preschool age or </w:t>
      </w:r>
      <w:r>
        <w:lastRenderedPageBreak/>
        <w:t>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4"/>
      </w:pPr>
      <w:bookmarkStart w:id="209" w:name="_Toc95123044"/>
      <w:r>
        <w:t>Division 10 — Register of family day care educators, co</w:t>
      </w:r>
      <w:r>
        <w:noBreakHyphen/>
        <w:t>ordinators and assistants and records of family day care service</w:t>
      </w:r>
      <w:bookmarkEnd w:id="209"/>
    </w:p>
    <w:p>
      <w:pPr>
        <w:pStyle w:val="Footnoteheading"/>
      </w:pPr>
      <w:r>
        <w:tab/>
        <w:t>[Heading amended: Gazette 28 Sep 2018 p. 3632.]</w:t>
      </w:r>
    </w:p>
    <w:p>
      <w:pPr>
        <w:pStyle w:val="Heading5"/>
      </w:pPr>
      <w:bookmarkStart w:id="210" w:name="_Toc95123045"/>
      <w:r>
        <w:rPr>
          <w:rStyle w:val="CharSectno"/>
        </w:rPr>
        <w:t>153</w:t>
      </w:r>
      <w:r>
        <w:t>.</w:t>
      </w:r>
      <w:r>
        <w:tab/>
        <w:t>Register of family day care educators, co-ordinators and educator assistants</w:t>
      </w:r>
      <w:bookmarkEnd w:id="210"/>
    </w:p>
    <w:p>
      <w:pPr>
        <w:pStyle w:val="Subsection"/>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lastRenderedPageBreak/>
        <w:tab/>
        <w:t>(i)</w:t>
      </w:r>
      <w:r>
        <w:tab/>
        <w:t xml:space="preserve">evidence — </w:t>
      </w:r>
    </w:p>
    <w:p>
      <w:pPr>
        <w:pStyle w:val="Indenti"/>
      </w:pPr>
      <w:r>
        <w:tab/>
        <w:t>(i)</w:t>
      </w:r>
      <w:r>
        <w:tab/>
        <w:t>of any relevant qualifications held by the educator; or</w:t>
      </w:r>
    </w:p>
    <w:p>
      <w:pPr>
        <w:pStyle w:val="Indenti"/>
      </w:pPr>
      <w:r>
        <w:tab/>
        <w:t>(ii)</w:t>
      </w:r>
      <w:r>
        <w:tab/>
        <w:t>if applicable, that the educator is actively working towards that qualification as provided under regulation 10;</w:t>
      </w:r>
    </w:p>
    <w:p>
      <w:pPr>
        <w:pStyle w:val="Indenta"/>
      </w:pPr>
      <w:r>
        <w:tab/>
        <w:t>(j)</w:t>
      </w:r>
      <w:r>
        <w:tab/>
        <w:t xml:space="preserve">evidence that the educator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 xml:space="preserve">in relation to a check or registration referred to in paragraph (l), the date that the check or registration was </w:t>
      </w:r>
      <w:r>
        <w:lastRenderedPageBreak/>
        <w:t>sighted by the approved provider or a nominated supervisor of the service;</w:t>
      </w:r>
    </w:p>
    <w:p>
      <w:pPr>
        <w:pStyle w:val="Indenta"/>
      </w:pPr>
      <w:r>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the identifying number of the current working with children check, current working with children card, current working with vulnerable people check or criminal history record check or current teacher registration of each person 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 xml:space="preserve">ordinator to the family day care  residence or </w:t>
      </w:r>
      <w:r>
        <w:lastRenderedPageBreak/>
        <w:t>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evidence that the co</w:t>
      </w:r>
      <w:r>
        <w:noBreakHyphen/>
        <w:t xml:space="preserve">ordinator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lastRenderedPageBreak/>
        <w:tab/>
        <w:t>(iii)</w:t>
      </w:r>
      <w:r>
        <w:tab/>
        <w:t>current approved emergency asthma management training;</w:t>
      </w:r>
    </w:p>
    <w:p>
      <w:pPr>
        <w:pStyle w:val="Indenta"/>
      </w:pPr>
      <w:r>
        <w:tab/>
        <w:t>(h)</w:t>
      </w:r>
      <w:r>
        <w:tab/>
        <w:t>evidence of any other training completed by the co</w:t>
      </w:r>
      <w:r>
        <w:noBreakHyphen/>
        <w:t>ordinator;</w:t>
      </w:r>
    </w:p>
    <w:p>
      <w:pPr>
        <w:pStyle w:val="Indenta"/>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lastRenderedPageBreak/>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 xml:space="preserve">evidence that the educator assistant has completed — </w:t>
      </w:r>
    </w:p>
    <w:p>
      <w:pPr>
        <w:pStyle w:val="Indenti"/>
      </w:pPr>
      <w:r>
        <w:tab/>
        <w:t>(i)</w:t>
      </w:r>
      <w:r>
        <w:tab/>
        <w:t>current approved first aid training; and</w:t>
      </w:r>
    </w:p>
    <w:p>
      <w:pPr>
        <w:pStyle w:val="Indenti"/>
      </w:pPr>
      <w:r>
        <w:tab/>
        <w:t>(ii)</w:t>
      </w:r>
      <w:r>
        <w:tab/>
        <w:t>current approved anaphylaxis management training; and</w:t>
      </w:r>
    </w:p>
    <w:p>
      <w:pPr>
        <w:pStyle w:val="Indenti"/>
      </w:pPr>
      <w:r>
        <w:tab/>
        <w:t>(iii)</w:t>
      </w:r>
      <w:r>
        <w:tab/>
        <w:t>current approved emergency asthma management training;</w:t>
      </w:r>
    </w:p>
    <w:p>
      <w:pPr>
        <w:pStyle w:val="Indenta"/>
      </w:pPr>
      <w:r>
        <w:tab/>
        <w:t>(j)</w:t>
      </w:r>
      <w:r>
        <w:tab/>
        <w:t>evidence of any other training completed by the educator assistant;</w:t>
      </w:r>
    </w:p>
    <w:p>
      <w:pPr>
        <w:pStyle w:val="Indenta"/>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 xml:space="preserve">except in the case of a service located in New South Wales, Queensland or Tasmania, if the </w:t>
      </w:r>
      <w:r>
        <w:lastRenderedPageBreak/>
        <w:t>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ordinator or a family day care educator assistant must be kept on the register until the end of 3 years after the date on which the family day care educator, the family day care co</w:t>
      </w:r>
      <w:r>
        <w:noBreakHyphen/>
        <w:t>ordinator or the family day care educator assistant ceased to be employed or engaged by or registered with the service.</w:t>
      </w:r>
    </w:p>
    <w:p>
      <w:pPr>
        <w:pStyle w:val="Footnotesection"/>
      </w:pPr>
      <w:r>
        <w:tab/>
        <w:t>[Regulation 153 amended: Gazette 28 Sep 2018 p. 3632</w:t>
      </w:r>
      <w:r>
        <w:noBreakHyphen/>
        <w:t>8.]</w:t>
      </w:r>
    </w:p>
    <w:p>
      <w:pPr>
        <w:pStyle w:val="Heading5"/>
      </w:pPr>
      <w:bookmarkStart w:id="211" w:name="_Toc95123046"/>
      <w:r>
        <w:rPr>
          <w:rStyle w:val="CharSectno"/>
        </w:rPr>
        <w:t>154</w:t>
      </w:r>
      <w:r>
        <w:t>.</w:t>
      </w:r>
      <w:r>
        <w:tab/>
        <w:t>Record of staff engaged or employed by family day care service</w:t>
      </w:r>
      <w:bookmarkEnd w:id="211"/>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lastRenderedPageBreak/>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pPr>
      <w:r>
        <w:tab/>
        <w:t>[(e)</w:t>
      </w:r>
      <w:r>
        <w:tab/>
        <w:t>deleted]</w:t>
      </w:r>
    </w:p>
    <w:p>
      <w:pPr>
        <w:pStyle w:val="Footnotesection"/>
      </w:pPr>
      <w:r>
        <w:tab/>
        <w:t>[Regulation 154 amended: Gazette 28 Sep 2018 p. 3638</w:t>
      </w:r>
      <w:r>
        <w:noBreakHyphen/>
        <w:t>9.]</w:t>
      </w:r>
    </w:p>
    <w:p>
      <w:pPr>
        <w:pStyle w:val="Heading3"/>
      </w:pPr>
      <w:bookmarkStart w:id="212" w:name="_Toc95123047"/>
      <w:r>
        <w:rPr>
          <w:rStyle w:val="CharDivNo"/>
        </w:rPr>
        <w:t>Part 4.5</w:t>
      </w:r>
      <w:r>
        <w:t> — </w:t>
      </w:r>
      <w:r>
        <w:rPr>
          <w:rStyle w:val="CharDivText"/>
        </w:rPr>
        <w:t>Relationships with children</w:t>
      </w:r>
      <w:bookmarkEnd w:id="212"/>
    </w:p>
    <w:p>
      <w:pPr>
        <w:pStyle w:val="Heading5"/>
      </w:pPr>
      <w:bookmarkStart w:id="213" w:name="_Toc95123048"/>
      <w:r>
        <w:rPr>
          <w:rStyle w:val="CharSectno"/>
        </w:rPr>
        <w:t>155</w:t>
      </w:r>
      <w:r>
        <w:t>.</w:t>
      </w:r>
      <w:r>
        <w:tab/>
        <w:t>Interactions with children</w:t>
      </w:r>
      <w:bookmarkEnd w:id="213"/>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214" w:name="_Toc95123049"/>
      <w:r>
        <w:rPr>
          <w:rStyle w:val="CharSectno"/>
        </w:rPr>
        <w:t>156</w:t>
      </w:r>
      <w:r>
        <w:t>.</w:t>
      </w:r>
      <w:r>
        <w:tab/>
        <w:t>Relationships in groups</w:t>
      </w:r>
      <w:bookmarkEnd w:id="214"/>
      <w:r>
        <w:t xml:space="preserve"> </w:t>
      </w:r>
    </w:p>
    <w:p>
      <w:pPr>
        <w:pStyle w:val="Subsection"/>
      </w:pPr>
      <w:r>
        <w:tab/>
        <w:t>(1)</w:t>
      </w:r>
      <w:r>
        <w:tab/>
        <w:t xml:space="preserve">The approved provider of an education and care service must take reasonable steps to ensure that the service provides children being educated and cared for by the service with opportunities to interact and develop respectful and positive relationships with </w:t>
      </w:r>
      <w:r>
        <w:lastRenderedPageBreak/>
        <w:t>each other and with staff members of, and volunteers at, the service.</w:t>
      </w:r>
    </w:p>
    <w:p>
      <w:pPr>
        <w:pStyle w:val="Subsection"/>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215" w:name="_Toc95123050"/>
      <w:r>
        <w:rPr>
          <w:rStyle w:val="CharDivNo"/>
        </w:rPr>
        <w:t>Part 4.6</w:t>
      </w:r>
      <w:r>
        <w:t> — </w:t>
      </w:r>
      <w:r>
        <w:rPr>
          <w:rStyle w:val="CharDivText"/>
        </w:rPr>
        <w:t>Collaborative partnerships with families and communities</w:t>
      </w:r>
      <w:bookmarkEnd w:id="215"/>
    </w:p>
    <w:p>
      <w:pPr>
        <w:pStyle w:val="Heading5"/>
      </w:pPr>
      <w:bookmarkStart w:id="216" w:name="_Toc95123051"/>
      <w:r>
        <w:rPr>
          <w:rStyle w:val="CharSectno"/>
        </w:rPr>
        <w:t>157</w:t>
      </w:r>
      <w:r>
        <w:t>.</w:t>
      </w:r>
      <w:r>
        <w:tab/>
        <w:t>Access for parents</w:t>
      </w:r>
      <w:bookmarkEnd w:id="216"/>
      <w:r>
        <w:t xml:space="preserve"> </w:t>
      </w:r>
    </w:p>
    <w:p>
      <w:pPr>
        <w:pStyle w:val="Subsection"/>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$1000.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$1000.</w:t>
      </w:r>
    </w:p>
    <w:p>
      <w:pPr>
        <w:pStyle w:val="Subsection"/>
        <w:spacing w:before="140"/>
      </w:pPr>
      <w:r>
        <w:tab/>
        <w:t>(4)</w:t>
      </w:r>
      <w:r>
        <w:tab/>
        <w:t xml:space="preserve">Despite subregulations (1) to (3), the approved provider, nominated supervisor or family day care educator is not required </w:t>
      </w:r>
      <w:r>
        <w:lastRenderedPageBreak/>
        <w:t xml:space="preserve">to allow a parent to enter the education and care service premises if — </w:t>
      </w:r>
    </w:p>
    <w:p>
      <w:pPr>
        <w:pStyle w:val="Indenta"/>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spacing w:before="60"/>
      </w:pPr>
      <w:r>
        <w:tab/>
        <w:t>(ii)</w:t>
      </w:r>
      <w:r>
        <w:tab/>
        <w:t>conflict with any duty of the provider, supervisor or educator under the Law;</w:t>
      </w:r>
    </w:p>
    <w:p>
      <w:pPr>
        <w:pStyle w:val="Indenta"/>
        <w:spacing w:before="60"/>
      </w:pPr>
      <w:r>
        <w:tab/>
      </w:r>
      <w:r>
        <w:tab/>
        <w:t>or</w:t>
      </w:r>
    </w:p>
    <w:p>
      <w:pPr>
        <w:pStyle w:val="Indenta"/>
      </w:pPr>
      <w:r>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w:t>
      </w:r>
    </w:p>
    <w:p>
      <w:pPr>
        <w:pStyle w:val="Heading3"/>
      </w:pPr>
      <w:bookmarkStart w:id="217" w:name="_Toc95123052"/>
      <w:r>
        <w:rPr>
          <w:rStyle w:val="CharDivNo"/>
        </w:rPr>
        <w:t>Part 4.7</w:t>
      </w:r>
      <w:r>
        <w:t> — </w:t>
      </w:r>
      <w:r>
        <w:rPr>
          <w:rStyle w:val="CharDivText"/>
        </w:rPr>
        <w:t>Governance and leadership</w:t>
      </w:r>
      <w:bookmarkEnd w:id="217"/>
    </w:p>
    <w:p>
      <w:pPr>
        <w:pStyle w:val="Footnoteheading"/>
      </w:pPr>
      <w:r>
        <w:tab/>
        <w:t>[Heading inserted: Gazette 26 Jun 2018 p. 2359.]</w:t>
      </w:r>
    </w:p>
    <w:p>
      <w:pPr>
        <w:pStyle w:val="Heading4"/>
        <w:spacing w:before="200"/>
      </w:pPr>
      <w:bookmarkStart w:id="218" w:name="_Toc95123053"/>
      <w:r>
        <w:t>Division 1 — Management of services</w:t>
      </w:r>
      <w:bookmarkEnd w:id="218"/>
    </w:p>
    <w:p>
      <w:pPr>
        <w:pStyle w:val="MiscellaneousHeading"/>
        <w:spacing w:before="200"/>
        <w:rPr>
          <w:b/>
        </w:rPr>
      </w:pPr>
      <w:r>
        <w:rPr>
          <w:b/>
        </w:rPr>
        <w:t>Subdivision 1 — Attendance and enrolment records</w:t>
      </w:r>
    </w:p>
    <w:p>
      <w:pPr>
        <w:pStyle w:val="Heading5"/>
        <w:spacing w:before="180"/>
      </w:pPr>
      <w:bookmarkStart w:id="219" w:name="_Toc95123054"/>
      <w:r>
        <w:rPr>
          <w:rStyle w:val="CharSectno"/>
        </w:rPr>
        <w:t>158</w:t>
      </w:r>
      <w:r>
        <w:t>.</w:t>
      </w:r>
      <w:r>
        <w:tab/>
        <w:t>Children’s attendance record to be kept by approved provider</w:t>
      </w:r>
      <w:bookmarkEnd w:id="219"/>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lastRenderedPageBreak/>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spacing w:before="120"/>
      </w:pPr>
      <w:r>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220" w:name="_Toc95123055"/>
      <w:r>
        <w:rPr>
          <w:rStyle w:val="CharSectno"/>
        </w:rPr>
        <w:t>159</w:t>
      </w:r>
      <w:r>
        <w:t>.</w:t>
      </w:r>
      <w:r>
        <w:tab/>
        <w:t>Children’s attendance record to be kept by family day care educator</w:t>
      </w:r>
      <w:bookmarkEnd w:id="220"/>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221" w:name="_Toc95123056"/>
      <w:r>
        <w:rPr>
          <w:rStyle w:val="CharSectno"/>
        </w:rPr>
        <w:lastRenderedPageBreak/>
        <w:t>160</w:t>
      </w:r>
      <w:r>
        <w:t>.</w:t>
      </w:r>
      <w:r>
        <w:tab/>
        <w:t>Child enrolment records to be kept by approved provider and family day care educator</w:t>
      </w:r>
      <w:bookmarkEnd w:id="221"/>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pPr>
      <w:r>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 xml:space="preserve">details of any court orders, parenting orders or parenting plans provided to the approved provider relating to </w:t>
      </w:r>
      <w:r>
        <w:lastRenderedPageBreak/>
        <w:t>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222" w:name="_Toc95123057"/>
      <w:r>
        <w:rPr>
          <w:rStyle w:val="CharSectno"/>
        </w:rPr>
        <w:t>161</w:t>
      </w:r>
      <w:r>
        <w:t>.</w:t>
      </w:r>
      <w:r>
        <w:tab/>
        <w:t>Authorisations to be kept in enrolment record</w:t>
      </w:r>
      <w:bookmarkEnd w:id="222"/>
      <w:r>
        <w:t xml:space="preserve"> </w:t>
      </w:r>
    </w:p>
    <w:p>
      <w:pPr>
        <w:pStyle w:val="Subsection"/>
      </w:pPr>
      <w:r>
        <w:tab/>
        <w:t>(1)</w:t>
      </w:r>
      <w:r>
        <w:tab/>
        <w:t xml:space="preserve">The authorisations to be kept in the enrolment record for each child enrolled at an education and care service are — </w:t>
      </w:r>
    </w:p>
    <w:p>
      <w:pPr>
        <w:pStyle w:val="Indenta"/>
      </w:pPr>
      <w:r>
        <w:tab/>
        <w:t>(a)</w:t>
      </w:r>
      <w:r>
        <w:tab/>
        <w:t xml:space="preserve">an authorisation, signed by a parent or a person named in the enrolment record as authorised to consent to the </w:t>
      </w:r>
      <w:r>
        <w:lastRenderedPageBreak/>
        <w:t xml:space="preserve">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pPr>
      <w:r>
        <w:lastRenderedPageBreak/>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223" w:name="_Toc95123058"/>
      <w:r>
        <w:rPr>
          <w:rStyle w:val="CharSectno"/>
        </w:rPr>
        <w:t>162</w:t>
      </w:r>
      <w:r>
        <w:t>.</w:t>
      </w:r>
      <w:r>
        <w:tab/>
        <w:t>Health information to be kept in enrolment record</w:t>
      </w:r>
      <w:bookmarkEnd w:id="223"/>
      <w:r>
        <w:t xml:space="preserve"> </w:t>
      </w:r>
    </w:p>
    <w:p>
      <w:pPr>
        <w:pStyle w:val="Subsection"/>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tab/>
        <w:t>(b)</w:t>
      </w:r>
      <w:r>
        <w:tab/>
        <w:t>if available, the child’s Medicare number; and</w:t>
      </w:r>
    </w:p>
    <w:p>
      <w:pPr>
        <w:pStyle w:val="Indenta"/>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pPr>
      <w:r>
        <w:lastRenderedPageBreak/>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pPr>
      <w:r>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224" w:name="_Toc95123059"/>
      <w:r>
        <w:rPr>
          <w:rStyle w:val="CharSectno"/>
        </w:rPr>
        <w:t>163</w:t>
      </w:r>
      <w:r>
        <w:t>.</w:t>
      </w:r>
      <w:r>
        <w:tab/>
        <w:t>Residents at family day care residence and family day care educator assistants to be fit and proper persons</w:t>
      </w:r>
      <w:bookmarkEnd w:id="224"/>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pPr>
      <w:r>
        <w:lastRenderedPageBreak/>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pPr>
      <w:r>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spacing w:before="60"/>
      </w:pPr>
      <w:r>
        <w:tab/>
        <w:t>(b)</w:t>
      </w:r>
      <w:r>
        <w:tab/>
        <w:t xml:space="preserve">has applied for a working with children check or working with children card — </w:t>
      </w:r>
    </w:p>
    <w:p>
      <w:pPr>
        <w:pStyle w:val="Subsection"/>
        <w:spacing w:before="120"/>
      </w:pPr>
      <w:r>
        <w:tab/>
      </w:r>
      <w:r>
        <w:tab/>
        <w:t>the person is taken to hold the check or card until the application is determined.</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225" w:name="_Toc95123060"/>
      <w:r>
        <w:rPr>
          <w:rStyle w:val="CharSectno"/>
        </w:rPr>
        <w:lastRenderedPageBreak/>
        <w:t>164</w:t>
      </w:r>
      <w:r>
        <w:t>.</w:t>
      </w:r>
      <w:r>
        <w:tab/>
        <w:t>Requirement for notice of new persons at residence</w:t>
      </w:r>
      <w:bookmarkEnd w:id="225"/>
      <w:r>
        <w:t xml:space="preserve"> </w:t>
      </w:r>
    </w:p>
    <w:p>
      <w:pPr>
        <w:pStyle w:val="Subsection"/>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spacing w:before="60"/>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pPr>
      <w:r>
        <w:tab/>
        <w:t>(b)</w:t>
      </w:r>
      <w:r>
        <w:tab/>
        <w:t>any circumstance relating to a person who has previously been considered under regulation 163 in relation to the family day care residence that may affect whether the person is a fit and proper person to be in the company of children.</w:t>
      </w:r>
    </w:p>
    <w:p>
      <w:pPr>
        <w:pStyle w:val="Penstart"/>
      </w:pPr>
      <w:r>
        <w:tab/>
        <w:t>Penalty: $2 000.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164 amended: Gazette 28 Sep 2018 p. 3640</w:t>
      </w:r>
      <w:r>
        <w:noBreakHyphen/>
        <w:t>1.]</w:t>
      </w:r>
    </w:p>
    <w:p>
      <w:pPr>
        <w:pStyle w:val="Heading5"/>
      </w:pPr>
      <w:bookmarkStart w:id="226" w:name="_Toc95123061"/>
      <w:r>
        <w:rPr>
          <w:rStyle w:val="CharSectno"/>
        </w:rPr>
        <w:t>165</w:t>
      </w:r>
      <w:r>
        <w:t>.</w:t>
      </w:r>
      <w:r>
        <w:tab/>
        <w:t>Record of visitors</w:t>
      </w:r>
      <w:bookmarkEnd w:id="226"/>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pPr>
      <w:r>
        <w:lastRenderedPageBreak/>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227" w:name="_Toc95123062"/>
      <w:r>
        <w:rPr>
          <w:rStyle w:val="CharSectno"/>
        </w:rPr>
        <w:t>166</w:t>
      </w:r>
      <w:r>
        <w:t>.</w:t>
      </w:r>
      <w:r>
        <w:tab/>
        <w:t>Children not to be alone with visitors</w:t>
      </w:r>
      <w:bookmarkEnd w:id="227"/>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spacing w:before="240"/>
        <w:outlineLvl w:val="0"/>
        <w:rPr>
          <w:b/>
          <w:bCs/>
        </w:rPr>
      </w:pPr>
      <w:r>
        <w:rPr>
          <w:b/>
          <w:bCs/>
        </w:rPr>
        <w:t>Subdivision 3 — Record of service’s compliance</w:t>
      </w:r>
    </w:p>
    <w:p>
      <w:pPr>
        <w:pStyle w:val="Heading5"/>
      </w:pPr>
      <w:bookmarkStart w:id="228" w:name="_Toc95123063"/>
      <w:r>
        <w:rPr>
          <w:rStyle w:val="CharSectno"/>
        </w:rPr>
        <w:t>167</w:t>
      </w:r>
      <w:r>
        <w:t>.</w:t>
      </w:r>
      <w:r>
        <w:tab/>
        <w:t>Record of service’s compliance</w:t>
      </w:r>
      <w:bookmarkEnd w:id="228"/>
      <w:r>
        <w:t xml:space="preserve"> </w:t>
      </w:r>
    </w:p>
    <w:p>
      <w:pPr>
        <w:pStyle w:val="Subsection"/>
      </w:pPr>
      <w:r>
        <w:tab/>
        <w:t>(1)</w:t>
      </w:r>
      <w:r>
        <w:tab/>
        <w:t xml:space="preserve">Subject to subregulations (2) and (3), the record of the service’s compliance must include the following information — </w:t>
      </w:r>
    </w:p>
    <w:p>
      <w:pPr>
        <w:pStyle w:val="Indenta"/>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pPr>
      <w:r>
        <w:lastRenderedPageBreak/>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pPr>
      <w:r>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spacing w:before="280"/>
      </w:pPr>
      <w:bookmarkStart w:id="229" w:name="_Toc95123064"/>
      <w:r>
        <w:lastRenderedPageBreak/>
        <w:t>Division 2 — Policies and procedures</w:t>
      </w:r>
      <w:bookmarkEnd w:id="229"/>
    </w:p>
    <w:p>
      <w:pPr>
        <w:pStyle w:val="Heading5"/>
      </w:pPr>
      <w:bookmarkStart w:id="230" w:name="_Toc95123065"/>
      <w:r>
        <w:rPr>
          <w:rStyle w:val="CharSectno"/>
        </w:rPr>
        <w:t>168</w:t>
      </w:r>
      <w:r>
        <w:t>.</w:t>
      </w:r>
      <w:r>
        <w:tab/>
        <w:t>Education and care service must have policies and procedures</w:t>
      </w:r>
      <w:bookmarkEnd w:id="230"/>
      <w:r>
        <w:t xml:space="preserve"> </w:t>
      </w:r>
    </w:p>
    <w:p>
      <w:pPr>
        <w:pStyle w:val="Subsection"/>
      </w:pPr>
      <w:r>
        <w:tab/>
        <w:t>(1)</w:t>
      </w:r>
      <w:r>
        <w:tab/>
        <w:t>The approved provider of an education and care service must ensure that the service has in place policies and procedures in relation to the matters set out in subregulation (2).</w:t>
      </w:r>
    </w:p>
    <w:p>
      <w:pPr>
        <w:pStyle w:val="Penstart"/>
      </w:pPr>
      <w:r>
        <w:tab/>
        <w:t>Penalty: $1000.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pPr>
      <w:r>
        <w:tab/>
        <w:t>(2)</w:t>
      </w:r>
      <w:r>
        <w:tab/>
        <w:t xml:space="preserve">Policies and procedures are required in relation to the following — </w:t>
      </w:r>
    </w:p>
    <w:p>
      <w:pPr>
        <w:pStyle w:val="Indenta"/>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spacing w:before="100"/>
      </w:pPr>
      <w:r>
        <w:lastRenderedPageBreak/>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if the service transports or arranges transportation of children other than as part of excursions, transportation including procedures complying with Chapter 4 Part 4.2 Division 7;</w:t>
      </w:r>
    </w:p>
    <w:p>
      <w:pPr>
        <w:pStyle w:val="Indenta"/>
        <w:spacing w:before="100"/>
      </w:pPr>
      <w:r>
        <w:tab/>
        <w:t>(h)</w:t>
      </w:r>
      <w:r>
        <w:tab/>
        <w:t>providing a child safe environment;</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dealing with complaints.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lastRenderedPageBreak/>
        <w:tab/>
        <w:t>2.</w:t>
      </w:r>
      <w:r>
        <w:tab/>
        <w:t>This regulation differs from regulation 168 of the national regulations made by the Ministerial Council.</w:t>
      </w:r>
    </w:p>
    <w:p>
      <w:pPr>
        <w:pStyle w:val="Footnotesection"/>
        <w:spacing w:before="100"/>
      </w:pPr>
      <w:r>
        <w:tab/>
        <w:t>[Regulation 168 amended: Gazette 28 Sep 2018 p. 3641; SL 2020/143 r. 11.]</w:t>
      </w:r>
    </w:p>
    <w:p>
      <w:pPr>
        <w:pStyle w:val="Heading5"/>
      </w:pPr>
      <w:bookmarkStart w:id="231" w:name="_Toc95123066"/>
      <w:r>
        <w:rPr>
          <w:rStyle w:val="CharSectno"/>
        </w:rPr>
        <w:t>169</w:t>
      </w:r>
      <w:r>
        <w:t>.</w:t>
      </w:r>
      <w:r>
        <w:tab/>
        <w:t>Additional policies and procedures — family day care service</w:t>
      </w:r>
      <w:bookmarkEnd w:id="231"/>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$1000.</w:t>
      </w:r>
    </w:p>
    <w:p>
      <w:pPr>
        <w:pStyle w:val="Subsection"/>
      </w:pPr>
      <w:r>
        <w:tab/>
        <w:t>(2)</w:t>
      </w:r>
      <w:r>
        <w:tab/>
        <w:t xml:space="preserve">Policies and procedures are required in relation to the following — </w:t>
      </w:r>
    </w:p>
    <w:p>
      <w:pPr>
        <w:pStyle w:val="Indenta"/>
      </w:pPr>
      <w:r>
        <w:tab/>
        <w:t>(a)</w:t>
      </w:r>
      <w:r>
        <w:tab/>
        <w:t>assessment of proposed family day care venues and proposed family day care residences and reassessment of 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lastRenderedPageBreak/>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w:t>
      </w:r>
    </w:p>
    <w:p>
      <w:pPr>
        <w:pStyle w:val="Heading5"/>
      </w:pPr>
      <w:bookmarkStart w:id="232" w:name="_Toc95123067"/>
      <w:r>
        <w:rPr>
          <w:rStyle w:val="CharSectno"/>
        </w:rPr>
        <w:t>170</w:t>
      </w:r>
      <w:r>
        <w:t>.</w:t>
      </w:r>
      <w:r>
        <w:tab/>
        <w:t>Policies and procedures to be followed</w:t>
      </w:r>
      <w:bookmarkEnd w:id="232"/>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$1000.</w:t>
      </w:r>
    </w:p>
    <w:p>
      <w:pPr>
        <w:pStyle w:val="Subsection"/>
      </w:pPr>
      <w:r>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170 amended: Gazette 28 Sep 2018 p. 3642.]</w:t>
      </w:r>
    </w:p>
    <w:p>
      <w:pPr>
        <w:pStyle w:val="Heading5"/>
      </w:pPr>
      <w:bookmarkStart w:id="233" w:name="_Toc95123068"/>
      <w:r>
        <w:rPr>
          <w:rStyle w:val="CharSectno"/>
        </w:rPr>
        <w:t>171</w:t>
      </w:r>
      <w:r>
        <w:t>.</w:t>
      </w:r>
      <w:r>
        <w:tab/>
        <w:t>Policies and procedures to be kept available</w:t>
      </w:r>
      <w:bookmarkEnd w:id="233"/>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$1000.</w:t>
      </w:r>
    </w:p>
    <w:p>
      <w:pPr>
        <w:pStyle w:val="Subsection"/>
      </w:pPr>
      <w:r>
        <w:lastRenderedPageBreak/>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$1000.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w:t>
      </w:r>
    </w:p>
    <w:p>
      <w:pPr>
        <w:pStyle w:val="Heading5"/>
      </w:pPr>
      <w:bookmarkStart w:id="234" w:name="_Toc95123069"/>
      <w:r>
        <w:rPr>
          <w:rStyle w:val="CharSectno"/>
        </w:rPr>
        <w:t>172</w:t>
      </w:r>
      <w:r>
        <w:t>.</w:t>
      </w:r>
      <w:r>
        <w:tab/>
        <w:t>Notification of change to policies or procedures</w:t>
      </w:r>
      <w:bookmarkEnd w:id="234"/>
      <w:r>
        <w:t xml:space="preserve"> </w:t>
      </w:r>
    </w:p>
    <w:p>
      <w:pPr>
        <w:pStyle w:val="Subsection"/>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235" w:name="_Toc95123070"/>
      <w:r>
        <w:lastRenderedPageBreak/>
        <w:t>Division 3 — Information and record</w:t>
      </w:r>
      <w:r>
        <w:noBreakHyphen/>
        <w:t>keeping requirements</w:t>
      </w:r>
      <w:bookmarkEnd w:id="235"/>
    </w:p>
    <w:p>
      <w:pPr>
        <w:pStyle w:val="MiscellaneousHeading"/>
        <w:spacing w:before="220"/>
        <w:rPr>
          <w:b/>
          <w:bCs/>
        </w:rPr>
      </w:pPr>
      <w:r>
        <w:rPr>
          <w:b/>
          <w:bCs/>
        </w:rPr>
        <w:t>Subdivision 1 — Display and reporting of prescribed information</w:t>
      </w:r>
    </w:p>
    <w:p>
      <w:pPr>
        <w:pStyle w:val="Heading5"/>
      </w:pPr>
      <w:bookmarkStart w:id="236" w:name="_Toc95123071"/>
      <w:r>
        <w:rPr>
          <w:rStyle w:val="CharSectno"/>
        </w:rPr>
        <w:t>173</w:t>
      </w:r>
      <w:r>
        <w:t>.</w:t>
      </w:r>
      <w:r>
        <w:tab/>
        <w:t>Prescribed information to be displayed</w:t>
      </w:r>
      <w:bookmarkEnd w:id="236"/>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keepNext/>
      </w:pPr>
      <w:r>
        <w:tab/>
        <w:t>(ii)</w:t>
      </w:r>
      <w:r>
        <w:tab/>
        <w:t>the overall rating of the service;</w:t>
      </w:r>
    </w:p>
    <w:p>
      <w:pPr>
        <w:pStyle w:val="Indenta"/>
      </w:pPr>
      <w:r>
        <w:tab/>
        <w:t>(e)</w:t>
      </w:r>
      <w:r>
        <w:tab/>
        <w:t xml:space="preserve">in relation to any service waivers or temporary waivers held by the service, the details of the waivers including — </w:t>
      </w:r>
    </w:p>
    <w:p>
      <w:pPr>
        <w:pStyle w:val="Indenti"/>
      </w:pPr>
      <w:r>
        <w:tab/>
        <w:t>(i)</w:t>
      </w:r>
      <w:r>
        <w:tab/>
        <w:t>the elements of the National Quality Standard and 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lastRenderedPageBreak/>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pPr>
      <w:r>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lastRenderedPageBreak/>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tab/>
        <w:t>Penalty for this subregulation: a fine of $2 000.</w:t>
      </w:r>
    </w:p>
    <w:p>
      <w:pPr>
        <w:pStyle w:val="Footnotesection"/>
      </w:pPr>
      <w:r>
        <w:tab/>
        <w:t>[Regulation 173 amended: Gazette 3 Nov 2017 p. 5483</w:t>
      </w:r>
      <w:r>
        <w:noBreakHyphen/>
        <w:t>4; 28 Sep 2018 p. 3642; SL 2021/140 r. 8.]</w:t>
      </w:r>
    </w:p>
    <w:p>
      <w:pPr>
        <w:pStyle w:val="Heading5"/>
      </w:pPr>
      <w:bookmarkStart w:id="237" w:name="_Toc95123072"/>
      <w:r>
        <w:rPr>
          <w:rStyle w:val="CharSectno"/>
        </w:rPr>
        <w:t>174</w:t>
      </w:r>
      <w:r>
        <w:t>.</w:t>
      </w:r>
      <w:r>
        <w:tab/>
        <w:t>Time to notify certain circumstances to Regulatory Authority</w:t>
      </w:r>
      <w:bookmarkEnd w:id="237"/>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238" w:name="_Toc95123073"/>
      <w:r>
        <w:rPr>
          <w:rStyle w:val="CharSectno"/>
        </w:rPr>
        <w:lastRenderedPageBreak/>
        <w:t>174A</w:t>
      </w:r>
      <w:r>
        <w:t>.</w:t>
      </w:r>
      <w:r>
        <w:tab/>
        <w:t>Prescribed information to accompany notice</w:t>
      </w:r>
      <w:bookmarkEnd w:id="238"/>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239" w:name="_Toc95123074"/>
      <w:r>
        <w:rPr>
          <w:rStyle w:val="CharSectno"/>
        </w:rPr>
        <w:t>175</w:t>
      </w:r>
      <w:r>
        <w:t>.</w:t>
      </w:r>
      <w:r>
        <w:tab/>
        <w:t>Prescribed information to be notified to Regulatory Authority</w:t>
      </w:r>
      <w:bookmarkEnd w:id="239"/>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Footnotesection"/>
      </w:pPr>
      <w:r>
        <w:tab/>
        <w:t>[Regulation 175 amended: Gazette 13 Dec 2013 p.</w:t>
      </w:r>
      <w:r>
        <w:rPr>
          <w:sz w:val="19"/>
        </w:rPr>
        <w:t> </w:t>
      </w:r>
      <w:r>
        <w:t>6166; 28 Sep 2018 p. 3644.]</w:t>
      </w:r>
    </w:p>
    <w:p>
      <w:pPr>
        <w:pStyle w:val="Heading5"/>
      </w:pPr>
      <w:bookmarkStart w:id="240" w:name="_Toc95123075"/>
      <w:r>
        <w:rPr>
          <w:rStyle w:val="CharSectno"/>
        </w:rPr>
        <w:t>176</w:t>
      </w:r>
      <w:r>
        <w:t>.</w:t>
      </w:r>
      <w:r>
        <w:tab/>
        <w:t>Time to notify certain information to Regulatory Authority</w:t>
      </w:r>
      <w:bookmarkEnd w:id="240"/>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 xml:space="preserve">in the case of the death of a child, as soon as practicable but within 24 hours of the death, or </w:t>
      </w:r>
      <w:r>
        <w:lastRenderedPageBreak/>
        <w:t>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w:t>
      </w:r>
    </w:p>
    <w:p>
      <w:pPr>
        <w:pStyle w:val="MiscellaneousHeading"/>
        <w:outlineLvl w:val="0"/>
        <w:rPr>
          <w:b/>
          <w:bCs/>
        </w:rPr>
      </w:pPr>
      <w:r>
        <w:rPr>
          <w:b/>
          <w:bCs/>
        </w:rPr>
        <w:t>Subdivision 2 — Prescribed records</w:t>
      </w:r>
    </w:p>
    <w:p>
      <w:pPr>
        <w:pStyle w:val="Heading5"/>
      </w:pPr>
      <w:bookmarkStart w:id="241" w:name="_Toc95123076"/>
      <w:r>
        <w:rPr>
          <w:rStyle w:val="CharSectno"/>
        </w:rPr>
        <w:t>176A</w:t>
      </w:r>
      <w:r>
        <w:t>.</w:t>
      </w:r>
      <w:r>
        <w:tab/>
        <w:t>Prescribed information to be notified to approved provider by family day care educator</w:t>
      </w:r>
      <w:bookmarkEnd w:id="241"/>
    </w:p>
    <w:p>
      <w:pPr>
        <w:pStyle w:val="Subsection"/>
      </w:pPr>
      <w:r>
        <w:tab/>
      </w:r>
      <w:r>
        <w:tab/>
        <w:t xml:space="preserve">For the purposes of section 174A(c) of the Law, the following matters are prescribed — </w:t>
      </w:r>
    </w:p>
    <w:p>
      <w:pPr>
        <w:pStyle w:val="Indenta"/>
      </w:pPr>
      <w:r>
        <w:tab/>
        <w:t>(a)</w:t>
      </w:r>
      <w:r>
        <w:tab/>
        <w:t>any renovations or other changes to the family day care residence that create a serious risk to the health, safety and wellbeing of children attending or likely to attend the family day care residence;</w:t>
      </w:r>
    </w:p>
    <w:p>
      <w:pPr>
        <w:pStyle w:val="Indenta"/>
      </w:pPr>
      <w:r>
        <w:tab/>
        <w:t>(b)</w:t>
      </w:r>
      <w:r>
        <w:tab/>
        <w:t>any renovations or other changes to an approved family day care venue that create a serious risk to the health, safety and wellbeing of children attending or likely to attend the approved family day care venue.</w:t>
      </w:r>
    </w:p>
    <w:p>
      <w:pPr>
        <w:pStyle w:val="Footnotesection"/>
        <w:spacing w:before="100"/>
      </w:pPr>
      <w:r>
        <w:tab/>
        <w:t>[Regulation 176A inserted: Gazette 28 Sep 2018 p. 3644</w:t>
      </w:r>
      <w:r>
        <w:noBreakHyphen/>
        <w:t>5.]</w:t>
      </w:r>
    </w:p>
    <w:p>
      <w:pPr>
        <w:pStyle w:val="Heading5"/>
      </w:pPr>
      <w:bookmarkStart w:id="242" w:name="_Toc95123077"/>
      <w:r>
        <w:rPr>
          <w:rStyle w:val="CharSectno"/>
        </w:rPr>
        <w:lastRenderedPageBreak/>
        <w:t>177</w:t>
      </w:r>
      <w:r>
        <w:t>.</w:t>
      </w:r>
      <w:r>
        <w:tab/>
        <w:t>Prescribed enrolment and other documents to be kept by approved provider</w:t>
      </w:r>
      <w:bookmarkEnd w:id="242"/>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lastRenderedPageBreak/>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Subsection"/>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pPr>
      <w:r>
        <w:tab/>
        <w:t>(3)</w:t>
      </w:r>
      <w:r>
        <w:tab/>
        <w:t xml:space="preserve">Subject to Subdivision 4, the approved provider of the education and care service must ensure that — </w:t>
      </w:r>
    </w:p>
    <w:p>
      <w:pPr>
        <w:pStyle w:val="Indenta"/>
      </w:pPr>
      <w:r>
        <w:tab/>
        <w:t>(a)</w:t>
      </w:r>
      <w:r>
        <w:tab/>
        <w:t>subject to subregulation (4),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spacing w:before="120"/>
      </w:pPr>
      <w:r>
        <w:tab/>
        <w:t>(5)</w:t>
      </w:r>
      <w:r>
        <w:tab/>
        <w:t>An approved provider of a family day care service is not required to keep a document set out in subregulation (1) if an equivalent record is kept by a family day care educator under regulation 178.</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pPr>
      <w:r>
        <w:lastRenderedPageBreak/>
        <w:tab/>
        <w:t>3.</w:t>
      </w:r>
      <w:r>
        <w:tab/>
        <w:t>See section 269(1) of the Law which requires the approved provider to keep a register of each family day care educator, each family day care 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w:t>
      </w:r>
    </w:p>
    <w:p>
      <w:pPr>
        <w:pStyle w:val="Heading5"/>
      </w:pPr>
      <w:bookmarkStart w:id="243" w:name="_Toc95123078"/>
      <w:r>
        <w:rPr>
          <w:rStyle w:val="CharSectno"/>
        </w:rPr>
        <w:t>178</w:t>
      </w:r>
      <w:r>
        <w:t>.</w:t>
      </w:r>
      <w:r>
        <w:tab/>
        <w:t>Prescribed enrolment and other documents to be kept by family day care educator</w:t>
      </w:r>
      <w:bookmarkEnd w:id="243"/>
      <w:r>
        <w:t xml:space="preserve"> </w:t>
      </w:r>
    </w:p>
    <w:p>
      <w:pPr>
        <w:pStyle w:val="Subsection"/>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pPr>
      <w:r>
        <w:tab/>
        <w:t>(2)</w:t>
      </w:r>
      <w:r>
        <w:tab/>
        <w:t>The family day care educator must take reasonable steps to ensure the documents referred to in subregulation (1) are accurate.</w:t>
      </w:r>
    </w:p>
    <w:p>
      <w:pPr>
        <w:pStyle w:val="Penstart"/>
      </w:pPr>
      <w:r>
        <w:tab/>
        <w:t>Penalty: $2000.</w:t>
      </w:r>
    </w:p>
    <w:p>
      <w:pPr>
        <w:pStyle w:val="Subsection"/>
      </w:pPr>
      <w:r>
        <w:tab/>
        <w:t>(3)</w:t>
      </w:r>
      <w:r>
        <w:tab/>
        <w:t>Subject to Subdivision 4 and subregulation (4), the family day care educator must ensure that the documents referred to in subregulation (1) in relation to a child enrolled at the service are made available to a parent of the child on request.</w:t>
      </w:r>
    </w:p>
    <w:p>
      <w:pPr>
        <w:pStyle w:val="Penstart"/>
      </w:pPr>
      <w:r>
        <w:tab/>
        <w:t>Penalty: $2000.</w:t>
      </w:r>
    </w:p>
    <w:p>
      <w:pPr>
        <w:pStyle w:val="Subsection"/>
      </w:pPr>
      <w:r>
        <w:lastRenderedPageBreak/>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Heading5"/>
      </w:pPr>
      <w:bookmarkStart w:id="244" w:name="_Toc95123079"/>
      <w:r>
        <w:rPr>
          <w:rStyle w:val="CharSectno"/>
        </w:rPr>
        <w:t>179</w:t>
      </w:r>
      <w:r>
        <w:t>.</w:t>
      </w:r>
      <w:r>
        <w:tab/>
        <w:t>Family day care educator to provide documents on leaving service</w:t>
      </w:r>
      <w:bookmarkEnd w:id="244"/>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spacing w:before="240"/>
        <w:outlineLvl w:val="0"/>
        <w:rPr>
          <w:b/>
          <w:bCs/>
        </w:rPr>
      </w:pPr>
      <w:r>
        <w:rPr>
          <w:b/>
          <w:bCs/>
        </w:rPr>
        <w:t>Subdivision 3 — Insurance information</w:t>
      </w:r>
    </w:p>
    <w:p>
      <w:pPr>
        <w:pStyle w:val="Heading5"/>
        <w:spacing w:before="200"/>
      </w:pPr>
      <w:bookmarkStart w:id="245" w:name="_Toc95123080"/>
      <w:r>
        <w:rPr>
          <w:rStyle w:val="CharSectno"/>
        </w:rPr>
        <w:t>180</w:t>
      </w:r>
      <w:r>
        <w:t>.</w:t>
      </w:r>
      <w:r>
        <w:tab/>
        <w:t>Evidence of prescribed insurance</w:t>
      </w:r>
      <w:bookmarkEnd w:id="245"/>
      <w:r>
        <w:t xml:space="preserve"> </w:t>
      </w:r>
    </w:p>
    <w:p>
      <w:pPr>
        <w:pStyle w:val="Subsection"/>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spacing w:before="240"/>
        <w:outlineLvl w:val="0"/>
        <w:rPr>
          <w:b/>
          <w:bCs/>
        </w:rPr>
      </w:pPr>
      <w:r>
        <w:rPr>
          <w:b/>
          <w:bCs/>
        </w:rPr>
        <w:t>Subdivision 4 — Confidentiality and storage of records</w:t>
      </w:r>
    </w:p>
    <w:p>
      <w:pPr>
        <w:pStyle w:val="Heading5"/>
        <w:spacing w:before="200"/>
      </w:pPr>
      <w:bookmarkStart w:id="246" w:name="_Toc95123081"/>
      <w:r>
        <w:rPr>
          <w:rStyle w:val="CharSectno"/>
        </w:rPr>
        <w:t>181</w:t>
      </w:r>
      <w:r>
        <w:t>.</w:t>
      </w:r>
      <w:r>
        <w:tab/>
        <w:t>Confidentiality of records kept by approved provider</w:t>
      </w:r>
      <w:bookmarkEnd w:id="246"/>
      <w:r>
        <w:t xml:space="preserve"> </w:t>
      </w:r>
    </w:p>
    <w:p>
      <w:pPr>
        <w:pStyle w:val="Subsection"/>
        <w:spacing w:before="140"/>
      </w:pPr>
      <w:r>
        <w:tab/>
      </w:r>
      <w:r>
        <w:tab/>
        <w:t xml:space="preserve">The approved provider of an education and care service must ensure that information kept in a record under these Regulations </w:t>
      </w:r>
      <w:r>
        <w:lastRenderedPageBreak/>
        <w:t xml:space="preserve">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pPr>
      <w:r>
        <w:tab/>
        <w:t>(e)</w:t>
      </w:r>
      <w:r>
        <w:tab/>
        <w:t>with the written consent of the person who provided the information.</w:t>
      </w:r>
    </w:p>
    <w:p>
      <w:pPr>
        <w:pStyle w:val="Penstart"/>
      </w:pPr>
      <w:r>
        <w:tab/>
        <w:t>Penalty: $2000.</w:t>
      </w:r>
    </w:p>
    <w:p>
      <w:pPr>
        <w:pStyle w:val="Heading5"/>
      </w:pPr>
      <w:bookmarkStart w:id="247" w:name="_Toc95123082"/>
      <w:r>
        <w:rPr>
          <w:rStyle w:val="CharSectno"/>
        </w:rPr>
        <w:t>182</w:t>
      </w:r>
      <w:r>
        <w:t>.</w:t>
      </w:r>
      <w:r>
        <w:tab/>
        <w:t>Confidentiality of records kept by family day care educator</w:t>
      </w:r>
      <w:bookmarkEnd w:id="247"/>
      <w:r>
        <w:t xml:space="preserve"> </w:t>
      </w:r>
    </w:p>
    <w:p>
      <w:pPr>
        <w:pStyle w:val="Subsection"/>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or</w:t>
      </w:r>
    </w:p>
    <w:p>
      <w:pPr>
        <w:pStyle w:val="Indenta"/>
      </w:pPr>
      <w:r>
        <w:tab/>
        <w:t>(c)</w:t>
      </w:r>
      <w:r>
        <w:tab/>
        <w:t>the approved provider or a nominated supervisor of the family day care service; or</w:t>
      </w:r>
    </w:p>
    <w:p>
      <w:pPr>
        <w:pStyle w:val="Indenta"/>
      </w:pPr>
      <w:r>
        <w:tab/>
        <w:t>(d)</w:t>
      </w:r>
      <w:r>
        <w:tab/>
        <w:t>the Regulatory Authority or an authorised officer; or</w:t>
      </w:r>
    </w:p>
    <w:p>
      <w:pPr>
        <w:pStyle w:val="Indenta"/>
      </w:pPr>
      <w:r>
        <w:tab/>
        <w:t>(e)</w:t>
      </w:r>
      <w:r>
        <w:tab/>
        <w:t>as expressly authorised, permitted or required to be given by or under any Act or law; or</w:t>
      </w:r>
    </w:p>
    <w:p>
      <w:pPr>
        <w:pStyle w:val="Indenta"/>
      </w:pPr>
      <w:r>
        <w:tab/>
        <w:t>(f)</w:t>
      </w:r>
      <w:r>
        <w:tab/>
        <w:t>with the written consent of the person who provided the information.</w:t>
      </w:r>
    </w:p>
    <w:p>
      <w:pPr>
        <w:pStyle w:val="Penstart"/>
      </w:pPr>
      <w:r>
        <w:tab/>
        <w:t>Penalty: $2000.</w:t>
      </w:r>
    </w:p>
    <w:p>
      <w:pPr>
        <w:pStyle w:val="Footnotesection"/>
      </w:pPr>
      <w:r>
        <w:tab/>
        <w:t>[Regulation 182 amended: Gazette 28 Sep 2018 p. 3645.]</w:t>
      </w:r>
    </w:p>
    <w:p>
      <w:pPr>
        <w:pStyle w:val="Heading5"/>
      </w:pPr>
      <w:bookmarkStart w:id="248" w:name="_Toc95123083"/>
      <w:r>
        <w:rPr>
          <w:rStyle w:val="CharSectno"/>
        </w:rPr>
        <w:lastRenderedPageBreak/>
        <w:t>183</w:t>
      </w:r>
      <w:r>
        <w:t>.</w:t>
      </w:r>
      <w:r>
        <w:tab/>
        <w:t>Storage of records and other documents</w:t>
      </w:r>
      <w:bookmarkEnd w:id="248"/>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in the case of any other record relating to a child enrolled at the education and care service, until the end 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pPr>
      <w:r>
        <w:lastRenderedPageBreak/>
        <w:tab/>
        <w:t>(g)</w:t>
      </w:r>
      <w:r>
        <w:tab/>
        <w:t>in case of any other record, until the end of 3 years after the date on which the record was made.</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183 amended: Gazette 28 Sep 2018 p. 3646.]</w:t>
      </w:r>
    </w:p>
    <w:p>
      <w:pPr>
        <w:pStyle w:val="Heading5"/>
      </w:pPr>
      <w:bookmarkStart w:id="249" w:name="_Toc95123084"/>
      <w:r>
        <w:rPr>
          <w:rStyle w:val="CharSectno"/>
        </w:rPr>
        <w:t>184</w:t>
      </w:r>
      <w:r>
        <w:t>.</w:t>
      </w:r>
      <w:r>
        <w:tab/>
        <w:t>Storage of records after service approval transferred</w:t>
      </w:r>
      <w:bookmarkEnd w:id="249"/>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spacing w:before="240"/>
        <w:outlineLvl w:val="0"/>
        <w:rPr>
          <w:b/>
          <w:bCs/>
        </w:rPr>
      </w:pPr>
      <w:r>
        <w:rPr>
          <w:b/>
          <w:bCs/>
        </w:rPr>
        <w:t>Subdivision 5 — Law and regulations to be available</w:t>
      </w:r>
    </w:p>
    <w:p>
      <w:pPr>
        <w:pStyle w:val="Heading5"/>
      </w:pPr>
      <w:bookmarkStart w:id="250" w:name="_Toc95123085"/>
      <w:r>
        <w:rPr>
          <w:rStyle w:val="CharSectno"/>
        </w:rPr>
        <w:t>185</w:t>
      </w:r>
      <w:r>
        <w:t>.</w:t>
      </w:r>
      <w:r>
        <w:tab/>
        <w:t>Law and regulations to be available</w:t>
      </w:r>
      <w:bookmarkEnd w:id="250"/>
      <w:r>
        <w:t xml:space="preserve"> </w:t>
      </w:r>
    </w:p>
    <w:p>
      <w:pPr>
        <w:pStyle w:val="Subsection"/>
      </w:pPr>
      <w:r>
        <w:tab/>
      </w:r>
      <w:r>
        <w:tab/>
        <w:t>The approved provider of an education and care service must ensure that a copy of the Law and these Regulations is accessible at the education and care service premises at all times for use by nominated supervisors, staff members, volunteers, 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251" w:name="_Toc95123086"/>
      <w:r>
        <w:rPr>
          <w:rStyle w:val="CharPartNo"/>
          <w:szCs w:val="34"/>
        </w:rPr>
        <w:lastRenderedPageBreak/>
        <w:t>Chapter 5</w:t>
      </w:r>
      <w:r>
        <w:t> — </w:t>
      </w:r>
      <w:r>
        <w:rPr>
          <w:rStyle w:val="CharPartText"/>
        </w:rPr>
        <w:t>Review, enforcement and compliance</w:t>
      </w:r>
      <w:bookmarkEnd w:id="251"/>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252" w:name="_Toc95123087"/>
      <w:r>
        <w:rPr>
          <w:rStyle w:val="CharDivNo"/>
        </w:rPr>
        <w:t>Part 5.1</w:t>
      </w:r>
      <w:r>
        <w:t> — </w:t>
      </w:r>
      <w:r>
        <w:rPr>
          <w:rStyle w:val="CharDivText"/>
        </w:rPr>
        <w:t>Internal review</w:t>
      </w:r>
      <w:bookmarkEnd w:id="252"/>
    </w:p>
    <w:p>
      <w:pPr>
        <w:pStyle w:val="Heading5"/>
      </w:pPr>
      <w:bookmarkStart w:id="253" w:name="_Toc95123088"/>
      <w:r>
        <w:rPr>
          <w:rStyle w:val="CharSectno"/>
        </w:rPr>
        <w:t>186</w:t>
      </w:r>
      <w:r>
        <w:t>.</w:t>
      </w:r>
      <w:r>
        <w:tab/>
        <w:t>Application for internal review of reviewable decision</w:t>
      </w:r>
      <w:bookmarkEnd w:id="253"/>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254" w:name="_Toc95123089"/>
      <w:r>
        <w:rPr>
          <w:rStyle w:val="CharDivNo"/>
        </w:rPr>
        <w:lastRenderedPageBreak/>
        <w:t>Part 5.2</w:t>
      </w:r>
      <w:r>
        <w:t> — </w:t>
      </w:r>
      <w:r>
        <w:rPr>
          <w:rStyle w:val="CharDivText"/>
        </w:rPr>
        <w:t>Enforcement and compliance</w:t>
      </w:r>
      <w:bookmarkEnd w:id="254"/>
    </w:p>
    <w:p>
      <w:pPr>
        <w:pStyle w:val="Heading5"/>
      </w:pPr>
      <w:bookmarkStart w:id="255" w:name="_Toc95123090"/>
      <w:r>
        <w:rPr>
          <w:rStyle w:val="CharSectno"/>
        </w:rPr>
        <w:t>187</w:t>
      </w:r>
      <w:r>
        <w:t>.</w:t>
      </w:r>
      <w:r>
        <w:tab/>
        <w:t>Prescribed form of identity card</w:t>
      </w:r>
      <w:bookmarkEnd w:id="255"/>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$1000.</w:t>
      </w:r>
    </w:p>
    <w:p>
      <w:pPr>
        <w:pStyle w:val="Heading5"/>
      </w:pPr>
      <w:bookmarkStart w:id="256" w:name="_Toc95123091"/>
      <w:r>
        <w:rPr>
          <w:rStyle w:val="CharSectno"/>
        </w:rPr>
        <w:t>188</w:t>
      </w:r>
      <w:r>
        <w:t>.</w:t>
      </w:r>
      <w:r>
        <w:tab/>
        <w:t>Compliance directions</w:t>
      </w:r>
      <w:bookmarkEnd w:id="256"/>
      <w:r>
        <w:t xml:space="preserve"> </w:t>
      </w:r>
    </w:p>
    <w:p>
      <w:pPr>
        <w:pStyle w:val="Subsection"/>
      </w:pPr>
      <w:r>
        <w:tab/>
      </w:r>
      <w:r>
        <w:tab/>
        <w:t>The provisions of the regulations set out in Schedule 3 are prescribed for the purposes of section 176 of the Law.</w:t>
      </w:r>
    </w:p>
    <w:p>
      <w:pPr>
        <w:pStyle w:val="Heading5"/>
      </w:pPr>
      <w:bookmarkStart w:id="257" w:name="_Toc95123092"/>
      <w:r>
        <w:rPr>
          <w:rStyle w:val="CharSectno"/>
        </w:rPr>
        <w:t>189</w:t>
      </w:r>
      <w:r>
        <w:t>.</w:t>
      </w:r>
      <w:r>
        <w:tab/>
        <w:t>Application to cancel prohibition notice</w:t>
      </w:r>
      <w:bookmarkEnd w:id="257"/>
      <w:r>
        <w:t xml:space="preserve"> </w:t>
      </w:r>
    </w:p>
    <w:p>
      <w:pPr>
        <w:pStyle w:val="Subsection"/>
      </w:pPr>
      <w:r>
        <w:tab/>
      </w:r>
      <w:r>
        <w:tab/>
        <w:t xml:space="preserve">For the purposes of section 186(3)(b) of the Law, the following information is prescribed — </w:t>
      </w:r>
    </w:p>
    <w:p>
      <w:pPr>
        <w:pStyle w:val="Indenta"/>
      </w:pPr>
      <w:r>
        <w:tab/>
        <w:t>(a)</w:t>
      </w:r>
      <w:r>
        <w:tab/>
        <w:t>the applicant’s name;</w:t>
      </w:r>
    </w:p>
    <w:p>
      <w:pPr>
        <w:pStyle w:val="Indenta"/>
      </w:pPr>
      <w:r>
        <w:lastRenderedPageBreak/>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258" w:name="_Toc95123093"/>
      <w:r>
        <w:rPr>
          <w:rStyle w:val="CharSectno"/>
        </w:rPr>
        <w:t>190</w:t>
      </w:r>
      <w:r>
        <w:t>.</w:t>
      </w:r>
      <w:r>
        <w:tab/>
        <w:t>Infringement offences</w:t>
      </w:r>
      <w:bookmarkEnd w:id="258"/>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tab/>
        <w:t>(l)</w:t>
      </w:r>
      <w:r>
        <w:tab/>
        <w:t>regulation 178(2) and (3) (enrolment and other documents to be kept by family day care educator).</w:t>
      </w:r>
    </w:p>
    <w:p>
      <w:pPr>
        <w:pStyle w:val="Subsection"/>
      </w:pPr>
      <w:r>
        <w:tab/>
        <w:t>(2)</w:t>
      </w:r>
      <w:r>
        <w:tab/>
        <w:t xml:space="preserve">For the purposes of section 291(4)(d) of the Law as applying in Western Australia — </w:t>
      </w:r>
    </w:p>
    <w:p>
      <w:pPr>
        <w:pStyle w:val="Indenta"/>
      </w:pPr>
      <w:r>
        <w:tab/>
        <w:t>(a)</w:t>
      </w:r>
      <w:r>
        <w:tab/>
        <w:t xml:space="preserve">the persons referred to in section 291(1) of the Law who may serve an infringement notice are taken to be </w:t>
      </w:r>
      <w:r>
        <w:lastRenderedPageBreak/>
        <w:t>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Heading5"/>
      </w:pPr>
      <w:bookmarkStart w:id="259" w:name="_Toc95123094"/>
      <w:r>
        <w:rPr>
          <w:rStyle w:val="CharSectno"/>
        </w:rPr>
        <w:t>191</w:t>
      </w:r>
      <w:r>
        <w:t>.</w:t>
      </w:r>
      <w:r>
        <w:tab/>
        <w:t>False or misleading information or documents</w:t>
      </w:r>
      <w:bookmarkEnd w:id="259"/>
      <w:r>
        <w:t xml:space="preserve"> </w:t>
      </w:r>
    </w:p>
    <w:p>
      <w:pPr>
        <w:pStyle w:val="Subsection"/>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260" w:name="_Toc95123095"/>
      <w:r>
        <w:rPr>
          <w:rStyle w:val="CharPartNo"/>
        </w:rPr>
        <w:lastRenderedPageBreak/>
        <w:t>Chapter 6</w:t>
      </w:r>
      <w:r>
        <w:t> — </w:t>
      </w:r>
      <w:r>
        <w:rPr>
          <w:rStyle w:val="CharPartText"/>
        </w:rPr>
        <w:t>Administration</w:t>
      </w:r>
      <w:bookmarkEnd w:id="260"/>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ind w:left="284"/>
      </w:pPr>
      <w:r>
        <w:rPr>
          <w:i/>
        </w:rPr>
        <w:t>Division 1</w:t>
      </w:r>
      <w:r>
        <w:t xml:space="preserve"> contains provisions relating to the application of the Commonwealth</w:t>
      </w:r>
      <w:r>
        <w:rPr>
          <w:i/>
        </w:rPr>
        <w:t xml:space="preserve"> Privacy Act 1988</w:t>
      </w:r>
      <w:r>
        <w:t>.</w:t>
      </w:r>
    </w:p>
    <w:p>
      <w:pPr>
        <w:pStyle w:val="MiscellaneousBody"/>
        <w:ind w:left="284"/>
      </w:pPr>
      <w:r>
        <w:rPr>
          <w:i/>
        </w:rPr>
        <w:t>Division 2</w:t>
      </w:r>
      <w:r>
        <w:t xml:space="preserve"> contains provisions relating to the application of the Commonwealth</w:t>
      </w:r>
      <w:r>
        <w:rPr>
          <w:i/>
        </w:rPr>
        <w:t xml:space="preserve"> Freedom of Information Act 1982</w:t>
      </w:r>
      <w:r>
        <w:t>.</w:t>
      </w:r>
    </w:p>
    <w:p>
      <w:pPr>
        <w:pStyle w:val="MiscellaneousBody"/>
        <w:ind w:left="284"/>
      </w:pPr>
      <w:r>
        <w:rPr>
          <w:i/>
        </w:rPr>
        <w:t>Division 3</w:t>
      </w:r>
      <w:r>
        <w:t xml:space="preserve"> contains provisions relating to the application of the New South Wales </w:t>
      </w:r>
      <w:r>
        <w:rPr>
          <w:i/>
        </w:rPr>
        <w:t>State Records Act 1998</w:t>
      </w:r>
      <w:r>
        <w:t>.</w:t>
      </w:r>
    </w:p>
    <w:p>
      <w:pPr>
        <w:pStyle w:val="MiscellaneousBody"/>
        <w:ind w:left="284"/>
      </w:pPr>
      <w:r>
        <w:rPr>
          <w:i/>
        </w:rPr>
        <w:t>Division 4</w:t>
      </w:r>
      <w:r>
        <w:t xml:space="preserve"> contains records relating to the application of the Commonwealth</w:t>
      </w:r>
      <w:r>
        <w:rPr>
          <w:i/>
        </w:rPr>
        <w:t xml:space="preserve"> Ombudsman Act 1976</w:t>
      </w:r>
      <w:r>
        <w:t>.</w:t>
      </w:r>
    </w:p>
    <w:p>
      <w:pPr>
        <w:pStyle w:val="MiscellaneousBody"/>
        <w:ind w:left="284"/>
      </w:pPr>
      <w:r>
        <w:rPr>
          <w:i/>
        </w:rPr>
        <w:t>Division 5</w:t>
      </w:r>
      <w:r>
        <w:t xml:space="preserve"> contains provisions relating to the publication of information by the National Authority and Regulatory Authority.</w:t>
      </w:r>
    </w:p>
    <w:p>
      <w:pPr>
        <w:pStyle w:val="MiscellaneousBody"/>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261" w:name="_Toc95123096"/>
      <w:r>
        <w:rPr>
          <w:rStyle w:val="CharDivNo"/>
        </w:rPr>
        <w:t>Part 6.1</w:t>
      </w:r>
      <w:r>
        <w:t> — </w:t>
      </w:r>
      <w:r>
        <w:rPr>
          <w:rStyle w:val="CharDivText"/>
        </w:rPr>
        <w:t>Australian Children’s Education and Care Quality Authority</w:t>
      </w:r>
      <w:bookmarkEnd w:id="261"/>
    </w:p>
    <w:p>
      <w:pPr>
        <w:pStyle w:val="Heading5"/>
      </w:pPr>
      <w:bookmarkStart w:id="262" w:name="_Toc95123097"/>
      <w:r>
        <w:rPr>
          <w:rStyle w:val="CharSectno"/>
        </w:rPr>
        <w:t>192</w:t>
      </w:r>
      <w:r>
        <w:t>.</w:t>
      </w:r>
      <w:r>
        <w:tab/>
        <w:t>Co</w:t>
      </w:r>
      <w:r>
        <w:noBreakHyphen/>
        <w:t>operation with prescribed classes of body</w:t>
      </w:r>
      <w:bookmarkEnd w:id="262"/>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263" w:name="_Toc95123098"/>
      <w:r>
        <w:rPr>
          <w:rStyle w:val="CharSectno"/>
        </w:rPr>
        <w:t>193</w:t>
      </w:r>
      <w:r>
        <w:t>.</w:t>
      </w:r>
      <w:r>
        <w:tab/>
        <w:t>Allocating, transferring or reimbursing money to a participating jurisdiction</w:t>
      </w:r>
      <w:bookmarkEnd w:id="263"/>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264" w:name="_Toc95123099"/>
      <w:r>
        <w:rPr>
          <w:rStyle w:val="CharSectno"/>
        </w:rPr>
        <w:t>194</w:t>
      </w:r>
      <w:r>
        <w:t>.</w:t>
      </w:r>
      <w:r>
        <w:tab/>
        <w:t>Investment of Authority Fund</w:t>
      </w:r>
      <w:bookmarkEnd w:id="264"/>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265" w:name="_Toc95123100"/>
      <w:r>
        <w:rPr>
          <w:rStyle w:val="CharDivNo"/>
        </w:rPr>
        <w:lastRenderedPageBreak/>
        <w:t>Part 6.2</w:t>
      </w:r>
      <w:r>
        <w:t> — </w:t>
      </w:r>
      <w:r>
        <w:rPr>
          <w:rStyle w:val="CharDivText"/>
        </w:rPr>
        <w:t>Information, records and privacy — National Authority and Regulatory Authorities</w:t>
      </w:r>
      <w:bookmarkEnd w:id="265"/>
    </w:p>
    <w:p>
      <w:pPr>
        <w:pStyle w:val="Heading4"/>
      </w:pPr>
      <w:bookmarkStart w:id="266" w:name="_Toc95123101"/>
      <w:r>
        <w:t xml:space="preserve">Division 1 — Application of Commonwealth </w:t>
      </w:r>
      <w:r>
        <w:rPr>
          <w:i/>
        </w:rPr>
        <w:t>Privacy Act 1988</w:t>
      </w:r>
      <w:bookmarkEnd w:id="266"/>
    </w:p>
    <w:p>
      <w:pPr>
        <w:pStyle w:val="Heading5"/>
      </w:pPr>
      <w:bookmarkStart w:id="267" w:name="_Toc95123102"/>
      <w:r>
        <w:rPr>
          <w:rStyle w:val="CharSectno"/>
        </w:rPr>
        <w:t>195</w:t>
      </w:r>
      <w:r>
        <w:t>.</w:t>
      </w:r>
      <w:r>
        <w:tab/>
        <w:t xml:space="preserve">Application of Commonwealth </w:t>
      </w:r>
      <w:r>
        <w:rPr>
          <w:i/>
        </w:rPr>
        <w:t>Privacy Act 1988</w:t>
      </w:r>
      <w:bookmarkEnd w:id="267"/>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268" w:name="_Toc95123103"/>
      <w:r>
        <w:rPr>
          <w:rStyle w:val="CharSectno"/>
        </w:rPr>
        <w:t>196</w:t>
      </w:r>
      <w:r>
        <w:t>.</w:t>
      </w:r>
      <w:r>
        <w:tab/>
        <w:t>Modifications relating to National Education and Care Services Privacy Commissioner and staff</w:t>
      </w:r>
      <w:bookmarkEnd w:id="268"/>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a finding of guilt for an offence committed in a participating jurisdiction or elsewhere that the Ministerial Council considers makes the Commissioner unfit to continue to hold office as Commissioner; or</w:t>
      </w:r>
    </w:p>
    <w:p>
      <w:pPr>
        <w:pStyle w:val="Indenti"/>
      </w:pPr>
      <w:r>
        <w:lastRenderedPageBreak/>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269" w:name="_Toc95123104"/>
      <w:r>
        <w:rPr>
          <w:rStyle w:val="CharSectno"/>
        </w:rPr>
        <w:lastRenderedPageBreak/>
        <w:t>197</w:t>
      </w:r>
      <w:r>
        <w:t>.</w:t>
      </w:r>
      <w:r>
        <w:tab/>
        <w:t>Modifications about financial matters</w:t>
      </w:r>
      <w:bookmarkEnd w:id="269"/>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70" w:name="_Toc95123105"/>
      <w:r>
        <w:rPr>
          <w:rStyle w:val="CharSectno"/>
        </w:rPr>
        <w:lastRenderedPageBreak/>
        <w:t>198</w:t>
      </w:r>
      <w:r>
        <w:t>.</w:t>
      </w:r>
      <w:r>
        <w:tab/>
        <w:t>Modifications about annual report</w:t>
      </w:r>
      <w:bookmarkEnd w:id="270"/>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71" w:name="_Toc95123106"/>
      <w:r>
        <w:rPr>
          <w:rStyle w:val="CharSectno"/>
        </w:rPr>
        <w:t>199</w:t>
      </w:r>
      <w:r>
        <w:t>.</w:t>
      </w:r>
      <w:r>
        <w:tab/>
        <w:t>Modifications relating to National Authority and Regulatory Authorities</w:t>
      </w:r>
      <w:bookmarkEnd w:id="271"/>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272" w:name="_Toc95123107"/>
      <w:r>
        <w:rPr>
          <w:rStyle w:val="CharSectno"/>
        </w:rPr>
        <w:t>200</w:t>
      </w:r>
      <w:r>
        <w:t>.</w:t>
      </w:r>
      <w:r>
        <w:tab/>
        <w:t>Modifications relating to determinations</w:t>
      </w:r>
      <w:bookmarkEnd w:id="272"/>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273" w:name="_Toc95123108"/>
      <w:r>
        <w:rPr>
          <w:rStyle w:val="CharSectno"/>
        </w:rPr>
        <w:t>201</w:t>
      </w:r>
      <w:r>
        <w:t>.</w:t>
      </w:r>
      <w:r>
        <w:tab/>
        <w:t>Miscellaneous modifications</w:t>
      </w:r>
      <w:bookmarkEnd w:id="273"/>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tab/>
        <w:t>(d)</w:t>
      </w:r>
      <w:r>
        <w:tab/>
        <w:t xml:space="preserve">as if a reference to the Commonwealth or the Government of the Commonwealth were a reference to a </w:t>
      </w:r>
      <w:r>
        <w:lastRenderedPageBreak/>
        <w:t>participating jurisdiction or the Government of a participating jurisdiction; and</w:t>
      </w:r>
    </w:p>
    <w:p>
      <w:pPr>
        <w:pStyle w:val="Indenta"/>
      </w:pPr>
      <w:r>
        <w:tab/>
        <w:t>(e)</w:t>
      </w:r>
      <w:r>
        <w:tab/>
        <w:t>as if a reference to the Administrative Appeals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tab/>
        <w:t>(m)</w:t>
      </w:r>
      <w:r>
        <w:tab/>
        <w:t xml:space="preserve">as if it were modified so that the Commissioner’s power to authorise persons to enter premises occupied by an agency and inspect documents extends to a power to </w:t>
      </w:r>
      <w:r>
        <w:lastRenderedPageBreak/>
        <w:t>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Heading5"/>
      </w:pPr>
      <w:bookmarkStart w:id="274" w:name="_Toc95123109"/>
      <w:r>
        <w:rPr>
          <w:rStyle w:val="CharSectno"/>
        </w:rPr>
        <w:t>202</w:t>
      </w:r>
      <w:r>
        <w:t>.</w:t>
      </w:r>
      <w:r>
        <w:tab/>
        <w:t>Relevant administrative tribunal</w:t>
      </w:r>
      <w:bookmarkEnd w:id="274"/>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lastRenderedPageBreak/>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75" w:name="_Toc95123110"/>
      <w:r>
        <w:rPr>
          <w:rStyle w:val="CharSectno"/>
        </w:rPr>
        <w:t>203</w:t>
      </w:r>
      <w:r>
        <w:t>.</w:t>
      </w:r>
      <w:r>
        <w:tab/>
        <w:t>Regulations</w:t>
      </w:r>
      <w:bookmarkEnd w:id="275"/>
      <w:r>
        <w:t xml:space="preserve"> </w:t>
      </w:r>
    </w:p>
    <w:p>
      <w:pPr>
        <w:pStyle w:val="Subsection"/>
      </w:pPr>
      <w:r>
        <w:tab/>
      </w:r>
      <w:r>
        <w:tab/>
        <w:t>The regulations made under the Privacy Act do not apply.</w:t>
      </w:r>
    </w:p>
    <w:p>
      <w:pPr>
        <w:pStyle w:val="Heading4"/>
      </w:pPr>
      <w:bookmarkStart w:id="276" w:name="_Toc95123111"/>
      <w:r>
        <w:t xml:space="preserve">Division 2 — Application of Commonwealth </w:t>
      </w:r>
      <w:r>
        <w:rPr>
          <w:i/>
        </w:rPr>
        <w:t>Freedom of Information Act 1982</w:t>
      </w:r>
      <w:bookmarkEnd w:id="276"/>
    </w:p>
    <w:p>
      <w:pPr>
        <w:pStyle w:val="Heading5"/>
      </w:pPr>
      <w:bookmarkStart w:id="277" w:name="_Toc95123112"/>
      <w:r>
        <w:rPr>
          <w:rStyle w:val="CharSectno"/>
        </w:rPr>
        <w:t>204</w:t>
      </w:r>
      <w:r>
        <w:t>.</w:t>
      </w:r>
      <w:r>
        <w:tab/>
        <w:t>Application of Commonwealth</w:t>
      </w:r>
      <w:r>
        <w:rPr>
          <w:i/>
        </w:rPr>
        <w:t xml:space="preserve"> Freedom of Information Act 1982</w:t>
      </w:r>
      <w:bookmarkEnd w:id="277"/>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278" w:name="_Toc95123113"/>
      <w:r>
        <w:rPr>
          <w:rStyle w:val="CharSectno"/>
        </w:rPr>
        <w:t>205</w:t>
      </w:r>
      <w:r>
        <w:t>.</w:t>
      </w:r>
      <w:r>
        <w:tab/>
        <w:t>Modifications relating to National Education and Care Services Freedom of Information Commissioner and staff</w:t>
      </w:r>
      <w:bookmarkEnd w:id="278"/>
      <w:r>
        <w:t xml:space="preserve"> </w:t>
      </w:r>
    </w:p>
    <w:p>
      <w:pPr>
        <w:pStyle w:val="Subsection"/>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lastRenderedPageBreak/>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a finding of guilt for an offence committed in a participating jurisdiction or elsewhere that the 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lastRenderedPageBreak/>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Heading5"/>
      </w:pPr>
      <w:bookmarkStart w:id="279" w:name="_Toc95123114"/>
      <w:r>
        <w:rPr>
          <w:rStyle w:val="CharSectno"/>
        </w:rPr>
        <w:lastRenderedPageBreak/>
        <w:t>206</w:t>
      </w:r>
      <w:r>
        <w:t>.</w:t>
      </w:r>
      <w:r>
        <w:tab/>
        <w:t>Modifications about financial matters</w:t>
      </w:r>
      <w:bookmarkEnd w:id="279"/>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280" w:name="_Toc95123115"/>
      <w:r>
        <w:rPr>
          <w:rStyle w:val="CharSectno"/>
        </w:rPr>
        <w:lastRenderedPageBreak/>
        <w:t>207</w:t>
      </w:r>
      <w:r>
        <w:t>.</w:t>
      </w:r>
      <w:r>
        <w:tab/>
        <w:t>Modifications about annual report</w:t>
      </w:r>
      <w:bookmarkEnd w:id="280"/>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281" w:name="_Toc95123116"/>
      <w:r>
        <w:rPr>
          <w:rStyle w:val="CharSectno"/>
        </w:rPr>
        <w:t>208</w:t>
      </w:r>
      <w:r>
        <w:t>.</w:t>
      </w:r>
      <w:r>
        <w:tab/>
        <w:t>Modifications relating to National Authority and Regulatory Authorities</w:t>
      </w:r>
      <w:bookmarkEnd w:id="281"/>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282" w:name="_Toc95123117"/>
      <w:r>
        <w:rPr>
          <w:rStyle w:val="CharSectno"/>
        </w:rPr>
        <w:t>209</w:t>
      </w:r>
      <w:r>
        <w:t>.</w:t>
      </w:r>
      <w:r>
        <w:tab/>
        <w:t>Miscellaneous modifications</w:t>
      </w:r>
      <w:bookmarkEnd w:id="282"/>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lastRenderedPageBreak/>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pPr>
      <w:r>
        <w:tab/>
        <w:t>(e)</w:t>
      </w:r>
      <w:r>
        <w:tab/>
        <w:t xml:space="preserve">as if — </w:t>
      </w:r>
    </w:p>
    <w:p>
      <w:pPr>
        <w:pStyle w:val="Indenti"/>
      </w:pPr>
      <w:r>
        <w:tab/>
        <w:t>(i)</w:t>
      </w:r>
      <w:r>
        <w:tab/>
        <w:t>a reference to the Administrative Appeals Tribunal were a reference to a relevant administrative tribunal; and</w:t>
      </w:r>
    </w:p>
    <w:p>
      <w:pPr>
        <w:pStyle w:val="Indenti"/>
      </w:pPr>
      <w:r>
        <w:tab/>
        <w:t>(ii)</w:t>
      </w:r>
      <w:r>
        <w:tab/>
        <w:t xml:space="preserve">a provision of the </w:t>
      </w:r>
      <w:r>
        <w:rPr>
          <w:i/>
        </w:rPr>
        <w:t>Administrative Appeals Tribunal Act 1975</w:t>
      </w:r>
      <w:r>
        <w:t xml:space="preserve">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lastRenderedPageBreak/>
        <w:tab/>
        <w:t>(k)</w:t>
      </w:r>
      <w:r>
        <w:tab/>
        <w:t>with any other modifications that are necessary for the effective administration of the FOI Act for the purposes of the National Quality Framework.</w:t>
      </w:r>
    </w:p>
    <w:p>
      <w:pPr>
        <w:pStyle w:val="Heading5"/>
      </w:pPr>
      <w:bookmarkStart w:id="283" w:name="_Toc95123118"/>
      <w:r>
        <w:rPr>
          <w:rStyle w:val="CharSectno"/>
        </w:rPr>
        <w:t>210</w:t>
      </w:r>
      <w:r>
        <w:t>.</w:t>
      </w:r>
      <w:r>
        <w:tab/>
        <w:t>Relevant administrative tribunal</w:t>
      </w:r>
      <w:bookmarkEnd w:id="283"/>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284" w:name="_Toc95123119"/>
      <w:r>
        <w:rPr>
          <w:rStyle w:val="CharSectno"/>
        </w:rPr>
        <w:t>211</w:t>
      </w:r>
      <w:r>
        <w:t>.</w:t>
      </w:r>
      <w:r>
        <w:tab/>
        <w:t>Regulations</w:t>
      </w:r>
      <w:bookmarkEnd w:id="284"/>
      <w:r>
        <w:t xml:space="preserve"> </w:t>
      </w:r>
    </w:p>
    <w:p>
      <w:pPr>
        <w:pStyle w:val="Subsection"/>
      </w:pPr>
      <w:r>
        <w:tab/>
      </w:r>
      <w:r>
        <w:tab/>
        <w:t>The regulations made under the FOI Act, other than the provisions providing for fees and charges, do not apply.</w:t>
      </w:r>
    </w:p>
    <w:p>
      <w:pPr>
        <w:pStyle w:val="Heading4"/>
        <w:rPr>
          <w:i/>
        </w:rPr>
      </w:pPr>
      <w:bookmarkStart w:id="285" w:name="_Toc95123120"/>
      <w:r>
        <w:lastRenderedPageBreak/>
        <w:t xml:space="preserve">Division 3 — Application of New South Wales </w:t>
      </w:r>
      <w:r>
        <w:rPr>
          <w:i/>
        </w:rPr>
        <w:t>State Records Act 1998</w:t>
      </w:r>
      <w:bookmarkEnd w:id="285"/>
    </w:p>
    <w:p>
      <w:pPr>
        <w:pStyle w:val="Heading5"/>
      </w:pPr>
      <w:bookmarkStart w:id="286" w:name="_Toc95123121"/>
      <w:r>
        <w:rPr>
          <w:rStyle w:val="CharSectno"/>
        </w:rPr>
        <w:t>212</w:t>
      </w:r>
      <w:r>
        <w:t>.</w:t>
      </w:r>
      <w:r>
        <w:tab/>
        <w:t>Application of State Records Act</w:t>
      </w:r>
      <w:bookmarkEnd w:id="286"/>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287" w:name="_Toc95123122"/>
      <w:r>
        <w:rPr>
          <w:rStyle w:val="CharSectno"/>
        </w:rPr>
        <w:t>213</w:t>
      </w:r>
      <w:r>
        <w:t>.</w:t>
      </w:r>
      <w:r>
        <w:tab/>
        <w:t>Modifications relating to State Records Authority and its Board and Director</w:t>
      </w:r>
      <w:bookmarkEnd w:id="287"/>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288" w:name="_Toc95123123"/>
      <w:r>
        <w:rPr>
          <w:rStyle w:val="CharSectno"/>
        </w:rPr>
        <w:t>214</w:t>
      </w:r>
      <w:r>
        <w:t>.</w:t>
      </w:r>
      <w:r>
        <w:tab/>
        <w:t>Modifications relating to National Authority</w:t>
      </w:r>
      <w:bookmarkEnd w:id="288"/>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289" w:name="_Toc95123124"/>
      <w:r>
        <w:rPr>
          <w:rStyle w:val="CharSectno"/>
        </w:rPr>
        <w:lastRenderedPageBreak/>
        <w:t>215</w:t>
      </w:r>
      <w:r>
        <w:t>.</w:t>
      </w:r>
      <w:r>
        <w:tab/>
        <w:t>Modifications relating to Ministerial Council</w:t>
      </w:r>
      <w:bookmarkEnd w:id="289"/>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290" w:name="_Toc95123125"/>
      <w:r>
        <w:rPr>
          <w:rStyle w:val="CharSectno"/>
        </w:rPr>
        <w:t>216</w:t>
      </w:r>
      <w:r>
        <w:t>.</w:t>
      </w:r>
      <w:r>
        <w:tab/>
        <w:t>Miscellaneous modifications</w:t>
      </w:r>
      <w:bookmarkEnd w:id="290"/>
      <w:r>
        <w:t xml:space="preserve"> </w:t>
      </w:r>
    </w:p>
    <w:p>
      <w:pPr>
        <w:pStyle w:val="Subsection"/>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291" w:name="_Toc95123126"/>
      <w:r>
        <w:rPr>
          <w:rStyle w:val="CharSectno"/>
        </w:rPr>
        <w:lastRenderedPageBreak/>
        <w:t>217</w:t>
      </w:r>
      <w:r>
        <w:t>.</w:t>
      </w:r>
      <w:r>
        <w:tab/>
        <w:t>Regulations</w:t>
      </w:r>
      <w:bookmarkEnd w:id="291"/>
      <w:r>
        <w:t xml:space="preserve"> </w:t>
      </w:r>
    </w:p>
    <w:p>
      <w:pPr>
        <w:pStyle w:val="Subsection"/>
      </w:pPr>
      <w:r>
        <w:tab/>
      </w:r>
      <w:r>
        <w:tab/>
        <w:t>The regulations made under the State Records Act do not apply.</w:t>
      </w:r>
    </w:p>
    <w:p>
      <w:pPr>
        <w:pStyle w:val="Heading4"/>
      </w:pPr>
      <w:bookmarkStart w:id="292" w:name="_Toc95123127"/>
      <w:r>
        <w:t xml:space="preserve">Division 4 — Application of Commonwealth </w:t>
      </w:r>
      <w:r>
        <w:rPr>
          <w:i/>
        </w:rPr>
        <w:t>Ombudsman Act 1976</w:t>
      </w:r>
      <w:bookmarkEnd w:id="292"/>
    </w:p>
    <w:p>
      <w:pPr>
        <w:pStyle w:val="Heading5"/>
      </w:pPr>
      <w:bookmarkStart w:id="293" w:name="_Toc95123128"/>
      <w:r>
        <w:rPr>
          <w:rStyle w:val="CharSectno"/>
        </w:rPr>
        <w:t>218</w:t>
      </w:r>
      <w:r>
        <w:t>.</w:t>
      </w:r>
      <w:r>
        <w:tab/>
        <w:t>Application of Commonwealth Ombudsman Act</w:t>
      </w:r>
      <w:bookmarkEnd w:id="293"/>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294" w:name="_Toc95123129"/>
      <w:r>
        <w:rPr>
          <w:rStyle w:val="CharSectno"/>
        </w:rPr>
        <w:t>219</w:t>
      </w:r>
      <w:r>
        <w:t>.</w:t>
      </w:r>
      <w:r>
        <w:tab/>
        <w:t>Modifications relating to Education and Care Services Ombudsman and staff</w:t>
      </w:r>
      <w:bookmarkEnd w:id="294"/>
      <w:r>
        <w:t xml:space="preserve"> </w:t>
      </w:r>
    </w:p>
    <w:p>
      <w:pPr>
        <w:pStyle w:val="Subsection"/>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295" w:name="_Toc95123130"/>
      <w:r>
        <w:rPr>
          <w:rStyle w:val="CharSectno"/>
        </w:rPr>
        <w:t>220</w:t>
      </w:r>
      <w:r>
        <w:t>.</w:t>
      </w:r>
      <w:r>
        <w:tab/>
        <w:t>Modifications about financial matters</w:t>
      </w:r>
      <w:bookmarkEnd w:id="295"/>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296" w:name="_Toc95123131"/>
      <w:r>
        <w:rPr>
          <w:rStyle w:val="CharSectno"/>
        </w:rPr>
        <w:t>221</w:t>
      </w:r>
      <w:r>
        <w:t>.</w:t>
      </w:r>
      <w:r>
        <w:tab/>
        <w:t>Modifications about annual report</w:t>
      </w:r>
      <w:bookmarkEnd w:id="296"/>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97" w:name="_Toc95123132"/>
      <w:r>
        <w:rPr>
          <w:rStyle w:val="CharSectno"/>
        </w:rPr>
        <w:t>222</w:t>
      </w:r>
      <w:r>
        <w:t>.</w:t>
      </w:r>
      <w:r>
        <w:tab/>
        <w:t>Modifications relating to National Authority and Regulatory Authorities</w:t>
      </w:r>
      <w:bookmarkEnd w:id="297"/>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298" w:name="_Toc95123133"/>
      <w:r>
        <w:rPr>
          <w:rStyle w:val="CharSectno"/>
        </w:rPr>
        <w:t>223</w:t>
      </w:r>
      <w:r>
        <w:t>.</w:t>
      </w:r>
      <w:r>
        <w:tab/>
        <w:t>Miscellaneous modifications</w:t>
      </w:r>
      <w:bookmarkEnd w:id="298"/>
      <w:r>
        <w:t xml:space="preserve"> </w:t>
      </w:r>
    </w:p>
    <w:p>
      <w:pPr>
        <w:pStyle w:val="Subsection"/>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spacing w:before="56"/>
      </w:pPr>
      <w:r>
        <w:tab/>
        <w:t>(g)</w:t>
      </w:r>
      <w:r>
        <w:tab/>
        <w:t xml:space="preserve">as if — </w:t>
      </w:r>
    </w:p>
    <w:p>
      <w:pPr>
        <w:pStyle w:val="Indenti"/>
        <w:spacing w:before="56"/>
      </w:pPr>
      <w:r>
        <w:tab/>
        <w:t>(i)</w:t>
      </w:r>
      <w:r>
        <w:tab/>
        <w:t>a reference to the Administrative Appeals Tribunal were a reference to a relevant administrative tribunal; and</w:t>
      </w:r>
    </w:p>
    <w:p>
      <w:pPr>
        <w:pStyle w:val="Indenti"/>
        <w:spacing w:before="56"/>
      </w:pPr>
      <w:r>
        <w:tab/>
        <w:t>(ii)</w:t>
      </w:r>
      <w:r>
        <w:tab/>
        <w:t xml:space="preserve">a provision of the </w:t>
      </w:r>
      <w:r>
        <w:rPr>
          <w:i/>
        </w:rPr>
        <w:t>Administrative Appeals Tribunal Act 1975</w:t>
      </w:r>
      <w:r>
        <w:t xml:space="preserve">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spacing w:before="56"/>
      </w:pPr>
      <w:r>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spacing w:before="56"/>
      </w:pPr>
      <w:r>
        <w:lastRenderedPageBreak/>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Heading5"/>
      </w:pPr>
      <w:bookmarkStart w:id="299" w:name="_Toc95123134"/>
      <w:r>
        <w:rPr>
          <w:rStyle w:val="CharSectno"/>
        </w:rPr>
        <w:t>224</w:t>
      </w:r>
      <w:r>
        <w:t>.</w:t>
      </w:r>
      <w:r>
        <w:tab/>
        <w:t>Relevant administrative tribunal</w:t>
      </w:r>
      <w:bookmarkEnd w:id="299"/>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300" w:name="_Toc95123135"/>
      <w:r>
        <w:rPr>
          <w:rStyle w:val="CharSectno"/>
        </w:rPr>
        <w:lastRenderedPageBreak/>
        <w:t>225</w:t>
      </w:r>
      <w:r>
        <w:t>.</w:t>
      </w:r>
      <w:r>
        <w:tab/>
        <w:t>Regulations</w:t>
      </w:r>
      <w:bookmarkEnd w:id="300"/>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301" w:name="_Toc95123136"/>
      <w:r>
        <w:t>Division 5 — Publication of information</w:t>
      </w:r>
      <w:bookmarkEnd w:id="301"/>
    </w:p>
    <w:p>
      <w:pPr>
        <w:pStyle w:val="Heading5"/>
      </w:pPr>
      <w:bookmarkStart w:id="302" w:name="_Toc95123137"/>
      <w:r>
        <w:rPr>
          <w:rStyle w:val="CharSectno"/>
        </w:rPr>
        <w:t>226</w:t>
      </w:r>
      <w:r>
        <w:t>.</w:t>
      </w:r>
      <w:r>
        <w:tab/>
        <w:t>Publication of information</w:t>
      </w:r>
      <w:bookmarkEnd w:id="302"/>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303" w:name="_Toc95123138"/>
      <w:r>
        <w:rPr>
          <w:rStyle w:val="CharSectno"/>
        </w:rPr>
        <w:t>227</w:t>
      </w:r>
      <w:r>
        <w:t>.</w:t>
      </w:r>
      <w:r>
        <w:tab/>
        <w:t>Compliance and enforcement information</w:t>
      </w:r>
      <w:bookmarkEnd w:id="303"/>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lastRenderedPageBreak/>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lastRenderedPageBreak/>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information about any steps taken to remedy the subject of the enforceable 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lastRenderedPageBreak/>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pPr>
      <w:r>
        <w:tab/>
        <w:t>(v)</w:t>
      </w:r>
      <w:r>
        <w:tab/>
        <w:t>for a suspension of a provider approval or service approval —</w:t>
      </w:r>
    </w:p>
    <w:p>
      <w:pPr>
        <w:pStyle w:val="IndentI0"/>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lastRenderedPageBreak/>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w:t>
      </w:r>
    </w:p>
    <w:p>
      <w:pPr>
        <w:pStyle w:val="Heading5"/>
      </w:pPr>
      <w:bookmarkStart w:id="304" w:name="_Toc95123139"/>
      <w:r>
        <w:rPr>
          <w:rStyle w:val="CharSectno"/>
        </w:rPr>
        <w:t>228</w:t>
      </w:r>
      <w:r>
        <w:t>.</w:t>
      </w:r>
      <w:r>
        <w:tab/>
        <w:t>Timing of publication where internal or external review of enforcement action is available</w:t>
      </w:r>
      <w:bookmarkEnd w:id="304"/>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 xml:space="preserve">If an application is made for an external review, the Regulatory Authority may publish the information on or after the day on </w:t>
      </w:r>
      <w:r>
        <w:lastRenderedPageBreak/>
        <w:t>which the decision with respect to the review is made if the enforcement action is confirmed or amended on review, or if another enforcement action is substituted on review.</w:t>
      </w:r>
    </w:p>
    <w:p>
      <w:pPr>
        <w:pStyle w:val="Heading4"/>
      </w:pPr>
      <w:bookmarkStart w:id="305" w:name="_Toc95123140"/>
      <w:r>
        <w:t>Division 6 — Registers</w:t>
      </w:r>
      <w:bookmarkEnd w:id="305"/>
    </w:p>
    <w:p>
      <w:pPr>
        <w:pStyle w:val="Heading5"/>
      </w:pPr>
      <w:bookmarkStart w:id="306" w:name="_Toc95123141"/>
      <w:r>
        <w:rPr>
          <w:rStyle w:val="CharSectno"/>
        </w:rPr>
        <w:t>229</w:t>
      </w:r>
      <w:r>
        <w:t>.</w:t>
      </w:r>
      <w:r>
        <w:tab/>
        <w:t>Register of approved providers</w:t>
      </w:r>
      <w:bookmarkEnd w:id="306"/>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307" w:name="_Toc95123142"/>
      <w:r>
        <w:rPr>
          <w:rStyle w:val="CharSectno"/>
        </w:rPr>
        <w:t>230</w:t>
      </w:r>
      <w:r>
        <w:t>.</w:t>
      </w:r>
      <w:r>
        <w:tab/>
        <w:t>Register of approved education and care services</w:t>
      </w:r>
      <w:bookmarkEnd w:id="307"/>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rPr>
          <w:rStyle w:val="CharSectno"/>
        </w:rPr>
      </w:pPr>
      <w:r>
        <w:rPr>
          <w:rStyle w:val="CharSectno"/>
        </w:rPr>
        <w:t>[</w:t>
      </w:r>
      <w:r>
        <w:rPr>
          <w:rStyle w:val="CharSectno"/>
          <w:b/>
        </w:rPr>
        <w:t>231.</w:t>
      </w:r>
      <w:r>
        <w:rPr>
          <w:rStyle w:val="CharSectno"/>
        </w:rPr>
        <w:tab/>
        <w:t>Deleted: Gazette</w:t>
      </w:r>
      <w:r>
        <w:t xml:space="preserve"> 28 Sep 2018 p. 3648.]</w:t>
      </w:r>
    </w:p>
    <w:p>
      <w:pPr>
        <w:pStyle w:val="Heading3"/>
      </w:pPr>
      <w:bookmarkStart w:id="308" w:name="_Toc95123143"/>
      <w:r>
        <w:rPr>
          <w:rStyle w:val="CharDivNo"/>
        </w:rPr>
        <w:lastRenderedPageBreak/>
        <w:t>Part 6.3</w:t>
      </w:r>
      <w:r>
        <w:t> — </w:t>
      </w:r>
      <w:r>
        <w:rPr>
          <w:rStyle w:val="CharDivText"/>
        </w:rPr>
        <w:t>Fees</w:t>
      </w:r>
      <w:bookmarkEnd w:id="308"/>
    </w:p>
    <w:p>
      <w:pPr>
        <w:pStyle w:val="Heading5"/>
      </w:pPr>
      <w:bookmarkStart w:id="309" w:name="_Toc95123144"/>
      <w:r>
        <w:rPr>
          <w:rStyle w:val="CharSectno"/>
        </w:rPr>
        <w:t>232</w:t>
      </w:r>
      <w:r>
        <w:t>.</w:t>
      </w:r>
      <w:r>
        <w:tab/>
        <w:t>Prescribed fees</w:t>
      </w:r>
      <w:bookmarkEnd w:id="309"/>
      <w:r>
        <w:t xml:space="preserve"> </w:t>
      </w:r>
    </w:p>
    <w:p>
      <w:pPr>
        <w:pStyle w:val="Subsection"/>
      </w:pPr>
      <w:r>
        <w:tab/>
      </w:r>
      <w:r>
        <w:tab/>
        <w:t>The prescribed fee payable under a provision of the Law is the relevant fee in Schedule 2 in relation to that provision of the Law.</w:t>
      </w:r>
    </w:p>
    <w:p>
      <w:pPr>
        <w:pStyle w:val="PermNoteHeading"/>
      </w:pPr>
      <w:r>
        <w:tab/>
        <w:t>Note for this regulation:</w:t>
      </w:r>
    </w:p>
    <w:p>
      <w:pPr>
        <w:pStyle w:val="PermNoteText"/>
      </w:pPr>
      <w:r>
        <w:tab/>
      </w:r>
      <w:r>
        <w:tab/>
        <w:t>See also regulations 138 and 139, which also provide for the payment of fees.</w:t>
      </w:r>
    </w:p>
    <w:p>
      <w:pPr>
        <w:pStyle w:val="Heading5"/>
      </w:pPr>
      <w:bookmarkStart w:id="310" w:name="_Toc95123145"/>
      <w:r>
        <w:rPr>
          <w:rStyle w:val="CharSectno"/>
        </w:rPr>
        <w:t>233</w:t>
      </w:r>
      <w:r>
        <w:t>.</w:t>
      </w:r>
      <w:r>
        <w:tab/>
        <w:t>Late payment fees (annual fees)</w:t>
      </w:r>
      <w:bookmarkEnd w:id="310"/>
      <w:r>
        <w:t xml:space="preserve"> </w:t>
      </w:r>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tab/>
        <w:t>(2)</w:t>
      </w:r>
      <w:r>
        <w:tab/>
        <w:t>The late payment fee is 15% of the relevant annual fee prescribed for the purposes of regulation 33.</w:t>
      </w:r>
    </w:p>
    <w:p>
      <w:pPr>
        <w:pStyle w:val="Heading5"/>
      </w:pPr>
      <w:bookmarkStart w:id="311" w:name="_Toc95123146"/>
      <w:r>
        <w:rPr>
          <w:rStyle w:val="CharSectno"/>
        </w:rPr>
        <w:t>234</w:t>
      </w:r>
      <w:r>
        <w:t>.</w:t>
      </w:r>
      <w:r>
        <w:tab/>
        <w:t>Waiver, reduction, deferral and refund of fees</w:t>
      </w:r>
      <w:bookmarkEnd w:id="311"/>
      <w:r>
        <w:t xml:space="preserve"> </w:t>
      </w:r>
    </w:p>
    <w:p>
      <w:pPr>
        <w:pStyle w:val="Subsection"/>
      </w:pPr>
      <w:r>
        <w:tab/>
      </w:r>
      <w:r>
        <w:tab/>
        <w:t>The National Authority may waive, reduce, defer or refund any fee payable or paid to it under the Law if there are exceptional circumstances.</w:t>
      </w:r>
    </w:p>
    <w:p>
      <w:pPr>
        <w:pStyle w:val="Heading5"/>
      </w:pPr>
      <w:bookmarkStart w:id="312" w:name="_Toc95123147"/>
      <w:r>
        <w:rPr>
          <w:rStyle w:val="CharSectno"/>
        </w:rPr>
        <w:t>235</w:t>
      </w:r>
      <w:r>
        <w:t>.</w:t>
      </w:r>
      <w:r>
        <w:tab/>
        <w:t>Indexation of fees</w:t>
      </w:r>
      <w:bookmarkEnd w:id="312"/>
      <w:r>
        <w:t xml:space="preserve"> </w:t>
      </w:r>
    </w:p>
    <w:p>
      <w:pPr>
        <w:pStyle w:val="Ednotesubsection"/>
      </w:pPr>
      <w:r>
        <w:tab/>
        <w:t>[(1)</w:t>
      </w:r>
      <w:r>
        <w:tab/>
        <w:t>deleted]</w:t>
      </w:r>
    </w:p>
    <w:p>
      <w:pPr>
        <w:pStyle w:val="Subsection"/>
      </w:pPr>
      <w:r>
        <w:tab/>
        <w:t>(2)</w:t>
      </w:r>
      <w:r>
        <w:tab/>
        <w:t xml:space="preserve">If a fee is required to be paid under the Law or these regulations in a financial year starting on 1 July 2013, or 1 July in a later year (the </w:t>
      </w:r>
      <w:r>
        <w:rPr>
          <w:rStyle w:val="CharDefText"/>
        </w:rPr>
        <w:t>relevant year</w:t>
      </w:r>
      <w:r>
        <w:t xml:space="preserve">), the amount of the fee is to be worked out as follows — </w:t>
      </w:r>
    </w:p>
    <w:p>
      <w:pPr>
        <w:pStyle w:val="Indenta"/>
      </w:pPr>
      <w:r>
        <w:tab/>
        <w:t>(a)</w:t>
      </w:r>
      <w:r>
        <w:tab/>
        <w:t>identify the amount of the fee payable for the relevant matter in the previous year;</w:t>
      </w:r>
    </w:p>
    <w:p>
      <w:pPr>
        <w:pStyle w:val="Indenta"/>
      </w:pPr>
      <w:r>
        <w:tab/>
        <w:t>(b)</w:t>
      </w:r>
      <w:r>
        <w:tab/>
        <w:t>multiply the amount by the indexation factor for the relevant year;</w:t>
      </w:r>
    </w:p>
    <w:p>
      <w:pPr>
        <w:pStyle w:val="Indenta"/>
      </w:pPr>
      <w:r>
        <w:lastRenderedPageBreak/>
        <w:tab/>
        <w:t>(c)</w:t>
      </w:r>
      <w:r>
        <w:tab/>
        <w:t>round the result down to the nearest whole dollar.</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An indexed fee for an application for a provider approval for the year starting 1 July 2013 would be worked out by multiplying $200 (the fee payable in the previous year) by the indexation factor for 2013</w:t>
      </w:r>
      <w:r>
        <w:rPr>
          <w:rFonts w:ascii="Arial" w:hAnsi="Arial" w:cs="Arial"/>
          <w:sz w:val="18"/>
          <w:szCs w:val="18"/>
        </w:rPr>
        <w:noBreakHyphen/>
        <w:t>2014 worked out under subregulation (3), and then rounding the result down.</w:t>
      </w:r>
    </w:p>
    <w:p>
      <w:pPr>
        <w:pStyle w:val="Subsection"/>
      </w:pPr>
      <w:r>
        <w:tab/>
        <w:t>(3)</w:t>
      </w:r>
      <w:r>
        <w:tab/>
        <w:t xml:space="preserve">The indexation factor is worked out using the following formula — </w:t>
      </w:r>
    </w:p>
    <w:p>
      <w:pPr>
        <w:pStyle w:val="Equation"/>
        <w:spacing w:before="160"/>
        <w:jc w:val="center"/>
      </w:pPr>
      <w:r>
        <w:rPr>
          <w:position w:val="-24"/>
        </w:rPr>
        <w:object w:dxaOrig="4500" w:dyaOrig="5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65pt;height:26.9pt" o:ole="">
            <v:imagedata r:id="rId21" o:title=""/>
          </v:shape>
          <o:OLEObject Type="Embed" ProgID="Equation.3" ShapeID="_x0000_i1025" DrawAspect="Content" ObjectID="_1705735701" r:id="rId22"/>
        </w:object>
      </w:r>
    </w:p>
    <w:p>
      <w:pPr>
        <w:pStyle w:val="Subsection"/>
      </w:pPr>
      <w:r>
        <w:tab/>
      </w:r>
      <w:r>
        <w:tab/>
        <w:t>Where —</w:t>
      </w:r>
    </w:p>
    <w:p>
      <w:pPr>
        <w:pStyle w:val="Defstart"/>
      </w:pPr>
      <w:r>
        <w:tab/>
      </w:r>
      <w:r>
        <w:rPr>
          <w:rStyle w:val="CharDefText"/>
        </w:rPr>
        <w:t>index number</w:t>
      </w:r>
      <w:r>
        <w:t>, for a quarter, means the All Groups Consumer Price Index Number (being the weighted average of the 8 capital cities) published by the Australian Statistician for that quarter;</w:t>
      </w:r>
    </w:p>
    <w:p>
      <w:pPr>
        <w:pStyle w:val="Defstart"/>
      </w:pPr>
      <w:r>
        <w:tab/>
      </w:r>
      <w:r>
        <w:rPr>
          <w:rStyle w:val="CharDefText"/>
        </w:rPr>
        <w:t>most recent March year</w:t>
      </w:r>
      <w:r>
        <w:t xml:space="preserve"> means the period of 12 months ending on 31 March in the financial year that occurred immediately before the application year;</w:t>
      </w:r>
    </w:p>
    <w:p>
      <w:pPr>
        <w:pStyle w:val="Defstart"/>
      </w:pPr>
      <w:r>
        <w:tab/>
      </w:r>
      <w:r>
        <w:rPr>
          <w:rStyle w:val="CharDefText"/>
        </w:rPr>
        <w:t>previous March year</w:t>
      </w:r>
      <w:r>
        <w:t xml:space="preserve"> means the period of 12 months immediately preceding the most recent March year;</w:t>
      </w:r>
    </w:p>
    <w:p>
      <w:pPr>
        <w:pStyle w:val="Defstart"/>
      </w:pPr>
      <w:r>
        <w:tab/>
      </w:r>
      <w:r>
        <w:rPr>
          <w:rStyle w:val="CharDefText"/>
        </w:rPr>
        <w:t>quarter</w:t>
      </w:r>
      <w:r>
        <w:t xml:space="preserve"> means a period of 3 months ending on 31 March, 30 June, 30 September or 31 December.</w:t>
      </w:r>
    </w:p>
    <w:p>
      <w:pPr>
        <w:pStyle w:val="Subsection"/>
      </w:pPr>
      <w:r>
        <w:tab/>
        <w:t>(4)</w:t>
      </w:r>
      <w:r>
        <w:tab/>
        <w:t>The result worked out under subregulation (3) must be rounded up or down to 3 decimal places, rounding up if the result ends in 0·0005.</w:t>
      </w:r>
    </w:p>
    <w:p>
      <w:pPr>
        <w:pStyle w:val="Subsection"/>
        <w:keepNext/>
      </w:pPr>
      <w:r>
        <w:tab/>
        <w:t>(5)</w:t>
      </w:r>
      <w:r>
        <w:tab/>
        <w:t xml:space="preserve">A calculation under subregulation (3) is to be made — </w:t>
      </w:r>
    </w:p>
    <w:p>
      <w:pPr>
        <w:pStyle w:val="Indenta"/>
      </w:pPr>
      <w:r>
        <w:tab/>
        <w:t>(a)</w:t>
      </w:r>
      <w:r>
        <w:tab/>
        <w:t>using the index numbers published in terms of the most recently published reference base for the Consumer Price Index; and</w:t>
      </w:r>
    </w:p>
    <w:p>
      <w:pPr>
        <w:pStyle w:val="Indenta"/>
        <w:keepNext/>
      </w:pPr>
      <w:r>
        <w:tab/>
        <w:t>(b)</w:t>
      </w:r>
      <w:r>
        <w:tab/>
        <w:t xml:space="preserve">disregarding index numbers that are published in substitution for previously published index numbers </w:t>
      </w:r>
      <w:r>
        <w:lastRenderedPageBreak/>
        <w:t>(unless the substituted numbers are published to take account of changes in the reference base).</w:t>
      </w:r>
    </w:p>
    <w:p>
      <w:pPr>
        <w:pStyle w:val="Footnotesection"/>
      </w:pPr>
      <w:r>
        <w:tab/>
        <w:t>[Regulation 235 amended: Gazette 24 Dec 2019 p. 4426.]</w:t>
      </w:r>
    </w:p>
    <w:p>
      <w:pPr>
        <w:pStyle w:val="Heading5"/>
      </w:pPr>
      <w:bookmarkStart w:id="313" w:name="_Toc95123148"/>
      <w:r>
        <w:rPr>
          <w:rStyle w:val="CharSectno"/>
        </w:rPr>
        <w:t>236</w:t>
      </w:r>
      <w:r>
        <w:t>.</w:t>
      </w:r>
      <w:r>
        <w:tab/>
        <w:t>Publication of indexed fees</w:t>
      </w:r>
      <w:bookmarkEnd w:id="313"/>
      <w:r>
        <w:t xml:space="preserve"> </w:t>
      </w:r>
    </w:p>
    <w:p>
      <w:pPr>
        <w:pStyle w:val="Subsection"/>
      </w:pPr>
      <w:r>
        <w:tab/>
        <w:t>(1)</w:t>
      </w:r>
      <w:r>
        <w:tab/>
        <w:t>The National Authority must, before the financial year commencing 1 July in each year after 2012, publish the fees applicable for that financial year determined in accordance with regulation 235.</w:t>
      </w:r>
    </w:p>
    <w:p>
      <w:pPr>
        <w:pStyle w:val="Subsection"/>
      </w:pPr>
      <w:r>
        <w:tab/>
        <w:t>(2)</w:t>
      </w:r>
      <w:r>
        <w:tab/>
        <w:t>The Regulatory Authority may also publish the fees referred to in subregulation (1).</w:t>
      </w:r>
    </w:p>
    <w:p>
      <w:pPr>
        <w:pStyle w:val="Heading3"/>
      </w:pPr>
      <w:bookmarkStart w:id="314" w:name="_Toc95123149"/>
      <w:r>
        <w:rPr>
          <w:rStyle w:val="CharDivNo"/>
        </w:rPr>
        <w:t>Part 6.4</w:t>
      </w:r>
      <w:r>
        <w:t> — </w:t>
      </w:r>
      <w:r>
        <w:rPr>
          <w:rStyle w:val="CharDivText"/>
        </w:rPr>
        <w:t>Delegations</w:t>
      </w:r>
      <w:bookmarkEnd w:id="314"/>
    </w:p>
    <w:p>
      <w:pPr>
        <w:pStyle w:val="Heading5"/>
      </w:pPr>
      <w:bookmarkStart w:id="315" w:name="_Toc95123150"/>
      <w:r>
        <w:rPr>
          <w:rStyle w:val="CharSectno"/>
        </w:rPr>
        <w:t>237</w:t>
      </w:r>
      <w:r>
        <w:t>.</w:t>
      </w:r>
      <w:r>
        <w:tab/>
        <w:t>Delegation</w:t>
      </w:r>
      <w:bookmarkEnd w:id="315"/>
      <w:r>
        <w:t xml:space="preserve"> </w:t>
      </w:r>
    </w:p>
    <w:p>
      <w:pPr>
        <w:pStyle w:val="Subsection"/>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316" w:name="_Toc95123151"/>
      <w:r>
        <w:rPr>
          <w:rStyle w:val="CharPartNo"/>
        </w:rPr>
        <w:lastRenderedPageBreak/>
        <w:t>Chapter 7</w:t>
      </w:r>
      <w:r>
        <w:t> — </w:t>
      </w:r>
      <w:r>
        <w:rPr>
          <w:rStyle w:val="CharPartText"/>
        </w:rPr>
        <w:t>Jurisdiction</w:t>
      </w:r>
      <w:r>
        <w:rPr>
          <w:rStyle w:val="CharPartText"/>
        </w:rPr>
        <w:noBreakHyphen/>
        <w:t>specific and transitional and saving provisions</w:t>
      </w:r>
      <w:bookmarkEnd w:id="316"/>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317" w:name="_Toc95123152"/>
      <w:r>
        <w:rPr>
          <w:rStyle w:val="CharDivNo"/>
        </w:rPr>
        <w:t>Part 7.1</w:t>
      </w:r>
      <w:r>
        <w:t> — </w:t>
      </w:r>
      <w:r>
        <w:rPr>
          <w:rStyle w:val="CharDivText"/>
        </w:rPr>
        <w:t>General transitional and saving provisions</w:t>
      </w:r>
      <w:bookmarkEnd w:id="317"/>
    </w:p>
    <w:p>
      <w:pPr>
        <w:pStyle w:val="Ednotedivision"/>
      </w:pPr>
      <w:r>
        <w:t>[Divisions 1 and 1A deleted: Gazette 28 Sep 2018 p. 3648.]</w:t>
      </w:r>
    </w:p>
    <w:p>
      <w:pPr>
        <w:pStyle w:val="Heading4"/>
      </w:pPr>
      <w:bookmarkStart w:id="318" w:name="_Toc95123153"/>
      <w:r>
        <w:t>Division 2 — Staffing arrangements</w:t>
      </w:r>
      <w:bookmarkEnd w:id="318"/>
    </w:p>
    <w:p>
      <w:pPr>
        <w:pStyle w:val="Heading5"/>
      </w:pPr>
      <w:bookmarkStart w:id="319" w:name="_Toc95123154"/>
      <w:r>
        <w:rPr>
          <w:rStyle w:val="CharSectno"/>
        </w:rPr>
        <w:t>239</w:t>
      </w:r>
      <w:r>
        <w:t>.</w:t>
      </w:r>
      <w:r>
        <w:tab/>
        <w:t>Centre</w:t>
      </w:r>
      <w:r>
        <w:noBreakHyphen/>
        <w:t>based service offering a preschool program in a composite class in a school</w:t>
      </w:r>
      <w:bookmarkEnd w:id="319"/>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320" w:name="_Toc95123155"/>
      <w:r>
        <w:rPr>
          <w:rStyle w:val="CharSectno"/>
        </w:rPr>
        <w:t>239A</w:t>
      </w:r>
      <w:r>
        <w:t>.</w:t>
      </w:r>
      <w:r>
        <w:tab/>
        <w:t>Centre</w:t>
      </w:r>
      <w:r>
        <w:noBreakHyphen/>
        <w:t>based services in remote and very remote areas — attendance of early childhood teachers</w:t>
      </w:r>
      <w:bookmarkEnd w:id="320"/>
    </w:p>
    <w:p>
      <w:pPr>
        <w:pStyle w:val="Subsection"/>
      </w:pPr>
      <w:r>
        <w:tab/>
        <w:t>(1)</w:t>
      </w:r>
      <w:r>
        <w:tab/>
        <w:t>This regulation applies until 31 December 2023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tab/>
        <w:t>(ii)</w:t>
      </w:r>
      <w:r>
        <w:tab/>
        <w:t xml:space="preserve">a second early childhood teacher or a suitably qualified person working with the service at least </w:t>
      </w:r>
      <w:r>
        <w:lastRenderedPageBreak/>
        <w:t>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and regulation 240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w:t>
      </w:r>
    </w:p>
    <w:p>
      <w:pPr>
        <w:pStyle w:val="Heading5"/>
      </w:pPr>
      <w:bookmarkStart w:id="321" w:name="_Toc95123156"/>
      <w:r>
        <w:rPr>
          <w:rStyle w:val="CharSectno"/>
        </w:rPr>
        <w:t>240</w:t>
      </w:r>
      <w:r>
        <w:t>.</w:t>
      </w:r>
      <w:r>
        <w:tab/>
        <w:t>Qualifications for educators — centre</w:t>
      </w:r>
      <w:r>
        <w:noBreakHyphen/>
        <w:t>based service</w:t>
      </w:r>
      <w:bookmarkEnd w:id="321"/>
      <w:r>
        <w:t xml:space="preserve"> </w:t>
      </w:r>
    </w:p>
    <w:p>
      <w:pPr>
        <w:pStyle w:val="Subsection"/>
      </w:pPr>
      <w:r>
        <w:tab/>
        <w:t>(1)</w:t>
      </w:r>
      <w:r>
        <w:tab/>
        <w:t>This regulation applies until 31 December 2023 to a centre</w:t>
      </w:r>
      <w:r>
        <w:noBreakHyphen/>
        <w:t>based service located in a remote area or a very remote area.</w:t>
      </w:r>
    </w:p>
    <w:p>
      <w:pPr>
        <w:pStyle w:val="PermNoteHeading"/>
      </w:pPr>
      <w:r>
        <w:tab/>
        <w:t>Note for this subregulation:</w:t>
      </w:r>
    </w:p>
    <w:p>
      <w:pPr>
        <w:pStyle w:val="PermNoteText"/>
      </w:pPr>
      <w:r>
        <w:tab/>
      </w:r>
      <w:r>
        <w:tab/>
        <w:t>This subregulation differs from regulation 240(1) of the national regulations made by the Ministerial Council.</w:t>
      </w:r>
    </w:p>
    <w:p>
      <w:pPr>
        <w:pStyle w:val="Subsection"/>
      </w:pPr>
      <w:r>
        <w:lastRenderedPageBreak/>
        <w:tab/>
        <w:t>(2)</w:t>
      </w:r>
      <w:r>
        <w:tab/>
        <w:t>Despite regulation 126(1)(b), an educator at a centre</w:t>
      </w:r>
      <w:r>
        <w:noBreakHyphen/>
        <w:t xml:space="preserve">based service can be included to meet a relevant educator to child ratio for the service without having, or actively working towards, a certificate III level education and care qualification if — </w:t>
      </w:r>
    </w:p>
    <w:p>
      <w:pPr>
        <w:pStyle w:val="Indenta"/>
      </w:pPr>
      <w:r>
        <w:tab/>
        <w:t>(a)</w:t>
      </w:r>
      <w:r>
        <w:tab/>
        <w:t>the educator has been continuously employed as an educator in an education and care service or a children’s service for a period of at least 15 years up to immediately before the scheme commencement day; and</w:t>
      </w:r>
    </w:p>
    <w:p>
      <w:pPr>
        <w:pStyle w:val="Indenta"/>
      </w:pPr>
      <w:r>
        <w:tab/>
        <w:t>(b)</w:t>
      </w:r>
      <w:r>
        <w:tab/>
        <w:t>the educator is employed by the same approved provider as the educator was employed by immediately before the scheme commencement day.</w:t>
      </w:r>
    </w:p>
    <w:p>
      <w:pPr>
        <w:pStyle w:val="Footnotesection"/>
      </w:pPr>
      <w:r>
        <w:tab/>
        <w:t>[Regulation 240 amended: Gazette 28 Nov 2014 p. 4410; 3 Nov 2017 p. 5485; 26 Jun 2018 p. 2359; 24 Dec 2019 p. 4427.]</w:t>
      </w:r>
    </w:p>
    <w:p>
      <w:pPr>
        <w:pStyle w:val="Heading5"/>
      </w:pPr>
      <w:bookmarkStart w:id="322" w:name="_Toc95123157"/>
      <w:r>
        <w:rPr>
          <w:rStyle w:val="CharSectno"/>
        </w:rPr>
        <w:t>241</w:t>
      </w:r>
      <w:r>
        <w:t>.</w:t>
      </w:r>
      <w:r>
        <w:tab/>
        <w:t>Persons taken to hold an approved early childhood teaching qualification</w:t>
      </w:r>
      <w:bookmarkEnd w:id="322"/>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lastRenderedPageBreak/>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lastRenderedPageBreak/>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lastRenderedPageBreak/>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323" w:name="_Toc95123158"/>
      <w:r>
        <w:rPr>
          <w:rStyle w:val="CharSectno"/>
        </w:rPr>
        <w:t>242</w:t>
      </w:r>
      <w:r>
        <w:t>.</w:t>
      </w:r>
      <w:r>
        <w:tab/>
        <w:t>Persons taken to be early childhood teachers</w:t>
      </w:r>
      <w:bookmarkEnd w:id="323"/>
      <w:r>
        <w:t xml:space="preserve"> </w:t>
      </w:r>
    </w:p>
    <w:p>
      <w:pPr>
        <w:pStyle w:val="Subsection"/>
        <w:spacing w:before="180"/>
      </w:pPr>
      <w:r>
        <w:tab/>
        <w:t>(1)</w:t>
      </w:r>
      <w:r>
        <w:tab/>
        <w:t>This regulation applies on and after 1 January 2014 and before 31 December 2023.</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pPr>
      <w:r>
        <w:tab/>
        <w:t>(3)</w:t>
      </w:r>
      <w:r>
        <w:tab/>
        <w:t xml:space="preserve">In this regulation — </w:t>
      </w:r>
    </w:p>
    <w:p>
      <w:pPr>
        <w:pStyle w:val="Defstar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w:t>
      </w:r>
    </w:p>
    <w:p>
      <w:pPr>
        <w:pStyle w:val="Heading5"/>
      </w:pPr>
      <w:bookmarkStart w:id="324" w:name="_Toc95123159"/>
      <w:r>
        <w:rPr>
          <w:rStyle w:val="CharSectno"/>
        </w:rPr>
        <w:lastRenderedPageBreak/>
        <w:t>243</w:t>
      </w:r>
      <w:r>
        <w:t>.</w:t>
      </w:r>
      <w:r>
        <w:tab/>
        <w:t>Persons taken to hold an approved diploma level education and care qualification</w:t>
      </w:r>
      <w:bookmarkEnd w:id="324"/>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325" w:name="_Toc95123160"/>
      <w:r>
        <w:rPr>
          <w:rStyle w:val="CharSectno"/>
        </w:rPr>
        <w:t>243A</w:t>
      </w:r>
      <w:r>
        <w:t>.</w:t>
      </w:r>
      <w:r>
        <w:tab/>
        <w:t>Persons taken to hold an approved diploma level education and care qualification for regulation 128 in Queensland</w:t>
      </w:r>
      <w:bookmarkEnd w:id="325"/>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326" w:name="_Toc95123161"/>
      <w:r>
        <w:rPr>
          <w:rStyle w:val="CharSectno"/>
        </w:rPr>
        <w:lastRenderedPageBreak/>
        <w:t>244</w:t>
      </w:r>
      <w:r>
        <w:t>.</w:t>
      </w:r>
      <w:r>
        <w:tab/>
        <w:t>Persons taken to hold an approved certificate III level education and care qualification</w:t>
      </w:r>
      <w:bookmarkEnd w:id="326"/>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held a qualification that is published under regulation 137(2)(a) in the list of former qualifications 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327" w:name="_Toc95123162"/>
      <w:r>
        <w:t>Division 3 — Physical environment</w:t>
      </w:r>
      <w:bookmarkEnd w:id="327"/>
    </w:p>
    <w:p>
      <w:pPr>
        <w:pStyle w:val="Heading5"/>
      </w:pPr>
      <w:bookmarkStart w:id="328" w:name="_Toc95123163"/>
      <w:r>
        <w:rPr>
          <w:rStyle w:val="CharSectno"/>
        </w:rPr>
        <w:t>248</w:t>
      </w:r>
      <w:r>
        <w:t>.</w:t>
      </w:r>
      <w:r>
        <w:tab/>
        <w:t>Centre</w:t>
      </w:r>
      <w:r>
        <w:noBreakHyphen/>
        <w:t>based service offering a preschool program in a composite class in a school</w:t>
      </w:r>
      <w:bookmarkEnd w:id="328"/>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329" w:name="_Toc95123164"/>
      <w:r>
        <w:rPr>
          <w:rStyle w:val="CharSectno"/>
        </w:rPr>
        <w:t>249</w:t>
      </w:r>
      <w:r>
        <w:t>.</w:t>
      </w:r>
      <w:r>
        <w:tab/>
        <w:t>Declared approved services (other than declared approved family day care services)</w:t>
      </w:r>
      <w:bookmarkEnd w:id="329"/>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330" w:name="_Toc95123165"/>
      <w:r>
        <w:rPr>
          <w:rStyle w:val="CharSectno"/>
        </w:rPr>
        <w:lastRenderedPageBreak/>
        <w:t>250</w:t>
      </w:r>
      <w:r>
        <w:t>.</w:t>
      </w:r>
      <w:r>
        <w:tab/>
        <w:t>Declared approved family day care services</w:t>
      </w:r>
      <w:bookmarkEnd w:id="330"/>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331" w:name="_Toc95123166"/>
      <w:r>
        <w:rPr>
          <w:rStyle w:val="CharSectno"/>
        </w:rPr>
        <w:t>251</w:t>
      </w:r>
      <w:r>
        <w:t>.</w:t>
      </w:r>
      <w:r>
        <w:tab/>
        <w:t>Declared out of scope services</w:t>
      </w:r>
      <w:bookmarkEnd w:id="331"/>
    </w:p>
    <w:p>
      <w:pPr>
        <w:pStyle w:val="Subsection"/>
      </w:pPr>
      <w:r>
        <w:tab/>
        <w:t>(1)</w:t>
      </w:r>
      <w:r>
        <w:tab/>
        <w:t>This regulation applies to a declared out of scope service for which a person is taken to hold a service approval under section 309 of the Law.</w:t>
      </w:r>
    </w:p>
    <w:p>
      <w:pPr>
        <w:pStyle w:val="Subsection"/>
      </w:pPr>
      <w:r>
        <w:lastRenderedPageBreak/>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332" w:name="_Toc95123167"/>
      <w:r>
        <w:t>Division 4 — Information retention and sharing</w:t>
      </w:r>
      <w:bookmarkEnd w:id="332"/>
    </w:p>
    <w:p>
      <w:pPr>
        <w:pStyle w:val="Heading5"/>
      </w:pPr>
      <w:bookmarkStart w:id="333" w:name="_Toc95123168"/>
      <w:r>
        <w:rPr>
          <w:rStyle w:val="CharSectno"/>
        </w:rPr>
        <w:t>252</w:t>
      </w:r>
      <w:r>
        <w:t>.</w:t>
      </w:r>
      <w:r>
        <w:tab/>
        <w:t>Information held by Regulatory Authority or regulatory body</w:t>
      </w:r>
      <w:bookmarkEnd w:id="333"/>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334" w:name="_Toc95123169"/>
      <w:r>
        <w:rPr>
          <w:rStyle w:val="CharSectno"/>
        </w:rPr>
        <w:lastRenderedPageBreak/>
        <w:t>253</w:t>
      </w:r>
      <w:r>
        <w:t>.</w:t>
      </w:r>
      <w:r>
        <w:tab/>
        <w:t>Information kept by approved provider</w:t>
      </w:r>
      <w:bookmarkEnd w:id="334"/>
    </w:p>
    <w:p>
      <w:pPr>
        <w:pStyle w:val="Subsection"/>
      </w:pPr>
      <w:r>
        <w:tab/>
      </w:r>
      <w:r>
        <w:tab/>
        <w:t>For the purposes of section 322(3) of the Law, the documents must be kept in accordance with regulation 183.</w:t>
      </w:r>
    </w:p>
    <w:p>
      <w:pPr>
        <w:pStyle w:val="Heading4"/>
      </w:pPr>
      <w:bookmarkStart w:id="335" w:name="_Toc95123170"/>
      <w:r>
        <w:t>Division 5 — Declared approved learning frameworks</w:t>
      </w:r>
      <w:bookmarkEnd w:id="335"/>
    </w:p>
    <w:p>
      <w:pPr>
        <w:pStyle w:val="Heading5"/>
      </w:pPr>
      <w:bookmarkStart w:id="336" w:name="_Toc95123171"/>
      <w:r>
        <w:rPr>
          <w:rStyle w:val="CharSectno"/>
        </w:rPr>
        <w:t>254</w:t>
      </w:r>
      <w:r>
        <w:t>.</w:t>
      </w:r>
      <w:r>
        <w:tab/>
        <w:t>Declared approved learning frameworks</w:t>
      </w:r>
      <w:bookmarkEnd w:id="336"/>
    </w:p>
    <w:p>
      <w:pPr>
        <w:pStyle w:val="Subsection"/>
      </w:pPr>
      <w:r>
        <w:tab/>
        <w:t>(1)</w:t>
      </w:r>
      <w:r>
        <w:tab/>
        <w:t xml:space="preserve">For the purpose of section 323 of the Law, the following, as in force on the scheme commencement day, are declared approved learning frameworks — </w:t>
      </w:r>
    </w:p>
    <w:p>
      <w:pPr>
        <w:pStyle w:val="Indenta"/>
      </w:pPr>
      <w:r>
        <w:tab/>
        <w:t>(a)</w:t>
      </w:r>
      <w:r>
        <w:tab/>
        <w:t>Belonging, Being and Becoming: The Early Years Learning Framework for Australia, produced by the Department of Education, Employment and Workplace Relations of the Commonwealth for the Council of Australian Governments, 2009;</w:t>
      </w:r>
    </w:p>
    <w:p>
      <w:pPr>
        <w:pStyle w:val="Indenta"/>
      </w:pPr>
      <w:r>
        <w:tab/>
        <w:t>(b)</w:t>
      </w:r>
      <w:r>
        <w:tab/>
        <w:t>My Time, Our Place: Framework for School Age Care in Australia produced by the Commonwealth Government Department of Education, Employment and Workplace Relations for the Council of Australian Governments, 2011.</w:t>
      </w:r>
    </w:p>
    <w:p>
      <w:pPr>
        <w:pStyle w:val="Subsection"/>
      </w:pPr>
      <w:r>
        <w:tab/>
        <w:t>(2)</w:t>
      </w:r>
      <w:r>
        <w:tab/>
        <w:t>For the purpose of section 323 of the Law, the Curriculum Framework for Kindergarten to Year 12 Education in Western Australia, as in force on the scheme commencement day, is a declared approved learning framework for the purpose of the Law as it applies in that jurisdiction.</w:t>
      </w:r>
    </w:p>
    <w:p>
      <w:pPr>
        <w:pStyle w:val="Ednotesubsection"/>
      </w:pPr>
      <w:r>
        <w:tab/>
        <w:t>[(3)</w:t>
      </w:r>
      <w:r>
        <w:tab/>
        <w:t>deleted]</w:t>
      </w:r>
    </w:p>
    <w:p>
      <w:pPr>
        <w:pStyle w:val="Footnotesection"/>
      </w:pPr>
      <w:r>
        <w:tab/>
        <w:t>[Regulation 254 amended: Gazette 3 Nov 2017 p. 5485.]</w:t>
      </w:r>
    </w:p>
    <w:p>
      <w:pPr>
        <w:pStyle w:val="Heading4"/>
        <w:keepNext w:val="0"/>
      </w:pPr>
      <w:bookmarkStart w:id="337" w:name="_Toc95123172"/>
      <w:r>
        <w:t>Division 6 — Fees</w:t>
      </w:r>
      <w:bookmarkEnd w:id="337"/>
    </w:p>
    <w:p>
      <w:pPr>
        <w:pStyle w:val="Heading5"/>
        <w:keepNext w:val="0"/>
      </w:pPr>
      <w:bookmarkStart w:id="338" w:name="_Toc95123173"/>
      <w:r>
        <w:rPr>
          <w:rStyle w:val="CharSectno"/>
        </w:rPr>
        <w:t>255</w:t>
      </w:r>
      <w:r>
        <w:t>.</w:t>
      </w:r>
      <w:r>
        <w:tab/>
        <w:t>Fees for application for provider approval for declared out of scope service</w:t>
      </w:r>
      <w:bookmarkEnd w:id="338"/>
      <w:r>
        <w:t xml:space="preserve"> </w:t>
      </w:r>
    </w:p>
    <w:p>
      <w:pPr>
        <w:pStyle w:val="Subsection"/>
      </w:pPr>
      <w:r>
        <w:tab/>
      </w:r>
      <w:r>
        <w:tab/>
        <w:t xml:space="preserve">Despite anything to the contrary in these Regulations, the fee for an application for a provider approval for a declared out of </w:t>
      </w:r>
      <w:r>
        <w:lastRenderedPageBreak/>
        <w:t>scope service made in accordance with section 309 of the Law is nil.</w:t>
      </w:r>
    </w:p>
    <w:p>
      <w:pPr>
        <w:pStyle w:val="Heading4"/>
      </w:pPr>
      <w:bookmarkStart w:id="339" w:name="_Toc95123174"/>
      <w:r>
        <w:t>Division 7 — General provisions relating to exemptions</w:t>
      </w:r>
      <w:bookmarkEnd w:id="339"/>
    </w:p>
    <w:p>
      <w:pPr>
        <w:pStyle w:val="Heading5"/>
      </w:pPr>
      <w:bookmarkStart w:id="340" w:name="_Toc95123175"/>
      <w:r>
        <w:rPr>
          <w:rStyle w:val="CharSectno"/>
        </w:rPr>
        <w:t>256</w:t>
      </w:r>
      <w:r>
        <w:t>.</w:t>
      </w:r>
      <w:r>
        <w:tab/>
        <w:t>Publication where service taken to comply with regulations</w:t>
      </w:r>
      <w:bookmarkEnd w:id="340"/>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341" w:name="_Toc95123176"/>
      <w:r>
        <w:rPr>
          <w:rStyle w:val="CharSectno"/>
        </w:rPr>
        <w:t>257</w:t>
      </w:r>
      <w:r>
        <w:t>.</w:t>
      </w:r>
      <w:r>
        <w:tab/>
        <w:t>Application for removal of exemption</w:t>
      </w:r>
      <w:bookmarkEnd w:id="341"/>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lastRenderedPageBreak/>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342" w:name="_Toc95123177"/>
      <w:r>
        <w:rPr>
          <w:rStyle w:val="CharDivNo"/>
        </w:rPr>
        <w:t>Part 7.2</w:t>
      </w:r>
      <w:r>
        <w:t> — </w:t>
      </w:r>
      <w:r>
        <w:rPr>
          <w:rStyle w:val="CharDivText"/>
        </w:rPr>
        <w:t>Australian Capital Territory — specific provisions</w:t>
      </w:r>
      <w:bookmarkEnd w:id="342"/>
    </w:p>
    <w:p>
      <w:pPr>
        <w:pStyle w:val="PermNoteHeading"/>
      </w:pPr>
      <w:r>
        <w:tab/>
        <w:t>Note for this Part:</w:t>
      </w:r>
    </w:p>
    <w:p>
      <w:pPr>
        <w:pStyle w:val="PermNoteText"/>
      </w:pPr>
      <w:r>
        <w:tab/>
      </w:r>
      <w:r>
        <w:tab/>
        <w:t>The national regulations made by the Ministerial Council include provisions as Part 7.2.</w:t>
      </w:r>
    </w:p>
    <w:p>
      <w:pPr>
        <w:pStyle w:val="Heading3"/>
        <w:rPr>
          <w:rStyle w:val="CharDivText"/>
        </w:rPr>
      </w:pPr>
      <w:bookmarkStart w:id="343" w:name="_Toc95123178"/>
      <w:r>
        <w:rPr>
          <w:rStyle w:val="CharDivNo"/>
        </w:rPr>
        <w:t>Part 7.3</w:t>
      </w:r>
      <w:r>
        <w:t> — </w:t>
      </w:r>
      <w:r>
        <w:rPr>
          <w:rStyle w:val="CharDivText"/>
        </w:rPr>
        <w:t>New South Wales — specific provisions</w:t>
      </w:r>
      <w:bookmarkEnd w:id="343"/>
    </w:p>
    <w:p>
      <w:pPr>
        <w:pStyle w:val="PermNoteHeading"/>
      </w:pPr>
      <w:r>
        <w:tab/>
        <w:t>Note for this Part:</w:t>
      </w:r>
    </w:p>
    <w:p>
      <w:pPr>
        <w:pStyle w:val="PermNoteText"/>
      </w:pPr>
      <w:r>
        <w:tab/>
      </w:r>
      <w:r>
        <w:tab/>
        <w:t>The national regulations made by the Ministerial Council include provisions as Part 7.3.</w:t>
      </w:r>
    </w:p>
    <w:p>
      <w:pPr>
        <w:pStyle w:val="Heading3"/>
        <w:rPr>
          <w:rStyle w:val="CharDivText"/>
        </w:rPr>
      </w:pPr>
      <w:bookmarkStart w:id="344" w:name="_Toc95123179"/>
      <w:r>
        <w:rPr>
          <w:rStyle w:val="CharDivNo"/>
        </w:rPr>
        <w:t>Part 7.4</w:t>
      </w:r>
      <w:r>
        <w:t> — </w:t>
      </w:r>
      <w:r>
        <w:rPr>
          <w:rStyle w:val="CharDivText"/>
        </w:rPr>
        <w:t>Northern Territory — specific provisions</w:t>
      </w:r>
      <w:bookmarkEnd w:id="344"/>
    </w:p>
    <w:p>
      <w:pPr>
        <w:pStyle w:val="PermNoteHeading"/>
      </w:pPr>
      <w:r>
        <w:tab/>
        <w:t>Note for this Part:</w:t>
      </w:r>
    </w:p>
    <w:p>
      <w:pPr>
        <w:pStyle w:val="PermNoteText"/>
      </w:pPr>
      <w:r>
        <w:tab/>
      </w:r>
      <w:r>
        <w:tab/>
        <w:t>The national regulations made by the Ministerial Council include provisions as Part 7.4.</w:t>
      </w:r>
    </w:p>
    <w:p>
      <w:pPr>
        <w:pStyle w:val="Heading3"/>
        <w:rPr>
          <w:rStyle w:val="CharDivText"/>
        </w:rPr>
      </w:pPr>
      <w:bookmarkStart w:id="345" w:name="_Toc95123180"/>
      <w:r>
        <w:rPr>
          <w:rStyle w:val="CharDivNo"/>
        </w:rPr>
        <w:t>Part 7.5</w:t>
      </w:r>
      <w:r>
        <w:t> — </w:t>
      </w:r>
      <w:r>
        <w:rPr>
          <w:rStyle w:val="CharDivText"/>
        </w:rPr>
        <w:t>Queensland — specific provisions</w:t>
      </w:r>
      <w:bookmarkEnd w:id="345"/>
    </w:p>
    <w:p>
      <w:pPr>
        <w:pStyle w:val="PermNoteHeading"/>
      </w:pPr>
      <w:r>
        <w:tab/>
        <w:t>Note for this Part:</w:t>
      </w:r>
    </w:p>
    <w:p>
      <w:pPr>
        <w:pStyle w:val="PermNoteText"/>
      </w:pPr>
      <w:r>
        <w:tab/>
      </w:r>
      <w:r>
        <w:tab/>
        <w:t>The national regulations made by the Ministerial Council include provisions as Part 7.5.</w:t>
      </w:r>
    </w:p>
    <w:p>
      <w:pPr>
        <w:pStyle w:val="Heading3"/>
        <w:rPr>
          <w:rStyle w:val="CharDivText"/>
        </w:rPr>
      </w:pPr>
      <w:bookmarkStart w:id="346" w:name="_Toc95123181"/>
      <w:r>
        <w:rPr>
          <w:rStyle w:val="CharDivNo"/>
        </w:rPr>
        <w:t>Part 7.6</w:t>
      </w:r>
      <w:r>
        <w:t> — </w:t>
      </w:r>
      <w:r>
        <w:rPr>
          <w:rStyle w:val="CharDivText"/>
        </w:rPr>
        <w:t>South Australia — specific provisions</w:t>
      </w:r>
      <w:bookmarkEnd w:id="346"/>
    </w:p>
    <w:p>
      <w:pPr>
        <w:pStyle w:val="PermNoteHeading"/>
      </w:pPr>
      <w:r>
        <w:tab/>
        <w:t>Note for this Part:</w:t>
      </w:r>
    </w:p>
    <w:p>
      <w:pPr>
        <w:pStyle w:val="PermNoteText"/>
      </w:pPr>
      <w:r>
        <w:tab/>
      </w:r>
      <w:r>
        <w:tab/>
        <w:t>The national regulations made by the Ministerial Council include provisions as Part 7.6.</w:t>
      </w:r>
    </w:p>
    <w:p>
      <w:pPr>
        <w:pStyle w:val="Heading3"/>
        <w:rPr>
          <w:rStyle w:val="CharDivText"/>
        </w:rPr>
      </w:pPr>
      <w:bookmarkStart w:id="347" w:name="_Toc95123182"/>
      <w:r>
        <w:rPr>
          <w:rStyle w:val="CharDivNo"/>
        </w:rPr>
        <w:lastRenderedPageBreak/>
        <w:t>Part 7.7</w:t>
      </w:r>
      <w:r>
        <w:t> — </w:t>
      </w:r>
      <w:r>
        <w:rPr>
          <w:rStyle w:val="CharDivText"/>
        </w:rPr>
        <w:t>Tasmania — specific provisions</w:t>
      </w:r>
      <w:bookmarkEnd w:id="347"/>
    </w:p>
    <w:p>
      <w:pPr>
        <w:pStyle w:val="PermNoteHeading"/>
      </w:pPr>
      <w:r>
        <w:tab/>
        <w:t>Note for this Part:</w:t>
      </w:r>
    </w:p>
    <w:p>
      <w:pPr>
        <w:pStyle w:val="PermNoteText"/>
      </w:pPr>
      <w:r>
        <w:tab/>
      </w:r>
      <w:r>
        <w:tab/>
        <w:t>The national regulations made by the Ministerial Council include provisions as Part 7.7.</w:t>
      </w:r>
    </w:p>
    <w:p>
      <w:pPr>
        <w:pStyle w:val="Heading3"/>
        <w:rPr>
          <w:rStyle w:val="CharDivText"/>
        </w:rPr>
      </w:pPr>
      <w:bookmarkStart w:id="348" w:name="_Toc95123183"/>
      <w:r>
        <w:rPr>
          <w:rStyle w:val="CharDivNo"/>
        </w:rPr>
        <w:t>Part 7.8</w:t>
      </w:r>
      <w:r>
        <w:t> — </w:t>
      </w:r>
      <w:r>
        <w:rPr>
          <w:rStyle w:val="CharDivText"/>
        </w:rPr>
        <w:t>Victoria — specific provisions</w:t>
      </w:r>
      <w:bookmarkEnd w:id="34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349" w:name="_Toc95123184"/>
      <w:r>
        <w:rPr>
          <w:rStyle w:val="CharDivNo"/>
        </w:rPr>
        <w:t>Part 7.9</w:t>
      </w:r>
      <w:r>
        <w:t> — </w:t>
      </w:r>
      <w:r>
        <w:rPr>
          <w:rStyle w:val="CharDivText"/>
        </w:rPr>
        <w:t>Western Australia — specific provisions</w:t>
      </w:r>
      <w:bookmarkEnd w:id="349"/>
    </w:p>
    <w:p>
      <w:pPr>
        <w:pStyle w:val="Heading4"/>
        <w:spacing w:before="220"/>
      </w:pPr>
      <w:bookmarkStart w:id="350" w:name="_Toc95123185"/>
      <w:r>
        <w:t>Division 1 — Application of Part 7.9</w:t>
      </w:r>
      <w:bookmarkEnd w:id="350"/>
    </w:p>
    <w:p>
      <w:pPr>
        <w:pStyle w:val="Heading5"/>
        <w:spacing w:before="210"/>
      </w:pPr>
      <w:bookmarkStart w:id="351" w:name="_Toc95123186"/>
      <w:r>
        <w:rPr>
          <w:rStyle w:val="CharSectno"/>
        </w:rPr>
        <w:t>367</w:t>
      </w:r>
      <w:r>
        <w:t>.</w:t>
      </w:r>
      <w:r>
        <w:tab/>
        <w:t>Application of Part 7.9</w:t>
      </w:r>
      <w:bookmarkEnd w:id="351"/>
      <w:r>
        <w:t xml:space="preserve"> </w:t>
      </w:r>
    </w:p>
    <w:p>
      <w:pPr>
        <w:pStyle w:val="Subsection"/>
        <w:spacing w:before="140"/>
      </w:pPr>
      <w:r>
        <w:tab/>
      </w:r>
      <w:r>
        <w:tab/>
        <w:t>This Part applies to Western Australia.</w:t>
      </w:r>
    </w:p>
    <w:p>
      <w:pPr>
        <w:pStyle w:val="Heading5"/>
      </w:pPr>
      <w:bookmarkStart w:id="352" w:name="_Toc95123187"/>
      <w:r>
        <w:rPr>
          <w:rStyle w:val="CharSectno"/>
        </w:rPr>
        <w:t>368</w:t>
      </w:r>
      <w:r>
        <w:t>.</w:t>
      </w:r>
      <w:r>
        <w:tab/>
        <w:t>Definitions</w:t>
      </w:r>
      <w:bookmarkEnd w:id="352"/>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lastRenderedPageBreak/>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353" w:name="_Toc95123188"/>
      <w:r>
        <w:t>Division 1A — Exceeding National Quality Standard</w:t>
      </w:r>
      <w:bookmarkEnd w:id="353"/>
    </w:p>
    <w:p>
      <w:pPr>
        <w:pStyle w:val="Footnoteheading"/>
      </w:pPr>
      <w:r>
        <w:tab/>
        <w:t>[Heading inserted: Gazette 28 Nov 2014 p. 4411.]</w:t>
      </w:r>
    </w:p>
    <w:p>
      <w:pPr>
        <w:pStyle w:val="Heading5"/>
      </w:pPr>
      <w:bookmarkStart w:id="354" w:name="_Toc95123189"/>
      <w:r>
        <w:rPr>
          <w:rStyle w:val="CharSectno"/>
        </w:rPr>
        <w:t>368A</w:t>
      </w:r>
      <w:r>
        <w:t>.</w:t>
      </w:r>
      <w:r>
        <w:tab/>
        <w:t>Exceeding National Quality Standard: educational program and practice quality area</w:t>
      </w:r>
      <w:bookmarkEnd w:id="354"/>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tab/>
        <w:t>[Regulation 368A inserted: Gazette 6 Jun 2014 p. 1788; amended: Gazette 28 Nov 2014 p. 4411.]</w:t>
      </w:r>
    </w:p>
    <w:p>
      <w:pPr>
        <w:pStyle w:val="Heading4"/>
      </w:pPr>
      <w:bookmarkStart w:id="355" w:name="_Toc95123190"/>
      <w:r>
        <w:lastRenderedPageBreak/>
        <w:t>Division 2 — Minimum number of educators and qualifications required — children over preschool age</w:t>
      </w:r>
      <w:bookmarkEnd w:id="355"/>
    </w:p>
    <w:p>
      <w:pPr>
        <w:pStyle w:val="Heading5"/>
      </w:pPr>
      <w:bookmarkStart w:id="356" w:name="_Toc95123191"/>
      <w:r>
        <w:rPr>
          <w:rStyle w:val="CharSectno"/>
        </w:rPr>
        <w:t>369</w:t>
      </w:r>
      <w:r>
        <w:t>.</w:t>
      </w:r>
      <w:r>
        <w:tab/>
        <w:t>Educator to child ratios — children over preschool age</w:t>
      </w:r>
      <w:bookmarkEnd w:id="356"/>
      <w:r>
        <w:t xml:space="preserve"> </w:t>
      </w:r>
    </w:p>
    <w:p>
      <w:pPr>
        <w:pStyle w:val="Subsection"/>
        <w:spacing w:after="120"/>
      </w:pPr>
      <w:r>
        <w:tab/>
      </w:r>
      <w:r>
        <w:tab/>
        <w:t>For the purposes of regulation 123(1)(d), the educator to child ratios for children over preschool age are set out in column 3 of the following 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vAlign w:val="bottom"/>
          </w:tcPr>
          <w:p>
            <w:pPr>
              <w:pStyle w:val="TableNAm"/>
              <w:keepNext/>
              <w:keepLines/>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vAlign w:val="bottom"/>
          </w:tcPr>
          <w:p>
            <w:pPr>
              <w:pStyle w:val="TableNAm"/>
              <w:keepNext/>
              <w:keepLines/>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keepNext/>
              <w:keepLines/>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keepNext/>
              <w:keepLines/>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Over preschool age (at least one preschool child attending session)</w:t>
            </w: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 xml:space="preserve"> 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tcPr>
          <w:p>
            <w:pPr>
              <w:pStyle w:val="TableNAm"/>
              <w:rPr>
                <w:sz w:val="20"/>
              </w:rPr>
            </w:pPr>
          </w:p>
        </w:tc>
        <w:tc>
          <w:tcPr>
            <w:tcW w:w="1701" w:type="dxa"/>
            <w:tcBorders>
              <w:top w:val="single" w:sz="2" w:space="0" w:color="auto"/>
              <w:left w:val="single" w:sz="2" w:space="0" w:color="auto"/>
              <w:bottom w:val="single" w:sz="2" w:space="0" w:color="auto"/>
              <w:right w:val="single" w:sz="2" w:space="0" w:color="auto"/>
            </w:tcBorders>
          </w:tcPr>
          <w:p>
            <w:pPr>
              <w:pStyle w:val="TableNAm"/>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tcPr>
          <w:p>
            <w:pPr>
              <w:pStyle w:val="TableNAm"/>
              <w:jc w:val="center"/>
              <w:rPr>
                <w:sz w:val="20"/>
              </w:rPr>
            </w:pPr>
            <w:r>
              <w:rPr>
                <w:sz w:val="20"/>
              </w:rPr>
              <w:t>4</w:t>
            </w:r>
          </w:p>
        </w:tc>
      </w:tr>
    </w:tbl>
    <w:p>
      <w:pPr>
        <w:pStyle w:val="PermNoteHeading"/>
      </w:pPr>
      <w:r>
        <w:tab/>
        <w:t>Note for this regulation:</w:t>
      </w:r>
    </w:p>
    <w:p>
      <w:pPr>
        <w:pStyle w:val="PermNoteText"/>
      </w:pPr>
      <w:r>
        <w:tab/>
      </w:r>
      <w:r>
        <w:tab/>
        <w:t>This regulation differs from regulation 369 of the national regulations made by the Ministerial Council.</w:t>
      </w:r>
    </w:p>
    <w:p>
      <w:pPr>
        <w:pStyle w:val="Heading5"/>
      </w:pPr>
      <w:bookmarkStart w:id="357" w:name="_Toc95123192"/>
      <w:r>
        <w:rPr>
          <w:rStyle w:val="CharSectno"/>
        </w:rPr>
        <w:t>370</w:t>
      </w:r>
      <w:r>
        <w:t>.</w:t>
      </w:r>
      <w:r>
        <w:tab/>
        <w:t>General qualification requirements for educators — children over preschool age</w:t>
      </w:r>
      <w:bookmarkEnd w:id="357"/>
      <w:r>
        <w:t xml:space="preserve"> </w:t>
      </w:r>
    </w:p>
    <w:p>
      <w:pPr>
        <w:pStyle w:val="Subsection"/>
        <w:spacing w:before="150"/>
      </w:pPr>
      <w:r>
        <w:tab/>
        <w:t>(1)</w:t>
      </w:r>
      <w:r>
        <w:tab/>
        <w:t>This regulation sets out the qualification requirement for educators at a centre</w:t>
      </w:r>
      <w:r>
        <w:noBreakHyphen/>
        <w:t>based service educating and caring for children over preschool age for the purposes of regulation 126(2).</w:t>
      </w:r>
    </w:p>
    <w:p>
      <w:pPr>
        <w:pStyle w:val="Subsection"/>
        <w:spacing w:before="150"/>
      </w:pPr>
      <w:r>
        <w:tab/>
        <w:t>(2)</w:t>
      </w:r>
      <w:r>
        <w:tab/>
        <w:t>The number of educators at the service who are required to be qualified educators is the relevant number set out in column 4 of the Table to regulation 369 in relation to the service.</w:t>
      </w:r>
    </w:p>
    <w:p>
      <w:pPr>
        <w:pStyle w:val="Subsection"/>
        <w:spacing w:before="150"/>
      </w:pPr>
      <w:r>
        <w:tab/>
        <w:t>(3)</w:t>
      </w:r>
      <w:r>
        <w:tab/>
        <w:t xml:space="preserve">In subregulation (2) — </w:t>
      </w:r>
    </w:p>
    <w:p>
      <w:pPr>
        <w:pStyle w:val="Defstart"/>
      </w:pPr>
      <w:r>
        <w:tab/>
      </w:r>
      <w:r>
        <w:rPr>
          <w:rStyle w:val="CharDefText"/>
        </w:rPr>
        <w:t>qualified educator</w:t>
      </w:r>
      <w:r>
        <w:t xml:space="preserve"> means a person who holds a qualification published under regulation 137(2) in the list of approved qualifications for educators working with children over preschool age for Western Australia.</w:t>
      </w:r>
    </w:p>
    <w:p>
      <w:pPr>
        <w:pStyle w:val="Heading4"/>
      </w:pPr>
      <w:bookmarkStart w:id="358" w:name="_Toc95123193"/>
      <w:r>
        <w:t>Division 3 — Minimum number of educators and qualifications required — centre</w:t>
      </w:r>
      <w:r>
        <w:noBreakHyphen/>
        <w:t>based services — children preschool age or under</w:t>
      </w:r>
      <w:bookmarkEnd w:id="358"/>
    </w:p>
    <w:p>
      <w:pPr>
        <w:pStyle w:val="Ednotesection"/>
      </w:pPr>
      <w:r>
        <w:t>[</w:t>
      </w:r>
      <w:r>
        <w:rPr>
          <w:b/>
        </w:rPr>
        <w:t>371.</w:t>
      </w:r>
      <w:r>
        <w:tab/>
        <w:t>Deleted: Gazette 28 Sep 2018 p. 3649.]</w:t>
      </w:r>
    </w:p>
    <w:p>
      <w:pPr>
        <w:pStyle w:val="Heading5"/>
      </w:pPr>
      <w:bookmarkStart w:id="359" w:name="_Toc95123194"/>
      <w:r>
        <w:rPr>
          <w:rStyle w:val="CharSectno"/>
        </w:rPr>
        <w:lastRenderedPageBreak/>
        <w:t>372</w:t>
      </w:r>
      <w:r>
        <w:t>.</w:t>
      </w:r>
      <w:r>
        <w:tab/>
        <w:t>Educator to child ratio — pre</w:t>
      </w:r>
      <w:r>
        <w:noBreakHyphen/>
        <w:t>kindergarten programme or kindergarten programme provided by a school</w:t>
      </w:r>
      <w:bookmarkEnd w:id="359"/>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360" w:name="_Toc95123195"/>
      <w:r>
        <w:rPr>
          <w:rStyle w:val="CharSectno"/>
        </w:rPr>
        <w:t>373</w:t>
      </w:r>
      <w:r>
        <w:t>.</w:t>
      </w:r>
      <w:r>
        <w:tab/>
        <w:t>Early childhood teachers — pre</w:t>
      </w:r>
      <w:r>
        <w:noBreakHyphen/>
        <w:t>kindergarten programme or kindergarten programme provided by a school</w:t>
      </w:r>
      <w:bookmarkEnd w:id="360"/>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pPr>
      <w:r>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361" w:name="_Toc95123196"/>
      <w:r>
        <w:lastRenderedPageBreak/>
        <w:t>Division 4 — Transitional provisions — staffing arrangements</w:t>
      </w:r>
      <w:bookmarkEnd w:id="361"/>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362" w:name="_Toc95123197"/>
      <w:r>
        <w:rPr>
          <w:rStyle w:val="CharSectno"/>
        </w:rPr>
        <w:t>379</w:t>
      </w:r>
      <w:r>
        <w:t>.</w:t>
      </w:r>
      <w:r>
        <w:tab/>
        <w:t>Educators required to be early childhood teachers</w:t>
      </w:r>
      <w:bookmarkEnd w:id="362"/>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pPr>
      <w:r>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363" w:name="_Toc95123198"/>
      <w:r>
        <w:t>Division 5 — Saving provision — physical environment</w:t>
      </w:r>
      <w:bookmarkEnd w:id="363"/>
    </w:p>
    <w:p>
      <w:pPr>
        <w:pStyle w:val="Heading5"/>
      </w:pPr>
      <w:bookmarkStart w:id="364" w:name="_Toc95123199"/>
      <w:r>
        <w:rPr>
          <w:rStyle w:val="CharSectno"/>
        </w:rPr>
        <w:t>383</w:t>
      </w:r>
      <w:r>
        <w:t>.</w:t>
      </w:r>
      <w:r>
        <w:tab/>
        <w:t>Saving provision — education and care services provided by a school</w:t>
      </w:r>
      <w:bookmarkEnd w:id="364"/>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lastRenderedPageBreak/>
        <w:tab/>
        <w:t>(3)</w:t>
      </w:r>
      <w:r>
        <w:tab/>
        <w:t>For the purpose of a rating assessment under Part 5 of the Law, the service is taken to comply with regulations 107, 108 and 115.</w:t>
      </w:r>
    </w:p>
    <w:p>
      <w:pPr>
        <w:pStyle w:val="Subsection"/>
      </w:pPr>
      <w:r>
        <w:tab/>
        <w:t>(4)</w:t>
      </w:r>
      <w:r>
        <w:tab/>
        <w:t xml:space="preserve">This regulation ceases to apply if — </w:t>
      </w:r>
    </w:p>
    <w:p>
      <w:pPr>
        <w:pStyle w:val="Indenta"/>
      </w:pPr>
      <w:r>
        <w:tab/>
        <w:t>(a)</w:t>
      </w:r>
      <w:r>
        <w:tab/>
        <w:t>the service approval is transferred to an approved provider that is not a school; or</w:t>
      </w:r>
    </w:p>
    <w:p>
      <w:pPr>
        <w:pStyle w:val="Indenta"/>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365" w:name="_Toc95123200"/>
      <w:r>
        <w:t>Division 6 — Other transitional matters</w:t>
      </w:r>
      <w:bookmarkEnd w:id="365"/>
    </w:p>
    <w:p>
      <w:pPr>
        <w:pStyle w:val="Heading5"/>
      </w:pPr>
      <w:bookmarkStart w:id="366" w:name="_Toc95123201"/>
      <w:r>
        <w:rPr>
          <w:rStyle w:val="CharSectno"/>
        </w:rPr>
        <w:t>384</w:t>
      </w:r>
      <w:r>
        <w:t>.</w:t>
      </w:r>
      <w:r>
        <w:tab/>
        <w:t>Monetary orders under former education and care services law</w:t>
      </w:r>
      <w:bookmarkEnd w:id="366"/>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pPr>
      <w:r>
        <w:tab/>
        <w:t>(2)</w:t>
      </w:r>
      <w:r>
        <w:tab/>
        <w:t xml:space="preserve">In subregulation (1) — </w:t>
      </w:r>
    </w:p>
    <w:p>
      <w:pPr>
        <w:pStyle w:val="Defstar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367" w:name="_Toc95123202"/>
      <w:r>
        <w:rPr>
          <w:rStyle w:val="CharSectno"/>
        </w:rPr>
        <w:t>385</w:t>
      </w:r>
      <w:r>
        <w:t>.</w:t>
      </w:r>
      <w:r>
        <w:tab/>
        <w:t>Proceedings under former education and care services law</w:t>
      </w:r>
      <w:bookmarkEnd w:id="367"/>
      <w:r>
        <w:t xml:space="preserve"> </w:t>
      </w:r>
    </w:p>
    <w:p>
      <w:pPr>
        <w:pStyle w:val="Subsection"/>
      </w:pPr>
      <w:r>
        <w:tab/>
      </w:r>
      <w:r>
        <w:tab/>
        <w:t xml:space="preserve">The Regulatory Authority may commence or continue proceedings under section 29 of the </w:t>
      </w:r>
      <w:r>
        <w:rPr>
          <w:i/>
        </w:rPr>
        <w:t>Child Care Services Act 2007</w:t>
      </w:r>
      <w:r>
        <w:t xml:space="preserve"> of Western Australia in relation to a person who held a </w:t>
      </w:r>
      <w:r>
        <w:lastRenderedPageBreak/>
        <w:t>licence under that Act in relation to a service that is taken to be an education and care service.</w:t>
      </w:r>
    </w:p>
    <w:p>
      <w:pPr>
        <w:pStyle w:val="PermNoteHeading"/>
      </w:pPr>
      <w:r>
        <w:tab/>
        <w:t>Note for this regulation:</w:t>
      </w:r>
    </w:p>
    <w:p>
      <w:pPr>
        <w:pStyle w:val="PermNoteT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368" w:name="_Toc95123203"/>
      <w:r>
        <w:rPr>
          <w:rStyle w:val="CharDivNo"/>
        </w:rPr>
        <w:t>Part 7.10</w:t>
      </w:r>
      <w:r>
        <w:t> — </w:t>
      </w:r>
      <w:r>
        <w:rPr>
          <w:rStyle w:val="CharDivText"/>
        </w:rPr>
        <w:t>Transitional and savings provisions — </w:t>
      </w:r>
      <w:r>
        <w:rPr>
          <w:rStyle w:val="CharDivText"/>
          <w:i/>
        </w:rPr>
        <w:t>Education and Care Services National Amendment Regulations (No. 3) 2018</w:t>
      </w:r>
      <w:bookmarkEnd w:id="368"/>
    </w:p>
    <w:p>
      <w:pPr>
        <w:pStyle w:val="Footnoteheading"/>
      </w:pPr>
      <w:r>
        <w:tab/>
        <w:t>[Heading inserted: Gazette 28 Sep 2018 p. 3650.]</w:t>
      </w:r>
    </w:p>
    <w:p>
      <w:pPr>
        <w:pStyle w:val="Ednotedivision"/>
      </w:pPr>
      <w:r>
        <w:t>[Division 1 deleted: Gazette 24 Dec 2019 p. 4427.]</w:t>
      </w:r>
    </w:p>
    <w:p>
      <w:pPr>
        <w:pStyle w:val="Heading4"/>
      </w:pPr>
      <w:bookmarkStart w:id="369" w:name="_Toc95123204"/>
      <w:r>
        <w:t>Division 2 — Australian Capital Territory</w:t>
      </w:r>
      <w:bookmarkEnd w:id="369"/>
    </w:p>
    <w:p>
      <w:pPr>
        <w:pStyle w:val="Footnoteheading"/>
      </w:pPr>
      <w:r>
        <w:tab/>
        <w:t>[Heading inserted: Gazette 28 Sep 2018 p. 3650.]</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70" w:name="_Toc95123205"/>
      <w:r>
        <w:t>Division 3 — New South Wales</w:t>
      </w:r>
      <w:bookmarkEnd w:id="370"/>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71" w:name="_Toc95123206"/>
      <w:r>
        <w:t>Division 4 — Queensland</w:t>
      </w:r>
      <w:bookmarkEnd w:id="371"/>
    </w:p>
    <w:p>
      <w:pPr>
        <w:pStyle w:val="Footnoteheading"/>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4 which are not relevant to Western Australia.</w:t>
      </w:r>
    </w:p>
    <w:p>
      <w:pPr>
        <w:pStyle w:val="Heading4"/>
      </w:pPr>
      <w:bookmarkStart w:id="372" w:name="_Toc95123207"/>
      <w:r>
        <w:lastRenderedPageBreak/>
        <w:t>Division 5 — Tasmania</w:t>
      </w:r>
      <w:bookmarkEnd w:id="372"/>
    </w:p>
    <w:p>
      <w:pPr>
        <w:pStyle w:val="Footnoteheading"/>
        <w:keepNext/>
      </w:pPr>
      <w:r>
        <w:tab/>
        <w:t>[Heading inserted: Gazette 28 Sep 2018 p. 3651.]</w:t>
      </w:r>
    </w:p>
    <w:p>
      <w:pPr>
        <w:pStyle w:val="PermNoteHeading"/>
      </w:pPr>
      <w:r>
        <w:tab/>
        <w:t>Note for this Division:</w:t>
      </w:r>
    </w:p>
    <w:p>
      <w:pPr>
        <w:pStyle w:val="PermNoteText"/>
      </w:pPr>
      <w:r>
        <w:tab/>
      </w:r>
      <w:r>
        <w:tab/>
        <w:t>The national regulations made by the Ministerial Council include provisions as Division 5 which are not relevant to Western Australia.</w:t>
      </w:r>
    </w:p>
    <w:p>
      <w:pPr>
        <w:pStyle w:val="Heading4"/>
      </w:pPr>
      <w:bookmarkStart w:id="373" w:name="_Toc95123208"/>
      <w:r>
        <w:t>Division 6 — Western Australia</w:t>
      </w:r>
      <w:bookmarkEnd w:id="373"/>
    </w:p>
    <w:p>
      <w:pPr>
        <w:pStyle w:val="Footnoteheading"/>
      </w:pPr>
      <w:r>
        <w:tab/>
        <w:t>[Heading inserted: Gazette 28 Sep 2018 p. 3651.]</w:t>
      </w:r>
    </w:p>
    <w:p>
      <w:pPr>
        <w:pStyle w:val="Heading5"/>
      </w:pPr>
      <w:bookmarkStart w:id="374" w:name="_Toc95123209"/>
      <w:r>
        <w:rPr>
          <w:rStyle w:val="CharSectno"/>
        </w:rPr>
        <w:t>393</w:t>
      </w:r>
      <w:r>
        <w:t>.</w:t>
      </w:r>
      <w:r>
        <w:tab/>
        <w:t>Application of Division</w:t>
      </w:r>
      <w:bookmarkEnd w:id="374"/>
    </w:p>
    <w:p>
      <w:pPr>
        <w:pStyle w:val="Subsection"/>
      </w:pPr>
      <w:r>
        <w:tab/>
      </w:r>
      <w:r>
        <w:tab/>
        <w:t>This Division applies to Western Australia.</w:t>
      </w:r>
    </w:p>
    <w:p>
      <w:pPr>
        <w:pStyle w:val="Footnotesection"/>
      </w:pPr>
      <w:r>
        <w:tab/>
        <w:t>[Regulation 393 inserted: Gazette 28 Sep 2018 p. 3651.]</w:t>
      </w:r>
    </w:p>
    <w:p>
      <w:pPr>
        <w:pStyle w:val="Heading5"/>
      </w:pPr>
      <w:bookmarkStart w:id="375" w:name="_Toc95123210"/>
      <w:r>
        <w:rPr>
          <w:rStyle w:val="CharSectno"/>
        </w:rPr>
        <w:t>394</w:t>
      </w:r>
      <w:r>
        <w:t>.</w:t>
      </w:r>
      <w:r>
        <w:tab/>
        <w:t>Resignation of early childhood teacher</w:t>
      </w:r>
      <w:bookmarkEnd w:id="375"/>
    </w:p>
    <w:p>
      <w:pPr>
        <w:pStyle w:val="Subsection"/>
      </w:pPr>
      <w:r>
        <w:tab/>
        <w:t>(1)</w:t>
      </w:r>
      <w:r>
        <w:tab/>
        <w:t>Regulation 135 applies as if the reasons for the early childhood teacher to be absent included resignation.</w:t>
      </w:r>
    </w:p>
    <w:p>
      <w:pPr>
        <w:pStyle w:val="Subsection"/>
      </w:pPr>
      <w:r>
        <w:tab/>
        <w:t>(2)</w:t>
      </w:r>
      <w:r>
        <w:tab/>
        <w:t>This regulation ceases to have effect on 31 December 2023.</w:t>
      </w:r>
    </w:p>
    <w:p>
      <w:pPr>
        <w:pStyle w:val="Footnotesection"/>
      </w:pPr>
      <w:r>
        <w:tab/>
        <w:t>[Regulation 394 inserted as regulation 393: Gazette 28 Sep 2018 p. 3651; renumbered as regulation 394: Gazette 24 Dec 2019 p. 4427; amended: SL 2021/140 r. 9.]</w:t>
      </w:r>
    </w:p>
    <w:p>
      <w:pPr>
        <w:pStyle w:val="Heading2"/>
      </w:pPr>
      <w:bookmarkStart w:id="376" w:name="_Toc95123211"/>
      <w:r>
        <w:rPr>
          <w:rStyle w:val="CharDivNo"/>
        </w:rPr>
        <w:lastRenderedPageBreak/>
        <w:t>Part 7.11</w:t>
      </w:r>
      <w:r>
        <w:t xml:space="preserve"> — </w:t>
      </w:r>
      <w:r>
        <w:rPr>
          <w:rStyle w:val="CharDivText"/>
        </w:rPr>
        <w:t xml:space="preserve">Transitional and savings provisions for </w:t>
      </w:r>
      <w:r>
        <w:rPr>
          <w:rStyle w:val="CharDivText"/>
          <w:i/>
        </w:rPr>
        <w:t>Education and Care Services National Amendment Regulations 2018</w:t>
      </w:r>
      <w:bookmarkEnd w:id="376"/>
    </w:p>
    <w:p>
      <w:pPr>
        <w:pStyle w:val="Footnoteheading"/>
      </w:pPr>
      <w:r>
        <w:tab/>
        <w:t>[Heading inserted: Gazette 23 Jan 2018 p. 248.]</w:t>
      </w:r>
    </w:p>
    <w:p>
      <w:pPr>
        <w:pStyle w:val="Heading5"/>
      </w:pPr>
      <w:bookmarkStart w:id="377" w:name="_Toc95123212"/>
      <w:r>
        <w:rPr>
          <w:rStyle w:val="CharSectno"/>
        </w:rPr>
        <w:t>395</w:t>
      </w:r>
      <w:r>
        <w:t>.</w:t>
      </w:r>
      <w:r>
        <w:tab/>
        <w:t>Definition</w:t>
      </w:r>
      <w:bookmarkEnd w:id="377"/>
    </w:p>
    <w:p>
      <w:pPr>
        <w:pStyle w:val="Subsection"/>
      </w:pPr>
      <w:r>
        <w:tab/>
        <w:t>(1)</w:t>
      </w:r>
      <w:r>
        <w:tab/>
        <w:t xml:space="preserve">In this Part — </w:t>
      </w:r>
    </w:p>
    <w:p>
      <w:pPr>
        <w:pStyle w:val="Defstart"/>
      </w:pPr>
      <w:r>
        <w:tab/>
      </w:r>
      <w:r>
        <w:rPr>
          <w:rStyle w:val="CharDefText"/>
        </w:rPr>
        <w:t>commencement day</w:t>
      </w:r>
      <w:r>
        <w:t xml:space="preserve"> means 1 February 2018.</w:t>
      </w:r>
    </w:p>
    <w:p>
      <w:pPr>
        <w:pStyle w:val="Subsection"/>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378" w:name="_Toc95123213"/>
      <w:r>
        <w:rPr>
          <w:rStyle w:val="CharSectno"/>
        </w:rPr>
        <w:t>396</w:t>
      </w:r>
      <w:r>
        <w:t>.</w:t>
      </w:r>
      <w:r>
        <w:tab/>
        <w:t>Quality improvement plan held prior to commencement day</w:t>
      </w:r>
      <w:bookmarkEnd w:id="378"/>
    </w:p>
    <w:p>
      <w:pPr>
        <w:pStyle w:val="Subsection"/>
      </w:pPr>
      <w:r>
        <w:tab/>
      </w:r>
      <w:r>
        <w:tab/>
        <w:t xml:space="preserve">A quality improvement plan that, immediately before the commencement day, was a current quality improvement plan for an approved education and care service continues, on and after the commencement day, to be a current quality improvement 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379" w:name="_Toc95123214"/>
      <w:r>
        <w:rPr>
          <w:rStyle w:val="CharSectno"/>
        </w:rPr>
        <w:t>397</w:t>
      </w:r>
      <w:r>
        <w:t>.</w:t>
      </w:r>
      <w:r>
        <w:tab/>
        <w:t>Assessments commenced prior to commencement day</w:t>
      </w:r>
      <w:bookmarkEnd w:id="379"/>
    </w:p>
    <w:p>
      <w:pPr>
        <w:pStyle w:val="Subsection"/>
      </w:pPr>
      <w:r>
        <w:tab/>
      </w:r>
      <w:r>
        <w:tab/>
        <w:t xml:space="preserve">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w:t>
      </w:r>
      <w:r>
        <w:lastRenderedPageBreak/>
        <w:t>Quality Standard as in force immediately before the commencement day.</w:t>
      </w:r>
    </w:p>
    <w:p>
      <w:pPr>
        <w:pStyle w:val="Footnotesection"/>
      </w:pPr>
      <w:r>
        <w:tab/>
        <w:t>[Regulation 397 inserted: Gazette 23 Jan 2018 p. 248.]</w:t>
      </w:r>
    </w:p>
    <w:p>
      <w:pPr>
        <w:pStyle w:val="Heading5"/>
      </w:pPr>
      <w:bookmarkStart w:id="380" w:name="_Toc95123215"/>
      <w:r>
        <w:rPr>
          <w:rStyle w:val="CharSectno"/>
        </w:rPr>
        <w:t>398</w:t>
      </w:r>
      <w:r>
        <w:t>.</w:t>
      </w:r>
      <w:r>
        <w:tab/>
        <w:t>Reassessment or partial reassessment commenced prior to commencement day</w:t>
      </w:r>
      <w:bookmarkEnd w:id="380"/>
    </w:p>
    <w:p>
      <w:pPr>
        <w:pStyle w:val="Subsection"/>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pPr>
      <w:r>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381" w:name="_Toc95123216"/>
      <w:r>
        <w:rPr>
          <w:rStyle w:val="CharSectno"/>
        </w:rPr>
        <w:t>399</w:t>
      </w:r>
      <w:r>
        <w:t>.</w:t>
      </w:r>
      <w:r>
        <w:tab/>
        <w:t>Partial reassessment between the commencement day and the relevant day</w:t>
      </w:r>
      <w:bookmarkEnd w:id="381"/>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 xml:space="preserve">rating of an aspect or element of the education and care service conducted by the Regulatory Authority under section 138 of the Law or on an application </w:t>
      </w:r>
      <w:r>
        <w:lastRenderedPageBreak/>
        <w:t>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pPr>
      <w:r>
        <w:tab/>
        <w:t>(3)</w:t>
      </w:r>
      <w:r>
        <w:tab/>
        <w:t xml:space="preserve">In this regulation — </w:t>
      </w:r>
    </w:p>
    <w:p>
      <w:pPr>
        <w:pStyle w:val="Defstar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382" w:name="_Toc95123217"/>
      <w:r>
        <w:rPr>
          <w:rStyle w:val="CharSectno"/>
        </w:rPr>
        <w:t>400</w:t>
      </w:r>
      <w:r>
        <w:t>.</w:t>
      </w:r>
      <w:r>
        <w:tab/>
        <w:t>Suspension of initial assessment or reassessment commenced prior to commencement day</w:t>
      </w:r>
      <w:bookmarkEnd w:id="382"/>
    </w:p>
    <w:p>
      <w:pPr>
        <w:pStyle w:val="Subsection"/>
      </w:pPr>
      <w:r>
        <w:tab/>
        <w:t>(1)</w:t>
      </w:r>
      <w:r>
        <w:tab/>
        <w:t xml:space="preserve">This regulation applies to an approved education and care service if — </w:t>
      </w:r>
    </w:p>
    <w:p>
      <w:pPr>
        <w:pStyle w:val="Indenta"/>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 xml:space="preserve">rating was suspended under section 137(1) of the Law, whether that </w:t>
      </w:r>
      <w:r>
        <w:lastRenderedPageBreak/>
        <w:t>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383" w:name="_Toc95123218"/>
      <w:r>
        <w:rPr>
          <w:rStyle w:val="CharSectno"/>
        </w:rPr>
        <w:t>401</w:t>
      </w:r>
      <w:r>
        <w:t>.</w:t>
      </w:r>
      <w:r>
        <w:tab/>
        <w:t>Suspension of partial reassessment commenced prior to commencement day</w:t>
      </w:r>
      <w:bookmarkEnd w:id="383"/>
    </w:p>
    <w:p>
      <w:pPr>
        <w:pStyle w:val="Subsection"/>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384" w:name="_Toc95123219"/>
      <w:r>
        <w:rPr>
          <w:rStyle w:val="CharSectno"/>
        </w:rPr>
        <w:t>402</w:t>
      </w:r>
      <w:r>
        <w:t>.</w:t>
      </w:r>
      <w:r>
        <w:tab/>
        <w:t>Prescribed provisional rating level held prior to commencement day</w:t>
      </w:r>
      <w:bookmarkEnd w:id="384"/>
    </w:p>
    <w:p>
      <w:pPr>
        <w:pStyle w:val="Subsection"/>
      </w:pPr>
      <w:r>
        <w:tab/>
      </w:r>
      <w:r>
        <w:tab/>
        <w:t xml:space="preserve">If, immediately before the commencement day, an approved education and care service held a prescribed provisional rating level, the service continues, on and after the commencement </w:t>
      </w:r>
      <w:r>
        <w:lastRenderedPageBreak/>
        <w:t>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385" w:name="_Toc95123220"/>
      <w:r>
        <w:rPr>
          <w:rStyle w:val="CharSectno"/>
        </w:rPr>
        <w:t>403</w:t>
      </w:r>
      <w:r>
        <w:t>.</w:t>
      </w:r>
      <w:r>
        <w:tab/>
        <w:t>Prescribed rating level held prior to commencement day</w:t>
      </w:r>
      <w:bookmarkEnd w:id="385"/>
    </w:p>
    <w:p>
      <w:pPr>
        <w:pStyle w:val="Subsection"/>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pPr>
      <w:r>
        <w:tab/>
        <w:t>(c)</w:t>
      </w:r>
      <w:r>
        <w:tab/>
        <w:t>is awarded the highest rating level under section 155 of the Law.</w:t>
      </w:r>
    </w:p>
    <w:p>
      <w:pPr>
        <w:pStyle w:val="Footnotesection"/>
      </w:pPr>
      <w:r>
        <w:tab/>
        <w:t>[Regulation 403 inserted: Gazette 23 Jan 2018 p. 251.]</w:t>
      </w:r>
    </w:p>
    <w:p>
      <w:pPr>
        <w:pStyle w:val="Heading2"/>
      </w:pPr>
      <w:bookmarkStart w:id="386" w:name="_Toc95123221"/>
      <w:r>
        <w:rPr>
          <w:rStyle w:val="CharDivNo"/>
        </w:rPr>
        <w:lastRenderedPageBreak/>
        <w:t>Part 7.12</w:t>
      </w:r>
      <w:r>
        <w:t> — </w:t>
      </w:r>
      <w:r>
        <w:rPr>
          <w:rStyle w:val="CharDivText"/>
        </w:rPr>
        <w:t xml:space="preserve">Transitional and saving provisions for </w:t>
      </w:r>
      <w:r>
        <w:rPr>
          <w:rStyle w:val="CharDivText"/>
          <w:i/>
        </w:rPr>
        <w:t>Education and Care Services National Amendment Regulations 2019</w:t>
      </w:r>
      <w:bookmarkEnd w:id="386"/>
    </w:p>
    <w:p>
      <w:pPr>
        <w:pStyle w:val="Footnoteheading"/>
      </w:pPr>
      <w:r>
        <w:tab/>
        <w:t>[Heading inserted: Gazette 24 Dec 2019 p. 4428.]</w:t>
      </w:r>
    </w:p>
    <w:p>
      <w:pPr>
        <w:pStyle w:val="Heading4"/>
      </w:pPr>
      <w:bookmarkStart w:id="387" w:name="_Toc95123222"/>
      <w:r>
        <w:t>Division 1 — Australian Capital Territory</w:t>
      </w:r>
      <w:bookmarkEnd w:id="387"/>
    </w:p>
    <w:p>
      <w:pPr>
        <w:pStyle w:val="PermNoteHeading"/>
      </w:pPr>
      <w:r>
        <w:tab/>
        <w:t>Note for this Division:</w:t>
      </w:r>
    </w:p>
    <w:p>
      <w:pPr>
        <w:pStyle w:val="PermNoteText"/>
      </w:pPr>
      <w:r>
        <w:tab/>
      </w:r>
      <w:r>
        <w:tab/>
        <w:t>The national regulations made by the Ministerial Council include provisions as Division 1 which are not relevant to Western Australia.</w:t>
      </w:r>
    </w:p>
    <w:p>
      <w:pPr>
        <w:pStyle w:val="Heading4"/>
      </w:pPr>
      <w:bookmarkStart w:id="388" w:name="_Toc95123223"/>
      <w:r>
        <w:t>Division 2 — Queensland</w:t>
      </w:r>
      <w:bookmarkEnd w:id="388"/>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pStyle w:val="Heading4"/>
      </w:pPr>
      <w:bookmarkStart w:id="389" w:name="_Toc95123224"/>
      <w:r>
        <w:t>Division 3 — Tasmania</w:t>
      </w:r>
      <w:bookmarkEnd w:id="389"/>
    </w:p>
    <w:p>
      <w:pPr>
        <w:pStyle w:val="PermNoteHeading"/>
      </w:pPr>
      <w:r>
        <w:tab/>
        <w:t>Note for this Division:</w:t>
      </w:r>
    </w:p>
    <w:p>
      <w:pPr>
        <w:pStyle w:val="PermNoteText"/>
      </w:pPr>
      <w:r>
        <w:tab/>
      </w:r>
      <w:r>
        <w:tab/>
        <w:t>The national regulations made by the Ministerial Council include provisions as Division 3 which are not relevant to Western Australia.</w:t>
      </w:r>
    </w:p>
    <w:p>
      <w:pPr>
        <w:pStyle w:val="Heading4"/>
      </w:pPr>
      <w:bookmarkStart w:id="390" w:name="_Toc95123225"/>
      <w:r>
        <w:t>Division 4 — Western Australia</w:t>
      </w:r>
      <w:bookmarkEnd w:id="390"/>
    </w:p>
    <w:p>
      <w:pPr>
        <w:pStyle w:val="Heading5"/>
      </w:pPr>
      <w:bookmarkStart w:id="391" w:name="_Toc95123226"/>
      <w:r>
        <w:rPr>
          <w:rStyle w:val="CharSectno"/>
        </w:rPr>
        <w:t>410</w:t>
      </w:r>
      <w:r>
        <w:t>.</w:t>
      </w:r>
      <w:r>
        <w:tab/>
        <w:t>Application of Division</w:t>
      </w:r>
      <w:bookmarkEnd w:id="391"/>
    </w:p>
    <w:p>
      <w:pPr>
        <w:pStyle w:val="Subsection"/>
      </w:pPr>
      <w:r>
        <w:tab/>
      </w:r>
      <w:r>
        <w:tab/>
        <w:t>This Division applies to Western Australia.</w:t>
      </w:r>
    </w:p>
    <w:p>
      <w:pPr>
        <w:pStyle w:val="Footnotesection"/>
      </w:pPr>
      <w:r>
        <w:tab/>
        <w:t>[Regulation 410 inserted: Gazette 24 Dec 2019 p. 4428.]</w:t>
      </w:r>
    </w:p>
    <w:p>
      <w:pPr>
        <w:pStyle w:val="Heading5"/>
      </w:pPr>
      <w:bookmarkStart w:id="392" w:name="_Toc95123227"/>
      <w:r>
        <w:rPr>
          <w:rStyle w:val="CharSectno"/>
        </w:rPr>
        <w:t>411</w:t>
      </w:r>
      <w:r>
        <w:t>.</w:t>
      </w:r>
      <w:r>
        <w:tab/>
        <w:t>Resignation of suitably qualified person</w:t>
      </w:r>
      <w:bookmarkEnd w:id="392"/>
    </w:p>
    <w:p>
      <w:pPr>
        <w:pStyle w:val="Subsection"/>
      </w:pPr>
      <w:r>
        <w:tab/>
        <w:t>(1)</w:t>
      </w:r>
      <w:r>
        <w:tab/>
        <w:t>Regulation 135 applies as if the reasons for the suitably qualified person to be absent included resignation.</w:t>
      </w:r>
    </w:p>
    <w:p>
      <w:pPr>
        <w:pStyle w:val="Subsection"/>
      </w:pPr>
      <w:r>
        <w:tab/>
        <w:t>(2)</w:t>
      </w:r>
      <w:r>
        <w:tab/>
        <w:t>This regulation ceases to have effect on 31 December 2023.</w:t>
      </w:r>
    </w:p>
    <w:p>
      <w:pPr>
        <w:pStyle w:val="Footnotesection"/>
      </w:pPr>
      <w:r>
        <w:tab/>
        <w:t>[Regulation 411 inserted: Gazette 24 Dec 2019 p. 4428; amended: SL 2021/140 r. 10.]</w:t>
      </w:r>
    </w:p>
    <w:p>
      <w:pPr>
        <w:pStyle w:val="Heading2"/>
      </w:pPr>
      <w:bookmarkStart w:id="393" w:name="_Toc95123228"/>
      <w:r>
        <w:rPr>
          <w:rStyle w:val="CharDivNo"/>
        </w:rPr>
        <w:lastRenderedPageBreak/>
        <w:t>Part 7.13</w:t>
      </w:r>
      <w:r>
        <w:t> — </w:t>
      </w:r>
      <w:r>
        <w:rPr>
          <w:rStyle w:val="CharDivText"/>
        </w:rPr>
        <w:t>Transitional and saving provisions for Education and Care Services National Amendment Regulations (No. 2) 2021</w:t>
      </w:r>
      <w:bookmarkEnd w:id="393"/>
    </w:p>
    <w:p>
      <w:pPr>
        <w:pStyle w:val="Footnoteheading"/>
      </w:pPr>
      <w:r>
        <w:tab/>
        <w:t>[Heading inserted: SL 2021/140 r. 11.]</w:t>
      </w:r>
    </w:p>
    <w:p>
      <w:pPr>
        <w:pStyle w:val="Heading4"/>
      </w:pPr>
      <w:bookmarkStart w:id="394" w:name="_Toc95123229"/>
      <w:r>
        <w:t>Division 1 — General transitional and savings provision</w:t>
      </w:r>
      <w:bookmarkEnd w:id="394"/>
    </w:p>
    <w:p>
      <w:pPr>
        <w:pStyle w:val="Footnoteheading"/>
      </w:pPr>
      <w:r>
        <w:tab/>
        <w:t>[Heading inserted: SL 2021/140 r. 11.]</w:t>
      </w:r>
    </w:p>
    <w:p>
      <w:pPr>
        <w:pStyle w:val="Heading5"/>
      </w:pPr>
      <w:bookmarkStart w:id="395" w:name="_Toc95123230"/>
      <w:r>
        <w:rPr>
          <w:rStyle w:val="CharSectno"/>
        </w:rPr>
        <w:t>412</w:t>
      </w:r>
      <w:r>
        <w:t>.</w:t>
      </w:r>
      <w:r>
        <w:tab/>
        <w:t>Requirement to display information in relation to the rating of an education and care service</w:t>
      </w:r>
      <w:bookmarkEnd w:id="395"/>
    </w:p>
    <w:p>
      <w:pPr>
        <w:pStyle w:val="Subsection"/>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396" w:name="_Toc95123231"/>
      <w:r>
        <w:t>Division 2 — Northern Territory</w:t>
      </w:r>
      <w:bookmarkEnd w:id="396"/>
    </w:p>
    <w:p>
      <w:pPr>
        <w:pStyle w:val="Footnoteheading"/>
      </w:pPr>
      <w:r>
        <w:tab/>
        <w:t>[Heading inserted: SL 2021/140 r. 11.]</w:t>
      </w:r>
    </w:p>
    <w:p>
      <w:pPr>
        <w:pStyle w:val="PermNoteHeading"/>
      </w:pPr>
      <w:r>
        <w:tab/>
        <w:t>Note for this Division:</w:t>
      </w:r>
    </w:p>
    <w:p>
      <w:pPr>
        <w:pStyle w:val="PermNoteText"/>
      </w:pPr>
      <w:r>
        <w:tab/>
      </w:r>
      <w:r>
        <w:tab/>
        <w:t>The national regulations made by the Ministerial Council include provisions as Division 2 which are not relevant to Western Australia.</w:t>
      </w:r>
    </w:p>
    <w:p>
      <w:pPr>
        <w:sectPr>
          <w:headerReference w:type="even" r:id="rId23"/>
          <w:headerReference w:type="default" r:id="rId24"/>
          <w:headerReference w:type="first" r:id="rId25"/>
          <w:pgSz w:w="11907" w:h="16840" w:code="9"/>
          <w:pgMar w:top="2376" w:right="2404" w:bottom="3544" w:left="2404" w:header="709" w:footer="3379" w:gutter="0"/>
          <w:pgNumType w:start="1"/>
          <w:cols w:space="720"/>
          <w:noEndnote/>
          <w:titlePg/>
          <w:docGrid w:linePitch="326"/>
        </w:sectPr>
      </w:pPr>
    </w:p>
    <w:p>
      <w:pPr>
        <w:pStyle w:val="yScheduleHeading"/>
      </w:pPr>
      <w:bookmarkStart w:id="397" w:name="_Toc95123232"/>
      <w:r>
        <w:rPr>
          <w:rStyle w:val="CharSchNo"/>
        </w:rPr>
        <w:lastRenderedPageBreak/>
        <w:t>Schedule 1</w:t>
      </w:r>
      <w:r>
        <w:t> — </w:t>
      </w:r>
      <w:r>
        <w:rPr>
          <w:rStyle w:val="CharSchText"/>
        </w:rPr>
        <w:t>National Quality Standard</w:t>
      </w:r>
      <w:bookmarkEnd w:id="397"/>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lastRenderedPageBreak/>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Heading"/>
        <w:jc w:val="left"/>
        <w:rPr>
          <w:b/>
        </w:rPr>
      </w:pPr>
      <w:r>
        <w:rPr>
          <w:b/>
        </w:rPr>
        <w:tab/>
        <w:t>Element 2.2.3 — Child protection</w:t>
      </w:r>
    </w:p>
    <w:p>
      <w:pPr>
        <w:pStyle w:val="yMiscellaneousBody"/>
        <w:ind w:left="1140" w:hanging="1140"/>
      </w:pPr>
      <w:r>
        <w:tab/>
        <w:t>Management, educators and staff are aware of their roles and responsibilities to identify and respond to every child at risk of abuse or neglect.</w:t>
      </w:r>
    </w:p>
    <w:p>
      <w:pPr>
        <w:pStyle w:val="yMiscellaneousHeading"/>
        <w:jc w:val="left"/>
        <w:rPr>
          <w:szCs w:val="24"/>
        </w:rPr>
      </w:pPr>
      <w:r>
        <w:rPr>
          <w:b/>
          <w:sz w:val="24"/>
          <w:szCs w:val="24"/>
        </w:rPr>
        <w:lastRenderedPageBreak/>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lastRenderedPageBreak/>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tab/>
      </w:r>
      <w:r>
        <w:rPr>
          <w:b/>
          <w:sz w:val="24"/>
          <w:szCs w:val="24"/>
        </w:rPr>
        <w:t>Quality area 7 — Governance and leadership</w:t>
      </w:r>
    </w:p>
    <w:p>
      <w:pPr>
        <w:pStyle w:val="yMiscellaneousBody"/>
        <w:keepNext/>
        <w:ind w:left="1140" w:hanging="1140"/>
      </w:pPr>
      <w:r>
        <w:tab/>
        <w:t xml:space="preserve">Effective leadership contributes to sustained quality relationships and environments that facilitate children’s learning and development. Well documented policies and practices that are developed and regularly evaluated in partnership with educators, </w:t>
      </w:r>
      <w:r>
        <w:lastRenderedPageBreak/>
        <w:t>co</w:t>
      </w:r>
      <w:r>
        <w:noBreakHyphen/>
        <w:t>ordinators, staff members and families contribute to the ethical management of the service. There is a focus on continuous improvement.</w:t>
      </w:r>
    </w:p>
    <w:p>
      <w:pPr>
        <w:pStyle w:val="yMiscellaneousHeading"/>
        <w:jc w:val="left"/>
        <w:rPr>
          <w:b/>
        </w:rPr>
      </w:pPr>
      <w:r>
        <w:rPr>
          <w:b/>
        </w:rPr>
        <w:tab/>
        <w:t>Standard 7.1 — Governance</w:t>
      </w:r>
    </w:p>
    <w:p>
      <w:pPr>
        <w:pStyle w:val="yMiscellaneousBody"/>
      </w:pPr>
      <w:r>
        <w:tab/>
        <w:t>Governance supports the operation of a quality service.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tab/>
        <w:t>Element 7.2.3 — Development of professionals</w:t>
      </w:r>
    </w:p>
    <w:p>
      <w:pPr>
        <w:pStyle w:val="yMiscellaneousBody"/>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w:t>
      </w:r>
    </w:p>
    <w:p>
      <w:pPr>
        <w:pStyle w:val="yScheduleHeading"/>
      </w:pPr>
      <w:bookmarkStart w:id="398" w:name="_Toc95123233"/>
      <w:r>
        <w:rPr>
          <w:rStyle w:val="CharSchNo"/>
        </w:rPr>
        <w:lastRenderedPageBreak/>
        <w:t>Schedule 2</w:t>
      </w:r>
      <w:r>
        <w:t> — </w:t>
      </w:r>
      <w:r>
        <w:rPr>
          <w:rStyle w:val="CharSchText"/>
        </w:rPr>
        <w:t>Prescribed fees</w:t>
      </w:r>
      <w:bookmarkEnd w:id="398"/>
    </w:p>
    <w:p>
      <w:pPr>
        <w:pStyle w:val="yFootnoteheading"/>
      </w:pPr>
      <w:r>
        <w:tab/>
        <w:t>[Heading inserted: Gazette 28 Sep 2018 p. 3652.]</w:t>
      </w:r>
    </w:p>
    <w:p>
      <w:pPr>
        <w:pStyle w:val="yHeading3"/>
        <w:rPr>
          <w:rStyle w:val="CharSDivText"/>
        </w:rPr>
      </w:pPr>
      <w:bookmarkStart w:id="399" w:name="_Toc95123234"/>
      <w:r>
        <w:rPr>
          <w:rStyle w:val="CharSDivNo"/>
        </w:rPr>
        <w:t>Part 1</w:t>
      </w:r>
      <w:r>
        <w:t> — </w:t>
      </w:r>
      <w:r>
        <w:rPr>
          <w:rStyle w:val="CharSDivText"/>
        </w:rPr>
        <w:t>Fees relating to provider approvals, service approvals and ratings</w:t>
      </w:r>
      <w:bookmarkEnd w:id="399"/>
    </w:p>
    <w:p>
      <w:pPr>
        <w:pStyle w:val="yFootnoteheading"/>
      </w:pPr>
      <w:r>
        <w:tab/>
        <w:t>[Heading inserted: Gazette 28 Sep 2018 p. 3652.]</w:t>
      </w:r>
    </w:p>
    <w:tbl>
      <w:tblPr>
        <w:tblW w:w="7088" w:type="dxa"/>
        <w:tblInd w:w="3" w:type="dxa"/>
        <w:tblLayout w:type="fixed"/>
        <w:tblCellMar>
          <w:left w:w="0" w:type="dxa"/>
          <w:right w:w="0" w:type="dxa"/>
        </w:tblCellMar>
        <w:tblLook w:val="0000" w:firstRow="0" w:lastRow="0" w:firstColumn="0" w:lastColumn="0" w:noHBand="0" w:noVBand="0"/>
      </w:tblPr>
      <w:tblGrid>
        <w:gridCol w:w="1562"/>
        <w:gridCol w:w="1842"/>
        <w:gridCol w:w="1843"/>
        <w:gridCol w:w="1841"/>
      </w:tblGrid>
      <w:tr>
        <w:trPr>
          <w:tblHeader/>
        </w:trPr>
        <w:tc>
          <w:tcPr>
            <w:tcW w:w="1562" w:type="dxa"/>
            <w:tcBorders>
              <w:top w:val="single" w:sz="4" w:space="0" w:color="auto"/>
              <w:left w:val="single" w:sz="4" w:space="0" w:color="auto"/>
              <w:bottom w:val="single" w:sz="4" w:space="0" w:color="auto"/>
              <w:right w:val="single" w:sz="2" w:space="0" w:color="auto"/>
            </w:tcBorders>
          </w:tcPr>
          <w:p>
            <w:pPr>
              <w:pStyle w:val="yTableNAm"/>
              <w:ind w:left="58"/>
              <w:rPr>
                <w:sz w:val="20"/>
              </w:rPr>
            </w:pPr>
          </w:p>
        </w:tc>
        <w:tc>
          <w:tcPr>
            <w:tcW w:w="1842" w:type="dxa"/>
            <w:tcBorders>
              <w:top w:val="single" w:sz="4" w:space="0" w:color="auto"/>
              <w:left w:val="single" w:sz="2" w:space="0" w:color="auto"/>
              <w:bottom w:val="single" w:sz="4" w:space="0" w:color="auto"/>
              <w:right w:val="single" w:sz="2" w:space="0" w:color="auto"/>
            </w:tcBorders>
          </w:tcPr>
          <w:p>
            <w:pPr>
              <w:pStyle w:val="yTableNAm"/>
              <w:ind w:left="144"/>
              <w:rPr>
                <w:sz w:val="20"/>
              </w:rPr>
            </w:pPr>
          </w:p>
        </w:tc>
        <w:tc>
          <w:tcPr>
            <w:tcW w:w="3684" w:type="dxa"/>
            <w:gridSpan w:val="2"/>
            <w:tcBorders>
              <w:top w:val="single" w:sz="4" w:space="0" w:color="auto"/>
              <w:left w:val="single" w:sz="2" w:space="0" w:color="auto"/>
              <w:bottom w:val="single" w:sz="4" w:space="0" w:color="auto"/>
              <w:right w:val="single" w:sz="4" w:space="0" w:color="auto"/>
            </w:tcBorders>
          </w:tcPr>
          <w:p>
            <w:pPr>
              <w:pStyle w:val="yTableNAm"/>
              <w:jc w:val="center"/>
              <w:rPr>
                <w:sz w:val="20"/>
              </w:rPr>
            </w:pPr>
            <w:r>
              <w:rPr>
                <w:i/>
                <w:sz w:val="20"/>
              </w:rPr>
              <w:t>Fee</w:t>
            </w:r>
          </w:p>
        </w:tc>
      </w:tr>
      <w:tr>
        <w:trPr>
          <w:tblHeader/>
        </w:trPr>
        <w:tc>
          <w:tcPr>
            <w:tcW w:w="1562" w:type="dxa"/>
            <w:tcBorders>
              <w:top w:val="single" w:sz="4" w:space="0" w:color="auto"/>
              <w:left w:val="single" w:sz="2" w:space="0" w:color="auto"/>
              <w:bottom w:val="single" w:sz="2" w:space="0" w:color="auto"/>
              <w:right w:val="single" w:sz="2" w:space="0" w:color="auto"/>
            </w:tcBorders>
          </w:tcPr>
          <w:p>
            <w:pPr>
              <w:pStyle w:val="yTableNAm"/>
              <w:ind w:left="58"/>
              <w:rPr>
                <w:i/>
                <w:sz w:val="20"/>
              </w:rPr>
            </w:pPr>
            <w:r>
              <w:rPr>
                <w:i/>
                <w:sz w:val="20"/>
              </w:rPr>
              <w:t>Section of the</w:t>
            </w:r>
            <w:r>
              <w:rPr>
                <w:i/>
                <w:sz w:val="20"/>
              </w:rPr>
              <w:br/>
              <w:t>Law</w:t>
            </w:r>
          </w:p>
        </w:tc>
        <w:tc>
          <w:tcPr>
            <w:tcW w:w="1842" w:type="dxa"/>
            <w:tcBorders>
              <w:top w:val="single" w:sz="4" w:space="0" w:color="auto"/>
              <w:left w:val="single" w:sz="2" w:space="0" w:color="auto"/>
              <w:bottom w:val="single" w:sz="2" w:space="0" w:color="auto"/>
              <w:right w:val="single" w:sz="2" w:space="0" w:color="auto"/>
            </w:tcBorders>
          </w:tcPr>
          <w:p>
            <w:pPr>
              <w:pStyle w:val="yTableNAm"/>
              <w:ind w:left="144"/>
              <w:rPr>
                <w:i/>
                <w:sz w:val="20"/>
              </w:rPr>
            </w:pPr>
            <w:r>
              <w:rPr>
                <w:i/>
                <w:sz w:val="20"/>
              </w:rPr>
              <w:t>Description</w:t>
            </w:r>
          </w:p>
        </w:tc>
        <w:tc>
          <w:tcPr>
            <w:tcW w:w="1843"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Centre</w:t>
            </w:r>
            <w:r>
              <w:rPr>
                <w:i/>
                <w:sz w:val="20"/>
              </w:rPr>
              <w:noBreakHyphen/>
              <w:t>based</w:t>
            </w:r>
            <w:r>
              <w:rPr>
                <w:i/>
                <w:sz w:val="20"/>
              </w:rPr>
              <w:br/>
              <w:t>service (No. of approved places or places to be offered)</w:t>
            </w:r>
          </w:p>
        </w:tc>
        <w:tc>
          <w:tcPr>
            <w:tcW w:w="1841" w:type="dxa"/>
            <w:tcBorders>
              <w:top w:val="single" w:sz="4" w:space="0" w:color="auto"/>
              <w:left w:val="single" w:sz="2" w:space="0" w:color="auto"/>
              <w:bottom w:val="single" w:sz="2" w:space="0" w:color="auto"/>
              <w:right w:val="single" w:sz="2" w:space="0" w:color="auto"/>
            </w:tcBorders>
          </w:tcPr>
          <w:p>
            <w:pPr>
              <w:pStyle w:val="yTableNAm"/>
              <w:ind w:left="142"/>
              <w:rPr>
                <w:i/>
                <w:sz w:val="20"/>
              </w:rPr>
            </w:pPr>
            <w:r>
              <w:rPr>
                <w:i/>
                <w:sz w:val="20"/>
              </w:rPr>
              <w:t>Family day care service (No. of family day care educators engaged by or registered</w:t>
            </w:r>
            <w:r>
              <w:rPr>
                <w:i/>
                <w:sz w:val="20"/>
              </w:rPr>
              <w:br/>
              <w:t xml:space="preserve">with service)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11(d)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22(2)(c)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37(2)(c)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39(6)(c)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executor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40(3)(c)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by legal personal representative or guardian for provider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7"/>
              <w:rPr>
                <w:sz w:val="20"/>
              </w:rPr>
            </w:pPr>
            <w:r>
              <w:rPr>
                <w:sz w:val="20"/>
              </w:rPr>
              <w:t>Section 44(1)(e)</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places or fewer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$658</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$658 </w:t>
            </w:r>
          </w:p>
        </w:tc>
      </w:tr>
      <w:tr>
        <w:trPr>
          <w:cantSplit/>
        </w:trPr>
        <w:tc>
          <w:tcPr>
            <w:tcW w:w="1562" w:type="dxa"/>
            <w:tcBorders>
              <w:top w:val="single" w:sz="2" w:space="0" w:color="auto"/>
              <w:left w:val="single" w:sz="2" w:space="0" w:color="auto"/>
              <w:right w:val="single" w:sz="2" w:space="0" w:color="auto"/>
            </w:tcBorders>
          </w:tcPr>
          <w:p>
            <w:pPr>
              <w:pStyle w:val="yTableNAm"/>
              <w:keepNext/>
              <w:keepLines/>
              <w:ind w:left="58"/>
              <w:rPr>
                <w:sz w:val="20"/>
              </w:rPr>
            </w:pPr>
            <w:r>
              <w:rPr>
                <w:sz w:val="20"/>
              </w:rPr>
              <w:lastRenderedPageBreak/>
              <w:t>Section 53</w:t>
            </w:r>
          </w:p>
        </w:tc>
        <w:tc>
          <w:tcPr>
            <w:tcW w:w="1842" w:type="dxa"/>
            <w:tcBorders>
              <w:top w:val="single" w:sz="2" w:space="0" w:color="auto"/>
              <w:left w:val="single" w:sz="2" w:space="0" w:color="auto"/>
              <w:right w:val="single" w:sz="2" w:space="0" w:color="auto"/>
            </w:tcBorders>
          </w:tcPr>
          <w:p>
            <w:pPr>
              <w:pStyle w:val="yTableNAm"/>
              <w:keepNext/>
              <w:keepLines/>
              <w:ind w:left="144"/>
              <w:rPr>
                <w:sz w:val="20"/>
              </w:rPr>
            </w:pPr>
            <w:r>
              <w:rPr>
                <w:sz w:val="20"/>
              </w:rPr>
              <w:t>Annual fee — approved service</w:t>
            </w: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24 or fewer approved places $200</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5 or fewer family day care educators $200 </w:t>
            </w:r>
          </w:p>
        </w:tc>
      </w:tr>
      <w:tr>
        <w:trPr>
          <w:cantSplit/>
        </w:trPr>
        <w:tc>
          <w:tcPr>
            <w:tcW w:w="1562" w:type="dxa"/>
            <w:tcBorders>
              <w:left w:val="single" w:sz="2" w:space="0" w:color="auto"/>
              <w:right w:val="single" w:sz="2" w:space="0" w:color="auto"/>
            </w:tcBorders>
          </w:tcPr>
          <w:p>
            <w:pPr>
              <w:pStyle w:val="yTableNAm"/>
              <w:keepNext/>
              <w:keepLines/>
              <w:ind w:left="58"/>
              <w:rPr>
                <w:sz w:val="20"/>
              </w:rPr>
            </w:pPr>
          </w:p>
        </w:tc>
        <w:tc>
          <w:tcPr>
            <w:tcW w:w="1842" w:type="dxa"/>
            <w:tcBorders>
              <w:left w:val="single" w:sz="2" w:space="0" w:color="auto"/>
              <w:right w:val="single" w:sz="2" w:space="0" w:color="auto"/>
            </w:tcBorders>
          </w:tcPr>
          <w:p>
            <w:pPr>
              <w:pStyle w:val="yTableNAm"/>
              <w:keepNext/>
              <w:keepLines/>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25 to 80 approved places $301</w:t>
            </w:r>
          </w:p>
        </w:tc>
        <w:tc>
          <w:tcPr>
            <w:tcW w:w="1841"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6 to 20 family day care educators $301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$399</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$399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54(2)(c)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amend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59(2)(c)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Notification of intended transfer of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85(2)(c)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voluntarily suspend service approval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88(c)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service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95(c)</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for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98(4)</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Application to extend temporary waiver</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$108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r>
        <w:tc>
          <w:tcPr>
            <w:tcW w:w="1562" w:type="dxa"/>
            <w:tcBorders>
              <w:top w:val="single" w:sz="2" w:space="0" w:color="auto"/>
              <w:left w:val="single" w:sz="2" w:space="0" w:color="auto"/>
              <w:right w:val="single" w:sz="2" w:space="0" w:color="auto"/>
            </w:tcBorders>
          </w:tcPr>
          <w:p>
            <w:pPr>
              <w:pStyle w:val="yTableNAm"/>
              <w:keepNext/>
              <w:ind w:left="58"/>
              <w:rPr>
                <w:sz w:val="20"/>
              </w:rPr>
            </w:pPr>
            <w:r>
              <w:rPr>
                <w:sz w:val="20"/>
              </w:rPr>
              <w:lastRenderedPageBreak/>
              <w:t>Section 139(2)(c)</w:t>
            </w:r>
          </w:p>
        </w:tc>
        <w:tc>
          <w:tcPr>
            <w:tcW w:w="1842" w:type="dxa"/>
            <w:tcBorders>
              <w:top w:val="single" w:sz="2" w:space="0" w:color="auto"/>
              <w:left w:val="single" w:sz="2" w:space="0" w:color="auto"/>
              <w:right w:val="single" w:sz="2" w:space="0" w:color="auto"/>
            </w:tcBorders>
          </w:tcPr>
          <w:p>
            <w:pPr>
              <w:pStyle w:val="yTableNAm"/>
              <w:keepNext/>
              <w:ind w:left="144"/>
              <w:rPr>
                <w:sz w:val="20"/>
              </w:rPr>
            </w:pPr>
            <w:r>
              <w:rPr>
                <w:sz w:val="20"/>
              </w:rPr>
              <w:t>Application for reassessment and re</w:t>
            </w:r>
            <w:r>
              <w:rPr>
                <w:sz w:val="20"/>
              </w:rPr>
              <w:noBreakHyphen/>
              <w:t>rating</w:t>
            </w: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5 or fewer family day care educators $438</w:t>
            </w:r>
          </w:p>
        </w:tc>
      </w:tr>
      <w:tr>
        <w:tc>
          <w:tcPr>
            <w:tcW w:w="1562" w:type="dxa"/>
            <w:tcBorders>
              <w:left w:val="single" w:sz="2" w:space="0" w:color="auto"/>
              <w:right w:val="single" w:sz="2" w:space="0" w:color="auto"/>
            </w:tcBorders>
          </w:tcPr>
          <w:p>
            <w:pPr>
              <w:pStyle w:val="yTableNAm"/>
              <w:keepNext/>
              <w:ind w:left="58"/>
              <w:rPr>
                <w:sz w:val="20"/>
              </w:rPr>
            </w:pPr>
          </w:p>
        </w:tc>
        <w:tc>
          <w:tcPr>
            <w:tcW w:w="1842" w:type="dxa"/>
            <w:tcBorders>
              <w:left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keepNext/>
              <w:ind w:left="58"/>
              <w:rPr>
                <w:sz w:val="20"/>
              </w:rPr>
            </w:pPr>
          </w:p>
        </w:tc>
        <w:tc>
          <w:tcPr>
            <w:tcW w:w="1842" w:type="dxa"/>
            <w:tcBorders>
              <w:left w:val="single" w:sz="2" w:space="0" w:color="auto"/>
              <w:bottom w:val="single" w:sz="2" w:space="0" w:color="auto"/>
              <w:right w:val="single" w:sz="2" w:space="0" w:color="auto"/>
            </w:tcBorders>
          </w:tcPr>
          <w:p>
            <w:pPr>
              <w:pStyle w:val="yTableNAm"/>
              <w:keepNext/>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21 or more family day care educators $878 </w:t>
            </w:r>
          </w:p>
        </w:tc>
      </w:tr>
      <w:tr>
        <w:trPr>
          <w:cantSplit/>
        </w:trPr>
        <w:tc>
          <w:tcPr>
            <w:tcW w:w="1562" w:type="dxa"/>
            <w:tcBorders>
              <w:top w:val="single" w:sz="2" w:space="0" w:color="auto"/>
              <w:left w:val="single" w:sz="2" w:space="0" w:color="auto"/>
              <w:bottom w:val="single" w:sz="2" w:space="0" w:color="auto"/>
              <w:right w:val="single" w:sz="2" w:space="0" w:color="auto"/>
            </w:tcBorders>
          </w:tcPr>
          <w:p>
            <w:pPr>
              <w:pStyle w:val="yTableNAm"/>
              <w:ind w:left="58"/>
              <w:rPr>
                <w:sz w:val="20"/>
              </w:rPr>
            </w:pPr>
            <w:r>
              <w:rPr>
                <w:sz w:val="20"/>
              </w:rPr>
              <w:t>Section 141(4)(d)</w:t>
            </w:r>
          </w:p>
        </w:tc>
        <w:tc>
          <w:tcPr>
            <w:tcW w:w="1842" w:type="dxa"/>
            <w:tcBorders>
              <w:top w:val="single" w:sz="2" w:space="0" w:color="auto"/>
              <w:left w:val="single" w:sz="2" w:space="0" w:color="auto"/>
              <w:bottom w:val="single" w:sz="2" w:space="0" w:color="auto"/>
              <w:right w:val="single" w:sz="2" w:space="0" w:color="auto"/>
            </w:tcBorders>
          </w:tcPr>
          <w:p>
            <w:pPr>
              <w:pStyle w:val="yTableNAm"/>
              <w:ind w:left="144"/>
              <w:rPr>
                <w:sz w:val="20"/>
              </w:rPr>
            </w:pPr>
            <w:r>
              <w:rPr>
                <w:sz w:val="20"/>
              </w:rPr>
              <w:t>Request for review by Regulatory Authority</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Nil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145(2)(c)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review by Ratings Review Panel</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 $438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or fewer family day care educators $438 </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 $658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6 to 20 family day care educators $658 </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 $878</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21 or more family day care educators $878 </w:t>
            </w:r>
          </w:p>
        </w:tc>
      </w:tr>
      <w:tr>
        <w:tc>
          <w:tcPr>
            <w:tcW w:w="1562" w:type="dxa"/>
            <w:tcBorders>
              <w:top w:val="single" w:sz="2" w:space="0" w:color="auto"/>
              <w:left w:val="single" w:sz="2" w:space="0" w:color="auto"/>
              <w:right w:val="single" w:sz="2" w:space="0" w:color="auto"/>
            </w:tcBorders>
          </w:tcPr>
          <w:p>
            <w:pPr>
              <w:pStyle w:val="yTableNAm"/>
              <w:ind w:left="58"/>
              <w:rPr>
                <w:sz w:val="20"/>
              </w:rPr>
            </w:pPr>
            <w:r>
              <w:rPr>
                <w:sz w:val="20"/>
              </w:rPr>
              <w:t>Section 152(3)(c)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r>
        <w:tc>
          <w:tcPr>
            <w:tcW w:w="1562" w:type="dxa"/>
            <w:tcBorders>
              <w:top w:val="single" w:sz="2" w:space="0" w:color="auto"/>
              <w:left w:val="single" w:sz="2" w:space="0" w:color="auto"/>
              <w:right w:val="single" w:sz="2" w:space="0" w:color="auto"/>
            </w:tcBorders>
          </w:tcPr>
          <w:p>
            <w:pPr>
              <w:pStyle w:val="yTableNAm"/>
              <w:pageBreakBefore/>
              <w:ind w:left="57"/>
              <w:rPr>
                <w:sz w:val="20"/>
              </w:rPr>
            </w:pPr>
            <w:r>
              <w:rPr>
                <w:sz w:val="20"/>
              </w:rPr>
              <w:lastRenderedPageBreak/>
              <w:t>Section 159(3)(c)</w:t>
            </w:r>
          </w:p>
        </w:tc>
        <w:tc>
          <w:tcPr>
            <w:tcW w:w="1842" w:type="dxa"/>
            <w:tcBorders>
              <w:top w:val="single" w:sz="2" w:space="0" w:color="auto"/>
              <w:left w:val="single" w:sz="2" w:space="0" w:color="auto"/>
              <w:right w:val="single" w:sz="2" w:space="0" w:color="auto"/>
            </w:tcBorders>
          </w:tcPr>
          <w:p>
            <w:pPr>
              <w:pStyle w:val="yTableNAm"/>
              <w:ind w:left="144"/>
              <w:rPr>
                <w:sz w:val="20"/>
              </w:rPr>
            </w:pPr>
            <w:r>
              <w:rPr>
                <w:sz w:val="20"/>
              </w:rPr>
              <w:t>Re</w:t>
            </w:r>
            <w:r>
              <w:rPr>
                <w:sz w:val="20"/>
              </w:rPr>
              <w:noBreakHyphen/>
              <w:t>application for highest rating</w:t>
            </w: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24 or fewer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5 or fewer family day care educators</w:t>
            </w:r>
            <w:r>
              <w:rPr>
                <w:sz w:val="20"/>
              </w:rPr>
              <w:br/>
              <w:t>Nil</w:t>
            </w:r>
          </w:p>
        </w:tc>
      </w:tr>
      <w:tr>
        <w:tc>
          <w:tcPr>
            <w:tcW w:w="1562" w:type="dxa"/>
            <w:tcBorders>
              <w:left w:val="single" w:sz="2" w:space="0" w:color="auto"/>
              <w:right w:val="single" w:sz="2" w:space="0" w:color="auto"/>
            </w:tcBorders>
          </w:tcPr>
          <w:p>
            <w:pPr>
              <w:pStyle w:val="yTableNAm"/>
              <w:ind w:left="58"/>
              <w:rPr>
                <w:sz w:val="20"/>
              </w:rPr>
            </w:pPr>
          </w:p>
        </w:tc>
        <w:tc>
          <w:tcPr>
            <w:tcW w:w="1842" w:type="dxa"/>
            <w:tcBorders>
              <w:left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25 to 80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6 to 20 family day care educators</w:t>
            </w:r>
            <w:r>
              <w:rPr>
                <w:sz w:val="20"/>
              </w:rPr>
              <w:br/>
              <w:t>Nil</w:t>
            </w:r>
          </w:p>
        </w:tc>
      </w:tr>
      <w:tr>
        <w:tc>
          <w:tcPr>
            <w:tcW w:w="1562" w:type="dxa"/>
            <w:tcBorders>
              <w:left w:val="single" w:sz="2" w:space="0" w:color="auto"/>
              <w:bottom w:val="single" w:sz="2" w:space="0" w:color="auto"/>
              <w:right w:val="single" w:sz="2" w:space="0" w:color="auto"/>
            </w:tcBorders>
          </w:tcPr>
          <w:p>
            <w:pPr>
              <w:pStyle w:val="yTableNAm"/>
              <w:ind w:left="58"/>
              <w:rPr>
                <w:sz w:val="20"/>
              </w:rPr>
            </w:pPr>
          </w:p>
        </w:tc>
        <w:tc>
          <w:tcPr>
            <w:tcW w:w="1842" w:type="dxa"/>
            <w:tcBorders>
              <w:left w:val="single" w:sz="2" w:space="0" w:color="auto"/>
              <w:bottom w:val="single" w:sz="2" w:space="0" w:color="auto"/>
              <w:right w:val="single" w:sz="2" w:space="0" w:color="auto"/>
            </w:tcBorders>
          </w:tcPr>
          <w:p>
            <w:pPr>
              <w:pStyle w:val="yTableNAm"/>
              <w:ind w:left="144"/>
              <w:rPr>
                <w:sz w:val="20"/>
              </w:rPr>
            </w:pPr>
          </w:p>
        </w:tc>
        <w:tc>
          <w:tcPr>
            <w:tcW w:w="1843"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81 or more approved places</w:t>
            </w:r>
            <w:r>
              <w:rPr>
                <w:sz w:val="20"/>
              </w:rPr>
              <w:br/>
              <w:t>Nil</w:t>
            </w:r>
          </w:p>
        </w:tc>
        <w:tc>
          <w:tcPr>
            <w:tcW w:w="184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21 or more family day care educators</w:t>
            </w:r>
            <w:r>
              <w:rPr>
                <w:sz w:val="20"/>
              </w:rPr>
              <w:br/>
              <w:t>Nil</w:t>
            </w:r>
          </w:p>
        </w:tc>
      </w:tr>
    </w:tbl>
    <w:p>
      <w:pPr>
        <w:pStyle w:val="yHeading3"/>
      </w:pPr>
      <w:bookmarkStart w:id="400" w:name="_Toc95123235"/>
      <w:r>
        <w:rPr>
          <w:rStyle w:val="CharSDivNo"/>
        </w:rPr>
        <w:t>Part 2</w:t>
      </w:r>
      <w:r>
        <w:t> — </w:t>
      </w:r>
      <w:r>
        <w:rPr>
          <w:rStyle w:val="CharSDivText"/>
        </w:rPr>
        <w:t>Other fees</w:t>
      </w:r>
      <w:bookmarkEnd w:id="400"/>
    </w:p>
    <w:p>
      <w:pPr>
        <w:pStyle w:val="yFootnoteheading"/>
      </w:pPr>
      <w:r>
        <w:tab/>
        <w:t>[Heading inserted: Gazette 28 Sep 2018 p. 3655.]</w:t>
      </w:r>
    </w:p>
    <w:tbl>
      <w:tblPr>
        <w:tblW w:w="7088" w:type="dxa"/>
        <w:tblInd w:w="3" w:type="dxa"/>
        <w:tblLayout w:type="fixed"/>
        <w:tblCellMar>
          <w:left w:w="0" w:type="dxa"/>
          <w:right w:w="0" w:type="dxa"/>
        </w:tblCellMar>
        <w:tblLook w:val="0000" w:firstRow="0" w:lastRow="0" w:firstColumn="0" w:lastColumn="0" w:noHBand="0" w:noVBand="0"/>
      </w:tblPr>
      <w:tblGrid>
        <w:gridCol w:w="1701"/>
        <w:gridCol w:w="3119"/>
        <w:gridCol w:w="2268"/>
      </w:tblGrid>
      <w:tr>
        <w:trPr>
          <w:tblHeader/>
        </w:trPr>
        <w:tc>
          <w:tcPr>
            <w:tcW w:w="1701"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Provision of the Law or regulation</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Description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Fee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266(4)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providers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Section 267(4)</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Copy or extract from register of approved education and care services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$5 per page or $70 for an electronic copy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138</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qualification to be assessed for inclusion on lists of approved qualifications</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$2 200 </w:t>
            </w:r>
          </w:p>
        </w:tc>
      </w:tr>
      <w:tr>
        <w:tc>
          <w:tcPr>
            <w:tcW w:w="1701"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139</w:t>
            </w:r>
          </w:p>
        </w:tc>
        <w:tc>
          <w:tcPr>
            <w:tcW w:w="3119"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Application for determination of equivalent qualification</w:t>
            </w:r>
          </w:p>
        </w:tc>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$108 </w:t>
            </w:r>
          </w:p>
        </w:tc>
      </w:tr>
    </w:tbl>
    <w:p>
      <w:pPr>
        <w:pStyle w:val="yFootnotesection"/>
      </w:pPr>
      <w:r>
        <w:tab/>
        <w:t>[Schedule 2 inserted: Gazette 28 Sep 2018 p. 3652</w:t>
      </w:r>
      <w:r>
        <w:noBreakHyphen/>
        <w:t>5.]</w:t>
      </w:r>
    </w:p>
    <w:p>
      <w:pPr>
        <w:pStyle w:val="yScheduleHeading"/>
      </w:pPr>
      <w:bookmarkStart w:id="401" w:name="_Toc95123236"/>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401"/>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Quality improvement plans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Offences in relation to giving false or misleading statements about ratings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Documenting of child assessments or evaluations for delivery of educational program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given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Health, hygiene and safe food practices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Service providing food and beverages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Weekly menu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Sleep and rest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Tobacco, drug and alcohol</w:t>
            </w:r>
            <w:r>
              <w:rPr>
                <w:sz w:val="20"/>
              </w:rPr>
              <w:noBreakHyphen/>
              <w:t xml:space="preserve">free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Nominated supervisors, staff members and volunteers not to be affected by alcohol or drugs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Awareness of child protection law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kits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Emergency and evacuation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lastRenderedPageBreak/>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lastRenderedPageBreak/>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403" w:name="_Toc95123237"/>
      <w:r>
        <w:rPr>
          <w:rStyle w:val="CharSchNo"/>
        </w:rPr>
        <w:lastRenderedPageBreak/>
        <w:t>Schedule 4</w:t>
      </w:r>
      <w:r>
        <w:t> — </w:t>
      </w:r>
      <w:r>
        <w:rPr>
          <w:rStyle w:val="CharSchText"/>
        </w:rPr>
        <w:t>Prescribed forms</w:t>
      </w:r>
      <w:bookmarkEnd w:id="403"/>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nHeading2"/>
      </w:pPr>
      <w:bookmarkStart w:id="404" w:name="_Toc95123238"/>
      <w:r>
        <w:lastRenderedPageBreak/>
        <w:t>Notes</w:t>
      </w:r>
      <w:bookmarkEnd w:id="404"/>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5" w:name="_Toc95123239"/>
      <w:r>
        <w:t>Compilation table</w:t>
      </w:r>
      <w:bookmarkEnd w:id="40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single" w:sz="4" w:space="0" w:color="auto"/>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single" w:sz="4" w:space="0" w:color="auto"/>
            </w:tcBorders>
            <w:shd w:val="clear" w:color="auto" w:fill="auto"/>
          </w:tcPr>
          <w:p>
            <w:pPr>
              <w:pStyle w:val="nTable"/>
              <w:spacing w:after="40"/>
            </w:pPr>
            <w:r>
              <w:t>SL 2021/140 30 Jul 2021</w:t>
            </w:r>
          </w:p>
        </w:tc>
        <w:tc>
          <w:tcPr>
            <w:tcW w:w="2693" w:type="dxa"/>
            <w:tcBorders>
              <w:top w:val="nil"/>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bl>
    <w:p>
      <w:pPr>
        <w:pStyle w:val="nHeading3"/>
      </w:pPr>
      <w:bookmarkStart w:id="406" w:name="_Toc95123240"/>
      <w:r>
        <w:lastRenderedPageBreak/>
        <w:t>Uncommenced provisions table</w:t>
      </w:r>
      <w:bookmarkEnd w:id="4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
              </w:rPr>
            </w:pPr>
            <w:r>
              <w:rPr>
                <w:i/>
              </w:rPr>
              <w:t>Education and Care Services National Amendment Regulations (No. 3) 2021</w:t>
            </w:r>
          </w:p>
        </w:tc>
        <w:tc>
          <w:tcPr>
            <w:tcW w:w="1276" w:type="dxa"/>
          </w:tcPr>
          <w:p>
            <w:pPr>
              <w:pStyle w:val="nTable"/>
              <w:spacing w:after="40"/>
            </w:pPr>
            <w:r>
              <w:t>SL 2021/220 24 Dec 2021</w:t>
            </w:r>
          </w:p>
        </w:tc>
        <w:tc>
          <w:tcPr>
            <w:tcW w:w="2693" w:type="dxa"/>
          </w:tcPr>
          <w:p>
            <w:pPr>
              <w:pStyle w:val="nTable"/>
              <w:spacing w:after="40"/>
            </w:pPr>
            <w:r>
              <w:t>1 Jan 2022 (see r. 2(b))</w:t>
            </w:r>
          </w:p>
        </w:tc>
      </w:tr>
    </w:tbl>
    <w:p>
      <w:pPr>
        <w:pStyle w:val="nHeading3"/>
      </w:pPr>
      <w:bookmarkStart w:id="407" w:name="_Toc95123241"/>
      <w:r>
        <w:t>Other notes</w:t>
      </w:r>
      <w:bookmarkEnd w:id="407"/>
    </w:p>
    <w:p>
      <w:pPr>
        <w:pStyle w:val="nNote"/>
      </w:pPr>
      <w:r>
        <w:rPr>
          <w:vertAlign w:val="superscript"/>
        </w:rPr>
        <w:t>1</w:t>
      </w:r>
      <w:r>
        <w:tab/>
        <w:t xml:space="preserve">The short title of this Act was changed to the </w:t>
      </w:r>
      <w:r>
        <w:rPr>
          <w:i/>
        </w:rPr>
        <w:t xml:space="preserve">Administrative Decisions Review Act 1997 </w:t>
      </w:r>
      <w:r>
        <w:t xml:space="preserve">by the </w:t>
      </w:r>
      <w:r>
        <w:rPr>
          <w:i/>
          <w:iCs/>
        </w:rPr>
        <w:t>Civil and Administrative Tribunal Amendment Act 2013</w:t>
      </w:r>
      <w:r>
        <w:t xml:space="preserve"> (NSW) Sch. 2.</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409" w:name="_Toc95123242"/>
      <w:r>
        <w:rPr>
          <w:sz w:val="28"/>
        </w:rPr>
        <w:lastRenderedPageBreak/>
        <w:t>Defined terms</w:t>
      </w:r>
      <w:bookmarkEnd w:id="4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number of places</w:t>
      </w:r>
      <w:r>
        <w:tab/>
        <w:t>4(1)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w:t>
      </w:r>
      <w:r>
        <w:noBreakHyphen/>
        <w:t>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395(1)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emergency</w:t>
      </w:r>
      <w:r>
        <w:tab/>
        <w:t>4(1), 123(1A)</w:t>
      </w:r>
    </w:p>
    <w:p>
      <w:pPr>
        <w:pStyle w:val="DefinedTerms"/>
      </w:pPr>
      <w:r>
        <w:t>excursion</w:t>
      </w:r>
      <w:r>
        <w:tab/>
        <w:t>4(1)</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in attendance</w:t>
      </w:r>
      <w:r>
        <w:tab/>
        <w:t>4(1), 11</w:t>
      </w:r>
    </w:p>
    <w:p>
      <w:pPr>
        <w:pStyle w:val="DefinedTerms"/>
      </w:pPr>
      <w:r>
        <w:t>index number</w:t>
      </w:r>
      <w:r>
        <w:tab/>
        <w:t>235(3)</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medication</w:t>
      </w:r>
      <w:r>
        <w:tab/>
        <w:t>4(1)</w:t>
      </w:r>
    </w:p>
    <w:p>
      <w:pPr>
        <w:pStyle w:val="DefinedTerms"/>
      </w:pPr>
      <w:r>
        <w:t>monetary order</w:t>
      </w:r>
      <w:r>
        <w:tab/>
        <w:t>384(2)</w:t>
      </w:r>
    </w:p>
    <w:p>
      <w:pPr>
        <w:pStyle w:val="DefinedTerms"/>
      </w:pPr>
      <w:r>
        <w:t>most recent March year</w:t>
      </w:r>
      <w:r>
        <w:tab/>
        <w:t>235(3)</w:t>
      </w:r>
    </w:p>
    <w:p>
      <w:pPr>
        <w:pStyle w:val="DefinedTerms"/>
      </w:pPr>
      <w:r>
        <w:lastRenderedPageBreak/>
        <w:t>occupancy permit</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 in day</w:t>
      </w:r>
      <w:r>
        <w:noBreakHyphen/>
        <w:t>to</w:t>
      </w:r>
      <w:r>
        <w:noBreakHyphen/>
        <w:t>day charge</w:t>
      </w:r>
      <w:r>
        <w:tab/>
        <w:t>117A</w:t>
      </w:r>
    </w:p>
    <w:p>
      <w:pPr>
        <w:pStyle w:val="DefinedTerms"/>
      </w:pPr>
      <w:r>
        <w:t>planning and development law</w:t>
      </w:r>
      <w:r>
        <w:tab/>
        <w:t>4(1)</w:t>
      </w:r>
    </w:p>
    <w:p>
      <w:pPr>
        <w:pStyle w:val="DefinedTerms"/>
      </w:pPr>
      <w:r>
        <w:t>planning permit</w:t>
      </w:r>
      <w:r>
        <w:tab/>
        <w:t>4(1)</w:t>
      </w:r>
    </w:p>
    <w:p>
      <w:pPr>
        <w:pStyle w:val="DefinedTerms"/>
      </w:pPr>
      <w:r>
        <w:t>pre</w:t>
      </w:r>
      <w:r>
        <w:noBreakHyphen/>
        <w:t>kindergarten programme</w:t>
      </w:r>
      <w:r>
        <w:tab/>
        <w:t>368</w:t>
      </w:r>
    </w:p>
    <w:p>
      <w:pPr>
        <w:pStyle w:val="DefinedTerms"/>
      </w:pPr>
      <w:r>
        <w:t>pre</w:t>
      </w:r>
      <w:r>
        <w:noBreakHyphen/>
        <w:t>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235(3)</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370(3)</w:t>
      </w:r>
    </w:p>
    <w:p>
      <w:pPr>
        <w:pStyle w:val="DefinedTerms"/>
      </w:pPr>
      <w:r>
        <w:t>quarter</w:t>
      </w:r>
      <w:r>
        <w:tab/>
        <w:t>235(3)</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regulation</w:t>
      </w:r>
      <w:r>
        <w:tab/>
        <w:t>242(3)</w:t>
      </w:r>
    </w:p>
    <w:p>
      <w:pPr>
        <w:pStyle w:val="DefinedTerms"/>
      </w:pPr>
      <w:r>
        <w:t>relevant year</w:t>
      </w:r>
      <w:r>
        <w:tab/>
        <w:t>235(2)</w:t>
      </w:r>
    </w:p>
    <w:p>
      <w:pPr>
        <w:pStyle w:val="DefinedTerms"/>
      </w:pPr>
      <w:r>
        <w:t>remote area</w:t>
      </w:r>
      <w:r>
        <w:tab/>
        <w:t>239A(5)</w:t>
      </w:r>
    </w:p>
    <w:p>
      <w:pPr>
        <w:pStyle w:val="DefinedTerms"/>
      </w:pPr>
      <w:r>
        <w:t>renovate</w:t>
      </w:r>
      <w:r>
        <w:tab/>
        <w:t>4(1)</w:t>
      </w:r>
    </w:p>
    <w:p>
      <w:pPr>
        <w:pStyle w:val="DefinedTerms"/>
      </w:pPr>
      <w:r>
        <w:t>responsible person</w:t>
      </w:r>
      <w:r>
        <w:tab/>
        <w:t>4(1)</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soil assessment</w:t>
      </w:r>
      <w:r>
        <w:tab/>
        <w:t>4(1)</w:t>
      </w:r>
    </w:p>
    <w:p>
      <w:pPr>
        <w:pStyle w:val="DefinedTerms"/>
      </w:pPr>
      <w:r>
        <w:t>State collecting institution</w:t>
      </w:r>
      <w:r>
        <w:tab/>
        <w:t>216</w:t>
      </w:r>
    </w:p>
    <w:p>
      <w:pPr>
        <w:pStyle w:val="DefinedTerms"/>
      </w:pPr>
      <w:r>
        <w:t>suitably qualified person</w:t>
      </w:r>
      <w:r>
        <w:tab/>
        <w:t>4(1)</w:t>
      </w:r>
    </w:p>
    <w:p>
      <w:pPr>
        <w:pStyle w:val="DefinedTerms"/>
      </w:pPr>
      <w:r>
        <w:t>the Law</w:t>
      </w:r>
      <w:r>
        <w:tab/>
        <w:t>4(1)</w:t>
      </w:r>
    </w:p>
    <w:p>
      <w:pPr>
        <w:pStyle w:val="DefinedTerms"/>
      </w:pPr>
      <w:r>
        <w:t>very remote area</w:t>
      </w:r>
      <w:r>
        <w:tab/>
        <w:t>239A(5)</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263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Dec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01-r0-01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2" w:name="Schedule"/>
    <w:bookmarkEnd w:id="4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08" w:name="Compilation"/>
    <w:bookmarkEnd w:id="4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0" w:name="DefinedTerms"/>
    <w:bookmarkEnd w:id="41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1" w:name="Coversheet"/>
    <w:bookmarkEnd w:id="4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761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207103802"/>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202071038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7103802_GUID" w:val="e9ee4398-a2e1-489e-a570-902c147e48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612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0.xml"/><Relationship Id="rId21" Type="http://schemas.openxmlformats.org/officeDocument/2006/relationships/image" Target="media/image2.wmf"/><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359F1-483D-4AF3-B8E3-0A4ED9019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64446</Words>
  <Characters>335120</Characters>
  <Application>Microsoft Office Word</Application>
  <DocSecurity>0</DocSecurity>
  <Lines>9574</Lines>
  <Paragraphs>5473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2012 - 01-r0-01</dc:title>
  <dc:subject/>
  <dc:creator/>
  <cp:keywords/>
  <dc:description/>
  <cp:lastModifiedBy>Master Repository Process</cp:lastModifiedBy>
  <cp:revision>4</cp:revision>
  <cp:lastPrinted>2021-07-29T02:30:00Z</cp:lastPrinted>
  <dcterms:created xsi:type="dcterms:W3CDTF">2022-02-07T02:42:00Z</dcterms:created>
  <dcterms:modified xsi:type="dcterms:W3CDTF">2022-02-07T02:42:00Z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30 Dec 2021</vt:lpwstr>
  </property>
  <property fmtid="{D5CDD505-2E9C-101B-9397-08002B2CF9AE}" pid="7" name="Suffix">
    <vt:lpwstr>01-r0-01</vt:lpwstr>
  </property>
  <property fmtid="{D5CDD505-2E9C-101B-9397-08002B2CF9AE}" pid="8" name="CommencementDate">
    <vt:lpwstr>20211230</vt:lpwstr>
  </property>
</Properties>
</file>