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
        <w:spacing w:before="3760" w:after="4200"/>
      </w:pPr>
      <w:r>
        <w:rPr>
          <w:noProof/>
        </w:rPr>
        <w:t>Supreme Court (Fees) Regulations 2002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 August 2006</w:t>
            </w:r>
          </w:p>
        </w:tc>
      </w:tr>
    </w:tbl>
    <w:p>
      <w:pPr>
        <w:pStyle w:val="WA"/>
        <w:spacing w:before="120" w:after="600"/>
      </w:pPr>
      <w:r>
        <w:t>Western Australia</w:t>
      </w:r>
      <w:r>
        <w:rPr>
          <w:b/>
          <w:sz w:val="22"/>
        </w:rPr>
        <w:t xml:space="preserve"> </w:t>
      </w:r>
    </w:p>
    <w:p>
      <w:pPr>
        <w:pStyle w:val="NameofActRegPage1"/>
        <w:spacing w:after="600"/>
      </w:pPr>
      <w:r>
        <w:fldChar w:fldCharType="begin"/>
      </w:r>
      <w:r>
        <w:instrText xml:space="preserve"> STYLEREF "Name Of Act/Reg"</w:instrText>
      </w:r>
      <w:r>
        <w:fldChar w:fldCharType="separate"/>
      </w:r>
      <w:r>
        <w:rPr>
          <w:noProof/>
        </w:rPr>
        <w:t>Supreme Court (Fees) Regulations 2002</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_Toc145814150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_Toc145814151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_Toc145814152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_Toc145814153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_Toc145814154 \h </w:instrText>
      </w:r>
      <w:r>
        <w:fldChar w:fldCharType="separate"/>
      </w:r>
      <w:r>
        <w:t>5</w:t>
      </w:r>
      <w:r>
        <w:fldChar w:fldCharType="end"/>
      </w:r>
    </w:p>
    <w:p>
      <w:pPr>
        <w:pStyle w:val="TOC8"/>
        <w:rPr>
          <w:sz w:val="24"/>
          <w:szCs w:val="24"/>
        </w:rPr>
      </w:pPr>
      <w:r>
        <w:rPr>
          <w:szCs w:val="24"/>
        </w:rPr>
        <w:t>5A.</w:t>
      </w:r>
      <w:r>
        <w:rPr>
          <w:szCs w:val="24"/>
        </w:rPr>
        <w:tab/>
        <w:t>Disputes regarding fees</w:t>
      </w:r>
      <w:r>
        <w:tab/>
      </w:r>
      <w:r>
        <w:fldChar w:fldCharType="begin"/>
      </w:r>
      <w:r>
        <w:instrText xml:space="preserve"> PAGEREF _Toc145814155 \h </w:instrText>
      </w:r>
      <w:r>
        <w:fldChar w:fldCharType="separate"/>
      </w:r>
      <w:r>
        <w:t>6</w:t>
      </w:r>
      <w:r>
        <w:fldChar w:fldCharType="end"/>
      </w:r>
    </w:p>
    <w:p>
      <w:pPr>
        <w:pStyle w:val="TOC8"/>
        <w:rPr>
          <w:sz w:val="24"/>
          <w:szCs w:val="24"/>
        </w:rPr>
      </w:pPr>
      <w:r>
        <w:rPr>
          <w:szCs w:val="24"/>
        </w:rPr>
        <w:t>6.</w:t>
      </w:r>
      <w:r>
        <w:rPr>
          <w:szCs w:val="24"/>
        </w:rPr>
        <w:tab/>
      </w:r>
      <w:r>
        <w:rPr>
          <w:snapToGrid w:val="0"/>
          <w:szCs w:val="24"/>
        </w:rPr>
        <w:t>Fees to be paid before documents filed or other things done</w:t>
      </w:r>
      <w:r>
        <w:tab/>
      </w:r>
      <w:r>
        <w:fldChar w:fldCharType="begin"/>
      </w:r>
      <w:r>
        <w:instrText xml:space="preserve"> PAGEREF _Toc145814156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Court or registrar may remit fees</w:t>
      </w:r>
      <w:r>
        <w:tab/>
      </w:r>
      <w:r>
        <w:fldChar w:fldCharType="begin"/>
      </w:r>
      <w:r>
        <w:instrText xml:space="preserve"> PAGEREF _Toc145814157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Conventions</w:t>
      </w:r>
      <w:r>
        <w:tab/>
      </w:r>
      <w:r>
        <w:fldChar w:fldCharType="begin"/>
      </w:r>
      <w:r>
        <w:instrText xml:space="preserve"> PAGEREF _Toc145814158 \h </w:instrText>
      </w:r>
      <w:r>
        <w:fldChar w:fldCharType="separate"/>
      </w:r>
      <w:r>
        <w:t>9</w:t>
      </w:r>
      <w:r>
        <w:fldChar w:fldCharType="end"/>
      </w:r>
    </w:p>
    <w:p>
      <w:pPr>
        <w:pStyle w:val="TOC8"/>
        <w:rPr>
          <w:sz w:val="24"/>
          <w:szCs w:val="24"/>
        </w:rPr>
      </w:pPr>
      <w:r>
        <w:rPr>
          <w:szCs w:val="24"/>
        </w:rPr>
        <w:t>9.</w:t>
      </w:r>
      <w:r>
        <w:rPr>
          <w:szCs w:val="24"/>
        </w:rPr>
        <w:tab/>
        <w:t>Allocation of hearing date — Schedule 1 Division 1 item 6</w:t>
      </w:r>
      <w:r>
        <w:tab/>
      </w:r>
      <w:r>
        <w:fldChar w:fldCharType="begin"/>
      </w:r>
      <w:r>
        <w:instrText xml:space="preserve"> PAGEREF _Toc145814159 \h </w:instrText>
      </w:r>
      <w:r>
        <w:fldChar w:fldCharType="separate"/>
      </w:r>
      <w:r>
        <w:t>9</w:t>
      </w:r>
      <w:r>
        <w:fldChar w:fldCharType="end"/>
      </w:r>
    </w:p>
    <w:p>
      <w:pPr>
        <w:pStyle w:val="TOC8"/>
        <w:rPr>
          <w:sz w:val="24"/>
          <w:szCs w:val="24"/>
        </w:rPr>
      </w:pPr>
      <w:r>
        <w:rPr>
          <w:szCs w:val="24"/>
        </w:rPr>
        <w:t>9A.</w:t>
      </w:r>
      <w:r>
        <w:rPr>
          <w:szCs w:val="24"/>
        </w:rPr>
        <w:tab/>
        <w:t>Court of Appeal allocation of hearing date — Schedule 1 Division 2 item 6</w:t>
      </w:r>
      <w:r>
        <w:tab/>
      </w:r>
      <w:r>
        <w:fldChar w:fldCharType="begin"/>
      </w:r>
      <w:r>
        <w:instrText xml:space="preserve"> PAGEREF _Toc145814160 \h </w:instrText>
      </w:r>
      <w:r>
        <w:fldChar w:fldCharType="separate"/>
      </w:r>
      <w:r>
        <w:t>11</w:t>
      </w:r>
      <w:r>
        <w:fldChar w:fldCharType="end"/>
      </w:r>
    </w:p>
    <w:p>
      <w:pPr>
        <w:pStyle w:val="TOC8"/>
        <w:rPr>
          <w:sz w:val="24"/>
          <w:szCs w:val="24"/>
        </w:rPr>
      </w:pPr>
      <w:r>
        <w:rPr>
          <w:szCs w:val="24"/>
        </w:rPr>
        <w:t>10.</w:t>
      </w:r>
      <w:r>
        <w:rPr>
          <w:szCs w:val="24"/>
        </w:rPr>
        <w:tab/>
        <w:t>Schedule 1 Division 1 item 7 or Division 2 item 7 fee</w:t>
      </w:r>
      <w:r>
        <w:tab/>
      </w:r>
      <w:r>
        <w:fldChar w:fldCharType="begin"/>
      </w:r>
      <w:r>
        <w:instrText xml:space="preserve"> PAGEREF _Toc145814161 \h </w:instrText>
      </w:r>
      <w:r>
        <w:fldChar w:fldCharType="separate"/>
      </w:r>
      <w:r>
        <w:t>12</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_Toc145814162 \h </w:instrText>
      </w:r>
      <w:r>
        <w:fldChar w:fldCharType="separate"/>
      </w:r>
      <w:r>
        <w:t>13</w:t>
      </w:r>
      <w:r>
        <w:fldChar w:fldCharType="end"/>
      </w:r>
    </w:p>
    <w:p>
      <w:pPr>
        <w:pStyle w:val="TOC8"/>
        <w:rPr>
          <w:sz w:val="24"/>
          <w:szCs w:val="24"/>
        </w:rPr>
      </w:pPr>
      <w:r>
        <w:rPr>
          <w:szCs w:val="24"/>
        </w:rPr>
        <w:t>12.</w:t>
      </w:r>
      <w:r>
        <w:rPr>
          <w:szCs w:val="24"/>
        </w:rPr>
        <w:tab/>
        <w:t>Transitional</w:t>
      </w:r>
      <w:r>
        <w:tab/>
      </w:r>
      <w:r>
        <w:fldChar w:fldCharType="begin"/>
      </w:r>
      <w:r>
        <w:instrText xml:space="preserve"> PAGEREF _Toc145814163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General Division fees</w:t>
      </w:r>
    </w:p>
    <w:p>
      <w:pPr>
        <w:pStyle w:val="TOC4"/>
        <w:tabs>
          <w:tab w:val="right" w:leader="dot" w:pos="7086"/>
        </w:tabs>
        <w:rPr>
          <w:b w:val="0"/>
          <w:sz w:val="24"/>
          <w:szCs w:val="24"/>
        </w:rPr>
      </w:pPr>
      <w:r>
        <w:rPr>
          <w:szCs w:val="24"/>
        </w:rPr>
        <w:t>Division 2 — Court of Appeal fees</w:t>
      </w:r>
    </w:p>
    <w:p>
      <w:pPr>
        <w:pStyle w:val="TOC2"/>
        <w:tabs>
          <w:tab w:val="right" w:leader="dot" w:pos="7086"/>
        </w:tabs>
        <w:rPr>
          <w:b w:val="0"/>
          <w:sz w:val="24"/>
          <w:szCs w:val="24"/>
        </w:rPr>
      </w:pPr>
      <w:r>
        <w:rPr>
          <w:szCs w:val="28"/>
        </w:rPr>
        <w:t>Schedule 2 — Sheriff’s fees</w:t>
      </w:r>
    </w:p>
    <w:p>
      <w:pPr>
        <w:pStyle w:val="TOC2"/>
        <w:tabs>
          <w:tab w:val="right" w:leader="dot" w:pos="7086"/>
        </w:tabs>
        <w:rPr>
          <w:b w:val="0"/>
          <w:sz w:val="24"/>
          <w:szCs w:val="24"/>
        </w:rPr>
      </w:pPr>
      <w:r>
        <w:rPr>
          <w:szCs w:val="28"/>
        </w:rPr>
        <w:t>Schedule 3 — Probate fees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_Toc145814171 \h </w:instrText>
      </w:r>
      <w:r>
        <w:fldChar w:fldCharType="separate"/>
      </w:r>
      <w:r>
        <w:t>38</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August 2006</w:t>
            </w:r>
          </w:p>
        </w:tc>
      </w:tr>
    </w:tbl>
    <w:p>
      <w:pPr>
        <w:pStyle w:val="WA"/>
        <w:spacing w:before="120"/>
      </w:pPr>
      <w:r>
        <w:t>Western Australia</w:t>
      </w:r>
    </w:p>
    <w:p>
      <w:pPr>
        <w:pStyle w:val="PrincipalActReg"/>
      </w:pPr>
      <w:r>
        <w:t>Supreme Court Act 1935</w:t>
      </w:r>
    </w:p>
    <w:p>
      <w:pPr>
        <w:pStyle w:val="NameofActReg"/>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33480346"/>
      <w:bookmarkStart w:id="17" w:name="_Toc107626231"/>
      <w:bookmarkStart w:id="18" w:name="_Toc14581415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1 January 2002</w:t>
      </w:r>
      <w:r>
        <w:t>.</w:t>
      </w:r>
    </w:p>
    <w:p>
      <w:pPr>
        <w:pStyle w:val="Heading5"/>
      </w:pPr>
      <w:bookmarkStart w:id="19" w:name="_Toc519740754"/>
      <w:bookmarkStart w:id="20" w:name="_Toc520870024"/>
      <w:bookmarkStart w:id="21" w:name="_Toc533218881"/>
      <w:bookmarkStart w:id="22" w:name="_Toc533480347"/>
      <w:bookmarkStart w:id="23" w:name="_Toc107626232"/>
      <w:bookmarkStart w:id="24" w:name="_Toc145814152"/>
      <w:r>
        <w:rPr>
          <w:rStyle w:val="CharSectno"/>
        </w:rPr>
        <w:t>3</w:t>
      </w:r>
      <w:r>
        <w:t>.</w:t>
      </w:r>
      <w:r>
        <w:tab/>
        <w:t>Interpretation</w:t>
      </w:r>
      <w:bookmarkEnd w:id="19"/>
      <w:bookmarkEnd w:id="20"/>
      <w:bookmarkEnd w:id="21"/>
      <w:bookmarkEnd w:id="22"/>
      <w:bookmarkEnd w:id="23"/>
      <w:bookmarkEnd w:id="24"/>
    </w:p>
    <w:p>
      <w:pPr>
        <w:pStyle w:val="Subsection"/>
      </w:pPr>
      <w:r>
        <w:tab/>
      </w:r>
      <w:r>
        <w:tab/>
        <w:t xml:space="preserve">In these regulations unless the contrary intention appears — </w:t>
      </w:r>
    </w:p>
    <w:p>
      <w:pPr>
        <w:pStyle w:val="Defstart"/>
      </w:pPr>
      <w:r>
        <w:tab/>
      </w:r>
      <w:r>
        <w:rPr>
          <w:b/>
        </w:rPr>
        <w:t>“</w:t>
      </w:r>
      <w:r>
        <w:rPr>
          <w:rStyle w:val="CharDefText"/>
        </w:rPr>
        <w:t>corporation</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Defstart"/>
      </w:pPr>
      <w:r>
        <w:tab/>
      </w:r>
      <w:r>
        <w:rPr>
          <w:b/>
        </w:rPr>
        <w:t>“</w:t>
      </w:r>
      <w:r>
        <w:rPr>
          <w:rStyle w:val="CharDefText"/>
        </w:rPr>
        <w:t>small business</w:t>
      </w:r>
      <w:r>
        <w:rPr>
          <w:b/>
        </w:rPr>
        <w:t>”</w:t>
      </w:r>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b/>
        </w:rPr>
        <w:t>“</w:t>
      </w:r>
      <w:r>
        <w:rPr>
          <w:rStyle w:val="CharDefText"/>
        </w:rPr>
        <w:t>subsidiary</w:t>
      </w:r>
      <w:r>
        <w:rPr>
          <w:b/>
        </w:rPr>
        <w:t>”</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25" w:name="_Hlt510414214"/>
      <w:bookmarkStart w:id="26" w:name="_Toc437922206"/>
      <w:bookmarkStart w:id="27" w:name="_Toc483972641"/>
      <w:bookmarkStart w:id="28" w:name="_Toc506018772"/>
      <w:bookmarkStart w:id="29" w:name="_Toc519740755"/>
      <w:bookmarkStart w:id="30" w:name="_Toc520870025"/>
      <w:bookmarkStart w:id="31" w:name="_Toc533218882"/>
      <w:bookmarkStart w:id="32" w:name="_Toc533480348"/>
      <w:bookmarkStart w:id="33" w:name="_Toc107626233"/>
      <w:bookmarkStart w:id="34" w:name="_Toc145814153"/>
      <w:bookmarkEnd w:id="25"/>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Subject to the provisions of these regulations, the fees specified in Schedules </w:t>
      </w:r>
      <w:bookmarkStart w:id="35" w:name="_Hlt533321613"/>
      <w:r>
        <w:rPr>
          <w:snapToGrid w:val="0"/>
        </w:rPr>
        <w:t>1</w:t>
      </w:r>
      <w:bookmarkEnd w:id="35"/>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36" w:name="_Hlt533327442"/>
      <w:bookmarkEnd w:id="36"/>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37" w:name="_Toc437922207"/>
      <w:bookmarkStart w:id="38" w:name="_Toc483972642"/>
      <w:bookmarkStart w:id="39" w:name="_Toc506018773"/>
      <w:bookmarkStart w:id="40" w:name="_Toc519740756"/>
      <w:bookmarkStart w:id="41" w:name="_Toc520870026"/>
      <w:bookmarkStart w:id="42" w:name="_Toc533218883"/>
      <w:bookmarkStart w:id="43" w:name="_Toc533480349"/>
      <w:r>
        <w:tab/>
        <w:t>[Regulation 4 amended in Gazette 30 Dec 2003 p. 5693-4; 28 Apr 2005 p. 1758.]</w:t>
      </w:r>
    </w:p>
    <w:p>
      <w:pPr>
        <w:pStyle w:val="Heading5"/>
        <w:rPr>
          <w:snapToGrid w:val="0"/>
        </w:rPr>
      </w:pPr>
      <w:bookmarkStart w:id="44" w:name="_Toc107626234"/>
      <w:bookmarkStart w:id="45" w:name="_Toc145814154"/>
      <w:r>
        <w:rPr>
          <w:rStyle w:val="CharSectno"/>
        </w:rPr>
        <w:t>5</w:t>
      </w:r>
      <w:r>
        <w:t>.</w:t>
      </w:r>
      <w:r>
        <w:tab/>
      </w:r>
      <w:r>
        <w:rPr>
          <w:snapToGrid w:val="0"/>
        </w:rPr>
        <w:t>Exemptions</w:t>
      </w:r>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rFonts w:ascii="Times" w:hAnsi="Times"/>
          <w:iCs/>
          <w:vertAlign w:val="superscript"/>
        </w:rPr>
        <w:t> 2</w:t>
      </w:r>
      <w:r>
        <w:rPr>
          <w:snapToGrid w:val="0"/>
        </w:rPr>
        <w:t>; or</w:t>
      </w:r>
    </w:p>
    <w:p>
      <w:pPr>
        <w:pStyle w:val="Indenta"/>
        <w:rPr>
          <w:snapToGrid w:val="0"/>
        </w:rPr>
      </w:pPr>
      <w:r>
        <w:tab/>
        <w:t>(h)</w:t>
      </w:r>
      <w:r>
        <w:tab/>
        <w:t xml:space="preserve">proceedings under the </w:t>
      </w:r>
      <w:r>
        <w:rPr>
          <w:i/>
        </w:rPr>
        <w:t>Civil Judgments Enforcement Act 2004</w:t>
      </w:r>
      <w:r>
        <w:t>.</w:t>
      </w:r>
    </w:p>
    <w:p>
      <w:pPr>
        <w:pStyle w:val="Footnotesection"/>
      </w:pPr>
      <w:bookmarkStart w:id="46" w:name="_Toc437922208"/>
      <w:bookmarkStart w:id="47" w:name="_Toc483972643"/>
      <w:bookmarkStart w:id="48" w:name="_Toc506018774"/>
      <w:bookmarkStart w:id="49" w:name="_Toc519740757"/>
      <w:bookmarkStart w:id="50" w:name="_Toc520870027"/>
      <w:bookmarkStart w:id="51" w:name="_Toc533218884"/>
      <w:bookmarkStart w:id="52" w:name="_Toc533480350"/>
      <w:r>
        <w:tab/>
        <w:t>[Regulation 5 amended in Gazette 28 Apr 2005 p. 1758; 23 Jun 2005 p. 2693.]</w:t>
      </w:r>
    </w:p>
    <w:p>
      <w:pPr>
        <w:pStyle w:val="Heading5"/>
      </w:pPr>
      <w:bookmarkStart w:id="53" w:name="_Toc107626235"/>
      <w:bookmarkStart w:id="54" w:name="_Toc145814155"/>
      <w:r>
        <w:t>5A.</w:t>
      </w:r>
      <w:r>
        <w:tab/>
        <w:t>Disputes regarding fees</w:t>
      </w:r>
      <w:bookmarkEnd w:id="53"/>
      <w:bookmarkEnd w:id="54"/>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55" w:name="_Toc145814156"/>
      <w:bookmarkStart w:id="56" w:name="_Toc107626236"/>
      <w:r>
        <w:rPr>
          <w:rStyle w:val="CharSectno"/>
        </w:rPr>
        <w:t>6</w:t>
      </w:r>
      <w:r>
        <w:t>.</w:t>
      </w:r>
      <w:r>
        <w:tab/>
      </w:r>
      <w:r>
        <w:rPr>
          <w:snapToGrid w:val="0"/>
        </w:rPr>
        <w:t>Fees to be paid before documents filed or other things done</w:t>
      </w:r>
      <w:bookmarkEnd w:id="55"/>
      <w:r>
        <w:rPr>
          <w:snapToGrid w:val="0"/>
        </w:rPr>
        <w:t xml:space="preserve"> </w:t>
      </w:r>
      <w:bookmarkEnd w:id="46"/>
      <w:bookmarkEnd w:id="47"/>
      <w:bookmarkEnd w:id="48"/>
      <w:bookmarkEnd w:id="49"/>
      <w:bookmarkEnd w:id="50"/>
      <w:bookmarkEnd w:id="51"/>
      <w:bookmarkEnd w:id="52"/>
      <w:bookmarkEnd w:id="56"/>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57" w:name="_Toc437922210"/>
      <w:bookmarkStart w:id="58" w:name="_Toc483972645"/>
      <w:bookmarkStart w:id="59" w:name="_Toc506018776"/>
      <w:bookmarkStart w:id="60" w:name="_Toc519740758"/>
      <w:bookmarkStart w:id="61" w:name="_Toc520870028"/>
      <w:bookmarkStart w:id="62" w:name="_Toc533218885"/>
      <w:bookmarkStart w:id="63" w:name="_Toc533480351"/>
      <w:bookmarkStart w:id="64" w:name="_Toc107626237"/>
      <w:bookmarkStart w:id="65" w:name="_Toc145814157"/>
      <w:r>
        <w:rPr>
          <w:rStyle w:val="CharSectno"/>
        </w:rPr>
        <w:t>7</w:t>
      </w:r>
      <w:r>
        <w:t>.</w:t>
      </w:r>
      <w:r>
        <w:tab/>
      </w:r>
      <w:r>
        <w:rPr>
          <w:snapToGrid w:val="0"/>
        </w:rPr>
        <w:t>Court or registrar may remit fees</w:t>
      </w:r>
      <w:bookmarkEnd w:id="57"/>
      <w:bookmarkEnd w:id="58"/>
      <w:bookmarkEnd w:id="59"/>
      <w:bookmarkEnd w:id="60"/>
      <w:bookmarkEnd w:id="61"/>
      <w:bookmarkEnd w:id="62"/>
      <w:bookmarkEnd w:id="63"/>
      <w:bookmarkEnd w:id="64"/>
      <w:bookmarkEnd w:id="65"/>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t>“</w:t>
      </w:r>
      <w:r>
        <w:rPr>
          <w:rStyle w:val="CharDefText"/>
        </w:rPr>
        <w:t>special reasons</w:t>
      </w:r>
      <w:r>
        <w:rPr>
          <w:b/>
        </w:rPr>
        <w:t>”</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66" w:name="_Hlt533327450"/>
      <w:bookmarkEnd w:id="66"/>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67" w:name="_Toc437922211"/>
      <w:bookmarkStart w:id="68" w:name="_Toc483972646"/>
      <w:bookmarkStart w:id="69" w:name="_Toc506018777"/>
      <w:bookmarkStart w:id="70" w:name="_Toc519740759"/>
      <w:bookmarkStart w:id="71" w:name="_Toc520870029"/>
      <w:bookmarkStart w:id="72" w:name="_Toc533218886"/>
      <w:bookmarkStart w:id="73"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74" w:name="_Toc107626238"/>
      <w:bookmarkStart w:id="75" w:name="_Toc145814158"/>
      <w:r>
        <w:rPr>
          <w:rStyle w:val="CharSectno"/>
        </w:rPr>
        <w:t>8</w:t>
      </w:r>
      <w:r>
        <w:t>.</w:t>
      </w:r>
      <w:r>
        <w:tab/>
      </w:r>
      <w:r>
        <w:rPr>
          <w:snapToGrid w:val="0"/>
        </w:rPr>
        <w:t>Conventions</w:t>
      </w:r>
      <w:bookmarkEnd w:id="67"/>
      <w:bookmarkEnd w:id="68"/>
      <w:bookmarkEnd w:id="69"/>
      <w:bookmarkEnd w:id="70"/>
      <w:bookmarkEnd w:id="71"/>
      <w:bookmarkEnd w:id="72"/>
      <w:bookmarkEnd w:id="73"/>
      <w:bookmarkEnd w:id="74"/>
      <w:bookmarkEnd w:id="75"/>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76" w:name="_Hlt510414211"/>
      <w:r>
        <w:rPr>
          <w:snapToGrid w:val="0"/>
        </w:rPr>
        <w:t>4</w:t>
      </w:r>
      <w:bookmarkEnd w:id="76"/>
      <w:r>
        <w:rPr>
          <w:snapToGrid w:val="0"/>
        </w:rPr>
        <w:t xml:space="preserve"> are not be taken in respect of those proceedings.</w:t>
      </w:r>
    </w:p>
    <w:p>
      <w:pPr>
        <w:pStyle w:val="Heading5"/>
      </w:pPr>
      <w:bookmarkStart w:id="77" w:name="_Toc107626239"/>
      <w:bookmarkStart w:id="78" w:name="_Toc145814159"/>
      <w:bookmarkStart w:id="79" w:name="_Toc533218888"/>
      <w:bookmarkStart w:id="80" w:name="_Toc533480354"/>
      <w:r>
        <w:t>9.</w:t>
      </w:r>
      <w:r>
        <w:tab/>
        <w:t>Allocation of hearing date — Schedule 1 Division 1 item 6</w:t>
      </w:r>
      <w:bookmarkEnd w:id="77"/>
      <w:bookmarkEnd w:id="78"/>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81" w:name="_Toc107626240"/>
      <w:bookmarkStart w:id="82" w:name="_Toc145814160"/>
      <w:r>
        <w:rPr>
          <w:rStyle w:val="CharSectno"/>
        </w:rPr>
        <w:t>9A</w:t>
      </w:r>
      <w:r>
        <w:t>.</w:t>
      </w:r>
      <w:r>
        <w:tab/>
        <w:t>Court of Appeal allocation of hearing date — Schedule 1 Division 2 item 6</w:t>
      </w:r>
      <w:bookmarkEnd w:id="81"/>
      <w:bookmarkEnd w:id="82"/>
      <w:r>
        <w:t xml:space="preserve"> </w:t>
      </w:r>
    </w:p>
    <w:p>
      <w:pPr>
        <w:pStyle w:val="Subsection"/>
        <w:spacing w:before="120"/>
      </w:pPr>
      <w:r>
        <w:tab/>
        <w:t>(1)</w:t>
      </w:r>
      <w:r>
        <w:tab/>
        <w:t xml:space="preserve">In this regulation  — </w:t>
      </w:r>
    </w:p>
    <w:p>
      <w:pPr>
        <w:pStyle w:val="Defstart"/>
        <w:spacing w:before="120"/>
      </w:pPr>
      <w:r>
        <w:rPr>
          <w:b/>
        </w:rPr>
        <w:tab/>
        <w:t>“</w:t>
      </w:r>
      <w:r>
        <w:rPr>
          <w:rStyle w:val="CharDefText"/>
        </w:rPr>
        <w:t>fee</w:t>
      </w:r>
      <w:r>
        <w:rPr>
          <w:b/>
        </w:rPr>
        <w:t>”</w:t>
      </w:r>
      <w:r>
        <w:t xml:space="preserve"> means the fee referred to in Schedule 1 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83" w:name="_Toc107626241"/>
      <w:bookmarkStart w:id="84" w:name="_Toc145814161"/>
      <w:r>
        <w:rPr>
          <w:rStyle w:val="CharSectno"/>
        </w:rPr>
        <w:t>10</w:t>
      </w:r>
      <w:r>
        <w:t>.</w:t>
      </w:r>
      <w:r>
        <w:tab/>
        <w:t>Schedule 1 Division 1 item 7 or Division 2 item 7 fee</w:t>
      </w:r>
      <w:bookmarkEnd w:id="79"/>
      <w:bookmarkEnd w:id="80"/>
      <w:bookmarkEnd w:id="83"/>
      <w:bookmarkEnd w:id="84"/>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85" w:name="_Toc533218890"/>
      <w:bookmarkStart w:id="86" w:name="_Toc533480356"/>
      <w:r>
        <w:tab/>
        <w:t>[Regulation 10 amended in Gazette 23 Jun 2005 p. 2695.]</w:t>
      </w:r>
    </w:p>
    <w:p>
      <w:pPr>
        <w:pStyle w:val="Heading5"/>
      </w:pPr>
      <w:bookmarkStart w:id="87" w:name="_Toc107626242"/>
      <w:bookmarkStart w:id="88" w:name="_Toc145814162"/>
      <w:r>
        <w:t>11.</w:t>
      </w:r>
      <w:r>
        <w:tab/>
        <w:t>Recovery of unpaid fees</w:t>
      </w:r>
      <w:bookmarkEnd w:id="87"/>
      <w:bookmarkEnd w:id="88"/>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89" w:name="_Toc107626243"/>
      <w:bookmarkStart w:id="90" w:name="_Toc145814163"/>
      <w:r>
        <w:rPr>
          <w:rStyle w:val="CharSectno"/>
        </w:rPr>
        <w:t>12</w:t>
      </w:r>
      <w:r>
        <w:t>.</w:t>
      </w:r>
      <w:r>
        <w:tab/>
        <w:t>Transitional</w:t>
      </w:r>
      <w:bookmarkEnd w:id="85"/>
      <w:bookmarkEnd w:id="86"/>
      <w:bookmarkEnd w:id="89"/>
      <w:bookmarkEnd w:id="90"/>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91" w:name="_Toc533480357"/>
    </w:p>
    <w:p>
      <w:pPr>
        <w:pStyle w:val="yScheduleHeading"/>
      </w:pPr>
      <w:bookmarkStart w:id="92" w:name="_Toc107626244"/>
      <w:bookmarkStart w:id="93" w:name="_Toc139175204"/>
      <w:bookmarkStart w:id="94" w:name="_Toc139365935"/>
      <w:bookmarkStart w:id="95" w:name="_Toc141847806"/>
      <w:bookmarkStart w:id="96" w:name="_Toc142382640"/>
      <w:bookmarkStart w:id="97" w:name="_Toc144009323"/>
      <w:bookmarkStart w:id="98" w:name="_Toc144009439"/>
      <w:bookmarkStart w:id="99" w:name="_Toc144010737"/>
      <w:bookmarkStart w:id="100" w:name="_Toc144616501"/>
      <w:bookmarkStart w:id="101" w:name="_Toc145814164"/>
      <w:bookmarkEnd w:id="91"/>
      <w:r>
        <w:rPr>
          <w:rStyle w:val="CharSchNo"/>
        </w:rPr>
        <w:t>Schedule 1</w:t>
      </w:r>
      <w:r>
        <w:t> — </w:t>
      </w:r>
      <w:r>
        <w:rPr>
          <w:rStyle w:val="CharSchText"/>
        </w:rPr>
        <w:t>Fees</w:t>
      </w:r>
      <w:bookmarkEnd w:id="92"/>
      <w:bookmarkEnd w:id="93"/>
      <w:bookmarkEnd w:id="94"/>
      <w:bookmarkEnd w:id="95"/>
      <w:bookmarkEnd w:id="96"/>
      <w:bookmarkEnd w:id="97"/>
      <w:bookmarkEnd w:id="98"/>
      <w:bookmarkEnd w:id="99"/>
      <w:bookmarkEnd w:id="100"/>
      <w:bookmarkEnd w:id="101"/>
    </w:p>
    <w:p>
      <w:pPr>
        <w:pStyle w:val="yShoulderClause"/>
      </w:pPr>
      <w:r>
        <w:t>[r. 4]</w:t>
      </w:r>
    </w:p>
    <w:p>
      <w:pPr>
        <w:pStyle w:val="yFootnoteheading"/>
      </w:pPr>
      <w:r>
        <w:tab/>
        <w:t>[Heading inserted in Gazette 23 Jun 2005 p. 2695.]</w:t>
      </w:r>
    </w:p>
    <w:p>
      <w:pPr>
        <w:pStyle w:val="yHeading3"/>
        <w:spacing w:before="280"/>
      </w:pPr>
      <w:bookmarkStart w:id="102" w:name="_Toc107626245"/>
      <w:bookmarkStart w:id="103" w:name="_Toc139175205"/>
      <w:bookmarkStart w:id="104" w:name="_Toc139365936"/>
      <w:bookmarkStart w:id="105" w:name="_Toc141847807"/>
      <w:bookmarkStart w:id="106" w:name="_Toc142382641"/>
      <w:bookmarkStart w:id="107" w:name="_Toc144009324"/>
      <w:bookmarkStart w:id="108" w:name="_Toc144009440"/>
      <w:bookmarkStart w:id="109" w:name="_Toc144010738"/>
      <w:bookmarkStart w:id="110" w:name="_Toc144616502"/>
      <w:bookmarkStart w:id="111" w:name="_Toc145814165"/>
      <w:r>
        <w:rPr>
          <w:rStyle w:val="CharSDivNo"/>
        </w:rPr>
        <w:t>Division 1</w:t>
      </w:r>
      <w:r>
        <w:t xml:space="preserve"> — </w:t>
      </w:r>
      <w:r>
        <w:rPr>
          <w:rStyle w:val="CharSDivText"/>
        </w:rPr>
        <w:t>General Division fees</w:t>
      </w:r>
      <w:bookmarkEnd w:id="102"/>
      <w:bookmarkEnd w:id="103"/>
      <w:bookmarkEnd w:id="104"/>
      <w:bookmarkEnd w:id="105"/>
      <w:bookmarkEnd w:id="106"/>
      <w:bookmarkEnd w:id="107"/>
      <w:bookmarkEnd w:id="108"/>
      <w:bookmarkEnd w:id="109"/>
      <w:bookmarkEnd w:id="110"/>
      <w:bookmarkEnd w:id="111"/>
    </w:p>
    <w:p>
      <w:pPr>
        <w:pStyle w:val="yFootnoteheading"/>
        <w:spacing w:after="16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w:t>
            </w:r>
            <w:r>
              <w:rPr>
                <w:b/>
              </w:rPr>
              <w:br/>
              <w:t>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t>681.00</w:t>
            </w:r>
          </w:p>
        </w:tc>
        <w:tc>
          <w:tcPr>
            <w:tcW w:w="1276" w:type="dxa"/>
          </w:tcPr>
          <w:p>
            <w:pPr>
              <w:pStyle w:val="yTable"/>
              <w:tabs>
                <w:tab w:val="right" w:pos="743"/>
              </w:tabs>
              <w:spacing w:before="20"/>
              <w:jc w:val="center"/>
            </w:pPr>
            <w:r>
              <w:br/>
              <w:t>1 022.00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r>
              <w:t>681.00</w:t>
            </w:r>
          </w:p>
        </w:tc>
        <w:tc>
          <w:tcPr>
            <w:tcW w:w="1276" w:type="dxa"/>
          </w:tcPr>
          <w:p>
            <w:pPr>
              <w:pStyle w:val="yTable"/>
              <w:tabs>
                <w:tab w:val="right" w:pos="743"/>
              </w:tabs>
              <w:spacing w:before="20"/>
              <w:jc w:val="center"/>
            </w:pPr>
            <w:r>
              <w:t>1 022.00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t>681.00</w:t>
            </w:r>
          </w:p>
        </w:tc>
        <w:tc>
          <w:tcPr>
            <w:tcW w:w="1276" w:type="dxa"/>
          </w:tcPr>
          <w:p>
            <w:pPr>
              <w:pStyle w:val="yTable"/>
              <w:tabs>
                <w:tab w:val="right" w:pos="743"/>
              </w:tabs>
              <w:spacing w:before="20"/>
              <w:jc w:val="center"/>
            </w:pPr>
            <w:r>
              <w:br/>
            </w:r>
            <w:r>
              <w:br/>
              <w:t>1 022.00</w:t>
            </w:r>
          </w:p>
        </w:tc>
      </w:tr>
      <w:t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t>228.00</w:t>
            </w:r>
          </w:p>
        </w:tc>
        <w:tc>
          <w:tcPr>
            <w:tcW w:w="1276" w:type="dxa"/>
          </w:tcPr>
          <w:p>
            <w:pPr>
              <w:pStyle w:val="yTable"/>
              <w:tabs>
                <w:tab w:val="right" w:pos="743"/>
              </w:tabs>
              <w:spacing w:before="20"/>
              <w:jc w:val="center"/>
            </w:pPr>
            <w:r>
              <w:br/>
            </w:r>
            <w:r>
              <w:br/>
            </w:r>
            <w:r>
              <w:br/>
            </w:r>
            <w:r>
              <w:br/>
              <w:t>342.00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t>228.00</w:t>
            </w:r>
          </w:p>
        </w:tc>
        <w:tc>
          <w:tcPr>
            <w:tcW w:w="1276" w:type="dxa"/>
          </w:tcPr>
          <w:p>
            <w:pPr>
              <w:pStyle w:val="yTable"/>
              <w:tabs>
                <w:tab w:val="right" w:pos="743"/>
              </w:tabs>
              <w:spacing w:before="20"/>
              <w:jc w:val="center"/>
            </w:pPr>
            <w:r>
              <w:br/>
            </w:r>
            <w:r>
              <w:br/>
              <w:t>342.00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456.00</w:t>
            </w:r>
          </w:p>
        </w:tc>
        <w:tc>
          <w:tcPr>
            <w:tcW w:w="1276" w:type="dxa"/>
          </w:tcPr>
          <w:p>
            <w:pPr>
              <w:pStyle w:val="yTable"/>
              <w:tabs>
                <w:tab w:val="right" w:pos="743"/>
              </w:tabs>
              <w:jc w:val="center"/>
            </w:pPr>
            <w:r>
              <w:br/>
            </w:r>
            <w:r>
              <w:br/>
              <w:t>684.00</w:t>
            </w:r>
          </w:p>
        </w:tc>
      </w:tr>
      <w:tr>
        <w:trPr>
          <w:cantSplit/>
        </w:trPr>
        <w:tc>
          <w:tcPr>
            <w:tcW w:w="4678" w:type="dxa"/>
            <w:gridSpan w:val="2"/>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76" w:type="dxa"/>
          </w:tcPr>
          <w:p>
            <w:pPr>
              <w:pStyle w:val="yTable"/>
              <w:tabs>
                <w:tab w:val="right" w:pos="743"/>
              </w:tabs>
              <w:spacing w:before="0"/>
              <w:jc w:val="center"/>
            </w:pPr>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br/>
            </w:r>
            <w:r>
              <w:br/>
              <w:t>681.00</w:t>
            </w:r>
          </w:p>
        </w:tc>
        <w:tc>
          <w:tcPr>
            <w:tcW w:w="1276" w:type="dxa"/>
          </w:tcPr>
          <w:p>
            <w:pPr>
              <w:pStyle w:val="yTable"/>
              <w:tabs>
                <w:tab w:val="right" w:pos="743"/>
              </w:tabs>
              <w:jc w:val="center"/>
            </w:pPr>
            <w:r>
              <w:br/>
            </w:r>
            <w:r>
              <w:br/>
              <w:t>1 022.00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t>456.00</w:t>
            </w:r>
          </w:p>
        </w:tc>
        <w:tc>
          <w:tcPr>
            <w:tcW w:w="1276" w:type="dxa"/>
          </w:tcPr>
          <w:p>
            <w:pPr>
              <w:pStyle w:val="yTable"/>
              <w:tabs>
                <w:tab w:val="right" w:pos="743"/>
              </w:tabs>
              <w:jc w:val="center"/>
            </w:pPr>
            <w:r>
              <w:br/>
              <w:t>912.00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t>456.00</w:t>
            </w:r>
          </w:p>
        </w:tc>
        <w:tc>
          <w:tcPr>
            <w:tcW w:w="1276" w:type="dxa"/>
          </w:tcPr>
          <w:p>
            <w:pPr>
              <w:pStyle w:val="yTable"/>
              <w:tabs>
                <w:tab w:val="right" w:pos="743"/>
              </w:tabs>
              <w:jc w:val="center"/>
            </w:pPr>
            <w:r>
              <w:br/>
            </w:r>
            <w:r>
              <w:br/>
              <w:t>912.00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Lines/>
              <w:jc w:val="center"/>
            </w:pPr>
          </w:p>
        </w:tc>
        <w:tc>
          <w:tcPr>
            <w:tcW w:w="3969" w:type="dxa"/>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76" w:type="dxa"/>
          </w:tcPr>
          <w:p>
            <w:pPr>
              <w:pStyle w:val="yTable"/>
              <w:keepLines/>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t>160.00</w:t>
            </w:r>
          </w:p>
        </w:tc>
        <w:tc>
          <w:tcPr>
            <w:tcW w:w="1276" w:type="dxa"/>
          </w:tcPr>
          <w:p>
            <w:pPr>
              <w:pStyle w:val="yTable"/>
              <w:spacing w:before="0"/>
              <w:jc w:val="center"/>
            </w:pPr>
            <w:r>
              <w:br/>
            </w:r>
            <w:r>
              <w:br/>
            </w:r>
            <w:r>
              <w:br/>
            </w:r>
            <w:r>
              <w:br/>
            </w:r>
            <w:r>
              <w:br/>
              <w:t>239.00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c>
          <w:tcPr>
            <w:tcW w:w="709" w:type="dxa"/>
          </w:tcPr>
          <w:p>
            <w:pPr>
              <w:pStyle w:val="yTable"/>
              <w:spacing w:before="40"/>
              <w:jc w:val="center"/>
            </w:pPr>
            <w:r>
              <w:t>9.</w:t>
            </w:r>
          </w:p>
        </w:tc>
        <w:tc>
          <w:tcPr>
            <w:tcW w:w="3969" w:type="dxa"/>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spacing w:before="40"/>
              <w:jc w:val="center"/>
            </w:pPr>
          </w:p>
        </w:tc>
        <w:tc>
          <w:tcPr>
            <w:tcW w:w="3969" w:type="dxa"/>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r>
              <w:t>160.00</w:t>
            </w:r>
          </w:p>
        </w:tc>
        <w:tc>
          <w:tcPr>
            <w:tcW w:w="1276" w:type="dxa"/>
          </w:tcPr>
          <w:p>
            <w:pPr>
              <w:pStyle w:val="yTable"/>
              <w:tabs>
                <w:tab w:val="right" w:pos="743"/>
              </w:tabs>
              <w:jc w:val="center"/>
            </w:pPr>
            <w:r>
              <w:t>239.00</w:t>
            </w:r>
          </w:p>
        </w:tc>
      </w:tr>
      <w:tr>
        <w:trPr>
          <w:cantSplit/>
        </w:trPr>
        <w:tc>
          <w:tcPr>
            <w:tcW w:w="709" w:type="dxa"/>
          </w:tcPr>
          <w:p>
            <w:pPr>
              <w:pStyle w:val="yTable"/>
              <w:jc w:val="center"/>
            </w:pPr>
          </w:p>
        </w:tc>
        <w:tc>
          <w:tcPr>
            <w:tcW w:w="3969" w:type="dxa"/>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76" w:type="dxa"/>
          </w:tcPr>
          <w:p>
            <w:pPr>
              <w:pStyle w:val="yTable"/>
              <w:jc w:val="center"/>
            </w:pPr>
            <w:r>
              <w:br/>
              <w:t>2.5%</w:t>
            </w:r>
          </w:p>
        </w:tc>
      </w:tr>
      <w:tr>
        <w:tc>
          <w:tcPr>
            <w:tcW w:w="709" w:type="dxa"/>
          </w:tcPr>
          <w:p>
            <w:pPr>
              <w:pStyle w:val="yTable"/>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p>
        </w:tc>
        <w:tc>
          <w:tcPr>
            <w:tcW w:w="3969" w:type="dxa"/>
          </w:tcPr>
          <w:p>
            <w:pPr>
              <w:pStyle w:val="yTable"/>
              <w:keepNext/>
              <w:keepLines/>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23.00</w:t>
            </w:r>
          </w:p>
        </w:tc>
        <w:tc>
          <w:tcPr>
            <w:tcW w:w="1276" w:type="dxa"/>
          </w:tcPr>
          <w:p>
            <w:pPr>
              <w:pStyle w:val="yTable"/>
              <w:tabs>
                <w:tab w:val="right" w:pos="743"/>
              </w:tabs>
              <w:jc w:val="center"/>
            </w:pPr>
            <w:r>
              <w:br/>
            </w:r>
            <w:r>
              <w:br/>
              <w:t>23.00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t>34.00</w:t>
            </w:r>
          </w:p>
        </w:tc>
        <w:tc>
          <w:tcPr>
            <w:tcW w:w="1276" w:type="dxa"/>
          </w:tcPr>
          <w:p>
            <w:pPr>
              <w:pStyle w:val="yTable"/>
              <w:tabs>
                <w:tab w:val="right" w:pos="743"/>
              </w:tabs>
              <w:jc w:val="center"/>
            </w:pPr>
            <w:r>
              <w:br/>
            </w:r>
            <w:r>
              <w:br/>
            </w:r>
            <w:r>
              <w:br/>
            </w:r>
            <w:r>
              <w:br/>
              <w:t>34.00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57.00</w:t>
            </w:r>
          </w:p>
        </w:tc>
        <w:tc>
          <w:tcPr>
            <w:tcW w:w="1276" w:type="dxa"/>
          </w:tcPr>
          <w:p>
            <w:pPr>
              <w:pStyle w:val="yTable"/>
              <w:tabs>
                <w:tab w:val="right" w:pos="743"/>
              </w:tabs>
              <w:jc w:val="center"/>
            </w:pPr>
            <w:r>
              <w:br/>
            </w:r>
            <w:r>
              <w:br/>
            </w:r>
            <w:r>
              <w:br/>
            </w:r>
            <w:r>
              <w:br/>
            </w:r>
            <w:r>
              <w:br/>
            </w:r>
            <w:r>
              <w:br/>
            </w:r>
            <w:r>
              <w:br/>
              <w:t>57.00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c>
          <w:tcPr>
            <w:tcW w:w="1276" w:type="dxa"/>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11.00</w:t>
            </w:r>
          </w:p>
        </w:tc>
        <w:tc>
          <w:tcPr>
            <w:tcW w:w="1276" w:type="dxa"/>
          </w:tcPr>
          <w:p>
            <w:pPr>
              <w:pStyle w:val="yTable"/>
              <w:tabs>
                <w:tab w:val="right" w:pos="743"/>
              </w:tabs>
              <w:jc w:val="center"/>
            </w:pPr>
            <w:r>
              <w:br/>
            </w:r>
            <w:r>
              <w:br/>
              <w:t>11.00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t>46.00</w:t>
            </w:r>
          </w:p>
        </w:tc>
        <w:tc>
          <w:tcPr>
            <w:tcW w:w="1276" w:type="dxa"/>
          </w:tcPr>
          <w:p>
            <w:pPr>
              <w:pStyle w:val="yTable"/>
              <w:tabs>
                <w:tab w:val="right" w:pos="743"/>
              </w:tabs>
              <w:jc w:val="center"/>
            </w:pPr>
            <w:r>
              <w:br/>
              <w:t>46.00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t>46.00</w:t>
            </w:r>
          </w:p>
        </w:tc>
        <w:tc>
          <w:tcPr>
            <w:tcW w:w="1276" w:type="dxa"/>
          </w:tcPr>
          <w:p>
            <w:pPr>
              <w:pStyle w:val="yTable"/>
              <w:tabs>
                <w:tab w:val="right" w:pos="743"/>
              </w:tabs>
              <w:jc w:val="center"/>
            </w:pPr>
            <w:r>
              <w:br/>
            </w:r>
            <w:r>
              <w:br/>
            </w:r>
            <w:r>
              <w:br/>
            </w:r>
            <w:r>
              <w:br/>
              <w:t>46.00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t>4.50</w:t>
            </w:r>
          </w:p>
        </w:tc>
        <w:tc>
          <w:tcPr>
            <w:tcW w:w="1276" w:type="dxa"/>
          </w:tcPr>
          <w:p>
            <w:pPr>
              <w:pStyle w:val="yTable"/>
              <w:tabs>
                <w:tab w:val="right" w:pos="743"/>
              </w:tabs>
              <w:jc w:val="center"/>
            </w:pPr>
            <w:r>
              <w:br/>
              <w:t>4.50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11.00</w:t>
            </w:r>
          </w:p>
        </w:tc>
        <w:tc>
          <w:tcPr>
            <w:tcW w:w="1276" w:type="dxa"/>
          </w:tcPr>
          <w:p>
            <w:pPr>
              <w:pStyle w:val="yTable"/>
              <w:tabs>
                <w:tab w:val="right" w:pos="743"/>
              </w:tabs>
              <w:jc w:val="center"/>
            </w:pPr>
            <w:r>
              <w:br/>
            </w:r>
            <w:r>
              <w:br/>
            </w:r>
            <w:r>
              <w:br/>
            </w:r>
            <w:r>
              <w:br/>
              <w:t>11.00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keepNext/>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r>
              <w:t>228.00</w:t>
            </w:r>
          </w:p>
        </w:tc>
        <w:tc>
          <w:tcPr>
            <w:tcW w:w="1276" w:type="dxa"/>
          </w:tcPr>
          <w:p>
            <w:pPr>
              <w:pStyle w:val="yTable"/>
              <w:tabs>
                <w:tab w:val="right" w:pos="743"/>
              </w:tabs>
              <w:jc w:val="center"/>
            </w:pPr>
            <w:r>
              <w:t>N/A</w:t>
            </w:r>
          </w:p>
        </w:tc>
      </w:tr>
    </w:tbl>
    <w:p>
      <w:pPr>
        <w:pStyle w:val="yFootnotesection"/>
      </w:pPr>
      <w:bookmarkStart w:id="112" w:name="_Toc533218892"/>
      <w:bookmarkStart w:id="113" w:name="_Toc533480358"/>
      <w:r>
        <w:tab/>
        <w:t>[Division 1 amended in Gazette 15 Feb 2002 p. 643; 30 Dec 2003 p. 5696-8; 28 Apr 2005 p. 1761-2; 23 Jun 2005 p. 2695-7; 23 Jun 2006 p. 2184</w:t>
      </w:r>
      <w:r>
        <w:noBreakHyphen/>
        <w:t>5.]</w:t>
      </w:r>
    </w:p>
    <w:p>
      <w:pPr>
        <w:pStyle w:val="yHeading3"/>
      </w:pPr>
      <w:bookmarkStart w:id="114" w:name="_Toc107626246"/>
      <w:bookmarkStart w:id="115" w:name="_Toc139175206"/>
      <w:bookmarkStart w:id="116" w:name="_Toc139365937"/>
      <w:bookmarkStart w:id="117" w:name="_Toc141847808"/>
      <w:bookmarkStart w:id="118" w:name="_Toc142382642"/>
      <w:bookmarkStart w:id="119" w:name="_Toc144009325"/>
      <w:bookmarkStart w:id="120" w:name="_Toc144009441"/>
      <w:bookmarkStart w:id="121" w:name="_Toc144010739"/>
      <w:bookmarkStart w:id="122" w:name="_Toc144616503"/>
      <w:bookmarkStart w:id="123" w:name="_Toc145814166"/>
      <w:r>
        <w:rPr>
          <w:rStyle w:val="CharSDivNo"/>
        </w:rPr>
        <w:t>Division 2</w:t>
      </w:r>
      <w:r>
        <w:t> — </w:t>
      </w:r>
      <w:r>
        <w:rPr>
          <w:rStyle w:val="CharSDivText"/>
        </w:rPr>
        <w:t>Court of Appeal fees</w:t>
      </w:r>
      <w:bookmarkEnd w:id="114"/>
      <w:bookmarkEnd w:id="115"/>
      <w:bookmarkEnd w:id="116"/>
      <w:bookmarkEnd w:id="117"/>
      <w:bookmarkEnd w:id="118"/>
      <w:bookmarkEnd w:id="119"/>
      <w:bookmarkEnd w:id="120"/>
      <w:bookmarkEnd w:id="121"/>
      <w:bookmarkEnd w:id="122"/>
      <w:bookmarkEnd w:id="123"/>
    </w:p>
    <w:p>
      <w:pPr>
        <w:pStyle w:val="yShoulderClause"/>
      </w:pPr>
      <w:bookmarkStart w:id="124"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r>
              <w:t>114.00</w:t>
            </w:r>
          </w:p>
        </w:tc>
        <w:tc>
          <w:tcPr>
            <w:tcW w:w="1195" w:type="dxa"/>
          </w:tcPr>
          <w:p>
            <w:pPr>
              <w:pStyle w:val="yTable"/>
              <w:jc w:val="center"/>
            </w:pPr>
            <w:r>
              <w:t>228.00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1 710.00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3 420.00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t>228.00</w:t>
            </w:r>
          </w:p>
        </w:tc>
        <w:tc>
          <w:tcPr>
            <w:tcW w:w="1195" w:type="dxa"/>
          </w:tcPr>
          <w:p>
            <w:pPr>
              <w:pStyle w:val="yTable"/>
              <w:tabs>
                <w:tab w:val="right" w:pos="743"/>
              </w:tabs>
              <w:jc w:val="center"/>
            </w:pPr>
            <w:r>
              <w:br/>
            </w:r>
            <w:r>
              <w:br/>
            </w:r>
            <w:r>
              <w:br/>
            </w:r>
            <w:r>
              <w:br/>
              <w:t>342.00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160.00</w:t>
            </w:r>
          </w:p>
        </w:tc>
        <w:tc>
          <w:tcPr>
            <w:tcW w:w="1195" w:type="dxa"/>
          </w:tcPr>
          <w:p>
            <w:pPr>
              <w:pStyle w:val="yTable"/>
              <w:tabs>
                <w:tab w:val="left" w:pos="496"/>
              </w:tabs>
              <w:ind w:left="493" w:hanging="493"/>
              <w:jc w:val="center"/>
            </w:pPr>
          </w:p>
          <w:p>
            <w:pPr>
              <w:pStyle w:val="yTable"/>
              <w:jc w:val="center"/>
            </w:pPr>
            <w:r>
              <w:br/>
            </w:r>
          </w:p>
          <w:p>
            <w:pPr>
              <w:pStyle w:val="yTable"/>
              <w:jc w:val="center"/>
            </w:pPr>
            <w:r>
              <w:t>239.00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r>
              <w:t>570.00</w:t>
            </w:r>
          </w:p>
        </w:tc>
        <w:tc>
          <w:tcPr>
            <w:tcW w:w="1195" w:type="dxa"/>
          </w:tcPr>
          <w:p>
            <w:pPr>
              <w:pStyle w:val="yTable"/>
              <w:tabs>
                <w:tab w:val="right" w:pos="743"/>
              </w:tabs>
              <w:jc w:val="center"/>
            </w:pPr>
            <w:r>
              <w:t>855.00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t>456.00</w:t>
            </w:r>
          </w:p>
        </w:tc>
        <w:tc>
          <w:tcPr>
            <w:tcW w:w="1195" w:type="dxa"/>
          </w:tcPr>
          <w:p>
            <w:pPr>
              <w:pStyle w:val="yTable"/>
              <w:jc w:val="center"/>
              <w:rPr>
                <w:sz w:val="20"/>
              </w:rPr>
            </w:pPr>
            <w:r>
              <w:br/>
              <w:t>912.00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Daily hearing fee ........................................</w:t>
            </w:r>
          </w:p>
        </w:tc>
        <w:tc>
          <w:tcPr>
            <w:tcW w:w="1213" w:type="dxa"/>
          </w:tcPr>
          <w:p>
            <w:pPr>
              <w:pStyle w:val="yTable"/>
              <w:keepNext/>
              <w:tabs>
                <w:tab w:val="right" w:pos="743"/>
              </w:tabs>
              <w:jc w:val="center"/>
            </w:pPr>
            <w:r>
              <w:t>456.00</w:t>
            </w:r>
          </w:p>
        </w:tc>
        <w:tc>
          <w:tcPr>
            <w:tcW w:w="1195" w:type="dxa"/>
          </w:tcPr>
          <w:p>
            <w:pPr>
              <w:pStyle w:val="yTable"/>
              <w:keepNext/>
              <w:tabs>
                <w:tab w:val="right" w:pos="743"/>
              </w:tabs>
              <w:jc w:val="center"/>
            </w:pPr>
            <w:r>
              <w:t>912.00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t>23.00</w:t>
            </w:r>
          </w:p>
        </w:tc>
        <w:tc>
          <w:tcPr>
            <w:tcW w:w="1195" w:type="dxa"/>
          </w:tcPr>
          <w:p>
            <w:pPr>
              <w:pStyle w:val="yTable"/>
              <w:tabs>
                <w:tab w:val="right" w:pos="743"/>
              </w:tabs>
              <w:jc w:val="center"/>
            </w:pPr>
            <w:r>
              <w:br/>
            </w:r>
            <w:r>
              <w:br/>
              <w:t>23.00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8.00</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8.00</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1.00</w:t>
            </w:r>
          </w:p>
        </w:tc>
        <w:tc>
          <w:tcPr>
            <w:tcW w:w="1195" w:type="dxa"/>
          </w:tcPr>
          <w:p>
            <w:pPr>
              <w:pStyle w:val="yTable"/>
              <w:tabs>
                <w:tab w:val="right" w:pos="743"/>
              </w:tabs>
              <w:jc w:val="center"/>
            </w:pPr>
            <w:r>
              <w:br/>
            </w:r>
            <w:r>
              <w:br/>
              <w:t>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11.00</w:t>
            </w:r>
          </w:p>
        </w:tc>
        <w:tc>
          <w:tcPr>
            <w:tcW w:w="1195" w:type="dxa"/>
          </w:tcPr>
          <w:p>
            <w:pPr>
              <w:pStyle w:val="yTable"/>
              <w:tabs>
                <w:tab w:val="right" w:pos="743"/>
              </w:tabs>
              <w:jc w:val="center"/>
            </w:pPr>
            <w:r>
              <w:br/>
            </w:r>
            <w:r>
              <w:br/>
              <w:t>11.00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t>46.00</w:t>
            </w:r>
          </w:p>
        </w:tc>
        <w:tc>
          <w:tcPr>
            <w:tcW w:w="1195" w:type="dxa"/>
          </w:tcPr>
          <w:p>
            <w:pPr>
              <w:pStyle w:val="yTable"/>
              <w:tabs>
                <w:tab w:val="right" w:pos="743"/>
              </w:tabs>
              <w:jc w:val="center"/>
            </w:pPr>
            <w:r>
              <w:br/>
              <w:t>46.00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4.50</w:t>
            </w:r>
          </w:p>
        </w:tc>
        <w:tc>
          <w:tcPr>
            <w:tcW w:w="1195" w:type="dxa"/>
          </w:tcPr>
          <w:p>
            <w:pPr>
              <w:pStyle w:val="yTable"/>
              <w:tabs>
                <w:tab w:val="right" w:pos="743"/>
              </w:tabs>
              <w:jc w:val="center"/>
            </w:pPr>
            <w:r>
              <w:br/>
              <w:t>4.50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11.00</w:t>
            </w:r>
          </w:p>
        </w:tc>
        <w:tc>
          <w:tcPr>
            <w:tcW w:w="1195" w:type="dxa"/>
          </w:tcPr>
          <w:p>
            <w:pPr>
              <w:pStyle w:val="yTable"/>
              <w:tabs>
                <w:tab w:val="right" w:pos="743"/>
              </w:tabs>
              <w:jc w:val="center"/>
            </w:pPr>
            <w:r>
              <w:br/>
            </w:r>
            <w:r>
              <w:br/>
            </w:r>
            <w:r>
              <w:br/>
            </w:r>
            <w:r>
              <w:br/>
              <w:t>11.00</w:t>
            </w:r>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124"/>
    <w:p>
      <w:pPr>
        <w:pStyle w:val="yFootnotesection"/>
      </w:pPr>
      <w:r>
        <w:tab/>
        <w:t>[Division 2 inserted in Gazette 23 Jun 2005 p. 2697-9; amended in Gazette 23 Jun 2006 p. 2185</w:t>
      </w:r>
      <w:r>
        <w:softHyphen/>
      </w:r>
      <w:r>
        <w:noBreakHyphen/>
        <w:t>6.]</w:t>
      </w:r>
    </w:p>
    <w:p>
      <w:pPr>
        <w:pStyle w:val="yScheduleHeading"/>
      </w:pPr>
      <w:bookmarkStart w:id="125" w:name="_Toc107626247"/>
      <w:bookmarkStart w:id="126" w:name="_Toc139175207"/>
      <w:bookmarkStart w:id="127" w:name="_Toc139365938"/>
      <w:bookmarkStart w:id="128" w:name="_Toc141847809"/>
      <w:bookmarkStart w:id="129" w:name="_Toc142382643"/>
      <w:bookmarkStart w:id="130" w:name="_Toc144009326"/>
      <w:bookmarkStart w:id="131" w:name="_Toc144009442"/>
      <w:bookmarkStart w:id="132" w:name="_Toc144010740"/>
      <w:bookmarkStart w:id="133" w:name="_Toc144616504"/>
      <w:bookmarkStart w:id="134" w:name="_Toc145814167"/>
      <w:bookmarkStart w:id="135" w:name="_Toc533218893"/>
      <w:bookmarkStart w:id="136" w:name="_Toc533480359"/>
      <w:bookmarkEnd w:id="112"/>
      <w:bookmarkEnd w:id="113"/>
      <w:r>
        <w:rPr>
          <w:rStyle w:val="CharSchNo"/>
        </w:rPr>
        <w:t>Schedule 2</w:t>
      </w:r>
      <w:r>
        <w:rPr>
          <w:rStyle w:val="CharSDivNo"/>
          <w:sz w:val="28"/>
        </w:rPr>
        <w:t> </w:t>
      </w:r>
      <w:r>
        <w:t>—</w:t>
      </w:r>
      <w:r>
        <w:rPr>
          <w:rStyle w:val="CharSDivText"/>
          <w:sz w:val="28"/>
        </w:rPr>
        <w:t> </w:t>
      </w:r>
      <w:r>
        <w:rPr>
          <w:rStyle w:val="CharSchText"/>
        </w:rPr>
        <w:t>Sheriff’s fees</w:t>
      </w:r>
      <w:bookmarkEnd w:id="125"/>
      <w:bookmarkEnd w:id="126"/>
      <w:bookmarkEnd w:id="127"/>
      <w:bookmarkEnd w:id="128"/>
      <w:bookmarkEnd w:id="129"/>
      <w:bookmarkEnd w:id="130"/>
      <w:bookmarkEnd w:id="131"/>
      <w:bookmarkEnd w:id="132"/>
      <w:bookmarkEnd w:id="133"/>
      <w:bookmarkEnd w:id="134"/>
    </w:p>
    <w:p>
      <w:pPr>
        <w:pStyle w:val="yShoulderClause"/>
      </w:pPr>
      <w:r>
        <w:t>[r. 4]</w:t>
      </w:r>
    </w:p>
    <w:p>
      <w:pPr>
        <w:pStyle w:val="yFootnoteheading"/>
        <w:spacing w:after="120"/>
      </w:pPr>
      <w:r>
        <w:tab/>
        <w:t>[Heading inserted in Gazette 28 Apr 2005 p. 1762;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for arresting the person .......................................</w:t>
            </w:r>
          </w:p>
        </w:tc>
        <w:tc>
          <w:tcPr>
            <w:tcW w:w="1126" w:type="dxa"/>
          </w:tcPr>
          <w:p>
            <w:pPr>
              <w:pStyle w:val="yTable"/>
              <w:tabs>
                <w:tab w:val="right" w:pos="743"/>
              </w:tabs>
            </w:pPr>
            <w:r>
              <w:t>72.50</w:t>
            </w:r>
          </w:p>
        </w:tc>
      </w:tr>
      <w:tr>
        <w:trPr>
          <w:cantSplit/>
        </w:trPr>
        <w:tc>
          <w:tcPr>
            <w:tcW w:w="840" w:type="dxa"/>
          </w:tcPr>
          <w:p>
            <w:pPr>
              <w:pStyle w:val="yTable"/>
            </w:pPr>
          </w:p>
        </w:tc>
        <w:tc>
          <w:tcPr>
            <w:tcW w:w="5114" w:type="dxa"/>
          </w:tcPr>
          <w:p>
            <w:pPr>
              <w:pStyle w:val="yTable"/>
              <w:tabs>
                <w:tab w:val="left" w:pos="601"/>
              </w:tabs>
              <w:ind w:left="601" w:hanging="601"/>
            </w:pPr>
            <w:r>
              <w:t>(b)</w:t>
            </w:r>
            <w:r>
              <w:tab/>
              <w:t>for conveying the person to a court or a custodial place and releasing the person from arrest or custody ..................................................</w:t>
            </w:r>
          </w:p>
        </w:tc>
        <w:tc>
          <w:tcPr>
            <w:tcW w:w="1126" w:type="dxa"/>
          </w:tcPr>
          <w:p>
            <w:pPr>
              <w:pStyle w:val="yTable"/>
              <w:tabs>
                <w:tab w:val="right" w:pos="743"/>
              </w:tabs>
            </w:pPr>
            <w:r>
              <w:br/>
            </w:r>
            <w:r>
              <w:br/>
              <w:t>72.50</w:t>
            </w:r>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p>
        </w:tc>
        <w:tc>
          <w:tcPr>
            <w:tcW w:w="1126" w:type="dxa"/>
          </w:tcPr>
          <w:p>
            <w:pPr>
              <w:pStyle w:val="yTable"/>
              <w:tabs>
                <w:tab w:val="right" w:pos="743"/>
              </w:tabs>
            </w:pPr>
            <w:r>
              <w:br/>
            </w:r>
            <w:r>
              <w:br/>
            </w:r>
            <w:r>
              <w:br/>
              <w:t>19.25</w:t>
            </w:r>
          </w:p>
        </w:tc>
      </w:tr>
      <w:tr>
        <w:trPr>
          <w:cantSplit/>
        </w:trPr>
        <w:tc>
          <w:tcPr>
            <w:tcW w:w="7080"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For the service of any writ, application, summons, originating process, notice or order of the Court or any other process requiring service ......................................</w:t>
            </w:r>
          </w:p>
        </w:tc>
        <w:tc>
          <w:tcPr>
            <w:tcW w:w="1126" w:type="dxa"/>
          </w:tcPr>
          <w:p>
            <w:pPr>
              <w:pStyle w:val="yTable"/>
              <w:tabs>
                <w:tab w:val="right" w:pos="743"/>
              </w:tabs>
            </w:pPr>
            <w:r>
              <w:br/>
            </w:r>
            <w:r>
              <w:br/>
              <w:t>39.50</w:t>
            </w:r>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for each kilometre travelled (one way) in the metropolitan area .................................................</w:t>
            </w:r>
          </w:p>
        </w:tc>
        <w:tc>
          <w:tcPr>
            <w:tcW w:w="1126" w:type="dxa"/>
          </w:tcPr>
          <w:p>
            <w:pPr>
              <w:pStyle w:val="yTable"/>
              <w:tabs>
                <w:tab w:val="right" w:pos="743"/>
              </w:tabs>
            </w:pPr>
            <w:r>
              <w:br/>
              <w:t>1.00</w:t>
            </w:r>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126" w:type="dxa"/>
          </w:tcPr>
          <w:p>
            <w:pPr>
              <w:pStyle w:val="yTable"/>
              <w:tabs>
                <w:tab w:val="right" w:pos="743"/>
              </w:tabs>
            </w:pPr>
            <w:r>
              <w:br/>
              <w:t>1.10</w:t>
            </w:r>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Fee to the sheriff for attending a view — per hour or part of an hour ................................................................</w:t>
            </w:r>
          </w:p>
        </w:tc>
        <w:tc>
          <w:tcPr>
            <w:tcW w:w="1126" w:type="dxa"/>
          </w:tcPr>
          <w:p>
            <w:pPr>
              <w:pStyle w:val="yTable"/>
              <w:tabs>
                <w:tab w:val="right" w:pos="743"/>
              </w:tabs>
            </w:pPr>
            <w:r>
              <w:br/>
              <w:t>38.50</w:t>
            </w:r>
          </w:p>
        </w:tc>
      </w:tr>
      <w:tr>
        <w:trPr>
          <w:cantSplit/>
        </w:trPr>
        <w:tc>
          <w:tcPr>
            <w:tcW w:w="840" w:type="dxa"/>
          </w:tcPr>
          <w:p>
            <w:pPr>
              <w:pStyle w:val="yTable"/>
            </w:pPr>
            <w:r>
              <w:t>5.</w:t>
            </w:r>
          </w:p>
        </w:tc>
        <w:tc>
          <w:tcPr>
            <w:tcW w:w="5114" w:type="dxa"/>
          </w:tcPr>
          <w:p>
            <w:pPr>
              <w:pStyle w:val="yTable"/>
              <w:tabs>
                <w:tab w:val="left" w:pos="601"/>
              </w:tabs>
              <w:ind w:left="601" w:hanging="601"/>
            </w:pPr>
            <w:r>
              <w:t>(a)</w:t>
            </w:r>
            <w:r>
              <w:tab/>
              <w:t>For striking a jury and preparing jury panel .......</w:t>
            </w:r>
          </w:p>
        </w:tc>
        <w:tc>
          <w:tcPr>
            <w:tcW w:w="1126" w:type="dxa"/>
          </w:tcPr>
          <w:p>
            <w:pPr>
              <w:pStyle w:val="yTable"/>
              <w:tabs>
                <w:tab w:val="right" w:pos="743"/>
              </w:tabs>
            </w:pPr>
            <w:r>
              <w:t>123.00</w:t>
            </w:r>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126" w:type="dxa"/>
            <w:tcBorders>
              <w:bottom w:val="single" w:sz="4" w:space="0" w:color="auto"/>
            </w:tcBorders>
          </w:tcPr>
          <w:p>
            <w:pPr>
              <w:pStyle w:val="yTable"/>
              <w:ind w:right="-108"/>
            </w:pPr>
            <w:r>
              <w:br/>
              <w:t>The sum actually and reasonably paid.</w:t>
            </w:r>
          </w:p>
        </w:tc>
      </w:tr>
    </w:tbl>
    <w:p>
      <w:pPr>
        <w:pStyle w:val="Footnotesection"/>
      </w:pPr>
      <w:r>
        <w:tab/>
        <w:t>[Schedule 2 inserted in Gazette 28 Apr 2005 p. 1762; amended in Gazette 23 Jun 2005 p. 2699; 23 Jun 2006 p. 2186</w:t>
      </w:r>
      <w:r>
        <w:noBreakHyphen/>
        <w:t>7.]</w:t>
      </w:r>
    </w:p>
    <w:p>
      <w:pPr>
        <w:pStyle w:val="yScheduleHeading"/>
      </w:pPr>
      <w:bookmarkStart w:id="137" w:name="_Toc107626248"/>
      <w:bookmarkStart w:id="138" w:name="_Toc139175208"/>
      <w:bookmarkStart w:id="139" w:name="_Toc139365939"/>
      <w:bookmarkStart w:id="140" w:name="_Toc141847810"/>
      <w:bookmarkStart w:id="141" w:name="_Toc142382644"/>
      <w:bookmarkStart w:id="142" w:name="_Toc144009327"/>
      <w:bookmarkStart w:id="143" w:name="_Toc144009443"/>
      <w:bookmarkStart w:id="144" w:name="_Toc144010741"/>
      <w:bookmarkStart w:id="145" w:name="_Toc144616505"/>
      <w:bookmarkStart w:id="146" w:name="_Toc145814168"/>
      <w:r>
        <w:rPr>
          <w:rStyle w:val="CharSchNo"/>
        </w:rPr>
        <w:t>Schedule 3</w:t>
      </w:r>
      <w:r>
        <w:t xml:space="preserve"> — </w:t>
      </w:r>
      <w:bookmarkEnd w:id="135"/>
      <w:bookmarkEnd w:id="136"/>
      <w:r>
        <w:rPr>
          <w:rStyle w:val="CharSchText"/>
        </w:rPr>
        <w:t>Probate fees</w:t>
      </w:r>
      <w:bookmarkEnd w:id="137"/>
      <w:bookmarkEnd w:id="138"/>
      <w:bookmarkEnd w:id="139"/>
      <w:bookmarkEnd w:id="140"/>
      <w:bookmarkEnd w:id="141"/>
      <w:bookmarkEnd w:id="142"/>
      <w:bookmarkEnd w:id="143"/>
      <w:bookmarkEnd w:id="144"/>
      <w:bookmarkEnd w:id="145"/>
      <w:bookmarkEnd w:id="146"/>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t>142.00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r>
              <w:br/>
            </w:r>
            <w:r>
              <w:tab/>
              <w:t>284.00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if the gross value of the estate the subject of the application exceeds $100 000 .................</w:t>
            </w:r>
          </w:p>
        </w:tc>
        <w:tc>
          <w:tcPr>
            <w:tcW w:w="1382" w:type="dxa"/>
          </w:tcPr>
          <w:p>
            <w:pPr>
              <w:pStyle w:val="yTable"/>
              <w:tabs>
                <w:tab w:val="right" w:pos="743"/>
              </w:tabs>
              <w:spacing w:before="0"/>
            </w:pPr>
            <w:r>
              <w:br/>
            </w:r>
            <w:r>
              <w:tab/>
              <w:t>568.00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46.00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11.00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t>57.00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23.00</w:t>
            </w:r>
          </w:p>
        </w:tc>
      </w:tr>
    </w:tbl>
    <w:p>
      <w:pPr>
        <w:pStyle w:val="yFootnotesection"/>
      </w:pPr>
      <w:bookmarkStart w:id="147" w:name="_Toc533218894"/>
      <w:bookmarkStart w:id="148" w:name="_Toc533480360"/>
      <w:r>
        <w:tab/>
        <w:t>[Schedule 3 amended in Gazette 30 Dec 2003 p. 5699; 23 Jun 2005 p. 2700; 23 Jun 2006 p. 2187.]</w:t>
      </w:r>
    </w:p>
    <w:p>
      <w:pPr>
        <w:pStyle w:val="yScheduleHeading"/>
      </w:pPr>
      <w:bookmarkStart w:id="149" w:name="_Toc107626249"/>
      <w:bookmarkStart w:id="150" w:name="_Toc139175209"/>
      <w:bookmarkStart w:id="151" w:name="_Toc139365940"/>
      <w:bookmarkStart w:id="152" w:name="_Toc141847811"/>
      <w:bookmarkStart w:id="153" w:name="_Toc142382645"/>
      <w:bookmarkStart w:id="154" w:name="_Toc144009328"/>
      <w:bookmarkStart w:id="155" w:name="_Toc144009444"/>
      <w:bookmarkStart w:id="156" w:name="_Toc144010742"/>
      <w:bookmarkStart w:id="157" w:name="_Toc144616506"/>
      <w:bookmarkStart w:id="158" w:name="_Toc145814169"/>
      <w:r>
        <w:rPr>
          <w:rStyle w:val="CharSchNo"/>
        </w:rPr>
        <w:t>Schedule 4</w:t>
      </w:r>
      <w:r>
        <w:t xml:space="preserve"> — </w:t>
      </w:r>
      <w:r>
        <w:rPr>
          <w:rStyle w:val="CharSchText"/>
        </w:rPr>
        <w:t>Forms</w:t>
      </w:r>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spacing w:after="120"/>
      </w:pPr>
      <w:r>
        <w:t xml:space="preserve">[r. </w:t>
      </w:r>
      <w:bookmarkStart w:id="159" w:name="_Hlt533327436"/>
      <w:r>
        <w:t>4(7)</w:t>
      </w:r>
      <w:bookmarkEnd w:id="159"/>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60" w:name="_Toc102891015"/>
      <w:bookmarkStart w:id="161" w:name="_Toc107626250"/>
      <w:bookmarkStart w:id="162" w:name="_Toc139175210"/>
      <w:bookmarkStart w:id="163" w:name="_Toc139365941"/>
      <w:bookmarkStart w:id="164" w:name="_Toc141847812"/>
      <w:bookmarkStart w:id="165" w:name="_Toc142382646"/>
      <w:bookmarkStart w:id="166" w:name="_Toc144009329"/>
      <w:bookmarkStart w:id="167" w:name="_Toc144009445"/>
      <w:bookmarkStart w:id="168" w:name="_Toc144010743"/>
      <w:bookmarkStart w:id="169" w:name="_Toc144616507"/>
      <w:bookmarkStart w:id="170" w:name="_Toc145814170"/>
      <w:r>
        <w:t>Notes</w:t>
      </w:r>
      <w:bookmarkEnd w:id="160"/>
      <w:bookmarkEnd w:id="161"/>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reprint is a compilation as at 18 August 2006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71" w:name="_Toc145814171"/>
      <w:r>
        <w:t>Compilation table</w:t>
      </w:r>
      <w:bookmarkEnd w:id="171"/>
    </w:p>
    <w:tbl>
      <w:tblPr>
        <w:tblW w:w="0" w:type="auto"/>
        <w:tblInd w:w="56" w:type="dxa"/>
        <w:tblLayout w:type="fixed"/>
        <w:tblCellMar>
          <w:left w:w="56" w:type="dxa"/>
          <w:right w:w="56" w:type="dxa"/>
        </w:tblCellMar>
        <w:tblLook w:val="0000" w:firstRow="0" w:lastRow="0" w:firstColumn="0" w:lastColumn="0" w:noHBand="0" w:noVBand="0"/>
      </w:tblPr>
      <w:tblGrid>
        <w:gridCol w:w="28"/>
        <w:gridCol w:w="3090"/>
        <w:gridCol w:w="28"/>
        <w:gridCol w:w="1249"/>
        <w:gridCol w:w="28"/>
        <w:gridCol w:w="2665"/>
        <w:gridCol w:w="33"/>
      </w:tblGrid>
      <w:tr>
        <w:trPr>
          <w:gridBefore w:val="1"/>
          <w:wBefore w:w="28"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7"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3118" w:type="dxa"/>
            <w:gridSpan w:val="2"/>
            <w:tcBorders>
              <w:top w:val="single" w:sz="8" w:space="0" w:color="auto"/>
            </w:tcBorders>
          </w:tcPr>
          <w:p>
            <w:pPr>
              <w:pStyle w:val="nTable"/>
              <w:spacing w:after="40"/>
              <w:rPr>
                <w:sz w:val="19"/>
              </w:rPr>
            </w:pPr>
            <w:r>
              <w:rPr>
                <w:i/>
                <w:sz w:val="19"/>
              </w:rPr>
              <w:t>Supreme Court (Fees) Regulations 2002</w:t>
            </w:r>
          </w:p>
        </w:tc>
        <w:tc>
          <w:tcPr>
            <w:tcW w:w="1277" w:type="dxa"/>
            <w:gridSpan w:val="2"/>
            <w:tcBorders>
              <w:top w:val="single" w:sz="8" w:space="0" w:color="auto"/>
            </w:tcBorders>
          </w:tcPr>
          <w:p>
            <w:pPr>
              <w:pStyle w:val="nTable"/>
              <w:spacing w:after="40"/>
              <w:rPr>
                <w:sz w:val="19"/>
              </w:rPr>
            </w:pPr>
            <w:r>
              <w:rPr>
                <w:sz w:val="19"/>
              </w:rPr>
              <w:t>27 Dec 2001 p. 6583-616</w:t>
            </w:r>
          </w:p>
        </w:tc>
        <w:tc>
          <w:tcPr>
            <w:tcW w:w="2698" w:type="dxa"/>
            <w:gridSpan w:val="2"/>
            <w:tcBorders>
              <w:top w:val="single" w:sz="8" w:space="0" w:color="auto"/>
            </w:tcBorders>
          </w:tcPr>
          <w:p>
            <w:pPr>
              <w:pStyle w:val="nTable"/>
              <w:spacing w:after="40"/>
              <w:rPr>
                <w:sz w:val="19"/>
              </w:rPr>
            </w:pPr>
            <w:r>
              <w:rPr>
                <w:sz w:val="19"/>
              </w:rPr>
              <w:t>1 Jan 2002 (see r. 2)</w:t>
            </w:r>
          </w:p>
        </w:tc>
      </w:tr>
      <w:tr>
        <w:trPr>
          <w:gridBefore w:val="1"/>
          <w:wBefore w:w="28" w:type="dxa"/>
        </w:trPr>
        <w:tc>
          <w:tcPr>
            <w:tcW w:w="3118" w:type="dxa"/>
            <w:gridSpan w:val="2"/>
          </w:tcPr>
          <w:p>
            <w:pPr>
              <w:pStyle w:val="nTable"/>
              <w:spacing w:after="40"/>
              <w:rPr>
                <w:i/>
                <w:sz w:val="19"/>
              </w:rPr>
            </w:pPr>
            <w:r>
              <w:rPr>
                <w:i/>
                <w:sz w:val="19"/>
              </w:rPr>
              <w:t>Supreme Court (Fees) Amendment Regulations 2002</w:t>
            </w:r>
          </w:p>
        </w:tc>
        <w:tc>
          <w:tcPr>
            <w:tcW w:w="1277" w:type="dxa"/>
            <w:gridSpan w:val="2"/>
          </w:tcPr>
          <w:p>
            <w:pPr>
              <w:pStyle w:val="nTable"/>
              <w:spacing w:after="40"/>
              <w:rPr>
                <w:sz w:val="19"/>
              </w:rPr>
            </w:pPr>
            <w:r>
              <w:rPr>
                <w:sz w:val="19"/>
              </w:rPr>
              <w:t>15 Feb 2002 p. 643</w:t>
            </w:r>
          </w:p>
        </w:tc>
        <w:tc>
          <w:tcPr>
            <w:tcW w:w="2698" w:type="dxa"/>
            <w:gridSpan w:val="2"/>
          </w:tcPr>
          <w:p>
            <w:pPr>
              <w:pStyle w:val="nTable"/>
              <w:spacing w:after="40"/>
              <w:rPr>
                <w:sz w:val="19"/>
              </w:rPr>
            </w:pPr>
            <w:r>
              <w:rPr>
                <w:sz w:val="19"/>
              </w:rPr>
              <w:t>15 Feb 2002</w:t>
            </w:r>
          </w:p>
        </w:tc>
      </w:tr>
      <w:tr>
        <w:trPr>
          <w:gridAfter w:val="1"/>
          <w:wAfter w:w="33" w:type="dxa"/>
          <w:cantSplit/>
        </w:trPr>
        <w:tc>
          <w:tcPr>
            <w:tcW w:w="3118" w:type="dxa"/>
            <w:gridSpan w:val="2"/>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gridSpan w:val="2"/>
          </w:tcPr>
          <w:p>
            <w:pPr>
              <w:pStyle w:val="nTable"/>
              <w:spacing w:after="40"/>
              <w:rPr>
                <w:spacing w:val="-2"/>
                <w:sz w:val="19"/>
              </w:rPr>
            </w:pPr>
            <w:r>
              <w:rPr>
                <w:sz w:val="19"/>
              </w:rPr>
              <w:t>30 Jun 2003 p. 2581</w:t>
            </w:r>
            <w:r>
              <w:rPr>
                <w:sz w:val="19"/>
              </w:rPr>
              <w:noBreakHyphen/>
              <w:t>638</w:t>
            </w:r>
          </w:p>
        </w:tc>
        <w:tc>
          <w:tcPr>
            <w:tcW w:w="2693"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33" w:type="dxa"/>
          <w:cantSplit/>
        </w:trPr>
        <w:tc>
          <w:tcPr>
            <w:tcW w:w="3118" w:type="dxa"/>
            <w:gridSpan w:val="2"/>
          </w:tcPr>
          <w:p>
            <w:pPr>
              <w:pStyle w:val="nTable"/>
              <w:spacing w:after="40"/>
              <w:ind w:right="113"/>
              <w:rPr>
                <w:i/>
                <w:sz w:val="19"/>
              </w:rPr>
            </w:pPr>
            <w:r>
              <w:rPr>
                <w:i/>
                <w:sz w:val="19"/>
              </w:rPr>
              <w:t>Supreme Court (Fees) Amendment Regulations 2003</w:t>
            </w:r>
          </w:p>
        </w:tc>
        <w:tc>
          <w:tcPr>
            <w:tcW w:w="1277" w:type="dxa"/>
            <w:gridSpan w:val="2"/>
          </w:tcPr>
          <w:p>
            <w:pPr>
              <w:pStyle w:val="nTable"/>
              <w:spacing w:after="40"/>
              <w:rPr>
                <w:sz w:val="19"/>
              </w:rPr>
            </w:pPr>
            <w:r>
              <w:rPr>
                <w:sz w:val="19"/>
              </w:rPr>
              <w:t>30 Dec 2003 p. 5693-701</w:t>
            </w:r>
          </w:p>
        </w:tc>
        <w:tc>
          <w:tcPr>
            <w:tcW w:w="2693" w:type="dxa"/>
            <w:gridSpan w:val="2"/>
          </w:tcPr>
          <w:p>
            <w:pPr>
              <w:pStyle w:val="nTable"/>
              <w:spacing w:after="40"/>
              <w:rPr>
                <w:i/>
                <w:sz w:val="19"/>
              </w:rPr>
            </w:pPr>
            <w:r>
              <w:rPr>
                <w:sz w:val="19"/>
              </w:rPr>
              <w:t>1 Jan 2004 (see r. 2)</w:t>
            </w:r>
          </w:p>
        </w:tc>
      </w:tr>
      <w:tr>
        <w:trPr>
          <w:gridAfter w:val="1"/>
          <w:wAfter w:w="33" w:type="dxa"/>
          <w:cantSplit/>
        </w:trPr>
        <w:tc>
          <w:tcPr>
            <w:tcW w:w="3118" w:type="dxa"/>
            <w:gridSpan w:val="2"/>
          </w:tcPr>
          <w:p>
            <w:pPr>
              <w:pStyle w:val="nTable"/>
              <w:spacing w:after="40"/>
              <w:ind w:right="113"/>
              <w:rPr>
                <w:i/>
                <w:sz w:val="19"/>
              </w:rPr>
            </w:pPr>
            <w:r>
              <w:rPr>
                <w:i/>
                <w:sz w:val="19"/>
              </w:rPr>
              <w:t>Supreme Court (Fees) Amendment Regulations 2005</w:t>
            </w:r>
          </w:p>
        </w:tc>
        <w:tc>
          <w:tcPr>
            <w:tcW w:w="1277" w:type="dxa"/>
            <w:gridSpan w:val="2"/>
          </w:tcPr>
          <w:p>
            <w:pPr>
              <w:pStyle w:val="nTable"/>
              <w:spacing w:after="40"/>
              <w:rPr>
                <w:sz w:val="19"/>
              </w:rPr>
            </w:pPr>
            <w:r>
              <w:rPr>
                <w:sz w:val="19"/>
              </w:rPr>
              <w:t>28 Apr 2005 p. 1758-63</w:t>
            </w:r>
          </w:p>
        </w:tc>
        <w:tc>
          <w:tcPr>
            <w:tcW w:w="2693"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gridAfter w:val="1"/>
          <w:wAfter w:w="33" w:type="dxa"/>
          <w:cantSplit/>
        </w:trPr>
        <w:tc>
          <w:tcPr>
            <w:tcW w:w="3118" w:type="dxa"/>
            <w:gridSpan w:val="2"/>
          </w:tcPr>
          <w:p>
            <w:pPr>
              <w:pStyle w:val="nTable"/>
              <w:spacing w:after="40"/>
              <w:ind w:right="113"/>
              <w:rPr>
                <w:i/>
                <w:sz w:val="19"/>
              </w:rPr>
            </w:pPr>
            <w:r>
              <w:rPr>
                <w:i/>
                <w:sz w:val="19"/>
              </w:rPr>
              <w:t>Supreme Court (Fees) Amendment Regulations (No. 2) 2005</w:t>
            </w:r>
          </w:p>
        </w:tc>
        <w:tc>
          <w:tcPr>
            <w:tcW w:w="1277" w:type="dxa"/>
            <w:gridSpan w:val="2"/>
          </w:tcPr>
          <w:p>
            <w:pPr>
              <w:pStyle w:val="nTable"/>
              <w:spacing w:after="40"/>
              <w:rPr>
                <w:sz w:val="19"/>
              </w:rPr>
            </w:pPr>
            <w:r>
              <w:rPr>
                <w:sz w:val="19"/>
              </w:rPr>
              <w:t>23 Jun 2005 p. 2693-701</w:t>
            </w:r>
          </w:p>
        </w:tc>
        <w:tc>
          <w:tcPr>
            <w:tcW w:w="2693" w:type="dxa"/>
            <w:gridSpan w:val="2"/>
          </w:tcPr>
          <w:p>
            <w:pPr>
              <w:pStyle w:val="nTable"/>
              <w:spacing w:after="40"/>
              <w:rPr>
                <w:sz w:val="19"/>
              </w:rPr>
            </w:pPr>
            <w:r>
              <w:rPr>
                <w:sz w:val="19"/>
              </w:rPr>
              <w:t>1 Jul 2005 (see r. 2)</w:t>
            </w:r>
          </w:p>
        </w:tc>
      </w:tr>
      <w:tr>
        <w:trPr>
          <w:gridAfter w:val="1"/>
          <w:wAfter w:w="33" w:type="dxa"/>
          <w:cantSplit/>
        </w:trPr>
        <w:tc>
          <w:tcPr>
            <w:tcW w:w="3118" w:type="dxa"/>
            <w:gridSpan w:val="2"/>
          </w:tcPr>
          <w:p>
            <w:pPr>
              <w:pStyle w:val="nTable"/>
              <w:spacing w:after="40"/>
              <w:ind w:right="113"/>
              <w:rPr>
                <w:i/>
                <w:sz w:val="19"/>
              </w:rPr>
            </w:pPr>
            <w:r>
              <w:rPr>
                <w:i/>
                <w:sz w:val="19"/>
              </w:rPr>
              <w:t>Supreme Court (Fees) Amendment Regulations 2006</w:t>
            </w:r>
          </w:p>
        </w:tc>
        <w:tc>
          <w:tcPr>
            <w:tcW w:w="1277" w:type="dxa"/>
            <w:gridSpan w:val="2"/>
          </w:tcPr>
          <w:p>
            <w:pPr>
              <w:pStyle w:val="nTable"/>
              <w:spacing w:after="40"/>
              <w:rPr>
                <w:sz w:val="19"/>
              </w:rPr>
            </w:pPr>
            <w:r>
              <w:rPr>
                <w:sz w:val="19"/>
              </w:rPr>
              <w:t>23 Jun 2006 p. 2184</w:t>
            </w:r>
            <w:r>
              <w:rPr>
                <w:sz w:val="19"/>
              </w:rPr>
              <w:noBreakHyphen/>
              <w:t>7</w:t>
            </w:r>
          </w:p>
        </w:tc>
        <w:tc>
          <w:tcPr>
            <w:tcW w:w="2693" w:type="dxa"/>
            <w:gridSpan w:val="2"/>
          </w:tcPr>
          <w:p>
            <w:pPr>
              <w:pStyle w:val="nTable"/>
              <w:spacing w:after="40"/>
              <w:rPr>
                <w:sz w:val="19"/>
              </w:rPr>
            </w:pPr>
            <w:r>
              <w:rPr>
                <w:sz w:val="19"/>
              </w:rPr>
              <w:t>1 Jul 2006 (see r. 2)</w:t>
            </w:r>
          </w:p>
        </w:tc>
      </w:tr>
      <w:tr>
        <w:trPr>
          <w:gridAfter w:val="1"/>
          <w:wAfter w:w="33" w:type="dxa"/>
          <w:cantSplit/>
        </w:trPr>
        <w:tc>
          <w:tcPr>
            <w:tcW w:w="7088" w:type="dxa"/>
            <w:gridSpan w:val="6"/>
            <w:tcBorders>
              <w:bottom w:val="single" w:sz="8" w:space="0" w:color="auto"/>
            </w:tcBorders>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bl>
    <w:p>
      <w:pPr>
        <w:pStyle w:val="nSubsection"/>
      </w:pPr>
      <w:r>
        <w:rPr>
          <w:vertAlign w:val="superscript"/>
        </w:rPr>
        <w:t>2</w:t>
      </w:r>
      <w:r>
        <w:tab/>
        <w:t xml:space="preserve">Repealed by the </w:t>
      </w:r>
      <w:r>
        <w:rPr>
          <w:i/>
          <w:iCs/>
          <w:snapToGrid w:val="0"/>
        </w:rPr>
        <w:t>Defamation Act 2005</w:t>
      </w: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7835</Words>
  <Characters>41920</Characters>
  <Application>Microsoft Office Word</Application>
  <DocSecurity>0</DocSecurity>
  <Lines>1905</Lines>
  <Paragraphs>921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48834</CharactersWithSpaces>
  <SharedDoc>false</SharedDoc>
  <HLinks>
    <vt:vector size="12" baseType="variant">
      <vt:variant>
        <vt:i4>3014716</vt:i4>
      </vt:variant>
      <vt:variant>
        <vt:i4>2757</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2002 - 01-a0-02</dc:title>
  <dc:subject/>
  <dc:creator/>
  <cp:keywords/>
  <dc:description/>
  <cp:lastModifiedBy>svcMRProcess</cp:lastModifiedBy>
  <cp:revision>4</cp:revision>
  <cp:lastPrinted>2006-09-06T07:35:00Z</cp:lastPrinted>
  <dcterms:created xsi:type="dcterms:W3CDTF">2018-09-16T21:19:00Z</dcterms:created>
  <dcterms:modified xsi:type="dcterms:W3CDTF">2018-09-16T21:19:00Z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3576</vt:i4>
  </property>
  <property fmtid="{D5CDD505-2E9C-101B-9397-08002B2CF9AE}" pid="6" name="ReprintedAsAt">
    <vt:filetime>2006-08-17T16:00:00Z</vt:filetime>
  </property>
  <property fmtid="{D5CDD505-2E9C-101B-9397-08002B2CF9AE}" pid="7" name="ReprintNo">
    <vt:lpwstr>1</vt:lpwstr>
  </property>
  <property fmtid="{D5CDD505-2E9C-101B-9397-08002B2CF9AE}" pid="8" name="AsAtDate">
    <vt:lpwstr>18 Aug 2006</vt:lpwstr>
  </property>
  <property fmtid="{D5CDD505-2E9C-101B-9397-08002B2CF9AE}" pid="9" name="Suffix">
    <vt:lpwstr>01-a0-02</vt:lpwstr>
  </property>
</Properties>
</file>