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Procurement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Procurement (Debarment of Suppliers)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_Toc91073466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_Toc91073467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_Toc91073468 \h </w:instrText>
      </w:r>
      <w:r>
        <w:fldChar w:fldCharType="separate"/>
      </w:r>
      <w:r>
        <w:t>1</w:t>
      </w:r>
      <w:r>
        <w:fldChar w:fldCharType="end"/>
      </w:r>
    </w:p>
    <w:p>
      <w:pPr>
        <w:pStyle w:val="TOC8"/>
        <w:rPr>
          <w:rFonts w:asciiTheme="minorHAnsi" w:eastAsiaTheme="minorEastAsia" w:hAnsiTheme="minorHAnsi" w:cstheme="minorBidi"/>
          <w:szCs w:val="22"/>
        </w:rPr>
      </w:pPr>
      <w:r>
        <w:t>4.</w:t>
      </w:r>
      <w:r>
        <w:tab/>
        <w:t>Affiliates of debarred suppliers</w:t>
      </w:r>
      <w:r>
        <w:tab/>
      </w:r>
      <w:r>
        <w:fldChar w:fldCharType="begin"/>
      </w:r>
      <w:r>
        <w:instrText xml:space="preserve"> PAGEREF _Toc91073469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Debarment of suppliers</w:t>
      </w:r>
    </w:p>
    <w:p>
      <w:pPr>
        <w:pStyle w:val="TOC8"/>
        <w:rPr>
          <w:rFonts w:asciiTheme="minorHAnsi" w:eastAsiaTheme="minorEastAsia" w:hAnsiTheme="minorHAnsi" w:cstheme="minorBidi"/>
          <w:szCs w:val="22"/>
        </w:rPr>
      </w:pPr>
      <w:r>
        <w:t>5.</w:t>
      </w:r>
      <w:r>
        <w:tab/>
        <w:t>Department CEO may debar suppliers</w:t>
      </w:r>
      <w:r>
        <w:tab/>
      </w:r>
      <w:r>
        <w:fldChar w:fldCharType="begin"/>
      </w:r>
      <w:r>
        <w:instrText xml:space="preserve"> PAGEREF _Toc91073471 \h </w:instrText>
      </w:r>
      <w:r>
        <w:fldChar w:fldCharType="separate"/>
      </w:r>
      <w:r>
        <w:t>4</w:t>
      </w:r>
      <w:r>
        <w:fldChar w:fldCharType="end"/>
      </w:r>
    </w:p>
    <w:p>
      <w:pPr>
        <w:pStyle w:val="TOC8"/>
        <w:rPr>
          <w:rFonts w:asciiTheme="minorHAnsi" w:eastAsiaTheme="minorEastAsia" w:hAnsiTheme="minorHAnsi" w:cstheme="minorBidi"/>
          <w:szCs w:val="22"/>
        </w:rPr>
      </w:pPr>
      <w:r>
        <w:t>6.</w:t>
      </w:r>
      <w:r>
        <w:tab/>
        <w:t>Maximum period of debarment</w:t>
      </w:r>
      <w:r>
        <w:tab/>
      </w:r>
      <w:r>
        <w:fldChar w:fldCharType="begin"/>
      </w:r>
      <w:r>
        <w:instrText xml:space="preserve"> PAGEREF _Toc91073472 \h </w:instrText>
      </w:r>
      <w:r>
        <w:fldChar w:fldCharType="separate"/>
      </w:r>
      <w:r>
        <w:t>5</w:t>
      </w:r>
      <w:r>
        <w:fldChar w:fldCharType="end"/>
      </w:r>
    </w:p>
    <w:p>
      <w:pPr>
        <w:pStyle w:val="TOC8"/>
        <w:rPr>
          <w:rFonts w:asciiTheme="minorHAnsi" w:eastAsiaTheme="minorEastAsia" w:hAnsiTheme="minorHAnsi" w:cstheme="minorBidi"/>
          <w:szCs w:val="22"/>
        </w:rPr>
      </w:pPr>
      <w:r>
        <w:t>7.</w:t>
      </w:r>
      <w:r>
        <w:tab/>
        <w:t>Factors in determining whether debarment in the public interest and period of debarment</w:t>
      </w:r>
      <w:r>
        <w:tab/>
      </w:r>
      <w:r>
        <w:fldChar w:fldCharType="begin"/>
      </w:r>
      <w:r>
        <w:instrText xml:space="preserve"> PAGEREF _Toc91073473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for which supplier may be debarred</w:t>
      </w:r>
    </w:p>
    <w:p>
      <w:pPr>
        <w:pStyle w:val="TOC8"/>
        <w:rPr>
          <w:rFonts w:asciiTheme="minorHAnsi" w:eastAsiaTheme="minorEastAsia" w:hAnsiTheme="minorHAnsi" w:cstheme="minorBidi"/>
          <w:szCs w:val="22"/>
        </w:rPr>
      </w:pPr>
      <w:r>
        <w:t>8.</w:t>
      </w:r>
      <w:r>
        <w:tab/>
        <w:t>Conduct for which supplier may be debarred</w:t>
      </w:r>
      <w:r>
        <w:tab/>
      </w:r>
      <w:r>
        <w:fldChar w:fldCharType="begin"/>
      </w:r>
      <w:r>
        <w:instrText xml:space="preserve"> PAGEREF _Toc91073475 \h </w:instrText>
      </w:r>
      <w:r>
        <w:fldChar w:fldCharType="separate"/>
      </w:r>
      <w:r>
        <w:t>9</w:t>
      </w:r>
      <w:r>
        <w:fldChar w:fldCharType="end"/>
      </w:r>
    </w:p>
    <w:p>
      <w:pPr>
        <w:pStyle w:val="TOC8"/>
        <w:rPr>
          <w:rFonts w:asciiTheme="minorHAnsi" w:eastAsiaTheme="minorEastAsia" w:hAnsiTheme="minorHAnsi" w:cstheme="minorBidi"/>
          <w:szCs w:val="22"/>
        </w:rPr>
      </w:pPr>
      <w:r>
        <w:t>9.</w:t>
      </w:r>
      <w:r>
        <w:tab/>
        <w:t>Category A debarment conduct</w:t>
      </w:r>
      <w:r>
        <w:tab/>
      </w:r>
      <w:r>
        <w:fldChar w:fldCharType="begin"/>
      </w:r>
      <w:r>
        <w:instrText xml:space="preserve"> PAGEREF _Toc91073476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B debarment conduct</w:t>
      </w:r>
      <w:r>
        <w:tab/>
      </w:r>
      <w:r>
        <w:fldChar w:fldCharType="begin"/>
      </w:r>
      <w:r>
        <w:instrText xml:space="preserve"> PAGEREF _Toc91073477 \h </w:instrText>
      </w:r>
      <w:r>
        <w:fldChar w:fldCharType="separate"/>
      </w:r>
      <w:r>
        <w:t>10</w:t>
      </w:r>
      <w:r>
        <w:fldChar w:fldCharType="end"/>
      </w:r>
    </w:p>
    <w:p>
      <w:pPr>
        <w:pStyle w:val="TOC8"/>
        <w:rPr>
          <w:rFonts w:asciiTheme="minorHAnsi" w:eastAsiaTheme="minorEastAsia" w:hAnsiTheme="minorHAnsi" w:cstheme="minorBidi"/>
          <w:szCs w:val="22"/>
        </w:rPr>
      </w:pPr>
      <w:r>
        <w:t>11.</w:t>
      </w:r>
      <w:r>
        <w:tab/>
        <w:t>Other debarment conduct</w:t>
      </w:r>
      <w:r>
        <w:tab/>
      </w:r>
      <w:r>
        <w:fldChar w:fldCharType="begin"/>
      </w:r>
      <w:r>
        <w:instrText xml:space="preserve"> PAGEREF _Toc91073478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suppliers and debarment procedures</w:t>
      </w:r>
    </w:p>
    <w:p>
      <w:pPr>
        <w:pStyle w:val="TOC8"/>
        <w:rPr>
          <w:rFonts w:asciiTheme="minorHAnsi" w:eastAsiaTheme="minorEastAsia" w:hAnsiTheme="minorHAnsi" w:cstheme="minorBidi"/>
          <w:szCs w:val="22"/>
        </w:rPr>
      </w:pPr>
      <w:r>
        <w:t>12.</w:t>
      </w:r>
      <w:r>
        <w:tab/>
        <w:t>Department CEO may investigate whether supplier should be debarred</w:t>
      </w:r>
      <w:r>
        <w:tab/>
      </w:r>
      <w:r>
        <w:fldChar w:fldCharType="begin"/>
      </w:r>
      <w:r>
        <w:instrText xml:space="preserve"> PAGEREF _Toc91073480 \h </w:instrText>
      </w:r>
      <w:r>
        <w:fldChar w:fldCharType="separate"/>
      </w:r>
      <w:r>
        <w:t>11</w:t>
      </w:r>
      <w:r>
        <w:fldChar w:fldCharType="end"/>
      </w:r>
    </w:p>
    <w:p>
      <w:pPr>
        <w:pStyle w:val="TOC8"/>
        <w:rPr>
          <w:rFonts w:asciiTheme="minorHAnsi" w:eastAsiaTheme="minorEastAsia" w:hAnsiTheme="minorHAnsi" w:cstheme="minorBidi"/>
          <w:szCs w:val="22"/>
        </w:rPr>
      </w:pPr>
      <w:r>
        <w:t>13.</w:t>
      </w:r>
      <w:r>
        <w:tab/>
        <w:t>Show cause notice to supplier and opportunity to make submissions</w:t>
      </w:r>
      <w:r>
        <w:tab/>
      </w:r>
      <w:r>
        <w:fldChar w:fldCharType="begin"/>
      </w:r>
      <w:r>
        <w:instrText xml:space="preserve"> PAGEREF _Toc91073481 \h </w:instrText>
      </w:r>
      <w:r>
        <w:fldChar w:fldCharType="separate"/>
      </w:r>
      <w:r>
        <w:t>12</w:t>
      </w:r>
      <w:r>
        <w:fldChar w:fldCharType="end"/>
      </w:r>
    </w:p>
    <w:p>
      <w:pPr>
        <w:pStyle w:val="TOC8"/>
        <w:rPr>
          <w:rFonts w:asciiTheme="minorHAnsi" w:eastAsiaTheme="minorEastAsia" w:hAnsiTheme="minorHAnsi" w:cstheme="minorBidi"/>
          <w:szCs w:val="22"/>
        </w:rPr>
      </w:pPr>
      <w:r>
        <w:t>14.</w:t>
      </w:r>
      <w:r>
        <w:tab/>
        <w:t>Notice of debarment decision</w:t>
      </w:r>
      <w:r>
        <w:tab/>
      </w:r>
      <w:r>
        <w:fldChar w:fldCharType="begin"/>
      </w:r>
      <w:r>
        <w:instrText xml:space="preserve"> PAGEREF _Toc91073482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Suspension of suppliers pending debarment decision</w:t>
      </w:r>
    </w:p>
    <w:p>
      <w:pPr>
        <w:pStyle w:val="TOC8"/>
        <w:rPr>
          <w:rFonts w:asciiTheme="minorHAnsi" w:eastAsiaTheme="minorEastAsia" w:hAnsiTheme="minorHAnsi" w:cstheme="minorBidi"/>
          <w:szCs w:val="22"/>
        </w:rPr>
      </w:pPr>
      <w:r>
        <w:t>15.</w:t>
      </w:r>
      <w:r>
        <w:tab/>
        <w:t>Department CEO may suspend supplier in relation to Category A debarment conduct</w:t>
      </w:r>
      <w:r>
        <w:tab/>
      </w:r>
      <w:r>
        <w:fldChar w:fldCharType="begin"/>
      </w:r>
      <w:r>
        <w:instrText xml:space="preserve"> PAGEREF _Toc91073484 \h </w:instrText>
      </w:r>
      <w:r>
        <w:fldChar w:fldCharType="separate"/>
      </w:r>
      <w:r>
        <w:t>14</w:t>
      </w:r>
      <w:r>
        <w:fldChar w:fldCharType="end"/>
      </w:r>
    </w:p>
    <w:p>
      <w:pPr>
        <w:pStyle w:val="TOC8"/>
        <w:rPr>
          <w:rFonts w:asciiTheme="minorHAnsi" w:eastAsiaTheme="minorEastAsia" w:hAnsiTheme="minorHAnsi" w:cstheme="minorBidi"/>
          <w:szCs w:val="22"/>
        </w:rPr>
      </w:pPr>
      <w:r>
        <w:t>16.</w:t>
      </w:r>
      <w:r>
        <w:tab/>
        <w:t>Duration of suspension</w:t>
      </w:r>
      <w:r>
        <w:tab/>
      </w:r>
      <w:r>
        <w:fldChar w:fldCharType="begin"/>
      </w:r>
      <w:r>
        <w:instrText xml:space="preserve"> PAGEREF _Toc91073485 \h </w:instrText>
      </w:r>
      <w:r>
        <w:fldChar w:fldCharType="separate"/>
      </w:r>
      <w:r>
        <w:t>14</w:t>
      </w:r>
      <w:r>
        <w:fldChar w:fldCharType="end"/>
      </w:r>
    </w:p>
    <w:p>
      <w:pPr>
        <w:pStyle w:val="TOC8"/>
        <w:rPr>
          <w:rFonts w:asciiTheme="minorHAnsi" w:eastAsiaTheme="minorEastAsia" w:hAnsiTheme="minorHAnsi" w:cstheme="minorBidi"/>
          <w:szCs w:val="22"/>
        </w:rPr>
      </w:pPr>
      <w:r>
        <w:t>17.</w:t>
      </w:r>
      <w:r>
        <w:tab/>
        <w:t>Notice of suspension decision</w:t>
      </w:r>
      <w:r>
        <w:tab/>
      </w:r>
      <w:r>
        <w:fldChar w:fldCharType="begin"/>
      </w:r>
      <w:r>
        <w:instrText xml:space="preserve"> PAGEREF _Toc91073486 \h </w:instrText>
      </w:r>
      <w:r>
        <w:fldChar w:fldCharType="separate"/>
      </w:r>
      <w:r>
        <w:t>15</w:t>
      </w:r>
      <w:r>
        <w:fldChar w:fldCharType="end"/>
      </w:r>
    </w:p>
    <w:p>
      <w:pPr>
        <w:pStyle w:val="TOC8"/>
        <w:rPr>
          <w:rFonts w:asciiTheme="minorHAnsi" w:eastAsiaTheme="minorEastAsia" w:hAnsiTheme="minorHAnsi" w:cstheme="minorBidi"/>
          <w:szCs w:val="22"/>
        </w:rPr>
      </w:pPr>
      <w:r>
        <w:t>18.</w:t>
      </w:r>
      <w:r>
        <w:tab/>
        <w:t>Review by SAT of suspension decision</w:t>
      </w:r>
      <w:r>
        <w:tab/>
      </w:r>
      <w:r>
        <w:fldChar w:fldCharType="begin"/>
      </w:r>
      <w:r>
        <w:instrText xml:space="preserve"> PAGEREF _Toc91073487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Consequences of debarment or suspension</w:t>
      </w:r>
    </w:p>
    <w:p>
      <w:pPr>
        <w:pStyle w:val="TOC8"/>
        <w:rPr>
          <w:rFonts w:asciiTheme="minorHAnsi" w:eastAsiaTheme="minorEastAsia" w:hAnsiTheme="minorHAnsi" w:cstheme="minorBidi"/>
          <w:szCs w:val="22"/>
        </w:rPr>
      </w:pPr>
      <w:r>
        <w:t>19.</w:t>
      </w:r>
      <w:r>
        <w:tab/>
        <w:t>Consequences of debarment or suspension</w:t>
      </w:r>
      <w:r>
        <w:tab/>
      </w:r>
      <w:r>
        <w:fldChar w:fldCharType="begin"/>
      </w:r>
      <w:r>
        <w:instrText xml:space="preserve"> PAGEREF _Toc91073489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by State agencies with debarment or suspension decision</w:t>
      </w:r>
      <w:r>
        <w:tab/>
      </w:r>
      <w:r>
        <w:fldChar w:fldCharType="begin"/>
      </w:r>
      <w:r>
        <w:instrText xml:space="preserve"> PAGEREF _Toc91073490 \h </w:instrText>
      </w:r>
      <w:r>
        <w:fldChar w:fldCharType="separate"/>
      </w:r>
      <w:r>
        <w:t>17</w:t>
      </w:r>
      <w:r>
        <w:fldChar w:fldCharType="end"/>
      </w:r>
    </w:p>
    <w:p>
      <w:pPr>
        <w:pStyle w:val="TOC8"/>
        <w:rPr>
          <w:rFonts w:asciiTheme="minorHAnsi" w:eastAsiaTheme="minorEastAsia" w:hAnsiTheme="minorHAnsi" w:cstheme="minorBidi"/>
          <w:szCs w:val="22"/>
        </w:rPr>
      </w:pPr>
      <w:r>
        <w:t>21.</w:t>
      </w:r>
      <w:r>
        <w:tab/>
        <w:t>Public register of debarred suppliers</w:t>
      </w:r>
      <w:r>
        <w:tab/>
      </w:r>
      <w:r>
        <w:fldChar w:fldCharType="begin"/>
      </w:r>
      <w:r>
        <w:instrText xml:space="preserve"> PAGEREF _Toc91073491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Supplier undertakings about future conduct</w:t>
      </w:r>
    </w:p>
    <w:p>
      <w:pPr>
        <w:pStyle w:val="TOC8"/>
        <w:rPr>
          <w:rFonts w:asciiTheme="minorHAnsi" w:eastAsiaTheme="minorEastAsia" w:hAnsiTheme="minorHAnsi" w:cstheme="minorBidi"/>
          <w:szCs w:val="22"/>
        </w:rPr>
      </w:pPr>
      <w:r>
        <w:t>22.</w:t>
      </w:r>
      <w:r>
        <w:tab/>
        <w:t>Department CEO may enter into supplier undertaking</w:t>
      </w:r>
      <w:r>
        <w:tab/>
      </w:r>
      <w:r>
        <w:fldChar w:fldCharType="begin"/>
      </w:r>
      <w:r>
        <w:instrText xml:space="preserve"> PAGEREF _Toc91073493 \h </w:instrText>
      </w:r>
      <w:r>
        <w:fldChar w:fldCharType="separate"/>
      </w:r>
      <w:r>
        <w:t>18</w:t>
      </w:r>
      <w:r>
        <w:fldChar w:fldCharType="end"/>
      </w:r>
    </w:p>
    <w:p>
      <w:pPr>
        <w:pStyle w:val="TOC8"/>
        <w:rPr>
          <w:rFonts w:asciiTheme="minorHAnsi" w:eastAsiaTheme="minorEastAsia" w:hAnsiTheme="minorHAnsi" w:cstheme="minorBidi"/>
          <w:szCs w:val="22"/>
        </w:rPr>
      </w:pPr>
      <w:r>
        <w:t>23.</w:t>
      </w:r>
      <w:r>
        <w:tab/>
        <w:t>Terms of supplier undertaking</w:t>
      </w:r>
      <w:r>
        <w:tab/>
      </w:r>
      <w:r>
        <w:fldChar w:fldCharType="begin"/>
      </w:r>
      <w:r>
        <w:instrText xml:space="preserve"> PAGEREF _Toc91073494 \h </w:instrText>
      </w:r>
      <w:r>
        <w:fldChar w:fldCharType="separate"/>
      </w:r>
      <w:r>
        <w:t>18</w:t>
      </w:r>
      <w:r>
        <w:fldChar w:fldCharType="end"/>
      </w:r>
    </w:p>
    <w:p>
      <w:pPr>
        <w:pStyle w:val="TOC8"/>
        <w:rPr>
          <w:rFonts w:asciiTheme="minorHAnsi" w:eastAsiaTheme="minorEastAsia" w:hAnsiTheme="minorHAnsi" w:cstheme="minorBidi"/>
          <w:szCs w:val="22"/>
        </w:rPr>
      </w:pPr>
      <w:r>
        <w:t>24.</w:t>
      </w:r>
      <w:r>
        <w:tab/>
        <w:t>Termination or amendment of supplier undertaking</w:t>
      </w:r>
      <w:r>
        <w:tab/>
      </w:r>
      <w:r>
        <w:fldChar w:fldCharType="begin"/>
      </w:r>
      <w:r>
        <w:instrText xml:space="preserve"> PAGEREF _Toc91073495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25.</w:t>
      </w:r>
      <w:r>
        <w:tab/>
        <w:t>Reconsideration of debarment or suspension where circumstances change</w:t>
      </w:r>
      <w:r>
        <w:tab/>
      </w:r>
      <w:r>
        <w:fldChar w:fldCharType="begin"/>
      </w:r>
      <w:r>
        <w:instrText xml:space="preserve"> PAGEREF _Toc91073497 \h </w:instrText>
      </w:r>
      <w:r>
        <w:fldChar w:fldCharType="separate"/>
      </w:r>
      <w:r>
        <w:t>20</w:t>
      </w:r>
      <w:r>
        <w:fldChar w:fldCharType="end"/>
      </w:r>
    </w:p>
    <w:p>
      <w:pPr>
        <w:pStyle w:val="TOC8"/>
        <w:rPr>
          <w:rFonts w:asciiTheme="minorHAnsi" w:eastAsiaTheme="minorEastAsia" w:hAnsiTheme="minorHAnsi" w:cstheme="minorBidi"/>
          <w:szCs w:val="22"/>
        </w:rPr>
      </w:pPr>
      <w:r>
        <w:t>26.</w:t>
      </w:r>
      <w:r>
        <w:tab/>
        <w:t>Authorised bodies may rely on debarment or suspension decisions</w:t>
      </w:r>
      <w:r>
        <w:tab/>
      </w:r>
      <w:r>
        <w:fldChar w:fldCharType="begin"/>
      </w:r>
      <w:r>
        <w:instrText xml:space="preserve"> PAGEREF _Toc91073498 \h </w:instrText>
      </w:r>
      <w:r>
        <w:fldChar w:fldCharType="separate"/>
      </w:r>
      <w:r>
        <w:t>21</w:t>
      </w:r>
      <w:r>
        <w:fldChar w:fldCharType="end"/>
      </w:r>
    </w:p>
    <w:p>
      <w:pPr>
        <w:pStyle w:val="TOC8"/>
        <w:rPr>
          <w:rFonts w:asciiTheme="minorHAnsi" w:eastAsiaTheme="minorEastAsia" w:hAnsiTheme="minorHAnsi" w:cstheme="minorBidi"/>
          <w:szCs w:val="22"/>
        </w:rPr>
      </w:pPr>
      <w:r>
        <w:t>27.</w:t>
      </w:r>
      <w:r>
        <w:tab/>
        <w:t>Standard of proof</w:t>
      </w:r>
      <w:r>
        <w:tab/>
      </w:r>
      <w:r>
        <w:fldChar w:fldCharType="begin"/>
      </w:r>
      <w:r>
        <w:instrText xml:space="preserve"> PAGEREF _Toc91073499 \h </w:instrText>
      </w:r>
      <w:r>
        <w:fldChar w:fldCharType="separate"/>
      </w:r>
      <w:r>
        <w:t>21</w:t>
      </w:r>
      <w:r>
        <w:fldChar w:fldCharType="end"/>
      </w:r>
    </w:p>
    <w:p>
      <w:pPr>
        <w:pStyle w:val="TOC8"/>
        <w:rPr>
          <w:rFonts w:asciiTheme="minorHAnsi" w:eastAsiaTheme="minorEastAsia" w:hAnsiTheme="minorHAnsi" w:cstheme="minorBidi"/>
          <w:szCs w:val="22"/>
        </w:rPr>
      </w:pPr>
      <w:r>
        <w:t>28.</w:t>
      </w:r>
      <w:r>
        <w:tab/>
        <w:t>Notices</w:t>
      </w:r>
      <w:r>
        <w:tab/>
      </w:r>
      <w:r>
        <w:fldChar w:fldCharType="begin"/>
      </w:r>
      <w:r>
        <w:instrText xml:space="preserve"> PAGEREF _Toc91073500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Category A debarment conduct</w:t>
      </w:r>
    </w:p>
    <w:p>
      <w:pPr>
        <w:pStyle w:val="TOC2"/>
        <w:tabs>
          <w:tab w:val="right" w:leader="dot" w:pos="7077"/>
        </w:tabs>
        <w:rPr>
          <w:rFonts w:asciiTheme="minorHAnsi" w:eastAsiaTheme="minorEastAsia" w:hAnsiTheme="minorHAnsi" w:cstheme="minorBidi"/>
          <w:b w:val="0"/>
          <w:sz w:val="22"/>
          <w:szCs w:val="22"/>
        </w:rPr>
      </w:pPr>
      <w:r>
        <w:t>Schedule 2 — Category B debarment conduct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_Toc91073504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3" w:name="_Toc91055804"/>
      <w:bookmarkStart w:id="4" w:name="_Toc91056271"/>
      <w:bookmarkStart w:id="5" w:name="_Toc9107346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1073466"/>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Procurement (Debarment of Suppliers) Regulations 2021</w:t>
      </w:r>
      <w:r>
        <w:t>.</w:t>
      </w:r>
    </w:p>
    <w:p>
      <w:pPr>
        <w:pStyle w:val="Heading5"/>
      </w:pPr>
      <w:bookmarkStart w:id="8" w:name="_Toc91073467"/>
      <w:r>
        <w:rPr>
          <w:rStyle w:val="CharSectno"/>
        </w:rPr>
        <w:t>2</w:t>
      </w:r>
      <w:r>
        <w:t>.</w:t>
      </w:r>
      <w: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9" w:name="_Toc91073468"/>
      <w:r>
        <w:rPr>
          <w:rStyle w:val="CharSectno"/>
        </w:rPr>
        <w:t>3</w:t>
      </w:r>
      <w:r>
        <w:t>.</w:t>
      </w:r>
      <w:r>
        <w:tab/>
        <w:t>Terms used</w:t>
      </w:r>
      <w:bookmarkEnd w:id="9"/>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0" w:name="_Toc91073469"/>
      <w:r>
        <w:rPr>
          <w:rStyle w:val="CharSectno"/>
        </w:rPr>
        <w:lastRenderedPageBreak/>
        <w:t>4</w:t>
      </w:r>
      <w:r>
        <w:t>.</w:t>
      </w:r>
      <w:r>
        <w:tab/>
        <w:t>Affiliates of debarred suppliers</w:t>
      </w:r>
      <w:bookmarkEnd w:id="10"/>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11" w:name="_Toc91056276"/>
      <w:bookmarkStart w:id="12" w:name="_Toc91073470"/>
      <w:r>
        <w:rPr>
          <w:rStyle w:val="CharPartNo"/>
        </w:rPr>
        <w:lastRenderedPageBreak/>
        <w:t>Part 2</w:t>
      </w:r>
      <w:r>
        <w:rPr>
          <w:rStyle w:val="CharDivNo"/>
        </w:rPr>
        <w:t> </w:t>
      </w:r>
      <w:r>
        <w:t>—</w:t>
      </w:r>
      <w:r>
        <w:rPr>
          <w:rStyle w:val="CharDivText"/>
        </w:rPr>
        <w:t> </w:t>
      </w:r>
      <w:r>
        <w:rPr>
          <w:rStyle w:val="CharPartText"/>
        </w:rPr>
        <w:t>Debarment of suppliers</w:t>
      </w:r>
      <w:bookmarkEnd w:id="11"/>
      <w:bookmarkEnd w:id="12"/>
    </w:p>
    <w:p>
      <w:pPr>
        <w:pStyle w:val="Heading5"/>
      </w:pPr>
      <w:bookmarkStart w:id="13" w:name="_Toc91073471"/>
      <w:r>
        <w:rPr>
          <w:rStyle w:val="CharSectno"/>
        </w:rPr>
        <w:t>5</w:t>
      </w:r>
      <w:r>
        <w:t>.</w:t>
      </w:r>
      <w:r>
        <w:tab/>
        <w:t>Department CEO may debar suppliers</w:t>
      </w:r>
      <w:bookmarkEnd w:id="13"/>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lastRenderedPageBreak/>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14" w:name="_Toc91073472"/>
      <w:r>
        <w:rPr>
          <w:rStyle w:val="CharSectno"/>
        </w:rPr>
        <w:t>6</w:t>
      </w:r>
      <w:r>
        <w:t>.</w:t>
      </w:r>
      <w:r>
        <w:tab/>
        <w:t>Maximum period of debarment</w:t>
      </w:r>
      <w:bookmarkEnd w:id="14"/>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lastRenderedPageBreak/>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15" w:name="_Toc91073473"/>
      <w:r>
        <w:rPr>
          <w:rStyle w:val="CharSectno"/>
        </w:rPr>
        <w:t>7</w:t>
      </w:r>
      <w:r>
        <w:t>.</w:t>
      </w:r>
      <w:r>
        <w:tab/>
        <w:t>Factors in determining whether debarment in the public interest and period of debarment</w:t>
      </w:r>
      <w:bookmarkEnd w:id="15"/>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lastRenderedPageBreak/>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lastRenderedPageBreak/>
        <w:tab/>
        <w:t>(c)</w:t>
      </w:r>
      <w:r>
        <w:tab/>
        <w:t>any other relevant matters arising since the debarment of the supplier.</w:t>
      </w:r>
    </w:p>
    <w:p>
      <w:pPr>
        <w:pStyle w:val="Heading2"/>
      </w:pPr>
      <w:bookmarkStart w:id="16" w:name="_Toc91056280"/>
      <w:bookmarkStart w:id="17" w:name="_Toc91073474"/>
      <w:r>
        <w:rPr>
          <w:rStyle w:val="CharPartNo"/>
        </w:rPr>
        <w:lastRenderedPageBreak/>
        <w:t>Part 3</w:t>
      </w:r>
      <w:r>
        <w:rPr>
          <w:rStyle w:val="CharDivNo"/>
        </w:rPr>
        <w:t> </w:t>
      </w:r>
      <w:r>
        <w:t>—</w:t>
      </w:r>
      <w:r>
        <w:rPr>
          <w:rStyle w:val="CharDivText"/>
        </w:rPr>
        <w:t> </w:t>
      </w:r>
      <w:r>
        <w:rPr>
          <w:rStyle w:val="CharPartText"/>
        </w:rPr>
        <w:t>Conduct for which supplier may be debarred</w:t>
      </w:r>
      <w:bookmarkEnd w:id="16"/>
      <w:bookmarkEnd w:id="17"/>
    </w:p>
    <w:p>
      <w:pPr>
        <w:pStyle w:val="Heading5"/>
      </w:pPr>
      <w:bookmarkStart w:id="18" w:name="_Toc91073475"/>
      <w:r>
        <w:rPr>
          <w:rStyle w:val="CharSectno"/>
        </w:rPr>
        <w:t>8</w:t>
      </w:r>
      <w:r>
        <w:t>.</w:t>
      </w:r>
      <w:r>
        <w:tab/>
        <w:t>Conduct for which supplier may be debarred</w:t>
      </w:r>
      <w:bookmarkEnd w:id="18"/>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lastRenderedPageBreak/>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19" w:name="_Toc91073476"/>
      <w:r>
        <w:rPr>
          <w:rStyle w:val="CharSectno"/>
        </w:rPr>
        <w:t>9</w:t>
      </w:r>
      <w:r>
        <w:t>.</w:t>
      </w:r>
      <w:r>
        <w:tab/>
        <w:t>Category A debarment conduct</w:t>
      </w:r>
      <w:bookmarkEnd w:id="19"/>
    </w:p>
    <w:p>
      <w:pPr>
        <w:pStyle w:val="Defstart"/>
      </w:pPr>
      <w:r>
        <w:tab/>
      </w:r>
      <w:r>
        <w:rPr>
          <w:rStyle w:val="CharDefText"/>
        </w:rPr>
        <w:t>Category A debarment conduct</w:t>
      </w:r>
      <w:r>
        <w:t xml:space="preserve"> is any conduct described in Schedule 1. </w:t>
      </w:r>
    </w:p>
    <w:p>
      <w:pPr>
        <w:pStyle w:val="Heading5"/>
      </w:pPr>
      <w:bookmarkStart w:id="20" w:name="_Toc91073477"/>
      <w:r>
        <w:rPr>
          <w:rStyle w:val="CharSectno"/>
        </w:rPr>
        <w:t>10</w:t>
      </w:r>
      <w:r>
        <w:t>.</w:t>
      </w:r>
      <w:r>
        <w:tab/>
        <w:t>Category B debarment conduct</w:t>
      </w:r>
      <w:bookmarkEnd w:id="20"/>
    </w:p>
    <w:p>
      <w:pPr>
        <w:pStyle w:val="Defstart"/>
      </w:pPr>
      <w:r>
        <w:tab/>
      </w:r>
      <w:r>
        <w:rPr>
          <w:rStyle w:val="CharDefText"/>
        </w:rPr>
        <w:t>Category B debarment conduct</w:t>
      </w:r>
      <w:r>
        <w:t xml:space="preserve"> is any conduct described in Schedule 2.</w:t>
      </w:r>
    </w:p>
    <w:p>
      <w:pPr>
        <w:pStyle w:val="Heading5"/>
      </w:pPr>
      <w:bookmarkStart w:id="21" w:name="_Toc91073478"/>
      <w:r>
        <w:rPr>
          <w:rStyle w:val="CharSectno"/>
        </w:rPr>
        <w:t>11</w:t>
      </w:r>
      <w:r>
        <w:t>.</w:t>
      </w:r>
      <w:r>
        <w:tab/>
        <w:t>Other debarment conduct</w:t>
      </w:r>
      <w:bookmarkEnd w:id="21"/>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22" w:name="_Toc91056285"/>
      <w:bookmarkStart w:id="23" w:name="_Toc91073479"/>
      <w:r>
        <w:rPr>
          <w:rStyle w:val="CharPartNo"/>
        </w:rPr>
        <w:lastRenderedPageBreak/>
        <w:t>Part 4</w:t>
      </w:r>
      <w:r>
        <w:rPr>
          <w:rStyle w:val="CharDivNo"/>
        </w:rPr>
        <w:t> </w:t>
      </w:r>
      <w:r>
        <w:t>—</w:t>
      </w:r>
      <w:r>
        <w:rPr>
          <w:rStyle w:val="CharDivText"/>
        </w:rPr>
        <w:t> </w:t>
      </w:r>
      <w:r>
        <w:rPr>
          <w:rStyle w:val="CharPartText"/>
        </w:rPr>
        <w:t>Investigation of suppliers and debarment procedures</w:t>
      </w:r>
      <w:bookmarkEnd w:id="22"/>
      <w:bookmarkEnd w:id="23"/>
    </w:p>
    <w:p>
      <w:pPr>
        <w:pStyle w:val="Heading5"/>
      </w:pPr>
      <w:bookmarkStart w:id="24" w:name="_Toc91073480"/>
      <w:r>
        <w:rPr>
          <w:rStyle w:val="CharSectno"/>
        </w:rPr>
        <w:t>12</w:t>
      </w:r>
      <w:r>
        <w:t>.</w:t>
      </w:r>
      <w:r>
        <w:tab/>
        <w:t>Department CEO may investigate whether supplier should be debarred</w:t>
      </w:r>
      <w:bookmarkEnd w:id="24"/>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25" w:name="_Toc91073481"/>
      <w:r>
        <w:rPr>
          <w:rStyle w:val="CharSectno"/>
        </w:rPr>
        <w:lastRenderedPageBreak/>
        <w:t>13</w:t>
      </w:r>
      <w:r>
        <w:t>.</w:t>
      </w:r>
      <w:r>
        <w:tab/>
        <w:t>Show cause notice to supplier and opportunity to make submissions</w:t>
      </w:r>
      <w:bookmarkEnd w:id="25"/>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26" w:name="_Toc91073482"/>
      <w:r>
        <w:rPr>
          <w:rStyle w:val="CharSectno"/>
        </w:rPr>
        <w:t>14</w:t>
      </w:r>
      <w:r>
        <w:t>.</w:t>
      </w:r>
      <w:r>
        <w:tab/>
        <w:t>Notice of debarment decision</w:t>
      </w:r>
      <w:bookmarkEnd w:id="26"/>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lastRenderedPageBreak/>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27" w:name="_Toc91056289"/>
      <w:bookmarkStart w:id="28" w:name="_Toc91073483"/>
      <w:r>
        <w:rPr>
          <w:rStyle w:val="CharPartNo"/>
        </w:rPr>
        <w:lastRenderedPageBreak/>
        <w:t>Part 5</w:t>
      </w:r>
      <w:r>
        <w:rPr>
          <w:rStyle w:val="CharDivNo"/>
        </w:rPr>
        <w:t> </w:t>
      </w:r>
      <w:r>
        <w:t>—</w:t>
      </w:r>
      <w:r>
        <w:rPr>
          <w:rStyle w:val="CharDivText"/>
        </w:rPr>
        <w:t> </w:t>
      </w:r>
      <w:r>
        <w:rPr>
          <w:rStyle w:val="CharPartText"/>
        </w:rPr>
        <w:t>Suspension of suppliers pending debarment decision</w:t>
      </w:r>
      <w:bookmarkEnd w:id="27"/>
      <w:bookmarkEnd w:id="28"/>
    </w:p>
    <w:p>
      <w:pPr>
        <w:pStyle w:val="Heading5"/>
      </w:pPr>
      <w:bookmarkStart w:id="29" w:name="_Toc91073484"/>
      <w:r>
        <w:rPr>
          <w:rStyle w:val="CharSectno"/>
        </w:rPr>
        <w:t>15</w:t>
      </w:r>
      <w:r>
        <w:t>.</w:t>
      </w:r>
      <w:r>
        <w:tab/>
        <w:t>Department CEO may suspend supplier in relation to Category A debarment conduct</w:t>
      </w:r>
      <w:bookmarkEnd w:id="29"/>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30" w:name="_Toc91073485"/>
      <w:r>
        <w:rPr>
          <w:rStyle w:val="CharSectno"/>
        </w:rPr>
        <w:t>16</w:t>
      </w:r>
      <w:r>
        <w:t>.</w:t>
      </w:r>
      <w:r>
        <w:tab/>
        <w:t>Duration of suspension</w:t>
      </w:r>
      <w:bookmarkEnd w:id="30"/>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lastRenderedPageBreak/>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31" w:name="_Toc91073486"/>
      <w:r>
        <w:rPr>
          <w:rStyle w:val="CharSectno"/>
        </w:rPr>
        <w:t>17</w:t>
      </w:r>
      <w:r>
        <w:t>.</w:t>
      </w:r>
      <w:r>
        <w:tab/>
        <w:t>Notice of suspension decision</w:t>
      </w:r>
      <w:bookmarkEnd w:id="31"/>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32" w:name="_Toc91073487"/>
      <w:r>
        <w:rPr>
          <w:rStyle w:val="CharSectno"/>
        </w:rPr>
        <w:t>18</w:t>
      </w:r>
      <w:r>
        <w:t>.</w:t>
      </w:r>
      <w:r>
        <w:tab/>
        <w:t>Review by SAT of suspension decision</w:t>
      </w:r>
      <w:bookmarkEnd w:id="32"/>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33" w:name="_Toc91056294"/>
      <w:bookmarkStart w:id="34" w:name="_Toc91073488"/>
      <w:r>
        <w:rPr>
          <w:rStyle w:val="CharPartNo"/>
        </w:rPr>
        <w:lastRenderedPageBreak/>
        <w:t>Part 6</w:t>
      </w:r>
      <w:r>
        <w:rPr>
          <w:rStyle w:val="CharDivNo"/>
        </w:rPr>
        <w:t> </w:t>
      </w:r>
      <w:r>
        <w:t>—</w:t>
      </w:r>
      <w:r>
        <w:rPr>
          <w:rStyle w:val="CharDivText"/>
        </w:rPr>
        <w:t> </w:t>
      </w:r>
      <w:r>
        <w:rPr>
          <w:rStyle w:val="CharPartText"/>
        </w:rPr>
        <w:t>Consequences of debarment or suspension</w:t>
      </w:r>
      <w:bookmarkEnd w:id="33"/>
      <w:bookmarkEnd w:id="34"/>
    </w:p>
    <w:p>
      <w:pPr>
        <w:pStyle w:val="Heading5"/>
      </w:pPr>
      <w:bookmarkStart w:id="35" w:name="_Toc91073489"/>
      <w:r>
        <w:rPr>
          <w:rStyle w:val="CharSectno"/>
        </w:rPr>
        <w:t>19</w:t>
      </w:r>
      <w:r>
        <w:t>.</w:t>
      </w:r>
      <w:r>
        <w:tab/>
        <w:t>Consequences of debarment or suspension</w:t>
      </w:r>
      <w:bookmarkEnd w:id="35"/>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36" w:name="_Toc91073490"/>
      <w:r>
        <w:rPr>
          <w:rStyle w:val="CharSectno"/>
        </w:rPr>
        <w:lastRenderedPageBreak/>
        <w:t>20</w:t>
      </w:r>
      <w:r>
        <w:t>.</w:t>
      </w:r>
      <w:r>
        <w:tab/>
        <w:t>Compliance by State agencies with debarment or suspension decision</w:t>
      </w:r>
      <w:bookmarkEnd w:id="36"/>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37" w:name="_Toc91073491"/>
      <w:r>
        <w:rPr>
          <w:rStyle w:val="CharSectno"/>
        </w:rPr>
        <w:t>21</w:t>
      </w:r>
      <w:r>
        <w:t>.</w:t>
      </w:r>
      <w:r>
        <w:tab/>
        <w:t>Public register of debarred suppliers</w:t>
      </w:r>
      <w:bookmarkEnd w:id="37"/>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38" w:name="_Toc91056298"/>
      <w:bookmarkStart w:id="39" w:name="_Toc91073492"/>
      <w:r>
        <w:rPr>
          <w:rStyle w:val="CharPartNo"/>
        </w:rPr>
        <w:lastRenderedPageBreak/>
        <w:t>Part 7</w:t>
      </w:r>
      <w:r>
        <w:rPr>
          <w:rStyle w:val="CharDivNo"/>
        </w:rPr>
        <w:t> </w:t>
      </w:r>
      <w:r>
        <w:t>—</w:t>
      </w:r>
      <w:r>
        <w:rPr>
          <w:rStyle w:val="CharDivText"/>
        </w:rPr>
        <w:t> </w:t>
      </w:r>
      <w:r>
        <w:rPr>
          <w:rStyle w:val="CharPartText"/>
        </w:rPr>
        <w:t>Supplier undertakings about future conduct</w:t>
      </w:r>
      <w:bookmarkEnd w:id="38"/>
      <w:bookmarkEnd w:id="39"/>
    </w:p>
    <w:p>
      <w:pPr>
        <w:pStyle w:val="Heading5"/>
      </w:pPr>
      <w:bookmarkStart w:id="40" w:name="_Toc91073493"/>
      <w:r>
        <w:rPr>
          <w:rStyle w:val="CharSectno"/>
        </w:rPr>
        <w:t>22</w:t>
      </w:r>
      <w:r>
        <w:t>.</w:t>
      </w:r>
      <w:r>
        <w:tab/>
        <w:t>Department CEO may enter into supplier undertaking</w:t>
      </w:r>
      <w:bookmarkEnd w:id="40"/>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41" w:name="_Toc91073494"/>
      <w:r>
        <w:rPr>
          <w:rStyle w:val="CharSectno"/>
        </w:rPr>
        <w:t>23</w:t>
      </w:r>
      <w:r>
        <w:t>.</w:t>
      </w:r>
      <w:r>
        <w:tab/>
        <w:t>Terms of supplier undertaking</w:t>
      </w:r>
      <w:bookmarkEnd w:id="41"/>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42" w:name="_Toc91073495"/>
      <w:r>
        <w:rPr>
          <w:rStyle w:val="CharSectno"/>
        </w:rPr>
        <w:lastRenderedPageBreak/>
        <w:t>24</w:t>
      </w:r>
      <w:r>
        <w:t>.</w:t>
      </w:r>
      <w:r>
        <w:tab/>
        <w:t>Termination or amendment of supplier undertaking</w:t>
      </w:r>
      <w:bookmarkEnd w:id="42"/>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43" w:name="_Toc91056302"/>
      <w:bookmarkStart w:id="44" w:name="_Toc91073496"/>
      <w:r>
        <w:rPr>
          <w:rStyle w:val="CharPartNo"/>
        </w:rPr>
        <w:lastRenderedPageBreak/>
        <w:t>Part 8</w:t>
      </w:r>
      <w:r>
        <w:rPr>
          <w:rStyle w:val="CharDivNo"/>
        </w:rPr>
        <w:t> </w:t>
      </w:r>
      <w:r>
        <w:t>—</w:t>
      </w:r>
      <w:r>
        <w:rPr>
          <w:rStyle w:val="CharDivText"/>
        </w:rPr>
        <w:t> </w:t>
      </w:r>
      <w:r>
        <w:rPr>
          <w:rStyle w:val="CharPartText"/>
        </w:rPr>
        <w:t>Miscellaneous</w:t>
      </w:r>
      <w:bookmarkEnd w:id="43"/>
      <w:bookmarkEnd w:id="44"/>
    </w:p>
    <w:p>
      <w:pPr>
        <w:pStyle w:val="Heading5"/>
      </w:pPr>
      <w:bookmarkStart w:id="45" w:name="_Toc91073497"/>
      <w:r>
        <w:rPr>
          <w:rStyle w:val="CharSectno"/>
        </w:rPr>
        <w:t>25</w:t>
      </w:r>
      <w:r>
        <w:t>.</w:t>
      </w:r>
      <w:r>
        <w:tab/>
        <w:t>Reconsideration of debarment or suspension where circumstances change</w:t>
      </w:r>
      <w:bookmarkEnd w:id="45"/>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lastRenderedPageBreak/>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46" w:name="_Toc91073498"/>
      <w:r>
        <w:rPr>
          <w:rStyle w:val="CharSectno"/>
        </w:rPr>
        <w:t>26</w:t>
      </w:r>
      <w:r>
        <w:t>.</w:t>
      </w:r>
      <w:r>
        <w:tab/>
        <w:t>Authorised bodies may rely on debarment or suspension decisions</w:t>
      </w:r>
      <w:bookmarkEnd w:id="46"/>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47" w:name="_Toc91073499"/>
      <w:r>
        <w:rPr>
          <w:rStyle w:val="CharSectno"/>
        </w:rPr>
        <w:t>27</w:t>
      </w:r>
      <w:r>
        <w:t>.</w:t>
      </w:r>
      <w:r>
        <w:tab/>
        <w:t>Standard of proof</w:t>
      </w:r>
      <w:bookmarkEnd w:id="47"/>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48" w:name="_Toc91073500"/>
      <w:r>
        <w:rPr>
          <w:rStyle w:val="CharSectno"/>
        </w:rPr>
        <w:t>28</w:t>
      </w:r>
      <w:r>
        <w:t>.</w:t>
      </w:r>
      <w:r>
        <w:tab/>
        <w:t>Notices</w:t>
      </w:r>
      <w:bookmarkEnd w:id="48"/>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 w:name="_Toc91056307"/>
      <w:bookmarkStart w:id="50" w:name="_Toc91073501"/>
      <w:bookmarkStart w:id="51" w:name="_Toc91055809"/>
      <w:r>
        <w:rPr>
          <w:rStyle w:val="CharSchNo"/>
        </w:rPr>
        <w:lastRenderedPageBreak/>
        <w:t>Schedule 1</w:t>
      </w:r>
      <w:r>
        <w:rPr>
          <w:rStyle w:val="CharSDivNo"/>
        </w:rPr>
        <w:t> </w:t>
      </w:r>
      <w:r>
        <w:t>—</w:t>
      </w:r>
      <w:r>
        <w:rPr>
          <w:rStyle w:val="CharSDivText"/>
        </w:rPr>
        <w:t> </w:t>
      </w:r>
      <w:r>
        <w:rPr>
          <w:rStyle w:val="CharSchText"/>
        </w:rPr>
        <w:t>Category A debarment conduct</w:t>
      </w:r>
      <w:bookmarkEnd w:id="49"/>
      <w:bookmarkEnd w:id="50"/>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lastRenderedPageBreak/>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lastRenderedPageBreak/>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lastRenderedPageBreak/>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t>Petroleum and Geothermal Energy Resources Act 1967</w:t>
            </w:r>
            <w:r>
              <w:t> — offences under sections 29, 49, 112A(3), 117A</w:t>
            </w:r>
          </w:p>
          <w:p>
            <w:pPr>
              <w:pStyle w:val="yTableNAm"/>
            </w:pPr>
            <w:r>
              <w:rPr>
                <w:i/>
              </w:rPr>
              <w:lastRenderedPageBreak/>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lastRenderedPageBreak/>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lastRenderedPageBreak/>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lastRenderedPageBreak/>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pPr>
            <w:r>
              <w:t>Offences</w:t>
            </w:r>
            <w:r>
              <w:rPr>
                <w:spacing w:val="-2"/>
              </w:rPr>
              <w:t xml:space="preserve"> or contraventions under repealed enactments that are substantially the same as the offences or contraventions described in this Schedule.</w:t>
            </w:r>
          </w:p>
        </w:tc>
      </w:tr>
    </w:tbl>
    <w:p>
      <w:pPr>
        <w:pStyle w:val="yScheduleHeading"/>
      </w:pPr>
      <w:bookmarkStart w:id="52" w:name="_Toc91056308"/>
      <w:bookmarkStart w:id="53" w:name="_Toc91073502"/>
      <w:r>
        <w:rPr>
          <w:rStyle w:val="CharSchNo"/>
        </w:rPr>
        <w:lastRenderedPageBreak/>
        <w:t>Schedule 2</w:t>
      </w:r>
      <w:r>
        <w:rPr>
          <w:rStyle w:val="CharSDivNo"/>
        </w:rPr>
        <w:t> </w:t>
      </w:r>
      <w:r>
        <w:t>—</w:t>
      </w:r>
      <w:r>
        <w:rPr>
          <w:rStyle w:val="CharSDivText"/>
        </w:rPr>
        <w:t> </w:t>
      </w:r>
      <w:r>
        <w:rPr>
          <w:rStyle w:val="CharSchText"/>
        </w:rPr>
        <w:t>Category B debarment conduct</w:t>
      </w:r>
      <w:bookmarkEnd w:id="52"/>
      <w:bookmarkEnd w:id="53"/>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lastRenderedPageBreak/>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compliance with workers’ compensation legislation</w:t>
            </w:r>
          </w:p>
        </w:tc>
        <w:tc>
          <w:tcPr>
            <w:tcW w:w="3707" w:type="dxa"/>
            <w:noWrap/>
          </w:tcPr>
          <w:p>
            <w:pPr>
              <w:pStyle w:val="yTableNAm"/>
            </w:pPr>
            <w:r>
              <w:rPr>
                <w:i/>
              </w:rPr>
              <w:t>Workers’ Compensation and Injury Management Act 1981</w:t>
            </w:r>
            <w:r>
              <w:t xml:space="preserve"> — conduct that contravenes sections 170(1), 303A </w:t>
            </w:r>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lastRenderedPageBreak/>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lastRenderedPageBreak/>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5" w:name="_Toc91056309"/>
      <w:bookmarkStart w:id="56" w:name="_Toc91073503"/>
      <w:r>
        <w:lastRenderedPageBreak/>
        <w:t>Notes</w:t>
      </w:r>
      <w:bookmarkEnd w:id="51"/>
      <w:bookmarkEnd w:id="55"/>
      <w:bookmarkEnd w:id="56"/>
    </w:p>
    <w:p>
      <w:pPr>
        <w:pStyle w:val="nStatement"/>
      </w:pPr>
      <w:r>
        <w:t xml:space="preserve">This is a compilation of the </w:t>
      </w:r>
      <w:r>
        <w:rPr>
          <w:i/>
          <w:noProof/>
        </w:rPr>
        <w:t>Procurement (Debarment of Suppliers) Regulations 2021</w:t>
      </w:r>
      <w:r>
        <w:t xml:space="preserve">. For provisions that have come into operation see the compilation table. </w:t>
      </w:r>
    </w:p>
    <w:p>
      <w:pPr>
        <w:pStyle w:val="nHeading3"/>
      </w:pPr>
      <w:bookmarkStart w:id="57" w:name="_Toc91073504"/>
      <w:r>
        <w:t>Compilation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Procurement (Debarment of Suppliers) Regulations 2021</w:t>
            </w:r>
          </w:p>
        </w:tc>
        <w:tc>
          <w:tcPr>
            <w:tcW w:w="1276" w:type="dxa"/>
          </w:tcPr>
          <w:p>
            <w:pPr>
              <w:pStyle w:val="nTable"/>
              <w:spacing w:after="40"/>
            </w:pPr>
            <w:r>
              <w:t>SL 2021/187 5 Nov 2021</w:t>
            </w:r>
          </w:p>
        </w:tc>
        <w:tc>
          <w:tcPr>
            <w:tcW w:w="2693" w:type="dxa"/>
          </w:tcPr>
          <w:p>
            <w:pPr>
              <w:pStyle w:val="nTable"/>
              <w:spacing w:after="40"/>
            </w:pPr>
            <w:r>
              <w:t>Pt. 1: 5 Nov 2021 (see r. 2(a));</w:t>
            </w:r>
            <w:r>
              <w:br/>
              <w:t>Regulations other than Pt. 1: 1 Jan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9" w:name="_Toc91056311"/>
      <w:bookmarkStart w:id="60" w:name="_Toc91073505"/>
      <w:r>
        <w:rPr>
          <w:sz w:val="28"/>
        </w:rPr>
        <w:lastRenderedPageBreak/>
        <w:t>Defined terms</w:t>
      </w:r>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3(1)</w:t>
      </w:r>
    </w:p>
    <w:p>
      <w:pPr>
        <w:pStyle w:val="DefinedTerms"/>
      </w:pPr>
      <w:r>
        <w:t>Category A debarment conduct</w:t>
      </w:r>
      <w:r>
        <w:tab/>
        <w:t>3(1), 9</w:t>
      </w:r>
    </w:p>
    <w:p>
      <w:pPr>
        <w:pStyle w:val="DefinedTerms"/>
      </w:pPr>
      <w:r>
        <w:t>Category B debarment conduct</w:t>
      </w:r>
      <w:r>
        <w:tab/>
        <w:t>3(1), 10</w:t>
      </w:r>
    </w:p>
    <w:p>
      <w:pPr>
        <w:pStyle w:val="DefinedTerms"/>
      </w:pPr>
      <w:r>
        <w:t>Commonwealth Criminal Code</w:t>
      </w:r>
      <w:r>
        <w:tab/>
        <w:t>3(1)</w:t>
      </w:r>
    </w:p>
    <w:p>
      <w:pPr>
        <w:pStyle w:val="DefinedTerms"/>
      </w:pPr>
      <w:r>
        <w:t>Corporations Act</w:t>
      </w:r>
      <w:r>
        <w:tab/>
        <w:t>3(1)</w:t>
      </w:r>
    </w:p>
    <w:p>
      <w:pPr>
        <w:pStyle w:val="DefinedTerms"/>
      </w:pPr>
      <w:r>
        <w:t>corresponding debarment regime</w:t>
      </w:r>
      <w:r>
        <w:tab/>
        <w:t>3(1)</w:t>
      </w:r>
    </w:p>
    <w:p>
      <w:pPr>
        <w:pStyle w:val="DefinedTerms"/>
      </w:pPr>
      <w:r>
        <w:t>official investigation</w:t>
      </w:r>
      <w:r>
        <w:tab/>
        <w:t>3(1)</w:t>
      </w:r>
    </w:p>
    <w:p>
      <w:pPr>
        <w:pStyle w:val="DefinedTerms"/>
      </w:pPr>
      <w:r>
        <w:t>other debarment conduct</w:t>
      </w:r>
      <w:r>
        <w:tab/>
        <w:t>3(1)</w:t>
      </w:r>
    </w:p>
    <w:p>
      <w:pPr>
        <w:pStyle w:val="DefinedTerms"/>
      </w:pPr>
      <w:r>
        <w:t>Other debarment conduct</w:t>
      </w:r>
      <w:r>
        <w:tab/>
        <w:t>11(1) and (2)</w:t>
      </w:r>
    </w:p>
    <w:p>
      <w:pPr>
        <w:pStyle w:val="DefinedTerms"/>
      </w:pPr>
      <w:r>
        <w:t>penalty</w:t>
      </w:r>
      <w:r>
        <w:tab/>
        <w:t>3(1)</w:t>
      </w:r>
    </w:p>
    <w:p>
      <w:pPr>
        <w:pStyle w:val="DefinedTerms"/>
      </w:pPr>
      <w:r>
        <w:t>related body corporate</w:t>
      </w:r>
      <w:r>
        <w:tab/>
        <w:t>3(1)</w:t>
      </w:r>
    </w:p>
    <w:p>
      <w:pPr>
        <w:pStyle w:val="DefinedTerms"/>
      </w:pPr>
      <w:r>
        <w:t>senior officer</w:t>
      </w:r>
      <w:r>
        <w:tab/>
        <w:t>3(1)</w:t>
      </w:r>
    </w:p>
    <w:p>
      <w:pPr>
        <w:pStyle w:val="DefinedTerms"/>
      </w:pPr>
      <w:r>
        <w:t>supplier undertaking</w:t>
      </w:r>
      <w:r>
        <w:tab/>
        <w:t>3(1)</w:t>
      </w:r>
    </w:p>
    <w:p>
      <w:pPr>
        <w:pStyle w:val="DefinedTerms"/>
      </w:pPr>
      <w:r>
        <w:t>WA Criminal Code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 w:name="DefinedTerms"/>
    <w:bookmarkEnd w:id="6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112220855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4E435-DE2C-4E6C-9E0F-CA5BA272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6162</Words>
  <Characters>32351</Characters>
  <Application>Microsoft Office Word</Application>
  <DocSecurity>0</DocSecurity>
  <Lines>1078</Lines>
  <Paragraphs>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2021 - 00-b0-00</dc:title>
  <dc:subject/>
  <dc:creator/>
  <cp:keywords/>
  <dc:description/>
  <cp:lastModifiedBy>Master Repository Process</cp:lastModifiedBy>
  <cp:revision>4</cp:revision>
  <cp:lastPrinted>2021-11-02T04:26:00Z</cp:lastPrinted>
  <dcterms:created xsi:type="dcterms:W3CDTF">2021-12-31T02:20:00Z</dcterms:created>
  <dcterms:modified xsi:type="dcterms:W3CDTF">2021-12-31T02:20:00Z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AsAtDate">
    <vt:lpwstr>01 Jan 2022</vt:lpwstr>
  </property>
  <property fmtid="{D5CDD505-2E9C-101B-9397-08002B2CF9AE}" pid="5" name="Suffix">
    <vt:lpwstr>00-b0-00</vt:lpwstr>
  </property>
  <property fmtid="{D5CDD505-2E9C-101B-9397-08002B2CF9AE}" pid="6" name="CommencementDate">
    <vt:lpwstr>20220101</vt:lpwstr>
  </property>
</Properties>
</file>