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_Toc97129563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_Toc97129564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_Toc97129565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_Toc97129566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_Toc97129567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_Toc97129575 \h </w:instrText>
      </w:r>
      <w:r>
        <w:fldChar w:fldCharType="separate"/>
      </w:r>
      <w:r>
        <w:t>14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_Toc97129576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State Trading Concerns Act 1916</w:t>
      </w:r>
    </w:p>
    <w:p>
      <w:pPr>
        <w:pStyle w:val="NameofActReg"/>
      </w:pPr>
      <w:r>
        <w:t>State Trading Concerns (Authorisation) Regulations 1998</w:t>
      </w:r>
    </w:p>
    <w:p>
      <w:pPr>
        <w:pStyle w:val="Heading5"/>
        <w:rPr>
          <w:snapToGrid w:val="0"/>
        </w:rPr>
      </w:pPr>
      <w:bookmarkStart w:id="3" w:name="_Toc97129563"/>
      <w:r>
        <w:rPr>
          <w:rStyle w:val="CharSectno"/>
        </w:rPr>
        <w:t>1</w:t>
      </w:r>
      <w:r>
        <w:rPr>
          <w:snapToGrid w:val="0"/>
        </w:rPr>
        <w:t>.</w:t>
      </w:r>
      <w:r>
        <w:rPr>
          <w:snapToGrid w:val="0"/>
        </w:rPr>
        <w:tab/>
        <w:t>Citation</w:t>
      </w:r>
      <w:bookmarkEnd w:id="3"/>
      <w:r>
        <w:rPr>
          <w:snapToGrid w:val="0"/>
        </w:rPr>
        <w:t xml:space="preserve"> </w:t>
      </w:r>
    </w:p>
    <w:p>
      <w:pPr>
        <w:pStyle w:val="Subsection"/>
      </w:pPr>
      <w:r>
        <w:rPr>
          <w:snapToGrid w:val="0"/>
        </w:rPr>
        <w:tab/>
      </w:r>
      <w:r>
        <w:rPr>
          <w:snapToGrid w:val="0"/>
        </w:rPr>
        <w:tab/>
        <w:t xml:space="preserve">These regulations may be cited as the </w:t>
      </w:r>
      <w:r>
        <w:rPr>
          <w:i/>
          <w:snapToGrid w:val="0"/>
        </w:rPr>
        <w:t>State Trading Concerns (Authorisation) Regulations 1998</w:t>
      </w:r>
      <w:r>
        <w:rPr>
          <w:snapToGrid w:val="0"/>
        </w:rPr>
        <w:t>.</w:t>
      </w:r>
    </w:p>
    <w:p>
      <w:pPr>
        <w:pStyle w:val="Heading5"/>
        <w:rPr>
          <w:snapToGrid w:val="0"/>
        </w:rPr>
      </w:pPr>
      <w:bookmarkStart w:id="4" w:name="_Toc97129564"/>
      <w:r>
        <w:rPr>
          <w:rStyle w:val="CharSectno"/>
        </w:rPr>
        <w:t>2</w:t>
      </w:r>
      <w:r>
        <w:rPr>
          <w:snapToGrid w:val="0"/>
        </w:rPr>
        <w:t>.</w:t>
      </w:r>
      <w:r>
        <w:rPr>
          <w:snapToGrid w:val="0"/>
        </w:rPr>
        <w:tab/>
        <w:t>Prescribed financial entities (Act s. 4A(2)(a))</w:t>
      </w:r>
      <w:bookmarkEnd w:id="4"/>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5" w:name="_Toc97129565"/>
      <w:r>
        <w:rPr>
          <w:rStyle w:val="CharSectno"/>
        </w:rPr>
        <w:t>3</w:t>
      </w:r>
      <w:r>
        <w:rPr>
          <w:snapToGrid w:val="0"/>
        </w:rPr>
        <w:t>.</w:t>
      </w:r>
      <w:r>
        <w:rPr>
          <w:snapToGrid w:val="0"/>
        </w:rPr>
        <w:tab/>
        <w:t>Prescribed activities by financial entities (Act s. 4A(2)(b))</w:t>
      </w:r>
      <w:bookmarkEnd w:id="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6" w:name="_Toc97129566"/>
      <w:r>
        <w:rPr>
          <w:rStyle w:val="CharSectno"/>
        </w:rPr>
        <w:t>4</w:t>
      </w:r>
      <w:r>
        <w:t>.</w:t>
      </w:r>
      <w:r>
        <w:tab/>
        <w:t>Prescribed statutory corporations (Act s. 4B(2))</w:t>
      </w:r>
      <w:bookmarkEnd w:id="6"/>
    </w:p>
    <w:p>
      <w:pPr>
        <w:pStyle w:val="Subsection"/>
      </w:pPr>
      <w:r>
        <w:tab/>
      </w:r>
      <w:r>
        <w:tab/>
        <w:t>The statutory corporations set out in Schedule 2 Part 1 are prescribed statutory corporations for the purposes of section 4B(2) of the Act.</w:t>
      </w:r>
    </w:p>
    <w:p>
      <w:pPr>
        <w:pStyle w:val="Footnotesection"/>
      </w:pPr>
      <w:r>
        <w:tab/>
        <w:t>[Regulation 4 inserted: Gazette 18 Feb 2000 p. 916.]</w:t>
      </w:r>
    </w:p>
    <w:p>
      <w:pPr>
        <w:pStyle w:val="Heading5"/>
      </w:pPr>
      <w:bookmarkStart w:id="7" w:name="_Toc97129567"/>
      <w:r>
        <w:rPr>
          <w:rStyle w:val="CharSectno"/>
        </w:rPr>
        <w:t>5</w:t>
      </w:r>
      <w:r>
        <w:t>.</w:t>
      </w:r>
      <w:r>
        <w:tab/>
        <w:t>Prescribed activities by statutory corporations (Act s. 4B(2))</w:t>
      </w:r>
      <w:bookmarkEnd w:id="7"/>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Gazette 18 Feb 2000 p. 916.]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 w:name="_Toc97129568"/>
      <w:r>
        <w:rPr>
          <w:rStyle w:val="CharSchNo"/>
        </w:rPr>
        <w:lastRenderedPageBreak/>
        <w:t>Schedule 1</w:t>
      </w:r>
      <w:bookmarkEnd w:id="8"/>
      <w:r>
        <w:rPr>
          <w:rStyle w:val="CharSchText"/>
        </w:rPr>
        <w:t xml:space="preserve"> </w:t>
      </w:r>
    </w:p>
    <w:p>
      <w:pPr>
        <w:pStyle w:val="yFootnoteheading"/>
        <w:tabs>
          <w:tab w:val="left" w:pos="600"/>
        </w:tabs>
      </w:pPr>
      <w:r>
        <w:tab/>
        <w:t>[Heading inserted: Gazette 31 Aug 1999 p. 4261.]</w:t>
      </w:r>
    </w:p>
    <w:p>
      <w:pPr>
        <w:pStyle w:val="yHeading3"/>
      </w:pPr>
      <w:bookmarkStart w:id="9" w:name="_Toc97129569"/>
      <w:r>
        <w:rPr>
          <w:rStyle w:val="CharSDivNo"/>
        </w:rPr>
        <w:t>Part 1</w:t>
      </w:r>
      <w:r>
        <w:t xml:space="preserve"> — </w:t>
      </w:r>
      <w:r>
        <w:rPr>
          <w:rStyle w:val="CharSDivText"/>
        </w:rPr>
        <w:t>Prescribed financial entities (regulation 2)</w:t>
      </w:r>
      <w:bookmarkEnd w:id="9"/>
    </w:p>
    <w:p>
      <w:pPr>
        <w:pStyle w:val="yFootnoteheading"/>
        <w:tabs>
          <w:tab w:val="left" w:pos="600"/>
        </w:tabs>
      </w:pPr>
      <w:r>
        <w:tab/>
        <w:t>[Heading inserted: Gazette 31 Aug 1999 p. 4261.]</w:t>
      </w:r>
    </w:p>
    <w:p>
      <w:pPr>
        <w:pStyle w:val="yMiscellaneousBody"/>
        <w:spacing w:before="240"/>
      </w:pPr>
      <w:r>
        <w:t xml:space="preserve">Commissioner for Equal Opportunity </w:t>
      </w:r>
    </w:p>
    <w:p>
      <w:pPr>
        <w:pStyle w:val="yMiscellaneousBody"/>
        <w:spacing w:before="240"/>
      </w:pPr>
      <w:r>
        <w:t xml:space="preserve">Department of Communities </w:t>
      </w:r>
    </w:p>
    <w:p>
      <w:pPr>
        <w:pStyle w:val="yMiscellaneousBody"/>
        <w:spacing w:before="240"/>
        <w:rPr>
          <w:vertAlign w:val="superscript"/>
        </w:rPr>
      </w:pPr>
      <w:r>
        <w:t>Department for Planning and Infrastructure </w:t>
      </w:r>
      <w:r>
        <w:rPr>
          <w:vertAlign w:val="superscript"/>
        </w:rPr>
        <w:t>2</w:t>
      </w:r>
    </w:p>
    <w:p>
      <w:pPr>
        <w:pStyle w:val="yMiscellaneousBody"/>
        <w:spacing w:before="240"/>
      </w:pPr>
      <w:r>
        <w:t>Department of Consumer and Employment Protection </w:t>
      </w:r>
      <w:r>
        <w:rPr>
          <w:vertAlign w:val="superscript"/>
        </w:rPr>
        <w:t>3</w:t>
      </w:r>
    </w:p>
    <w:p>
      <w:pPr>
        <w:pStyle w:val="yMiscellaneousBody"/>
        <w:spacing w:before="240"/>
      </w:pPr>
      <w:r>
        <w:t>Department of Environment and Conservation</w:t>
      </w:r>
      <w:r>
        <w:rPr>
          <w:vertAlign w:val="superscript"/>
        </w:rPr>
        <w:t> 4</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r>
        <w:rPr>
          <w:vertAlign w:val="superscript"/>
        </w:rPr>
        <w:t> 5</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6 </w:t>
      </w:r>
    </w:p>
    <w:p>
      <w:pPr>
        <w:pStyle w:val="yMiscellaneousBody"/>
        <w:spacing w:before="240"/>
      </w:pPr>
      <w:r>
        <w:t>Department of Culture and the Arts</w:t>
      </w:r>
      <w:r>
        <w:rPr>
          <w:vertAlign w:val="superscript"/>
        </w:rPr>
        <w:t> 7</w:t>
      </w:r>
      <w:r>
        <w:t xml:space="preserve"> </w:t>
      </w:r>
    </w:p>
    <w:p>
      <w:pPr>
        <w:pStyle w:val="yMiscellaneousBody"/>
        <w:spacing w:before="240"/>
      </w:pPr>
      <w:r>
        <w:t xml:space="preserve">Department of Premier and Cabinet </w:t>
      </w:r>
    </w:p>
    <w:p>
      <w:pPr>
        <w:pStyle w:val="yMiscellaneousBody"/>
        <w:spacing w:before="240"/>
      </w:pPr>
      <w:r>
        <w:t>Department of the Attorney General</w:t>
      </w:r>
      <w:r>
        <w:rPr>
          <w:vertAlign w:val="superscript"/>
        </w:rPr>
        <w:t> 8</w:t>
      </w:r>
    </w:p>
    <w:p>
      <w:pPr>
        <w:pStyle w:val="yMiscellaneousBody"/>
        <w:spacing w:before="240"/>
      </w:pPr>
      <w:r>
        <w:t>Department of the State Heritage Office </w:t>
      </w:r>
      <w:r>
        <w:rPr>
          <w:vertAlign w:val="superscript"/>
        </w:rPr>
        <w:t>9</w:t>
      </w:r>
    </w:p>
    <w:p>
      <w:pPr>
        <w:pStyle w:val="yMiscellaneousBody"/>
        <w:spacing w:before="240"/>
      </w:pPr>
      <w:r>
        <w:t>Department of Transport</w:t>
      </w:r>
    </w:p>
    <w:p>
      <w:pPr>
        <w:pStyle w:val="yMiscellaneousBody"/>
        <w:spacing w:before="240"/>
      </w:pPr>
      <w:r>
        <w:rPr>
          <w:szCs w:val="22"/>
        </w:rPr>
        <w:t>Department of Water</w:t>
      </w:r>
      <w:r>
        <w:rPr>
          <w:szCs w:val="22"/>
          <w:vertAlign w:val="superscript"/>
        </w:rPr>
        <w:t> 10</w:t>
      </w:r>
    </w:p>
    <w:p>
      <w:pPr>
        <w:pStyle w:val="yMiscellaneousBody"/>
        <w:spacing w:before="240"/>
      </w:pPr>
      <w:r>
        <w:t>Mental Health Commission</w:t>
      </w:r>
    </w:p>
    <w:p>
      <w:pPr>
        <w:pStyle w:val="yMiscellaneousBody"/>
        <w:spacing w:before="240"/>
      </w:pPr>
      <w:r>
        <w:lastRenderedPageBreak/>
        <w:t>Office of the Auditor General</w:t>
      </w:r>
    </w:p>
    <w:p>
      <w:pPr>
        <w:pStyle w:val="yMiscellaneousBody"/>
        <w:keepNext/>
        <w:keepLines/>
        <w:spacing w:before="120"/>
      </w:pPr>
      <w:r>
        <w:t xml:space="preserve">Public Sector Commission </w:t>
      </w:r>
    </w:p>
    <w:p>
      <w:pPr>
        <w:pStyle w:val="yMiscellaneousBody"/>
        <w:keepNext/>
        <w:keepLines/>
        <w:spacing w:before="120"/>
      </w:pPr>
      <w:r>
        <w:t>Western Australia Police Service</w:t>
      </w:r>
    </w:p>
    <w:p>
      <w:pPr>
        <w:pStyle w:val="yFootnotesection"/>
        <w:tabs>
          <w:tab w:val="clear" w:pos="893"/>
        </w:tabs>
        <w:spacing w:before="100"/>
        <w:ind w:left="600" w:firstLine="0"/>
      </w:pPr>
      <w:r>
        <w:t>[Part 1 inserted: Gazette 31 Aug 1999 p. 4261; amended: Gazette 21 Jan 2000 p. 346; 18 Feb 2000 p. 916 (correction: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 31 Aug 2018 p. 3048.]</w:t>
      </w:r>
    </w:p>
    <w:p>
      <w:pPr>
        <w:pStyle w:val="yHeading3"/>
      </w:pPr>
      <w:bookmarkStart w:id="10" w:name="_Toc97129570"/>
      <w:r>
        <w:rPr>
          <w:rStyle w:val="CharSDivNo"/>
        </w:rPr>
        <w:t>Part 2</w:t>
      </w:r>
      <w:r>
        <w:t xml:space="preserve"> — </w:t>
      </w:r>
      <w:r>
        <w:rPr>
          <w:rStyle w:val="CharSDivText"/>
        </w:rPr>
        <w:t>Prescribed activities (regulation 3)</w:t>
      </w:r>
      <w:bookmarkEnd w:id="10"/>
    </w:p>
    <w:p>
      <w:pPr>
        <w:pStyle w:val="yFootnoteheading"/>
        <w:tabs>
          <w:tab w:val="left" w:pos="600"/>
        </w:tabs>
      </w:pPr>
      <w:r>
        <w:tab/>
        <w:t>[Heading inserted: Gazette 31 Aug 1999 p. 4261.]</w:t>
      </w:r>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u w:val="single"/>
          <w:vertAlign w:val="superscript"/>
        </w:rPr>
      </w:pPr>
      <w:r>
        <w:rPr>
          <w:u w:val="single"/>
        </w:rPr>
        <w:t>Department for Planning and Infrastructure </w:t>
      </w:r>
      <w:r>
        <w:rPr>
          <w:u w:val="single"/>
          <w:vertAlign w:val="superscript"/>
        </w:rPr>
        <w:t>2</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spacing w:before="140"/>
        <w:rPr>
          <w:u w:val="single"/>
        </w:rPr>
      </w:pPr>
      <w:r>
        <w:rPr>
          <w:u w:val="single"/>
        </w:rPr>
        <w:t>Department of Communities</w:t>
      </w:r>
    </w:p>
    <w:p>
      <w:pPr>
        <w:pStyle w:val="yMiscellaneousBody"/>
        <w:tabs>
          <w:tab w:val="left" w:pos="532"/>
        </w:tabs>
        <w:ind w:left="546" w:hanging="546"/>
      </w:pPr>
      <w:r>
        <w:tab/>
        <w:t>The sale by the Department of Communities of goods, information or intellectual property, relating to community development.</w:t>
      </w:r>
    </w:p>
    <w:p>
      <w:pPr>
        <w:pStyle w:val="yMiscellaneousBody"/>
        <w:tabs>
          <w:tab w:val="left" w:pos="532"/>
        </w:tabs>
        <w:ind w:left="546" w:hanging="546"/>
      </w:pPr>
      <w:r>
        <w:tab/>
        <w:t>The provision or sale by the Department of Communities of advertising opportunities or opportunities having a purpose similar to advertising.</w:t>
      </w:r>
    </w:p>
    <w:p>
      <w:pPr>
        <w:pStyle w:val="yMiscellaneousBody"/>
        <w:tabs>
          <w:tab w:val="left" w:pos="532"/>
        </w:tabs>
        <w:ind w:left="546" w:hanging="546"/>
      </w:pPr>
      <w:r>
        <w:tab/>
        <w:t>The provision by the Department of Communities of training, management or advisory services, relating to community development.</w:t>
      </w:r>
    </w:p>
    <w:p>
      <w:pPr>
        <w:pStyle w:val="yMiscellaneousBody"/>
        <w:keepNext/>
        <w:keepLines/>
        <w:rPr>
          <w:u w:val="single"/>
          <w:vertAlign w:val="superscript"/>
        </w:rPr>
      </w:pPr>
      <w:r>
        <w:rPr>
          <w:u w:val="single"/>
        </w:rPr>
        <w:lastRenderedPageBreak/>
        <w:t>Department of Consumer and Employment Protection </w:t>
      </w:r>
      <w:r>
        <w:rPr>
          <w:u w:val="single"/>
          <w:vertAlign w:val="superscript"/>
        </w:rPr>
        <w:t>3</w:t>
      </w:r>
    </w:p>
    <w:p>
      <w:pPr>
        <w:pStyle w:val="yMiscellaneousBody"/>
        <w:keepNext/>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relating to Worksafe Western Australia.</w:t>
      </w:r>
    </w:p>
    <w:p>
      <w:pPr>
        <w:pStyle w:val="yMiscellaneousBody"/>
        <w:rPr>
          <w:u w:val="single"/>
        </w:rPr>
      </w:pPr>
      <w:r>
        <w:rPr>
          <w:u w:val="single"/>
        </w:rPr>
        <w:t>Department of Environment and Conservation </w:t>
      </w:r>
      <w:r>
        <w:rPr>
          <w:u w:val="single"/>
          <w:vertAlign w:val="superscript"/>
        </w:rPr>
        <w:t>4</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lastRenderedPageBreak/>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vertAlign w:val="superscript"/>
        </w:rPr>
      </w:pPr>
      <w:r>
        <w:rPr>
          <w:u w:val="single"/>
        </w:rPr>
        <w:t>Department of Fisheries </w:t>
      </w:r>
      <w:r>
        <w:rPr>
          <w:u w:val="single"/>
          <w:vertAlign w:val="superscript"/>
        </w:rPr>
        <w:t>5</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6</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 </w:t>
      </w:r>
      <w:r>
        <w:rPr>
          <w:u w:val="single"/>
          <w:vertAlign w:val="superscript"/>
        </w:rPr>
        <w:t>7</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lastRenderedPageBreak/>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 </w:t>
      </w:r>
      <w:r>
        <w:rPr>
          <w:u w:val="single"/>
          <w:vertAlign w:val="superscript"/>
        </w:rPr>
        <w:t>8</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r>
        <w:rPr>
          <w:u w:val="single"/>
          <w:vertAlign w:val="superscript"/>
        </w:rPr>
        <w:t> 9</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lastRenderedPageBreak/>
        <w:t>Department of Water </w:t>
      </w:r>
      <w:r>
        <w:rPr>
          <w:u w:val="single"/>
          <w:vertAlign w:val="superscript"/>
        </w:rPr>
        <w:t>10</w:t>
      </w:r>
    </w:p>
    <w:p>
      <w:pPr>
        <w:pStyle w:val="yMiscellaneousBody"/>
        <w:keepNext/>
        <w:tabs>
          <w:tab w:val="left" w:pos="532"/>
        </w:tabs>
        <w:ind w:left="544" w:hanging="544"/>
      </w:pPr>
      <w:r>
        <w:tab/>
        <w:t xml:space="preserve">The provision by the Department of Water of — </w:t>
      </w:r>
    </w:p>
    <w:p>
      <w:pPr>
        <w:pStyle w:val="yMiscellaneousBody"/>
        <w:keepNext/>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keepNext/>
        <w:rPr>
          <w:u w:val="single"/>
        </w:rPr>
      </w:pPr>
      <w:r>
        <w:rPr>
          <w:u w:val="single"/>
        </w:rPr>
        <w:t>Western Australia Police Service</w:t>
      </w:r>
    </w:p>
    <w:p>
      <w:pPr>
        <w:pStyle w:val="yMiscellaneousBody"/>
        <w:keepNext/>
        <w:tabs>
          <w:tab w:val="left" w:pos="532"/>
        </w:tabs>
        <w:ind w:left="546" w:hanging="546"/>
      </w:pPr>
      <w:r>
        <w:tab/>
        <w:t xml:space="preserve">The provision by the Western Australia Police Service of goods, information or intellectual property, technical, educational, training, </w:t>
      </w:r>
      <w:r>
        <w:lastRenderedPageBreak/>
        <w:t>management or advisory services relating to services provided by or activities carried out by Western Australia Police Service.</w:t>
      </w:r>
    </w:p>
    <w:p>
      <w:pPr>
        <w:pStyle w:val="yFootnotesection"/>
        <w:tabs>
          <w:tab w:val="clear" w:pos="893"/>
        </w:tabs>
        <w:ind w:left="840" w:firstLine="0"/>
      </w:pPr>
      <w:r>
        <w:t>[Part 2 inserted: Gazette 31 Aug 1999 p. 4261</w:t>
      </w:r>
      <w:r>
        <w:noBreakHyphen/>
        <w:t>3; amended: Gazette 21 Jan 2000 p. 346; 18 Feb 2000 p. 916 (correction: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 31 Aug 2018 p. 3048.]</w:t>
      </w:r>
    </w:p>
    <w:p>
      <w:pPr>
        <w:pStyle w:val="yScheduleHeading"/>
      </w:pPr>
      <w:bookmarkStart w:id="11" w:name="_Toc97129571"/>
      <w:r>
        <w:rPr>
          <w:rStyle w:val="CharSchNo"/>
        </w:rPr>
        <w:lastRenderedPageBreak/>
        <w:t>Schedule 2</w:t>
      </w:r>
      <w:bookmarkEnd w:id="11"/>
    </w:p>
    <w:p>
      <w:pPr>
        <w:pStyle w:val="yShoulderClause"/>
      </w:pPr>
      <w:r>
        <w:t>[r. 4, 5]</w:t>
      </w:r>
    </w:p>
    <w:p>
      <w:pPr>
        <w:pStyle w:val="yFootnoteheading"/>
        <w:tabs>
          <w:tab w:val="left" w:pos="840"/>
        </w:tabs>
      </w:pPr>
      <w:r>
        <w:tab/>
        <w:t>[Heading inserted: Gazette 18 Feb 2000 p. 917.]</w:t>
      </w:r>
    </w:p>
    <w:p>
      <w:pPr>
        <w:pStyle w:val="yHeading3"/>
      </w:pPr>
      <w:bookmarkStart w:id="12" w:name="_Toc97129572"/>
      <w:r>
        <w:rPr>
          <w:rStyle w:val="CharSDivNo"/>
        </w:rPr>
        <w:t>Part 1</w:t>
      </w:r>
      <w:r>
        <w:t xml:space="preserve"> — </w:t>
      </w:r>
      <w:r>
        <w:rPr>
          <w:rStyle w:val="CharSDivText"/>
        </w:rPr>
        <w:t>Prescribed statutory corporations (regulation 4)</w:t>
      </w:r>
      <w:bookmarkEnd w:id="12"/>
    </w:p>
    <w:p>
      <w:pPr>
        <w:pStyle w:val="yFootnoteheading"/>
      </w:pPr>
      <w:r>
        <w:tab/>
        <w:t>[Heading inserted: Gazette 18 Feb 2000 p. 917.]</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r>
        <w:rPr>
          <w:sz w:val="22"/>
          <w:szCs w:val="22"/>
        </w:rPr>
        <w:t>FES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r>
        <w:rPr>
          <w:vertAlign w:val="superscript"/>
        </w:rPr>
        <w:t> 11</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Gazette 18 Feb 2000 p. 917; amended: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w:t>
      </w:r>
    </w:p>
    <w:p>
      <w:pPr>
        <w:pStyle w:val="yHeading3"/>
      </w:pPr>
      <w:bookmarkStart w:id="13" w:name="_Toc97129573"/>
      <w:r>
        <w:rPr>
          <w:rStyle w:val="CharSDivNo"/>
        </w:rPr>
        <w:lastRenderedPageBreak/>
        <w:t>Part 2</w:t>
      </w:r>
      <w:r>
        <w:t xml:space="preserve"> — </w:t>
      </w:r>
      <w:r>
        <w:rPr>
          <w:rStyle w:val="CharSDivText"/>
        </w:rPr>
        <w:t>Prescribed activities (regulation 5)</w:t>
      </w:r>
      <w:bookmarkEnd w:id="13"/>
    </w:p>
    <w:p>
      <w:pPr>
        <w:pStyle w:val="yFootnoteheading"/>
        <w:keepNext/>
      </w:pPr>
      <w:r>
        <w:tab/>
        <w:t>[Heading inserted: Gazette 18 Feb 2000 p. 917.]</w:t>
      </w:r>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lastRenderedPageBreak/>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r>
        <w:rPr>
          <w:u w:val="single"/>
        </w:rPr>
        <w:lastRenderedPageBreak/>
        <w:t xml:space="preserve">Swan River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11</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lastRenderedPageBreak/>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Gazette 18 Feb 2000 p. 917; amended: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 w:name="_Toc97129574"/>
      <w:r>
        <w:lastRenderedPageBreak/>
        <w:t>Notes</w:t>
      </w:r>
      <w:bookmarkEnd w:id="15"/>
    </w:p>
    <w:p>
      <w:pPr>
        <w:pStyle w:val="nStatement"/>
      </w:pPr>
      <w:r>
        <w:t xml:space="preserve">This is a compilation of the </w:t>
      </w:r>
      <w:r>
        <w:rPr>
          <w:i/>
          <w:noProof/>
        </w:rPr>
        <w:t>State Trading Concerns (Authorisation)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 w:name="_Toc97129575"/>
      <w:r>
        <w:t>Compilation table</w:t>
      </w:r>
      <w:bookmarkEnd w:id="1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State Trading Concerns (Authorisation) Amendment Regulations (No. 2) 2011</w:t>
            </w:r>
          </w:p>
        </w:tc>
        <w:tc>
          <w:tcPr>
            <w:tcW w:w="1276" w:type="dxa"/>
          </w:tcPr>
          <w:p>
            <w:pPr>
              <w:pStyle w:val="nTable"/>
              <w:keepNext/>
              <w:spacing w:after="40"/>
            </w:pPr>
            <w:r>
              <w:t>8 Nov 2011 p. 4676</w:t>
            </w:r>
            <w:r>
              <w:noBreakHyphen/>
              <w:t>7</w:t>
            </w:r>
          </w:p>
        </w:tc>
        <w:tc>
          <w:tcPr>
            <w:tcW w:w="2693" w:type="dxa"/>
          </w:tcPr>
          <w:p>
            <w:pPr>
              <w:pStyle w:val="nTable"/>
              <w:keepNext/>
              <w:spacing w:after="40"/>
              <w:rPr>
                <w:snapToGrid w:val="0"/>
              </w:rPr>
            </w:pPr>
            <w:r>
              <w:rPr>
                <w:snapToGrid w:val="0"/>
              </w:rPr>
              <w:t>r. 1 and 2: 8 Nov 2011 (see r. 2(a));</w:t>
            </w:r>
            <w:r>
              <w:rPr>
                <w:snapToGrid w:val="0"/>
              </w:rPr>
              <w:br/>
              <w:t>Regulations other than r. 1 and 2: 9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lastRenderedPageBreak/>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rPr>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2013</w:t>
            </w:r>
          </w:p>
        </w:tc>
        <w:tc>
          <w:tcPr>
            <w:tcW w:w="1276" w:type="dxa"/>
          </w:tcPr>
          <w:p>
            <w:pPr>
              <w:pStyle w:val="nTable"/>
              <w:spacing w:after="40"/>
            </w:pPr>
            <w:r>
              <w:t>10 May 2013 p. 1938</w:t>
            </w:r>
            <w:r>
              <w:noBreakHyphen/>
              <w:t>9</w:t>
            </w:r>
          </w:p>
        </w:tc>
        <w:tc>
          <w:tcPr>
            <w:tcW w:w="2693" w:type="dxa"/>
          </w:tcPr>
          <w:p>
            <w:pPr>
              <w:pStyle w:val="nTable"/>
              <w:spacing w:after="40"/>
              <w:rPr>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(No. 2) 2015</w:t>
            </w:r>
          </w:p>
        </w:tc>
        <w:tc>
          <w:tcPr>
            <w:tcW w:w="1276" w:type="dxa"/>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2016</w:t>
            </w:r>
          </w:p>
        </w:tc>
        <w:tc>
          <w:tcPr>
            <w:tcW w:w="1276" w:type="dxa"/>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2018</w:t>
            </w:r>
          </w:p>
        </w:tc>
        <w:tc>
          <w:tcPr>
            <w:tcW w:w="1276" w:type="dxa"/>
          </w:tcPr>
          <w:p>
            <w:pPr>
              <w:pStyle w:val="nTable"/>
              <w:spacing w:after="40"/>
            </w:pPr>
            <w:r>
              <w:t>31 Aug 2018 p. 3048</w:t>
            </w:r>
          </w:p>
        </w:tc>
        <w:tc>
          <w:tcPr>
            <w:tcW w:w="2693" w:type="dxa"/>
          </w:tcPr>
          <w:p>
            <w:pPr>
              <w:pStyle w:val="nTable"/>
              <w:spacing w:after="40"/>
              <w:rPr>
                <w:snapToGrid w:val="0"/>
              </w:rPr>
            </w:pPr>
            <w:r>
              <w:rPr>
                <w:snapToGrid w:val="0"/>
              </w:rPr>
              <w:t>r. 1 and 2: 31 Aug 2018 (see r. 2(a));</w:t>
            </w:r>
            <w:r>
              <w:rPr>
                <w:snapToGrid w:val="0"/>
              </w:rPr>
              <w:br/>
              <w:t>Regulations other than r. 1 and 2: 1 Sep 2018 (see r. 2(b))</w:t>
            </w:r>
          </w:p>
        </w:tc>
      </w:tr>
      <w:tr>
        <w:tblPrEx>
          <w:tblBorders>
            <w:top w:val="none" w:sz="0" w:space="0" w:color="auto"/>
            <w:bottom w:val="none" w:sz="0" w:space="0" w:color="auto"/>
            <w:insideH w:val="none" w:sz="0" w:space="0" w:color="auto"/>
          </w:tblBorders>
        </w:tblPrEx>
        <w:tc>
          <w:tcPr>
            <w:tcW w:w="7088" w:type="dxa"/>
            <w:gridSpan w:val="3"/>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State Trading Concerns (Authorisation) Regulations 1998</w:t>
            </w:r>
            <w:r>
              <w:rPr>
                <w:b/>
                <w:snapToGrid w:val="0"/>
              </w:rPr>
              <w:t xml:space="preserve"> as at</w:t>
            </w:r>
            <w:r>
              <w:rPr>
                <w:b/>
                <w:snapToGrid w:val="0"/>
              </w:rPr>
              <w:br/>
              <w:t>18 Oct 2019</w:t>
            </w:r>
            <w:r>
              <w:rPr>
                <w:snapToGrid w:val="0"/>
              </w:rPr>
              <w:t xml:space="preserve"> (includes amendments listed above)</w:t>
            </w:r>
          </w:p>
        </w:tc>
      </w:tr>
    </w:tbl>
    <w:p>
      <w:pPr>
        <w:pStyle w:val="nHeading3"/>
      </w:pPr>
      <w:bookmarkStart w:id="17" w:name="_Toc97129576"/>
      <w:r>
        <w:lastRenderedPageBreak/>
        <w:t>Uncommenced provisions table</w:t>
      </w:r>
      <w:bookmarkEnd w:id="1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State Trading Concerns (Authorisation) Amendment Regulations 2022 </w:t>
            </w:r>
            <w:r>
              <w:t>r. 3 and  4</w:t>
            </w:r>
          </w:p>
        </w:tc>
        <w:tc>
          <w:tcPr>
            <w:tcW w:w="1276" w:type="dxa"/>
          </w:tcPr>
          <w:p>
            <w:pPr>
              <w:pStyle w:val="nTable"/>
              <w:spacing w:after="40"/>
            </w:pPr>
            <w:r>
              <w:t>SL 2022/3</w:t>
            </w:r>
            <w:r>
              <w:br/>
              <w:t>18 Jan 2022</w:t>
            </w:r>
          </w:p>
        </w:tc>
        <w:tc>
          <w:tcPr>
            <w:tcW w:w="2693" w:type="dxa"/>
          </w:tcPr>
          <w:p>
            <w:pPr>
              <w:pStyle w:val="nTable"/>
              <w:spacing w:after="40"/>
            </w:pPr>
            <w:r>
              <w:t xml:space="preserve">Operative on commencement of </w:t>
            </w:r>
            <w:r>
              <w:rPr>
                <w:i/>
              </w:rPr>
              <w:t xml:space="preserve">Arts and Culture Trust Act 2021 </w:t>
            </w:r>
            <w:r>
              <w:t>s. 73(1) (see r. 2(b))</w:t>
            </w:r>
          </w:p>
        </w:tc>
      </w:tr>
    </w:tbl>
    <w:p>
      <w:pPr>
        <w:pStyle w:val="nNote"/>
        <w:keepLines/>
        <w:spacing w:before="160"/>
      </w:pPr>
      <w:r>
        <w:rPr>
          <w:snapToGrid w:val="0"/>
          <w:vertAlign w:val="superscript"/>
        </w:rPr>
        <w:t>1</w:t>
      </w:r>
      <w:r>
        <w:rPr>
          <w:snapToGrid w:val="0"/>
        </w:rPr>
        <w:tab/>
      </w:r>
      <w:r>
        <w:t>Footnote no longer required.</w:t>
      </w:r>
    </w:p>
    <w:p>
      <w:pPr>
        <w:pStyle w:val="nNote"/>
        <w:keepLines/>
        <w:spacing w:before="160"/>
      </w:pPr>
      <w:r>
        <w:rPr>
          <w:snapToGrid w:val="0"/>
          <w:vertAlign w:val="superscript"/>
        </w:rPr>
        <w:t>2</w:t>
      </w:r>
      <w:r>
        <w:rPr>
          <w:snapToGrid w:val="0"/>
        </w:rPr>
        <w:tab/>
      </w:r>
      <w:r>
        <w:t xml:space="preserve">Under the </w:t>
      </w:r>
      <w:r>
        <w:rPr>
          <w:i/>
        </w:rPr>
        <w:t>Alteration of Statutory Designations Order 2017</w:t>
      </w:r>
      <w:r>
        <w:t xml:space="preserve"> cl. 6, a reference in any law to the Department for Planning and Infrastructure is to be read and construed as a reference to the relevant successor unless the context of the reference requires otherwise.  In cl. 6 — </w:t>
      </w:r>
    </w:p>
    <w:p>
      <w:pPr>
        <w:pStyle w:val="nzDefstart"/>
      </w:pPr>
      <w:r>
        <w:rPr>
          <w:b/>
        </w:rPr>
        <w:tab/>
        <w:t>relevant successor</w:t>
      </w:r>
      <w:r>
        <w:t xml:space="preserve"> means — </w:t>
      </w:r>
    </w:p>
    <w:p>
      <w:pPr>
        <w:pStyle w:val="nzDefpara"/>
      </w:pPr>
      <w:r>
        <w:tab/>
        <w:t>(a)</w:t>
      </w:r>
      <w:r>
        <w:tab/>
        <w:t>the Department of Planning, Lands and Heritage if the reference to be read and construed relates to a function, office or other matter that on 1 July 2017 becomes a function of, office in or other matter relating to that department; or</w:t>
      </w:r>
    </w:p>
    <w:p>
      <w:pPr>
        <w:pStyle w:val="nzDefpara"/>
      </w:pPr>
      <w:r>
        <w:tab/>
        <w:t>(b)</w:t>
      </w:r>
      <w:r>
        <w:tab/>
        <w:t>the Department of Primary Industries and Regional Development if the reference to be read and construed relates to a function, office or other matter that on 1 July 2017 becomes a function of, office in or other matter relating to that department; or</w:t>
      </w:r>
    </w:p>
    <w:p>
      <w:pPr>
        <w:pStyle w:val="nzDefpara"/>
      </w:pPr>
      <w:r>
        <w:tab/>
        <w:t>(c)</w:t>
      </w:r>
      <w:r>
        <w:tab/>
        <w:t>the Department of Transport if the reference to be read and construed relates to a function, office or other matter that on 1 July 2009 became a function of, office in or other matter relating to that department.</w:t>
      </w:r>
    </w:p>
    <w:p>
      <w:pPr>
        <w:pStyle w:val="nNote"/>
        <w:keepLines/>
        <w:spacing w:before="120"/>
      </w:pPr>
      <w:r>
        <w:rPr>
          <w:snapToGrid w:val="0"/>
          <w:vertAlign w:val="superscript"/>
        </w:rPr>
        <w:t>3</w:t>
      </w:r>
      <w:r>
        <w:rPr>
          <w:snapToGrid w:val="0"/>
        </w:rPr>
        <w:tab/>
        <w:t xml:space="preserve">Under the </w:t>
      </w:r>
      <w:r>
        <w:rPr>
          <w:i/>
          <w:snapToGrid w:val="0"/>
        </w:rPr>
        <w:t>Public Sector Management Act 1994</w:t>
      </w:r>
      <w:r>
        <w:rPr>
          <w:snapToGrid w:val="0"/>
        </w:rPr>
        <w:t xml:space="preserve"> the </w:t>
      </w:r>
      <w:r>
        <w:t xml:space="preserve">designation of the Department of Consumer and Employment Protection was altered to the Department of Commerce (see </w:t>
      </w:r>
      <w:r>
        <w:rPr>
          <w:i/>
          <w:iCs/>
        </w:rPr>
        <w:t>Gazette</w:t>
      </w:r>
      <w:r>
        <w:t xml:space="preserve"> 2 Jan 2009 p. 8). </w:t>
      </w:r>
    </w:p>
    <w:p>
      <w:pPr>
        <w:pStyle w:val="nNote"/>
        <w:keepLines/>
        <w:spacing w:before="120"/>
      </w:pPr>
      <w:r>
        <w:tab/>
        <w:t xml:space="preserve">Under the </w:t>
      </w:r>
      <w:r>
        <w:rPr>
          <w:i/>
        </w:rPr>
        <w:t>Alteration of Statutory Designations Order 2017</w:t>
      </w:r>
      <w:r>
        <w:t xml:space="preserve"> cl. 3, a reference in any law to the Department of Commerce is to be read and construed as a reference to the relevant successor unless the context of the reference requires otherwise. In cl. 3 — </w:t>
      </w:r>
    </w:p>
    <w:p>
      <w:pPr>
        <w:pStyle w:val="nzDefstart"/>
      </w:pPr>
      <w:r>
        <w:tab/>
      </w:r>
      <w:r>
        <w:rPr>
          <w:b/>
        </w:rPr>
        <w:t>relevant</w:t>
      </w:r>
      <w:r>
        <w:rPr>
          <w:b/>
          <w:i/>
        </w:rPr>
        <w:t xml:space="preserve"> successor</w:t>
      </w:r>
      <w:r>
        <w:t xml:space="preserve"> means —</w:t>
      </w:r>
    </w:p>
    <w:p>
      <w:pPr>
        <w:pStyle w:val="nzDefpara"/>
      </w:pPr>
      <w:r>
        <w:tab/>
        <w:t>(a)</w:t>
      </w:r>
      <w:r>
        <w:tab/>
        <w:t xml:space="preserve">the Department of Jobs, Tourism, Science and Innovation if the reference to be read and construed relates to a function, office or other matter that on 1 July 2017 </w:t>
      </w:r>
      <w:r>
        <w:lastRenderedPageBreak/>
        <w:t>becomes a function of, office in or other matter relating to that department; or</w:t>
      </w:r>
    </w:p>
    <w:p>
      <w:pPr>
        <w:pStyle w:val="nzDefpara"/>
      </w:pPr>
      <w:r>
        <w:tab/>
        <w:t>(b)</w:t>
      </w:r>
      <w:r>
        <w:tab/>
        <w:t>the Department of Mines, Industry Regulation and Safety if the reference to be read and construed relates to a function, office or other matter that on 1 July 2017 becomes a function of, office in or other matter relating to that department.</w:t>
      </w:r>
    </w:p>
    <w:p>
      <w:pPr>
        <w:pStyle w:val="nNote"/>
        <w:spacing w:before="120"/>
        <w:rPr>
          <w:snapToGrid w:val="0"/>
          <w:vertAlign w:val="superscript"/>
        </w:rPr>
      </w:pPr>
      <w:r>
        <w:rPr>
          <w:snapToGrid w:val="0"/>
          <w:vertAlign w:val="superscript"/>
        </w:rPr>
        <w:t>4</w:t>
      </w:r>
      <w:r>
        <w:rPr>
          <w:snapToGrid w:val="0"/>
        </w:rPr>
        <w:tab/>
        <w:t xml:space="preserve">Under the </w:t>
      </w:r>
      <w:r>
        <w:rPr>
          <w:i/>
          <w:iCs/>
        </w:rPr>
        <w:t>Alteration of Statutory Designations Order 2017</w:t>
      </w:r>
      <w:r>
        <w:t xml:space="preserve"> cl. 4, a reference in any law to the Department of Environment and Conservation is to be read and construed as a reference to the Department of Biodiversity, Conservation and Attractions unless the context of the reference requires otherwise.</w:t>
      </w:r>
    </w:p>
    <w:p>
      <w:pPr>
        <w:pStyle w:val="nNote"/>
        <w:spacing w:before="120"/>
        <w:rPr>
          <w:snapToGrid w:val="0"/>
          <w:vertAlign w:val="superscript"/>
        </w:rPr>
      </w:pPr>
      <w:r>
        <w:rPr>
          <w:snapToGrid w:val="0"/>
          <w:vertAlign w:val="superscript"/>
        </w:rPr>
        <w:t>5</w:t>
      </w:r>
      <w:r>
        <w:rPr>
          <w:snapToGrid w:val="0"/>
        </w:rPr>
        <w:tab/>
        <w:t xml:space="preserve">Under the </w:t>
      </w:r>
      <w:r>
        <w:rPr>
          <w:i/>
          <w:iCs/>
        </w:rPr>
        <w:t>Alteration of Statutory Designations Order 2017</w:t>
      </w:r>
      <w:r>
        <w:t xml:space="preserve"> cl. 8, a reference in any law to the Department of Fisheries is to be read and construed as a reference to the Department of Primary Industries and Regional Development unless the context of the reference requires otherwise.</w:t>
      </w:r>
    </w:p>
    <w:p>
      <w:pPr>
        <w:pStyle w:val="nNote"/>
        <w:spacing w:before="120"/>
        <w:rPr>
          <w:snapToGrid w:val="0"/>
        </w:rPr>
      </w:pPr>
      <w:r>
        <w:rPr>
          <w:snapToGrid w:val="0"/>
          <w:vertAlign w:val="superscript"/>
        </w:rPr>
        <w:t>6</w:t>
      </w:r>
      <w:r>
        <w:rPr>
          <w:snapToGrid w:val="0"/>
        </w:rPr>
        <w:tab/>
        <w:t xml:space="preserve">Under the </w:t>
      </w:r>
      <w:r>
        <w:rPr>
          <w:i/>
          <w:iCs/>
        </w:rPr>
        <w:t>Alteration of Statutory Designations Order 2017</w:t>
      </w:r>
      <w:r>
        <w:t xml:space="preserve"> cl. 8, a reference in any law to the Department of Industry and Resources is to be read and construed as a reference to the Department of Mines, Industry Regulation and Safety unless the context of the reference requires otherwise.</w:t>
      </w:r>
    </w:p>
    <w:p>
      <w:pPr>
        <w:pStyle w:val="nNote"/>
        <w:spacing w:before="120"/>
      </w:pPr>
      <w:r>
        <w:rPr>
          <w:snapToGrid w:val="0"/>
          <w:vertAlign w:val="superscript"/>
        </w:rPr>
        <w:t>7</w:t>
      </w:r>
      <w:r>
        <w:rPr>
          <w:snapToGrid w:val="0"/>
        </w:rPr>
        <w:tab/>
        <w:t xml:space="preserve">Under the </w:t>
      </w:r>
      <w:r>
        <w:rPr>
          <w:i/>
          <w:iCs/>
        </w:rPr>
        <w:t>Alteration of Statutory Designations Order 2017</w:t>
      </w:r>
      <w:r>
        <w:t xml:space="preserve"> cl. 8, a reference in any law to the Department of Culture and the Arts is to be read and construed as a reference to the Department of Local Government, Sport and Cultural Industries unless the context of the reference requires otherwise.</w:t>
      </w:r>
    </w:p>
    <w:p>
      <w:pPr>
        <w:pStyle w:val="nNote"/>
        <w:spacing w:before="120"/>
      </w:pPr>
      <w:r>
        <w:rPr>
          <w:snapToGrid w:val="0"/>
          <w:vertAlign w:val="superscript"/>
        </w:rPr>
        <w:t>8</w:t>
      </w:r>
      <w:r>
        <w:rPr>
          <w:snapToGrid w:val="0"/>
        </w:rPr>
        <w:tab/>
        <w:t xml:space="preserve">Under the </w:t>
      </w:r>
      <w:r>
        <w:rPr>
          <w:i/>
          <w:iCs/>
        </w:rPr>
        <w:t>Alteration of Statutory Designations Order 2017</w:t>
      </w:r>
      <w:r>
        <w:t xml:space="preserve"> cl. 8, a reference in any law to the Department of the Attorney General is to be read and construed as a reference to the Department of Justice unless the context of the reference requires otherwise.</w:t>
      </w:r>
    </w:p>
    <w:p>
      <w:pPr>
        <w:pStyle w:val="nNote"/>
        <w:spacing w:before="120"/>
        <w:rPr>
          <w:snapToGrid w:val="0"/>
        </w:rPr>
      </w:pPr>
      <w:r>
        <w:rPr>
          <w:snapToGrid w:val="0"/>
          <w:vertAlign w:val="superscript"/>
        </w:rPr>
        <w:t>9</w:t>
      </w:r>
      <w:r>
        <w:rPr>
          <w:snapToGrid w:val="0"/>
        </w:rPr>
        <w:tab/>
        <w:t xml:space="preserve">Under the </w:t>
      </w:r>
      <w:r>
        <w:rPr>
          <w:i/>
          <w:iCs/>
        </w:rPr>
        <w:t>Alteration of Statutory Designations Order 2017</w:t>
      </w:r>
      <w:r>
        <w:t xml:space="preserve"> cl. 8, a reference in any law to the Department of the State Heritage Office is to be read and construed as a reference to the Department of Planning, Lands and Heritage unless the context of the reference requires otherwise.</w:t>
      </w:r>
    </w:p>
    <w:p>
      <w:pPr>
        <w:pStyle w:val="nNote"/>
        <w:spacing w:before="120"/>
        <w:rPr>
          <w:snapToGrid w:val="0"/>
        </w:rPr>
      </w:pPr>
      <w:r>
        <w:rPr>
          <w:snapToGrid w:val="0"/>
          <w:vertAlign w:val="superscript"/>
        </w:rPr>
        <w:t>10</w:t>
      </w:r>
      <w:r>
        <w:rPr>
          <w:snapToGrid w:val="0"/>
        </w:rPr>
        <w:tab/>
        <w:t xml:space="preserve">Under the </w:t>
      </w:r>
      <w:r>
        <w:rPr>
          <w:i/>
          <w:iCs/>
        </w:rPr>
        <w:t>Alteration of Statutory Designations Order 2017</w:t>
      </w:r>
      <w:r>
        <w:t xml:space="preserve"> cl. 8, a reference in any law to the Department of Water is to be read and construed as a reference to the Department of Water and Environmental Regulation unless the context of the reference requires otherwise.</w:t>
      </w:r>
    </w:p>
    <w:p>
      <w:pPr>
        <w:pStyle w:val="nNote"/>
        <w:spacing w:before="120"/>
      </w:pPr>
      <w:r>
        <w:rPr>
          <w:snapToGrid w:val="0"/>
          <w:vertAlign w:val="superscript"/>
        </w:rPr>
        <w:t>11</w:t>
      </w:r>
      <w:r>
        <w:rPr>
          <w:snapToGrid w:val="0"/>
        </w:rPr>
        <w:tab/>
        <w:t xml:space="preserve">The Western Australian Government Railways Commission no longer exists. Its </w:t>
      </w:r>
      <w:r>
        <w:t>successor</w:t>
      </w:r>
      <w:r>
        <w:rPr>
          <w:snapToGrid w:val="0"/>
        </w:rPr>
        <w:t xml:space="preserve"> is the Public Transport Authority of Western Australia. See the </w:t>
      </w:r>
      <w:r>
        <w:rPr>
          <w:i/>
          <w:snapToGrid w:val="0"/>
        </w:rPr>
        <w:t>Public Transport Authority Act 2003</w:t>
      </w:r>
      <w:r>
        <w:rPr>
          <w:snapToGrid w:val="0"/>
        </w:rPr>
        <w:t xml:space="preserve"> s. 80.</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9" w:name="_Toc97129577"/>
      <w:r>
        <w:rPr>
          <w:sz w:val="28"/>
        </w:rPr>
        <w:lastRenderedPageBreak/>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2160120"/>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 w:name="WAFER_20190703094905" w:val="RemoveTocBookmarks,RemoveUnusedBookmarks,RemoveLanguageTags,ResetPageSize,RunningHeaders,UpdateStyles,UsedStyles"/>
    <w:docVar w:name="WAFER_20190703094905_GUID" w:val="a6175173-9603-47a7-998c-d0fcc11d1e41"/>
    <w:docVar w:name="WAFER_20190703094914" w:val="RemoveTocBookmarks,RemoveUnusedBookmarks,RemoveLanguageTags,ResetPageSize,RunningHeaders,UpdateStyles,UsedStyles"/>
    <w:docVar w:name="WAFER_20190703094914_GUID" w:val="e4ca5821-f5a7-4399-a9cf-8f07a0bad4ba"/>
    <w:docVar w:name="WAFER_20190726164014" w:val="RemoveTocBookmarks,RemoveUnusedBookmarks,RemoveLanguageTags,ResetPageSize,RunningHeaders,UpdateStyles,UsedStyles"/>
    <w:docVar w:name="WAFER_20190726164014_GUID" w:val="103e11a7-374d-481d-9ead-84c89946a2d6"/>
    <w:docVar w:name="WAFER_20220111125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25259_GUID" w:val="82866694-cc5a-49c5-bed5-b19a1c08446e"/>
    <w:docVar w:name="WAFER_20220302160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60120_GUID" w:val="3bc19324-76ea-4e3b-969e-0d9ff5a96a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672D20D5-F935-4FFC-8AD0-98D1AF82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B38C4-9D4E-416E-AD7A-3041B5DF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4977</Words>
  <Characters>26084</Characters>
  <Application>Microsoft Office Word</Application>
  <DocSecurity>0</DocSecurity>
  <Lines>869</Lines>
  <Paragraphs>500</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30561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1998 - 06-b0-01</dc:title>
  <dc:subject/>
  <dc:creator/>
  <cp:keywords/>
  <dc:description/>
  <cp:lastModifiedBy>Master Repository Process</cp:lastModifiedBy>
  <cp:revision>4</cp:revision>
  <cp:lastPrinted>2019-10-23T02:51:00Z</cp:lastPrinted>
  <dcterms:created xsi:type="dcterms:W3CDTF">2022-03-02T08:20:00Z</dcterms:created>
  <dcterms:modified xsi:type="dcterms:W3CDTF">2022-03-02T08:20:00Z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edAsAt">
    <vt:filetime>2019-10-17T16:00:00Z</vt:filetime>
  </property>
  <property fmtid="{D5CDD505-2E9C-101B-9397-08002B2CF9AE}" pid="6" name="ReprintNo">
    <vt:lpwstr>6</vt:lpwstr>
  </property>
  <property fmtid="{D5CDD505-2E9C-101B-9397-08002B2CF9AE}" pid="7" name="AsAtDate">
    <vt:lpwstr>18 Jan 2022</vt:lpwstr>
  </property>
  <property fmtid="{D5CDD505-2E9C-101B-9397-08002B2CF9AE}" pid="8" name="Suffix">
    <vt:lpwstr>06-b0-01</vt:lpwstr>
  </property>
  <property fmtid="{D5CDD505-2E9C-101B-9397-08002B2CF9AE}" pid="9" name="CommencementDate">
    <vt:lpwstr>20220118</vt:lpwstr>
  </property>
</Properties>
</file>