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_Toc93666997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_Toc93666998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security bond amount</w:t>
      </w:r>
      <w:r>
        <w:tab/>
      </w:r>
      <w:r>
        <w:fldChar w:fldCharType="begin"/>
      </w:r>
      <w:r>
        <w:instrText xml:space="preserve"> PAGEREF _Toc93666999 \h </w:instrText>
      </w:r>
      <w:r>
        <w:fldChar w:fldCharType="separate"/>
      </w:r>
      <w:r>
        <w:t>1</w:t>
      </w:r>
      <w:r>
        <w:fldChar w:fldCharType="end"/>
      </w:r>
    </w:p>
    <w:p>
      <w:pPr>
        <w:pStyle w:val="TOC8"/>
        <w:rPr>
          <w:rFonts w:asciiTheme="minorHAnsi" w:eastAsiaTheme="minorEastAsia" w:hAnsiTheme="minorHAnsi" w:cstheme="minorBidi"/>
          <w:szCs w:val="22"/>
        </w:rPr>
      </w:pPr>
      <w:r>
        <w:t>4.</w:t>
      </w:r>
      <w:r>
        <w:tab/>
        <w:t>Subdivided residential parks not required to have park liaison committee (Act s. 9A)</w:t>
      </w:r>
      <w:r>
        <w:tab/>
      </w:r>
      <w:r>
        <w:fldChar w:fldCharType="begin"/>
      </w:r>
      <w:r>
        <w:instrText xml:space="preserve"> PAGEREF _Toc93667000 \h </w:instrText>
      </w:r>
      <w:r>
        <w:fldChar w:fldCharType="separate"/>
      </w:r>
      <w:r>
        <w:t>1</w:t>
      </w:r>
      <w:r>
        <w:fldChar w:fldCharType="end"/>
      </w:r>
    </w:p>
    <w:p>
      <w:pPr>
        <w:pStyle w:val="TOC8"/>
        <w:rPr>
          <w:rFonts w:asciiTheme="minorHAnsi" w:eastAsiaTheme="minorEastAsia" w:hAnsiTheme="minorHAnsi" w:cstheme="minorBidi"/>
          <w:szCs w:val="22"/>
        </w:rPr>
      </w:pPr>
      <w:r>
        <w:t>5.</w:t>
      </w:r>
      <w:r>
        <w:tab/>
        <w:t>Standard</w:t>
      </w:r>
      <w:r>
        <w:noBreakHyphen/>
        <w:t>form agreements (Act s. 10A)</w:t>
      </w:r>
      <w:r>
        <w:tab/>
      </w:r>
      <w:r>
        <w:fldChar w:fldCharType="begin"/>
      </w:r>
      <w:r>
        <w:instrText xml:space="preserve"> PAGEREF _Toc93667001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about fees to be provided (Act s. 11(1))</w:t>
      </w:r>
      <w:r>
        <w:tab/>
      </w:r>
      <w:r>
        <w:fldChar w:fldCharType="begin"/>
      </w:r>
      <w:r>
        <w:instrText xml:space="preserve"> PAGEREF _Toc93667002 \h </w:instrText>
      </w:r>
      <w:r>
        <w:fldChar w:fldCharType="separate"/>
      </w:r>
      <w:r>
        <w:t>2</w:t>
      </w:r>
      <w:r>
        <w:fldChar w:fldCharType="end"/>
      </w:r>
    </w:p>
    <w:p>
      <w:pPr>
        <w:pStyle w:val="TOC8"/>
        <w:rPr>
          <w:rFonts w:asciiTheme="minorHAnsi" w:eastAsiaTheme="minorEastAsia" w:hAnsiTheme="minorHAnsi" w:cstheme="minorBidi"/>
          <w:szCs w:val="22"/>
        </w:rPr>
      </w:pPr>
      <w:r>
        <w:t>7.</w:t>
      </w:r>
      <w:r>
        <w:tab/>
        <w:t>Property condition reports (Act s. 11(1) and 95(2)(a))</w:t>
      </w:r>
      <w:r>
        <w:tab/>
      </w:r>
      <w:r>
        <w:fldChar w:fldCharType="begin"/>
      </w:r>
      <w:r>
        <w:instrText xml:space="preserve"> PAGEREF _Toc93667003 \h </w:instrText>
      </w:r>
      <w:r>
        <w:fldChar w:fldCharType="separate"/>
      </w:r>
      <w:r>
        <w:t>2</w:t>
      </w:r>
      <w:r>
        <w:fldChar w:fldCharType="end"/>
      </w:r>
    </w:p>
    <w:p>
      <w:pPr>
        <w:pStyle w:val="TOC8"/>
        <w:rPr>
          <w:rFonts w:asciiTheme="minorHAnsi" w:eastAsiaTheme="minorEastAsia" w:hAnsiTheme="minorHAnsi" w:cstheme="minorBidi"/>
          <w:szCs w:val="22"/>
        </w:rPr>
      </w:pPr>
      <w:r>
        <w:t>8.</w:t>
      </w:r>
      <w:r>
        <w:tab/>
        <w:t>Types of fees that may be charged (Act s. 12(1)(e)(i))</w:t>
      </w:r>
      <w:r>
        <w:tab/>
      </w:r>
      <w:r>
        <w:fldChar w:fldCharType="begin"/>
      </w:r>
      <w:r>
        <w:instrText xml:space="preserve"> PAGEREF _Toc93667004 \h </w:instrText>
      </w:r>
      <w:r>
        <w:fldChar w:fldCharType="separate"/>
      </w:r>
      <w:r>
        <w:t>3</w:t>
      </w:r>
      <w:r>
        <w:fldChar w:fldCharType="end"/>
      </w:r>
    </w:p>
    <w:p>
      <w:pPr>
        <w:pStyle w:val="TOC8"/>
        <w:rPr>
          <w:rFonts w:asciiTheme="minorHAnsi" w:eastAsiaTheme="minorEastAsia" w:hAnsiTheme="minorHAnsi" w:cstheme="minorBidi"/>
          <w:szCs w:val="22"/>
        </w:rPr>
      </w:pPr>
      <w:r>
        <w:t>9.</w:t>
      </w:r>
      <w:r>
        <w:tab/>
        <w:t>Manner of giving document about voluntary sharing arrangement (Act s. 13A(2)(b))</w:t>
      </w:r>
      <w:r>
        <w:tab/>
      </w:r>
      <w:r>
        <w:fldChar w:fldCharType="begin"/>
      </w:r>
      <w:r>
        <w:instrText xml:space="preserve"> PAGEREF _Toc93667005 \h </w:instrText>
      </w:r>
      <w:r>
        <w:fldChar w:fldCharType="separate"/>
      </w:r>
      <w:r>
        <w:t>5</w:t>
      </w:r>
      <w:r>
        <w:fldChar w:fldCharType="end"/>
      </w:r>
    </w:p>
    <w:p>
      <w:pPr>
        <w:pStyle w:val="TOC8"/>
        <w:rPr>
          <w:rFonts w:asciiTheme="minorHAnsi" w:eastAsiaTheme="minorEastAsia" w:hAnsiTheme="minorHAnsi" w:cstheme="minorBidi"/>
          <w:szCs w:val="22"/>
        </w:rPr>
      </w:pPr>
      <w:r>
        <w:t>10.</w:t>
      </w:r>
      <w:r>
        <w:tab/>
        <w:t>Additional security bond amount in relation to pets (Act s. 21(2)(b))</w:t>
      </w:r>
      <w:r>
        <w:tab/>
      </w:r>
      <w:r>
        <w:fldChar w:fldCharType="begin"/>
      </w:r>
      <w:r>
        <w:instrText xml:space="preserve"> PAGEREF _Toc93667006 \h </w:instrText>
      </w:r>
      <w:r>
        <w:fldChar w:fldCharType="separate"/>
      </w:r>
      <w:r>
        <w:t>5</w:t>
      </w:r>
      <w:r>
        <w:fldChar w:fldCharType="end"/>
      </w:r>
    </w:p>
    <w:p>
      <w:pPr>
        <w:pStyle w:val="TOC8"/>
        <w:rPr>
          <w:rFonts w:asciiTheme="minorHAnsi" w:eastAsiaTheme="minorEastAsia" w:hAnsiTheme="minorHAnsi" w:cstheme="minorBidi"/>
          <w:szCs w:val="22"/>
        </w:rPr>
      </w:pPr>
      <w:r>
        <w:t>11.</w:t>
      </w:r>
      <w:r>
        <w:tab/>
        <w:t>Urgent repairs (Act s. 32M)</w:t>
      </w:r>
      <w:r>
        <w:tab/>
      </w:r>
      <w:r>
        <w:fldChar w:fldCharType="begin"/>
      </w:r>
      <w:r>
        <w:instrText xml:space="preserve"> PAGEREF _Toc93667007 \h </w:instrText>
      </w:r>
      <w:r>
        <w:fldChar w:fldCharType="separate"/>
      </w:r>
      <w:r>
        <w:t>5</w:t>
      </w:r>
      <w:r>
        <w:fldChar w:fldCharType="end"/>
      </w:r>
    </w:p>
    <w:p>
      <w:pPr>
        <w:pStyle w:val="TOC8"/>
        <w:rPr>
          <w:rFonts w:asciiTheme="minorHAnsi" w:eastAsiaTheme="minorEastAsia" w:hAnsiTheme="minorHAnsi" w:cstheme="minorBidi"/>
          <w:szCs w:val="22"/>
        </w:rPr>
      </w:pPr>
      <w:r>
        <w:t>11A.</w:t>
      </w:r>
      <w:r>
        <w:tab/>
        <w:t>Giving notice before end of fixed term (Act s. 32R(3))</w:t>
      </w:r>
      <w:r>
        <w:tab/>
      </w:r>
      <w:r>
        <w:fldChar w:fldCharType="begin"/>
      </w:r>
      <w:r>
        <w:instrText xml:space="preserve"> PAGEREF _Toc93667008 \h </w:instrText>
      </w:r>
      <w:r>
        <w:fldChar w:fldCharType="separate"/>
      </w:r>
      <w:r>
        <w:t>6</w:t>
      </w:r>
      <w:r>
        <w:fldChar w:fldCharType="end"/>
      </w:r>
    </w:p>
    <w:p>
      <w:pPr>
        <w:pStyle w:val="TOC8"/>
        <w:rPr>
          <w:rFonts w:asciiTheme="minorHAnsi" w:eastAsiaTheme="minorEastAsia" w:hAnsiTheme="minorHAnsi" w:cstheme="minorBidi"/>
          <w:szCs w:val="22"/>
        </w:rPr>
      </w:pPr>
      <w:r>
        <w:t>12.</w:t>
      </w:r>
      <w:r>
        <w:tab/>
        <w:t>Default notice (Act s. 37(c))</w:t>
      </w:r>
      <w:r>
        <w:tab/>
      </w:r>
      <w:r>
        <w:fldChar w:fldCharType="begin"/>
      </w:r>
      <w:r>
        <w:instrText xml:space="preserve"> PAGEREF _Toc93667009 \h </w:instrText>
      </w:r>
      <w:r>
        <w:fldChar w:fldCharType="separate"/>
      </w:r>
      <w:r>
        <w:t>6</w:t>
      </w:r>
      <w:r>
        <w:fldChar w:fldCharType="end"/>
      </w:r>
    </w:p>
    <w:p>
      <w:pPr>
        <w:pStyle w:val="TOC8"/>
        <w:rPr>
          <w:rFonts w:asciiTheme="minorHAnsi" w:eastAsiaTheme="minorEastAsia" w:hAnsiTheme="minorHAnsi" w:cstheme="minorBidi"/>
          <w:szCs w:val="22"/>
        </w:rPr>
      </w:pPr>
      <w:r>
        <w:t>13.</w:t>
      </w:r>
      <w:r>
        <w:tab/>
        <w:t>Notice of termination (Act s. 38(2))</w:t>
      </w:r>
      <w:r>
        <w:tab/>
      </w:r>
      <w:r>
        <w:fldChar w:fldCharType="begin"/>
      </w:r>
      <w:r>
        <w:instrText xml:space="preserve"> PAGEREF _Toc93667010 \h </w:instrText>
      </w:r>
      <w:r>
        <w:fldChar w:fldCharType="separate"/>
      </w:r>
      <w:r>
        <w:t>7</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_Toc93667011 \h </w:instrText>
      </w:r>
      <w:r>
        <w:fldChar w:fldCharType="separate"/>
      </w:r>
      <w:r>
        <w:t>7</w:t>
      </w:r>
      <w:r>
        <w:fldChar w:fldCharType="end"/>
      </w:r>
    </w:p>
    <w:p>
      <w:pPr>
        <w:pStyle w:val="TOC8"/>
        <w:rPr>
          <w:rFonts w:asciiTheme="minorHAnsi" w:eastAsiaTheme="minorEastAsia" w:hAnsiTheme="minorHAnsi" w:cstheme="minorBidi"/>
          <w:szCs w:val="22"/>
        </w:rPr>
      </w:pPr>
      <w:r>
        <w:t>13B.</w:t>
      </w:r>
      <w:r>
        <w:tab/>
        <w:t>Prescribed goods (Act s. 47A(b))</w:t>
      </w:r>
      <w:r>
        <w:tab/>
      </w:r>
      <w:r>
        <w:fldChar w:fldCharType="begin"/>
      </w:r>
      <w:r>
        <w:instrText xml:space="preserve"> PAGEREF _Toc93667012 \h </w:instrText>
      </w:r>
      <w:r>
        <w:fldChar w:fldCharType="separate"/>
      </w:r>
      <w:r>
        <w:t>7</w:t>
      </w:r>
      <w:r>
        <w:fldChar w:fldCharType="end"/>
      </w:r>
    </w:p>
    <w:p>
      <w:pPr>
        <w:pStyle w:val="TOC8"/>
        <w:rPr>
          <w:rFonts w:asciiTheme="minorHAnsi" w:eastAsiaTheme="minorEastAsia" w:hAnsiTheme="minorHAnsi" w:cstheme="minorBidi"/>
          <w:szCs w:val="22"/>
        </w:rPr>
      </w:pPr>
      <w:r>
        <w:t>14.</w:t>
      </w:r>
      <w:r>
        <w:tab/>
        <w:t>Notice to former tenant about abandoned goods (Act s. 48(4)(b)(i))</w:t>
      </w:r>
      <w:r>
        <w:tab/>
      </w:r>
      <w:r>
        <w:fldChar w:fldCharType="begin"/>
      </w:r>
      <w:r>
        <w:instrText xml:space="preserve"> PAGEREF _Toc93667013 \h </w:instrText>
      </w:r>
      <w:r>
        <w:fldChar w:fldCharType="separate"/>
      </w:r>
      <w:r>
        <w:t>7</w:t>
      </w:r>
      <w:r>
        <w:fldChar w:fldCharType="end"/>
      </w:r>
    </w:p>
    <w:p>
      <w:pPr>
        <w:pStyle w:val="TOC8"/>
        <w:rPr>
          <w:rFonts w:asciiTheme="minorHAnsi" w:eastAsiaTheme="minorEastAsia" w:hAnsiTheme="minorHAnsi" w:cstheme="minorBidi"/>
          <w:szCs w:val="22"/>
        </w:rPr>
      </w:pPr>
      <w:r>
        <w:t>14A.</w:t>
      </w:r>
      <w:r>
        <w:tab/>
        <w:t>Matters that must be included in park rules (Act s. 54B(1)(a))</w:t>
      </w:r>
      <w:r>
        <w:tab/>
      </w:r>
      <w:r>
        <w:fldChar w:fldCharType="begin"/>
      </w:r>
      <w:r>
        <w:instrText xml:space="preserve"> PAGEREF _Toc93667014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14B.</w:t>
      </w:r>
      <w:r>
        <w:tab/>
        <w:t>Making or altering park rules (Act s. 54C(2))</w:t>
      </w:r>
      <w:r>
        <w:tab/>
      </w:r>
      <w:r>
        <w:fldChar w:fldCharType="begin"/>
      </w:r>
      <w:r>
        <w:instrText xml:space="preserve"> PAGEREF _Toc93667015 \h </w:instrText>
      </w:r>
      <w:r>
        <w:fldChar w:fldCharType="separate"/>
      </w:r>
      <w:r>
        <w:t>9</w:t>
      </w:r>
      <w:r>
        <w:fldChar w:fldCharType="end"/>
      </w:r>
    </w:p>
    <w:p>
      <w:pPr>
        <w:pStyle w:val="TOC8"/>
        <w:rPr>
          <w:rFonts w:asciiTheme="minorHAnsi" w:eastAsiaTheme="minorEastAsia" w:hAnsiTheme="minorHAnsi" w:cstheme="minorBidi"/>
          <w:szCs w:val="22"/>
        </w:rPr>
      </w:pPr>
      <w:r>
        <w:t>14C.</w:t>
      </w:r>
      <w:r>
        <w:tab/>
        <w:t>Selling agency agreement requirements (Act s. 57(1)(b))</w:t>
      </w:r>
      <w:r>
        <w:tab/>
      </w:r>
      <w:r>
        <w:fldChar w:fldCharType="begin"/>
      </w:r>
      <w:r>
        <w:instrText xml:space="preserve"> PAGEREF _Toc93667016 \h </w:instrText>
      </w:r>
      <w:r>
        <w:fldChar w:fldCharType="separate"/>
      </w:r>
      <w:r>
        <w:t>10</w:t>
      </w:r>
      <w:r>
        <w:fldChar w:fldCharType="end"/>
      </w:r>
    </w:p>
    <w:p>
      <w:pPr>
        <w:pStyle w:val="TOC8"/>
        <w:rPr>
          <w:rFonts w:asciiTheme="minorHAnsi" w:eastAsiaTheme="minorEastAsia" w:hAnsiTheme="minorHAnsi" w:cstheme="minorBidi"/>
          <w:szCs w:val="22"/>
        </w:rPr>
      </w:pPr>
      <w:r>
        <w:t>14D.</w:t>
      </w:r>
      <w:r>
        <w:tab/>
        <w:t>Voting to form park liaison committee (Act s. 59(1A))</w:t>
      </w:r>
      <w:r>
        <w:tab/>
      </w:r>
      <w:r>
        <w:fldChar w:fldCharType="begin"/>
      </w:r>
      <w:r>
        <w:instrText xml:space="preserve"> PAGEREF _Toc93667017 \h </w:instrText>
      </w:r>
      <w:r>
        <w:fldChar w:fldCharType="separate"/>
      </w:r>
      <w:r>
        <w:t>10</w:t>
      </w:r>
      <w:r>
        <w:fldChar w:fldCharType="end"/>
      </w:r>
    </w:p>
    <w:p>
      <w:pPr>
        <w:pStyle w:val="TOC8"/>
        <w:rPr>
          <w:rFonts w:asciiTheme="minorHAnsi" w:eastAsiaTheme="minorEastAsia" w:hAnsiTheme="minorHAnsi" w:cstheme="minorBidi"/>
          <w:szCs w:val="22"/>
        </w:rPr>
      </w:pPr>
      <w:r>
        <w:t>14E.</w:t>
      </w:r>
      <w:r>
        <w:tab/>
        <w:t>Members of park liaison committee (Act s. 60(3))</w:t>
      </w:r>
      <w:r>
        <w:tab/>
      </w:r>
      <w:r>
        <w:fldChar w:fldCharType="begin"/>
      </w:r>
      <w:r>
        <w:instrText xml:space="preserve"> PAGEREF _Toc93667018 \h </w:instrText>
      </w:r>
      <w:r>
        <w:fldChar w:fldCharType="separate"/>
      </w:r>
      <w:r>
        <w:t>12</w:t>
      </w:r>
      <w:r>
        <w:fldChar w:fldCharType="end"/>
      </w:r>
    </w:p>
    <w:p>
      <w:pPr>
        <w:pStyle w:val="TOC8"/>
        <w:rPr>
          <w:rFonts w:asciiTheme="minorHAnsi" w:eastAsiaTheme="minorEastAsia" w:hAnsiTheme="minorHAnsi" w:cstheme="minorBidi"/>
          <w:szCs w:val="22"/>
        </w:rPr>
      </w:pPr>
      <w:r>
        <w:t>15.</w:t>
      </w:r>
      <w:r>
        <w:tab/>
        <w:t>Park liaison committee’s prescribed functions (Act s. 61(2)(a)(iv))</w:t>
      </w:r>
      <w:r>
        <w:tab/>
      </w:r>
      <w:r>
        <w:fldChar w:fldCharType="begin"/>
      </w:r>
      <w:r>
        <w:instrText xml:space="preserve"> PAGEREF _Toc93667019 \h </w:instrText>
      </w:r>
      <w:r>
        <w:fldChar w:fldCharType="separate"/>
      </w:r>
      <w:r>
        <w:t>14</w:t>
      </w:r>
      <w:r>
        <w:fldChar w:fldCharType="end"/>
      </w:r>
    </w:p>
    <w:p>
      <w:pPr>
        <w:pStyle w:val="TOC8"/>
        <w:rPr>
          <w:rFonts w:asciiTheme="minorHAnsi" w:eastAsiaTheme="minorEastAsia" w:hAnsiTheme="minorHAnsi" w:cstheme="minorBidi"/>
          <w:szCs w:val="22"/>
        </w:rPr>
      </w:pPr>
      <w:r>
        <w:t>16.</w:t>
      </w:r>
      <w:r>
        <w:tab/>
        <w:t>Prescribed matters relating to compensation determination (Act s. 65(2)(e))</w:t>
      </w:r>
      <w:r>
        <w:tab/>
      </w:r>
      <w:r>
        <w:fldChar w:fldCharType="begin"/>
      </w:r>
      <w:r>
        <w:instrText xml:space="preserve"> PAGEREF _Toc93667020 \h </w:instrText>
      </w:r>
      <w:r>
        <w:fldChar w:fldCharType="separate"/>
      </w:r>
      <w:r>
        <w:t>14</w:t>
      </w:r>
      <w:r>
        <w:fldChar w:fldCharType="end"/>
      </w:r>
    </w:p>
    <w:p>
      <w:pPr>
        <w:pStyle w:val="TOC8"/>
        <w:rPr>
          <w:rFonts w:asciiTheme="minorHAnsi" w:eastAsiaTheme="minorEastAsia" w:hAnsiTheme="minorHAnsi" w:cstheme="minorBidi"/>
          <w:szCs w:val="22"/>
        </w:rPr>
      </w:pPr>
      <w:r>
        <w:t>16A.</w:t>
      </w:r>
      <w:r>
        <w:tab/>
        <w:t>Service by electronic means (Act s. 91(1)(c))</w:t>
      </w:r>
      <w:r>
        <w:tab/>
      </w:r>
      <w:r>
        <w:fldChar w:fldCharType="begin"/>
      </w:r>
      <w:r>
        <w:instrText xml:space="preserve"> PAGEREF _Toc93667021 \h </w:instrText>
      </w:r>
      <w:r>
        <w:fldChar w:fldCharType="separate"/>
      </w:r>
      <w:r>
        <w:t>14</w:t>
      </w:r>
      <w:r>
        <w:fldChar w:fldCharType="end"/>
      </w:r>
    </w:p>
    <w:p>
      <w:pPr>
        <w:pStyle w:val="TOC8"/>
        <w:rPr>
          <w:rFonts w:asciiTheme="minorHAnsi" w:eastAsiaTheme="minorEastAsia" w:hAnsiTheme="minorHAnsi" w:cstheme="minorBidi"/>
          <w:szCs w:val="22"/>
        </w:rPr>
      </w:pPr>
      <w:r>
        <w:t>17.</w:t>
      </w:r>
      <w:r>
        <w:tab/>
        <w:t>Interest on security bond amount paid into ADI account (Act s. 102)</w:t>
      </w:r>
      <w:r>
        <w:tab/>
      </w:r>
      <w:r>
        <w:fldChar w:fldCharType="begin"/>
      </w:r>
      <w:r>
        <w:instrText xml:space="preserve"> PAGEREF _Toc93667022 \h </w:instrText>
      </w:r>
      <w:r>
        <w:fldChar w:fldCharType="separate"/>
      </w:r>
      <w:r>
        <w:t>15</w:t>
      </w:r>
      <w:r>
        <w:fldChar w:fldCharType="end"/>
      </w:r>
    </w:p>
    <w:p>
      <w:pPr>
        <w:pStyle w:val="TOC8"/>
        <w:rPr>
          <w:rFonts w:asciiTheme="minorHAnsi" w:eastAsiaTheme="minorEastAsia" w:hAnsiTheme="minorHAnsi" w:cstheme="minorBidi"/>
          <w:szCs w:val="22"/>
        </w:rPr>
      </w:pPr>
      <w:r>
        <w:t>18.</w:t>
      </w:r>
      <w:r>
        <w:tab/>
        <w:t>Disposal of security bond amounts: general (Act s. 94(c))</w:t>
      </w:r>
      <w:r>
        <w:tab/>
      </w:r>
      <w:r>
        <w:fldChar w:fldCharType="begin"/>
      </w:r>
      <w:r>
        <w:instrText xml:space="preserve"> PAGEREF _Toc93667023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t>Disposal of unclaimed security bond amounts (Act s. 94(c))</w:t>
      </w:r>
      <w:r>
        <w:tab/>
      </w:r>
      <w:r>
        <w:fldChar w:fldCharType="begin"/>
      </w:r>
      <w:r>
        <w:instrText xml:space="preserve"> PAGEREF _Toc93667024 \h </w:instrText>
      </w:r>
      <w:r>
        <w:fldChar w:fldCharType="separate"/>
      </w:r>
      <w:r>
        <w:t>16</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_Toc93667025 \h </w:instrText>
      </w:r>
      <w:r>
        <w:fldChar w:fldCharType="separate"/>
      </w:r>
      <w:r>
        <w:t>17</w:t>
      </w:r>
      <w:r>
        <w:fldChar w:fldCharType="end"/>
      </w:r>
    </w:p>
    <w:p>
      <w:pPr>
        <w:pStyle w:val="TOC8"/>
        <w:rPr>
          <w:rFonts w:asciiTheme="minorHAnsi" w:eastAsiaTheme="minorEastAsia" w:hAnsiTheme="minorHAnsi" w:cstheme="minorBidi"/>
          <w:szCs w:val="22"/>
        </w:rPr>
      </w:pPr>
      <w:r>
        <w:t>23.</w:t>
      </w:r>
      <w:r>
        <w:tab/>
        <w:t>Prescribed offences and modified penalties</w:t>
      </w:r>
      <w:r>
        <w:tab/>
      </w:r>
      <w:r>
        <w:fldChar w:fldCharType="begin"/>
      </w:r>
      <w:r>
        <w:instrText xml:space="preserve"> PAGEREF _Toc93667026 \h </w:instrText>
      </w:r>
      <w:r>
        <w:fldChar w:fldCharType="separate"/>
      </w:r>
      <w:r>
        <w:t>18</w:t>
      </w:r>
      <w:r>
        <w:fldChar w:fldCharType="end"/>
      </w:r>
    </w:p>
    <w:p>
      <w:pPr>
        <w:pStyle w:val="TOC8"/>
        <w:rPr>
          <w:rFonts w:asciiTheme="minorHAnsi" w:eastAsiaTheme="minorEastAsia" w:hAnsiTheme="minorHAnsi" w:cstheme="minorBidi"/>
          <w:szCs w:val="22"/>
        </w:rPr>
      </w:pPr>
      <w:r>
        <w:t>24.</w:t>
      </w:r>
      <w:r>
        <w:tab/>
        <w:t>Authorised officers and approved officers</w:t>
      </w:r>
      <w:r>
        <w:tab/>
      </w:r>
      <w:r>
        <w:fldChar w:fldCharType="begin"/>
      </w:r>
      <w:r>
        <w:instrText xml:space="preserve"> PAGEREF _Toc93667027 \h </w:instrText>
      </w:r>
      <w:r>
        <w:fldChar w:fldCharType="separate"/>
      </w:r>
      <w:r>
        <w:t>18</w:t>
      </w:r>
      <w:r>
        <w:fldChar w:fldCharType="end"/>
      </w:r>
    </w:p>
    <w:p>
      <w:pPr>
        <w:pStyle w:val="TOC8"/>
        <w:rPr>
          <w:rFonts w:asciiTheme="minorHAnsi" w:eastAsiaTheme="minorEastAsia" w:hAnsiTheme="minorHAnsi" w:cstheme="minorBidi"/>
          <w:szCs w:val="22"/>
        </w:rPr>
      </w:pPr>
      <w:r>
        <w:t>25.</w:t>
      </w:r>
      <w:r>
        <w:tab/>
        <w:t>Forms</w:t>
      </w:r>
      <w:r>
        <w:tab/>
      </w:r>
      <w:r>
        <w:fldChar w:fldCharType="begin"/>
      </w:r>
      <w:r>
        <w:instrText xml:space="preserve"> PAGEREF _Toc93667028 \h </w:instrText>
      </w:r>
      <w:r>
        <w:fldChar w:fldCharType="separate"/>
      </w:r>
      <w:r>
        <w:t>18</w:t>
      </w:r>
      <w:r>
        <w:fldChar w:fldCharType="end"/>
      </w:r>
    </w:p>
    <w:p>
      <w:pPr>
        <w:pStyle w:val="TOC8"/>
        <w:rPr>
          <w:rFonts w:asciiTheme="minorHAnsi" w:eastAsiaTheme="minorEastAsia" w:hAnsiTheme="minorHAnsi" w:cstheme="minorBidi"/>
          <w:szCs w:val="22"/>
        </w:rPr>
      </w:pPr>
      <w:r>
        <w:t>26.</w:t>
      </w:r>
      <w:r>
        <w:tab/>
        <w:t>Transitional provision for giving notices before end of fixed term (Act s. 32R(3))</w:t>
      </w:r>
      <w:r>
        <w:tab/>
      </w:r>
      <w:r>
        <w:fldChar w:fldCharType="begin"/>
      </w:r>
      <w:r>
        <w:instrText xml:space="preserve"> PAGEREF _Toc93667029 \h </w:instrText>
      </w:r>
      <w:r>
        <w:fldChar w:fldCharType="separate"/>
      </w:r>
      <w:r>
        <w:t>18</w:t>
      </w:r>
      <w:r>
        <w:fldChar w:fldCharType="end"/>
      </w:r>
    </w:p>
    <w:p>
      <w:pPr>
        <w:pStyle w:val="TOC8"/>
        <w:rPr>
          <w:rFonts w:asciiTheme="minorHAnsi" w:eastAsiaTheme="minorEastAsia" w:hAnsiTheme="minorHAnsi" w:cstheme="minorBidi"/>
          <w:szCs w:val="22"/>
        </w:rPr>
      </w:pPr>
      <w:r>
        <w:t>27.</w:t>
      </w:r>
      <w:r>
        <w:tab/>
        <w:t>Transitional provision for security bond amounts held by authorised deposit</w:t>
      </w:r>
      <w:r>
        <w:noBreakHyphen/>
        <w:t>taking institutions (Act s. 102(1)(e))</w:t>
      </w:r>
      <w:r>
        <w:tab/>
      </w:r>
      <w:r>
        <w:fldChar w:fldCharType="begin"/>
      </w:r>
      <w:r>
        <w:instrText xml:space="preserve"> PAGEREF _Toc93667030 \h </w:instrText>
      </w:r>
      <w:r>
        <w:fldChar w:fldCharType="separate"/>
      </w:r>
      <w:r>
        <w:t>19</w:t>
      </w:r>
      <w:r>
        <w:fldChar w:fldCharType="end"/>
      </w:r>
    </w:p>
    <w:p>
      <w:pPr>
        <w:pStyle w:val="TOC8"/>
        <w:rPr>
          <w:rFonts w:asciiTheme="minorHAnsi" w:eastAsiaTheme="minorEastAsia" w:hAnsiTheme="minorHAnsi" w:cstheme="minorBidi"/>
          <w:szCs w:val="22"/>
        </w:rPr>
      </w:pPr>
      <w:r>
        <w:t>28.</w:t>
      </w:r>
      <w:r>
        <w:tab/>
        <w:t>Transitional provision for existing park rules (Act s. 116)</w:t>
      </w:r>
      <w:r>
        <w:tab/>
      </w:r>
      <w:r>
        <w:fldChar w:fldCharType="begin"/>
      </w:r>
      <w:r>
        <w:instrText xml:space="preserve"> PAGEREF _Toc93667031 \h </w:instrText>
      </w:r>
      <w:r>
        <w:fldChar w:fldCharType="separate"/>
      </w:r>
      <w:r>
        <w:t>20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Standard</w:t>
      </w:r>
      <w:r>
        <w:noBreakHyphen/>
        <w:t>form site</w:t>
      </w:r>
      <w:r>
        <w:noBreakHyphen/>
        <w:t>only agreement</w:t>
      </w:r>
    </w:p>
    <w:p>
      <w:pPr>
        <w:pStyle w:val="TOC2"/>
        <w:keepNext w:val="0"/>
        <w:tabs>
          <w:tab w:val="right" w:leader="dot" w:pos="7077"/>
        </w:tabs>
        <w:rPr>
          <w:rFonts w:asciiTheme="minorHAnsi" w:eastAsiaTheme="minorEastAsia" w:hAnsiTheme="minorHAnsi" w:cstheme="minorBidi"/>
          <w:b w:val="0"/>
          <w:sz w:val="22"/>
          <w:szCs w:val="22"/>
        </w:rPr>
      </w:pPr>
      <w:r>
        <w:t>Schedule 2 — Standard</w:t>
      </w:r>
      <w:r>
        <w:noBreakHyphen/>
        <w:t>form on</w:t>
      </w:r>
      <w:r>
        <w:noBreakHyphen/>
        <w:t>site home agreement</w:t>
      </w:r>
    </w:p>
    <w:p>
      <w:pPr>
        <w:pStyle w:val="TOC2"/>
        <w:tabs>
          <w:tab w:val="right" w:leader="dot" w:pos="7077"/>
        </w:tabs>
        <w:rPr>
          <w:rFonts w:asciiTheme="minorHAnsi" w:eastAsiaTheme="minorEastAsia" w:hAnsiTheme="minorHAnsi" w:cstheme="minorBidi"/>
          <w:b w:val="0"/>
          <w:sz w:val="22"/>
          <w:szCs w:val="22"/>
        </w:rPr>
      </w:pPr>
      <w:r>
        <w:lastRenderedPageBreak/>
        <w:t>Schedule 5 — Property condition report</w:t>
      </w:r>
    </w:p>
    <w:p>
      <w:pPr>
        <w:pStyle w:val="TOC8"/>
        <w:keepNext/>
        <w:rPr>
          <w:rFonts w:asciiTheme="minorHAnsi" w:eastAsiaTheme="minorEastAsia" w:hAnsiTheme="minorHAnsi" w:cstheme="minorBidi"/>
          <w:szCs w:val="22"/>
        </w:rPr>
      </w:pPr>
      <w:r>
        <w:t>1.</w:t>
      </w:r>
      <w:r>
        <w:tab/>
        <w:t>On</w:t>
      </w:r>
      <w:r>
        <w:noBreakHyphen/>
        <w:t>site home</w:t>
      </w:r>
      <w:r>
        <w:tab/>
      </w:r>
      <w:r>
        <w:fldChar w:fldCharType="begin"/>
      </w:r>
      <w:r>
        <w:instrText xml:space="preserve"> PAGEREF _Toc93667035 \h </w:instrText>
      </w:r>
      <w:r>
        <w:fldChar w:fldCharType="separate"/>
      </w:r>
      <w:r>
        <w:t>82</w:t>
      </w:r>
      <w:r>
        <w:fldChar w:fldCharType="end"/>
      </w:r>
    </w:p>
    <w:p>
      <w:pPr>
        <w:pStyle w:val="TOC8"/>
        <w:keepNext/>
        <w:rPr>
          <w:rFonts w:asciiTheme="minorHAnsi" w:eastAsiaTheme="minorEastAsia" w:hAnsiTheme="minorHAnsi" w:cstheme="minorBidi"/>
          <w:szCs w:val="22"/>
        </w:rPr>
      </w:pPr>
      <w:r>
        <w:t>2.</w:t>
      </w:r>
      <w:r>
        <w:tab/>
        <w:t>Site</w:t>
      </w:r>
      <w:r>
        <w:tab/>
      </w:r>
      <w:r>
        <w:fldChar w:fldCharType="begin"/>
      </w:r>
      <w:r>
        <w:instrText xml:space="preserve"> PAGEREF _Toc93667036 \h </w:instrText>
      </w:r>
      <w:r>
        <w:fldChar w:fldCharType="separate"/>
      </w:r>
      <w:r>
        <w:t>93</w:t>
      </w:r>
      <w:r>
        <w:fldChar w:fldCharType="end"/>
      </w:r>
    </w:p>
    <w:p>
      <w:pPr>
        <w:pStyle w:val="TOC8"/>
        <w:keepNext/>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_Toc93667037 \h </w:instrText>
      </w:r>
      <w:r>
        <w:fldChar w:fldCharType="separate"/>
      </w:r>
      <w:r>
        <w:t>94</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_Toc93667038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Default notice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Default notice for other breach of long-stay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2"/>
        <w:tabs>
          <w:tab w:val="right" w:leader="dot" w:pos="7077"/>
        </w:tabs>
        <w:rPr>
          <w:rFonts w:asciiTheme="minorHAnsi" w:eastAsiaTheme="minorEastAsia" w:hAnsiTheme="minorHAnsi" w:cstheme="minorBidi"/>
          <w:b w:val="0"/>
          <w:sz w:val="22"/>
          <w:szCs w:val="22"/>
        </w:rPr>
      </w:pPr>
      <w:r>
        <w:t>Schedule 11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12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_Toc93667048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3" w:name="_Toc93666997"/>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5" w:name="_Toc93666998"/>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93666999"/>
      <w:r>
        <w:rPr>
          <w:rStyle w:val="CharSectno"/>
        </w:rPr>
        <w:t>3</w:t>
      </w:r>
      <w:r>
        <w:rPr>
          <w:szCs w:val="24"/>
        </w:rPr>
        <w:t>.</w:t>
      </w:r>
      <w:r>
        <w:rPr>
          <w:szCs w:val="24"/>
        </w:rPr>
        <w:tab/>
        <w:t>Term used: security bond amount</w:t>
      </w:r>
      <w:bookmarkEnd w:id="6"/>
    </w:p>
    <w:p>
      <w:pPr>
        <w:pStyle w:val="Subsection"/>
      </w:pPr>
      <w:r>
        <w:rPr>
          <w:szCs w:val="24"/>
        </w:rPr>
        <w:tab/>
      </w:r>
      <w:r>
        <w:rPr>
          <w:szCs w:val="24"/>
        </w:rPr>
        <w:tab/>
        <w:t xml:space="preserve">In these regulations — </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w:t>
      </w:r>
    </w:p>
    <w:p>
      <w:pPr>
        <w:pStyle w:val="Heading5"/>
      </w:pPr>
      <w:bookmarkStart w:id="7" w:name="_Toc93667000"/>
      <w:r>
        <w:rPr>
          <w:rStyle w:val="CharSectno"/>
        </w:rPr>
        <w:t>4</w:t>
      </w:r>
      <w:r>
        <w:rPr>
          <w:szCs w:val="24"/>
        </w:rPr>
        <w:t>.</w:t>
      </w:r>
      <w:r>
        <w:rPr>
          <w:szCs w:val="24"/>
        </w:rPr>
        <w:tab/>
        <w:t>Subdivided residential parks not required to have park liaison committee (Act s. 9A)</w:t>
      </w:r>
      <w:bookmarkEnd w:id="7"/>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tab/>
        <w:t>[Regulation 4 inserted: SL 2021/205 r. 4.]</w:t>
      </w:r>
    </w:p>
    <w:p>
      <w:pPr>
        <w:pStyle w:val="Heading5"/>
      </w:pPr>
      <w:bookmarkStart w:id="8" w:name="_Toc93667001"/>
      <w:r>
        <w:rPr>
          <w:rStyle w:val="CharSectno"/>
        </w:rPr>
        <w:lastRenderedPageBreak/>
        <w:t>5</w:t>
      </w:r>
      <w:r>
        <w:rPr>
          <w:szCs w:val="24"/>
        </w:rPr>
        <w:t>.</w:t>
      </w:r>
      <w:r>
        <w:rPr>
          <w:szCs w:val="24"/>
        </w:rPr>
        <w:tab/>
        <w:t>Standard</w:t>
      </w:r>
      <w:r>
        <w:rPr>
          <w:szCs w:val="24"/>
        </w:rPr>
        <w:noBreakHyphen/>
        <w:t>form agreements (Act s. 10A)</w:t>
      </w:r>
      <w:bookmarkEnd w:id="8"/>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9" w:name="_Toc93667002"/>
      <w:r>
        <w:rPr>
          <w:rStyle w:val="CharSectno"/>
        </w:rPr>
        <w:t>6</w:t>
      </w:r>
      <w:r>
        <w:rPr>
          <w:szCs w:val="24"/>
        </w:rPr>
        <w:t>.</w:t>
      </w:r>
      <w:r>
        <w:rPr>
          <w:szCs w:val="24"/>
        </w:rPr>
        <w:tab/>
        <w:t>Information about fees to be provided (Act s. 11(1))</w:t>
      </w:r>
      <w:bookmarkEnd w:id="9"/>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10" w:name="_Toc93667003"/>
      <w:r>
        <w:rPr>
          <w:rStyle w:val="CharSectno"/>
        </w:rPr>
        <w:t>7</w:t>
      </w:r>
      <w:r>
        <w:rPr>
          <w:szCs w:val="24"/>
        </w:rPr>
        <w:t>.</w:t>
      </w:r>
      <w:r>
        <w:rPr>
          <w:szCs w:val="24"/>
        </w:rPr>
        <w:tab/>
        <w:t>Property condition reports (Act s. 11(1) and 95(2)(a))</w:t>
      </w:r>
      <w:bookmarkEnd w:id="10"/>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1" w:name="_Toc93667004"/>
      <w:r>
        <w:rPr>
          <w:rStyle w:val="CharSectno"/>
        </w:rPr>
        <w:t>8</w:t>
      </w:r>
      <w:r>
        <w:rPr>
          <w:szCs w:val="24"/>
        </w:rPr>
        <w:t>.</w:t>
      </w:r>
      <w:r>
        <w:rPr>
          <w:szCs w:val="24"/>
        </w:rPr>
        <w:tab/>
        <w:t>Types of fees that may be charged (Act s. 12(1)(e)(i))</w:t>
      </w:r>
      <w:bookmarkEnd w:id="11"/>
    </w:p>
    <w:p>
      <w:pPr>
        <w:pStyle w:val="Subsection"/>
        <w:keepNext/>
      </w:pPr>
      <w:r>
        <w:rPr>
          <w:szCs w:val="24"/>
        </w:rPr>
        <w:tab/>
        <w:t>(1)</w:t>
      </w:r>
      <w:r>
        <w:rPr>
          <w:szCs w:val="24"/>
        </w:rPr>
        <w:tab/>
        <w:t xml:space="preserve">For the purposes of section 12(1)(e)(i) of the Act, a park operator may charge a tenant the following types of fees for </w:t>
      </w:r>
      <w:r>
        <w:rPr>
          <w:szCs w:val="24"/>
        </w:rPr>
        <w:lastRenderedPageBreak/>
        <w:t>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if the tenant has a separate electricity meter — fees for electricity consumed by the tenant;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Footnotesection"/>
      </w:pPr>
      <w:r>
        <w:tab/>
        <w:t>[Regulation 8 inserted: SL 2021/205 r. 4.]</w:t>
      </w:r>
    </w:p>
    <w:p>
      <w:pPr>
        <w:pStyle w:val="Heading5"/>
      </w:pPr>
      <w:bookmarkStart w:id="12" w:name="_Toc93667005"/>
      <w:r>
        <w:rPr>
          <w:rStyle w:val="CharSectno"/>
        </w:rPr>
        <w:lastRenderedPageBreak/>
        <w:t>9</w:t>
      </w:r>
      <w:r>
        <w:rPr>
          <w:szCs w:val="24"/>
        </w:rPr>
        <w:t>.</w:t>
      </w:r>
      <w:r>
        <w:rPr>
          <w:szCs w:val="24"/>
        </w:rPr>
        <w:tab/>
        <w:t>Manner of giving document about voluntary sharing arrangement (Act s. 13A(2)(b))</w:t>
      </w:r>
      <w:bookmarkEnd w:id="12"/>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13" w:name="_Toc93667006"/>
      <w:r>
        <w:rPr>
          <w:rStyle w:val="CharSectno"/>
        </w:rPr>
        <w:t>10</w:t>
      </w:r>
      <w:r>
        <w:rPr>
          <w:szCs w:val="24"/>
        </w:rPr>
        <w:t>.</w:t>
      </w:r>
      <w:r>
        <w:rPr>
          <w:szCs w:val="24"/>
        </w:rPr>
        <w:tab/>
        <w:t>Additional security bond amount in relation to pets (Act s. 21(2)(b))</w:t>
      </w:r>
      <w:bookmarkEnd w:id="13"/>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14" w:name="_Toc93667007"/>
      <w:r>
        <w:rPr>
          <w:rStyle w:val="CharSectno"/>
        </w:rPr>
        <w:t>11</w:t>
      </w:r>
      <w:r>
        <w:rPr>
          <w:szCs w:val="24"/>
        </w:rPr>
        <w:t>.</w:t>
      </w:r>
      <w:r>
        <w:rPr>
          <w:szCs w:val="24"/>
        </w:rPr>
        <w:tab/>
        <w:t>Urgent repairs (Act s. 32M)</w:t>
      </w:r>
      <w:bookmarkEnd w:id="14"/>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15" w:name="_Toc93667008"/>
      <w:r>
        <w:rPr>
          <w:rStyle w:val="CharSectno"/>
        </w:rPr>
        <w:lastRenderedPageBreak/>
        <w:t>11A</w:t>
      </w:r>
      <w:r>
        <w:rPr>
          <w:szCs w:val="24"/>
        </w:rPr>
        <w:t>.</w:t>
      </w:r>
      <w:r>
        <w:rPr>
          <w:szCs w:val="24"/>
        </w:rPr>
        <w:tab/>
        <w:t>Giving notice before end of fixed term (Act s. 32R(3))</w:t>
      </w:r>
      <w:bookmarkEnd w:id="15"/>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16" w:name="_Toc93667009"/>
      <w:r>
        <w:rPr>
          <w:rStyle w:val="CharSectno"/>
        </w:rPr>
        <w:t>12</w:t>
      </w:r>
      <w:r>
        <w:t>.</w:t>
      </w:r>
      <w:r>
        <w:tab/>
        <w:t>Default notice (Act s. 37(c))</w:t>
      </w:r>
      <w:bookmarkEnd w:id="16"/>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17" w:name="_Toc93667010"/>
      <w:r>
        <w:rPr>
          <w:rStyle w:val="CharSectno"/>
        </w:rPr>
        <w:lastRenderedPageBreak/>
        <w:t>13</w:t>
      </w:r>
      <w:r>
        <w:rPr>
          <w:szCs w:val="24"/>
        </w:rPr>
        <w:t>.</w:t>
      </w:r>
      <w:r>
        <w:rPr>
          <w:szCs w:val="24"/>
        </w:rPr>
        <w:tab/>
        <w:t>Notice of termination (Act s. 38(2))</w:t>
      </w:r>
      <w:bookmarkEnd w:id="17"/>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18" w:name="_Toc93667011"/>
      <w:r>
        <w:rPr>
          <w:rStyle w:val="CharSectno"/>
        </w:rPr>
        <w:t>13A</w:t>
      </w:r>
      <w:r>
        <w:t>.</w:t>
      </w:r>
      <w:r>
        <w:tab/>
        <w:t>Prescribed person for s. 45A(2)(d)(vi) of Act</w:t>
      </w:r>
      <w:bookmarkEnd w:id="18"/>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9" w:name="_Toc93667012"/>
      <w:r>
        <w:rPr>
          <w:rStyle w:val="CharSectno"/>
        </w:rPr>
        <w:t>13B</w:t>
      </w:r>
      <w:r>
        <w:rPr>
          <w:szCs w:val="24"/>
        </w:rPr>
        <w:t>.</w:t>
      </w:r>
      <w:r>
        <w:rPr>
          <w:szCs w:val="24"/>
        </w:rPr>
        <w:tab/>
        <w:t>Prescribed goods (Act s. 47A(b))</w:t>
      </w:r>
      <w:bookmarkEnd w:id="19"/>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20" w:name="_Toc93667013"/>
      <w:r>
        <w:rPr>
          <w:rStyle w:val="CharSectno"/>
        </w:rPr>
        <w:t>14</w:t>
      </w:r>
      <w:r>
        <w:rPr>
          <w:szCs w:val="24"/>
        </w:rPr>
        <w:t>.</w:t>
      </w:r>
      <w:r>
        <w:rPr>
          <w:szCs w:val="24"/>
        </w:rPr>
        <w:tab/>
        <w:t>Notice to former tenant about abandoned goods (Act s. 48(4)(b)(i))</w:t>
      </w:r>
      <w:bookmarkEnd w:id="20"/>
    </w:p>
    <w:p>
      <w:pPr>
        <w:pStyle w:val="Subsection"/>
        <w:keepNext/>
      </w:pPr>
      <w:r>
        <w:rPr>
          <w:szCs w:val="24"/>
        </w:rPr>
        <w:tab/>
      </w:r>
      <w:r>
        <w:rPr>
          <w:szCs w:val="24"/>
        </w:rPr>
        <w:tab/>
        <w:t xml:space="preserve">For the purposes of section 48(4)(b)(i) of the Act, a notice or a summary of a notice to a former tenant about abandoned goods </w:t>
      </w:r>
      <w:r>
        <w:rPr>
          <w:szCs w:val="24"/>
        </w:rPr>
        <w:lastRenderedPageBreak/>
        <w:t>stored by a park operator must be published in a newspaper circulating generally in the State.</w:t>
      </w:r>
    </w:p>
    <w:p>
      <w:pPr>
        <w:pStyle w:val="Footnotesection"/>
      </w:pPr>
      <w:r>
        <w:tab/>
        <w:t>[Regulation 14 inserted: SL 2021/205 r. 7.]</w:t>
      </w:r>
    </w:p>
    <w:p>
      <w:pPr>
        <w:pStyle w:val="Heading5"/>
      </w:pPr>
      <w:bookmarkStart w:id="21" w:name="_Toc93667014"/>
      <w:r>
        <w:rPr>
          <w:rStyle w:val="CharSectno"/>
        </w:rPr>
        <w:t>14A</w:t>
      </w:r>
      <w:r>
        <w:rPr>
          <w:szCs w:val="24"/>
        </w:rPr>
        <w:t>.</w:t>
      </w:r>
      <w:r>
        <w:rPr>
          <w:szCs w:val="24"/>
        </w:rPr>
        <w:tab/>
        <w:t>Matters that must be included in park rules (Act s. 54B(1)(a))</w:t>
      </w:r>
      <w:bookmarkEnd w:id="21"/>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22" w:name="_Toc93667015"/>
      <w:r>
        <w:rPr>
          <w:rStyle w:val="CharSectno"/>
        </w:rPr>
        <w:lastRenderedPageBreak/>
        <w:t>14B</w:t>
      </w:r>
      <w:r>
        <w:rPr>
          <w:szCs w:val="24"/>
        </w:rPr>
        <w:t>.</w:t>
      </w:r>
      <w:r>
        <w:rPr>
          <w:szCs w:val="24"/>
        </w:rPr>
        <w:tab/>
        <w:t>Making or altering park rules (Act s. 54C(2))</w:t>
      </w:r>
      <w:bookmarkEnd w:id="22"/>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23" w:name="_Toc93667016"/>
      <w:r>
        <w:rPr>
          <w:rStyle w:val="CharSectno"/>
        </w:rPr>
        <w:lastRenderedPageBreak/>
        <w:t>14C</w:t>
      </w:r>
      <w:r>
        <w:rPr>
          <w:szCs w:val="24"/>
        </w:rPr>
        <w:t>.</w:t>
      </w:r>
      <w:r>
        <w:rPr>
          <w:szCs w:val="24"/>
        </w:rPr>
        <w:tab/>
        <w:t>Selling agency agreement requirements (Act s. 57(1)(b))</w:t>
      </w:r>
      <w:bookmarkEnd w:id="23"/>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24" w:name="_Toc93667017"/>
      <w:r>
        <w:rPr>
          <w:rStyle w:val="CharSectno"/>
        </w:rPr>
        <w:t>14D</w:t>
      </w:r>
      <w:r>
        <w:rPr>
          <w:szCs w:val="24"/>
        </w:rPr>
        <w:t>.</w:t>
      </w:r>
      <w:r>
        <w:rPr>
          <w:szCs w:val="24"/>
        </w:rPr>
        <w:tab/>
        <w:t>Voting to form park liaison committee (Act s. 59(1A))</w:t>
      </w:r>
      <w:bookmarkEnd w:id="24"/>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lastRenderedPageBreak/>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25" w:name="_Toc93667018"/>
      <w:r>
        <w:rPr>
          <w:rStyle w:val="CharSectno"/>
        </w:rPr>
        <w:lastRenderedPageBreak/>
        <w:t>14E</w:t>
      </w:r>
      <w:r>
        <w:rPr>
          <w:szCs w:val="24"/>
        </w:rPr>
        <w:t>.</w:t>
      </w:r>
      <w:r>
        <w:rPr>
          <w:szCs w:val="24"/>
        </w:rPr>
        <w:tab/>
        <w:t>Members of park liaison committee (Act s. 60(3))</w:t>
      </w:r>
      <w:bookmarkEnd w:id="25"/>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lastRenderedPageBreak/>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26" w:name="_Toc93667019"/>
      <w:r>
        <w:rPr>
          <w:rStyle w:val="CharSectno"/>
        </w:rPr>
        <w:lastRenderedPageBreak/>
        <w:t>15</w:t>
      </w:r>
      <w:r>
        <w:t>.</w:t>
      </w:r>
      <w:r>
        <w:tab/>
        <w:t>Park liaison committee’s prescribed functions (Act s. 61(2)(a)(iv))</w:t>
      </w:r>
      <w:bookmarkEnd w:id="26"/>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7" w:name="_Toc93667020"/>
      <w:r>
        <w:rPr>
          <w:rStyle w:val="CharSectno"/>
        </w:rPr>
        <w:t>16</w:t>
      </w:r>
      <w:r>
        <w:t>.</w:t>
      </w:r>
      <w:r>
        <w:tab/>
        <w:t>Prescribed matters relating to compensation determination (Act s. 65(2)(e))</w:t>
      </w:r>
      <w:bookmarkEnd w:id="27"/>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28" w:name="_Toc93667021"/>
      <w:r>
        <w:rPr>
          <w:szCs w:val="24"/>
        </w:rPr>
        <w:t>16A.</w:t>
      </w:r>
      <w:r>
        <w:rPr>
          <w:szCs w:val="24"/>
        </w:rPr>
        <w:tab/>
        <w:t>Service by electronic means (Act s. 91(1)(c))</w:t>
      </w:r>
      <w:bookmarkEnd w:id="28"/>
    </w:p>
    <w:p>
      <w:pPr>
        <w:pStyle w:val="Subsection"/>
        <w:keepNext/>
      </w:pPr>
      <w:r>
        <w:rPr>
          <w:szCs w:val="24"/>
        </w:rPr>
        <w:tab/>
      </w:r>
      <w:r>
        <w:rPr>
          <w:szCs w:val="24"/>
        </w:rPr>
        <w:tab/>
        <w:t>For the purposes of section 91(1)(c) of the Act, a document may be sent by email to the email address provided by the person.</w:t>
      </w:r>
    </w:p>
    <w:p>
      <w:pPr>
        <w:pStyle w:val="Footnotesection"/>
      </w:pPr>
      <w:r>
        <w:tab/>
        <w:t>[Regulation 16A inserted: SL 2021/205 r. 9.]</w:t>
      </w:r>
    </w:p>
    <w:p>
      <w:pPr>
        <w:pStyle w:val="Heading5"/>
      </w:pPr>
      <w:bookmarkStart w:id="29" w:name="_Toc93667022"/>
      <w:r>
        <w:rPr>
          <w:rStyle w:val="CharSectno"/>
        </w:rPr>
        <w:lastRenderedPageBreak/>
        <w:t>17</w:t>
      </w:r>
      <w:r>
        <w:t>.</w:t>
      </w:r>
      <w:r>
        <w:tab/>
        <w:t>Interest on security bond amount paid into ADI account (Act s. 102)</w:t>
      </w:r>
      <w:bookmarkEnd w:id="29"/>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 xml:space="preserve">section 102(1)(a)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 xml:space="preserve">section 102(1)(b) </w:t>
      </w:r>
      <w:r>
        <w:rPr>
          <w:snapToGrid w:val="0"/>
        </w:rPr>
        <w:t>of the Act,</w:t>
      </w:r>
      <w:r>
        <w:t xml:space="preserve"> an amount equal to the amount of interest accrued at the prescribed rate </w:t>
      </w:r>
      <w:r>
        <w:rPr>
          <w:snapToGrid w:val="0"/>
        </w:rPr>
        <w:t xml:space="preserve">must be paid to the Rental Accommodation </w:t>
      </w:r>
      <w:r>
        <w:rPr>
          <w:szCs w:val="24"/>
        </w:rPr>
        <w:t>Account</w:t>
      </w:r>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 xml:space="preserve">section 102(1)(c)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pPr>
      <w:r>
        <w:tab/>
        <w:t>[Regulation 17 amended: SL 2021/205 r. 10.]</w:t>
      </w:r>
    </w:p>
    <w:p>
      <w:pPr>
        <w:pStyle w:val="Heading5"/>
      </w:pPr>
      <w:bookmarkStart w:id="30" w:name="_Toc93667023"/>
      <w:r>
        <w:rPr>
          <w:rStyle w:val="CharSectno"/>
        </w:rPr>
        <w:t>18</w:t>
      </w:r>
      <w:r>
        <w:t>.</w:t>
      </w:r>
      <w:r>
        <w:tab/>
        <w:t>Disposal of security bond amounts: general (Act s. 94(c))</w:t>
      </w:r>
      <w:bookmarkEnd w:id="30"/>
    </w:p>
    <w:p>
      <w:pPr>
        <w:pStyle w:val="Subsection"/>
      </w:pPr>
      <w:r>
        <w:tab/>
        <w:t>(1)</w:t>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r>
        <w:rPr>
          <w:szCs w:val="24"/>
        </w:rPr>
        <w:t>bond administrator</w:t>
      </w:r>
      <w:r>
        <w:rPr>
          <w:snapToGrid w:val="0"/>
        </w:rPr>
        <w:t xml:space="preserve"> signed by both parties to the </w:t>
      </w:r>
      <w:r>
        <w:rPr>
          <w:szCs w:val="24"/>
        </w:rPr>
        <w:t>long</w:t>
      </w:r>
      <w:r>
        <w:rPr>
          <w:szCs w:val="24"/>
        </w:rPr>
        <w:noBreakHyphen/>
        <w:t>stay</w:t>
      </w:r>
      <w:r>
        <w:rPr>
          <w:snapToGrid w:val="0"/>
        </w:rPr>
        <w:t xml:space="preserve"> agreement to which the amount relates; or</w:t>
      </w:r>
    </w:p>
    <w:p>
      <w:pPr>
        <w:pStyle w:val="Indenta"/>
        <w:keepNext/>
        <w:rPr>
          <w:snapToGrid w:val="0"/>
        </w:rPr>
      </w:pPr>
      <w:r>
        <w:rPr>
          <w:snapToGrid w:val="0"/>
        </w:rPr>
        <w:lastRenderedPageBreak/>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r>
        <w:rPr>
          <w:szCs w:val="24"/>
        </w:rPr>
        <w:t>administrator</w:t>
      </w:r>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pPr>
      <w:r>
        <w:tab/>
        <w:t>[Regulation 18 amended: SL 2021/205 r. 11.]</w:t>
      </w:r>
    </w:p>
    <w:p>
      <w:pPr>
        <w:pStyle w:val="Heading5"/>
        <w:rPr>
          <w:snapToGrid w:val="0"/>
        </w:rPr>
      </w:pPr>
      <w:bookmarkStart w:id="31" w:name="_Toc93667024"/>
      <w:r>
        <w:rPr>
          <w:rStyle w:val="CharSectno"/>
        </w:rPr>
        <w:t>19</w:t>
      </w:r>
      <w:r>
        <w:rPr>
          <w:snapToGrid w:val="0"/>
        </w:rPr>
        <w:t>.</w:t>
      </w:r>
      <w:r>
        <w:rPr>
          <w:snapToGrid w:val="0"/>
        </w:rPr>
        <w:tab/>
      </w:r>
      <w:r>
        <w:t>Disposal of unclaimed security bond amounts (Act s. 94(c))</w:t>
      </w:r>
      <w:bookmarkEnd w:id="31"/>
    </w:p>
    <w:p>
      <w:pPr>
        <w:pStyle w:val="Subsection"/>
        <w:keepNext/>
        <w:spacing w:before="120"/>
        <w:rPr>
          <w:snapToGrid w:val="0"/>
        </w:rPr>
      </w:pPr>
      <w:r>
        <w:rPr>
          <w:snapToGrid w:val="0"/>
        </w:rPr>
        <w:tab/>
        <w:t>(1)</w:t>
      </w:r>
      <w:r>
        <w:rPr>
          <w:snapToGrid w:val="0"/>
        </w:rPr>
        <w:tab/>
        <w:t>In this regulation — </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w:t>
      </w:r>
    </w:p>
    <w:p>
      <w:pPr>
        <w:pStyle w:val="Subsection"/>
        <w:keepNext/>
        <w:rPr>
          <w:snapToGrid w:val="0"/>
        </w:rPr>
      </w:pPr>
      <w:r>
        <w:rPr>
          <w:snapToGrid w:val="0"/>
        </w:rPr>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w:t>
      </w:r>
      <w:r>
        <w:rPr>
          <w:snapToGrid w:val="0"/>
        </w:rPr>
        <w:lastRenderedPageBreak/>
        <w:t>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 18(2) and (3)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p>
    <w:p>
      <w:pPr>
        <w:pStyle w:val="Ednotesection"/>
      </w:pPr>
      <w:r>
        <w:t>[</w:t>
      </w:r>
      <w:r>
        <w:rPr>
          <w:b/>
        </w:rPr>
        <w:t>20, 21.</w:t>
      </w:r>
      <w:r>
        <w:tab/>
        <w:t>Deleted: SL 2021/205 r. 13.]</w:t>
      </w:r>
    </w:p>
    <w:p>
      <w:pPr>
        <w:pStyle w:val="Heading5"/>
      </w:pPr>
      <w:bookmarkStart w:id="32" w:name="_Toc93667025"/>
      <w:r>
        <w:rPr>
          <w:rStyle w:val="CharSectno"/>
        </w:rPr>
        <w:t>22</w:t>
      </w:r>
      <w:r>
        <w:t>.</w:t>
      </w:r>
      <w:r>
        <w:tab/>
        <w:t>Prescribed alterations for Sch. 1 cl. 14(4) of Act</w:t>
      </w:r>
      <w:bookmarkEnd w:id="32"/>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33" w:name="_Toc93667026"/>
      <w:r>
        <w:rPr>
          <w:rStyle w:val="CharSectno"/>
        </w:rPr>
        <w:lastRenderedPageBreak/>
        <w:t>23</w:t>
      </w:r>
      <w:r>
        <w:rPr>
          <w:szCs w:val="24"/>
        </w:rPr>
        <w:t>.</w:t>
      </w:r>
      <w:r>
        <w:rPr>
          <w:szCs w:val="24"/>
        </w:rPr>
        <w:tab/>
        <w:t>Prescribed offences and modified penalties</w:t>
      </w:r>
      <w:bookmarkEnd w:id="33"/>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34" w:name="_Toc93667027"/>
      <w:r>
        <w:rPr>
          <w:rStyle w:val="CharSectno"/>
        </w:rPr>
        <w:t>24</w:t>
      </w:r>
      <w:r>
        <w:rPr>
          <w:szCs w:val="24"/>
        </w:rPr>
        <w:t>.</w:t>
      </w:r>
      <w:r>
        <w:rPr>
          <w:szCs w:val="24"/>
        </w:rPr>
        <w:tab/>
        <w:t>Authorised officers and approved officers</w:t>
      </w:r>
      <w:bookmarkEnd w:id="34"/>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35" w:name="_Toc93667028"/>
      <w:r>
        <w:rPr>
          <w:rStyle w:val="CharSectno"/>
        </w:rPr>
        <w:t>25</w:t>
      </w:r>
      <w:r>
        <w:rPr>
          <w:szCs w:val="24"/>
        </w:rPr>
        <w:t>.</w:t>
      </w:r>
      <w:r>
        <w:rPr>
          <w:szCs w:val="24"/>
        </w:rPr>
        <w:tab/>
        <w:t>Forms</w:t>
      </w:r>
      <w:bookmarkEnd w:id="35"/>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36" w:name="_Toc93667029"/>
      <w:r>
        <w:rPr>
          <w:rStyle w:val="CharSectno"/>
        </w:rPr>
        <w:t>26</w:t>
      </w:r>
      <w:r>
        <w:rPr>
          <w:szCs w:val="24"/>
        </w:rPr>
        <w:t>.</w:t>
      </w:r>
      <w:r>
        <w:rPr>
          <w:szCs w:val="24"/>
        </w:rPr>
        <w:tab/>
        <w:t>Transitional provision for giving notices before end of fixed term (Act s. 32R(3))</w:t>
      </w:r>
      <w:bookmarkEnd w:id="36"/>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lastRenderedPageBreak/>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pPr>
      <w:bookmarkStart w:id="37" w:name="_Toc93667030"/>
      <w:r>
        <w:rPr>
          <w:rStyle w:val="CharSectno"/>
        </w:rPr>
        <w:t>27</w:t>
      </w:r>
      <w:r>
        <w:rPr>
          <w:szCs w:val="24"/>
        </w:rPr>
        <w:t>.</w:t>
      </w:r>
      <w:r>
        <w:rPr>
          <w:szCs w:val="24"/>
        </w:rPr>
        <w:tab/>
        <w:t>Transitional provision for security bond amounts held by authorised deposit</w:t>
      </w:r>
      <w:r>
        <w:rPr>
          <w:szCs w:val="24"/>
        </w:rPr>
        <w:noBreakHyphen/>
        <w:t>taking institutions (Act s. 102(1)(e))</w:t>
      </w:r>
      <w:bookmarkEnd w:id="37"/>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p>
    <w:p>
      <w:pPr>
        <w:pStyle w:val="Subsection"/>
      </w:pPr>
      <w:r>
        <w:rPr>
          <w:szCs w:val="24"/>
        </w:rPr>
        <w:tab/>
        <w:t>(2)</w:t>
      </w:r>
      <w:r>
        <w:rPr>
          <w:szCs w:val="24"/>
        </w:rPr>
        <w:tab/>
        <w:t>For the purposes of section 102(1)(e) of the Act, a security bond amount held in an ADI account under section 101(1) of the Act must be paid out in accordance with regulations 18 and 19(2) to (6).</w:t>
      </w:r>
    </w:p>
    <w:p>
      <w:pPr>
        <w:pStyle w:val="Subsection"/>
        <w:keepNext/>
      </w:pPr>
      <w:r>
        <w:tab/>
        <w:t>(3)</w:t>
      </w:r>
      <w:r>
        <w:tab/>
        <w:t>For the purposes of subregulation (2), regulations 18 and 19(2) to (4) apply as if a reference to the bond administrator were a reference to the authorised deposit</w:t>
      </w:r>
      <w:r>
        <w:noBreakHyphen/>
        <w:t>taking institution.</w:t>
      </w:r>
    </w:p>
    <w:p>
      <w:pPr>
        <w:pStyle w:val="Footnotesection"/>
      </w:pPr>
      <w:r>
        <w:tab/>
        <w:t>[Regulation 27 inserted: SL 2021/205 r. 14.]</w:t>
      </w:r>
    </w:p>
    <w:p>
      <w:pPr>
        <w:pStyle w:val="Heading5"/>
      </w:pPr>
      <w:bookmarkStart w:id="38" w:name="_Toc93667031"/>
      <w:r>
        <w:rPr>
          <w:rStyle w:val="CharSectno"/>
        </w:rPr>
        <w:lastRenderedPageBreak/>
        <w:t>28</w:t>
      </w:r>
      <w:r>
        <w:rPr>
          <w:szCs w:val="24"/>
        </w:rPr>
        <w:t>.</w:t>
      </w:r>
      <w:r>
        <w:rPr>
          <w:szCs w:val="24"/>
        </w:rPr>
        <w:tab/>
        <w:t>Transitional provision for existing park rules (Act s. 116)</w:t>
      </w:r>
      <w:bookmarkEnd w:id="38"/>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 w:name="_Toc93667032"/>
      <w:bookmarkStart w:id="40" w:name="_Toc93660012"/>
      <w:r>
        <w:rPr>
          <w:rStyle w:val="CharSchNo"/>
        </w:rPr>
        <w:lastRenderedPageBreak/>
        <w:t>Schedule 1</w:t>
      </w:r>
      <w:r>
        <w:t> — </w:t>
      </w:r>
      <w:r>
        <w:rPr>
          <w:rStyle w:val="CharSchText"/>
        </w:rPr>
        <w:t>Standard</w:t>
      </w:r>
      <w:r>
        <w:rPr>
          <w:rStyle w:val="CharSchText"/>
        </w:rPr>
        <w:noBreakHyphen/>
        <w:t>form site</w:t>
      </w:r>
      <w:r>
        <w:rPr>
          <w:rStyle w:val="CharSchText"/>
        </w:rPr>
        <w:noBreakHyphen/>
        <w:t>only agreement</w:t>
      </w:r>
      <w:bookmarkEnd w:id="39"/>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lastRenderedPageBreak/>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lastRenderedPageBreak/>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lastRenderedPageBreak/>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lastRenderedPageBreak/>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lastRenderedPageBreak/>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lastRenderedPageBreak/>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lastRenderedPageBreak/>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lastRenderedPageBreak/>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lastRenderedPageBreak/>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lastRenderedPageBreak/>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lastRenderedPageBreak/>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lastRenderedPageBreak/>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lastRenderedPageBreak/>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lastRenderedPageBreak/>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lastRenderedPageBreak/>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lastRenderedPageBreak/>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lastRenderedPageBreak/>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keepNext/>
              <w:tabs>
                <w:tab w:val="clear" w:pos="567"/>
              </w:tabs>
              <w:ind w:left="625" w:hanging="625"/>
              <w:rPr>
                <w:b/>
              </w:rPr>
            </w:pPr>
            <w:r>
              <w:rPr>
                <w:b/>
              </w:rPr>
              <w:lastRenderedPageBreak/>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t>31.</w:t>
            </w:r>
            <w:r>
              <w:rPr>
                <w:b/>
              </w:rPr>
              <w:tab/>
              <w:t>Locks and security (s. 32H)</w:t>
            </w:r>
          </w:p>
          <w:p>
            <w:pPr>
              <w:pStyle w:val="yTableNAm"/>
              <w:keepNext/>
              <w:keepLines/>
              <w:tabs>
                <w:tab w:val="clear" w:pos="567"/>
                <w:tab w:val="left" w:pos="766"/>
              </w:tabs>
              <w:ind w:left="624" w:hanging="426"/>
            </w:pPr>
            <w:r>
              <w:t>(1)</w:t>
            </w:r>
            <w:r>
              <w:tab/>
              <w:t xml:space="preserve">The tenant must not alter, remove or add any lock or similar device to the agreed premises or the shared premises without the consent </w:t>
            </w:r>
            <w:r>
              <w:lastRenderedPageBreak/>
              <w:t>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lastRenderedPageBreak/>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lastRenderedPageBreak/>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lastRenderedPageBreak/>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lastRenderedPageBreak/>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lastRenderedPageBreak/>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lastRenderedPageBreak/>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lastRenderedPageBreak/>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lastRenderedPageBreak/>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lastRenderedPageBreak/>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41" w:name="_Toc93667033"/>
      <w:r>
        <w:rPr>
          <w:rStyle w:val="CharSchNo"/>
        </w:rPr>
        <w:lastRenderedPageBreak/>
        <w:t>Schedule 2</w:t>
      </w:r>
      <w:r>
        <w:t> — </w:t>
      </w:r>
      <w:r>
        <w:rPr>
          <w:rStyle w:val="CharSchText"/>
        </w:rPr>
        <w:t>Standard</w:t>
      </w:r>
      <w:r>
        <w:rPr>
          <w:rStyle w:val="CharSchText"/>
        </w:rPr>
        <w:noBreakHyphen/>
        <w:t>form on</w:t>
      </w:r>
      <w:r>
        <w:rPr>
          <w:rStyle w:val="CharSchText"/>
        </w:rPr>
        <w:noBreakHyphen/>
        <w:t>site home agreement</w:t>
      </w:r>
      <w:bookmarkEnd w:id="41"/>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lastRenderedPageBreak/>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lastRenderedPageBreak/>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lastRenderedPageBreak/>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lastRenderedPageBreak/>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lastRenderedPageBreak/>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lastRenderedPageBreak/>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lastRenderedPageBreak/>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lastRenderedPageBreak/>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lastRenderedPageBreak/>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lastRenderedPageBreak/>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lastRenderedPageBreak/>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w:t>
            </w:r>
            <w:r>
              <w:rPr>
                <w:i/>
              </w:rPr>
              <w:lastRenderedPageBreak/>
              <w:t xml:space="preserve">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t>□</w:t>
            </w:r>
            <w:r>
              <w:tab/>
              <w:t>BBQ facilities</w:t>
            </w:r>
          </w:p>
          <w:p>
            <w:pPr>
              <w:pStyle w:val="yTableNAm"/>
              <w:spacing w:before="0"/>
              <w:ind w:left="623" w:hanging="425"/>
            </w:pPr>
            <w:r>
              <w:rPr>
                <w:sz w:val="32"/>
              </w:rPr>
              <w:lastRenderedPageBreak/>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lastRenderedPageBreak/>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t>□</w:t>
            </w:r>
            <w:r>
              <w:tab/>
              <w:t>Vegetable garden</w:t>
            </w:r>
          </w:p>
          <w:p>
            <w:pPr>
              <w:pStyle w:val="yTableNAm"/>
              <w:spacing w:before="0"/>
              <w:ind w:left="623" w:hanging="425"/>
            </w:pPr>
            <w:r>
              <w:rPr>
                <w:sz w:val="32"/>
              </w:rPr>
              <w:lastRenderedPageBreak/>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lastRenderedPageBreak/>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lastRenderedPageBreak/>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lastRenderedPageBreak/>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lastRenderedPageBreak/>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lastRenderedPageBreak/>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lastRenderedPageBreak/>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lastRenderedPageBreak/>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 xml:space="preserve">if the tenant’s removal of a fixture causes damage to the agreed premises, the tenant must notify the park operator and, at the option of the park operator, repair the damage or </w:t>
            </w:r>
            <w:r>
              <w:lastRenderedPageBreak/>
              <w:t>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lastRenderedPageBreak/>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lastRenderedPageBreak/>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lastRenderedPageBreak/>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lastRenderedPageBreak/>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lastRenderedPageBreak/>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lastRenderedPageBreak/>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lastRenderedPageBreak/>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lastRenderedPageBreak/>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lastRenderedPageBreak/>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bookmarkEnd w:id="40"/>
    <w:p/>
    <w:p>
      <w:pPr>
        <w:pStyle w:val="yScheduleHeading"/>
        <w:keepNext w:val="0"/>
        <w:spacing w:before="60"/>
        <w:ind w:left="317" w:hanging="317"/>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3" w:name="_Toc93660056"/>
      <w:bookmarkStart w:id="44" w:name="_Toc93667034"/>
      <w:r>
        <w:rPr>
          <w:rStyle w:val="CharSchNo"/>
        </w:rPr>
        <w:lastRenderedPageBreak/>
        <w:t>Schedule 5</w:t>
      </w:r>
      <w:r>
        <w:t> — </w:t>
      </w:r>
      <w:r>
        <w:rPr>
          <w:rStyle w:val="CharSchText"/>
        </w:rPr>
        <w:t>Property condition report</w:t>
      </w:r>
      <w:bookmarkEnd w:id="43"/>
      <w:bookmarkEnd w:id="44"/>
    </w:p>
    <w:p>
      <w:pPr>
        <w:pStyle w:val="yShoulderClause"/>
      </w:pPr>
      <w:r>
        <w:rPr>
          <w:szCs w:val="22"/>
        </w:rPr>
        <w:t>[r. 7(1)]</w:t>
      </w:r>
    </w:p>
    <w:p>
      <w:pPr>
        <w:pStyle w:val="yFootnoteheading"/>
      </w:pPr>
      <w:r>
        <w:tab/>
        <w:t>[Heading amended: SL 2021/205 r. 16.]</w:t>
      </w:r>
    </w:p>
    <w:p>
      <w:pPr>
        <w:pStyle w:val="yHeading5"/>
      </w:pPr>
      <w:bookmarkStart w:id="45" w:name="_Toc93667035"/>
      <w:r>
        <w:rPr>
          <w:rStyle w:val="CharSClsNo"/>
        </w:rPr>
        <w:t>1</w:t>
      </w:r>
      <w:r>
        <w:t>.</w:t>
      </w:r>
      <w:r>
        <w:tab/>
        <w:t>On</w:t>
      </w:r>
      <w:r>
        <w:noBreakHyphen/>
        <w:t>site home</w:t>
      </w:r>
      <w:bookmarkEnd w:id="45"/>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6" w:name="_Toc93667036"/>
      <w:r>
        <w:rPr>
          <w:rStyle w:val="CharSClsNo"/>
        </w:rPr>
        <w:lastRenderedPageBreak/>
        <w:t>2</w:t>
      </w:r>
      <w:r>
        <w:t>.</w:t>
      </w:r>
      <w:r>
        <w:tab/>
        <w:t>Site</w:t>
      </w:r>
      <w:bookmarkEnd w:id="4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47" w:name="_Toc93667037"/>
      <w:r>
        <w:rPr>
          <w:rStyle w:val="CharSClsNo"/>
        </w:rPr>
        <w:t>3</w:t>
      </w:r>
      <w:r>
        <w:t>.</w:t>
      </w:r>
      <w:r>
        <w:tab/>
        <w:t>Specific work to be undertaken by park operator</w:t>
      </w:r>
      <w:bookmarkEnd w:id="47"/>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48" w:name="_Toc93667038"/>
      <w:r>
        <w:rPr>
          <w:rStyle w:val="CharSClsNo"/>
        </w:rPr>
        <w:lastRenderedPageBreak/>
        <w:t>4</w:t>
      </w:r>
      <w:r>
        <w:t>.</w:t>
      </w:r>
      <w:r>
        <w:tab/>
        <w:t>Signatures</w:t>
      </w:r>
      <w:bookmarkEnd w:id="48"/>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93660084"/>
      <w:bookmarkStart w:id="50" w:name="_Toc93667039"/>
      <w:r>
        <w:rPr>
          <w:rStyle w:val="CharSchNo"/>
        </w:rPr>
        <w:lastRenderedPageBreak/>
        <w:t>Schedule 9</w:t>
      </w:r>
      <w:r>
        <w:t> — </w:t>
      </w:r>
      <w:r>
        <w:rPr>
          <w:rStyle w:val="CharSchText"/>
        </w:rPr>
        <w:t>Default notice</w:t>
      </w:r>
      <w:bookmarkEnd w:id="49"/>
      <w:bookmarkEnd w:id="50"/>
    </w:p>
    <w:p>
      <w:pPr>
        <w:pStyle w:val="yShoulderClause"/>
      </w:pPr>
      <w:r>
        <w:t>[r. 12]</w:t>
      </w:r>
    </w:p>
    <w:p>
      <w:pPr>
        <w:pStyle w:val="yHeading3"/>
      </w:pPr>
      <w:bookmarkStart w:id="51" w:name="_Toc93660085"/>
      <w:bookmarkStart w:id="52" w:name="_Toc93667040"/>
      <w:r>
        <w:rPr>
          <w:rStyle w:val="CharSDivNo"/>
        </w:rPr>
        <w:t>Division 1</w:t>
      </w:r>
      <w:r>
        <w:t> — </w:t>
      </w:r>
      <w:r>
        <w:rPr>
          <w:rStyle w:val="CharSDivText"/>
        </w:rPr>
        <w:t>Default notice for non</w:t>
      </w:r>
      <w:r>
        <w:rPr>
          <w:rStyle w:val="CharSDivText"/>
        </w:rPr>
        <w:noBreakHyphen/>
        <w:t>payment of rent</w:t>
      </w:r>
      <w:bookmarkEnd w:id="51"/>
      <w:bookmarkEnd w:id="52"/>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53" w:name="_Toc93667041"/>
      <w:bookmarkStart w:id="54" w:name="_Toc93660086"/>
      <w:r>
        <w:rPr>
          <w:rStyle w:val="CharSDivNo"/>
        </w:rPr>
        <w:t>Division 2</w:t>
      </w:r>
      <w:r>
        <w:t> — </w:t>
      </w:r>
      <w:r>
        <w:rPr>
          <w:rStyle w:val="CharSDivText"/>
        </w:rPr>
        <w:t>Default notice for other breach of long-stay agreement</w:t>
      </w:r>
      <w:bookmarkEnd w:id="53"/>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bookmarkEnd w:id="54"/>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55" w:name="_Toc93660087"/>
      <w:bookmarkStart w:id="56" w:name="_Toc93667042"/>
      <w:r>
        <w:rPr>
          <w:rStyle w:val="CharSchNo"/>
        </w:rPr>
        <w:lastRenderedPageBreak/>
        <w:t>Schedule 10</w:t>
      </w:r>
      <w:r>
        <w:t> — </w:t>
      </w:r>
      <w:r>
        <w:rPr>
          <w:rStyle w:val="CharSchText"/>
        </w:rPr>
        <w:t>Notice of termination</w:t>
      </w:r>
      <w:bookmarkEnd w:id="55"/>
      <w:bookmarkEnd w:id="56"/>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bookmarkStart w:id="57" w:name="_Hlk93672800"/>
      <w:bookmarkStart w:id="58" w:name="_Hlk93672724"/>
      <w:r>
        <w:tab/>
        <w:t>[Schedule 10 amended: Gazette 5 Jul 2011 p. 2821</w:t>
      </w:r>
      <w:r>
        <w:noBreakHyphen/>
        <w:t>22; 9 Apr 2019 p. 1054</w:t>
      </w:r>
      <w:r>
        <w:noBreakHyphen/>
        <w:t>5; SL 2021/205 r. 19.]</w:t>
      </w:r>
    </w:p>
    <w:bookmarkEnd w:id="57"/>
    <w:p>
      <w:pPr>
        <w:pStyle w:val="yFootnotesection"/>
      </w:pPr>
    </w:p>
    <w:p>
      <w:pPr>
        <w:pStyle w:val="yScheduleHeading"/>
      </w:pPr>
      <w:bookmarkStart w:id="59" w:name="_Toc93667043"/>
      <w:bookmarkStart w:id="60" w:name="_Toc93660097"/>
      <w:bookmarkEnd w:id="58"/>
      <w:r>
        <w:rPr>
          <w:rStyle w:val="CharSchNo"/>
        </w:rPr>
        <w:lastRenderedPageBreak/>
        <w:t>Schedule 11</w:t>
      </w:r>
      <w:r>
        <w:t> — </w:t>
      </w:r>
      <w:r>
        <w:rPr>
          <w:rStyle w:val="CharSchText"/>
        </w:rPr>
        <w:t>Prescribed offences and modified penalties</w:t>
      </w:r>
      <w:bookmarkEnd w:id="59"/>
    </w:p>
    <w:p>
      <w:pPr>
        <w:pStyle w:val="yShoulderClause"/>
      </w:pPr>
      <w:r>
        <w:t>[r. 23]</w:t>
      </w:r>
    </w:p>
    <w:p>
      <w:pPr>
        <w:pStyle w:val="yFootnoteheading"/>
        <w:spacing w:after="120"/>
      </w:pPr>
      <w:r>
        <w:tab/>
        <w:t>[Heading inserted: SL 2021/205 r. 20.]</w:t>
      </w:r>
    </w:p>
    <w:p>
      <w:pPr>
        <w:pStyle w:val="yHeading3"/>
      </w:pPr>
      <w:bookmarkStart w:id="61" w:name="_Toc93667044"/>
      <w:r>
        <w:rPr>
          <w:rStyle w:val="CharSDivNo"/>
        </w:rPr>
        <w:t>Division 1</w:t>
      </w:r>
      <w:r>
        <w:t> — </w:t>
      </w:r>
      <w:r>
        <w:rPr>
          <w:rStyle w:val="CharSDivText"/>
        </w:rPr>
        <w:t>Offences under the Act</w:t>
      </w:r>
      <w:bookmarkEnd w:id="61"/>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62" w:name="_Toc93667045"/>
      <w:r>
        <w:rPr>
          <w:rStyle w:val="CharSDivNo"/>
        </w:rPr>
        <w:t>Division 2</w:t>
      </w:r>
      <w:r>
        <w:t> — </w:t>
      </w:r>
      <w:r>
        <w:rPr>
          <w:rStyle w:val="CharSDivText"/>
        </w:rPr>
        <w:t>Offences under these regulations</w:t>
      </w:r>
      <w:bookmarkEnd w:id="62"/>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2021/205 r. 20.]</w:t>
      </w:r>
    </w:p>
    <w:p>
      <w:pPr>
        <w:pStyle w:val="yScheduleHeading"/>
      </w:pPr>
      <w:bookmarkStart w:id="63" w:name="_Toc93667046"/>
      <w:r>
        <w:rPr>
          <w:rStyle w:val="CharSchNo"/>
        </w:rPr>
        <w:lastRenderedPageBreak/>
        <w:t>Schedule 12</w:t>
      </w:r>
      <w:r>
        <w:rPr>
          <w:rStyle w:val="CharSDivNo"/>
        </w:rPr>
        <w:t> </w:t>
      </w:r>
      <w:r>
        <w:t>—</w:t>
      </w:r>
      <w:r>
        <w:rPr>
          <w:rStyle w:val="CharSDivText"/>
        </w:rPr>
        <w:t> </w:t>
      </w:r>
      <w:r>
        <w:rPr>
          <w:rStyle w:val="CharSchText"/>
        </w:rPr>
        <w:t>Forms</w:t>
      </w:r>
      <w:bookmarkEnd w:id="63"/>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lastRenderedPageBreak/>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lastRenderedPageBreak/>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bookmarkEnd w:id="6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4" w:name="_Toc93660098"/>
      <w:bookmarkStart w:id="65" w:name="_Toc93667047"/>
      <w:r>
        <w:lastRenderedPageBreak/>
        <w:t>Notes</w:t>
      </w:r>
      <w:bookmarkEnd w:id="64"/>
      <w:bookmarkEnd w:id="65"/>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w:t>
      </w:r>
    </w:p>
    <w:p>
      <w:pPr>
        <w:pStyle w:val="nHeading3"/>
      </w:pPr>
      <w:bookmarkStart w:id="66" w:name="_Toc93667048"/>
      <w:r>
        <w:t>Compilation table</w:t>
      </w:r>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single" w:sz="4" w:space="0" w:color="auto"/>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single" w:sz="4" w:space="0" w:color="auto"/>
            </w:tcBorders>
            <w:shd w:val="clear" w:color="auto" w:fill="auto"/>
          </w:tcPr>
          <w:p>
            <w:pPr>
              <w:pStyle w:val="nTable"/>
              <w:spacing w:after="40"/>
              <w:rPr>
                <w:b/>
                <w:bCs/>
                <w:snapToGrid w:val="0"/>
                <w:spacing w:val="-2"/>
              </w:rPr>
            </w:pPr>
            <w:r>
              <w:t>SL 2021/205 3 Dec 2021</w:t>
            </w:r>
          </w:p>
        </w:tc>
        <w:tc>
          <w:tcPr>
            <w:tcW w:w="2720"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1, Sch. 2, Sch. 2</w:t>
      </w:r>
    </w:p>
    <w:p>
      <w:pPr>
        <w:pStyle w:val="DefinedTerms"/>
      </w:pPr>
      <w:r>
        <w:t>agreed premises</w:t>
      </w:r>
      <w:r>
        <w:tab/>
        <w:t>Sch. 1, Sch. 2</w:t>
      </w:r>
    </w:p>
    <w:p>
      <w:pPr>
        <w:pStyle w:val="DefinedTerms"/>
      </w:pPr>
      <w:r>
        <w:t>authorised deposit-taking institution</w:t>
      </w:r>
      <w:r>
        <w:tab/>
        <w:t>27(1)</w:t>
      </w:r>
    </w:p>
    <w:p>
      <w:pPr>
        <w:pStyle w:val="DefinedTerms"/>
      </w:pPr>
      <w:r>
        <w:t>commencement day</w:t>
      </w:r>
      <w:r>
        <w:tab/>
        <w:t>26(1), 28(1)</w:t>
      </w:r>
    </w:p>
    <w:p>
      <w:pPr>
        <w:pStyle w:val="DefinedTerms"/>
      </w:pPr>
      <w:r>
        <w:t>consultation period</w:t>
      </w:r>
      <w:r>
        <w:tab/>
        <w:t>14B(3)</w:t>
      </w:r>
    </w:p>
    <w:p>
      <w:pPr>
        <w:pStyle w:val="DefinedTerms"/>
      </w:pPr>
      <w:r>
        <w:t>essential service</w:t>
      </w:r>
      <w:r>
        <w:tab/>
        <w:t>Sch. 1, Sch. 2</w:t>
      </w:r>
    </w:p>
    <w:p>
      <w:pPr>
        <w:pStyle w:val="DefinedTerms"/>
      </w:pPr>
      <w:r>
        <w:t>existing park rules</w:t>
      </w:r>
      <w:r>
        <w:tab/>
        <w:t>28(1)</w:t>
      </w:r>
    </w:p>
    <w:p>
      <w:pPr>
        <w:pStyle w:val="DefinedTerms"/>
      </w:pPr>
      <w:r>
        <w:t>feedback period</w:t>
      </w:r>
      <w:r>
        <w:tab/>
        <w:t>14B(2)</w:t>
      </w:r>
    </w:p>
    <w:p>
      <w:pPr>
        <w:pStyle w:val="DefinedTerms"/>
      </w:pPr>
      <w:r>
        <w:t>final notice</w:t>
      </w:r>
      <w:r>
        <w:tab/>
        <w:t>14B(5)</w:t>
      </w:r>
    </w:p>
    <w:p>
      <w:pPr>
        <w:pStyle w:val="DefinedTerms"/>
      </w:pPr>
      <w:r>
        <w:t>first notice</w:t>
      </w:r>
      <w:r>
        <w:tab/>
        <w:t>14B(1)</w:t>
      </w:r>
    </w:p>
    <w:p>
      <w:pPr>
        <w:pStyle w:val="DefinedTerms"/>
      </w:pPr>
      <w:r>
        <w:t>information booklet</w:t>
      </w:r>
      <w:r>
        <w:tab/>
        <w:t>Sch. 1, Sch. 2</w:t>
      </w:r>
    </w:p>
    <w:p>
      <w:pPr>
        <w:pStyle w:val="DefinedTerms"/>
      </w:pPr>
      <w:r>
        <w:t>on-site home</w:t>
      </w:r>
      <w:r>
        <w:tab/>
        <w:t>Sch. 2</w:t>
      </w:r>
    </w:p>
    <w:p>
      <w:pPr>
        <w:pStyle w:val="DefinedTerms"/>
      </w:pPr>
      <w:r>
        <w:t>park</w:t>
      </w:r>
      <w:r>
        <w:tab/>
        <w:t>Sch. 1, Sch. 2</w:t>
      </w:r>
    </w:p>
    <w:p>
      <w:pPr>
        <w:pStyle w:val="DefinedTerms"/>
      </w:pPr>
      <w:r>
        <w:t>park operator</w:t>
      </w:r>
      <w:r>
        <w:tab/>
        <w:t>Sch. 1, Sch. 2</w:t>
      </w:r>
    </w:p>
    <w:p>
      <w:pPr>
        <w:pStyle w:val="DefinedTerms"/>
      </w:pPr>
      <w:r>
        <w:t>prescribed rate</w:t>
      </w:r>
      <w:r>
        <w:tab/>
        <w:t>17(1)</w:t>
      </w:r>
    </w:p>
    <w:p>
      <w:pPr>
        <w:pStyle w:val="DefinedTerms"/>
      </w:pPr>
      <w:r>
        <w:t>reasonable time</w:t>
      </w:r>
      <w:r>
        <w:tab/>
        <w:t>Sch. 1, Sch. 2</w:t>
      </w:r>
    </w:p>
    <w:p>
      <w:pPr>
        <w:pStyle w:val="DefinedTerms"/>
      </w:pPr>
      <w:r>
        <w:t>Regulations</w:t>
      </w:r>
      <w:r>
        <w:tab/>
        <w:t>Sch. 1, Sch. 2</w:t>
      </w:r>
    </w:p>
    <w:p>
      <w:pPr>
        <w:pStyle w:val="DefinedTerms"/>
      </w:pPr>
      <w:r>
        <w:t>relevant bank accepted bills rate</w:t>
      </w:r>
      <w:r>
        <w:tab/>
        <w:t>17(1)</w:t>
      </w:r>
    </w:p>
    <w:p>
      <w:pPr>
        <w:pStyle w:val="DefinedTerms"/>
      </w:pPr>
      <w:r>
        <w:t>relevant period</w:t>
      </w:r>
      <w:r>
        <w:tab/>
        <w:t>26(1)</w:t>
      </w:r>
    </w:p>
    <w:p>
      <w:pPr>
        <w:pStyle w:val="DefinedTerms"/>
      </w:pPr>
      <w:r>
        <w:t>relocatable home</w:t>
      </w:r>
      <w:r>
        <w:tab/>
        <w:t>Sch. 1, Sch. 2</w:t>
      </w:r>
    </w:p>
    <w:p>
      <w:pPr>
        <w:pStyle w:val="DefinedTerms"/>
      </w:pPr>
      <w:r>
        <w:t>residential park</w:t>
      </w:r>
      <w:r>
        <w:tab/>
        <w:t>Sch. 1, Sch. 2</w:t>
      </w:r>
    </w:p>
    <w:p>
      <w:pPr>
        <w:pStyle w:val="DefinedTerms"/>
      </w:pPr>
      <w:r>
        <w:t>rule proposal</w:t>
      </w:r>
      <w:r>
        <w:tab/>
        <w:t>14B(1)</w:t>
      </w:r>
    </w:p>
    <w:p>
      <w:pPr>
        <w:pStyle w:val="DefinedTerms"/>
      </w:pPr>
      <w:r>
        <w:t>security bond amount</w:t>
      </w:r>
      <w:r>
        <w:tab/>
        <w:t>3</w:t>
      </w:r>
    </w:p>
    <w:p>
      <w:pPr>
        <w:pStyle w:val="DefinedTerms"/>
      </w:pPr>
      <w:r>
        <w:t>shared premises</w:t>
      </w:r>
      <w:r>
        <w:tab/>
        <w:t>Sch. 1, Sch. 2</w:t>
      </w:r>
    </w:p>
    <w:p>
      <w:pPr>
        <w:pStyle w:val="DefinedTerms"/>
      </w:pPr>
      <w:r>
        <w:t>site</w:t>
      </w:r>
      <w:r>
        <w:tab/>
        <w:t>Sch. 1, Sch. 2</w:t>
      </w:r>
    </w:p>
    <w:p>
      <w:pPr>
        <w:pStyle w:val="DefinedTerms"/>
      </w:pPr>
      <w:r>
        <w:t>suitable repairer</w:t>
      </w:r>
      <w:r>
        <w:tab/>
        <w:t>Sch. 1, Sch. 2</w:t>
      </w:r>
    </w:p>
    <w:p>
      <w:pPr>
        <w:pStyle w:val="DefinedTerms"/>
      </w:pPr>
      <w:r>
        <w:t>tenant</w:t>
      </w:r>
      <w:r>
        <w:tab/>
        <w:t>Sch. 1, Sch. 2</w:t>
      </w:r>
    </w:p>
    <w:p>
      <w:pPr>
        <w:pStyle w:val="DefinedTerms"/>
      </w:pPr>
      <w:r>
        <w:t>tenant’s lawful enjoyment</w:t>
      </w:r>
      <w:r>
        <w:tab/>
        <w:t>Sch. 1, Sch. 2</w:t>
      </w:r>
    </w:p>
    <w:p>
      <w:pPr>
        <w:pStyle w:val="DefinedTerms"/>
      </w:pPr>
      <w:r>
        <w:t>Unclaimed Security Bond Account</w:t>
      </w:r>
      <w:r>
        <w:tab/>
        <w:t>19(1)</w:t>
      </w:r>
    </w:p>
    <w:p>
      <w:pPr>
        <w:pStyle w:val="DefinedTerms"/>
      </w:pPr>
      <w:r>
        <w:t>urgent repairs</w:t>
      </w:r>
      <w:r>
        <w:tab/>
        <w:t>Sch. 1, Sch. 2</w:t>
      </w:r>
    </w:p>
    <w:p>
      <w:pPr>
        <w:pStyle w:val="DefinedTerms"/>
      </w:pPr>
      <w:r>
        <w:t>voluntary sharing arrangement</w:t>
      </w:r>
      <w:r>
        <w:tab/>
        <w:t>Sch. 1, Sch. 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CB56519"/>
    <w:multiLevelType w:val="multilevel"/>
    <w:tmpl w:val="702CE354"/>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20"/>
  </w:num>
  <w:num w:numId="16">
    <w:abstractNumId w:val="15"/>
  </w:num>
  <w:num w:numId="17">
    <w:abstractNumId w:val="19"/>
  </w:num>
  <w:num w:numId="18">
    <w:abstractNumId w:val="25"/>
  </w:num>
  <w:num w:numId="19">
    <w:abstractNumId w:val="23"/>
  </w:num>
  <w:num w:numId="20">
    <w:abstractNumId w:val="13"/>
  </w:num>
  <w:num w:numId="21">
    <w:abstractNumId w:val="21"/>
  </w:num>
  <w:num w:numId="22">
    <w:abstractNumId w:val="22"/>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1121835"/>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paragraph" w:customStyle="1" w:styleId="yEdnote">
    <w:name w:val="yEdnote"/>
    <w:basedOn w:val="yEdnotedivision"/>
  </w:style>
  <w:style w:type="character" w:customStyle="1" w:styleId="CommentTextChar">
    <w:name w:val="Comment Text Char"/>
    <w:basedOn w:val="DefaultParagraphFont"/>
    <w:link w:val="CommentText"/>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22606-FCE9-4101-B17B-3FB1AAE77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21981</Words>
  <Characters>112985</Characters>
  <Application>Microsoft Office Word</Application>
  <DocSecurity>0</DocSecurity>
  <Lines>4707</Lines>
  <Paragraphs>2499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2007 - 01-c0-00</dc:title>
  <dc:subject/>
  <dc:creator/>
  <cp:keywords/>
  <dc:description/>
  <cp:lastModifiedBy>Master Repository Process</cp:lastModifiedBy>
  <cp:revision>4</cp:revision>
  <cp:lastPrinted>2019-07-22T07:01:00Z</cp:lastPrinted>
  <dcterms:created xsi:type="dcterms:W3CDTF">2022-01-27T06:24:00Z</dcterms:created>
  <dcterms:modified xsi:type="dcterms:W3CDTF">2022-01-27T06:24:00Z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AsAtDate">
    <vt:lpwstr>31 Jan 2022</vt:lpwstr>
  </property>
  <property fmtid="{D5CDD505-2E9C-101B-9397-08002B2CF9AE}" pid="8" name="Suffix">
    <vt:lpwstr>01-c0-00</vt:lpwstr>
  </property>
  <property fmtid="{D5CDD505-2E9C-101B-9397-08002B2CF9AE}" pid="9" name="CommencementDate">
    <vt:lpwstr>20220131</vt:lpwstr>
  </property>
</Properties>
</file>