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_Toc94015057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_Toc94015058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_Toc94015059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_Toc94015061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_Toc94015062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_Toc94015063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_Toc94015064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_Toc94015065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_Toc94015066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_Toc94015068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_Toc94015069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_Toc94015072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_Toc94015073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_Toc94015074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_Toc94015075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_Toc94015076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_Toc94015077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_Toc94015078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_Toc94015079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_Toc94015081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_Toc94015084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_Toc94015085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_Toc94015086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_Toc94015087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_Toc94015088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_Toc94015089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_Toc94015090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_Toc94015091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_Toc94015092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_Toc94015094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_Toc94015096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_Toc94015097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_Toc94015098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_Toc94015099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_Toc94015100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_Toc94015101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_Toc94015102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_Toc94015103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_Toc94015105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_Toc94015106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_Toc94015107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_Toc94015108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_Toc94015110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_Toc94015112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_Toc94015114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_Toc94015115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_Toc94015116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_Toc94015117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_Toc94015118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_Toc94015119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_Toc94015120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_Toc94015121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_Toc94015122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_Toc94015123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_Toc94015124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_Toc94015125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_Toc94015126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_Toc94015127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_Toc94015128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_Toc94015129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_Toc94015130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_Toc94015134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_Toc94015135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_Toc94015136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_Toc94015137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_Toc94015139 \h </w:instrText>
      </w:r>
      <w:r>
        <w:fldChar w:fldCharType="separate"/>
      </w:r>
      <w:r>
        <w:t>49</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_Toc94015140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_Toc94015141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_Toc94015142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_Toc94015143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_Toc94015144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_Toc94015145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_Toc94015146 \h </w:instrText>
      </w:r>
      <w:r>
        <w:fldChar w:fldCharType="separate"/>
      </w:r>
      <w:r>
        <w:t>50</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_Toc94015147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_Toc94015148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_Toc94015149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_Toc94015151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_Toc94015152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94006083"/>
      <w:bookmarkStart w:id="4" w:name="_Toc94006421"/>
      <w:bookmarkStart w:id="5" w:name="_Toc9401505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4015057"/>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94015058"/>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94015059"/>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94006087"/>
      <w:bookmarkStart w:id="10" w:name="_Toc94006425"/>
      <w:bookmarkStart w:id="11" w:name="_Toc94015060"/>
      <w:r>
        <w:rPr>
          <w:rStyle w:val="CharPartNo"/>
        </w:rPr>
        <w:lastRenderedPageBreak/>
        <w:t>Part 2</w:t>
      </w:r>
      <w:r>
        <w:t> — </w:t>
      </w:r>
      <w:r>
        <w:rPr>
          <w:rStyle w:val="CharPartText"/>
        </w:rPr>
        <w:t>General</w:t>
      </w:r>
      <w:bookmarkEnd w:id="9"/>
      <w:bookmarkEnd w:id="10"/>
      <w:bookmarkEnd w:id="11"/>
    </w:p>
    <w:p>
      <w:pPr>
        <w:pStyle w:val="Heading5"/>
      </w:pPr>
      <w:bookmarkStart w:id="12" w:name="_Toc94015061"/>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94015062"/>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94015063"/>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94015064"/>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94015065"/>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94015066"/>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94006094"/>
      <w:bookmarkStart w:id="19" w:name="_Toc94006432"/>
      <w:bookmarkStart w:id="20" w:name="_Toc94015067"/>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94015068"/>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94015069"/>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94006097"/>
      <w:bookmarkStart w:id="24" w:name="_Toc94006435"/>
      <w:bookmarkStart w:id="25" w:name="_Toc94015070"/>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94006098"/>
      <w:bookmarkStart w:id="27" w:name="_Toc94006436"/>
      <w:bookmarkStart w:id="28" w:name="_Toc94015071"/>
      <w:r>
        <w:rPr>
          <w:rStyle w:val="CharDivNo"/>
        </w:rPr>
        <w:t>Division 1</w:t>
      </w:r>
      <w:r>
        <w:t> — </w:t>
      </w:r>
      <w:r>
        <w:rPr>
          <w:rStyle w:val="CharDivText"/>
        </w:rPr>
        <w:t>General</w:t>
      </w:r>
      <w:bookmarkEnd w:id="26"/>
      <w:bookmarkEnd w:id="27"/>
      <w:bookmarkEnd w:id="28"/>
    </w:p>
    <w:p>
      <w:pPr>
        <w:pStyle w:val="Heading5"/>
      </w:pPr>
      <w:bookmarkStart w:id="29" w:name="_Toc94015072"/>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94015073"/>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94015074"/>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94015075"/>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94015076"/>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94015077"/>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94015078"/>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94015079"/>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94006107"/>
      <w:bookmarkStart w:id="38" w:name="_Toc94006445"/>
      <w:bookmarkStart w:id="39" w:name="_Toc94015080"/>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94015081"/>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94006109"/>
      <w:bookmarkStart w:id="42" w:name="_Toc94006447"/>
      <w:bookmarkStart w:id="43" w:name="_Toc94015082"/>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94006110"/>
      <w:bookmarkStart w:id="45" w:name="_Toc94006448"/>
      <w:bookmarkStart w:id="46" w:name="_Toc94015083"/>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94015084"/>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94015085"/>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94015086"/>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94015087"/>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94015088"/>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94015089"/>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94015090"/>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94015091"/>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94015092"/>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94006120"/>
      <w:bookmarkStart w:id="57" w:name="_Toc94006458"/>
      <w:bookmarkStart w:id="58" w:name="_Toc94015093"/>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94015094"/>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94006122"/>
      <w:bookmarkStart w:id="61" w:name="_Toc94006460"/>
      <w:bookmarkStart w:id="62" w:name="_Toc94015095"/>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94015096"/>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94015097"/>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94015098"/>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94015099"/>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94015100"/>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94015101"/>
      <w:r>
        <w:rPr>
          <w:rStyle w:val="CharSectno"/>
        </w:rPr>
        <w:t>26</w:t>
      </w:r>
      <w:r>
        <w:t>.</w:t>
      </w:r>
      <w:r>
        <w:tab/>
        <w:t>Summons to produce, early compliance with</w:t>
      </w:r>
      <w:bookmarkEnd w:id="6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9" w:name="_Toc94015102"/>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94015103"/>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94006131"/>
      <w:bookmarkStart w:id="72" w:name="_Toc94006469"/>
      <w:bookmarkStart w:id="73" w:name="_Toc94015104"/>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94015105"/>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94015106"/>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94015107"/>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94015108"/>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94006136"/>
      <w:bookmarkStart w:id="79" w:name="_Toc94006474"/>
      <w:bookmarkStart w:id="80" w:name="_Toc94015109"/>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94015110"/>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94006138"/>
      <w:bookmarkStart w:id="83" w:name="_Toc94006476"/>
      <w:bookmarkStart w:id="84" w:name="_Toc94015111"/>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94015112"/>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94006140"/>
      <w:bookmarkStart w:id="87" w:name="_Toc94006478"/>
      <w:bookmarkStart w:id="88" w:name="_Toc94015113"/>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94015114"/>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94015115"/>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94015116"/>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94015117"/>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94015118"/>
      <w:r>
        <w:rPr>
          <w:rStyle w:val="CharSClsNo"/>
        </w:rPr>
        <w:lastRenderedPageBreak/>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4" w:name="_Toc94015119"/>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94015120"/>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94015121"/>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94015122"/>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94015123"/>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94015124"/>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94015125"/>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94015126"/>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94015127"/>
      <w:r>
        <w:rPr>
          <w:rStyle w:val="CharSClsNo"/>
        </w:rPr>
        <w:lastRenderedPageBreak/>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3" w:name="_Toc94015128"/>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94015129"/>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94015130"/>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94006158"/>
      <w:bookmarkStart w:id="108" w:name="_Toc94006496"/>
      <w:bookmarkStart w:id="109" w:name="_Toc94015131"/>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lastRenderedPageBreak/>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w:t>
      </w:r>
      <w:r>
        <w:t>.]</w:t>
      </w:r>
    </w:p>
    <w:p>
      <w:pPr>
        <w:pStyle w:val="yScheduleHeading"/>
      </w:pPr>
      <w:bookmarkStart w:id="110" w:name="_Toc94006159"/>
      <w:bookmarkStart w:id="111" w:name="_Toc94006497"/>
      <w:bookmarkStart w:id="112" w:name="_Toc94015132"/>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94006160"/>
      <w:bookmarkStart w:id="114" w:name="_Toc94006498"/>
      <w:bookmarkStart w:id="115" w:name="_Toc94015133"/>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94015134"/>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94015135"/>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94015136"/>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94015137"/>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94006165"/>
      <w:bookmarkStart w:id="121" w:name="_Toc94006503"/>
      <w:bookmarkStart w:id="122" w:name="_Toc94015138"/>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94015139"/>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94015140"/>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94015141"/>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94015142"/>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94015143"/>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94015144"/>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94015145"/>
      <w:r>
        <w:rPr>
          <w:rStyle w:val="CharSClsNo"/>
        </w:rPr>
        <w:t>5</w:t>
      </w:r>
      <w:r>
        <w:t>.</w:t>
      </w:r>
      <w:r>
        <w:tab/>
      </w:r>
      <w:r>
        <w:rPr>
          <w:i/>
          <w:iCs/>
        </w:rPr>
        <w:t>Mines Safety and Inspection Act 1994</w:t>
      </w:r>
      <w:r>
        <w:t xml:space="preserve"> offences</w:t>
      </w:r>
      <w:bookmarkEnd w:id="12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30" w:name="_Toc94015146"/>
      <w:r>
        <w:rPr>
          <w:rStyle w:val="CharSClsNo"/>
        </w:rPr>
        <w:lastRenderedPageBreak/>
        <w:t>6</w:t>
      </w:r>
      <w:r>
        <w:t>.</w:t>
      </w:r>
      <w:r>
        <w:tab/>
      </w:r>
      <w:r>
        <w:rPr>
          <w:i/>
          <w:iCs/>
        </w:rPr>
        <w:t>Occupational Safety and Health Act 1984</w:t>
      </w:r>
      <w:r>
        <w:t xml:space="preserve"> offences</w:t>
      </w:r>
      <w:bookmarkEnd w:id="13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131" w:name="_Toc94015147"/>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94015148"/>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94015149"/>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94006177"/>
      <w:bookmarkStart w:id="135" w:name="_Toc94006515"/>
      <w:bookmarkStart w:id="136" w:name="_Toc94015150"/>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94015151"/>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Criminal Procedure Amendment Regulations 2022</w:t>
            </w:r>
          </w:p>
        </w:tc>
        <w:tc>
          <w:tcPr>
            <w:tcW w:w="1276" w:type="dxa"/>
            <w:tcBorders>
              <w:bottom w:val="single" w:sz="4" w:space="0" w:color="auto"/>
            </w:tcBorders>
            <w:shd w:val="clear" w:color="auto" w:fill="auto"/>
          </w:tcPr>
          <w:p>
            <w:pPr>
              <w:pStyle w:val="nTable"/>
              <w:keepNext/>
              <w:spacing w:after="40"/>
            </w:pPr>
            <w:r>
              <w:t>SL 2022/8 28 Jan 2022</w:t>
            </w:r>
          </w:p>
        </w:tc>
        <w:tc>
          <w:tcPr>
            <w:tcW w:w="2693" w:type="dxa"/>
            <w:tcBorders>
              <w:bottom w:val="single" w:sz="4" w:space="0" w:color="auto"/>
            </w:tcBorders>
            <w:shd w:val="clear" w:color="auto" w:fill="auto"/>
          </w:tcPr>
          <w:p>
            <w:pPr>
              <w:pStyle w:val="nTable"/>
              <w:keepNext/>
              <w:spacing w:after="40"/>
            </w:pPr>
            <w:r>
              <w:t>r. 1 and 2: 28 Jan 2022 (see r. 2(a));</w:t>
            </w:r>
            <w:r>
              <w:br/>
              <w:t>Regulations other than r. 1 and 2: 29 Jan 2022 (see r. 2(b))</w:t>
            </w:r>
          </w:p>
        </w:tc>
      </w:tr>
    </w:tbl>
    <w:p>
      <w:pPr>
        <w:pStyle w:val="nHeading3"/>
      </w:pPr>
      <w:bookmarkStart w:id="138" w:name="_Toc94015152"/>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0" w:name="_Toc94006180"/>
      <w:bookmarkStart w:id="141" w:name="_Toc94006518"/>
      <w:bookmarkStart w:id="142" w:name="_Toc94015153"/>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512264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D3164-FAF9-4EA3-A5D4-13DCD8DC9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12896</Words>
  <Characters>61130</Characters>
  <Application>Microsoft Office Word</Application>
  <DocSecurity>0</DocSecurity>
  <Lines>2445</Lines>
  <Paragraphs>1682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2005 - 04-l0-00</dc:title>
  <dc:subject/>
  <dc:creator/>
  <cp:keywords/>
  <dc:description/>
  <cp:lastModifiedBy>Master Repository Process</cp:lastModifiedBy>
  <cp:revision>4</cp:revision>
  <cp:lastPrinted>2019-05-14T08:13:00Z</cp:lastPrinted>
  <dcterms:created xsi:type="dcterms:W3CDTF">2022-01-27T08:15:00Z</dcterms:created>
  <dcterms:modified xsi:type="dcterms:W3CDTF">2022-01-27T08:15:00Z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29 Jan 2022</vt:lpwstr>
  </property>
  <property fmtid="{D5CDD505-2E9C-101B-9397-08002B2CF9AE}" pid="8" name="Suffix">
    <vt:lpwstr>04-l0-00</vt:lpwstr>
  </property>
  <property fmtid="{D5CDD505-2E9C-101B-9397-08002B2CF9AE}" pid="9" name="CommencementDate">
    <vt:lpwstr>20220129</vt:lpwstr>
  </property>
</Properties>
</file>