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Liquor Control Act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_Toc93934527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_Toc93934528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_Toc93934529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drunk</w:t>
      </w:r>
      <w:r>
        <w:tab/>
      </w:r>
      <w:r>
        <w:fldChar w:fldCharType="begin"/>
      </w:r>
      <w:r>
        <w:instrText xml:space="preserve"> PAGEREF _Toc93934530 \h </w:instrText>
      </w:r>
      <w:r>
        <w:fldChar w:fldCharType="separate"/>
      </w:r>
      <w:r>
        <w:t>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Storing and receiving liquor for licensed premises at other premises; records to be kept</w:t>
      </w:r>
      <w:r>
        <w:tab/>
      </w:r>
      <w:r>
        <w:fldChar w:fldCharType="begin"/>
      </w:r>
      <w:r>
        <w:instrText xml:space="preserve"> PAGEREF _Toc93934531 \h </w:instrText>
      </w:r>
      <w:r>
        <w:fldChar w:fldCharType="separate"/>
      </w:r>
      <w:r>
        <w:t>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Act</w:t>
      </w:r>
      <w:r>
        <w:tab/>
      </w:r>
      <w:r>
        <w:fldChar w:fldCharType="begin"/>
      </w:r>
      <w:r>
        <w:instrText xml:space="preserve"> PAGEREF _Toc93934532 \h </w:instrText>
      </w:r>
      <w:r>
        <w:fldChar w:fldCharType="separate"/>
      </w:r>
      <w:r>
        <w:t>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in certain cases</w:t>
      </w:r>
      <w:r>
        <w:tab/>
      </w:r>
      <w:r>
        <w:fldChar w:fldCharType="begin"/>
      </w:r>
      <w:r>
        <w:instrText xml:space="preserve"> PAGEREF _Toc93934533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2 — The licensing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licensing authority</w:t>
      </w:r>
    </w:p>
    <w:p>
      <w:pPr>
        <w:pStyle w:val="TOC8"/>
        <w:rPr>
          <w:rFonts w:asciiTheme="minorHAnsi" w:eastAsiaTheme="minorEastAsia" w:hAnsiTheme="minorHAnsi" w:cstheme="minorBidi"/>
          <w:szCs w:val="22"/>
        </w:rPr>
      </w:pPr>
      <w:r>
        <w:t>7</w:t>
      </w:r>
      <w:r>
        <w:rPr>
          <w:snapToGrid w:val="0"/>
        </w:rPr>
        <w:t>.</w:t>
      </w:r>
      <w:r>
        <w:rPr>
          <w:snapToGrid w:val="0"/>
        </w:rPr>
        <w:tab/>
        <w:t>Constitution and jurisdiction of licensing authority</w:t>
      </w:r>
      <w:r>
        <w:tab/>
      </w:r>
      <w:r>
        <w:fldChar w:fldCharType="begin"/>
      </w:r>
      <w:r>
        <w:instrText xml:space="preserve"> PAGEREF _Toc93934536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The Liquor Commission</w:t>
      </w:r>
    </w:p>
    <w:p>
      <w:pPr>
        <w:pStyle w:val="TOC8"/>
        <w:rPr>
          <w:rFonts w:asciiTheme="minorHAnsi" w:eastAsiaTheme="minorEastAsia" w:hAnsiTheme="minorHAnsi" w:cstheme="minorBidi"/>
          <w:szCs w:val="22"/>
        </w:rPr>
      </w:pPr>
      <w:r>
        <w:t>8.</w:t>
      </w:r>
      <w:r>
        <w:tab/>
        <w:t>Commission established</w:t>
      </w:r>
      <w:r>
        <w:tab/>
      </w:r>
      <w:r>
        <w:fldChar w:fldCharType="begin"/>
      </w:r>
      <w:r>
        <w:instrText xml:space="preserve"> PAGEREF _Toc93934538 \h </w:instrText>
      </w:r>
      <w:r>
        <w:fldChar w:fldCharType="separate"/>
      </w:r>
      <w:r>
        <w:t>19</w:t>
      </w:r>
      <w:r>
        <w:fldChar w:fldCharType="end"/>
      </w:r>
    </w:p>
    <w:p>
      <w:pPr>
        <w:pStyle w:val="TOC8"/>
        <w:rPr>
          <w:rFonts w:asciiTheme="minorHAnsi" w:eastAsiaTheme="minorEastAsia" w:hAnsiTheme="minorHAnsi" w:cstheme="minorBidi"/>
          <w:szCs w:val="22"/>
        </w:rPr>
      </w:pPr>
      <w:r>
        <w:t>9.</w:t>
      </w:r>
      <w:r>
        <w:tab/>
        <w:t>Jurisdiction of Commission</w:t>
      </w:r>
      <w:r>
        <w:tab/>
      </w:r>
      <w:r>
        <w:fldChar w:fldCharType="begin"/>
      </w:r>
      <w:r>
        <w:instrText xml:space="preserve"> PAGEREF _Toc93934539 \h </w:instrText>
      </w:r>
      <w:r>
        <w:fldChar w:fldCharType="separate"/>
      </w:r>
      <w:r>
        <w:t>20</w:t>
      </w:r>
      <w:r>
        <w:fldChar w:fldCharType="end"/>
      </w:r>
    </w:p>
    <w:p>
      <w:pPr>
        <w:pStyle w:val="TOC8"/>
        <w:rPr>
          <w:rFonts w:asciiTheme="minorHAnsi" w:eastAsiaTheme="minorEastAsia" w:hAnsiTheme="minorHAnsi" w:cstheme="minorBidi"/>
          <w:szCs w:val="22"/>
        </w:rPr>
      </w:pPr>
      <w:r>
        <w:t>9A.</w:t>
      </w:r>
      <w:r>
        <w:tab/>
        <w:t>Constitution of Commission</w:t>
      </w:r>
      <w:r>
        <w:tab/>
      </w:r>
      <w:r>
        <w:fldChar w:fldCharType="begin"/>
      </w:r>
      <w:r>
        <w:instrText xml:space="preserve"> PAGEREF _Toc93934540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2A — Members of the Commission</w:t>
      </w:r>
    </w:p>
    <w:p>
      <w:pPr>
        <w:pStyle w:val="TOC8"/>
        <w:rPr>
          <w:rFonts w:asciiTheme="minorHAnsi" w:eastAsiaTheme="minorEastAsia" w:hAnsiTheme="minorHAnsi" w:cstheme="minorBidi"/>
          <w:szCs w:val="22"/>
        </w:rPr>
      </w:pPr>
      <w:r>
        <w:t>9B.</w:t>
      </w:r>
      <w:r>
        <w:tab/>
        <w:t>Commission members</w:t>
      </w:r>
      <w:r>
        <w:tab/>
      </w:r>
      <w:r>
        <w:fldChar w:fldCharType="begin"/>
      </w:r>
      <w:r>
        <w:instrText xml:space="preserve"> PAGEREF _Toc93934542 \h </w:instrText>
      </w:r>
      <w:r>
        <w:fldChar w:fldCharType="separate"/>
      </w:r>
      <w:r>
        <w:t>20</w:t>
      </w:r>
      <w:r>
        <w:fldChar w:fldCharType="end"/>
      </w:r>
    </w:p>
    <w:p>
      <w:pPr>
        <w:pStyle w:val="TOC8"/>
        <w:rPr>
          <w:rFonts w:asciiTheme="minorHAnsi" w:eastAsiaTheme="minorEastAsia" w:hAnsiTheme="minorHAnsi" w:cstheme="minorBidi"/>
          <w:szCs w:val="22"/>
        </w:rPr>
      </w:pPr>
      <w:r>
        <w:t>9C.</w:t>
      </w:r>
      <w:r>
        <w:tab/>
        <w:t>Tenure of office</w:t>
      </w:r>
      <w:r>
        <w:tab/>
      </w:r>
      <w:r>
        <w:fldChar w:fldCharType="begin"/>
      </w:r>
      <w:r>
        <w:instrText xml:space="preserve"> PAGEREF _Toc93934543 \h </w:instrText>
      </w:r>
      <w:r>
        <w:fldChar w:fldCharType="separate"/>
      </w:r>
      <w:r>
        <w:t>21</w:t>
      </w:r>
      <w:r>
        <w:fldChar w:fldCharType="end"/>
      </w:r>
    </w:p>
    <w:p>
      <w:pPr>
        <w:pStyle w:val="TOC8"/>
        <w:rPr>
          <w:rFonts w:asciiTheme="minorHAnsi" w:eastAsiaTheme="minorEastAsia" w:hAnsiTheme="minorHAnsi" w:cstheme="minorBidi"/>
          <w:szCs w:val="22"/>
        </w:rPr>
      </w:pPr>
      <w:r>
        <w:t>9D.</w:t>
      </w:r>
      <w:r>
        <w:tab/>
        <w:t>Deputy chairperson</w:t>
      </w:r>
      <w:r>
        <w:tab/>
      </w:r>
      <w:r>
        <w:fldChar w:fldCharType="begin"/>
      </w:r>
      <w:r>
        <w:instrText xml:space="preserve"> PAGEREF _Toc93934544 \h </w:instrText>
      </w:r>
      <w:r>
        <w:fldChar w:fldCharType="separate"/>
      </w:r>
      <w:r>
        <w:t>21</w:t>
      </w:r>
      <w:r>
        <w:fldChar w:fldCharType="end"/>
      </w:r>
    </w:p>
    <w:p>
      <w:pPr>
        <w:pStyle w:val="TOC8"/>
        <w:rPr>
          <w:rFonts w:asciiTheme="minorHAnsi" w:eastAsiaTheme="minorEastAsia" w:hAnsiTheme="minorHAnsi" w:cstheme="minorBidi"/>
          <w:szCs w:val="22"/>
        </w:rPr>
      </w:pPr>
      <w:r>
        <w:t>9E.</w:t>
      </w:r>
      <w:r>
        <w:tab/>
        <w:t>Removal or resignation</w:t>
      </w:r>
      <w:r>
        <w:tab/>
      </w:r>
      <w:r>
        <w:fldChar w:fldCharType="begin"/>
      </w:r>
      <w:r>
        <w:instrText xml:space="preserve"> PAGEREF _Toc93934545 \h </w:instrText>
      </w:r>
      <w:r>
        <w:fldChar w:fldCharType="separate"/>
      </w:r>
      <w:r>
        <w:t>22</w:t>
      </w:r>
      <w:r>
        <w:fldChar w:fldCharType="end"/>
      </w:r>
    </w:p>
    <w:p>
      <w:pPr>
        <w:pStyle w:val="TOC8"/>
        <w:rPr>
          <w:rFonts w:asciiTheme="minorHAnsi" w:eastAsiaTheme="minorEastAsia" w:hAnsiTheme="minorHAnsi" w:cstheme="minorBidi"/>
          <w:szCs w:val="22"/>
        </w:rPr>
      </w:pPr>
      <w:r>
        <w:t>9F.</w:t>
      </w:r>
      <w:r>
        <w:tab/>
        <w:t>Leave of absence</w:t>
      </w:r>
      <w:r>
        <w:tab/>
      </w:r>
      <w:r>
        <w:fldChar w:fldCharType="begin"/>
      </w:r>
      <w:r>
        <w:instrText xml:space="preserve"> PAGEREF _Toc93934546 \h </w:instrText>
      </w:r>
      <w:r>
        <w:fldChar w:fldCharType="separate"/>
      </w:r>
      <w:r>
        <w:t>22</w:t>
      </w:r>
      <w:r>
        <w:fldChar w:fldCharType="end"/>
      </w:r>
    </w:p>
    <w:p>
      <w:pPr>
        <w:pStyle w:val="TOC8"/>
        <w:rPr>
          <w:rFonts w:asciiTheme="minorHAnsi" w:eastAsiaTheme="minorEastAsia" w:hAnsiTheme="minorHAnsi" w:cstheme="minorBidi"/>
          <w:szCs w:val="22"/>
        </w:rPr>
      </w:pPr>
      <w:r>
        <w:t>9G.</w:t>
      </w:r>
      <w:r>
        <w:tab/>
        <w:t>Member whose term has expired may continue in office</w:t>
      </w:r>
      <w:r>
        <w:tab/>
      </w:r>
      <w:r>
        <w:fldChar w:fldCharType="begin"/>
      </w:r>
      <w:r>
        <w:instrText xml:space="preserve"> PAGEREF _Toc93934547 \h </w:instrText>
      </w:r>
      <w:r>
        <w:fldChar w:fldCharType="separate"/>
      </w:r>
      <w:r>
        <w:t>22</w:t>
      </w:r>
      <w:r>
        <w:fldChar w:fldCharType="end"/>
      </w:r>
    </w:p>
    <w:p>
      <w:pPr>
        <w:pStyle w:val="TOC8"/>
        <w:rPr>
          <w:rFonts w:asciiTheme="minorHAnsi" w:eastAsiaTheme="minorEastAsia" w:hAnsiTheme="minorHAnsi" w:cstheme="minorBidi"/>
          <w:szCs w:val="22"/>
        </w:rPr>
      </w:pPr>
      <w:r>
        <w:t>9H.</w:t>
      </w:r>
      <w:r>
        <w:tab/>
        <w:t>Remuneration and conditions of office</w:t>
      </w:r>
      <w:r>
        <w:tab/>
      </w:r>
      <w:r>
        <w:fldChar w:fldCharType="begin"/>
      </w:r>
      <w:r>
        <w:instrText xml:space="preserve"> PAGEREF _Toc93934548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2B — Other matters</w:t>
      </w:r>
    </w:p>
    <w:p>
      <w:pPr>
        <w:pStyle w:val="TOC8"/>
        <w:rPr>
          <w:rFonts w:asciiTheme="minorHAnsi" w:eastAsiaTheme="minorEastAsia" w:hAnsiTheme="minorHAnsi" w:cstheme="minorBidi"/>
          <w:szCs w:val="22"/>
        </w:rPr>
      </w:pPr>
      <w:r>
        <w:t>9I.</w:t>
      </w:r>
      <w:r>
        <w:tab/>
        <w:t>Decisions of Commission to be written etc.</w:t>
      </w:r>
      <w:r>
        <w:tab/>
      </w:r>
      <w:r>
        <w:fldChar w:fldCharType="begin"/>
      </w:r>
      <w:r>
        <w:instrText xml:space="preserve"> PAGEREF _Toc93934550 \h </w:instrText>
      </w:r>
      <w:r>
        <w:fldChar w:fldCharType="separate"/>
      </w:r>
      <w:r>
        <w:t>23</w:t>
      </w:r>
      <w:r>
        <w:fldChar w:fldCharType="end"/>
      </w:r>
    </w:p>
    <w:p>
      <w:pPr>
        <w:pStyle w:val="TOC8"/>
        <w:rPr>
          <w:rFonts w:asciiTheme="minorHAnsi" w:eastAsiaTheme="minorEastAsia" w:hAnsiTheme="minorHAnsi" w:cstheme="minorBidi"/>
          <w:szCs w:val="22"/>
        </w:rPr>
      </w:pPr>
      <w:r>
        <w:t>9J.</w:t>
      </w:r>
      <w:r>
        <w:tab/>
        <w:t>Seal of Commission</w:t>
      </w:r>
      <w:r>
        <w:tab/>
      </w:r>
      <w:r>
        <w:fldChar w:fldCharType="begin"/>
      </w:r>
      <w:r>
        <w:instrText xml:space="preserve"> PAGEREF _Toc93934551 \h </w:instrText>
      </w:r>
      <w:r>
        <w:fldChar w:fldCharType="separate"/>
      </w:r>
      <w:r>
        <w:t>24</w:t>
      </w:r>
      <w:r>
        <w:fldChar w:fldCharType="end"/>
      </w:r>
    </w:p>
    <w:p>
      <w:pPr>
        <w:pStyle w:val="TOC8"/>
        <w:rPr>
          <w:rFonts w:asciiTheme="minorHAnsi" w:eastAsiaTheme="minorEastAsia" w:hAnsiTheme="minorHAnsi" w:cstheme="minorBidi"/>
          <w:szCs w:val="22"/>
        </w:rPr>
      </w:pPr>
      <w:r>
        <w:t>9K.</w:t>
      </w:r>
      <w:r>
        <w:tab/>
        <w:t>Annual reports by Commission</w:t>
      </w:r>
      <w:r>
        <w:tab/>
      </w:r>
      <w:r>
        <w:fldChar w:fldCharType="begin"/>
      </w:r>
      <w:r>
        <w:instrText xml:space="preserve"> PAGEREF _Toc93934552 \h </w:instrText>
      </w:r>
      <w:r>
        <w:fldChar w:fldCharType="separate"/>
      </w:r>
      <w:r>
        <w:t>24</w:t>
      </w:r>
      <w:r>
        <w:fldChar w:fldCharType="end"/>
      </w:r>
    </w:p>
    <w:p>
      <w:pPr>
        <w:pStyle w:val="TOC8"/>
        <w:rPr>
          <w:rFonts w:asciiTheme="minorHAnsi" w:eastAsiaTheme="minorEastAsia" w:hAnsiTheme="minorHAnsi" w:cstheme="minorBidi"/>
          <w:szCs w:val="22"/>
        </w:rPr>
      </w:pPr>
      <w:r>
        <w:t>9L.</w:t>
      </w:r>
      <w:r>
        <w:tab/>
        <w:t>Laying annual report before House of Parliament not sitting</w:t>
      </w:r>
      <w:r>
        <w:tab/>
      </w:r>
      <w:r>
        <w:fldChar w:fldCharType="begin"/>
      </w:r>
      <w:r>
        <w:instrText xml:space="preserve"> PAGEREF _Toc93934553 \h </w:instrText>
      </w:r>
      <w:r>
        <w:fldChar w:fldCharType="separate"/>
      </w:r>
      <w:r>
        <w:t>25</w:t>
      </w:r>
      <w:r>
        <w:fldChar w:fldCharType="end"/>
      </w:r>
    </w:p>
    <w:p>
      <w:pPr>
        <w:pStyle w:val="TOC8"/>
        <w:rPr>
          <w:rFonts w:asciiTheme="minorHAnsi" w:eastAsiaTheme="minorEastAsia" w:hAnsiTheme="minorHAnsi" w:cstheme="minorBidi"/>
          <w:szCs w:val="22"/>
        </w:rPr>
      </w:pPr>
      <w:r>
        <w:t>9M.</w:t>
      </w:r>
      <w:r>
        <w:tab/>
        <w:t>Protection and immunity of members, parties etc.</w:t>
      </w:r>
      <w:r>
        <w:tab/>
      </w:r>
      <w:r>
        <w:fldChar w:fldCharType="begin"/>
      </w:r>
      <w:r>
        <w:instrText xml:space="preserve"> PAGEREF _Toc93934554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Director of Liquor Licensing</w:t>
      </w:r>
    </w:p>
    <w:p>
      <w:pPr>
        <w:pStyle w:val="TOC8"/>
        <w:rPr>
          <w:rFonts w:asciiTheme="minorHAnsi" w:eastAsiaTheme="minorEastAsia" w:hAnsiTheme="minorHAnsi" w:cstheme="minorBidi"/>
          <w:szCs w:val="22"/>
        </w:rPr>
      </w:pPr>
      <w:r>
        <w:t>13</w:t>
      </w:r>
      <w:r>
        <w:rPr>
          <w:snapToGrid w:val="0"/>
        </w:rPr>
        <w:t>.</w:t>
      </w:r>
      <w:r>
        <w:rPr>
          <w:snapToGrid w:val="0"/>
        </w:rPr>
        <w:tab/>
        <w:t>Functions of and hearings by Director</w:t>
      </w:r>
      <w:r>
        <w:tab/>
      </w:r>
      <w:r>
        <w:fldChar w:fldCharType="begin"/>
      </w:r>
      <w:r>
        <w:instrText xml:space="preserve"> PAGEREF _Toc93934556 \h </w:instrText>
      </w:r>
      <w:r>
        <w:fldChar w:fldCharType="separate"/>
      </w:r>
      <w:r>
        <w:t>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Inspectors etc., appointment of etc.</w:t>
      </w:r>
      <w:r>
        <w:tab/>
      </w:r>
      <w:r>
        <w:fldChar w:fldCharType="begin"/>
      </w:r>
      <w:r>
        <w:instrText xml:space="preserve"> PAGEREF _Toc93934557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staff of the licensing authority</w:t>
      </w:r>
    </w:p>
    <w:p>
      <w:pPr>
        <w:pStyle w:val="TOC8"/>
        <w:rPr>
          <w:rFonts w:asciiTheme="minorHAnsi" w:eastAsiaTheme="minorEastAsia" w:hAnsiTheme="minorHAnsi" w:cstheme="minorBidi"/>
          <w:szCs w:val="22"/>
        </w:rPr>
      </w:pPr>
      <w:r>
        <w:t>15</w:t>
      </w:r>
      <w:r>
        <w:rPr>
          <w:snapToGrid w:val="0"/>
        </w:rPr>
        <w:t>.</w:t>
      </w:r>
      <w:r>
        <w:rPr>
          <w:snapToGrid w:val="0"/>
        </w:rPr>
        <w:tab/>
        <w:t>Director may delegate etc.</w:t>
      </w:r>
      <w:r>
        <w:tab/>
      </w:r>
      <w:r>
        <w:fldChar w:fldCharType="begin"/>
      </w:r>
      <w:r>
        <w:instrText xml:space="preserve"> PAGEREF _Toc93934559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 before the licensing authority</w:t>
      </w:r>
    </w:p>
    <w:p>
      <w:pPr>
        <w:pStyle w:val="TOC8"/>
        <w:rPr>
          <w:rFonts w:asciiTheme="minorHAnsi" w:eastAsiaTheme="minorEastAsia" w:hAnsiTheme="minorHAnsi" w:cstheme="minorBidi"/>
          <w:szCs w:val="22"/>
        </w:rPr>
      </w:pPr>
      <w:r>
        <w:t>16</w:t>
      </w:r>
      <w:r>
        <w:rPr>
          <w:snapToGrid w:val="0"/>
        </w:rPr>
        <w:t>.</w:t>
      </w:r>
      <w:r>
        <w:rPr>
          <w:snapToGrid w:val="0"/>
        </w:rPr>
        <w:tab/>
        <w:t>Procedure, sittings, use of experts, evidentiary rules etc.</w:t>
      </w:r>
      <w:r>
        <w:tab/>
      </w:r>
      <w:r>
        <w:fldChar w:fldCharType="begin"/>
      </w:r>
      <w:r>
        <w:instrText xml:space="preserve"> PAGEREF _Toc93934561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Representation of parties</w:t>
      </w:r>
      <w:r>
        <w:tab/>
      </w:r>
      <w:r>
        <w:fldChar w:fldCharType="begin"/>
      </w:r>
      <w:r>
        <w:instrText xml:space="preserve"> PAGEREF _Toc93934562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Witnesses and evidence, powers to summon etc.</w:t>
      </w:r>
      <w:r>
        <w:tab/>
      </w:r>
      <w:r>
        <w:fldChar w:fldCharType="begin"/>
      </w:r>
      <w:r>
        <w:instrText xml:space="preserve"> PAGEREF _Toc93934563 \h </w:instrText>
      </w:r>
      <w:r>
        <w:fldChar w:fldCharType="separate"/>
      </w:r>
      <w:r>
        <w:t>34</w:t>
      </w:r>
      <w:r>
        <w:fldChar w:fldCharType="end"/>
      </w:r>
    </w:p>
    <w:p>
      <w:pPr>
        <w:pStyle w:val="TOC8"/>
        <w:rPr>
          <w:rFonts w:asciiTheme="minorHAnsi" w:eastAsiaTheme="minorEastAsia" w:hAnsiTheme="minorHAnsi" w:cstheme="minorBidi"/>
          <w:szCs w:val="22"/>
        </w:rPr>
      </w:pPr>
      <w:r>
        <w:t>18AA.</w:t>
      </w:r>
      <w:r>
        <w:tab/>
        <w:t>Notice of decision</w:t>
      </w:r>
      <w:r>
        <w:tab/>
      </w:r>
      <w:r>
        <w:fldChar w:fldCharType="begin"/>
      </w:r>
      <w:r>
        <w:instrText xml:space="preserve"> PAGEREF _Toc93934564 \h </w:instrText>
      </w:r>
      <w:r>
        <w:fldChar w:fldCharType="separate"/>
      </w:r>
      <w:r>
        <w:t>35</w:t>
      </w:r>
      <w:r>
        <w:fldChar w:fldCharType="end"/>
      </w:r>
    </w:p>
    <w:p>
      <w:pPr>
        <w:pStyle w:val="TOC8"/>
        <w:rPr>
          <w:rFonts w:asciiTheme="minorHAnsi" w:eastAsiaTheme="minorEastAsia" w:hAnsiTheme="minorHAnsi" w:cstheme="minorBidi"/>
          <w:szCs w:val="22"/>
        </w:rPr>
      </w:pPr>
      <w:r>
        <w:t>18A.</w:t>
      </w:r>
      <w:r>
        <w:tab/>
        <w:t>Enforcing decisions</w:t>
      </w:r>
      <w:r>
        <w:tab/>
      </w:r>
      <w:r>
        <w:fldChar w:fldCharType="begin"/>
      </w:r>
      <w:r>
        <w:instrText xml:space="preserve"> PAGEREF _Toc93934565 \h </w:instrText>
      </w:r>
      <w:r>
        <w:fldChar w:fldCharType="separate"/>
      </w:r>
      <w:r>
        <w:t>36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Enforcing monetary penalties</w:t>
      </w:r>
      <w:r>
        <w:tab/>
      </w:r>
      <w:r>
        <w:fldChar w:fldCharType="begin"/>
      </w:r>
      <w:r>
        <w:instrText xml:space="preserve"> PAGEREF _Toc93934566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Contempt etc.</w:t>
      </w:r>
      <w:r>
        <w:tab/>
      </w:r>
      <w:r>
        <w:fldChar w:fldCharType="begin"/>
      </w:r>
      <w:r>
        <w:instrText xml:space="preserve"> PAGEREF _Toc93934567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Costs</w:t>
      </w:r>
      <w:r>
        <w:tab/>
      </w:r>
      <w:r>
        <w:fldChar w:fldCharType="begin"/>
      </w:r>
      <w:r>
        <w:instrText xml:space="preserve"> PAGEREF _Toc93934568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Rules </w:t>
      </w:r>
      <w:r>
        <w:t>of Commission</w:t>
      </w:r>
      <w:r>
        <w:tab/>
      </w:r>
      <w:r>
        <w:fldChar w:fldCharType="begin"/>
      </w:r>
      <w:r>
        <w:instrText xml:space="preserve"> PAGEREF _Toc93934569 \h </w:instrText>
      </w:r>
      <w:r>
        <w:fldChar w:fldCharType="separate"/>
      </w:r>
      <w:r>
        <w:t>39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Proof of process; protection from personal liability</w:t>
      </w:r>
      <w:r>
        <w:tab/>
      </w:r>
      <w:r>
        <w:fldChar w:fldCharType="begin"/>
      </w:r>
      <w:r>
        <w:instrText xml:space="preserve"> PAGEREF _Toc93934570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Reference to the Commission, review and appeals</w:t>
      </w:r>
    </w:p>
    <w:p>
      <w:pPr>
        <w:pStyle w:val="TOC8"/>
        <w:rPr>
          <w:rFonts w:asciiTheme="minorHAnsi" w:eastAsiaTheme="minorEastAsia" w:hAnsiTheme="minorHAnsi" w:cstheme="minorBidi"/>
          <w:szCs w:val="22"/>
        </w:rPr>
      </w:pPr>
      <w:r>
        <w:t>24</w:t>
      </w:r>
      <w:r>
        <w:rPr>
          <w:snapToGrid w:val="0"/>
        </w:rPr>
        <w:t>.</w:t>
      </w:r>
      <w:r>
        <w:rPr>
          <w:snapToGrid w:val="0"/>
        </w:rPr>
        <w:tab/>
        <w:t>Director may refer matters to Commission</w:t>
      </w:r>
      <w:r>
        <w:tab/>
      </w:r>
      <w:r>
        <w:fldChar w:fldCharType="begin"/>
      </w:r>
      <w:r>
        <w:instrText xml:space="preserve"> PAGEREF _Toc93934572 \h </w:instrText>
      </w:r>
      <w:r>
        <w:fldChar w:fldCharType="separate"/>
      </w:r>
      <w:r>
        <w:t>40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Review of Director’s decisions</w:t>
      </w:r>
      <w:r>
        <w:tab/>
      </w:r>
      <w:r>
        <w:fldChar w:fldCharType="begin"/>
      </w:r>
      <w:r>
        <w:instrText xml:space="preserve"> PAGEREF _Toc93934573 \h </w:instrText>
      </w:r>
      <w:r>
        <w:fldChar w:fldCharType="separate"/>
      </w:r>
      <w:r>
        <w:t>41</w:t>
      </w:r>
      <w:r>
        <w:fldChar w:fldCharType="end"/>
      </w:r>
    </w:p>
    <w:p>
      <w:pPr>
        <w:pStyle w:val="TOC8"/>
        <w:rPr>
          <w:rFonts w:asciiTheme="minorHAnsi" w:eastAsiaTheme="minorEastAsia" w:hAnsiTheme="minorHAnsi" w:cstheme="minorBidi"/>
          <w:szCs w:val="22"/>
        </w:rPr>
      </w:pPr>
      <w:r>
        <w:t>25A.</w:t>
      </w:r>
      <w:r>
        <w:tab/>
        <w:t>Commission may refer application for review to State Administrative Tribunal</w:t>
      </w:r>
      <w:r>
        <w:tab/>
      </w:r>
      <w:r>
        <w:fldChar w:fldCharType="begin"/>
      </w:r>
      <w:r>
        <w:instrText xml:space="preserve"> PAGEREF _Toc93934574 \h </w:instrText>
      </w:r>
      <w:r>
        <w:fldChar w:fldCharType="separate"/>
      </w:r>
      <w:r>
        <w:t>44</w:t>
      </w:r>
      <w:r>
        <w:fldChar w:fldCharType="end"/>
      </w:r>
    </w:p>
    <w:p>
      <w:pPr>
        <w:pStyle w:val="TOC8"/>
        <w:rPr>
          <w:rFonts w:asciiTheme="minorHAnsi" w:eastAsiaTheme="minorEastAsia" w:hAnsiTheme="minorHAnsi" w:cstheme="minorBidi"/>
          <w:szCs w:val="22"/>
        </w:rPr>
      </w:pPr>
      <w:r>
        <w:t>26.</w:t>
      </w:r>
      <w:r>
        <w:tab/>
        <w:t>Some Director’s decisions have effect despite application to review</w:t>
      </w:r>
      <w:r>
        <w:tab/>
      </w:r>
      <w:r>
        <w:fldChar w:fldCharType="begin"/>
      </w:r>
      <w:r>
        <w:instrText xml:space="preserve"> PAGEREF _Toc93934575 \h </w:instrText>
      </w:r>
      <w:r>
        <w:fldChar w:fldCharType="separate"/>
      </w:r>
      <w:r>
        <w:t>45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Question of law, Commission may state to Supreme Court</w:t>
      </w:r>
      <w:r>
        <w:tab/>
      </w:r>
      <w:r>
        <w:fldChar w:fldCharType="begin"/>
      </w:r>
      <w:r>
        <w:instrText xml:space="preserve"> PAGEREF _Toc93934576 \h </w:instrText>
      </w:r>
      <w:r>
        <w:fldChar w:fldCharType="separate"/>
      </w:r>
      <w:r>
        <w:t>45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Appeals against Commission’s decisions</w:t>
      </w:r>
      <w:r>
        <w:tab/>
      </w:r>
      <w:r>
        <w:fldChar w:fldCharType="begin"/>
      </w:r>
      <w:r>
        <w:instrText xml:space="preserve"> PAGEREF _Toc93934577 \h </w:instrText>
      </w:r>
      <w:r>
        <w:fldChar w:fldCharType="separate"/>
      </w:r>
      <w:r>
        <w:t>45</w:t>
      </w:r>
      <w:r>
        <w:fldChar w:fldCharType="end"/>
      </w:r>
    </w:p>
    <w:p>
      <w:pPr>
        <w:pStyle w:val="TOC8"/>
        <w:rPr>
          <w:rFonts w:asciiTheme="minorHAnsi" w:eastAsiaTheme="minorEastAsia" w:hAnsiTheme="minorHAnsi" w:cstheme="minorBidi"/>
          <w:szCs w:val="22"/>
        </w:rPr>
      </w:pPr>
      <w:r>
        <w:lastRenderedPageBreak/>
        <w:t>29</w:t>
      </w:r>
      <w:r>
        <w:rPr>
          <w:snapToGrid w:val="0"/>
        </w:rPr>
        <w:t>.</w:t>
      </w:r>
      <w:r>
        <w:rPr>
          <w:snapToGrid w:val="0"/>
        </w:rPr>
        <w:tab/>
        <w:t>Licence or permit continues to have effect pending appeal</w:t>
      </w:r>
      <w:r>
        <w:tab/>
      </w:r>
      <w:r>
        <w:fldChar w:fldCharType="begin"/>
      </w:r>
      <w:r>
        <w:instrText xml:space="preserve"> PAGEREF _Toc93934578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30.</w:t>
      </w:r>
      <w:r>
        <w:tab/>
        <w:t>Confidential police information, use and protection of</w:t>
      </w:r>
      <w:r>
        <w:tab/>
      </w:r>
      <w:r>
        <w:fldChar w:fldCharType="begin"/>
      </w:r>
      <w:r>
        <w:instrText xml:space="preserve"> PAGEREF _Toc93934580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3 — Licences and permits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30A</w:t>
      </w:r>
      <w:r>
        <w:rPr>
          <w:snapToGrid w:val="0"/>
        </w:rPr>
        <w:t>.</w:t>
      </w:r>
      <w:r>
        <w:rPr>
          <w:snapToGrid w:val="0"/>
        </w:rPr>
        <w:tab/>
        <w:t>Licences to sell liquor, grant and nature of</w:t>
      </w:r>
      <w:r>
        <w:tab/>
      </w:r>
      <w:r>
        <w:fldChar w:fldCharType="begin"/>
      </w:r>
      <w:r>
        <w:instrText xml:space="preserve"> PAGEREF _Toc93934583 \h </w:instrText>
      </w:r>
      <w:r>
        <w:fldChar w:fldCharType="separate"/>
      </w:r>
      <w:r>
        <w:t>51</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Power of attorney does not empower donee to act for licensee under this Act</w:t>
      </w:r>
      <w:r>
        <w:tab/>
      </w:r>
      <w:r>
        <w:fldChar w:fldCharType="begin"/>
      </w:r>
      <w:r>
        <w:instrText xml:space="preserve"> PAGEREF _Toc93934584 \h </w:instrText>
      </w:r>
      <w:r>
        <w:fldChar w:fldCharType="separate"/>
      </w:r>
      <w:r>
        <w:t>51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Licences, generally</w:t>
      </w:r>
      <w:r>
        <w:tab/>
      </w:r>
      <w:r>
        <w:fldChar w:fldCharType="begin"/>
      </w:r>
      <w:r>
        <w:instrText xml:space="preserve"> PAGEREF _Toc93934585 \h </w:instrText>
      </w:r>
      <w:r>
        <w:fldChar w:fldCharType="separate"/>
      </w:r>
      <w:r>
        <w:t>51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Duration of licences</w:t>
      </w:r>
      <w:r>
        <w:tab/>
      </w:r>
      <w:r>
        <w:fldChar w:fldCharType="begin"/>
      </w:r>
      <w:r>
        <w:instrText xml:space="preserve"> PAGEREF _Toc93934586 \h </w:instrText>
      </w:r>
      <w:r>
        <w:fldChar w:fldCharType="separate"/>
      </w:r>
      <w:r>
        <w:t>53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licensing authority when deciding applications</w:t>
      </w:r>
      <w:r>
        <w:tab/>
      </w:r>
      <w:r>
        <w:fldChar w:fldCharType="begin"/>
      </w:r>
      <w:r>
        <w:instrText xml:space="preserve"> PAGEREF _Toc93934587 \h </w:instrText>
      </w:r>
      <w:r>
        <w:fldChar w:fldCharType="separate"/>
      </w:r>
      <w:r>
        <w:t>54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applications not to be decided</w:t>
      </w:r>
      <w:r>
        <w:tab/>
      </w:r>
      <w:r>
        <w:fldChar w:fldCharType="begin"/>
      </w:r>
      <w:r>
        <w:instrText xml:space="preserve"> PAGEREF _Toc93934588 \h </w:instrText>
      </w:r>
      <w:r>
        <w:fldChar w:fldCharType="separate"/>
      </w:r>
      <w:r>
        <w:t>57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Persons who may hold licences</w:t>
      </w:r>
      <w:r>
        <w:tab/>
      </w:r>
      <w:r>
        <w:fldChar w:fldCharType="begin"/>
      </w:r>
      <w:r>
        <w:instrText xml:space="preserve"> PAGEREF _Toc93934589 \h </w:instrText>
      </w:r>
      <w:r>
        <w:fldChar w:fldCharType="separate"/>
      </w:r>
      <w:r>
        <w:t>59</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Trustees for unincorporated bodies</w:t>
      </w:r>
      <w:r>
        <w:tab/>
      </w:r>
      <w:r>
        <w:fldChar w:fldCharType="begin"/>
      </w:r>
      <w:r>
        <w:instrText xml:space="preserve"> PAGEREF _Toc93934590 \h </w:instrText>
      </w:r>
      <w:r>
        <w:fldChar w:fldCharType="separate"/>
      </w:r>
      <w:r>
        <w:t>59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Two or more licences for same premises, restrictions on</w:t>
      </w:r>
      <w:r>
        <w:tab/>
      </w:r>
      <w:r>
        <w:fldChar w:fldCharType="begin"/>
      </w:r>
      <w:r>
        <w:instrText xml:space="preserve"> PAGEREF _Toc93934591 \h </w:instrText>
      </w:r>
      <w:r>
        <w:fldChar w:fldCharType="separate"/>
      </w:r>
      <w:r>
        <w:t>60</w:t>
      </w:r>
      <w:r>
        <w:fldChar w:fldCharType="end"/>
      </w:r>
    </w:p>
    <w:p>
      <w:pPr>
        <w:pStyle w:val="TOC8"/>
        <w:rPr>
          <w:rFonts w:asciiTheme="minorHAnsi" w:eastAsiaTheme="minorEastAsia" w:hAnsiTheme="minorHAnsi" w:cstheme="minorBidi"/>
          <w:szCs w:val="22"/>
        </w:rPr>
      </w:pPr>
      <w:r>
        <w:t>36A.</w:t>
      </w:r>
      <w:r>
        <w:tab/>
        <w:t>Petrol stations in some areas not to be granted licences</w:t>
      </w:r>
      <w:r>
        <w:tab/>
      </w:r>
      <w:r>
        <w:fldChar w:fldCharType="begin"/>
      </w:r>
      <w:r>
        <w:instrText xml:space="preserve"> PAGEREF _Toc93934592 \h </w:instrText>
      </w:r>
      <w:r>
        <w:fldChar w:fldCharType="separate"/>
      </w:r>
      <w:r>
        <w:t>61</w:t>
      </w:r>
      <w:r>
        <w:fldChar w:fldCharType="end"/>
      </w:r>
    </w:p>
    <w:p>
      <w:pPr>
        <w:pStyle w:val="TOC8"/>
        <w:rPr>
          <w:rFonts w:asciiTheme="minorHAnsi" w:eastAsiaTheme="minorEastAsia" w:hAnsiTheme="minorHAnsi" w:cstheme="minorBidi"/>
          <w:szCs w:val="22"/>
        </w:rPr>
      </w:pPr>
      <w:r>
        <w:t>36B.</w:t>
      </w:r>
      <w:r>
        <w:tab/>
        <w:t>Restrictions on grant or removal of certain licences authorising sale of packaged liquor</w:t>
      </w:r>
      <w:r>
        <w:tab/>
      </w:r>
      <w:r>
        <w:fldChar w:fldCharType="begin"/>
      </w:r>
      <w:r>
        <w:instrText xml:space="preserve"> PAGEREF _Toc93934593 \h </w:instrText>
      </w:r>
      <w:r>
        <w:fldChar w:fldCharType="separate"/>
      </w:r>
      <w:r>
        <w:t>61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Pre-requisites for grants of licences etc.; conditions on licences</w:t>
      </w:r>
      <w:r>
        <w:tab/>
      </w:r>
      <w:r>
        <w:fldChar w:fldCharType="begin"/>
      </w:r>
      <w:r>
        <w:instrText xml:space="preserve"> PAGEREF _Toc93934594 \h </w:instrText>
      </w:r>
      <w:r>
        <w:fldChar w:fldCharType="separate"/>
      </w:r>
      <w:r>
        <w:t>63</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Conviction of licensee etc., duty to inform Director</w:t>
      </w:r>
      <w:r>
        <w:tab/>
      </w:r>
      <w:r>
        <w:fldChar w:fldCharType="begin"/>
      </w:r>
      <w:r>
        <w:instrText xml:space="preserve"> PAGEREF _Toc93934595 \h </w:instrText>
      </w:r>
      <w:r>
        <w:fldChar w:fldCharType="separate"/>
      </w:r>
      <w:r>
        <w:t>67</w:t>
      </w:r>
      <w:r>
        <w:fldChar w:fldCharType="end"/>
      </w:r>
    </w:p>
    <w:p>
      <w:pPr>
        <w:pStyle w:val="TOC8"/>
        <w:rPr>
          <w:rFonts w:asciiTheme="minorHAnsi" w:eastAsiaTheme="minorEastAsia" w:hAnsiTheme="minorHAnsi" w:cstheme="minorBidi"/>
          <w:szCs w:val="22"/>
        </w:rPr>
      </w:pPr>
      <w:r>
        <w:t>37B.</w:t>
      </w:r>
      <w:r>
        <w:tab/>
        <w:t>Fingerprints etc., licensing authority’s powers to obtain</w:t>
      </w:r>
      <w:r>
        <w:tab/>
      </w:r>
      <w:r>
        <w:fldChar w:fldCharType="begin"/>
      </w:r>
      <w:r>
        <w:instrText xml:space="preserve"> PAGEREF _Toc93934596 \h </w:instrText>
      </w:r>
      <w:r>
        <w:fldChar w:fldCharType="separate"/>
      </w:r>
      <w:r>
        <w:t>67</w:t>
      </w:r>
      <w:r>
        <w:fldChar w:fldCharType="end"/>
      </w:r>
    </w:p>
    <w:p>
      <w:pPr>
        <w:pStyle w:val="TOC8"/>
        <w:rPr>
          <w:rFonts w:asciiTheme="minorHAnsi" w:eastAsiaTheme="minorEastAsia" w:hAnsiTheme="minorHAnsi" w:cstheme="minorBidi"/>
          <w:szCs w:val="22"/>
        </w:rPr>
      </w:pPr>
      <w:r>
        <w:t>37C.</w:t>
      </w:r>
      <w:r>
        <w:tab/>
        <w:t>Register of licensed premises</w:t>
      </w:r>
      <w:r>
        <w:tab/>
      </w:r>
      <w:r>
        <w:fldChar w:fldCharType="begin"/>
      </w:r>
      <w:r>
        <w:instrText xml:space="preserve"> PAGEREF _Toc93934597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38.</w:t>
      </w:r>
      <w:r>
        <w:tab/>
        <w:t>Some applications not to be granted unless in the public interest</w:t>
      </w:r>
      <w:r>
        <w:tab/>
      </w:r>
      <w:r>
        <w:fldChar w:fldCharType="begin"/>
      </w:r>
      <w:r>
        <w:instrText xml:space="preserve"> PAGEREF _Toc93934599 \h </w:instrText>
      </w:r>
      <w:r>
        <w:fldChar w:fldCharType="separate"/>
      </w:r>
      <w:r>
        <w:t>69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Certificate of local government as to whether premises comply with laws</w:t>
      </w:r>
      <w:r>
        <w:tab/>
      </w:r>
      <w:r>
        <w:fldChar w:fldCharType="begin"/>
      </w:r>
      <w:r>
        <w:instrText xml:space="preserve"> PAGEREF _Toc93934600 \h </w:instrText>
      </w:r>
      <w:r>
        <w:fldChar w:fldCharType="separate"/>
      </w:r>
      <w:r>
        <w:t>71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planning authority as to whether use of premises complies with planning laws</w:t>
      </w:r>
      <w:r>
        <w:tab/>
      </w:r>
      <w:r>
        <w:fldChar w:fldCharType="begin"/>
      </w:r>
      <w:r>
        <w:instrText xml:space="preserve"> PAGEREF _Toc93934601 \h </w:instrText>
      </w:r>
      <w:r>
        <w:fldChar w:fldCharType="separate"/>
      </w:r>
      <w:r>
        <w:t>72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Hotel licence, kinds, conditions and effect of</w:t>
      </w:r>
      <w:r>
        <w:tab/>
      </w:r>
      <w:r>
        <w:fldChar w:fldCharType="begin"/>
      </w:r>
      <w:r>
        <w:instrText xml:space="preserve"> PAGEREF _Toc93934602 \h </w:instrText>
      </w:r>
      <w:r>
        <w:fldChar w:fldCharType="separate"/>
      </w:r>
      <w:r>
        <w:t>73</w:t>
      </w:r>
      <w:r>
        <w:fldChar w:fldCharType="end"/>
      </w:r>
    </w:p>
    <w:p>
      <w:pPr>
        <w:pStyle w:val="TOC8"/>
        <w:rPr>
          <w:rFonts w:asciiTheme="minorHAnsi" w:eastAsiaTheme="minorEastAsia" w:hAnsiTheme="minorHAnsi" w:cstheme="minorBidi"/>
          <w:szCs w:val="22"/>
        </w:rPr>
      </w:pPr>
      <w:r>
        <w:t>41A.</w:t>
      </w:r>
      <w:r>
        <w:tab/>
        <w:t>Effect and conditions of small bar licence</w:t>
      </w:r>
      <w:r>
        <w:tab/>
      </w:r>
      <w:r>
        <w:fldChar w:fldCharType="begin"/>
      </w:r>
      <w:r>
        <w:instrText xml:space="preserve"> PAGEREF _Toc93934603 \h </w:instrText>
      </w:r>
      <w:r>
        <w:fldChar w:fldCharType="separate"/>
      </w:r>
      <w:r>
        <w:t>76</w:t>
      </w:r>
      <w:r>
        <w:fldChar w:fldCharType="end"/>
      </w:r>
    </w:p>
    <w:p>
      <w:pPr>
        <w:pStyle w:val="TOC8"/>
        <w:rPr>
          <w:rFonts w:asciiTheme="minorHAnsi" w:eastAsiaTheme="minorEastAsia" w:hAnsiTheme="minorHAnsi" w:cstheme="minorBidi"/>
          <w:szCs w:val="22"/>
        </w:rPr>
      </w:pPr>
      <w:r>
        <w:lastRenderedPageBreak/>
        <w:t>41B.</w:t>
      </w:r>
      <w:r>
        <w:tab/>
        <w:t>Small bar licence may be granted as alternative to tavern restricted licence</w:t>
      </w:r>
      <w:r>
        <w:tab/>
      </w:r>
      <w:r>
        <w:fldChar w:fldCharType="begin"/>
      </w:r>
      <w:r>
        <w:instrText xml:space="preserve"> PAGEREF _Toc93934604 \h </w:instrText>
      </w:r>
      <w:r>
        <w:fldChar w:fldCharType="separate"/>
      </w:r>
      <w:r>
        <w:t>76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Nightclub licence, effect and conditions of</w:t>
      </w:r>
      <w:r>
        <w:tab/>
      </w:r>
      <w:r>
        <w:fldChar w:fldCharType="begin"/>
      </w:r>
      <w:r>
        <w:instrText xml:space="preserve"> PAGEREF _Toc93934605 \h </w:instrText>
      </w:r>
      <w:r>
        <w:fldChar w:fldCharType="separate"/>
      </w:r>
      <w:r>
        <w:t>77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w:t>
      </w:r>
      <w:r>
        <w:t xml:space="preserve">ightclub </w:t>
      </w:r>
      <w:r>
        <w:rPr>
          <w:snapToGrid w:val="0"/>
        </w:rPr>
        <w:t>licence, pre-requisites for grant of</w:t>
      </w:r>
      <w:r>
        <w:tab/>
      </w:r>
      <w:r>
        <w:fldChar w:fldCharType="begin"/>
      </w:r>
      <w:r>
        <w:instrText xml:space="preserve"> PAGEREF _Toc93934606 \h </w:instrText>
      </w:r>
      <w:r>
        <w:fldChar w:fldCharType="separate"/>
      </w:r>
      <w:r>
        <w:t>78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Casino liquor licence, effect and conditions of</w:t>
      </w:r>
      <w:r>
        <w:tab/>
      </w:r>
      <w:r>
        <w:fldChar w:fldCharType="begin"/>
      </w:r>
      <w:r>
        <w:instrText xml:space="preserve"> PAGEREF _Toc93934607 \h </w:instrText>
      </w:r>
      <w:r>
        <w:fldChar w:fldCharType="separate"/>
      </w:r>
      <w:r>
        <w:t>78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Casino liquor licence, pre-requisites for grant of</w:t>
      </w:r>
      <w:r>
        <w:tab/>
      </w:r>
      <w:r>
        <w:fldChar w:fldCharType="begin"/>
      </w:r>
      <w:r>
        <w:instrText xml:space="preserve"> PAGEREF _Toc93934608 \h </w:instrText>
      </w:r>
      <w:r>
        <w:fldChar w:fldCharType="separate"/>
      </w:r>
      <w:r>
        <w:t>79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Special facility licence, pre-requisites for grant of</w:t>
      </w:r>
      <w:r>
        <w:tab/>
      </w:r>
      <w:r>
        <w:fldChar w:fldCharType="begin"/>
      </w:r>
      <w:r>
        <w:instrText xml:space="preserve"> PAGEREF _Toc93934609 \h </w:instrText>
      </w:r>
      <w:r>
        <w:fldChar w:fldCharType="separate"/>
      </w:r>
      <w:r>
        <w:t>80</w:t>
      </w:r>
      <w:r>
        <w:fldChar w:fldCharType="end"/>
      </w:r>
    </w:p>
    <w:p>
      <w:pPr>
        <w:pStyle w:val="TOC8"/>
        <w:rPr>
          <w:rFonts w:asciiTheme="minorHAnsi" w:eastAsiaTheme="minorEastAsia" w:hAnsiTheme="minorHAnsi" w:cstheme="minorBidi"/>
          <w:szCs w:val="22"/>
        </w:rPr>
      </w:pPr>
      <w:r>
        <w:t>46A.</w:t>
      </w:r>
      <w:r>
        <w:tab/>
        <w:t>Special facility licence, restrictions on varying</w:t>
      </w:r>
      <w:r>
        <w:tab/>
      </w:r>
      <w:r>
        <w:fldChar w:fldCharType="begin"/>
      </w:r>
      <w:r>
        <w:instrText xml:space="preserve"> PAGEREF _Toc93934610 \h </w:instrText>
      </w:r>
      <w:r>
        <w:fldChar w:fldCharType="separate"/>
      </w:r>
      <w:r>
        <w:t>82</w:t>
      </w:r>
      <w:r>
        <w:fldChar w:fldCharType="end"/>
      </w:r>
    </w:p>
    <w:p>
      <w:pPr>
        <w:pStyle w:val="TOC8"/>
        <w:rPr>
          <w:rFonts w:asciiTheme="minorHAnsi" w:eastAsiaTheme="minorEastAsia" w:hAnsiTheme="minorHAnsi" w:cstheme="minorBidi"/>
          <w:szCs w:val="22"/>
        </w:rPr>
      </w:pPr>
      <w:r>
        <w:t>46B.</w:t>
      </w:r>
      <w:r>
        <w:tab/>
        <w:t>Alternatives to granting or varying special facility licences</w:t>
      </w:r>
      <w:r>
        <w:tab/>
      </w:r>
      <w:r>
        <w:fldChar w:fldCharType="begin"/>
      </w:r>
      <w:r>
        <w:instrText xml:space="preserve"> PAGEREF _Toc93934611 \h </w:instrText>
      </w:r>
      <w:r>
        <w:fldChar w:fldCharType="separate"/>
      </w:r>
      <w:r>
        <w:t>82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Liquor store licence, effect of</w:t>
      </w:r>
      <w:r>
        <w:tab/>
      </w:r>
      <w:r>
        <w:fldChar w:fldCharType="begin"/>
      </w:r>
      <w:r>
        <w:instrText xml:space="preserve"> PAGEREF _Toc93934612 \h </w:instrText>
      </w:r>
      <w:r>
        <w:fldChar w:fldCharType="separate"/>
      </w:r>
      <w:r>
        <w:t>83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Club licence, kinds, conditions and effect of</w:t>
      </w:r>
      <w:r>
        <w:tab/>
      </w:r>
      <w:r>
        <w:fldChar w:fldCharType="begin"/>
      </w:r>
      <w:r>
        <w:instrText xml:space="preserve"> PAGEREF _Toc93934613 \h </w:instrText>
      </w:r>
      <w:r>
        <w:fldChar w:fldCharType="separate"/>
      </w:r>
      <w:r>
        <w:t>84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Club licence, pre-requisites for grant of</w:t>
      </w:r>
      <w:r>
        <w:tab/>
      </w:r>
      <w:r>
        <w:fldChar w:fldCharType="begin"/>
      </w:r>
      <w:r>
        <w:instrText xml:space="preserve"> PAGEREF _Toc93934614 \h </w:instrText>
      </w:r>
      <w:r>
        <w:fldChar w:fldCharType="separate"/>
      </w:r>
      <w:r>
        <w:t>88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Restaurant licence, effect and conditions of</w:t>
      </w:r>
      <w:r>
        <w:tab/>
      </w:r>
      <w:r>
        <w:fldChar w:fldCharType="begin"/>
      </w:r>
      <w:r>
        <w:instrText xml:space="preserve"> PAGEREF _Toc93934615 \h </w:instrText>
      </w:r>
      <w:r>
        <w:fldChar w:fldCharType="separate"/>
      </w:r>
      <w:r>
        <w:t>89</w:t>
      </w:r>
      <w:r>
        <w:fldChar w:fldCharType="end"/>
      </w:r>
    </w:p>
    <w:p>
      <w:pPr>
        <w:pStyle w:val="TOC8"/>
        <w:rPr>
          <w:rFonts w:asciiTheme="minorHAnsi" w:eastAsiaTheme="minorEastAsia" w:hAnsiTheme="minorHAnsi" w:cstheme="minorBidi"/>
          <w:szCs w:val="22"/>
        </w:rPr>
      </w:pPr>
      <w:r>
        <w:t>50A.</w:t>
      </w:r>
      <w:r>
        <w:tab/>
        <w:t>Issue of extended trading permit under s. 60(4)(ca) for certain restaurant licences at time of grant</w:t>
      </w:r>
      <w:r>
        <w:tab/>
      </w:r>
      <w:r>
        <w:fldChar w:fldCharType="begin"/>
      </w:r>
      <w:r>
        <w:instrText xml:space="preserve"> PAGEREF _Toc93934616 \h </w:instrText>
      </w:r>
      <w:r>
        <w:fldChar w:fldCharType="separate"/>
      </w:r>
      <w:r>
        <w:t>91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Unlicensed restaurants, supply of liquor in</w:t>
      </w:r>
      <w:r>
        <w:tab/>
      </w:r>
      <w:r>
        <w:fldChar w:fldCharType="begin"/>
      </w:r>
      <w:r>
        <w:instrText xml:space="preserve"> PAGEREF _Toc93934617 \h </w:instrText>
      </w:r>
      <w:r>
        <w:fldChar w:fldCharType="separate"/>
      </w:r>
      <w:r>
        <w:t>91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Liquor sold or consumed with meals, effect of extended trading permit which authorises; evidentiary provisions</w:t>
      </w:r>
      <w:r>
        <w:tab/>
      </w:r>
      <w:r>
        <w:fldChar w:fldCharType="begin"/>
      </w:r>
      <w:r>
        <w:instrText xml:space="preserve"> PAGEREF _Toc93934618 \h </w:instrText>
      </w:r>
      <w:r>
        <w:fldChar w:fldCharType="separate"/>
      </w:r>
      <w:r>
        <w:t>92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Restaurant licence and extended trading permit, effect of may be restricted as to selling liquor with meals</w:t>
      </w:r>
      <w:r>
        <w:tab/>
      </w:r>
      <w:r>
        <w:fldChar w:fldCharType="begin"/>
      </w:r>
      <w:r>
        <w:instrText xml:space="preserve"> PAGEREF _Toc93934619 \h </w:instrText>
      </w:r>
      <w:r>
        <w:fldChar w:fldCharType="separate"/>
      </w:r>
      <w:r>
        <w:t>93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Producer’s licence, effect of</w:t>
      </w:r>
      <w:r>
        <w:tab/>
      </w:r>
      <w:r>
        <w:fldChar w:fldCharType="begin"/>
      </w:r>
      <w:r>
        <w:instrText xml:space="preserve"> PAGEREF _Toc93934620 \h </w:instrText>
      </w:r>
      <w:r>
        <w:fldChar w:fldCharType="separate"/>
      </w:r>
      <w:r>
        <w:t>94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Production of liquor by person, presumption of</w:t>
      </w:r>
      <w:r>
        <w:tab/>
      </w:r>
      <w:r>
        <w:fldChar w:fldCharType="begin"/>
      </w:r>
      <w:r>
        <w:instrText xml:space="preserve"> PAGEREF _Toc93934621 \h </w:instrText>
      </w:r>
      <w:r>
        <w:fldChar w:fldCharType="separate"/>
      </w:r>
      <w:r>
        <w:t>95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Producer’s licence, pre-requisites for grant of</w:t>
      </w:r>
      <w:r>
        <w:tab/>
      </w:r>
      <w:r>
        <w:fldChar w:fldCharType="begin"/>
      </w:r>
      <w:r>
        <w:instrText xml:space="preserve"> PAGEREF _Toc93934622 \h </w:instrText>
      </w:r>
      <w:r>
        <w:fldChar w:fldCharType="separate"/>
      </w:r>
      <w:r>
        <w:t>96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Wholesaler’s licence, effect and conditions of</w:t>
      </w:r>
      <w:r>
        <w:tab/>
      </w:r>
      <w:r>
        <w:fldChar w:fldCharType="begin"/>
      </w:r>
      <w:r>
        <w:instrText xml:space="preserve"> PAGEREF _Toc93934623 \h </w:instrText>
      </w:r>
      <w:r>
        <w:fldChar w:fldCharType="separate"/>
      </w:r>
      <w:r>
        <w:t>97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Occasional licence, effect, conditions and pre-requisites for grant of</w:t>
      </w:r>
      <w:r>
        <w:tab/>
      </w:r>
      <w:r>
        <w:fldChar w:fldCharType="begin"/>
      </w:r>
      <w:r>
        <w:instrText xml:space="preserve"> PAGEREF _Toc93934624 \h </w:instrText>
      </w:r>
      <w:r>
        <w:fldChar w:fldCharType="separate"/>
      </w:r>
      <w:r>
        <w:t>98</w:t>
      </w:r>
      <w:r>
        <w:fldChar w:fldCharType="end"/>
      </w:r>
    </w:p>
    <w:p>
      <w:pPr>
        <w:pStyle w:val="TOC8"/>
        <w:rPr>
          <w:rFonts w:asciiTheme="minorHAnsi" w:eastAsiaTheme="minorEastAsia" w:hAnsiTheme="minorHAnsi" w:cstheme="minorBidi"/>
          <w:szCs w:val="22"/>
        </w:rPr>
      </w:pPr>
      <w:r>
        <w:t>59A.</w:t>
      </w:r>
      <w:r>
        <w:tab/>
        <w:t>Additional authorisations relating to supply and sale of liquor on licensed premises</w:t>
      </w:r>
      <w:r>
        <w:tab/>
      </w:r>
      <w:r>
        <w:fldChar w:fldCharType="begin"/>
      </w:r>
      <w:r>
        <w:instrText xml:space="preserve"> PAGEREF _Toc93934625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Permits</w:t>
      </w:r>
    </w:p>
    <w:p>
      <w:pPr>
        <w:pStyle w:val="TOC8"/>
        <w:rPr>
          <w:rFonts w:asciiTheme="minorHAnsi" w:eastAsiaTheme="minorEastAsia" w:hAnsiTheme="minorHAnsi" w:cstheme="minorBidi"/>
          <w:szCs w:val="22"/>
        </w:rPr>
      </w:pPr>
      <w:r>
        <w:t>60</w:t>
      </w:r>
      <w:r>
        <w:rPr>
          <w:snapToGrid w:val="0"/>
        </w:rPr>
        <w:t>.</w:t>
      </w:r>
      <w:r>
        <w:rPr>
          <w:snapToGrid w:val="0"/>
        </w:rPr>
        <w:tab/>
        <w:t>Extended trading permit, purposes, effect and conditions of</w:t>
      </w:r>
      <w:r>
        <w:tab/>
      </w:r>
      <w:r>
        <w:fldChar w:fldCharType="begin"/>
      </w:r>
      <w:r>
        <w:instrText xml:space="preserve"> PAGEREF _Toc93934627 \h </w:instrText>
      </w:r>
      <w:r>
        <w:fldChar w:fldCharType="separate"/>
      </w:r>
      <w:r>
        <w:t>102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Extended trading permit for extended area (s. 60(4)(h)), pre</w:t>
      </w:r>
      <w:r>
        <w:rPr>
          <w:snapToGrid w:val="0"/>
        </w:rPr>
        <w:noBreakHyphen/>
        <w:t>requisites for grant of</w:t>
      </w:r>
      <w:r>
        <w:tab/>
      </w:r>
      <w:r>
        <w:fldChar w:fldCharType="begin"/>
      </w:r>
      <w:r>
        <w:instrText xml:space="preserve"> PAGEREF _Toc93934628 \h </w:instrText>
      </w:r>
      <w:r>
        <w:fldChar w:fldCharType="separate"/>
      </w:r>
      <w:r>
        <w:t>107</w:t>
      </w:r>
      <w:r>
        <w:fldChar w:fldCharType="end"/>
      </w:r>
    </w:p>
    <w:p>
      <w:pPr>
        <w:pStyle w:val="TOC8"/>
        <w:rPr>
          <w:rFonts w:asciiTheme="minorHAnsi" w:eastAsiaTheme="minorEastAsia" w:hAnsiTheme="minorHAnsi" w:cstheme="minorBidi"/>
          <w:szCs w:val="22"/>
        </w:rPr>
      </w:pPr>
      <w:r>
        <w:t>61A.</w:t>
      </w:r>
      <w:r>
        <w:tab/>
        <w:t>Extended trading permit for sale of liquor (s. 60(4)(ia))</w:t>
      </w:r>
      <w:r>
        <w:tab/>
      </w:r>
      <w:r>
        <w:fldChar w:fldCharType="begin"/>
      </w:r>
      <w:r>
        <w:instrText xml:space="preserve"> PAGEREF _Toc93934629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w:t>
      </w:r>
      <w:r>
        <w:rPr>
          <w:snapToGrid w:val="0"/>
        </w:rPr>
        <w:t> — </w:t>
      </w:r>
      <w:r>
        <w:t>Conditional grants or approvals</w:t>
      </w:r>
    </w:p>
    <w:p>
      <w:pPr>
        <w:pStyle w:val="TOC8"/>
        <w:rPr>
          <w:rFonts w:asciiTheme="minorHAnsi" w:eastAsiaTheme="minorEastAsia" w:hAnsiTheme="minorHAnsi" w:cstheme="minorBidi"/>
          <w:szCs w:val="22"/>
        </w:rPr>
      </w:pPr>
      <w:r>
        <w:t>62</w:t>
      </w:r>
      <w:r>
        <w:rPr>
          <w:snapToGrid w:val="0"/>
        </w:rPr>
        <w:t>.</w:t>
      </w:r>
      <w:r>
        <w:rPr>
          <w:snapToGrid w:val="0"/>
        </w:rPr>
        <w:tab/>
        <w:t>Uncompleted premises, conditional grant or removal in case of</w:t>
      </w:r>
      <w:r>
        <w:tab/>
      </w:r>
      <w:r>
        <w:fldChar w:fldCharType="begin"/>
      </w:r>
      <w:r>
        <w:instrText xml:space="preserve"> PAGEREF _Toc93934631 \h </w:instrText>
      </w:r>
      <w:r>
        <w:fldChar w:fldCharType="separate"/>
      </w:r>
      <w:r>
        <w:t>109</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Pending certificate (s. 39 or 40) etc., conditional grant in case of</w:t>
      </w:r>
      <w:r>
        <w:tab/>
      </w:r>
      <w:r>
        <w:fldChar w:fldCharType="begin"/>
      </w:r>
      <w:r>
        <w:instrText xml:space="preserve"> PAGEREF _Toc93934632 \h </w:instrText>
      </w:r>
      <w:r>
        <w:fldChar w:fldCharType="separate"/>
      </w:r>
      <w:r>
        <w:t>113</w:t>
      </w:r>
      <w:r>
        <w:fldChar w:fldCharType="end"/>
      </w:r>
    </w:p>
    <w:p>
      <w:pPr>
        <w:pStyle w:val="TOC8"/>
        <w:rPr>
          <w:rFonts w:asciiTheme="minorHAnsi" w:eastAsiaTheme="minorEastAsia" w:hAnsiTheme="minorHAnsi" w:cstheme="minorBidi"/>
          <w:szCs w:val="22"/>
        </w:rPr>
      </w:pPr>
      <w:r>
        <w:t>62B</w:t>
      </w:r>
      <w:r>
        <w:rPr>
          <w:snapToGrid w:val="0"/>
        </w:rPr>
        <w:t>.</w:t>
      </w:r>
      <w:r>
        <w:rPr>
          <w:snapToGrid w:val="0"/>
        </w:rPr>
        <w:tab/>
        <w:t>Pending approval etc. (s. 77(5)), conditional approval of alteration etc. in case of</w:t>
      </w:r>
      <w:r>
        <w:tab/>
      </w:r>
      <w:r>
        <w:fldChar w:fldCharType="begin"/>
      </w:r>
      <w:r>
        <w:instrText xml:space="preserve"> PAGEREF _Toc93934633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Conditions, generally</w:t>
      </w:r>
    </w:p>
    <w:p>
      <w:pPr>
        <w:pStyle w:val="TOC8"/>
        <w:rPr>
          <w:rFonts w:asciiTheme="minorHAnsi" w:eastAsiaTheme="minorEastAsia" w:hAnsiTheme="minorHAnsi" w:cstheme="minorBidi"/>
          <w:szCs w:val="22"/>
        </w:rPr>
      </w:pPr>
      <w:r>
        <w:t>63</w:t>
      </w:r>
      <w:r>
        <w:rPr>
          <w:snapToGrid w:val="0"/>
        </w:rPr>
        <w:t>.</w:t>
      </w:r>
      <w:r>
        <w:rPr>
          <w:snapToGrid w:val="0"/>
        </w:rPr>
        <w:tab/>
        <w:t>Terms fixed and conditions imposed by Act, only some can be varied etc.</w:t>
      </w:r>
      <w:r>
        <w:tab/>
      </w:r>
      <w:r>
        <w:fldChar w:fldCharType="begin"/>
      </w:r>
      <w:r>
        <w:instrText xml:space="preserve"> PAGEREF _Toc93934635 \h </w:instrText>
      </w:r>
      <w:r>
        <w:fldChar w:fldCharType="separate"/>
      </w:r>
      <w:r>
        <w:t>114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Imposing, varying and cancelling conditions</w:t>
      </w:r>
      <w:r>
        <w:tab/>
      </w:r>
      <w:r>
        <w:fldChar w:fldCharType="begin"/>
      </w:r>
      <w:r>
        <w:instrText xml:space="preserve"> PAGEREF _Toc93934636 \h </w:instrText>
      </w:r>
      <w:r>
        <w:fldChar w:fldCharType="separate"/>
      </w:r>
      <w:r>
        <w:t>115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r>
      <w:r>
        <w:t>Conditions relating to sale and delivery of packaged liquor or liquor for consumption off licensed premises</w:t>
      </w:r>
      <w:r>
        <w:tab/>
      </w:r>
      <w:r>
        <w:fldChar w:fldCharType="begin"/>
      </w:r>
      <w:r>
        <w:instrText xml:space="preserve"> PAGEREF _Toc93934637 \h </w:instrText>
      </w:r>
      <w:r>
        <w:fldChar w:fldCharType="separate"/>
      </w:r>
      <w:r>
        <w:t>120</w:t>
      </w:r>
      <w:r>
        <w:fldChar w:fldCharType="end"/>
      </w:r>
    </w:p>
    <w:p>
      <w:pPr>
        <w:pStyle w:val="TOC8"/>
        <w:rPr>
          <w:rFonts w:asciiTheme="minorHAnsi" w:eastAsiaTheme="minorEastAsia" w:hAnsiTheme="minorHAnsi" w:cstheme="minorBidi"/>
          <w:szCs w:val="22"/>
        </w:rPr>
      </w:pPr>
      <w:r>
        <w:t>65A.</w:t>
      </w:r>
      <w:r>
        <w:tab/>
        <w:t>Petrol station not to be established on premises from which packaged liquor is sold</w:t>
      </w:r>
      <w:r>
        <w:tab/>
      </w:r>
      <w:r>
        <w:fldChar w:fldCharType="begin"/>
      </w:r>
      <w:r>
        <w:instrText xml:space="preserve"> PAGEREF _Toc93934638 \h </w:instrText>
      </w:r>
      <w:r>
        <w:fldChar w:fldCharType="separate"/>
      </w:r>
      <w:r>
        <w:t>122</w:t>
      </w:r>
      <w:r>
        <w:fldChar w:fldCharType="end"/>
      </w:r>
    </w:p>
    <w:p>
      <w:pPr>
        <w:pStyle w:val="TOC8"/>
        <w:rPr>
          <w:rFonts w:asciiTheme="minorHAnsi" w:eastAsiaTheme="minorEastAsia" w:hAnsiTheme="minorHAnsi" w:cstheme="minorBidi"/>
          <w:szCs w:val="22"/>
        </w:rPr>
      </w:pPr>
      <w:r>
        <w:t>65B.</w:t>
      </w:r>
      <w:r>
        <w:tab/>
        <w:t>Promoting liquor, regulations may prescribe conditions about</w:t>
      </w:r>
      <w:r>
        <w:tab/>
      </w:r>
      <w:r>
        <w:fldChar w:fldCharType="begin"/>
      </w:r>
      <w:r>
        <w:instrText xml:space="preserve"> PAGEREF _Toc93934639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Applications</w:t>
      </w:r>
    </w:p>
    <w:p>
      <w:pPr>
        <w:pStyle w:val="TOC8"/>
        <w:rPr>
          <w:rFonts w:asciiTheme="minorHAnsi" w:eastAsiaTheme="minorEastAsia" w:hAnsiTheme="minorHAnsi" w:cstheme="minorBidi"/>
          <w:szCs w:val="22"/>
        </w:rPr>
      </w:pPr>
      <w:r>
        <w:t>66</w:t>
      </w:r>
      <w:r>
        <w:rPr>
          <w:snapToGrid w:val="0"/>
        </w:rPr>
        <w:t>.</w:t>
      </w:r>
      <w:r>
        <w:rPr>
          <w:snapToGrid w:val="0"/>
        </w:rPr>
        <w:tab/>
        <w:t>Plans and specifications of premises, requirements as to</w:t>
      </w:r>
      <w:r>
        <w:tab/>
      </w:r>
      <w:r>
        <w:fldChar w:fldCharType="begin"/>
      </w:r>
      <w:r>
        <w:instrText xml:space="preserve"> PAGEREF _Toc93934641 \h </w:instrText>
      </w:r>
      <w:r>
        <w:fldChar w:fldCharType="separate"/>
      </w:r>
      <w:r>
        <w:t>123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Advertisement of applications</w:t>
      </w:r>
      <w:r>
        <w:tab/>
      </w:r>
      <w:r>
        <w:fldChar w:fldCharType="begin"/>
      </w:r>
      <w:r>
        <w:instrText xml:space="preserve"> PAGEREF _Toc93934642 \h </w:instrText>
      </w:r>
      <w:r>
        <w:fldChar w:fldCharType="separate"/>
      </w:r>
      <w:r>
        <w:t>124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Form, manner, notice and public inspection of applications</w:t>
      </w:r>
      <w:r>
        <w:tab/>
      </w:r>
      <w:r>
        <w:fldChar w:fldCharType="begin"/>
      </w:r>
      <w:r>
        <w:instrText xml:space="preserve"> PAGEREF _Toc93934643 \h </w:instrText>
      </w:r>
      <w:r>
        <w:fldChar w:fldCharType="separate"/>
      </w:r>
      <w:r>
        <w:t>124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Advertising, referring, investigating and intervening in applications</w:t>
      </w:r>
      <w:r>
        <w:tab/>
      </w:r>
      <w:r>
        <w:fldChar w:fldCharType="begin"/>
      </w:r>
      <w:r>
        <w:instrText xml:space="preserve"> PAGEREF _Toc93934644 \h </w:instrText>
      </w:r>
      <w:r>
        <w:fldChar w:fldCharType="separate"/>
      </w:r>
      <w:r>
        <w:t>125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Club licence applications, intervening in</w:t>
      </w:r>
      <w:r>
        <w:tab/>
      </w:r>
      <w:r>
        <w:fldChar w:fldCharType="begin"/>
      </w:r>
      <w:r>
        <w:instrText xml:space="preserve"> PAGEREF _Toc93934645 \h </w:instrText>
      </w:r>
      <w:r>
        <w:fldChar w:fldCharType="separate"/>
      </w:r>
      <w:r>
        <w:t>131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Owner etc. of premises, when consent of required; right of owner, lessee etc. to object</w:t>
      </w:r>
      <w:r>
        <w:tab/>
      </w:r>
      <w:r>
        <w:fldChar w:fldCharType="begin"/>
      </w:r>
      <w:r>
        <w:instrText xml:space="preserve"> PAGEREF _Toc93934646 \h </w:instrText>
      </w:r>
      <w:r>
        <w:fldChar w:fldCharType="separate"/>
      </w:r>
      <w:r>
        <w:t>131</w:t>
      </w:r>
      <w:r>
        <w:fldChar w:fldCharType="end"/>
      </w:r>
    </w:p>
    <w:p>
      <w:pPr>
        <w:pStyle w:val="TOC8"/>
        <w:rPr>
          <w:rFonts w:asciiTheme="minorHAnsi" w:eastAsiaTheme="minorEastAsia" w:hAnsiTheme="minorHAnsi" w:cstheme="minorBidi"/>
          <w:szCs w:val="22"/>
        </w:rPr>
      </w:pPr>
      <w:r>
        <w:t>72A.</w:t>
      </w:r>
      <w:r>
        <w:tab/>
        <w:t>Submissions generally</w:t>
      </w:r>
      <w:r>
        <w:tab/>
      </w:r>
      <w:r>
        <w:fldChar w:fldCharType="begin"/>
      </w:r>
      <w:r>
        <w:instrText xml:space="preserve"> PAGEREF _Toc93934647 \h </w:instrText>
      </w:r>
      <w:r>
        <w:fldChar w:fldCharType="separate"/>
      </w:r>
      <w:r>
        <w:t>132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Objecting to applications, general right and rules as to</w:t>
      </w:r>
      <w:r>
        <w:tab/>
      </w:r>
      <w:r>
        <w:fldChar w:fldCharType="begin"/>
      </w:r>
      <w:r>
        <w:instrText xml:space="preserve"> PAGEREF _Toc93934648 \h </w:instrText>
      </w:r>
      <w:r>
        <w:fldChar w:fldCharType="separate"/>
      </w:r>
      <w:r>
        <w:t>133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Objecting to applications, grounds for etc.</w:t>
      </w:r>
      <w:r>
        <w:tab/>
      </w:r>
      <w:r>
        <w:fldChar w:fldCharType="begin"/>
      </w:r>
      <w:r>
        <w:instrText xml:space="preserve"> PAGEREF _Toc93934649 \h </w:instrText>
      </w:r>
      <w:r>
        <w:fldChar w:fldCharType="separate"/>
      </w:r>
      <w:r>
        <w:t>135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Occasional licence, applications for</w:t>
      </w:r>
      <w:r>
        <w:tab/>
      </w:r>
      <w:r>
        <w:fldChar w:fldCharType="begin"/>
      </w:r>
      <w:r>
        <w:instrText xml:space="preserve"> PAGEREF _Toc93934650 \h </w:instrText>
      </w:r>
      <w:r>
        <w:fldChar w:fldCharType="separate"/>
      </w:r>
      <w:r>
        <w:t>137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Extended trading permit, applications for</w:t>
      </w:r>
      <w:r>
        <w:tab/>
      </w:r>
      <w:r>
        <w:fldChar w:fldCharType="begin"/>
      </w:r>
      <w:r>
        <w:instrText xml:space="preserve"> PAGEREF _Toc93934651 \h </w:instrText>
      </w:r>
      <w:r>
        <w:fldChar w:fldCharType="separate"/>
      </w:r>
      <w:r>
        <w:t>137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No alteration of licensed premises without approval; application for approvals of alterations or redefinition of premises</w:t>
      </w:r>
      <w:r>
        <w:tab/>
      </w:r>
      <w:r>
        <w:fldChar w:fldCharType="begin"/>
      </w:r>
      <w:r>
        <w:instrText xml:space="preserve"> PAGEREF _Toc93934652 \h </w:instrText>
      </w:r>
      <w:r>
        <w:fldChar w:fldCharType="separate"/>
      </w:r>
      <w:r>
        <w:t>138</w:t>
      </w:r>
      <w:r>
        <w:fldChar w:fldCharType="end"/>
      </w:r>
    </w:p>
    <w:p>
      <w:pPr>
        <w:pStyle w:val="TOC8"/>
        <w:rPr>
          <w:rFonts w:asciiTheme="minorHAnsi" w:eastAsiaTheme="minorEastAsia" w:hAnsiTheme="minorHAnsi" w:cstheme="minorBidi"/>
          <w:szCs w:val="22"/>
        </w:rPr>
      </w:pPr>
      <w:r>
        <w:lastRenderedPageBreak/>
        <w:t>77A.</w:t>
      </w:r>
      <w:r>
        <w:tab/>
        <w:t>Restrictions on alteration or redefinition of certain packaged liquor premises</w:t>
      </w:r>
      <w:r>
        <w:tab/>
      </w:r>
      <w:r>
        <w:fldChar w:fldCharType="begin"/>
      </w:r>
      <w:r>
        <w:instrText xml:space="preserve"> PAGEREF _Toc93934653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Removals</w:t>
      </w:r>
    </w:p>
    <w:p>
      <w:pPr>
        <w:pStyle w:val="TOC8"/>
        <w:rPr>
          <w:rFonts w:asciiTheme="minorHAnsi" w:eastAsiaTheme="minorEastAsia" w:hAnsiTheme="minorHAnsi" w:cstheme="minorBidi"/>
          <w:szCs w:val="22"/>
        </w:rPr>
      </w:pPr>
      <w:r>
        <w:t>78</w:t>
      </w:r>
      <w:r>
        <w:rPr>
          <w:snapToGrid w:val="0"/>
        </w:rPr>
        <w:t>.</w:t>
      </w:r>
      <w:r>
        <w:rPr>
          <w:snapToGrid w:val="0"/>
        </w:rPr>
        <w:tab/>
        <w:t>Casino liquor licence not removable without authority</w:t>
      </w:r>
      <w:r>
        <w:tab/>
      </w:r>
      <w:r>
        <w:fldChar w:fldCharType="begin"/>
      </w:r>
      <w:r>
        <w:instrText xml:space="preserve"> PAGEREF _Toc93934655 \h </w:instrText>
      </w:r>
      <w:r>
        <w:fldChar w:fldCharType="separate"/>
      </w:r>
      <w:r>
        <w:t>142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Licence relating to transport, when removable</w:t>
      </w:r>
      <w:r>
        <w:tab/>
      </w:r>
      <w:r>
        <w:fldChar w:fldCharType="begin"/>
      </w:r>
      <w:r>
        <w:instrText xml:space="preserve"> PAGEREF _Toc93934656 \h </w:instrText>
      </w:r>
      <w:r>
        <w:fldChar w:fldCharType="separate"/>
      </w:r>
      <w:r>
        <w:t>143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Temporary removal or redefinition of licence</w:t>
      </w:r>
      <w:r>
        <w:tab/>
      </w:r>
      <w:r>
        <w:fldChar w:fldCharType="begin"/>
      </w:r>
      <w:r>
        <w:instrText xml:space="preserve"> PAGEREF _Toc93934657 \h </w:instrText>
      </w:r>
      <w:r>
        <w:fldChar w:fldCharType="separate"/>
      </w:r>
      <w:r>
        <w:t>143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Applications for removal of licence</w:t>
      </w:r>
      <w:r>
        <w:tab/>
      </w:r>
      <w:r>
        <w:fldChar w:fldCharType="begin"/>
      </w:r>
      <w:r>
        <w:instrText xml:space="preserve"> PAGEREF _Toc93934658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Applications for transfer of licences</w:t>
      </w:r>
      <w:r>
        <w:tab/>
      </w:r>
      <w:r>
        <w:fldChar w:fldCharType="begin"/>
      </w:r>
      <w:r>
        <w:instrText xml:space="preserve"> PAGEREF _Toc93934660 \h </w:instrText>
      </w:r>
      <w:r>
        <w:fldChar w:fldCharType="separate"/>
      </w:r>
      <w:r>
        <w:t>145</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Transfer of licence between licence holders</w:t>
      </w:r>
      <w:r>
        <w:tab/>
      </w:r>
      <w:r>
        <w:fldChar w:fldCharType="begin"/>
      </w:r>
      <w:r>
        <w:instrText xml:space="preserve"> PAGEREF _Toc93934661 \h </w:instrText>
      </w:r>
      <w:r>
        <w:fldChar w:fldCharType="separate"/>
      </w:r>
      <w:r>
        <w:t>146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Certain licences not transferable</w:t>
      </w:r>
      <w:r>
        <w:tab/>
      </w:r>
      <w:r>
        <w:fldChar w:fldCharType="begin"/>
      </w:r>
      <w:r>
        <w:instrText xml:space="preserve"> PAGEREF _Toc93934662 \h </w:instrText>
      </w:r>
      <w:r>
        <w:fldChar w:fldCharType="separate"/>
      </w:r>
      <w:r>
        <w:t>146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Pre-requisites for transfer of licence</w:t>
      </w:r>
      <w:r>
        <w:tab/>
      </w:r>
      <w:r>
        <w:fldChar w:fldCharType="begin"/>
      </w:r>
      <w:r>
        <w:instrText xml:space="preserve"> PAGEREF _Toc93934663 \h </w:instrText>
      </w:r>
      <w:r>
        <w:fldChar w:fldCharType="separate"/>
      </w:r>
      <w:r>
        <w:t>147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Transferee to succeed to certain of transferor’s liabilities and rights</w:t>
      </w:r>
      <w:r>
        <w:tab/>
      </w:r>
      <w:r>
        <w:fldChar w:fldCharType="begin"/>
      </w:r>
      <w:r>
        <w:instrText xml:space="preserve"> PAGEREF _Toc93934664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Interim authorisations and protection orders</w:t>
      </w:r>
    </w:p>
    <w:p>
      <w:pPr>
        <w:pStyle w:val="TOC8"/>
        <w:rPr>
          <w:rFonts w:asciiTheme="minorHAnsi" w:eastAsiaTheme="minorEastAsia" w:hAnsiTheme="minorHAnsi" w:cstheme="minorBidi"/>
          <w:szCs w:val="22"/>
        </w:rPr>
      </w:pPr>
      <w:r>
        <w:t>86</w:t>
      </w:r>
      <w:r>
        <w:rPr>
          <w:snapToGrid w:val="0"/>
        </w:rPr>
        <w:t>.</w:t>
      </w:r>
      <w:r>
        <w:rPr>
          <w:snapToGrid w:val="0"/>
        </w:rPr>
        <w:tab/>
        <w:t>Interim authorisations to carry on business under licence</w:t>
      </w:r>
      <w:r>
        <w:tab/>
      </w:r>
      <w:r>
        <w:fldChar w:fldCharType="begin"/>
      </w:r>
      <w:r>
        <w:instrText xml:space="preserve"> PAGEREF _Toc93934666 \h </w:instrText>
      </w:r>
      <w:r>
        <w:fldChar w:fldCharType="separate"/>
      </w:r>
      <w:r>
        <w:t>150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Protection orders, grant and term of etc.</w:t>
      </w:r>
      <w:r>
        <w:tab/>
      </w:r>
      <w:r>
        <w:fldChar w:fldCharType="begin"/>
      </w:r>
      <w:r>
        <w:instrText xml:space="preserve"> PAGEREF _Toc93934667 \h </w:instrText>
      </w:r>
      <w:r>
        <w:fldChar w:fldCharType="separate"/>
      </w:r>
      <w:r>
        <w:t>153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Protection order, effect of</w:t>
      </w:r>
      <w:r>
        <w:tab/>
      </w:r>
      <w:r>
        <w:fldChar w:fldCharType="begin"/>
      </w:r>
      <w:r>
        <w:instrText xml:space="preserve"> PAGEREF _Toc93934668 \h </w:instrText>
      </w:r>
      <w:r>
        <w:fldChar w:fldCharType="separate"/>
      </w:r>
      <w:r>
        <w:t>156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Dispute as to terms of lease, Director’s powers in case of</w:t>
      </w:r>
      <w:r>
        <w:tab/>
      </w:r>
      <w:r>
        <w:fldChar w:fldCharType="begin"/>
      </w:r>
      <w:r>
        <w:instrText xml:space="preserve"> PAGEREF _Toc93934669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Suspensions</w:t>
      </w:r>
    </w:p>
    <w:p>
      <w:pPr>
        <w:pStyle w:val="TOC8"/>
        <w:rPr>
          <w:rFonts w:asciiTheme="minorHAnsi" w:eastAsiaTheme="minorEastAsia" w:hAnsiTheme="minorHAnsi" w:cstheme="minorBidi"/>
          <w:szCs w:val="22"/>
        </w:rPr>
      </w:pPr>
      <w:r>
        <w:t>91</w:t>
      </w:r>
      <w:r>
        <w:rPr>
          <w:snapToGrid w:val="0"/>
        </w:rPr>
        <w:t>.</w:t>
      </w:r>
      <w:r>
        <w:rPr>
          <w:snapToGrid w:val="0"/>
        </w:rPr>
        <w:tab/>
        <w:t>Suspension of licence or permit in the public interest</w:t>
      </w:r>
      <w:r>
        <w:tab/>
      </w:r>
      <w:r>
        <w:fldChar w:fldCharType="begin"/>
      </w:r>
      <w:r>
        <w:instrText xml:space="preserve"> PAGEREF _Toc93934671 \h </w:instrText>
      </w:r>
      <w:r>
        <w:fldChar w:fldCharType="separate"/>
      </w:r>
      <w:r>
        <w:t>157</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Suspension because business has ceased etc.</w:t>
      </w:r>
      <w:r>
        <w:tab/>
      </w:r>
      <w:r>
        <w:fldChar w:fldCharType="begin"/>
      </w:r>
      <w:r>
        <w:instrText xml:space="preserve"> PAGEREF _Toc93934672 \h </w:instrText>
      </w:r>
      <w:r>
        <w:fldChar w:fldCharType="separate"/>
      </w:r>
      <w:r>
        <w:t>158</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Cancellation of suspension</w:t>
      </w:r>
      <w:r>
        <w:tab/>
      </w:r>
      <w:r>
        <w:fldChar w:fldCharType="begin"/>
      </w:r>
      <w:r>
        <w:instrText xml:space="preserve"> PAGEREF _Toc93934673 \h </w:instrText>
      </w:r>
      <w:r>
        <w:fldChar w:fldCharType="separate"/>
      </w:r>
      <w:r>
        <w:t>158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Cancellation of suspended licences</w:t>
      </w:r>
      <w:r>
        <w:tab/>
      </w:r>
      <w:r>
        <w:fldChar w:fldCharType="begin"/>
      </w:r>
      <w:r>
        <w:instrText xml:space="preserve"> PAGEREF _Toc93934674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Surrenders</w:t>
      </w:r>
    </w:p>
    <w:p>
      <w:pPr>
        <w:pStyle w:val="TOC8"/>
        <w:rPr>
          <w:rFonts w:asciiTheme="minorHAnsi" w:eastAsiaTheme="minorEastAsia" w:hAnsiTheme="minorHAnsi" w:cstheme="minorBidi"/>
          <w:szCs w:val="22"/>
        </w:rPr>
      </w:pPr>
      <w:r>
        <w:t>94</w:t>
      </w:r>
      <w:r>
        <w:rPr>
          <w:snapToGrid w:val="0"/>
        </w:rPr>
        <w:t>.</w:t>
      </w:r>
      <w:r>
        <w:rPr>
          <w:snapToGrid w:val="0"/>
        </w:rPr>
        <w:tab/>
        <w:t>Surrendering licences</w:t>
      </w:r>
      <w:r>
        <w:tab/>
      </w:r>
      <w:r>
        <w:fldChar w:fldCharType="begin"/>
      </w:r>
      <w:r>
        <w:instrText xml:space="preserve"> PAGEREF _Toc93934676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13</w:t>
      </w:r>
      <w:r>
        <w:rPr>
          <w:snapToGrid w:val="0"/>
        </w:rPr>
        <w:t> — </w:t>
      </w:r>
      <w:r>
        <w:t>Disciplinary matters</w:t>
      </w:r>
    </w:p>
    <w:p>
      <w:pPr>
        <w:pStyle w:val="TOC8"/>
        <w:rPr>
          <w:rFonts w:asciiTheme="minorHAnsi" w:eastAsiaTheme="minorEastAsia" w:hAnsiTheme="minorHAnsi" w:cstheme="minorBidi"/>
          <w:szCs w:val="22"/>
        </w:rPr>
      </w:pPr>
      <w:r>
        <w:t>95</w:t>
      </w:r>
      <w:r>
        <w:rPr>
          <w:snapToGrid w:val="0"/>
        </w:rPr>
        <w:t>.</w:t>
      </w:r>
      <w:r>
        <w:rPr>
          <w:snapToGrid w:val="0"/>
        </w:rPr>
        <w:tab/>
        <w:t>Disciplinary action against licensees, grounds and procedure for</w:t>
      </w:r>
      <w:r>
        <w:tab/>
      </w:r>
      <w:r>
        <w:fldChar w:fldCharType="begin"/>
      </w:r>
      <w:r>
        <w:instrText xml:space="preserve"> PAGEREF _Toc93934678 \h </w:instrText>
      </w:r>
      <w:r>
        <w:fldChar w:fldCharType="separate"/>
      </w:r>
      <w:r>
        <w:t>161</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Disciplinary action, powers to take</w:t>
      </w:r>
      <w:r>
        <w:tab/>
      </w:r>
      <w:r>
        <w:fldChar w:fldCharType="begin"/>
      </w:r>
      <w:r>
        <w:instrText xml:space="preserve"> PAGEREF _Toc93934679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The conduct of business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Hours of trading</w:t>
      </w:r>
    </w:p>
    <w:p>
      <w:pPr>
        <w:pStyle w:val="TOC8"/>
        <w:rPr>
          <w:rFonts w:asciiTheme="minorHAnsi" w:eastAsiaTheme="minorEastAsia" w:hAnsiTheme="minorHAnsi" w:cstheme="minorBidi"/>
          <w:szCs w:val="22"/>
        </w:rPr>
      </w:pPr>
      <w:r>
        <w:t>97</w:t>
      </w:r>
      <w:r>
        <w:rPr>
          <w:snapToGrid w:val="0"/>
        </w:rPr>
        <w:t>.</w:t>
      </w:r>
      <w:r>
        <w:rPr>
          <w:snapToGrid w:val="0"/>
        </w:rPr>
        <w:tab/>
        <w:t>Permitted hours generally</w:t>
      </w:r>
      <w:r>
        <w:tab/>
      </w:r>
      <w:r>
        <w:fldChar w:fldCharType="begin"/>
      </w:r>
      <w:r>
        <w:instrText xml:space="preserve"> PAGEREF _Toc93934682 \h </w:instrText>
      </w:r>
      <w:r>
        <w:fldChar w:fldCharType="separate"/>
      </w:r>
      <w:r>
        <w:t>169</w:t>
      </w:r>
      <w:r>
        <w:fldChar w:fldCharType="end"/>
      </w:r>
    </w:p>
    <w:p>
      <w:pPr>
        <w:pStyle w:val="TOC8"/>
        <w:rPr>
          <w:rFonts w:asciiTheme="minorHAnsi" w:eastAsiaTheme="minorEastAsia" w:hAnsiTheme="minorHAnsi" w:cstheme="minorBidi"/>
          <w:szCs w:val="22"/>
        </w:rPr>
      </w:pPr>
      <w:r>
        <w:t>98.</w:t>
      </w:r>
      <w:r>
        <w:tab/>
        <w:t>Hotel licence, permitted hours under</w:t>
      </w:r>
      <w:r>
        <w:tab/>
      </w:r>
      <w:r>
        <w:fldChar w:fldCharType="begin"/>
      </w:r>
      <w:r>
        <w:instrText xml:space="preserve"> PAGEREF _Toc93934683 \h </w:instrText>
      </w:r>
      <w:r>
        <w:fldChar w:fldCharType="separate"/>
      </w:r>
      <w:r>
        <w:t>169</w:t>
      </w:r>
      <w:r>
        <w:fldChar w:fldCharType="end"/>
      </w:r>
    </w:p>
    <w:p>
      <w:pPr>
        <w:pStyle w:val="TOC8"/>
        <w:rPr>
          <w:rFonts w:asciiTheme="minorHAnsi" w:eastAsiaTheme="minorEastAsia" w:hAnsiTheme="minorHAnsi" w:cstheme="minorBidi"/>
          <w:szCs w:val="22"/>
        </w:rPr>
      </w:pPr>
      <w:r>
        <w:t>98AA.</w:t>
      </w:r>
      <w:r>
        <w:tab/>
        <w:t>Permitted hours under small bar licence</w:t>
      </w:r>
      <w:r>
        <w:tab/>
      </w:r>
      <w:r>
        <w:fldChar w:fldCharType="begin"/>
      </w:r>
      <w:r>
        <w:instrText xml:space="preserve"> PAGEREF _Toc93934684 \h </w:instrText>
      </w:r>
      <w:r>
        <w:fldChar w:fldCharType="separate"/>
      </w:r>
      <w:r>
        <w:t>170</w:t>
      </w:r>
      <w:r>
        <w:fldChar w:fldCharType="end"/>
      </w:r>
    </w:p>
    <w:p>
      <w:pPr>
        <w:pStyle w:val="TOC8"/>
        <w:rPr>
          <w:rFonts w:asciiTheme="minorHAnsi" w:eastAsiaTheme="minorEastAsia" w:hAnsiTheme="minorHAnsi" w:cstheme="minorBidi"/>
          <w:szCs w:val="22"/>
        </w:rPr>
      </w:pPr>
      <w:r>
        <w:t>98A.</w:t>
      </w:r>
      <w:r>
        <w:tab/>
        <w:t>Nightclub licence, permitted hours under</w:t>
      </w:r>
      <w:r>
        <w:tab/>
      </w:r>
      <w:r>
        <w:fldChar w:fldCharType="begin"/>
      </w:r>
      <w:r>
        <w:instrText xml:space="preserve"> PAGEREF _Toc93934685 \h </w:instrText>
      </w:r>
      <w:r>
        <w:fldChar w:fldCharType="separate"/>
      </w:r>
      <w:r>
        <w:t>170</w:t>
      </w:r>
      <w:r>
        <w:fldChar w:fldCharType="end"/>
      </w:r>
    </w:p>
    <w:p>
      <w:pPr>
        <w:pStyle w:val="TOC8"/>
        <w:rPr>
          <w:rFonts w:asciiTheme="minorHAnsi" w:eastAsiaTheme="minorEastAsia" w:hAnsiTheme="minorHAnsi" w:cstheme="minorBidi"/>
          <w:szCs w:val="22"/>
        </w:rPr>
      </w:pPr>
      <w:r>
        <w:t>98B.</w:t>
      </w:r>
      <w:r>
        <w:tab/>
        <w:t>Casino liquor licence, permitted hours under</w:t>
      </w:r>
      <w:r>
        <w:tab/>
      </w:r>
      <w:r>
        <w:fldChar w:fldCharType="begin"/>
      </w:r>
      <w:r>
        <w:instrText xml:space="preserve"> PAGEREF _Toc93934686 \h </w:instrText>
      </w:r>
      <w:r>
        <w:fldChar w:fldCharType="separate"/>
      </w:r>
      <w:r>
        <w:t>171</w:t>
      </w:r>
      <w:r>
        <w:fldChar w:fldCharType="end"/>
      </w:r>
    </w:p>
    <w:p>
      <w:pPr>
        <w:pStyle w:val="TOC8"/>
        <w:rPr>
          <w:rFonts w:asciiTheme="minorHAnsi" w:eastAsiaTheme="minorEastAsia" w:hAnsiTheme="minorHAnsi" w:cstheme="minorBidi"/>
          <w:szCs w:val="22"/>
        </w:rPr>
      </w:pPr>
      <w:r>
        <w:t>98C.</w:t>
      </w:r>
      <w:r>
        <w:tab/>
        <w:t>Special facility licence, permitted hours under</w:t>
      </w:r>
      <w:r>
        <w:tab/>
      </w:r>
      <w:r>
        <w:fldChar w:fldCharType="begin"/>
      </w:r>
      <w:r>
        <w:instrText xml:space="preserve"> PAGEREF _Toc93934687 \h </w:instrText>
      </w:r>
      <w:r>
        <w:fldChar w:fldCharType="separate"/>
      </w:r>
      <w:r>
        <w:t>171</w:t>
      </w:r>
      <w:r>
        <w:fldChar w:fldCharType="end"/>
      </w:r>
    </w:p>
    <w:p>
      <w:pPr>
        <w:pStyle w:val="TOC8"/>
        <w:rPr>
          <w:rFonts w:asciiTheme="minorHAnsi" w:eastAsiaTheme="minorEastAsia" w:hAnsiTheme="minorHAnsi" w:cstheme="minorBidi"/>
          <w:szCs w:val="22"/>
        </w:rPr>
      </w:pPr>
      <w:r>
        <w:t>98D.</w:t>
      </w:r>
      <w:r>
        <w:tab/>
        <w:t>Liquor store licence, permitted hours under</w:t>
      </w:r>
      <w:r>
        <w:tab/>
      </w:r>
      <w:r>
        <w:fldChar w:fldCharType="begin"/>
      </w:r>
      <w:r>
        <w:instrText xml:space="preserve"> PAGEREF _Toc93934688 \h </w:instrText>
      </w:r>
      <w:r>
        <w:fldChar w:fldCharType="separate"/>
      </w:r>
      <w:r>
        <w:t>172</w:t>
      </w:r>
      <w:r>
        <w:fldChar w:fldCharType="end"/>
      </w:r>
    </w:p>
    <w:p>
      <w:pPr>
        <w:pStyle w:val="TOC8"/>
        <w:rPr>
          <w:rFonts w:asciiTheme="minorHAnsi" w:eastAsiaTheme="minorEastAsia" w:hAnsiTheme="minorHAnsi" w:cstheme="minorBidi"/>
          <w:szCs w:val="22"/>
        </w:rPr>
      </w:pPr>
      <w:r>
        <w:t>98E.</w:t>
      </w:r>
      <w:r>
        <w:tab/>
        <w:t>Club licence and club restricted licence, permitted hours under</w:t>
      </w:r>
      <w:r>
        <w:tab/>
      </w:r>
      <w:r>
        <w:fldChar w:fldCharType="begin"/>
      </w:r>
      <w:r>
        <w:instrText xml:space="preserve"> PAGEREF _Toc93934689 \h </w:instrText>
      </w:r>
      <w:r>
        <w:fldChar w:fldCharType="separate"/>
      </w:r>
      <w:r>
        <w:t>172</w:t>
      </w:r>
      <w:r>
        <w:fldChar w:fldCharType="end"/>
      </w:r>
    </w:p>
    <w:p>
      <w:pPr>
        <w:pStyle w:val="TOC8"/>
        <w:rPr>
          <w:rFonts w:asciiTheme="minorHAnsi" w:eastAsiaTheme="minorEastAsia" w:hAnsiTheme="minorHAnsi" w:cstheme="minorBidi"/>
          <w:szCs w:val="22"/>
        </w:rPr>
      </w:pPr>
      <w:r>
        <w:t>98F.</w:t>
      </w:r>
      <w:r>
        <w:tab/>
        <w:t>Restaurant licence, permitted hours under</w:t>
      </w:r>
      <w:r>
        <w:tab/>
      </w:r>
      <w:r>
        <w:fldChar w:fldCharType="begin"/>
      </w:r>
      <w:r>
        <w:instrText xml:space="preserve"> PAGEREF _Toc93934690 \h </w:instrText>
      </w:r>
      <w:r>
        <w:fldChar w:fldCharType="separate"/>
      </w:r>
      <w:r>
        <w:t>174</w:t>
      </w:r>
      <w:r>
        <w:fldChar w:fldCharType="end"/>
      </w:r>
    </w:p>
    <w:p>
      <w:pPr>
        <w:pStyle w:val="TOC8"/>
        <w:rPr>
          <w:rFonts w:asciiTheme="minorHAnsi" w:eastAsiaTheme="minorEastAsia" w:hAnsiTheme="minorHAnsi" w:cstheme="minorBidi"/>
          <w:szCs w:val="22"/>
        </w:rPr>
      </w:pPr>
      <w:r>
        <w:t>98G.</w:t>
      </w:r>
      <w:r>
        <w:tab/>
        <w:t>Producer’s licence, permitted hours under</w:t>
      </w:r>
      <w:r>
        <w:tab/>
      </w:r>
      <w:r>
        <w:fldChar w:fldCharType="begin"/>
      </w:r>
      <w:r>
        <w:instrText xml:space="preserve"> PAGEREF _Toc93934691 \h </w:instrText>
      </w:r>
      <w:r>
        <w:fldChar w:fldCharType="separate"/>
      </w:r>
      <w:r>
        <w:t>174</w:t>
      </w:r>
      <w:r>
        <w:fldChar w:fldCharType="end"/>
      </w:r>
    </w:p>
    <w:p>
      <w:pPr>
        <w:pStyle w:val="TOC8"/>
        <w:rPr>
          <w:rFonts w:asciiTheme="minorHAnsi" w:eastAsiaTheme="minorEastAsia" w:hAnsiTheme="minorHAnsi" w:cstheme="minorBidi"/>
          <w:szCs w:val="22"/>
        </w:rPr>
      </w:pPr>
      <w:r>
        <w:t>98H.</w:t>
      </w:r>
      <w:r>
        <w:tab/>
        <w:t>Wholesaler’s licence, permitted hours under</w:t>
      </w:r>
      <w:r>
        <w:tab/>
      </w:r>
      <w:r>
        <w:fldChar w:fldCharType="begin"/>
      </w:r>
      <w:r>
        <w:instrText xml:space="preserve"> PAGEREF _Toc93934692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Maintenance of the premises</w:t>
      </w:r>
    </w:p>
    <w:p>
      <w:pPr>
        <w:pStyle w:val="TOC8"/>
        <w:rPr>
          <w:rFonts w:asciiTheme="minorHAnsi" w:eastAsiaTheme="minorEastAsia" w:hAnsiTheme="minorHAnsi" w:cstheme="minorBidi"/>
          <w:szCs w:val="22"/>
        </w:rPr>
      </w:pPr>
      <w:r>
        <w:t>99</w:t>
      </w:r>
      <w:r>
        <w:rPr>
          <w:snapToGrid w:val="0"/>
        </w:rPr>
        <w:t>.</w:t>
      </w:r>
      <w:r>
        <w:rPr>
          <w:snapToGrid w:val="0"/>
        </w:rPr>
        <w:tab/>
        <w:t>Duty to keep premises clean and in good repair; powers to enforce duty and require alterations</w:t>
      </w:r>
      <w:r>
        <w:tab/>
      </w:r>
      <w:r>
        <w:fldChar w:fldCharType="begin"/>
      </w:r>
      <w:r>
        <w:instrText xml:space="preserve"> PAGEREF _Toc93934694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Supervision and management</w:t>
      </w:r>
    </w:p>
    <w:p>
      <w:pPr>
        <w:pStyle w:val="TOC6"/>
        <w:tabs>
          <w:tab w:val="right" w:leader="dot" w:pos="7077"/>
        </w:tabs>
        <w:rPr>
          <w:rFonts w:asciiTheme="minorHAnsi" w:eastAsiaTheme="minorEastAsia" w:hAnsiTheme="minorHAnsi" w:cstheme="minorBidi"/>
          <w:b w:val="0"/>
          <w:sz w:val="22"/>
          <w:szCs w:val="22"/>
        </w:rPr>
      </w:pPr>
      <w:r>
        <w:t>Subdivision 1 — Licensed premises to be supervised and managed</w:t>
      </w:r>
    </w:p>
    <w:p>
      <w:pPr>
        <w:pStyle w:val="TOC8"/>
        <w:rPr>
          <w:rFonts w:asciiTheme="minorHAnsi" w:eastAsiaTheme="minorEastAsia" w:hAnsiTheme="minorHAnsi" w:cstheme="minorBidi"/>
          <w:szCs w:val="22"/>
        </w:rPr>
      </w:pPr>
      <w:r>
        <w:t>100</w:t>
      </w:r>
      <w:r>
        <w:rPr>
          <w:snapToGrid w:val="0"/>
        </w:rPr>
        <w:t>.</w:t>
      </w:r>
      <w:r>
        <w:rPr>
          <w:snapToGrid w:val="0"/>
        </w:rPr>
        <w:tab/>
        <w:t>Licensee’s duties</w:t>
      </w:r>
      <w:r>
        <w:tab/>
      </w:r>
      <w:r>
        <w:fldChar w:fldCharType="begin"/>
      </w:r>
      <w:r>
        <w:instrText xml:space="preserve"> PAGEREF _Toc93934697 \h </w:instrText>
      </w:r>
      <w:r>
        <w:fldChar w:fldCharType="separate"/>
      </w:r>
      <w:r>
        <w:t>176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Managers etc., liabilities of</w:t>
      </w:r>
      <w:r>
        <w:tab/>
      </w:r>
      <w:r>
        <w:fldChar w:fldCharType="begin"/>
      </w:r>
      <w:r>
        <w:instrText xml:space="preserve"> PAGEREF _Toc93934698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Approval of managers</w:t>
      </w:r>
    </w:p>
    <w:p>
      <w:pPr>
        <w:pStyle w:val="TOC8"/>
        <w:rPr>
          <w:rFonts w:asciiTheme="minorHAnsi" w:eastAsiaTheme="minorEastAsia" w:hAnsiTheme="minorHAnsi" w:cstheme="minorBidi"/>
          <w:szCs w:val="22"/>
        </w:rPr>
      </w:pPr>
      <w:r>
        <w:t>102A.</w:t>
      </w:r>
      <w:r>
        <w:tab/>
        <w:t>Terms used</w:t>
      </w:r>
      <w:r>
        <w:tab/>
      </w:r>
      <w:r>
        <w:fldChar w:fldCharType="begin"/>
      </w:r>
      <w:r>
        <w:instrText xml:space="preserve"> PAGEREF _Toc93934700 \h </w:instrText>
      </w:r>
      <w:r>
        <w:fldChar w:fldCharType="separate"/>
      </w:r>
      <w:r>
        <w:t>180</w:t>
      </w:r>
      <w:r>
        <w:fldChar w:fldCharType="end"/>
      </w:r>
    </w:p>
    <w:p>
      <w:pPr>
        <w:pStyle w:val="TOC8"/>
        <w:rPr>
          <w:rFonts w:asciiTheme="minorHAnsi" w:eastAsiaTheme="minorEastAsia" w:hAnsiTheme="minorHAnsi" w:cstheme="minorBidi"/>
          <w:szCs w:val="22"/>
        </w:rPr>
      </w:pPr>
      <w:r>
        <w:t>102B.</w:t>
      </w:r>
      <w:r>
        <w:tab/>
        <w:t>Applications for and granting approvals</w:t>
      </w:r>
      <w:r>
        <w:tab/>
      </w:r>
      <w:r>
        <w:fldChar w:fldCharType="begin"/>
      </w:r>
      <w:r>
        <w:instrText xml:space="preserve"> PAGEREF _Toc93934701 \h </w:instrText>
      </w:r>
      <w:r>
        <w:fldChar w:fldCharType="separate"/>
      </w:r>
      <w:r>
        <w:t>180</w:t>
      </w:r>
      <w:r>
        <w:fldChar w:fldCharType="end"/>
      </w:r>
    </w:p>
    <w:p>
      <w:pPr>
        <w:pStyle w:val="TOC8"/>
        <w:rPr>
          <w:rFonts w:asciiTheme="minorHAnsi" w:eastAsiaTheme="minorEastAsia" w:hAnsiTheme="minorHAnsi" w:cstheme="minorBidi"/>
          <w:szCs w:val="22"/>
        </w:rPr>
      </w:pPr>
      <w:r>
        <w:t>102C.</w:t>
      </w:r>
      <w:r>
        <w:tab/>
        <w:t>Conditions on manager’s approval</w:t>
      </w:r>
      <w:r>
        <w:tab/>
      </w:r>
      <w:r>
        <w:fldChar w:fldCharType="begin"/>
      </w:r>
      <w:r>
        <w:instrText xml:space="preserve"> PAGEREF _Toc93934702 \h </w:instrText>
      </w:r>
      <w:r>
        <w:fldChar w:fldCharType="separate"/>
      </w:r>
      <w:r>
        <w:t>181</w:t>
      </w:r>
      <w:r>
        <w:fldChar w:fldCharType="end"/>
      </w:r>
    </w:p>
    <w:p>
      <w:pPr>
        <w:pStyle w:val="TOC8"/>
        <w:rPr>
          <w:rFonts w:asciiTheme="minorHAnsi" w:eastAsiaTheme="minorEastAsia" w:hAnsiTheme="minorHAnsi" w:cstheme="minorBidi"/>
          <w:szCs w:val="22"/>
        </w:rPr>
      </w:pPr>
      <w:r>
        <w:t>102D.</w:t>
      </w:r>
      <w:r>
        <w:tab/>
        <w:t>Duration of manager’s approval</w:t>
      </w:r>
      <w:r>
        <w:tab/>
      </w:r>
      <w:r>
        <w:fldChar w:fldCharType="begin"/>
      </w:r>
      <w:r>
        <w:instrText xml:space="preserve"> PAGEREF _Toc93934703 \h </w:instrText>
      </w:r>
      <w:r>
        <w:fldChar w:fldCharType="separate"/>
      </w:r>
      <w:r>
        <w:t>181</w:t>
      </w:r>
      <w:r>
        <w:fldChar w:fldCharType="end"/>
      </w:r>
    </w:p>
    <w:p>
      <w:pPr>
        <w:pStyle w:val="TOC8"/>
        <w:rPr>
          <w:rFonts w:asciiTheme="minorHAnsi" w:eastAsiaTheme="minorEastAsia" w:hAnsiTheme="minorHAnsi" w:cstheme="minorBidi"/>
          <w:szCs w:val="22"/>
        </w:rPr>
      </w:pPr>
      <w:r>
        <w:t>102E.</w:t>
      </w:r>
      <w:r>
        <w:tab/>
        <w:t>Renewal of manager’s approval</w:t>
      </w:r>
      <w:r>
        <w:tab/>
      </w:r>
      <w:r>
        <w:fldChar w:fldCharType="begin"/>
      </w:r>
      <w:r>
        <w:instrText xml:space="preserve"> PAGEREF _Toc93934704 \h </w:instrText>
      </w:r>
      <w:r>
        <w:fldChar w:fldCharType="separate"/>
      </w:r>
      <w:r>
        <w:t>181</w:t>
      </w:r>
      <w:r>
        <w:fldChar w:fldCharType="end"/>
      </w:r>
    </w:p>
    <w:p>
      <w:pPr>
        <w:pStyle w:val="TOC8"/>
        <w:rPr>
          <w:rFonts w:asciiTheme="minorHAnsi" w:eastAsiaTheme="minorEastAsia" w:hAnsiTheme="minorHAnsi" w:cstheme="minorBidi"/>
          <w:szCs w:val="22"/>
        </w:rPr>
      </w:pPr>
      <w:r>
        <w:t>102F.</w:t>
      </w:r>
      <w:r>
        <w:tab/>
        <w:t>Disciplinary action against approved managers</w:t>
      </w:r>
      <w:r>
        <w:tab/>
      </w:r>
      <w:r>
        <w:fldChar w:fldCharType="begin"/>
      </w:r>
      <w:r>
        <w:instrText xml:space="preserve"> PAGEREF _Toc93934705 \h </w:instrText>
      </w:r>
      <w:r>
        <w:fldChar w:fldCharType="separate"/>
      </w:r>
      <w:r>
        <w:t>182</w:t>
      </w:r>
      <w:r>
        <w:fldChar w:fldCharType="end"/>
      </w:r>
    </w:p>
    <w:p>
      <w:pPr>
        <w:pStyle w:val="TOC8"/>
        <w:rPr>
          <w:rFonts w:asciiTheme="minorHAnsi" w:eastAsiaTheme="minorEastAsia" w:hAnsiTheme="minorHAnsi" w:cstheme="minorBidi"/>
          <w:szCs w:val="22"/>
        </w:rPr>
      </w:pPr>
      <w:r>
        <w:t>102G.</w:t>
      </w:r>
      <w:r>
        <w:tab/>
        <w:t>Approval may be cancelled on request</w:t>
      </w:r>
      <w:r>
        <w:tab/>
      </w:r>
      <w:r>
        <w:fldChar w:fldCharType="begin"/>
      </w:r>
      <w:r>
        <w:instrText xml:space="preserve"> PAGEREF _Toc93934706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matters</w:t>
      </w:r>
    </w:p>
    <w:p>
      <w:pPr>
        <w:pStyle w:val="TOC8"/>
        <w:rPr>
          <w:rFonts w:asciiTheme="minorHAnsi" w:eastAsiaTheme="minorEastAsia" w:hAnsiTheme="minorHAnsi" w:cstheme="minorBidi"/>
          <w:szCs w:val="22"/>
        </w:rPr>
      </w:pPr>
      <w:r>
        <w:t>102</w:t>
      </w:r>
      <w:r>
        <w:rPr>
          <w:snapToGrid w:val="0"/>
        </w:rPr>
        <w:t>.</w:t>
      </w:r>
      <w:r>
        <w:rPr>
          <w:snapToGrid w:val="0"/>
        </w:rPr>
        <w:tab/>
        <w:t>Management and control of incorporated licensees, approvals required</w:t>
      </w:r>
      <w:r>
        <w:tab/>
      </w:r>
      <w:r>
        <w:fldChar w:fldCharType="begin"/>
      </w:r>
      <w:r>
        <w:instrText xml:space="preserve"> PAGEREF _Toc93934708 \h </w:instrText>
      </w:r>
      <w:r>
        <w:fldChar w:fldCharType="separate"/>
      </w:r>
      <w:r>
        <w:t>183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Owners of licensed premises to notify Director of certain matters</w:t>
      </w:r>
      <w:r>
        <w:tab/>
      </w:r>
      <w:r>
        <w:fldChar w:fldCharType="begin"/>
      </w:r>
      <w:r>
        <w:instrText xml:space="preserve"> PAGEREF _Toc93934709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3A — Responsible practices in selling, supplying and serving liquor</w:t>
      </w:r>
    </w:p>
    <w:p>
      <w:pPr>
        <w:pStyle w:val="TOC8"/>
        <w:rPr>
          <w:rFonts w:asciiTheme="minorHAnsi" w:eastAsiaTheme="minorEastAsia" w:hAnsiTheme="minorHAnsi" w:cstheme="minorBidi"/>
          <w:szCs w:val="22"/>
        </w:rPr>
      </w:pPr>
      <w:r>
        <w:t>103AA.</w:t>
      </w:r>
      <w:r>
        <w:tab/>
        <w:t>Register of responsible practices’ training</w:t>
      </w:r>
      <w:r>
        <w:tab/>
      </w:r>
      <w:r>
        <w:fldChar w:fldCharType="begin"/>
      </w:r>
      <w:r>
        <w:instrText xml:space="preserve"> PAGEREF _Toc93934711 \h </w:instrText>
      </w:r>
      <w:r>
        <w:fldChar w:fldCharType="separate"/>
      </w:r>
      <w:r>
        <w:t>185</w:t>
      </w:r>
      <w:r>
        <w:fldChar w:fldCharType="end"/>
      </w:r>
    </w:p>
    <w:p>
      <w:pPr>
        <w:pStyle w:val="TOC8"/>
        <w:rPr>
          <w:rFonts w:asciiTheme="minorHAnsi" w:eastAsiaTheme="minorEastAsia" w:hAnsiTheme="minorHAnsi" w:cstheme="minorBidi"/>
          <w:szCs w:val="22"/>
        </w:rPr>
      </w:pPr>
      <w:r>
        <w:lastRenderedPageBreak/>
        <w:t>103A.</w:t>
      </w:r>
      <w:r>
        <w:tab/>
        <w:t>Regulations about training people in responsible practices</w:t>
      </w:r>
      <w:r>
        <w:tab/>
      </w:r>
      <w:r>
        <w:fldChar w:fldCharType="begin"/>
      </w:r>
      <w:r>
        <w:instrText xml:space="preserve"> PAGEREF _Toc93934712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Profit sharing</w:t>
      </w:r>
    </w:p>
    <w:p>
      <w:pPr>
        <w:pStyle w:val="TOC8"/>
        <w:rPr>
          <w:rFonts w:asciiTheme="minorHAnsi" w:eastAsiaTheme="minorEastAsia" w:hAnsiTheme="minorHAnsi" w:cstheme="minorBidi"/>
          <w:szCs w:val="22"/>
        </w:rPr>
      </w:pPr>
      <w:r>
        <w:t>104</w:t>
      </w:r>
      <w:r>
        <w:rPr>
          <w:snapToGrid w:val="0"/>
        </w:rPr>
        <w:t>.</w:t>
      </w:r>
      <w:r>
        <w:rPr>
          <w:snapToGrid w:val="0"/>
        </w:rPr>
        <w:tab/>
        <w:t>Profit sharing etc. prohibited without approval</w:t>
      </w:r>
      <w:r>
        <w:tab/>
      </w:r>
      <w:r>
        <w:fldChar w:fldCharType="begin"/>
      </w:r>
      <w:r>
        <w:instrText xml:space="preserve"> PAGEREF _Toc93934714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Lodgers</w:t>
      </w:r>
    </w:p>
    <w:p>
      <w:pPr>
        <w:pStyle w:val="TOC8"/>
        <w:rPr>
          <w:rFonts w:asciiTheme="minorHAnsi" w:eastAsiaTheme="minorEastAsia" w:hAnsiTheme="minorHAnsi" w:cstheme="minorBidi"/>
          <w:szCs w:val="22"/>
        </w:rPr>
      </w:pPr>
      <w:r>
        <w:t>105</w:t>
      </w:r>
      <w:r>
        <w:rPr>
          <w:snapToGrid w:val="0"/>
        </w:rPr>
        <w:t>.</w:t>
      </w:r>
      <w:r>
        <w:rPr>
          <w:snapToGrid w:val="0"/>
        </w:rPr>
        <w:tab/>
        <w:t>Persons deemed lodgers of licensed premises in some cases</w:t>
      </w:r>
      <w:r>
        <w:tab/>
      </w:r>
      <w:r>
        <w:fldChar w:fldCharType="begin"/>
      </w:r>
      <w:r>
        <w:instrText xml:space="preserve"> PAGEREF _Toc93934716 \h </w:instrText>
      </w:r>
      <w:r>
        <w:fldChar w:fldCharType="separate"/>
      </w:r>
      <w:r>
        <w:t>188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Liquor supplied to lodgers etc., conditions applying to</w:t>
      </w:r>
      <w:r>
        <w:tab/>
      </w:r>
      <w:r>
        <w:fldChar w:fldCharType="begin"/>
      </w:r>
      <w:r>
        <w:instrText xml:space="preserve"> PAGEREF _Toc93934717 \h </w:instrText>
      </w:r>
      <w:r>
        <w:fldChar w:fldCharType="separate"/>
      </w:r>
      <w:r>
        <w:t>188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Loss of lodger’s property, licensee’s liability for</w:t>
      </w:r>
      <w:r>
        <w:tab/>
      </w:r>
      <w:r>
        <w:fldChar w:fldCharType="begin"/>
      </w:r>
      <w:r>
        <w:instrText xml:space="preserve"> PAGEREF _Toc93934718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The sale and consumption of liquor, etc.</w:t>
      </w:r>
    </w:p>
    <w:p>
      <w:pPr>
        <w:pStyle w:val="TOC8"/>
        <w:rPr>
          <w:rFonts w:asciiTheme="minorHAnsi" w:eastAsiaTheme="minorEastAsia" w:hAnsiTheme="minorHAnsi" w:cstheme="minorBidi"/>
          <w:szCs w:val="22"/>
        </w:rPr>
      </w:pPr>
      <w:r>
        <w:t>108.</w:t>
      </w:r>
      <w:r>
        <w:tab/>
        <w:t>Certain licensees to exhibit charges for meals and liquor</w:t>
      </w:r>
      <w:r>
        <w:tab/>
      </w:r>
      <w:r>
        <w:fldChar w:fldCharType="begin"/>
      </w:r>
      <w:r>
        <w:instrText xml:space="preserve"> PAGEREF _Toc93934720 \h </w:instrText>
      </w:r>
      <w:r>
        <w:fldChar w:fldCharType="separate"/>
      </w:r>
      <w:r>
        <w:t>190</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Sale of liquor, offences as to</w:t>
      </w:r>
      <w:r>
        <w:tab/>
      </w:r>
      <w:r>
        <w:fldChar w:fldCharType="begin"/>
      </w:r>
      <w:r>
        <w:instrText xml:space="preserve"> PAGEREF _Toc93934721 \h </w:instrText>
      </w:r>
      <w:r>
        <w:fldChar w:fldCharType="separate"/>
      </w:r>
      <w:r>
        <w:t>191</w:t>
      </w:r>
      <w:r>
        <w:fldChar w:fldCharType="end"/>
      </w:r>
    </w:p>
    <w:p>
      <w:pPr>
        <w:pStyle w:val="TOC8"/>
        <w:rPr>
          <w:rFonts w:asciiTheme="minorHAnsi" w:eastAsiaTheme="minorEastAsia" w:hAnsiTheme="minorHAnsi" w:cstheme="minorBidi"/>
          <w:szCs w:val="22"/>
        </w:rPr>
      </w:pPr>
      <w:r>
        <w:t>109A.</w:t>
      </w:r>
      <w:r>
        <w:tab/>
        <w:t>Offence to carry liquor in excess of prescribed quantity in prescribed area of State</w:t>
      </w:r>
      <w:r>
        <w:tab/>
      </w:r>
      <w:r>
        <w:fldChar w:fldCharType="begin"/>
      </w:r>
      <w:r>
        <w:instrText xml:space="preserve"> PAGEREF _Toc93934722 \h </w:instrText>
      </w:r>
      <w:r>
        <w:fldChar w:fldCharType="separate"/>
      </w:r>
      <w:r>
        <w:t>193</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Licensed premises and sports arenas, offences as to</w:t>
      </w:r>
      <w:r>
        <w:tab/>
      </w:r>
      <w:r>
        <w:fldChar w:fldCharType="begin"/>
      </w:r>
      <w:r>
        <w:instrText xml:space="preserve"> PAGEREF _Toc93934723 \h </w:instrText>
      </w:r>
      <w:r>
        <w:fldChar w:fldCharType="separate"/>
      </w:r>
      <w:r>
        <w:t>194</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Trading outside permitted hours, offences as to</w:t>
      </w:r>
      <w:r>
        <w:tab/>
      </w:r>
      <w:r>
        <w:fldChar w:fldCharType="begin"/>
      </w:r>
      <w:r>
        <w:instrText xml:space="preserve"> PAGEREF _Toc93934724 \h </w:instrText>
      </w:r>
      <w:r>
        <w:fldChar w:fldCharType="separate"/>
      </w:r>
      <w:r>
        <w:t>198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Exceptions to s. 109, 110 and 111</w:t>
      </w:r>
      <w:r>
        <w:tab/>
      </w:r>
      <w:r>
        <w:fldChar w:fldCharType="begin"/>
      </w:r>
      <w:r>
        <w:instrText xml:space="preserve"> PAGEREF _Toc93934725 \h </w:instrText>
      </w:r>
      <w:r>
        <w:fldChar w:fldCharType="separate"/>
      </w:r>
      <w:r>
        <w:t>199</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Offence under s. 109, 110 or 111, finding as to unlawful dealing in liquor; forfeiture of liquor</w:t>
      </w:r>
      <w:r>
        <w:tab/>
      </w:r>
      <w:r>
        <w:fldChar w:fldCharType="begin"/>
      </w:r>
      <w:r>
        <w:instrText xml:space="preserve"> PAGEREF _Toc93934726 \h </w:instrText>
      </w:r>
      <w:r>
        <w:fldChar w:fldCharType="separate"/>
      </w:r>
      <w:r>
        <w:t>200</w:t>
      </w:r>
      <w:r>
        <w:fldChar w:fldCharType="end"/>
      </w:r>
    </w:p>
    <w:p>
      <w:pPr>
        <w:pStyle w:val="TOC8"/>
        <w:rPr>
          <w:rFonts w:asciiTheme="minorHAnsi" w:eastAsiaTheme="minorEastAsia" w:hAnsiTheme="minorHAnsi" w:cstheme="minorBidi"/>
          <w:szCs w:val="22"/>
        </w:rPr>
      </w:pPr>
      <w:r>
        <w:t>113A.</w:t>
      </w:r>
      <w:r>
        <w:tab/>
        <w:t>Websites of some licensees, information to be displayed on</w:t>
      </w:r>
      <w:r>
        <w:tab/>
      </w:r>
      <w:r>
        <w:fldChar w:fldCharType="begin"/>
      </w:r>
      <w:r>
        <w:instrText xml:space="preserve"> PAGEREF _Toc93934727 \h </w:instrText>
      </w:r>
      <w:r>
        <w:fldChar w:fldCharType="separate"/>
      </w:r>
      <w:r>
        <w:t>201</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Closure of licensed premises, police powers as to</w:t>
      </w:r>
      <w:r>
        <w:tab/>
      </w:r>
      <w:r>
        <w:fldChar w:fldCharType="begin"/>
      </w:r>
      <w:r>
        <w:instrText xml:space="preserve"> PAGEREF _Toc93934728 \h </w:instrText>
      </w:r>
      <w:r>
        <w:fldChar w:fldCharType="separate"/>
      </w:r>
      <w:r>
        <w:t>201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Drunk etc. people, offences as to, refusal of entry to etc.</w:t>
      </w:r>
      <w:r>
        <w:tab/>
      </w:r>
      <w:r>
        <w:fldChar w:fldCharType="begin"/>
      </w:r>
      <w:r>
        <w:instrText xml:space="preserve"> PAGEREF _Toc93934729 \h </w:instrText>
      </w:r>
      <w:r>
        <w:fldChar w:fldCharType="separate"/>
      </w:r>
      <w:r>
        <w:t>202</w:t>
      </w:r>
      <w:r>
        <w:fldChar w:fldCharType="end"/>
      </w:r>
    </w:p>
    <w:p>
      <w:pPr>
        <w:pStyle w:val="TOC8"/>
        <w:rPr>
          <w:rFonts w:asciiTheme="minorHAnsi" w:eastAsiaTheme="minorEastAsia" w:hAnsiTheme="minorHAnsi" w:cstheme="minorBidi"/>
          <w:szCs w:val="22"/>
        </w:rPr>
      </w:pPr>
      <w:r>
        <w:t>115AA.</w:t>
      </w:r>
      <w:r>
        <w:tab/>
        <w:t>Banning people from licensed premises, Commissioner of Police’s power for</w:t>
      </w:r>
      <w:r>
        <w:tab/>
      </w:r>
      <w:r>
        <w:fldChar w:fldCharType="begin"/>
      </w:r>
      <w:r>
        <w:instrText xml:space="preserve"> PAGEREF _Toc93934730 \h </w:instrText>
      </w:r>
      <w:r>
        <w:fldChar w:fldCharType="separate"/>
      </w:r>
      <w:r>
        <w:t>207</w:t>
      </w:r>
      <w:r>
        <w:fldChar w:fldCharType="end"/>
      </w:r>
    </w:p>
    <w:p>
      <w:pPr>
        <w:pStyle w:val="TOC8"/>
        <w:rPr>
          <w:rFonts w:asciiTheme="minorHAnsi" w:eastAsiaTheme="minorEastAsia" w:hAnsiTheme="minorHAnsi" w:cstheme="minorBidi"/>
          <w:szCs w:val="22"/>
        </w:rPr>
      </w:pPr>
      <w:r>
        <w:t>115AB.</w:t>
      </w:r>
      <w:r>
        <w:tab/>
        <w:t>Delegation by Commissioner of Police</w:t>
      </w:r>
      <w:r>
        <w:tab/>
      </w:r>
      <w:r>
        <w:fldChar w:fldCharType="begin"/>
      </w:r>
      <w:r>
        <w:instrText xml:space="preserve"> PAGEREF _Toc93934731 \h </w:instrText>
      </w:r>
      <w:r>
        <w:fldChar w:fldCharType="separate"/>
      </w:r>
      <w:r>
        <w:t>208</w:t>
      </w:r>
      <w:r>
        <w:fldChar w:fldCharType="end"/>
      </w:r>
    </w:p>
    <w:p>
      <w:pPr>
        <w:pStyle w:val="TOC8"/>
        <w:rPr>
          <w:rFonts w:asciiTheme="minorHAnsi" w:eastAsiaTheme="minorEastAsia" w:hAnsiTheme="minorHAnsi" w:cstheme="minorBidi"/>
          <w:szCs w:val="22"/>
        </w:rPr>
      </w:pPr>
      <w:r>
        <w:t>115AC.</w:t>
      </w:r>
      <w:r>
        <w:tab/>
        <w:t>Publication of details of people banned under s. 115AA</w:t>
      </w:r>
      <w:r>
        <w:tab/>
      </w:r>
      <w:r>
        <w:fldChar w:fldCharType="begin"/>
      </w:r>
      <w:r>
        <w:instrText xml:space="preserve"> PAGEREF _Toc93934732 \h </w:instrText>
      </w:r>
      <w:r>
        <w:fldChar w:fldCharType="separate"/>
      </w:r>
      <w:r>
        <w:t>209</w:t>
      </w:r>
      <w:r>
        <w:fldChar w:fldCharType="end"/>
      </w:r>
    </w:p>
    <w:p>
      <w:pPr>
        <w:pStyle w:val="TOC8"/>
        <w:rPr>
          <w:rFonts w:asciiTheme="minorHAnsi" w:eastAsiaTheme="minorEastAsia" w:hAnsiTheme="minorHAnsi" w:cstheme="minorBidi"/>
          <w:szCs w:val="22"/>
        </w:rPr>
      </w:pPr>
      <w:r>
        <w:t>115AD.</w:t>
      </w:r>
      <w:r>
        <w:tab/>
        <w:t>Review of s. 115AA notices</w:t>
      </w:r>
      <w:r>
        <w:tab/>
      </w:r>
      <w:r>
        <w:fldChar w:fldCharType="begin"/>
      </w:r>
      <w:r>
        <w:instrText xml:space="preserve"> PAGEREF _Toc93934733 \h </w:instrText>
      </w:r>
      <w:r>
        <w:fldChar w:fldCharType="separate"/>
      </w:r>
      <w:r>
        <w:t>210</w:t>
      </w:r>
      <w:r>
        <w:fldChar w:fldCharType="end"/>
      </w:r>
    </w:p>
    <w:p>
      <w:pPr>
        <w:pStyle w:val="TOC8"/>
        <w:rPr>
          <w:rFonts w:asciiTheme="minorHAnsi" w:eastAsiaTheme="minorEastAsia" w:hAnsiTheme="minorHAnsi" w:cstheme="minorBidi"/>
          <w:szCs w:val="22"/>
        </w:rPr>
      </w:pPr>
      <w:r>
        <w:t>115AE.</w:t>
      </w:r>
      <w:r>
        <w:tab/>
        <w:t>Permitting entry to premises contrary to s. 115AA notice</w:t>
      </w:r>
      <w:r>
        <w:tab/>
      </w:r>
      <w:r>
        <w:fldChar w:fldCharType="begin"/>
      </w:r>
      <w:r>
        <w:instrText xml:space="preserve"> PAGEREF _Toc93934734 \h </w:instrText>
      </w:r>
      <w:r>
        <w:fldChar w:fldCharType="separate"/>
      </w:r>
      <w:r>
        <w:t>211</w:t>
      </w:r>
      <w:r>
        <w:fldChar w:fldCharType="end"/>
      </w:r>
    </w:p>
    <w:p>
      <w:pPr>
        <w:pStyle w:val="TOC8"/>
        <w:rPr>
          <w:rFonts w:asciiTheme="minorHAnsi" w:eastAsiaTheme="minorEastAsia" w:hAnsiTheme="minorHAnsi" w:cstheme="minorBidi"/>
          <w:szCs w:val="22"/>
        </w:rPr>
      </w:pPr>
      <w:r>
        <w:t>115A.</w:t>
      </w:r>
      <w:r>
        <w:tab/>
        <w:t>Drinking water to be provided free at certain licensed premises</w:t>
      </w:r>
      <w:r>
        <w:tab/>
      </w:r>
      <w:r>
        <w:fldChar w:fldCharType="begin"/>
      </w:r>
      <w:r>
        <w:instrText xml:space="preserve"> PAGEREF _Toc93934735 \h </w:instrText>
      </w:r>
      <w:r>
        <w:fldChar w:fldCharType="separate"/>
      </w:r>
      <w:r>
        <w:t>212</w:t>
      </w:r>
      <w:r>
        <w:fldChar w:fldCharType="end"/>
      </w:r>
    </w:p>
    <w:p>
      <w:pPr>
        <w:pStyle w:val="TOC8"/>
        <w:rPr>
          <w:rFonts w:asciiTheme="minorHAnsi" w:eastAsiaTheme="minorEastAsia" w:hAnsiTheme="minorHAnsi" w:cstheme="minorBidi"/>
          <w:szCs w:val="22"/>
        </w:rPr>
      </w:pPr>
      <w:r>
        <w:lastRenderedPageBreak/>
        <w:t>116</w:t>
      </w:r>
      <w:r>
        <w:rPr>
          <w:snapToGrid w:val="0"/>
        </w:rPr>
        <w:t>.</w:t>
      </w:r>
      <w:r>
        <w:rPr>
          <w:snapToGrid w:val="0"/>
        </w:rPr>
        <w:tab/>
        <w:t>Documents to be displayed etc. at premises and produced</w:t>
      </w:r>
      <w:r>
        <w:tab/>
      </w:r>
      <w:r>
        <w:fldChar w:fldCharType="begin"/>
      </w:r>
      <w:r>
        <w:instrText xml:space="preserve"> PAGEREF _Toc93934736 \h </w:instrText>
      </w:r>
      <w:r>
        <w:fldChar w:fldCharType="separate"/>
      </w:r>
      <w:r>
        <w:t>212</w:t>
      </w:r>
      <w:r>
        <w:fldChar w:fldCharType="end"/>
      </w:r>
    </w:p>
    <w:p>
      <w:pPr>
        <w:pStyle w:val="TOC8"/>
        <w:rPr>
          <w:rFonts w:asciiTheme="minorHAnsi" w:eastAsiaTheme="minorEastAsia" w:hAnsiTheme="minorHAnsi" w:cstheme="minorBidi"/>
          <w:szCs w:val="22"/>
        </w:rPr>
      </w:pPr>
      <w:r>
        <w:t>116A.</w:t>
      </w:r>
      <w:r>
        <w:tab/>
        <w:t>Register of incidents at licensed premises to be maintained</w:t>
      </w:r>
      <w:r>
        <w:tab/>
      </w:r>
      <w:r>
        <w:fldChar w:fldCharType="begin"/>
      </w:r>
      <w:r>
        <w:instrText xml:space="preserve"> PAGEREF _Toc93934737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7 — Complaints to Director</w:t>
      </w:r>
    </w:p>
    <w:p>
      <w:pPr>
        <w:pStyle w:val="TOC8"/>
        <w:rPr>
          <w:rFonts w:asciiTheme="minorHAnsi" w:eastAsiaTheme="minorEastAsia" w:hAnsiTheme="minorHAnsi" w:cstheme="minorBidi"/>
          <w:szCs w:val="22"/>
        </w:rPr>
      </w:pPr>
      <w:r>
        <w:t>117</w:t>
      </w:r>
      <w:r>
        <w:rPr>
          <w:snapToGrid w:val="0"/>
        </w:rPr>
        <w:t>.</w:t>
      </w:r>
      <w:r>
        <w:rPr>
          <w:snapToGrid w:val="0"/>
        </w:rPr>
        <w:tab/>
        <w:t>Noise or behaviour related to licensed premises, complaints about</w:t>
      </w:r>
      <w:r>
        <w:tab/>
      </w:r>
      <w:r>
        <w:fldChar w:fldCharType="begin"/>
      </w:r>
      <w:r>
        <w:instrText xml:space="preserve"> PAGEREF _Toc93934739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Liquor on unlicensed premises</w:t>
      </w:r>
    </w:p>
    <w:p>
      <w:pPr>
        <w:pStyle w:val="TOC8"/>
        <w:rPr>
          <w:rFonts w:asciiTheme="minorHAnsi" w:eastAsiaTheme="minorEastAsia" w:hAnsiTheme="minorHAnsi" w:cstheme="minorBidi"/>
          <w:szCs w:val="22"/>
        </w:rPr>
      </w:pPr>
      <w:r>
        <w:t>118</w:t>
      </w:r>
      <w:r>
        <w:rPr>
          <w:snapToGrid w:val="0"/>
        </w:rPr>
        <w:t>.</w:t>
      </w:r>
      <w:r>
        <w:rPr>
          <w:snapToGrid w:val="0"/>
        </w:rPr>
        <w:tab/>
        <w:t>Persons purporting to be licensee</w:t>
      </w:r>
      <w:r>
        <w:tab/>
      </w:r>
      <w:r>
        <w:fldChar w:fldCharType="begin"/>
      </w:r>
      <w:r>
        <w:instrText xml:space="preserve"> PAGEREF _Toc93934741 \h </w:instrText>
      </w:r>
      <w:r>
        <w:fldChar w:fldCharType="separate"/>
      </w:r>
      <w:r>
        <w:t>219</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Unlicensed premises etc., offences as to</w:t>
      </w:r>
      <w:r>
        <w:tab/>
      </w:r>
      <w:r>
        <w:fldChar w:fldCharType="begin"/>
      </w:r>
      <w:r>
        <w:instrText xml:space="preserve"> PAGEREF _Toc93934742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8A — Conduct of unapproved businesses on or from licensed premises</w:t>
      </w:r>
    </w:p>
    <w:p>
      <w:pPr>
        <w:pStyle w:val="TOC8"/>
        <w:rPr>
          <w:rFonts w:asciiTheme="minorHAnsi" w:eastAsiaTheme="minorEastAsia" w:hAnsiTheme="minorHAnsi" w:cstheme="minorBidi"/>
          <w:szCs w:val="22"/>
        </w:rPr>
      </w:pPr>
      <w:r>
        <w:t>119A.</w:t>
      </w:r>
      <w:r>
        <w:tab/>
        <w:t>Non-liquor businesses on licensed premises, conduct of requires approval</w:t>
      </w:r>
      <w:r>
        <w:tab/>
      </w:r>
      <w:r>
        <w:fldChar w:fldCharType="begin"/>
      </w:r>
      <w:r>
        <w:instrText xml:space="preserve"> PAGEREF _Toc93934744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Juveniles</w:t>
      </w:r>
    </w:p>
    <w:p>
      <w:pPr>
        <w:pStyle w:val="TOC8"/>
        <w:rPr>
          <w:rFonts w:asciiTheme="minorHAnsi" w:eastAsiaTheme="minorEastAsia" w:hAnsiTheme="minorHAnsi" w:cstheme="minorBidi"/>
          <w:szCs w:val="22"/>
        </w:rPr>
      </w:pPr>
      <w:r>
        <w:t>120</w:t>
      </w:r>
      <w:r>
        <w:rPr>
          <w:snapToGrid w:val="0"/>
        </w:rPr>
        <w:t>.</w:t>
      </w:r>
      <w:r>
        <w:rPr>
          <w:snapToGrid w:val="0"/>
        </w:rPr>
        <w:tab/>
        <w:t>When juveniles permitted on licensed premises</w:t>
      </w:r>
      <w:r>
        <w:tab/>
      </w:r>
      <w:r>
        <w:fldChar w:fldCharType="begin"/>
      </w:r>
      <w:r>
        <w:instrText xml:space="preserve"> PAGEREF _Toc93934746 \h </w:instrText>
      </w:r>
      <w:r>
        <w:fldChar w:fldCharType="separate"/>
      </w:r>
      <w:r>
        <w:t>224</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Licensed premises, offences as to juveniles</w:t>
      </w:r>
      <w:r>
        <w:tab/>
      </w:r>
      <w:r>
        <w:fldChar w:fldCharType="begin"/>
      </w:r>
      <w:r>
        <w:instrText xml:space="preserve"> PAGEREF _Toc93934747 \h </w:instrText>
      </w:r>
      <w:r>
        <w:fldChar w:fldCharType="separate"/>
      </w:r>
      <w:r>
        <w:t>226</w:t>
      </w:r>
      <w:r>
        <w:fldChar w:fldCharType="end"/>
      </w:r>
    </w:p>
    <w:p>
      <w:pPr>
        <w:pStyle w:val="TOC8"/>
        <w:rPr>
          <w:rFonts w:asciiTheme="minorHAnsi" w:eastAsiaTheme="minorEastAsia" w:hAnsiTheme="minorHAnsi" w:cstheme="minorBidi"/>
          <w:szCs w:val="22"/>
        </w:rPr>
      </w:pPr>
      <w:r>
        <w:t>122A.</w:t>
      </w:r>
      <w:r>
        <w:tab/>
        <w:t>Supplying juveniles with alcohol on unlicensed premises</w:t>
      </w:r>
      <w:r>
        <w:tab/>
      </w:r>
      <w:r>
        <w:fldChar w:fldCharType="begin"/>
      </w:r>
      <w:r>
        <w:instrText xml:space="preserve"> PAGEREF _Toc93934748 \h </w:instrText>
      </w:r>
      <w:r>
        <w:fldChar w:fldCharType="separate"/>
      </w:r>
      <w:r>
        <w:t>231</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Regulated premises, offences as to juveniles</w:t>
      </w:r>
      <w:r>
        <w:tab/>
      </w:r>
      <w:r>
        <w:fldChar w:fldCharType="begin"/>
      </w:r>
      <w:r>
        <w:instrText xml:space="preserve"> PAGEREF _Toc93934749 \h </w:instrText>
      </w:r>
      <w:r>
        <w:fldChar w:fldCharType="separate"/>
      </w:r>
      <w:r>
        <w:t>231</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Possession etc. of liquor, offences by juveniles</w:t>
      </w:r>
      <w:r>
        <w:tab/>
      </w:r>
      <w:r>
        <w:fldChar w:fldCharType="begin"/>
      </w:r>
      <w:r>
        <w:instrText xml:space="preserve"> PAGEREF _Toc93934750 \h </w:instrText>
      </w:r>
      <w:r>
        <w:fldChar w:fldCharType="separate"/>
      </w:r>
      <w:r>
        <w:t>233</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Sending juveniles to obtain liquor, offence</w:t>
      </w:r>
      <w:r>
        <w:tab/>
      </w:r>
      <w:r>
        <w:fldChar w:fldCharType="begin"/>
      </w:r>
      <w:r>
        <w:instrText xml:space="preserve"> PAGEREF _Toc93934751 \h </w:instrText>
      </w:r>
      <w:r>
        <w:fldChar w:fldCharType="separate"/>
      </w:r>
      <w:r>
        <w:t>234</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Defences to offences under this Division</w:t>
      </w:r>
      <w:r>
        <w:tab/>
      </w:r>
      <w:r>
        <w:fldChar w:fldCharType="begin"/>
      </w:r>
      <w:r>
        <w:instrText xml:space="preserve"> PAGEREF _Toc93934752 \h </w:instrText>
      </w:r>
      <w:r>
        <w:fldChar w:fldCharType="separate"/>
      </w:r>
      <w:r>
        <w:t>234</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Suspected juveniles, authorised persons’ powers as to, offences by</w:t>
      </w:r>
      <w:r>
        <w:tab/>
      </w:r>
      <w:r>
        <w:fldChar w:fldCharType="begin"/>
      </w:r>
      <w:r>
        <w:instrText xml:space="preserve"> PAGEREF _Toc93934753 \h </w:instrText>
      </w:r>
      <w:r>
        <w:fldChar w:fldCharType="separate"/>
      </w:r>
      <w:r>
        <w:t>236</w:t>
      </w:r>
      <w:r>
        <w:fldChar w:fldCharType="end"/>
      </w:r>
    </w:p>
    <w:p>
      <w:pPr>
        <w:pStyle w:val="TOC8"/>
        <w:rPr>
          <w:rFonts w:asciiTheme="minorHAnsi" w:eastAsiaTheme="minorEastAsia" w:hAnsiTheme="minorHAnsi" w:cstheme="minorBidi"/>
          <w:szCs w:val="22"/>
        </w:rPr>
      </w:pPr>
      <w:r>
        <w:t>126A.</w:t>
      </w:r>
      <w:r>
        <w:tab/>
        <w:t>Entertainment for juveniles on licensed premises, application for approval of</w:t>
      </w:r>
      <w:r>
        <w:tab/>
      </w:r>
      <w:r>
        <w:fldChar w:fldCharType="begin"/>
      </w:r>
      <w:r>
        <w:instrText xml:space="preserve"> PAGEREF _Toc93934754 \h </w:instrText>
      </w:r>
      <w:r>
        <w:fldChar w:fldCharType="separate"/>
      </w:r>
      <w:r>
        <w:t>238</w:t>
      </w:r>
      <w:r>
        <w:fldChar w:fldCharType="end"/>
      </w:r>
    </w:p>
    <w:p>
      <w:pPr>
        <w:pStyle w:val="TOC8"/>
        <w:rPr>
          <w:rFonts w:asciiTheme="minorHAnsi" w:eastAsiaTheme="minorEastAsia" w:hAnsiTheme="minorHAnsi" w:cstheme="minorBidi"/>
          <w:szCs w:val="22"/>
        </w:rPr>
      </w:pPr>
      <w:r>
        <w:t>126B.</w:t>
      </w:r>
      <w:r>
        <w:tab/>
        <w:t>Entertainment for juveniles on licensed premises, approval of</w:t>
      </w:r>
      <w:r>
        <w:tab/>
      </w:r>
      <w:r>
        <w:fldChar w:fldCharType="begin"/>
      </w:r>
      <w:r>
        <w:instrText xml:space="preserve"> PAGEREF _Toc93934755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126C.</w:t>
      </w:r>
      <w:r>
        <w:tab/>
        <w:t>Crowd controllers to be authorised when exercising powers of removal</w:t>
      </w:r>
      <w:r>
        <w:tab/>
      </w:r>
      <w:r>
        <w:fldChar w:fldCharType="begin"/>
      </w:r>
      <w:r>
        <w:instrText xml:space="preserve"> PAGEREF _Toc93934757 \h </w:instrText>
      </w:r>
      <w:r>
        <w:fldChar w:fldCharType="separate"/>
      </w:r>
      <w:r>
        <w:t>240</w:t>
      </w:r>
      <w:r>
        <w:fldChar w:fldCharType="end"/>
      </w:r>
    </w:p>
    <w:p>
      <w:pPr>
        <w:pStyle w:val="TOC8"/>
        <w:rPr>
          <w:rFonts w:asciiTheme="minorHAnsi" w:eastAsiaTheme="minorEastAsia" w:hAnsiTheme="minorHAnsi" w:cstheme="minorBidi"/>
          <w:szCs w:val="22"/>
        </w:rPr>
      </w:pPr>
      <w:r>
        <w:t>126D.</w:t>
      </w:r>
      <w:r>
        <w:tab/>
        <w:t>Undesirable liquor products, declaration of and offence as to</w:t>
      </w:r>
      <w:r>
        <w:tab/>
      </w:r>
      <w:r>
        <w:fldChar w:fldCharType="begin"/>
      </w:r>
      <w:r>
        <w:instrText xml:space="preserve"> PAGEREF _Toc93934758 \h </w:instrText>
      </w:r>
      <w:r>
        <w:fldChar w:fldCharType="separate"/>
      </w:r>
      <w:r>
        <w:t>240</w:t>
      </w:r>
      <w:r>
        <w:fldChar w:fldCharType="end"/>
      </w:r>
    </w:p>
    <w:p>
      <w:pPr>
        <w:pStyle w:val="TOC8"/>
        <w:rPr>
          <w:rFonts w:asciiTheme="minorHAnsi" w:eastAsiaTheme="minorEastAsia" w:hAnsiTheme="minorHAnsi" w:cstheme="minorBidi"/>
          <w:szCs w:val="22"/>
        </w:rPr>
      </w:pPr>
      <w:r>
        <w:t>126E.</w:t>
      </w:r>
      <w:r>
        <w:tab/>
        <w:t>Special events, operation of Act may be modified for</w:t>
      </w:r>
      <w:r>
        <w:tab/>
      </w:r>
      <w:r>
        <w:fldChar w:fldCharType="begin"/>
      </w:r>
      <w:r>
        <w:instrText xml:space="preserve"> PAGEREF _Toc93934759 \h </w:instrText>
      </w:r>
      <w:r>
        <w:fldChar w:fldCharType="separate"/>
      </w:r>
      <w:r>
        <w:t>242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Licence fees</w:t>
      </w:r>
    </w:p>
    <w:p>
      <w:pPr>
        <w:pStyle w:val="TOC8"/>
        <w:rPr>
          <w:rFonts w:asciiTheme="minorHAnsi" w:eastAsiaTheme="minorEastAsia" w:hAnsiTheme="minorHAnsi" w:cstheme="minorBidi"/>
          <w:szCs w:val="22"/>
        </w:rPr>
      </w:pPr>
      <w:r>
        <w:t>127</w:t>
      </w:r>
      <w:r>
        <w:rPr>
          <w:snapToGrid w:val="0"/>
        </w:rPr>
        <w:t>.</w:t>
      </w:r>
      <w:r>
        <w:rPr>
          <w:snapToGrid w:val="0"/>
        </w:rPr>
        <w:tab/>
        <w:t>Payment of licence fees</w:t>
      </w:r>
      <w:r>
        <w:tab/>
      </w:r>
      <w:r>
        <w:fldChar w:fldCharType="begin"/>
      </w:r>
      <w:r>
        <w:instrText xml:space="preserve"> PAGEREF _Toc93934762 \h </w:instrText>
      </w:r>
      <w:r>
        <w:fldChar w:fldCharType="separate"/>
      </w:r>
      <w:r>
        <w:t>243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Regulations about licence fees</w:t>
      </w:r>
      <w:r>
        <w:tab/>
      </w:r>
      <w:r>
        <w:fldChar w:fldCharType="begin"/>
      </w:r>
      <w:r>
        <w:instrText xml:space="preserve"> PAGEREF _Toc93934763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Subsidies</w:t>
      </w:r>
    </w:p>
    <w:p>
      <w:pPr>
        <w:pStyle w:val="TOC8"/>
        <w:rPr>
          <w:rFonts w:asciiTheme="minorHAnsi" w:eastAsiaTheme="minorEastAsia" w:hAnsiTheme="minorHAnsi" w:cstheme="minorBidi"/>
          <w:szCs w:val="22"/>
        </w:rPr>
      </w:pPr>
      <w:r>
        <w:t>129</w:t>
      </w:r>
      <w:r>
        <w:rPr>
          <w:snapToGrid w:val="0"/>
        </w:rPr>
        <w:t>.</w:t>
      </w:r>
      <w:r>
        <w:rPr>
          <w:snapToGrid w:val="0"/>
        </w:rPr>
        <w:tab/>
        <w:t>Terms used</w:t>
      </w:r>
      <w:r>
        <w:tab/>
      </w:r>
      <w:r>
        <w:fldChar w:fldCharType="begin"/>
      </w:r>
      <w:r>
        <w:instrText xml:space="preserve"> PAGEREF _Toc93934765 \h </w:instrText>
      </w:r>
      <w:r>
        <w:fldChar w:fldCharType="separate"/>
      </w:r>
      <w:r>
        <w:t>244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Subsidies for wholesalers and producers</w:t>
      </w:r>
      <w:r>
        <w:tab/>
      </w:r>
      <w:r>
        <w:fldChar w:fldCharType="begin"/>
      </w:r>
      <w:r>
        <w:instrText xml:space="preserve"> PAGEREF _Toc93934766 \h </w:instrText>
      </w:r>
      <w:r>
        <w:fldChar w:fldCharType="separate"/>
      </w:r>
      <w:r>
        <w:t>244</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Application for subsidy</w:t>
      </w:r>
      <w:r>
        <w:tab/>
      </w:r>
      <w:r>
        <w:fldChar w:fldCharType="begin"/>
      </w:r>
      <w:r>
        <w:instrText xml:space="preserve"> PAGEREF _Toc93934767 \h </w:instrText>
      </w:r>
      <w:r>
        <w:fldChar w:fldCharType="separate"/>
      </w:r>
      <w:r>
        <w:t>245</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Director to pay subsidies</w:t>
      </w:r>
      <w:r>
        <w:tab/>
      </w:r>
      <w:r>
        <w:fldChar w:fldCharType="begin"/>
      </w:r>
      <w:r>
        <w:instrText xml:space="preserve"> PAGEREF _Toc93934768 \h </w:instrText>
      </w:r>
      <w:r>
        <w:fldChar w:fldCharType="separate"/>
      </w:r>
      <w:r>
        <w:t>245</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Consolidated Account appropriated</w:t>
      </w:r>
      <w:r>
        <w:tab/>
      </w:r>
      <w:r>
        <w:fldChar w:fldCharType="begin"/>
      </w:r>
      <w:r>
        <w:instrText xml:space="preserve"> PAGEREF _Toc93934769 \h </w:instrText>
      </w:r>
      <w:r>
        <w:fldChar w:fldCharType="separate"/>
      </w:r>
      <w:r>
        <w:t>245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Correcting incorrect subsidy payments</w:t>
      </w:r>
      <w:r>
        <w:tab/>
      </w:r>
      <w:r>
        <w:fldChar w:fldCharType="begin"/>
      </w:r>
      <w:r>
        <w:instrText xml:space="preserve"> PAGEREF _Toc93934770 \h </w:instrText>
      </w:r>
      <w:r>
        <w:fldChar w:fldCharType="separate"/>
      </w:r>
      <w:r>
        <w:t>246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Failure to correct incorrect subsidy application</w:t>
      </w:r>
      <w:r>
        <w:tab/>
      </w:r>
      <w:r>
        <w:fldChar w:fldCharType="begin"/>
      </w:r>
      <w:r>
        <w:instrText xml:space="preserve"> PAGEREF _Toc93934771 \h </w:instrText>
      </w:r>
      <w:r>
        <w:fldChar w:fldCharType="separate"/>
      </w:r>
      <w:r>
        <w:t>246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Minister may order subsidies to cease</w:t>
      </w:r>
      <w:r>
        <w:tab/>
      </w:r>
      <w:r>
        <w:fldChar w:fldCharType="begin"/>
      </w:r>
      <w:r>
        <w:instrText xml:space="preserve"> PAGEREF _Toc93934772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Power of Commission with respect to moneys due</w:t>
      </w:r>
    </w:p>
    <w:p>
      <w:pPr>
        <w:pStyle w:val="TOC8"/>
        <w:rPr>
          <w:rFonts w:asciiTheme="minorHAnsi" w:eastAsiaTheme="minorEastAsia" w:hAnsiTheme="minorHAnsi" w:cstheme="minorBidi"/>
          <w:szCs w:val="22"/>
        </w:rPr>
      </w:pPr>
      <w:r>
        <w:t>143</w:t>
      </w:r>
      <w:r>
        <w:rPr>
          <w:snapToGrid w:val="0"/>
        </w:rPr>
        <w:t>.</w:t>
      </w:r>
      <w:r>
        <w:rPr>
          <w:snapToGrid w:val="0"/>
        </w:rPr>
        <w:tab/>
        <w:t>Order for payment of money</w:t>
      </w:r>
      <w:r>
        <w:tab/>
      </w:r>
      <w:r>
        <w:fldChar w:fldCharType="begin"/>
      </w:r>
      <w:r>
        <w:instrText xml:space="preserve"> PAGEREF _Toc93934774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Records and returns</w:t>
      </w:r>
    </w:p>
    <w:p>
      <w:pPr>
        <w:pStyle w:val="TOC8"/>
        <w:rPr>
          <w:rFonts w:asciiTheme="minorHAnsi" w:eastAsiaTheme="minorEastAsia" w:hAnsiTheme="minorHAnsi" w:cstheme="minorBidi"/>
          <w:szCs w:val="22"/>
        </w:rPr>
      </w:pPr>
      <w:r>
        <w:t>145</w:t>
      </w:r>
      <w:r>
        <w:rPr>
          <w:snapToGrid w:val="0"/>
        </w:rPr>
        <w:t>.</w:t>
      </w:r>
      <w:r>
        <w:rPr>
          <w:snapToGrid w:val="0"/>
        </w:rPr>
        <w:tab/>
        <w:t>Records of liquor transactions to be kept by licensees etc.</w:t>
      </w:r>
      <w:r>
        <w:tab/>
      </w:r>
      <w:r>
        <w:fldChar w:fldCharType="begin"/>
      </w:r>
      <w:r>
        <w:instrText xml:space="preserve"> PAGEREF _Toc93934776 \h </w:instrText>
      </w:r>
      <w:r>
        <w:fldChar w:fldCharType="separate"/>
      </w:r>
      <w:r>
        <w:t>249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Information to be given to Director in returns</w:t>
      </w:r>
      <w:r>
        <w:tab/>
      </w:r>
      <w:r>
        <w:fldChar w:fldCharType="begin"/>
      </w:r>
      <w:r>
        <w:instrText xml:space="preserve"> PAGEREF _Toc93934777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Recovery of illegal gains</w:t>
      </w:r>
    </w:p>
    <w:p>
      <w:pPr>
        <w:pStyle w:val="TOC8"/>
        <w:rPr>
          <w:rFonts w:asciiTheme="minorHAnsi" w:eastAsiaTheme="minorEastAsia" w:hAnsiTheme="minorHAnsi" w:cstheme="minorBidi"/>
          <w:szCs w:val="22"/>
        </w:rPr>
      </w:pPr>
      <w:r>
        <w:t>147</w:t>
      </w:r>
      <w:r>
        <w:rPr>
          <w:snapToGrid w:val="0"/>
        </w:rPr>
        <w:t>.</w:t>
      </w:r>
      <w:r>
        <w:rPr>
          <w:snapToGrid w:val="0"/>
        </w:rPr>
        <w:tab/>
        <w:t>Illegal gains, estimation and recovery of</w:t>
      </w:r>
      <w:r>
        <w:tab/>
      </w:r>
      <w:r>
        <w:fldChar w:fldCharType="begin"/>
      </w:r>
      <w:r>
        <w:instrText xml:space="preserve"> PAGEREF _Toc93934779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Information</w:t>
      </w:r>
    </w:p>
    <w:p>
      <w:pPr>
        <w:pStyle w:val="TOC8"/>
        <w:rPr>
          <w:rFonts w:asciiTheme="minorHAnsi" w:eastAsiaTheme="minorEastAsia" w:hAnsiTheme="minorHAnsi" w:cstheme="minorBidi"/>
          <w:szCs w:val="22"/>
        </w:rPr>
      </w:pPr>
      <w:r>
        <w:t>148</w:t>
      </w:r>
      <w:r>
        <w:rPr>
          <w:snapToGrid w:val="0"/>
        </w:rPr>
        <w:t>.</w:t>
      </w:r>
      <w:r>
        <w:rPr>
          <w:snapToGrid w:val="0"/>
        </w:rPr>
        <w:tab/>
        <w:t>Information etc., Director’s powers to obtain</w:t>
      </w:r>
      <w:r>
        <w:tab/>
      </w:r>
      <w:r>
        <w:fldChar w:fldCharType="begin"/>
      </w:r>
      <w:r>
        <w:instrText xml:space="preserve"> PAGEREF _Toc93934781 \h </w:instrText>
      </w:r>
      <w:r>
        <w:fldChar w:fldCharType="separate"/>
      </w:r>
      <w:r>
        <w:t>252</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Use of information, Director’s powers as to</w:t>
      </w:r>
      <w:r>
        <w:tab/>
      </w:r>
      <w:r>
        <w:fldChar w:fldCharType="begin"/>
      </w:r>
      <w:r>
        <w:instrText xml:space="preserve"> PAGEREF _Toc93934782 \h </w:instrText>
      </w:r>
      <w:r>
        <w:fldChar w:fldCharType="separate"/>
      </w:r>
      <w:r>
        <w:t>252</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Premises and records, Director’s right of access to etc.</w:t>
      </w:r>
      <w:r>
        <w:tab/>
      </w:r>
      <w:r>
        <w:fldChar w:fldCharType="begin"/>
      </w:r>
      <w:r>
        <w:instrText xml:space="preserve"> PAGEREF _Toc93934783 \h </w:instrText>
      </w:r>
      <w:r>
        <w:fldChar w:fldCharType="separate"/>
      </w:r>
      <w:r>
        <w:t>252</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Licensing authority may assist other authorities</w:t>
      </w:r>
      <w:r>
        <w:tab/>
      </w:r>
      <w:r>
        <w:fldChar w:fldCharType="begin"/>
      </w:r>
      <w:r>
        <w:instrText xml:space="preserve"> PAGEREF _Toc93934784 \h </w:instrText>
      </w:r>
      <w:r>
        <w:fldChar w:fldCharType="separate"/>
      </w:r>
      <w:r>
        <w:t>253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Disclosure of information by officials</w:t>
      </w:r>
      <w:r>
        <w:tab/>
      </w:r>
      <w:r>
        <w:fldChar w:fldCharType="begin"/>
      </w:r>
      <w:r>
        <w:instrText xml:space="preserve"> PAGEREF _Toc93934785 \h </w:instrText>
      </w:r>
      <w:r>
        <w:fldChar w:fldCharType="separate"/>
      </w:r>
      <w:r>
        <w:t>253</w:t>
      </w:r>
      <w:r>
        <w:fldChar w:fldCharType="end"/>
      </w:r>
    </w:p>
    <w:p>
      <w:pPr>
        <w:pStyle w:val="TOC2"/>
        <w:tabs>
          <w:tab w:val="right" w:leader="dot" w:pos="7077"/>
        </w:tabs>
        <w:rPr>
          <w:rFonts w:asciiTheme="minorHAnsi" w:eastAsiaTheme="minorEastAsia" w:hAnsiTheme="minorHAnsi" w:cstheme="minorBidi"/>
          <w:b w:val="0"/>
          <w:sz w:val="22"/>
          <w:szCs w:val="22"/>
        </w:rPr>
      </w:pPr>
      <w:r>
        <w:t>Part 5A — Prohibition orders</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_Toc93934787 \h </w:instrText>
      </w:r>
      <w:r>
        <w:fldChar w:fldCharType="separate"/>
      </w:r>
      <w:r>
        <w:t>255</w:t>
      </w:r>
      <w:r>
        <w:fldChar w:fldCharType="end"/>
      </w:r>
    </w:p>
    <w:p>
      <w:pPr>
        <w:pStyle w:val="TOC8"/>
        <w:rPr>
          <w:rFonts w:asciiTheme="minorHAnsi" w:eastAsiaTheme="minorEastAsia" w:hAnsiTheme="minorHAnsi" w:cstheme="minorBidi"/>
          <w:szCs w:val="22"/>
        </w:rPr>
      </w:pPr>
      <w:r>
        <w:t>152B.</w:t>
      </w:r>
      <w:r>
        <w:tab/>
        <w:t>Commissioner of Police may apply for prohibition orders</w:t>
      </w:r>
      <w:r>
        <w:tab/>
      </w:r>
      <w:r>
        <w:fldChar w:fldCharType="begin"/>
      </w:r>
      <w:r>
        <w:instrText xml:space="preserve"> PAGEREF _Toc93934788 \h </w:instrText>
      </w:r>
      <w:r>
        <w:fldChar w:fldCharType="separate"/>
      </w:r>
      <w:r>
        <w:t>255</w:t>
      </w:r>
      <w:r>
        <w:fldChar w:fldCharType="end"/>
      </w:r>
    </w:p>
    <w:p>
      <w:pPr>
        <w:pStyle w:val="TOC8"/>
        <w:rPr>
          <w:rFonts w:asciiTheme="minorHAnsi" w:eastAsiaTheme="minorEastAsia" w:hAnsiTheme="minorHAnsi" w:cstheme="minorBidi"/>
          <w:szCs w:val="22"/>
        </w:rPr>
      </w:pPr>
      <w:r>
        <w:t>152C.</w:t>
      </w:r>
      <w:r>
        <w:tab/>
        <w:t>Evidence in support of s. 152B application</w:t>
      </w:r>
      <w:r>
        <w:tab/>
      </w:r>
      <w:r>
        <w:fldChar w:fldCharType="begin"/>
      </w:r>
      <w:r>
        <w:instrText xml:space="preserve"> PAGEREF _Toc93934789 \h </w:instrText>
      </w:r>
      <w:r>
        <w:fldChar w:fldCharType="separate"/>
      </w:r>
      <w:r>
        <w:t>256</w:t>
      </w:r>
      <w:r>
        <w:fldChar w:fldCharType="end"/>
      </w:r>
    </w:p>
    <w:p>
      <w:pPr>
        <w:pStyle w:val="TOC8"/>
        <w:rPr>
          <w:rFonts w:asciiTheme="minorHAnsi" w:eastAsiaTheme="minorEastAsia" w:hAnsiTheme="minorHAnsi" w:cstheme="minorBidi"/>
          <w:szCs w:val="22"/>
        </w:rPr>
      </w:pPr>
      <w:r>
        <w:lastRenderedPageBreak/>
        <w:t>152D.</w:t>
      </w:r>
      <w:r>
        <w:tab/>
        <w:t>Notice of s. 152B application etc. to be given to relevant person</w:t>
      </w:r>
      <w:r>
        <w:tab/>
      </w:r>
      <w:r>
        <w:fldChar w:fldCharType="begin"/>
      </w:r>
      <w:r>
        <w:instrText xml:space="preserve"> PAGEREF _Toc93934790 \h </w:instrText>
      </w:r>
      <w:r>
        <w:fldChar w:fldCharType="separate"/>
      </w:r>
      <w:r>
        <w:t>256</w:t>
      </w:r>
      <w:r>
        <w:fldChar w:fldCharType="end"/>
      </w:r>
    </w:p>
    <w:p>
      <w:pPr>
        <w:pStyle w:val="TOC8"/>
        <w:rPr>
          <w:rFonts w:asciiTheme="minorHAnsi" w:eastAsiaTheme="minorEastAsia" w:hAnsiTheme="minorHAnsi" w:cstheme="minorBidi"/>
          <w:szCs w:val="22"/>
        </w:rPr>
      </w:pPr>
      <w:r>
        <w:t>152E.</w:t>
      </w:r>
      <w:r>
        <w:tab/>
        <w:t>Director may make prohibition orders</w:t>
      </w:r>
      <w:r>
        <w:tab/>
      </w:r>
      <w:r>
        <w:fldChar w:fldCharType="begin"/>
      </w:r>
      <w:r>
        <w:instrText xml:space="preserve"> PAGEREF _Toc93934791 \h </w:instrText>
      </w:r>
      <w:r>
        <w:fldChar w:fldCharType="separate"/>
      </w:r>
      <w:r>
        <w:t>257</w:t>
      </w:r>
      <w:r>
        <w:fldChar w:fldCharType="end"/>
      </w:r>
    </w:p>
    <w:p>
      <w:pPr>
        <w:pStyle w:val="TOC8"/>
        <w:rPr>
          <w:rFonts w:asciiTheme="minorHAnsi" w:eastAsiaTheme="minorEastAsia" w:hAnsiTheme="minorHAnsi" w:cstheme="minorBidi"/>
          <w:szCs w:val="22"/>
        </w:rPr>
      </w:pPr>
      <w:r>
        <w:t>152F.</w:t>
      </w:r>
      <w:r>
        <w:tab/>
        <w:t>Term of prohibition orders</w:t>
      </w:r>
      <w:r>
        <w:tab/>
      </w:r>
      <w:r>
        <w:fldChar w:fldCharType="begin"/>
      </w:r>
      <w:r>
        <w:instrText xml:space="preserve"> PAGEREF _Toc93934792 \h </w:instrText>
      </w:r>
      <w:r>
        <w:fldChar w:fldCharType="separate"/>
      </w:r>
      <w:r>
        <w:t>258</w:t>
      </w:r>
      <w:r>
        <w:fldChar w:fldCharType="end"/>
      </w:r>
    </w:p>
    <w:p>
      <w:pPr>
        <w:pStyle w:val="TOC8"/>
        <w:rPr>
          <w:rFonts w:asciiTheme="minorHAnsi" w:eastAsiaTheme="minorEastAsia" w:hAnsiTheme="minorHAnsi" w:cstheme="minorBidi"/>
          <w:szCs w:val="22"/>
        </w:rPr>
      </w:pPr>
      <w:r>
        <w:t>152G.</w:t>
      </w:r>
      <w:r>
        <w:tab/>
        <w:t>Applications to vary or revoke prohibition orders</w:t>
      </w:r>
      <w:r>
        <w:tab/>
      </w:r>
      <w:r>
        <w:fldChar w:fldCharType="begin"/>
      </w:r>
      <w:r>
        <w:instrText xml:space="preserve"> PAGEREF _Toc93934793 \h </w:instrText>
      </w:r>
      <w:r>
        <w:fldChar w:fldCharType="separate"/>
      </w:r>
      <w:r>
        <w:t>258</w:t>
      </w:r>
      <w:r>
        <w:fldChar w:fldCharType="end"/>
      </w:r>
    </w:p>
    <w:p>
      <w:pPr>
        <w:pStyle w:val="TOC8"/>
        <w:rPr>
          <w:rFonts w:asciiTheme="minorHAnsi" w:eastAsiaTheme="minorEastAsia" w:hAnsiTheme="minorHAnsi" w:cstheme="minorBidi"/>
          <w:szCs w:val="22"/>
        </w:rPr>
      </w:pPr>
      <w:r>
        <w:t>152H.</w:t>
      </w:r>
      <w:r>
        <w:tab/>
        <w:t>Evidence in support of s. 152G application</w:t>
      </w:r>
      <w:r>
        <w:tab/>
      </w:r>
      <w:r>
        <w:fldChar w:fldCharType="begin"/>
      </w:r>
      <w:r>
        <w:instrText xml:space="preserve"> PAGEREF _Toc93934794 \h </w:instrText>
      </w:r>
      <w:r>
        <w:fldChar w:fldCharType="separate"/>
      </w:r>
      <w:r>
        <w:t>258</w:t>
      </w:r>
      <w:r>
        <w:fldChar w:fldCharType="end"/>
      </w:r>
    </w:p>
    <w:p>
      <w:pPr>
        <w:pStyle w:val="TOC8"/>
        <w:rPr>
          <w:rFonts w:asciiTheme="minorHAnsi" w:eastAsiaTheme="minorEastAsia" w:hAnsiTheme="minorHAnsi" w:cstheme="minorBidi"/>
          <w:szCs w:val="22"/>
        </w:rPr>
      </w:pPr>
      <w:r>
        <w:t>152I.</w:t>
      </w:r>
      <w:r>
        <w:tab/>
        <w:t>Notice of s. 152G application etc. to be given to respondent</w:t>
      </w:r>
      <w:r>
        <w:tab/>
      </w:r>
      <w:r>
        <w:fldChar w:fldCharType="begin"/>
      </w:r>
      <w:r>
        <w:instrText xml:space="preserve"> PAGEREF _Toc93934795 \h </w:instrText>
      </w:r>
      <w:r>
        <w:fldChar w:fldCharType="separate"/>
      </w:r>
      <w:r>
        <w:t>259</w:t>
      </w:r>
      <w:r>
        <w:fldChar w:fldCharType="end"/>
      </w:r>
    </w:p>
    <w:p>
      <w:pPr>
        <w:pStyle w:val="TOC8"/>
        <w:rPr>
          <w:rFonts w:asciiTheme="minorHAnsi" w:eastAsiaTheme="minorEastAsia" w:hAnsiTheme="minorHAnsi" w:cstheme="minorBidi"/>
          <w:szCs w:val="22"/>
        </w:rPr>
      </w:pPr>
      <w:r>
        <w:t>152J.</w:t>
      </w:r>
      <w:r>
        <w:tab/>
        <w:t>Director may vary or revoke prohibition orders</w:t>
      </w:r>
      <w:r>
        <w:tab/>
      </w:r>
      <w:r>
        <w:fldChar w:fldCharType="begin"/>
      </w:r>
      <w:r>
        <w:instrText xml:space="preserve"> PAGEREF _Toc93934796 \h </w:instrText>
      </w:r>
      <w:r>
        <w:fldChar w:fldCharType="separate"/>
      </w:r>
      <w:r>
        <w:t>259</w:t>
      </w:r>
      <w:r>
        <w:fldChar w:fldCharType="end"/>
      </w:r>
    </w:p>
    <w:p>
      <w:pPr>
        <w:pStyle w:val="TOC8"/>
        <w:rPr>
          <w:rFonts w:asciiTheme="minorHAnsi" w:eastAsiaTheme="minorEastAsia" w:hAnsiTheme="minorHAnsi" w:cstheme="minorBidi"/>
          <w:szCs w:val="22"/>
        </w:rPr>
      </w:pPr>
      <w:r>
        <w:t>152K.</w:t>
      </w:r>
      <w:r>
        <w:tab/>
        <w:t>Service and publication of prohibition orders</w:t>
      </w:r>
      <w:r>
        <w:tab/>
      </w:r>
      <w:r>
        <w:fldChar w:fldCharType="begin"/>
      </w:r>
      <w:r>
        <w:instrText xml:space="preserve"> PAGEREF _Toc93934797 \h </w:instrText>
      </w:r>
      <w:r>
        <w:fldChar w:fldCharType="separate"/>
      </w:r>
      <w:r>
        <w:t>260</w:t>
      </w:r>
      <w:r>
        <w:fldChar w:fldCharType="end"/>
      </w:r>
    </w:p>
    <w:p>
      <w:pPr>
        <w:pStyle w:val="TOC8"/>
        <w:rPr>
          <w:rFonts w:asciiTheme="minorHAnsi" w:eastAsiaTheme="minorEastAsia" w:hAnsiTheme="minorHAnsi" w:cstheme="minorBidi"/>
          <w:szCs w:val="22"/>
        </w:rPr>
      </w:pPr>
      <w:r>
        <w:t>152L.</w:t>
      </w:r>
      <w:r>
        <w:tab/>
        <w:t>Failing to comply with prohibition orders</w:t>
      </w:r>
      <w:r>
        <w:tab/>
      </w:r>
      <w:r>
        <w:fldChar w:fldCharType="begin"/>
      </w:r>
      <w:r>
        <w:instrText xml:space="preserve"> PAGEREF _Toc93934798 \h </w:instrText>
      </w:r>
      <w:r>
        <w:fldChar w:fldCharType="separate"/>
      </w:r>
      <w:r>
        <w:t>261</w:t>
      </w:r>
      <w:r>
        <w:fldChar w:fldCharType="end"/>
      </w:r>
    </w:p>
    <w:p>
      <w:pPr>
        <w:pStyle w:val="TOC8"/>
        <w:rPr>
          <w:rFonts w:asciiTheme="minorHAnsi" w:eastAsiaTheme="minorEastAsia" w:hAnsiTheme="minorHAnsi" w:cstheme="minorBidi"/>
          <w:szCs w:val="22"/>
        </w:rPr>
      </w:pPr>
      <w:r>
        <w:t>152M.</w:t>
      </w:r>
      <w:r>
        <w:tab/>
        <w:t>Permitting entry to premises contrary to prohibition order</w:t>
      </w:r>
      <w:r>
        <w:tab/>
      </w:r>
      <w:r>
        <w:fldChar w:fldCharType="begin"/>
      </w:r>
      <w:r>
        <w:instrText xml:space="preserve"> PAGEREF _Toc93934799 \h </w:instrText>
      </w:r>
      <w:r>
        <w:fldChar w:fldCharType="separate"/>
      </w:r>
      <w:r>
        <w:t>261</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_Toc93934800 \h </w:instrText>
      </w:r>
      <w:r>
        <w:fldChar w:fldCharType="separate"/>
      </w:r>
      <w:r>
        <w:t>261</w:t>
      </w:r>
      <w:r>
        <w:fldChar w:fldCharType="end"/>
      </w:r>
    </w:p>
    <w:p>
      <w:pPr>
        <w:pStyle w:val="TOC2"/>
        <w:tabs>
          <w:tab w:val="right" w:leader="dot" w:pos="7077"/>
        </w:tabs>
        <w:rPr>
          <w:rFonts w:asciiTheme="minorHAnsi" w:eastAsiaTheme="minorEastAsia" w:hAnsiTheme="minorHAnsi" w:cstheme="minorBidi"/>
          <w:b w:val="0"/>
          <w:sz w:val="22"/>
          <w:szCs w:val="22"/>
        </w:rPr>
      </w:pPr>
      <w:r>
        <w:t>Part 5B — Liquor restricted premises</w:t>
      </w:r>
    </w:p>
    <w:p>
      <w:pPr>
        <w:pStyle w:val="TOC8"/>
        <w:rPr>
          <w:rFonts w:asciiTheme="minorHAnsi" w:eastAsiaTheme="minorEastAsia" w:hAnsiTheme="minorHAnsi" w:cstheme="minorBidi"/>
          <w:szCs w:val="22"/>
        </w:rPr>
      </w:pPr>
      <w:r>
        <w:t>152N.</w:t>
      </w:r>
      <w:r>
        <w:tab/>
        <w:t>Terms used</w:t>
      </w:r>
      <w:r>
        <w:tab/>
      </w:r>
      <w:r>
        <w:fldChar w:fldCharType="begin"/>
      </w:r>
      <w:r>
        <w:instrText xml:space="preserve"> PAGEREF _Toc93934802 \h </w:instrText>
      </w:r>
      <w:r>
        <w:fldChar w:fldCharType="separate"/>
      </w:r>
      <w:r>
        <w:t>262</w:t>
      </w:r>
      <w:r>
        <w:fldChar w:fldCharType="end"/>
      </w:r>
    </w:p>
    <w:p>
      <w:pPr>
        <w:pStyle w:val="TOC8"/>
        <w:rPr>
          <w:rFonts w:asciiTheme="minorHAnsi" w:eastAsiaTheme="minorEastAsia" w:hAnsiTheme="minorHAnsi" w:cstheme="minorBidi"/>
          <w:szCs w:val="22"/>
        </w:rPr>
      </w:pPr>
      <w:r>
        <w:t>152O.</w:t>
      </w:r>
      <w:r>
        <w:tab/>
        <w:t>Liquor on liquor restricted premises, offences as to</w:t>
      </w:r>
      <w:r>
        <w:tab/>
      </w:r>
      <w:r>
        <w:fldChar w:fldCharType="begin"/>
      </w:r>
      <w:r>
        <w:instrText xml:space="preserve"> PAGEREF _Toc93934803 \h </w:instrText>
      </w:r>
      <w:r>
        <w:fldChar w:fldCharType="separate"/>
      </w:r>
      <w:r>
        <w:t>262</w:t>
      </w:r>
      <w:r>
        <w:fldChar w:fldCharType="end"/>
      </w:r>
    </w:p>
    <w:p>
      <w:pPr>
        <w:pStyle w:val="TOC8"/>
        <w:rPr>
          <w:rFonts w:asciiTheme="minorHAnsi" w:eastAsiaTheme="minorEastAsia" w:hAnsiTheme="minorHAnsi" w:cstheme="minorBidi"/>
          <w:szCs w:val="22"/>
        </w:rPr>
      </w:pPr>
      <w:r>
        <w:t>152P.</w:t>
      </w:r>
      <w:r>
        <w:tab/>
        <w:t>Declaration of liquor restricted premises</w:t>
      </w:r>
      <w:r>
        <w:tab/>
      </w:r>
      <w:r>
        <w:fldChar w:fldCharType="begin"/>
      </w:r>
      <w:r>
        <w:instrText xml:space="preserve"> PAGEREF _Toc93934804 \h </w:instrText>
      </w:r>
      <w:r>
        <w:fldChar w:fldCharType="separate"/>
      </w:r>
      <w:r>
        <w:t>263</w:t>
      </w:r>
      <w:r>
        <w:fldChar w:fldCharType="end"/>
      </w:r>
    </w:p>
    <w:p>
      <w:pPr>
        <w:pStyle w:val="TOC8"/>
        <w:rPr>
          <w:rFonts w:asciiTheme="minorHAnsi" w:eastAsiaTheme="minorEastAsia" w:hAnsiTheme="minorHAnsi" w:cstheme="minorBidi"/>
          <w:szCs w:val="22"/>
        </w:rPr>
      </w:pPr>
      <w:r>
        <w:t>152Q.</w:t>
      </w:r>
      <w:r>
        <w:tab/>
        <w:t>Liquor restriction declarations, power to make</w:t>
      </w:r>
      <w:r>
        <w:tab/>
      </w:r>
      <w:r>
        <w:fldChar w:fldCharType="begin"/>
      </w:r>
      <w:r>
        <w:instrText xml:space="preserve"> PAGEREF _Toc93934805 \h </w:instrText>
      </w:r>
      <w:r>
        <w:fldChar w:fldCharType="separate"/>
      </w:r>
      <w:r>
        <w:t>264</w:t>
      </w:r>
      <w:r>
        <w:fldChar w:fldCharType="end"/>
      </w:r>
    </w:p>
    <w:p>
      <w:pPr>
        <w:pStyle w:val="TOC8"/>
        <w:rPr>
          <w:rFonts w:asciiTheme="minorHAnsi" w:eastAsiaTheme="minorEastAsia" w:hAnsiTheme="minorHAnsi" w:cstheme="minorBidi"/>
          <w:szCs w:val="22"/>
        </w:rPr>
      </w:pPr>
      <w:r>
        <w:t>152R.</w:t>
      </w:r>
      <w:r>
        <w:tab/>
        <w:t>Service etc. of liquor restriction declarations</w:t>
      </w:r>
      <w:r>
        <w:tab/>
      </w:r>
      <w:r>
        <w:fldChar w:fldCharType="begin"/>
      </w:r>
      <w:r>
        <w:instrText xml:space="preserve"> PAGEREF _Toc93934806 \h </w:instrText>
      </w:r>
      <w:r>
        <w:fldChar w:fldCharType="separate"/>
      </w:r>
      <w:r>
        <w:t>265</w:t>
      </w:r>
      <w:r>
        <w:fldChar w:fldCharType="end"/>
      </w:r>
    </w:p>
    <w:p>
      <w:pPr>
        <w:pStyle w:val="TOC8"/>
        <w:rPr>
          <w:rFonts w:asciiTheme="minorHAnsi" w:eastAsiaTheme="minorEastAsia" w:hAnsiTheme="minorHAnsi" w:cstheme="minorBidi"/>
          <w:szCs w:val="22"/>
        </w:rPr>
      </w:pPr>
      <w:r>
        <w:t>152S.</w:t>
      </w:r>
      <w:r>
        <w:tab/>
        <w:t>Notice of liquor restriction declaration to be displayed at premises</w:t>
      </w:r>
      <w:r>
        <w:tab/>
      </w:r>
      <w:r>
        <w:fldChar w:fldCharType="begin"/>
      </w:r>
      <w:r>
        <w:instrText xml:space="preserve"> PAGEREF _Toc93934807 \h </w:instrText>
      </w:r>
      <w:r>
        <w:fldChar w:fldCharType="separate"/>
      </w:r>
      <w:r>
        <w:t>266</w:t>
      </w:r>
      <w:r>
        <w:fldChar w:fldCharType="end"/>
      </w:r>
    </w:p>
    <w:p>
      <w:pPr>
        <w:pStyle w:val="TOC8"/>
        <w:rPr>
          <w:rFonts w:asciiTheme="minorHAnsi" w:eastAsiaTheme="minorEastAsia" w:hAnsiTheme="minorHAnsi" w:cstheme="minorBidi"/>
          <w:szCs w:val="22"/>
        </w:rPr>
      </w:pPr>
      <w:r>
        <w:t>152T.</w:t>
      </w:r>
      <w:r>
        <w:tab/>
        <w:t>Duration of liquor restriction declarations</w:t>
      </w:r>
      <w:r>
        <w:tab/>
      </w:r>
      <w:r>
        <w:fldChar w:fldCharType="begin"/>
      </w:r>
      <w:r>
        <w:instrText xml:space="preserve"> PAGEREF _Toc93934808 \h </w:instrText>
      </w:r>
      <w:r>
        <w:fldChar w:fldCharType="separate"/>
      </w:r>
      <w:r>
        <w:t>267</w:t>
      </w:r>
      <w:r>
        <w:fldChar w:fldCharType="end"/>
      </w:r>
    </w:p>
    <w:p>
      <w:pPr>
        <w:pStyle w:val="TOC8"/>
        <w:rPr>
          <w:rFonts w:asciiTheme="minorHAnsi" w:eastAsiaTheme="minorEastAsia" w:hAnsiTheme="minorHAnsi" w:cstheme="minorBidi"/>
          <w:szCs w:val="22"/>
        </w:rPr>
      </w:pPr>
      <w:r>
        <w:t>152U.</w:t>
      </w:r>
      <w:r>
        <w:tab/>
        <w:t>Varying liquor restriction declarations</w:t>
      </w:r>
      <w:r>
        <w:tab/>
      </w:r>
      <w:r>
        <w:fldChar w:fldCharType="begin"/>
      </w:r>
      <w:r>
        <w:instrText xml:space="preserve"> PAGEREF _Toc93934809 \h </w:instrText>
      </w:r>
      <w:r>
        <w:fldChar w:fldCharType="separate"/>
      </w:r>
      <w:r>
        <w:t>267</w:t>
      </w:r>
      <w:r>
        <w:fldChar w:fldCharType="end"/>
      </w:r>
    </w:p>
    <w:p>
      <w:pPr>
        <w:pStyle w:val="TOC8"/>
        <w:rPr>
          <w:rFonts w:asciiTheme="minorHAnsi" w:eastAsiaTheme="minorEastAsia" w:hAnsiTheme="minorHAnsi" w:cstheme="minorBidi"/>
          <w:szCs w:val="22"/>
        </w:rPr>
      </w:pPr>
      <w:r>
        <w:t>152V.</w:t>
      </w:r>
      <w:r>
        <w:tab/>
        <w:t>Revoking liquor restriction declarations</w:t>
      </w:r>
      <w:r>
        <w:tab/>
      </w:r>
      <w:r>
        <w:fldChar w:fldCharType="begin"/>
      </w:r>
      <w:r>
        <w:instrText xml:space="preserve"> PAGEREF _Toc93934810 \h </w:instrText>
      </w:r>
      <w:r>
        <w:fldChar w:fldCharType="separate"/>
      </w:r>
      <w:r>
        <w:t>269</w:t>
      </w:r>
      <w:r>
        <w:fldChar w:fldCharType="end"/>
      </w:r>
    </w:p>
    <w:p>
      <w:pPr>
        <w:pStyle w:val="TOC8"/>
        <w:rPr>
          <w:rFonts w:asciiTheme="minorHAnsi" w:eastAsiaTheme="minorEastAsia" w:hAnsiTheme="minorHAnsi" w:cstheme="minorBidi"/>
          <w:szCs w:val="22"/>
        </w:rPr>
      </w:pPr>
      <w:r>
        <w:t>152W.</w:t>
      </w:r>
      <w:r>
        <w:tab/>
        <w:t>Applications generally</w:t>
      </w:r>
      <w:r>
        <w:tab/>
      </w:r>
      <w:r>
        <w:fldChar w:fldCharType="begin"/>
      </w:r>
      <w:r>
        <w:instrText xml:space="preserve"> PAGEREF _Toc93934811 \h </w:instrText>
      </w:r>
      <w:r>
        <w:fldChar w:fldCharType="separate"/>
      </w:r>
      <w:r>
        <w:t>270</w:t>
      </w:r>
      <w:r>
        <w:fldChar w:fldCharType="end"/>
      </w:r>
    </w:p>
    <w:p>
      <w:pPr>
        <w:pStyle w:val="TOC8"/>
        <w:rPr>
          <w:rFonts w:asciiTheme="minorHAnsi" w:eastAsiaTheme="minorEastAsia" w:hAnsiTheme="minorHAnsi" w:cstheme="minorBidi"/>
          <w:szCs w:val="22"/>
        </w:rPr>
      </w:pPr>
      <w:r>
        <w:t>152X.</w:t>
      </w:r>
      <w:r>
        <w:tab/>
        <w:t>Decisions under Part 5B not subject to review under s. 25</w:t>
      </w:r>
      <w:r>
        <w:tab/>
      </w:r>
      <w:r>
        <w:fldChar w:fldCharType="begin"/>
      </w:r>
      <w:r>
        <w:instrText xml:space="preserve"> PAGEREF _Toc93934812 \h </w:instrText>
      </w:r>
      <w:r>
        <w:fldChar w:fldCharType="separate"/>
      </w:r>
      <w:r>
        <w:t>270</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w:t>
      </w:r>
    </w:p>
    <w:p>
      <w:pPr>
        <w:pStyle w:val="TOC8"/>
        <w:rPr>
          <w:rFonts w:asciiTheme="minorHAnsi" w:eastAsiaTheme="minorEastAsia" w:hAnsiTheme="minorHAnsi" w:cstheme="minorBidi"/>
          <w:szCs w:val="22"/>
        </w:rPr>
      </w:pPr>
      <w:r>
        <w:t>153</w:t>
      </w:r>
      <w:r>
        <w:rPr>
          <w:snapToGrid w:val="0"/>
        </w:rPr>
        <w:t>.</w:t>
      </w:r>
      <w:r>
        <w:rPr>
          <w:snapToGrid w:val="0"/>
        </w:rPr>
        <w:tab/>
        <w:t>Authorised officers etc., functions and reports of</w:t>
      </w:r>
      <w:r>
        <w:tab/>
      </w:r>
      <w:r>
        <w:fldChar w:fldCharType="begin"/>
      </w:r>
      <w:r>
        <w:instrText xml:space="preserve"> PAGEREF _Toc93934814 \h </w:instrText>
      </w:r>
      <w:r>
        <w:fldChar w:fldCharType="separate"/>
      </w:r>
      <w:r>
        <w:t>271</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Authorised officers, powers of entry etc., offences as to</w:t>
      </w:r>
      <w:r>
        <w:tab/>
      </w:r>
      <w:r>
        <w:fldChar w:fldCharType="begin"/>
      </w:r>
      <w:r>
        <w:instrText xml:space="preserve"> PAGEREF _Toc93934815 \h </w:instrText>
      </w:r>
      <w:r>
        <w:fldChar w:fldCharType="separate"/>
      </w:r>
      <w:r>
        <w:t>272</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Police, powers of to enter, seize liquor etc.</w:t>
      </w:r>
      <w:r>
        <w:tab/>
      </w:r>
      <w:r>
        <w:fldChar w:fldCharType="begin"/>
      </w:r>
      <w:r>
        <w:instrText xml:space="preserve"> PAGEREF _Toc93934816 \h </w:instrText>
      </w:r>
      <w:r>
        <w:fldChar w:fldCharType="separate"/>
      </w:r>
      <w:r>
        <w:t>274</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Local governments, functions of</w:t>
      </w:r>
      <w:r>
        <w:tab/>
      </w:r>
      <w:r>
        <w:fldChar w:fldCharType="begin"/>
      </w:r>
      <w:r>
        <w:instrText xml:space="preserve"> PAGEREF _Toc93934817 \h </w:instrText>
      </w:r>
      <w:r>
        <w:fldChar w:fldCharType="separate"/>
      </w:r>
      <w:r>
        <w:t>277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Evasion of fees due etc., offence</w:t>
      </w:r>
      <w:r>
        <w:tab/>
      </w:r>
      <w:r>
        <w:fldChar w:fldCharType="begin"/>
      </w:r>
      <w:r>
        <w:instrText xml:space="preserve"> PAGEREF _Toc93934818 \h </w:instrText>
      </w:r>
      <w:r>
        <w:fldChar w:fldCharType="separate"/>
      </w:r>
      <w:r>
        <w:t>277</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Failing to comply with licensing authority’s requirements etc., offence</w:t>
      </w:r>
      <w:r>
        <w:tab/>
      </w:r>
      <w:r>
        <w:fldChar w:fldCharType="begin"/>
      </w:r>
      <w:r>
        <w:instrText xml:space="preserve"> PAGEREF _Toc93934819 \h </w:instrText>
      </w:r>
      <w:r>
        <w:fldChar w:fldCharType="separate"/>
      </w:r>
      <w:r>
        <w:t>278</w:t>
      </w:r>
      <w:r>
        <w:fldChar w:fldCharType="end"/>
      </w:r>
    </w:p>
    <w:p>
      <w:pPr>
        <w:pStyle w:val="TOC8"/>
        <w:rPr>
          <w:rFonts w:asciiTheme="minorHAnsi" w:eastAsiaTheme="minorEastAsia" w:hAnsiTheme="minorHAnsi" w:cstheme="minorBidi"/>
          <w:szCs w:val="22"/>
        </w:rPr>
      </w:pPr>
      <w:r>
        <w:lastRenderedPageBreak/>
        <w:t>159</w:t>
      </w:r>
      <w:r>
        <w:rPr>
          <w:snapToGrid w:val="0"/>
        </w:rPr>
        <w:t>.</w:t>
      </w:r>
      <w:r>
        <w:rPr>
          <w:snapToGrid w:val="0"/>
        </w:rPr>
        <w:tab/>
        <w:t>False or misleading statements and records, offence</w:t>
      </w:r>
      <w:r>
        <w:tab/>
      </w:r>
      <w:r>
        <w:fldChar w:fldCharType="begin"/>
      </w:r>
      <w:r>
        <w:instrText xml:space="preserve"> PAGEREF _Toc93934820 \h </w:instrText>
      </w:r>
      <w:r>
        <w:fldChar w:fldCharType="separate"/>
      </w:r>
      <w:r>
        <w:t>279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Information about offences, power to obtain</w:t>
      </w:r>
      <w:r>
        <w:tab/>
      </w:r>
      <w:r>
        <w:fldChar w:fldCharType="begin"/>
      </w:r>
      <w:r>
        <w:instrText xml:space="preserve"> PAGEREF _Toc93934821 \h </w:instrText>
      </w:r>
      <w:r>
        <w:fldChar w:fldCharType="separate"/>
      </w:r>
      <w:r>
        <w:t>280</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Search warrants, issue and execution of</w:t>
      </w:r>
      <w:r>
        <w:tab/>
      </w:r>
      <w:r>
        <w:fldChar w:fldCharType="begin"/>
      </w:r>
      <w:r>
        <w:instrText xml:space="preserve"> PAGEREF _Toc93934822 \h </w:instrText>
      </w:r>
      <w:r>
        <w:fldChar w:fldCharType="separate"/>
      </w:r>
      <w:r>
        <w:t>281</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Separate offences and continuing offences</w:t>
      </w:r>
      <w:r>
        <w:tab/>
      </w:r>
      <w:r>
        <w:fldChar w:fldCharType="begin"/>
      </w:r>
      <w:r>
        <w:instrText xml:space="preserve"> PAGEREF _Toc93934823 \h </w:instrText>
      </w:r>
      <w:r>
        <w:fldChar w:fldCharType="separate"/>
      </w:r>
      <w:r>
        <w:t>283</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Sale of liquor, presumption of in some cases</w:t>
      </w:r>
      <w:r>
        <w:tab/>
      </w:r>
      <w:r>
        <w:fldChar w:fldCharType="begin"/>
      </w:r>
      <w:r>
        <w:instrText xml:space="preserve"> PAGEREF _Toc93934824 \h </w:instrText>
      </w:r>
      <w:r>
        <w:fldChar w:fldCharType="separate"/>
      </w:r>
      <w:r>
        <w:t>283</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Bodies corporate and partnerships, offences by</w:t>
      </w:r>
      <w:r>
        <w:tab/>
      </w:r>
      <w:r>
        <w:fldChar w:fldCharType="begin"/>
      </w:r>
      <w:r>
        <w:instrText xml:space="preserve"> PAGEREF _Toc93934825 \h </w:instrText>
      </w:r>
      <w:r>
        <w:fldChar w:fldCharType="separate"/>
      </w:r>
      <w:r>
        <w:t>284</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Licensee liable for act of employee etc.</w:t>
      </w:r>
      <w:r>
        <w:tab/>
      </w:r>
      <w:r>
        <w:fldChar w:fldCharType="begin"/>
      </w:r>
      <w:r>
        <w:instrText xml:space="preserve"> PAGEREF _Toc93934826 \h </w:instrText>
      </w:r>
      <w:r>
        <w:fldChar w:fldCharType="separate"/>
      </w:r>
      <w:r>
        <w:t>286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General penalty</w:t>
      </w:r>
      <w:r>
        <w:tab/>
      </w:r>
      <w:r>
        <w:fldChar w:fldCharType="begin"/>
      </w:r>
      <w:r>
        <w:instrText xml:space="preserve"> PAGEREF _Toc93934827 \h </w:instrText>
      </w:r>
      <w:r>
        <w:fldChar w:fldCharType="separate"/>
      </w:r>
      <w:r>
        <w:t>287</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Infringement notices</w:t>
      </w:r>
      <w:r>
        <w:tab/>
      </w:r>
      <w:r>
        <w:fldChar w:fldCharType="begin"/>
      </w:r>
      <w:r>
        <w:instrText xml:space="preserve"> PAGEREF _Toc93934828 \h </w:instrText>
      </w:r>
      <w:r>
        <w:fldChar w:fldCharType="separate"/>
      </w:r>
      <w:r>
        <w:t>287</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Prosecutions, institution of</w:t>
      </w:r>
      <w:r>
        <w:tab/>
      </w:r>
      <w:r>
        <w:fldChar w:fldCharType="begin"/>
      </w:r>
      <w:r>
        <w:instrText xml:space="preserve"> PAGEREF _Toc93934829 \h </w:instrText>
      </w:r>
      <w:r>
        <w:fldChar w:fldCharType="separate"/>
      </w:r>
      <w:r>
        <w:t>290</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Prosecutions, hearing of and limitation periods for</w:t>
      </w:r>
      <w:r>
        <w:tab/>
      </w:r>
      <w:r>
        <w:fldChar w:fldCharType="begin"/>
      </w:r>
      <w:r>
        <w:instrText xml:space="preserve"> PAGEREF _Toc93934830 \h </w:instrText>
      </w:r>
      <w:r>
        <w:fldChar w:fldCharType="separate"/>
      </w:r>
      <w:r>
        <w:t>290</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Evidentiary provisions as to proof of certain facts</w:t>
      </w:r>
      <w:r>
        <w:tab/>
      </w:r>
      <w:r>
        <w:fldChar w:fldCharType="begin"/>
      </w:r>
      <w:r>
        <w:instrText xml:space="preserve"> PAGEREF _Toc93934831 \h </w:instrText>
      </w:r>
      <w:r>
        <w:fldChar w:fldCharType="separate"/>
      </w:r>
      <w:r>
        <w:t>291</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Accomplices, who are not, evidence of</w:t>
      </w:r>
      <w:r>
        <w:tab/>
      </w:r>
      <w:r>
        <w:fldChar w:fldCharType="begin"/>
      </w:r>
      <w:r>
        <w:instrText xml:space="preserve"> PAGEREF _Toc93934832 \h </w:instrText>
      </w:r>
      <w:r>
        <w:fldChar w:fldCharType="separate"/>
      </w:r>
      <w:r>
        <w:t>293</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Averments in charges, proof of certain documents and facts</w:t>
      </w:r>
      <w:r>
        <w:tab/>
      </w:r>
      <w:r>
        <w:fldChar w:fldCharType="begin"/>
      </w:r>
      <w:r>
        <w:instrText xml:space="preserve"> PAGEREF _Toc93934833 \h </w:instrText>
      </w:r>
      <w:r>
        <w:fldChar w:fldCharType="separate"/>
      </w:r>
      <w:r>
        <w:t>293</w:t>
      </w:r>
      <w:r>
        <w:fldChar w:fldCharType="end"/>
      </w:r>
    </w:p>
    <w:p>
      <w:pPr>
        <w:pStyle w:val="TOC8"/>
        <w:rPr>
          <w:rFonts w:asciiTheme="minorHAnsi" w:eastAsiaTheme="minorEastAsia" w:hAnsiTheme="minorHAnsi" w:cstheme="minorBidi"/>
          <w:szCs w:val="22"/>
        </w:rPr>
      </w:pPr>
      <w:r>
        <w:t>172A.</w:t>
      </w:r>
      <w:r>
        <w:tab/>
        <w:t>Forfeiture of liquor etc. on conviction or payment of modified penalty</w:t>
      </w:r>
      <w:r>
        <w:tab/>
      </w:r>
      <w:r>
        <w:fldChar w:fldCharType="begin"/>
      </w:r>
      <w:r>
        <w:instrText xml:space="preserve"> PAGEREF _Toc93934834 \h </w:instrText>
      </w:r>
      <w:r>
        <w:fldChar w:fldCharType="separate"/>
      </w:r>
      <w:r>
        <w:t>299</w:t>
      </w:r>
      <w:r>
        <w:fldChar w:fldCharType="end"/>
      </w:r>
    </w:p>
    <w:p>
      <w:pPr>
        <w:pStyle w:val="TOC2"/>
        <w:tabs>
          <w:tab w:val="right" w:leader="dot" w:pos="7077"/>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173</w:t>
      </w:r>
      <w:r>
        <w:rPr>
          <w:snapToGrid w:val="0"/>
        </w:rPr>
        <w:t>.</w:t>
      </w:r>
      <w:r>
        <w:rPr>
          <w:snapToGrid w:val="0"/>
        </w:rPr>
        <w:tab/>
        <w:t>Pending review etc. not to affect liability</w:t>
      </w:r>
      <w:r>
        <w:tab/>
      </w:r>
      <w:r>
        <w:fldChar w:fldCharType="begin"/>
      </w:r>
      <w:r>
        <w:instrText xml:space="preserve"> PAGEREF _Toc93934836 \h </w:instrText>
      </w:r>
      <w:r>
        <w:fldChar w:fldCharType="separate"/>
      </w:r>
      <w:r>
        <w:t>301</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Service of documents</w:t>
      </w:r>
      <w:r>
        <w:tab/>
      </w:r>
      <w:r>
        <w:fldChar w:fldCharType="begin"/>
      </w:r>
      <w:r>
        <w:instrText xml:space="preserve"> PAGEREF _Toc93934837 \h </w:instrText>
      </w:r>
      <w:r>
        <w:fldChar w:fldCharType="separate"/>
      </w:r>
      <w:r>
        <w:t>301</w:t>
      </w:r>
      <w:r>
        <w:fldChar w:fldCharType="end"/>
      </w:r>
    </w:p>
    <w:p>
      <w:pPr>
        <w:pStyle w:val="TOC8"/>
        <w:rPr>
          <w:rFonts w:asciiTheme="minorHAnsi" w:eastAsiaTheme="minorEastAsia" w:hAnsiTheme="minorHAnsi" w:cstheme="minorBidi"/>
          <w:szCs w:val="22"/>
        </w:rPr>
      </w:pPr>
      <w:r>
        <w:t>174A.</w:t>
      </w:r>
      <w:r>
        <w:tab/>
      </w:r>
      <w:r>
        <w:rPr>
          <w:i/>
          <w:iCs/>
        </w:rPr>
        <w:t>Criminal and Found Property Disposal Act 2006</w:t>
      </w:r>
      <w:r>
        <w:rPr>
          <w:iCs/>
        </w:rPr>
        <w:t xml:space="preserve">, </w:t>
      </w:r>
      <w:r>
        <w:t>application of</w:t>
      </w:r>
      <w:r>
        <w:tab/>
      </w:r>
      <w:r>
        <w:fldChar w:fldCharType="begin"/>
      </w:r>
      <w:r>
        <w:instrText xml:space="preserve"> PAGEREF _Toc93934838 \h </w:instrText>
      </w:r>
      <w:r>
        <w:fldChar w:fldCharType="separate"/>
      </w:r>
      <w:r>
        <w:t>302</w:t>
      </w:r>
      <w:r>
        <w:fldChar w:fldCharType="end"/>
      </w:r>
    </w:p>
    <w:p>
      <w:pPr>
        <w:pStyle w:val="TOC8"/>
        <w:rPr>
          <w:rFonts w:asciiTheme="minorHAnsi" w:eastAsiaTheme="minorEastAsia" w:hAnsiTheme="minorHAnsi" w:cstheme="minorBidi"/>
          <w:szCs w:val="22"/>
        </w:rPr>
      </w:pPr>
      <w:r>
        <w:t>174B.</w:t>
      </w:r>
      <w:r>
        <w:tab/>
        <w:t xml:space="preserve">Liquor accords: authorisation for purposes of </w:t>
      </w:r>
      <w:r>
        <w:rPr>
          <w:i/>
        </w:rPr>
        <w:t>Competition and Consumer Act 2010</w:t>
      </w:r>
      <w:r>
        <w:t xml:space="preserve"> and Competition Code</w:t>
      </w:r>
      <w:r>
        <w:tab/>
      </w:r>
      <w:r>
        <w:fldChar w:fldCharType="begin"/>
      </w:r>
      <w:r>
        <w:instrText xml:space="preserve"> PAGEREF _Toc93934839 \h </w:instrText>
      </w:r>
      <w:r>
        <w:fldChar w:fldCharType="separate"/>
      </w:r>
      <w:r>
        <w:t>302</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Regulations</w:t>
      </w:r>
      <w:r>
        <w:tab/>
      </w:r>
      <w:r>
        <w:fldChar w:fldCharType="begin"/>
      </w:r>
      <w:r>
        <w:instrText xml:space="preserve"> PAGEREF _Toc93934840 \h </w:instrText>
      </w:r>
      <w:r>
        <w:fldChar w:fldCharType="separate"/>
      </w:r>
      <w:r>
        <w:t>302</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Transitional provisions (Sch. 1)</w:t>
      </w:r>
      <w:r>
        <w:tab/>
      </w:r>
      <w:r>
        <w:fldChar w:fldCharType="begin"/>
      </w:r>
      <w:r>
        <w:instrText xml:space="preserve"> PAGEREF _Toc93934841 \h </w:instrText>
      </w:r>
      <w:r>
        <w:fldChar w:fldCharType="separate"/>
      </w:r>
      <w:r>
        <w:t>305</w:t>
      </w:r>
      <w:r>
        <w:fldChar w:fldCharType="end"/>
      </w:r>
    </w:p>
    <w:p>
      <w:pPr>
        <w:pStyle w:val="TOC8"/>
        <w:rPr>
          <w:rFonts w:asciiTheme="minorHAnsi" w:eastAsiaTheme="minorEastAsia" w:hAnsiTheme="minorHAnsi" w:cstheme="minorBidi"/>
          <w:szCs w:val="22"/>
        </w:rPr>
      </w:pPr>
      <w:r>
        <w:t>177A.</w:t>
      </w:r>
      <w:r>
        <w:tab/>
        <w:t xml:space="preserve">Transitional provisions for </w:t>
      </w:r>
      <w:r>
        <w:rPr>
          <w:i/>
        </w:rPr>
        <w:t>Liquor and Gaming Legislation Amendment Act 2006</w:t>
      </w:r>
      <w:r>
        <w:t xml:space="preserve"> </w:t>
      </w:r>
      <w:r>
        <w:rPr>
          <w:snapToGrid w:val="0"/>
        </w:rPr>
        <w:t>(Sch. 1A)</w:t>
      </w:r>
      <w:r>
        <w:tab/>
      </w:r>
      <w:r>
        <w:fldChar w:fldCharType="begin"/>
      </w:r>
      <w:r>
        <w:instrText xml:space="preserve"> PAGEREF _Toc93934842 \h </w:instrText>
      </w:r>
      <w:r>
        <w:fldChar w:fldCharType="separate"/>
      </w:r>
      <w:r>
        <w:t>305</w:t>
      </w:r>
      <w:r>
        <w:fldChar w:fldCharType="end"/>
      </w:r>
    </w:p>
    <w:p>
      <w:pPr>
        <w:pStyle w:val="TOC8"/>
        <w:rPr>
          <w:rFonts w:asciiTheme="minorHAnsi" w:eastAsiaTheme="minorEastAsia" w:hAnsiTheme="minorHAnsi" w:cstheme="minorBidi"/>
          <w:szCs w:val="22"/>
        </w:rPr>
      </w:pPr>
      <w:r>
        <w:t>177B.</w:t>
      </w:r>
      <w:r>
        <w:tab/>
        <w:t xml:space="preserve">Transitional provisions for </w:t>
      </w:r>
      <w:r>
        <w:rPr>
          <w:i/>
          <w:iCs/>
        </w:rPr>
        <w:t>Liquor Control Amendment Act 2010</w:t>
      </w:r>
      <w:r>
        <w:rPr>
          <w:iCs/>
        </w:rPr>
        <w:t xml:space="preserve"> </w:t>
      </w:r>
      <w:r>
        <w:rPr>
          <w:snapToGrid w:val="0"/>
        </w:rPr>
        <w:t>(Sch. 1B)</w:t>
      </w:r>
      <w:r>
        <w:tab/>
      </w:r>
      <w:r>
        <w:fldChar w:fldCharType="begin"/>
      </w:r>
      <w:r>
        <w:instrText xml:space="preserve"> PAGEREF _Toc93934843 \h </w:instrText>
      </w:r>
      <w:r>
        <w:fldChar w:fldCharType="separate"/>
      </w:r>
      <w:r>
        <w:t>305</w:t>
      </w:r>
      <w:r>
        <w:fldChar w:fldCharType="end"/>
      </w:r>
    </w:p>
    <w:p>
      <w:pPr>
        <w:pStyle w:val="TOC8"/>
        <w:rPr>
          <w:rFonts w:asciiTheme="minorHAnsi" w:eastAsiaTheme="minorEastAsia" w:hAnsiTheme="minorHAnsi" w:cstheme="minorBidi"/>
          <w:szCs w:val="22"/>
        </w:rPr>
      </w:pPr>
      <w:r>
        <w:t>177C.</w:t>
      </w:r>
      <w:r>
        <w:tab/>
        <w:t xml:space="preserve">Transitional provisions for </w:t>
      </w:r>
      <w:r>
        <w:rPr>
          <w:i/>
        </w:rPr>
        <w:t>Liquor Control Amendment Act 2018</w:t>
      </w:r>
      <w:r>
        <w:t xml:space="preserve"> (Sch. 1C)</w:t>
      </w:r>
      <w:r>
        <w:tab/>
      </w:r>
      <w:r>
        <w:fldChar w:fldCharType="begin"/>
      </w:r>
      <w:r>
        <w:instrText xml:space="preserve"> PAGEREF _Toc93934844 \h </w:instrText>
      </w:r>
      <w:r>
        <w:fldChar w:fldCharType="separate"/>
      </w:r>
      <w:r>
        <w:t>305</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Review of Act</w:t>
      </w:r>
      <w:r>
        <w:tab/>
      </w:r>
      <w:r>
        <w:fldChar w:fldCharType="begin"/>
      </w:r>
      <w:r>
        <w:instrText xml:space="preserve"> PAGEREF _Toc93934845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_Toc93934847 \h </w:instrText>
      </w:r>
      <w:r>
        <w:fldChar w:fldCharType="separate"/>
      </w:r>
      <w:r>
        <w:t>307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effect of convictions, forfeitures etc.</w:t>
      </w:r>
      <w:r>
        <w:tab/>
      </w:r>
      <w:r>
        <w:fldChar w:fldCharType="begin"/>
      </w:r>
      <w:r>
        <w:instrText xml:space="preserve"> PAGEREF _Toc93934848 \h </w:instrText>
      </w:r>
      <w:r>
        <w:fldChar w:fldCharType="separate"/>
      </w:r>
      <w:r>
        <w:t>308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Proceedings part heard, rules of court, and appointments under repealed Act</w:t>
      </w:r>
      <w:r>
        <w:tab/>
      </w:r>
      <w:r>
        <w:fldChar w:fldCharType="begin"/>
      </w:r>
      <w:r>
        <w:instrText xml:space="preserve"> PAGEREF _Toc93934849 \h </w:instrText>
      </w:r>
      <w:r>
        <w:fldChar w:fldCharType="separate"/>
      </w:r>
      <w:r>
        <w:t>308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_Toc93934850 \h </w:instrText>
      </w:r>
      <w:r>
        <w:fldChar w:fldCharType="separate"/>
      </w:r>
      <w:r>
        <w:t>310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Continuing effect of conditions, delineated or designated areas, approvals etc.</w:t>
      </w:r>
      <w:r>
        <w:tab/>
      </w:r>
      <w:r>
        <w:fldChar w:fldCharType="begin"/>
      </w:r>
      <w:r>
        <w:instrText xml:space="preserve"> PAGEREF _Toc93934851 \h </w:instrText>
      </w:r>
      <w:r>
        <w:fldChar w:fldCharType="separate"/>
      </w:r>
      <w:r>
        <w:t>311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Conversion of licences generally</w:t>
      </w:r>
      <w:r>
        <w:tab/>
      </w:r>
      <w:r>
        <w:fldChar w:fldCharType="begin"/>
      </w:r>
      <w:r>
        <w:instrText xml:space="preserve"> PAGEREF _Toc93934852 \h </w:instrText>
      </w:r>
      <w:r>
        <w:fldChar w:fldCharType="separate"/>
      </w:r>
      <w:r>
        <w:t>312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Hotel licences</w:t>
      </w:r>
      <w:r>
        <w:tab/>
      </w:r>
      <w:r>
        <w:fldChar w:fldCharType="begin"/>
      </w:r>
      <w:r>
        <w:instrText xml:space="preserve"> PAGEREF _Toc93934853 \h </w:instrText>
      </w:r>
      <w:r>
        <w:fldChar w:fldCharType="separate"/>
      </w:r>
      <w:r>
        <w:t>314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hotel licences</w:t>
      </w:r>
      <w:r>
        <w:tab/>
      </w:r>
      <w:r>
        <w:fldChar w:fldCharType="begin"/>
      </w:r>
      <w:r>
        <w:instrText xml:space="preserve"> PAGEREF _Toc93934854 \h </w:instrText>
      </w:r>
      <w:r>
        <w:fldChar w:fldCharType="separate"/>
      </w:r>
      <w:r>
        <w:t>314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Tavern licences</w:t>
      </w:r>
      <w:r>
        <w:tab/>
      </w:r>
      <w:r>
        <w:fldChar w:fldCharType="begin"/>
      </w:r>
      <w:r>
        <w:instrText xml:space="preserve"> PAGEREF _Toc93934855 \h </w:instrText>
      </w:r>
      <w:r>
        <w:fldChar w:fldCharType="separate"/>
      </w:r>
      <w:r>
        <w:t>314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Obligatory trading hours relating to hotel licences</w:t>
      </w:r>
      <w:r>
        <w:tab/>
      </w:r>
      <w:r>
        <w:fldChar w:fldCharType="begin"/>
      </w:r>
      <w:r>
        <w:instrText xml:space="preserve"> PAGEREF _Toc93934856 \h </w:instrText>
      </w:r>
      <w:r>
        <w:fldChar w:fldCharType="separate"/>
      </w:r>
      <w:r>
        <w:t>315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Winehouse licences and Australian wine licences</w:t>
      </w:r>
      <w:r>
        <w:tab/>
      </w:r>
      <w:r>
        <w:fldChar w:fldCharType="begin"/>
      </w:r>
      <w:r>
        <w:instrText xml:space="preserve"> PAGEREF _Toc93934857 \h </w:instrText>
      </w:r>
      <w:r>
        <w:fldChar w:fldCharType="separate"/>
      </w:r>
      <w:r>
        <w:t>315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Casino liquor licences</w:t>
      </w:r>
      <w:r>
        <w:tab/>
      </w:r>
      <w:r>
        <w:fldChar w:fldCharType="begin"/>
      </w:r>
      <w:r>
        <w:instrText xml:space="preserve"> PAGEREF _Toc93934858 \h </w:instrText>
      </w:r>
      <w:r>
        <w:fldChar w:fldCharType="separate"/>
      </w:r>
      <w:r>
        <w:t>316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Cabaret licences</w:t>
      </w:r>
      <w:r>
        <w:tab/>
      </w:r>
      <w:r>
        <w:fldChar w:fldCharType="begin"/>
      </w:r>
      <w:r>
        <w:instrText xml:space="preserve"> PAGEREF _Toc93934859 \h </w:instrText>
      </w:r>
      <w:r>
        <w:fldChar w:fldCharType="separate"/>
      </w:r>
      <w:r>
        <w:t>316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Restaurant licences</w:t>
      </w:r>
      <w:r>
        <w:tab/>
      </w:r>
      <w:r>
        <w:fldChar w:fldCharType="begin"/>
      </w:r>
      <w:r>
        <w:instrText xml:space="preserve"> PAGEREF _Toc93934860 \h </w:instrText>
      </w:r>
      <w:r>
        <w:fldChar w:fldCharType="separate"/>
      </w:r>
      <w:r>
        <w:t>316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_Toc93934861 \h </w:instrText>
      </w:r>
      <w:r>
        <w:fldChar w:fldCharType="separate"/>
      </w:r>
      <w:r>
        <w:t>317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Store licences</w:t>
      </w:r>
      <w:r>
        <w:tab/>
      </w:r>
      <w:r>
        <w:fldChar w:fldCharType="begin"/>
      </w:r>
      <w:r>
        <w:instrText xml:space="preserve"> PAGEREF _Toc93934862 \h </w:instrText>
      </w:r>
      <w:r>
        <w:fldChar w:fldCharType="separate"/>
      </w:r>
      <w:r>
        <w:t>318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Vigneron’s licences and brewer’s licences</w:t>
      </w:r>
      <w:r>
        <w:tab/>
      </w:r>
      <w:r>
        <w:fldChar w:fldCharType="begin"/>
      </w:r>
      <w:r>
        <w:instrText xml:space="preserve"> PAGEREF _Toc93934863 \h </w:instrText>
      </w:r>
      <w:r>
        <w:fldChar w:fldCharType="separate"/>
      </w:r>
      <w:r>
        <w:t>318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Wholesale licences</w:t>
      </w:r>
      <w:r>
        <w:tab/>
      </w:r>
      <w:r>
        <w:fldChar w:fldCharType="begin"/>
      </w:r>
      <w:r>
        <w:instrText xml:space="preserve"> PAGEREF _Toc93934864 \h </w:instrText>
      </w:r>
      <w:r>
        <w:fldChar w:fldCharType="separate"/>
      </w:r>
      <w:r>
        <w:t>319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Club licences and unlicensed club permits</w:t>
      </w:r>
      <w:r>
        <w:tab/>
      </w:r>
      <w:r>
        <w:fldChar w:fldCharType="begin"/>
      </w:r>
      <w:r>
        <w:instrText xml:space="preserve"> PAGEREF _Toc93934865 \h </w:instrText>
      </w:r>
      <w:r>
        <w:fldChar w:fldCharType="separate"/>
      </w:r>
      <w:r>
        <w:t>319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licences to become special facility licences</w:t>
      </w:r>
      <w:r>
        <w:tab/>
      </w:r>
      <w:r>
        <w:fldChar w:fldCharType="begin"/>
      </w:r>
      <w:r>
        <w:instrText xml:space="preserve"> PAGEREF _Toc93934866 \h </w:instrText>
      </w:r>
      <w:r>
        <w:fldChar w:fldCharType="separate"/>
      </w:r>
      <w:r>
        <w:t>321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Caterer’s permit</w:t>
      </w:r>
      <w:r>
        <w:tab/>
      </w:r>
      <w:r>
        <w:fldChar w:fldCharType="begin"/>
      </w:r>
      <w:r>
        <w:instrText xml:space="preserve"> PAGEREF _Toc93934867 \h </w:instrText>
      </w:r>
      <w:r>
        <w:fldChar w:fldCharType="separate"/>
      </w:r>
      <w:r>
        <w:t>322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Exempted producers etc.</w:t>
      </w:r>
      <w:r>
        <w:tab/>
      </w:r>
      <w:r>
        <w:fldChar w:fldCharType="begin"/>
      </w:r>
      <w:r>
        <w:instrText xml:space="preserve"> PAGEREF _Toc93934868 \h </w:instrText>
      </w:r>
      <w:r>
        <w:fldChar w:fldCharType="separate"/>
      </w:r>
      <w:r>
        <w:t>322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licences may become special facility licences</w:t>
      </w:r>
      <w:r>
        <w:tab/>
      </w:r>
      <w:r>
        <w:fldChar w:fldCharType="begin"/>
      </w:r>
      <w:r>
        <w:instrText xml:space="preserve"> PAGEREF _Toc93934869 \h </w:instrText>
      </w:r>
      <w:r>
        <w:fldChar w:fldCharType="separate"/>
      </w:r>
      <w:r>
        <w:t>323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References in other written laws</w:t>
      </w:r>
      <w:r>
        <w:tab/>
      </w:r>
      <w:r>
        <w:fldChar w:fldCharType="begin"/>
      </w:r>
      <w:r>
        <w:instrText xml:space="preserve"> PAGEREF _Toc93934870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1A — Transitional provisions relating to the </w:t>
      </w:r>
      <w:r>
        <w:rPr>
          <w:i/>
        </w:rPr>
        <w:t>Liquor and Gaming Legislation Amendment Act 2006</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_Toc93934872 \h </w:instrText>
      </w:r>
      <w:r>
        <w:fldChar w:fldCharType="separate"/>
      </w:r>
      <w:r>
        <w:t>324</w:t>
      </w:r>
      <w:r>
        <w:fldChar w:fldCharType="end"/>
      </w:r>
    </w:p>
    <w:p>
      <w:pPr>
        <w:pStyle w:val="TOC8"/>
        <w:rPr>
          <w:rFonts w:asciiTheme="minorHAnsi" w:eastAsiaTheme="minorEastAsia" w:hAnsiTheme="minorHAnsi" w:cstheme="minorBidi"/>
          <w:szCs w:val="22"/>
        </w:rPr>
      </w:pPr>
      <w:r>
        <w:t>2.</w:t>
      </w:r>
      <w:r>
        <w:tab/>
        <w:t>Liquor Licensing Court</w:t>
      </w:r>
      <w:r>
        <w:tab/>
      </w:r>
      <w:r>
        <w:fldChar w:fldCharType="begin"/>
      </w:r>
      <w:r>
        <w:instrText xml:space="preserve"> PAGEREF _Toc93934873 \h </w:instrText>
      </w:r>
      <w:r>
        <w:fldChar w:fldCharType="separate"/>
      </w:r>
      <w:r>
        <w:t>324</w:t>
      </w:r>
      <w:r>
        <w:fldChar w:fldCharType="end"/>
      </w:r>
    </w:p>
    <w:p>
      <w:pPr>
        <w:pStyle w:val="TOC8"/>
        <w:rPr>
          <w:rFonts w:asciiTheme="minorHAnsi" w:eastAsiaTheme="minorEastAsia" w:hAnsiTheme="minorHAnsi" w:cstheme="minorBidi"/>
          <w:szCs w:val="22"/>
        </w:rPr>
      </w:pPr>
      <w:r>
        <w:t>3.</w:t>
      </w:r>
      <w:r>
        <w:tab/>
        <w:t>Liquor Licensing Court judge</w:t>
      </w:r>
      <w:r>
        <w:tab/>
      </w:r>
      <w:r>
        <w:fldChar w:fldCharType="begin"/>
      </w:r>
      <w:r>
        <w:instrText xml:space="preserve"> PAGEREF _Toc93934874 \h </w:instrText>
      </w:r>
      <w:r>
        <w:fldChar w:fldCharType="separate"/>
      </w:r>
      <w:r>
        <w:t>325</w:t>
      </w:r>
      <w:r>
        <w:fldChar w:fldCharType="end"/>
      </w:r>
    </w:p>
    <w:p>
      <w:pPr>
        <w:pStyle w:val="TOC8"/>
        <w:rPr>
          <w:rFonts w:asciiTheme="minorHAnsi" w:eastAsiaTheme="minorEastAsia" w:hAnsiTheme="minorHAnsi" w:cstheme="minorBidi"/>
          <w:szCs w:val="22"/>
        </w:rPr>
      </w:pPr>
      <w:r>
        <w:t>4.</w:t>
      </w:r>
      <w:r>
        <w:tab/>
        <w:t>Pending cases stated and appeals to Supreme Court</w:t>
      </w:r>
      <w:r>
        <w:tab/>
      </w:r>
      <w:r>
        <w:fldChar w:fldCharType="begin"/>
      </w:r>
      <w:r>
        <w:instrText xml:space="preserve"> PAGEREF _Toc93934875 \h </w:instrText>
      </w:r>
      <w:r>
        <w:fldChar w:fldCharType="separate"/>
      </w:r>
      <w:r>
        <w:t>325</w:t>
      </w:r>
      <w:r>
        <w:fldChar w:fldCharType="end"/>
      </w:r>
    </w:p>
    <w:p>
      <w:pPr>
        <w:pStyle w:val="TOC8"/>
        <w:rPr>
          <w:rFonts w:asciiTheme="minorHAnsi" w:eastAsiaTheme="minorEastAsia" w:hAnsiTheme="minorHAnsi" w:cstheme="minorBidi"/>
          <w:szCs w:val="22"/>
        </w:rPr>
      </w:pPr>
      <w:r>
        <w:t>5.</w:t>
      </w:r>
      <w:r>
        <w:tab/>
        <w:t>Pending applications and matters</w:t>
      </w:r>
      <w:r>
        <w:tab/>
      </w:r>
      <w:r>
        <w:fldChar w:fldCharType="begin"/>
      </w:r>
      <w:r>
        <w:instrText xml:space="preserve"> PAGEREF _Toc93934876 \h </w:instrText>
      </w:r>
      <w:r>
        <w:fldChar w:fldCharType="separate"/>
      </w:r>
      <w:r>
        <w:t>325</w:t>
      </w:r>
      <w:r>
        <w:fldChar w:fldCharType="end"/>
      </w:r>
    </w:p>
    <w:p>
      <w:pPr>
        <w:pStyle w:val="TOC8"/>
        <w:rPr>
          <w:rFonts w:asciiTheme="minorHAnsi" w:eastAsiaTheme="minorEastAsia" w:hAnsiTheme="minorHAnsi" w:cstheme="minorBidi"/>
          <w:szCs w:val="22"/>
        </w:rPr>
      </w:pPr>
      <w:r>
        <w:lastRenderedPageBreak/>
        <w:t>6.</w:t>
      </w:r>
      <w:r>
        <w:tab/>
        <w:t>Licences granted and permits issued by Liquor Licensing Court</w:t>
      </w:r>
      <w:r>
        <w:tab/>
      </w:r>
      <w:r>
        <w:fldChar w:fldCharType="begin"/>
      </w:r>
      <w:r>
        <w:instrText xml:space="preserve"> PAGEREF _Toc93934877 \h </w:instrText>
      </w:r>
      <w:r>
        <w:fldChar w:fldCharType="separate"/>
      </w:r>
      <w:r>
        <w:t>326</w:t>
      </w:r>
      <w:r>
        <w:fldChar w:fldCharType="end"/>
      </w:r>
    </w:p>
    <w:p>
      <w:pPr>
        <w:pStyle w:val="TOC8"/>
        <w:rPr>
          <w:rFonts w:asciiTheme="minorHAnsi" w:eastAsiaTheme="minorEastAsia" w:hAnsiTheme="minorHAnsi" w:cstheme="minorBidi"/>
          <w:szCs w:val="22"/>
        </w:rPr>
      </w:pPr>
      <w:r>
        <w:t>7.</w:t>
      </w:r>
      <w:r>
        <w:tab/>
        <w:t>Cabaret licences</w:t>
      </w:r>
      <w:r>
        <w:tab/>
      </w:r>
      <w:r>
        <w:fldChar w:fldCharType="begin"/>
      </w:r>
      <w:r>
        <w:instrText xml:space="preserve"> PAGEREF _Toc93934878 \h </w:instrText>
      </w:r>
      <w:r>
        <w:fldChar w:fldCharType="separate"/>
      </w:r>
      <w:r>
        <w:t>326</w:t>
      </w:r>
      <w:r>
        <w:fldChar w:fldCharType="end"/>
      </w:r>
    </w:p>
    <w:p>
      <w:pPr>
        <w:pStyle w:val="TOC8"/>
        <w:rPr>
          <w:rFonts w:asciiTheme="minorHAnsi" w:eastAsiaTheme="minorEastAsia" w:hAnsiTheme="minorHAnsi" w:cstheme="minorBidi"/>
          <w:szCs w:val="22"/>
        </w:rPr>
      </w:pPr>
      <w:r>
        <w:t>8.</w:t>
      </w:r>
      <w:r>
        <w:tab/>
        <w:t>Courses of training and assessments</w:t>
      </w:r>
      <w:r>
        <w:tab/>
      </w:r>
      <w:r>
        <w:fldChar w:fldCharType="begin"/>
      </w:r>
      <w:r>
        <w:instrText xml:space="preserve"> PAGEREF _Toc93934879 \h </w:instrText>
      </w:r>
      <w:r>
        <w:fldChar w:fldCharType="separate"/>
      </w:r>
      <w:r>
        <w:t>326</w:t>
      </w:r>
      <w:r>
        <w:fldChar w:fldCharType="end"/>
      </w:r>
    </w:p>
    <w:p>
      <w:pPr>
        <w:pStyle w:val="TOC8"/>
        <w:rPr>
          <w:rFonts w:asciiTheme="minorHAnsi" w:eastAsiaTheme="minorEastAsia" w:hAnsiTheme="minorHAnsi" w:cstheme="minorBidi"/>
          <w:szCs w:val="22"/>
        </w:rPr>
      </w:pPr>
      <w:r>
        <w:t>9.</w:t>
      </w:r>
      <w:r>
        <w:tab/>
        <w:t>References to Liquor Licensing Court and Liquor Licensing Court judge</w:t>
      </w:r>
      <w:r>
        <w:tab/>
      </w:r>
      <w:r>
        <w:fldChar w:fldCharType="begin"/>
      </w:r>
      <w:r>
        <w:instrText xml:space="preserve"> PAGEREF _Toc93934880 \h </w:instrText>
      </w:r>
      <w:r>
        <w:fldChar w:fldCharType="separate"/>
      </w:r>
      <w:r>
        <w:t>327</w:t>
      </w:r>
      <w:r>
        <w:fldChar w:fldCharType="end"/>
      </w:r>
    </w:p>
    <w:p>
      <w:pPr>
        <w:pStyle w:val="TOC8"/>
        <w:rPr>
          <w:rFonts w:asciiTheme="minorHAnsi" w:eastAsiaTheme="minorEastAsia" w:hAnsiTheme="minorHAnsi" w:cstheme="minorBidi"/>
          <w:szCs w:val="22"/>
        </w:rPr>
      </w:pPr>
      <w:r>
        <w:t>10.</w:t>
      </w:r>
      <w:r>
        <w:tab/>
        <w:t>Transitional regulations</w:t>
      </w:r>
      <w:r>
        <w:tab/>
      </w:r>
      <w:r>
        <w:fldChar w:fldCharType="begin"/>
      </w:r>
      <w:r>
        <w:instrText xml:space="preserve"> PAGEREF _Toc93934881 \h </w:instrText>
      </w:r>
      <w:r>
        <w:fldChar w:fldCharType="separate"/>
      </w:r>
      <w:r>
        <w:t>327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1B — Transitional provisions relating to the </w:t>
      </w:r>
      <w:r>
        <w:rPr>
          <w:i/>
        </w:rPr>
        <w:t>Liquor Control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_Toc93934883 \h </w:instrText>
      </w:r>
      <w:r>
        <w:fldChar w:fldCharType="separate"/>
      </w:r>
      <w:r>
        <w:t>329</w:t>
      </w:r>
      <w:r>
        <w:fldChar w:fldCharType="end"/>
      </w:r>
    </w:p>
    <w:p>
      <w:pPr>
        <w:pStyle w:val="TOC8"/>
        <w:rPr>
          <w:rFonts w:asciiTheme="minorHAnsi" w:eastAsiaTheme="minorEastAsia" w:hAnsiTheme="minorHAnsi" w:cstheme="minorBidi"/>
          <w:szCs w:val="22"/>
        </w:rPr>
      </w:pPr>
      <w:r>
        <w:t>2.</w:t>
      </w:r>
      <w:r>
        <w:tab/>
        <w:t>Current managers taken to be licensed</w:t>
      </w:r>
      <w:r>
        <w:tab/>
      </w:r>
      <w:r>
        <w:fldChar w:fldCharType="begin"/>
      </w:r>
      <w:r>
        <w:instrText xml:space="preserve"> PAGEREF _Toc93934884 \h </w:instrText>
      </w:r>
      <w:r>
        <w:fldChar w:fldCharType="separate"/>
      </w:r>
      <w:r>
        <w:t>329</w:t>
      </w:r>
      <w:r>
        <w:fldChar w:fldCharType="end"/>
      </w:r>
    </w:p>
    <w:p>
      <w:pPr>
        <w:pStyle w:val="TOC8"/>
        <w:rPr>
          <w:rFonts w:asciiTheme="minorHAnsi" w:eastAsiaTheme="minorEastAsia" w:hAnsiTheme="minorHAnsi" w:cstheme="minorBidi"/>
          <w:szCs w:val="22"/>
        </w:rPr>
      </w:pPr>
      <w:r>
        <w:t>3.</w:t>
      </w:r>
      <w:r>
        <w:tab/>
        <w:t>Duration of transitioned approvals</w:t>
      </w:r>
      <w:r>
        <w:tab/>
      </w:r>
      <w:r>
        <w:fldChar w:fldCharType="begin"/>
      </w:r>
      <w:r>
        <w:instrText xml:space="preserve"> PAGEREF _Toc93934885 \h </w:instrText>
      </w:r>
      <w:r>
        <w:fldChar w:fldCharType="separate"/>
      </w:r>
      <w:r>
        <w:t>329</w:t>
      </w:r>
      <w:r>
        <w:fldChar w:fldCharType="end"/>
      </w:r>
    </w:p>
    <w:p>
      <w:pPr>
        <w:pStyle w:val="TOC8"/>
        <w:rPr>
          <w:rFonts w:asciiTheme="minorHAnsi" w:eastAsiaTheme="minorEastAsia" w:hAnsiTheme="minorHAnsi" w:cstheme="minorBidi"/>
          <w:szCs w:val="22"/>
        </w:rPr>
      </w:pPr>
      <w:r>
        <w:t>4.</w:t>
      </w:r>
      <w:r>
        <w:tab/>
        <w:t>Current applications</w:t>
      </w:r>
      <w:r>
        <w:tab/>
      </w:r>
      <w:r>
        <w:fldChar w:fldCharType="begin"/>
      </w:r>
      <w:r>
        <w:instrText xml:space="preserve"> PAGEREF _Toc93934886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1C — Transitional provisions relating to the </w:t>
      </w:r>
      <w:r>
        <w:rPr>
          <w:i/>
        </w:rPr>
        <w:t>Liquor Control Amendment Act 2018</w:t>
      </w:r>
    </w:p>
    <w:p>
      <w:pPr>
        <w:pStyle w:val="TOC8"/>
        <w:rPr>
          <w:rFonts w:asciiTheme="minorHAnsi" w:eastAsiaTheme="minorEastAsia" w:hAnsiTheme="minorHAnsi" w:cstheme="minorBidi"/>
          <w:szCs w:val="22"/>
        </w:rPr>
      </w:pPr>
      <w:r>
        <w:t>1.</w:t>
      </w:r>
      <w:r>
        <w:tab/>
        <w:t>Application of s. 36B to existing applications for grant or removal of licence</w:t>
      </w:r>
      <w:r>
        <w:tab/>
      </w:r>
      <w:r>
        <w:fldChar w:fldCharType="begin"/>
      </w:r>
      <w:r>
        <w:instrText xml:space="preserve"> PAGEREF _Toc93934888 \h </w:instrText>
      </w:r>
      <w:r>
        <w:fldChar w:fldCharType="separate"/>
      </w:r>
      <w:r>
        <w:t>331</w:t>
      </w:r>
      <w:r>
        <w:fldChar w:fldCharType="end"/>
      </w:r>
    </w:p>
    <w:p>
      <w:pPr>
        <w:pStyle w:val="TOC8"/>
        <w:rPr>
          <w:rFonts w:asciiTheme="minorHAnsi" w:eastAsiaTheme="minorEastAsia" w:hAnsiTheme="minorHAnsi" w:cstheme="minorBidi"/>
          <w:szCs w:val="22"/>
        </w:rPr>
      </w:pPr>
      <w:r>
        <w:t>2.</w:t>
      </w:r>
      <w:r>
        <w:tab/>
        <w:t>Small bar licences</w:t>
      </w:r>
      <w:r>
        <w:tab/>
      </w:r>
      <w:r>
        <w:fldChar w:fldCharType="begin"/>
      </w:r>
      <w:r>
        <w:instrText xml:space="preserve"> PAGEREF _Toc93934889 \h </w:instrText>
      </w:r>
      <w:r>
        <w:fldChar w:fldCharType="separate"/>
      </w:r>
      <w:r>
        <w:t>331</w:t>
      </w:r>
      <w:r>
        <w:fldChar w:fldCharType="end"/>
      </w:r>
    </w:p>
    <w:p>
      <w:pPr>
        <w:pStyle w:val="TOC8"/>
        <w:rPr>
          <w:rFonts w:asciiTheme="minorHAnsi" w:eastAsiaTheme="minorEastAsia" w:hAnsiTheme="minorHAnsi" w:cstheme="minorBidi"/>
          <w:szCs w:val="22"/>
        </w:rPr>
      </w:pPr>
      <w:r>
        <w:t>3.</w:t>
      </w:r>
      <w:r>
        <w:tab/>
        <w:t>Certain restaurant licences: no fee for application for extended trading permit under section 60(4)(ca)</w:t>
      </w:r>
      <w:r>
        <w:tab/>
      </w:r>
      <w:r>
        <w:fldChar w:fldCharType="begin"/>
      </w:r>
      <w:r>
        <w:instrText xml:space="preserve"> PAGEREF _Toc93934890 \h </w:instrText>
      </w:r>
      <w:r>
        <w:fldChar w:fldCharType="separate"/>
      </w:r>
      <w:r>
        <w:t>331</w:t>
      </w:r>
      <w:r>
        <w:fldChar w:fldCharType="end"/>
      </w:r>
    </w:p>
    <w:p>
      <w:pPr>
        <w:pStyle w:val="TOC8"/>
        <w:rPr>
          <w:rFonts w:asciiTheme="minorHAnsi" w:eastAsiaTheme="minorEastAsia" w:hAnsiTheme="minorHAnsi" w:cstheme="minorBidi"/>
          <w:szCs w:val="22"/>
        </w:rPr>
      </w:pPr>
      <w:r>
        <w:t>4.</w:t>
      </w:r>
      <w:r>
        <w:tab/>
        <w:t>Application of s. 77A to existing applications for alteration or redefinition of licensed premises</w:t>
      </w:r>
      <w:r>
        <w:tab/>
      </w:r>
      <w:r>
        <w:fldChar w:fldCharType="begin"/>
      </w:r>
      <w:r>
        <w:instrText xml:space="preserve"> PAGEREF _Toc93934891 \h </w:instrText>
      </w:r>
      <w:r>
        <w:fldChar w:fldCharType="separate"/>
      </w:r>
      <w:r>
        <w:t>332</w:t>
      </w:r>
      <w:r>
        <w:fldChar w:fldCharType="end"/>
      </w:r>
    </w:p>
    <w:p>
      <w:pPr>
        <w:pStyle w:val="TOC2"/>
        <w:tabs>
          <w:tab w:val="right" w:leader="dot" w:pos="7077"/>
        </w:tabs>
        <w:rPr>
          <w:rFonts w:asciiTheme="minorHAnsi" w:eastAsiaTheme="minorEastAsia" w:hAnsiTheme="minorHAnsi" w:cstheme="minorBidi"/>
          <w:b w:val="0"/>
          <w:sz w:val="22"/>
          <w:szCs w:val="22"/>
        </w:rPr>
      </w:pPr>
      <w:r>
        <w:t>Schedule 2 — Unincorporated clubs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Anzac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_Toc93934894 \h </w:instrText>
      </w:r>
      <w:r>
        <w:fldChar w:fldCharType="separate"/>
      </w:r>
      <w:r>
        <w:t>333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Anzac Club</w:t>
      </w:r>
      <w:r>
        <w:tab/>
      </w:r>
      <w:r>
        <w:fldChar w:fldCharType="begin"/>
      </w:r>
      <w:r>
        <w:instrText xml:space="preserve"> PAGEREF _Toc93934895 \h </w:instrText>
      </w:r>
      <w:r>
        <w:fldChar w:fldCharType="separate"/>
      </w:r>
      <w:r>
        <w:t>333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Air Force Association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_Toc93934897 \h </w:instrText>
      </w:r>
      <w:r>
        <w:fldChar w:fldCharType="separate"/>
      </w:r>
      <w:r>
        <w:t>335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Air Force Association (Western Australia Division) Club</w:t>
      </w:r>
      <w:r>
        <w:tab/>
      </w:r>
      <w:r>
        <w:fldChar w:fldCharType="begin"/>
      </w:r>
      <w:r>
        <w:instrText xml:space="preserve"> PAGEREF _Toc93934898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_Toc93934900 \h </w:instrText>
      </w:r>
      <w:r>
        <w:fldChar w:fldCharType="separate"/>
      </w:r>
      <w:r>
        <w:t>337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_Toc93934901 \h </w:instrText>
      </w:r>
      <w:r>
        <w:fldChar w:fldCharType="separate"/>
      </w:r>
      <w:r>
        <w:t>342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_Toc93934902 \h </w:instrText>
      </w:r>
      <w:r>
        <w:fldChar w:fldCharType="separate"/>
      </w:r>
      <w:r>
        <w:t>342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1</w:t>
      </w:r>
      <w:r>
        <w:rPr>
          <w:snapToGrid w:val="0"/>
        </w:rPr>
        <w:t>, and for related matters.</w:t>
      </w:r>
    </w:p>
    <w:p>
      <w:pPr>
        <w:pStyle w:val="Footnotelongtitle"/>
      </w:pPr>
      <w:r>
        <w:tab/>
        <w:t xml:space="preserve">[Long title amended: No. 12 of 1998 s. 4 (correction: Gazette 31 Jul 1998 p. 3942); No. 73 of 2006 s. 4.] </w:t>
      </w:r>
    </w:p>
    <w:p>
      <w:pPr>
        <w:pStyle w:val="Heading2"/>
      </w:pPr>
      <w:bookmarkStart w:id="3" w:name="_Toc93917981"/>
      <w:bookmarkStart w:id="4" w:name="_Toc93934526"/>
      <w:r>
        <w:rPr>
          <w:rStyle w:val="CharPartNo"/>
        </w:rPr>
        <w:lastRenderedPageBreak/>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93934527"/>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w:t>
      </w:r>
    </w:p>
    <w:p>
      <w:pPr>
        <w:pStyle w:val="Footnotesection"/>
      </w:pPr>
      <w:r>
        <w:tab/>
        <w:t>[Section 1 amended: No. 73 of 2006 s. 5.]</w:t>
      </w:r>
    </w:p>
    <w:p>
      <w:pPr>
        <w:pStyle w:val="Heading5"/>
        <w:rPr>
          <w:snapToGrid w:val="0"/>
        </w:rPr>
      </w:pPr>
      <w:bookmarkStart w:id="6" w:name="_Toc93934528"/>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7" w:name="_Toc93934529"/>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lastRenderedPageBreak/>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lastRenderedPageBreak/>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lastRenderedPageBreak/>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w:t>
      </w:r>
    </w:p>
    <w:p>
      <w:pPr>
        <w:pStyle w:val="Defstart"/>
      </w:pPr>
      <w:r>
        <w:rPr>
          <w:b/>
        </w:rPr>
        <w:tab/>
      </w:r>
      <w:r>
        <w:rPr>
          <w:rStyle w:val="CharDefText"/>
        </w:rPr>
        <w:t>hotel restricted licence</w:t>
      </w:r>
      <w:r>
        <w:t xml:space="preserve"> means a hotel licence of the kind referred to in section 41(1)(b);</w:t>
      </w:r>
    </w:p>
    <w:p>
      <w:pPr>
        <w:pStyle w:val="Defstart"/>
      </w:pPr>
      <w:r>
        <w:tab/>
      </w:r>
      <w:r>
        <w:rPr>
          <w:rStyle w:val="CharDefText"/>
        </w:rPr>
        <w:t>inspector</w:t>
      </w:r>
      <w:r>
        <w:t xml:space="preserve"> means an inspector appointed under section 14(1)(a);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lastRenderedPageBreak/>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lastRenderedPageBreak/>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tab/>
      </w:r>
      <w:r>
        <w:rPr>
          <w:rStyle w:val="CharDefText"/>
        </w:rPr>
        <w:t>member</w:t>
      </w:r>
      <w:r>
        <w:t xml:space="preserve"> — </w:t>
      </w:r>
    </w:p>
    <w:p>
      <w:pPr>
        <w:pStyle w:val="Defpara"/>
      </w:pPr>
      <w:r>
        <w:tab/>
        <w:t>(a)</w:t>
      </w:r>
      <w:r>
        <w:tab/>
        <w:t>in relation to a club — includes a person who is a member of the club by reason of reciprocal arrangements with another club made in accordance with the rules of the club; and</w:t>
      </w:r>
    </w:p>
    <w:p>
      <w:pPr>
        <w:pStyle w:val="Defpara"/>
      </w:pPr>
      <w:r>
        <w:lastRenderedPageBreak/>
        <w:tab/>
        <w:t>(b)</w:t>
      </w:r>
      <w:r>
        <w:tab/>
        <w:t>in relation to the Commission —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region described in the </w:t>
      </w:r>
      <w:r>
        <w:rPr>
          <w:i/>
        </w:rPr>
        <w:t>Planning and Development Act 2005</w:t>
      </w:r>
      <w:r>
        <w:t xml:space="preserve"> Schedule 3;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pPr>
      <w:r>
        <w:tab/>
      </w:r>
      <w:r>
        <w:rPr>
          <w:rStyle w:val="CharDefText"/>
        </w:rPr>
        <w:t>party to proceedings</w:t>
      </w:r>
      <w:r>
        <w:t xml:space="preserve"> includes — </w:t>
      </w:r>
    </w:p>
    <w:p>
      <w:pPr>
        <w:pStyle w:val="Defpara"/>
      </w:pPr>
      <w:r>
        <w:tab/>
        <w:t>(a)</w:t>
      </w:r>
      <w:r>
        <w:tab/>
        <w:t>an objector, unless a determination is made under section 74(4) in relation to the objection; and</w:t>
      </w:r>
    </w:p>
    <w:p>
      <w:pPr>
        <w:pStyle w:val="Defpara"/>
      </w:pPr>
      <w:r>
        <w:tab/>
        <w:t>(b)</w:t>
      </w:r>
      <w:r>
        <w:tab/>
        <w:t>a person who intervenes in proceedings;</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pPr>
      <w:r>
        <w:rPr>
          <w:b/>
        </w:rPr>
        <w:lastRenderedPageBreak/>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lastRenderedPageBreak/>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lastRenderedPageBreak/>
        <w:tab/>
        <w:t>(ii)</w:t>
      </w:r>
      <w: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tab/>
      </w:r>
      <w:r>
        <w:rPr>
          <w:rStyle w:val="CharDefText"/>
        </w:rPr>
        <w:t>small bar licence</w:t>
      </w:r>
      <w:r>
        <w:t xml:space="preserve"> means a licence granted under section 41A;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keepNext/>
      </w:pPr>
      <w:r>
        <w:rPr>
          <w:b/>
        </w:rPr>
        <w:lastRenderedPageBreak/>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lastRenderedPageBreak/>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 xml:space="preserve">[Section 3 amended: No. 56 of 1997 s. 26(1), (2) and (3); No. 12 of 1998 s. 5 and 70(5); No. 23 of 2000 s. 4; No. 27 of </w:t>
      </w:r>
      <w:r>
        <w:lastRenderedPageBreak/>
        <w:t>2000 s. 9; No. 10 of 2001 s. 220; No. 28 of 2003 s. 105; No. 35 of 2003 s. 173(2); No. 73 of 2006 s. 6 and 106; No. 21 of 2008 s. 675(2); No. 56 of 2010 s. 4, 25, 27 and 35</w:t>
      </w:r>
      <w:r>
        <w:rPr>
          <w:spacing w:val="-4"/>
        </w:rPr>
        <w:t>; No. 47 of 2011 s. 27; No. 35 of 2015 s. 4; No. 19 of 2016 s. 162; No. 9 of 2018 s. 4</w:t>
      </w:r>
      <w:r>
        <w:t xml:space="preserve">.] </w:t>
      </w:r>
    </w:p>
    <w:p>
      <w:pPr>
        <w:pStyle w:val="Heading5"/>
        <w:spacing w:before="180"/>
      </w:pPr>
      <w:bookmarkStart w:id="8" w:name="_Toc93934530"/>
      <w:r>
        <w:rPr>
          <w:rStyle w:val="CharSectno"/>
        </w:rPr>
        <w:t>3A</w:t>
      </w:r>
      <w:r>
        <w:t>.</w:t>
      </w:r>
      <w:r>
        <w:tab/>
        <w:t>Term used: drunk</w:t>
      </w:r>
      <w:bookmarkEnd w:id="8"/>
    </w:p>
    <w:p>
      <w:pPr>
        <w:pStyle w:val="Subsection"/>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No. 73 of 2006 s. 7.]</w:t>
      </w:r>
    </w:p>
    <w:p>
      <w:pPr>
        <w:pStyle w:val="Heading5"/>
        <w:spacing w:before="180"/>
        <w:rPr>
          <w:snapToGrid w:val="0"/>
        </w:rPr>
      </w:pPr>
      <w:bookmarkStart w:id="9" w:name="_Toc93934531"/>
      <w:r>
        <w:rPr>
          <w:rStyle w:val="CharSectno"/>
        </w:rPr>
        <w:t>4</w:t>
      </w:r>
      <w:r>
        <w:rPr>
          <w:snapToGrid w:val="0"/>
        </w:rPr>
        <w:t>.</w:t>
      </w:r>
      <w:r>
        <w:rPr>
          <w:snapToGrid w:val="0"/>
        </w:rPr>
        <w:tab/>
        <w:t>Storing and receiving liquor for licensed premises at other premises; records to be kept</w:t>
      </w:r>
      <w:bookmarkEnd w:id="9"/>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 xml:space="preserve">On application by a </w:t>
      </w:r>
      <w:r>
        <w:t>licensee of a producer’s licence, a wholesaler’s licence or a special facility licence of a prescribed type,</w:t>
      </w:r>
      <w:r>
        <w:rPr>
          <w:snapToGrid w:val="0"/>
        </w:rPr>
        <w:t xml:space="preserve"> the Director may, in writing, approve premises other than the licensed premises for the purposes of this subsection, and </w:t>
      </w:r>
      <w:r>
        <w:rPr>
          <w:snapToGrid w:val="0"/>
        </w:rPr>
        <w:lastRenderedPageBreak/>
        <w:t>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keepNext/>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No. 56 of 1997 s. 27; No. 12 of 1998 s. 6; No. 73 of 2006 s. 8; No. 9 of 2018 s. 5.] </w:t>
      </w:r>
    </w:p>
    <w:p>
      <w:pPr>
        <w:pStyle w:val="Heading5"/>
        <w:rPr>
          <w:snapToGrid w:val="0"/>
        </w:rPr>
      </w:pPr>
      <w:bookmarkStart w:id="10" w:name="_Toc93934532"/>
      <w:r>
        <w:rPr>
          <w:rStyle w:val="CharSectno"/>
        </w:rPr>
        <w:t>5</w:t>
      </w:r>
      <w:r>
        <w:rPr>
          <w:snapToGrid w:val="0"/>
        </w:rPr>
        <w:t>.</w:t>
      </w:r>
      <w:r>
        <w:rPr>
          <w:snapToGrid w:val="0"/>
        </w:rPr>
        <w:tab/>
        <w:t>Objects of Act</w:t>
      </w:r>
      <w:bookmarkEnd w:id="10"/>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lastRenderedPageBreak/>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 and</w:t>
      </w:r>
    </w:p>
    <w:p>
      <w:pPr>
        <w:pStyle w:val="Indenta"/>
      </w:pPr>
      <w:r>
        <w:tab/>
        <w:t>(f)</w:t>
      </w:r>
      <w:r>
        <w:tab/>
        <w:t>to encourage responsible attitudes and practices towards the promotion, sale, supply, service and consumption of liquor that are consistent with the interests of the community.</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No. 12 of 1998 s. 7; No. 73 of 2006 s. 9; No. 9 of 2018 s. 6.] </w:t>
      </w:r>
    </w:p>
    <w:p>
      <w:pPr>
        <w:pStyle w:val="Heading5"/>
        <w:rPr>
          <w:snapToGrid w:val="0"/>
        </w:rPr>
      </w:pPr>
      <w:bookmarkStart w:id="11" w:name="_Toc93934533"/>
      <w:r>
        <w:rPr>
          <w:rStyle w:val="CharSectno"/>
        </w:rPr>
        <w:t>6</w:t>
      </w:r>
      <w:r>
        <w:rPr>
          <w:snapToGrid w:val="0"/>
        </w:rPr>
        <w:t>.</w:t>
      </w:r>
      <w:r>
        <w:rPr>
          <w:snapToGrid w:val="0"/>
        </w:rPr>
        <w:tab/>
        <w:t>Act not to apply in certain cases</w:t>
      </w:r>
      <w:bookmarkEnd w:id="11"/>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(Western Australia)</w:t>
      </w:r>
      <w:r>
        <w:t xml:space="preserve"> in the pharmacy profession; or</w:t>
      </w:r>
    </w:p>
    <w:p>
      <w:pPr>
        <w:pStyle w:val="Indenti"/>
      </w:pPr>
      <w:r>
        <w:tab/>
        <w:t>(ii)</w:t>
      </w:r>
      <w:r>
        <w:tab/>
        <w:t xml:space="preserve">by or on the prescription of a person registered under the </w:t>
      </w:r>
      <w:r>
        <w:rPr>
          <w:i/>
        </w:rPr>
        <w:t>Health Practitioner Regulation National Law (Western Australia)</w:t>
      </w:r>
      <w:r>
        <w:t xml:space="preserve"> in the dental </w:t>
      </w:r>
      <w:r>
        <w:lastRenderedPageBreak/>
        <w:t>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lastRenderedPageBreak/>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No. 12 of 1998 s. 35(2); No. 31 of 2003 s. 151; No. 35 of 2010 s. 104; No. 56 of 2010 s. 36.] </w:t>
      </w:r>
    </w:p>
    <w:p>
      <w:pPr>
        <w:pStyle w:val="Heading2"/>
      </w:pPr>
      <w:bookmarkStart w:id="12" w:name="_Toc93917989"/>
      <w:bookmarkStart w:id="13" w:name="_Toc93934534"/>
      <w:r>
        <w:rPr>
          <w:rStyle w:val="CharPartNo"/>
        </w:rPr>
        <w:lastRenderedPageBreak/>
        <w:t>Part 2</w:t>
      </w:r>
      <w:r>
        <w:t> — </w:t>
      </w:r>
      <w:r>
        <w:rPr>
          <w:rStyle w:val="CharPartText"/>
        </w:rPr>
        <w:t>The licensing authority</w:t>
      </w:r>
      <w:bookmarkEnd w:id="12"/>
      <w:bookmarkEnd w:id="13"/>
      <w:r>
        <w:rPr>
          <w:rStyle w:val="CharPartText"/>
        </w:rPr>
        <w:t xml:space="preserve"> </w:t>
      </w:r>
    </w:p>
    <w:p>
      <w:pPr>
        <w:pStyle w:val="Heading3"/>
        <w:rPr>
          <w:snapToGrid w:val="0"/>
        </w:rPr>
      </w:pPr>
      <w:bookmarkStart w:id="14" w:name="_Toc93917990"/>
      <w:bookmarkStart w:id="15" w:name="_Toc93934535"/>
      <w:r>
        <w:rPr>
          <w:rStyle w:val="CharDivNo"/>
        </w:rPr>
        <w:t>Division 1</w:t>
      </w:r>
      <w:r>
        <w:rPr>
          <w:snapToGrid w:val="0"/>
        </w:rPr>
        <w:t> — </w:t>
      </w:r>
      <w:r>
        <w:rPr>
          <w:rStyle w:val="CharDivText"/>
        </w:rPr>
        <w:t>The licensing authority</w:t>
      </w:r>
      <w:bookmarkEnd w:id="14"/>
      <w:bookmarkEnd w:id="15"/>
      <w:r>
        <w:rPr>
          <w:rStyle w:val="CharDivText"/>
        </w:rPr>
        <w:t xml:space="preserve"> </w:t>
      </w:r>
    </w:p>
    <w:p>
      <w:pPr>
        <w:pStyle w:val="Heading5"/>
        <w:spacing w:before="180"/>
        <w:rPr>
          <w:snapToGrid w:val="0"/>
        </w:rPr>
      </w:pPr>
      <w:bookmarkStart w:id="16" w:name="_Toc93934536"/>
      <w:r>
        <w:rPr>
          <w:rStyle w:val="CharSectno"/>
        </w:rPr>
        <w:t>7</w:t>
      </w:r>
      <w:r>
        <w:rPr>
          <w:snapToGrid w:val="0"/>
        </w:rPr>
        <w:t>.</w:t>
      </w:r>
      <w:r>
        <w:rPr>
          <w:snapToGrid w:val="0"/>
        </w:rPr>
        <w:tab/>
        <w:t>Constitution and jurisdiction of licensing authority</w:t>
      </w:r>
      <w:bookmarkEnd w:id="16"/>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No. 12 of 1998 s. 8; No. 73 of 2006 s. 10 and 106.] </w:t>
      </w:r>
    </w:p>
    <w:p>
      <w:pPr>
        <w:pStyle w:val="Heading3"/>
        <w:spacing w:before="200"/>
        <w:rPr>
          <w:rStyle w:val="CharDivText"/>
        </w:rPr>
      </w:pPr>
      <w:bookmarkStart w:id="17" w:name="_Toc93917992"/>
      <w:bookmarkStart w:id="18" w:name="_Toc93934537"/>
      <w:r>
        <w:rPr>
          <w:rStyle w:val="CharDivNo"/>
        </w:rPr>
        <w:t>Division 2</w:t>
      </w:r>
      <w:r>
        <w:t> — </w:t>
      </w:r>
      <w:r>
        <w:rPr>
          <w:rStyle w:val="CharDivText"/>
        </w:rPr>
        <w:t>The Liquor Commission</w:t>
      </w:r>
      <w:bookmarkEnd w:id="17"/>
      <w:bookmarkEnd w:id="18"/>
    </w:p>
    <w:p>
      <w:pPr>
        <w:pStyle w:val="Footnoteheading"/>
      </w:pPr>
      <w:r>
        <w:tab/>
        <w:t>[Heading inserted: No. 73 of 2006 s. 11.]</w:t>
      </w:r>
    </w:p>
    <w:p>
      <w:pPr>
        <w:pStyle w:val="Heading5"/>
        <w:keepNext w:val="0"/>
        <w:keepLines w:val="0"/>
        <w:spacing w:before="180"/>
      </w:pPr>
      <w:bookmarkStart w:id="19" w:name="_Toc93934538"/>
      <w:r>
        <w:rPr>
          <w:rStyle w:val="CharSectno"/>
        </w:rPr>
        <w:t>8</w:t>
      </w:r>
      <w:r>
        <w:t>.</w:t>
      </w:r>
      <w:r>
        <w:tab/>
        <w:t>Commission established</w:t>
      </w:r>
      <w:bookmarkEnd w:id="19"/>
    </w:p>
    <w:p>
      <w:pPr>
        <w:pStyle w:val="Subsection"/>
        <w:spacing w:before="120"/>
      </w:pPr>
      <w:r>
        <w:tab/>
      </w:r>
      <w:r>
        <w:tab/>
        <w:t>A commission called the Liquor Commission is established.</w:t>
      </w:r>
    </w:p>
    <w:p>
      <w:pPr>
        <w:pStyle w:val="Footnotesection"/>
        <w:spacing w:before="60"/>
        <w:ind w:left="890" w:hanging="890"/>
      </w:pPr>
      <w:r>
        <w:tab/>
        <w:t>[Section 8 inserted: No. 73 of 2006 s. 11.]</w:t>
      </w:r>
    </w:p>
    <w:p>
      <w:pPr>
        <w:pStyle w:val="Heading5"/>
      </w:pPr>
      <w:bookmarkStart w:id="20" w:name="_Toc93934539"/>
      <w:r>
        <w:rPr>
          <w:rStyle w:val="CharSectno"/>
        </w:rPr>
        <w:lastRenderedPageBreak/>
        <w:t>9</w:t>
      </w:r>
      <w:r>
        <w:t>.</w:t>
      </w:r>
      <w:r>
        <w:tab/>
        <w:t>Jurisdiction of Commission</w:t>
      </w:r>
      <w:bookmarkEnd w:id="20"/>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No. 73 of 2006 s. 11.]</w:t>
      </w:r>
    </w:p>
    <w:p>
      <w:pPr>
        <w:pStyle w:val="Heading5"/>
      </w:pPr>
      <w:bookmarkStart w:id="21" w:name="_Toc93934540"/>
      <w:r>
        <w:rPr>
          <w:rStyle w:val="CharSectno"/>
        </w:rPr>
        <w:t>9A</w:t>
      </w:r>
      <w:r>
        <w:t>.</w:t>
      </w:r>
      <w:r>
        <w:tab/>
        <w:t>Constitution of Commission</w:t>
      </w:r>
      <w:bookmarkEnd w:id="21"/>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No. 73 of 2006 s. 11.]</w:t>
      </w:r>
    </w:p>
    <w:p>
      <w:pPr>
        <w:pStyle w:val="Heading3"/>
      </w:pPr>
      <w:bookmarkStart w:id="22" w:name="_Toc93917996"/>
      <w:bookmarkStart w:id="23" w:name="_Toc93934541"/>
      <w:r>
        <w:rPr>
          <w:rStyle w:val="CharDivNo"/>
        </w:rPr>
        <w:t>Division 2A</w:t>
      </w:r>
      <w:r>
        <w:t> — </w:t>
      </w:r>
      <w:r>
        <w:rPr>
          <w:rStyle w:val="CharDivText"/>
        </w:rPr>
        <w:t>Members of the Commission</w:t>
      </w:r>
      <w:bookmarkEnd w:id="22"/>
      <w:bookmarkEnd w:id="23"/>
    </w:p>
    <w:p>
      <w:pPr>
        <w:pStyle w:val="Footnoteheading"/>
      </w:pPr>
      <w:r>
        <w:tab/>
        <w:t>[Heading inserted: No. 73 of 2006 s. 11.]</w:t>
      </w:r>
    </w:p>
    <w:p>
      <w:pPr>
        <w:pStyle w:val="Heading5"/>
      </w:pPr>
      <w:bookmarkStart w:id="24" w:name="_Toc93934542"/>
      <w:r>
        <w:rPr>
          <w:rStyle w:val="CharSectno"/>
        </w:rPr>
        <w:t>9B</w:t>
      </w:r>
      <w:r>
        <w:t>.</w:t>
      </w:r>
      <w:r>
        <w:tab/>
        <w:t>Commission members</w:t>
      </w:r>
      <w:bookmarkEnd w:id="24"/>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lastRenderedPageBreak/>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No. 73 of 2006 s. 11; amended: No. 21 of 2008 s. 675(3).]</w:t>
      </w:r>
    </w:p>
    <w:p>
      <w:pPr>
        <w:pStyle w:val="Heading5"/>
      </w:pPr>
      <w:bookmarkStart w:id="25" w:name="_Toc93934543"/>
      <w:r>
        <w:rPr>
          <w:rStyle w:val="CharSectno"/>
        </w:rPr>
        <w:t>9C</w:t>
      </w:r>
      <w:r>
        <w:t>.</w:t>
      </w:r>
      <w:r>
        <w:tab/>
        <w:t>Tenure of office</w:t>
      </w:r>
      <w:bookmarkEnd w:id="25"/>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No. 73 of 2006 s. 11.]</w:t>
      </w:r>
    </w:p>
    <w:p>
      <w:pPr>
        <w:pStyle w:val="Heading5"/>
      </w:pPr>
      <w:bookmarkStart w:id="26" w:name="_Toc93934544"/>
      <w:r>
        <w:rPr>
          <w:rStyle w:val="CharSectno"/>
        </w:rPr>
        <w:t>9D</w:t>
      </w:r>
      <w:r>
        <w:t>.</w:t>
      </w:r>
      <w:r>
        <w:tab/>
        <w:t>Deputy chairperson</w:t>
      </w:r>
      <w:bookmarkEnd w:id="26"/>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lastRenderedPageBreak/>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No. 73 of 2006 s. 11.]</w:t>
      </w:r>
    </w:p>
    <w:p>
      <w:pPr>
        <w:pStyle w:val="Heading5"/>
      </w:pPr>
      <w:bookmarkStart w:id="27" w:name="_Toc93934545"/>
      <w:r>
        <w:rPr>
          <w:rStyle w:val="CharSectno"/>
        </w:rPr>
        <w:t>9E</w:t>
      </w:r>
      <w:r>
        <w:t>.</w:t>
      </w:r>
      <w:r>
        <w:tab/>
        <w:t>Removal or resignation</w:t>
      </w:r>
      <w:bookmarkEnd w:id="27"/>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No. 73 of 2006 s. 11.]</w:t>
      </w:r>
    </w:p>
    <w:p>
      <w:pPr>
        <w:pStyle w:val="Heading5"/>
      </w:pPr>
      <w:bookmarkStart w:id="28" w:name="_Toc93934546"/>
      <w:r>
        <w:rPr>
          <w:rStyle w:val="CharSectno"/>
        </w:rPr>
        <w:t>9F</w:t>
      </w:r>
      <w:r>
        <w:t>.</w:t>
      </w:r>
      <w:r>
        <w:tab/>
        <w:t>Leave of absence</w:t>
      </w:r>
      <w:bookmarkEnd w:id="28"/>
    </w:p>
    <w:p>
      <w:pPr>
        <w:pStyle w:val="Subsection"/>
      </w:pPr>
      <w:r>
        <w:tab/>
      </w:r>
      <w:r>
        <w:tab/>
        <w:t>The Minister may grant leave of absence to a member on the terms and conditions that the Minister thinks fit.</w:t>
      </w:r>
    </w:p>
    <w:p>
      <w:pPr>
        <w:pStyle w:val="Footnotesection"/>
      </w:pPr>
      <w:r>
        <w:tab/>
        <w:t>[Section 9F inserted: No. 73 of 2006 s. 11.]</w:t>
      </w:r>
    </w:p>
    <w:p>
      <w:pPr>
        <w:pStyle w:val="Heading5"/>
      </w:pPr>
      <w:bookmarkStart w:id="29" w:name="_Toc93934547"/>
      <w:r>
        <w:rPr>
          <w:rStyle w:val="CharSectno"/>
        </w:rPr>
        <w:t>9G</w:t>
      </w:r>
      <w:r>
        <w:t>.</w:t>
      </w:r>
      <w:r>
        <w:tab/>
        <w:t>Member whose term has expired may continue in office</w:t>
      </w:r>
      <w:bookmarkEnd w:id="29"/>
    </w:p>
    <w:p>
      <w:pPr>
        <w:pStyle w:val="Subsection"/>
      </w:pPr>
      <w:r>
        <w:tab/>
      </w:r>
      <w:r>
        <w:tab/>
        <w:t xml:space="preserve">Despite the term of office of a member having expired by the passage of time, the member may continue in office — </w:t>
      </w:r>
    </w:p>
    <w:p>
      <w:pPr>
        <w:pStyle w:val="Indenta"/>
      </w:pPr>
      <w:r>
        <w:lastRenderedPageBreak/>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No. 73 of 2006 s. 11.]</w:t>
      </w:r>
    </w:p>
    <w:p>
      <w:pPr>
        <w:pStyle w:val="Heading5"/>
      </w:pPr>
      <w:bookmarkStart w:id="30" w:name="_Toc93934548"/>
      <w:r>
        <w:rPr>
          <w:rStyle w:val="CharSectno"/>
        </w:rPr>
        <w:t>9H</w:t>
      </w:r>
      <w:r>
        <w:t>.</w:t>
      </w:r>
      <w:r>
        <w:tab/>
        <w:t>Remuneration and conditions of office</w:t>
      </w:r>
      <w:bookmarkEnd w:id="30"/>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No. 73 of 2006 s. 11; amended: No. 39 of 2010 s. 89.]</w:t>
      </w:r>
    </w:p>
    <w:p>
      <w:pPr>
        <w:pStyle w:val="Heading3"/>
      </w:pPr>
      <w:bookmarkStart w:id="31" w:name="_Toc93918004"/>
      <w:bookmarkStart w:id="32" w:name="_Toc93934549"/>
      <w:r>
        <w:rPr>
          <w:rStyle w:val="CharDivNo"/>
        </w:rPr>
        <w:t>Division 2B</w:t>
      </w:r>
      <w:r>
        <w:t> — </w:t>
      </w:r>
      <w:r>
        <w:rPr>
          <w:rStyle w:val="CharDivText"/>
        </w:rPr>
        <w:t>Other matters</w:t>
      </w:r>
      <w:bookmarkEnd w:id="31"/>
      <w:bookmarkEnd w:id="32"/>
    </w:p>
    <w:p>
      <w:pPr>
        <w:pStyle w:val="Footnoteheading"/>
      </w:pPr>
      <w:r>
        <w:tab/>
        <w:t>[Heading inserted: No. 73 of 2006 s. 11.]</w:t>
      </w:r>
    </w:p>
    <w:p>
      <w:pPr>
        <w:pStyle w:val="Heading5"/>
        <w:spacing w:before="240"/>
      </w:pPr>
      <w:bookmarkStart w:id="33" w:name="_Toc93934550"/>
      <w:r>
        <w:rPr>
          <w:rStyle w:val="CharSectno"/>
        </w:rPr>
        <w:t>9I</w:t>
      </w:r>
      <w:r>
        <w:t>.</w:t>
      </w:r>
      <w:r>
        <w:tab/>
        <w:t>Decisions of Commission to be written etc.</w:t>
      </w:r>
      <w:bookmarkEnd w:id="33"/>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No. 73 of 2006 s. 11.]</w:t>
      </w:r>
    </w:p>
    <w:p>
      <w:pPr>
        <w:pStyle w:val="Heading5"/>
        <w:spacing w:before="240"/>
      </w:pPr>
      <w:bookmarkStart w:id="34" w:name="_Toc93934551"/>
      <w:r>
        <w:rPr>
          <w:rStyle w:val="CharSectno"/>
        </w:rPr>
        <w:lastRenderedPageBreak/>
        <w:t>9J</w:t>
      </w:r>
      <w:r>
        <w:t>.</w:t>
      </w:r>
      <w:r>
        <w:tab/>
        <w:t>Seal of Commission</w:t>
      </w:r>
      <w:bookmarkEnd w:id="34"/>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No. 73 of 2006 s. 11.]</w:t>
      </w:r>
    </w:p>
    <w:p>
      <w:pPr>
        <w:pStyle w:val="Heading5"/>
      </w:pPr>
      <w:bookmarkStart w:id="35" w:name="_Toc93934552"/>
      <w:r>
        <w:rPr>
          <w:rStyle w:val="CharSectno"/>
        </w:rPr>
        <w:t>9K</w:t>
      </w:r>
      <w:r>
        <w:t>.</w:t>
      </w:r>
      <w:r>
        <w:tab/>
        <w:t>Annual reports by Commission</w:t>
      </w:r>
      <w:bookmarkEnd w:id="35"/>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lastRenderedPageBreak/>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No. 73 of 2006 s. 11.]</w:t>
      </w:r>
    </w:p>
    <w:p>
      <w:pPr>
        <w:pStyle w:val="Heading5"/>
        <w:spacing w:before="180"/>
      </w:pPr>
      <w:bookmarkStart w:id="36" w:name="_Toc93934553"/>
      <w:r>
        <w:rPr>
          <w:rStyle w:val="CharSectno"/>
        </w:rPr>
        <w:t>9L</w:t>
      </w:r>
      <w:r>
        <w:t>.</w:t>
      </w:r>
      <w:r>
        <w:tab/>
        <w:t>Laying annual report before House of Parliament not sitting</w:t>
      </w:r>
      <w:bookmarkEnd w:id="36"/>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No. 73 of 2006 s. 11.]</w:t>
      </w:r>
    </w:p>
    <w:p>
      <w:pPr>
        <w:pStyle w:val="Heading5"/>
      </w:pPr>
      <w:bookmarkStart w:id="37" w:name="_Toc93934554"/>
      <w:r>
        <w:rPr>
          <w:rStyle w:val="CharSectno"/>
        </w:rPr>
        <w:t>9M</w:t>
      </w:r>
      <w:r>
        <w:t>.</w:t>
      </w:r>
      <w:r>
        <w:tab/>
        <w:t>Protection and immunity of members, parties etc.</w:t>
      </w:r>
      <w:bookmarkEnd w:id="37"/>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lastRenderedPageBreak/>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No. 73 of 2006 s. 11; amended: No. 21 of 2008 s. 675(3).]</w:t>
      </w:r>
    </w:p>
    <w:p>
      <w:pPr>
        <w:pStyle w:val="Ednotesection"/>
        <w:spacing w:before="180"/>
        <w:ind w:left="890" w:hanging="890"/>
      </w:pPr>
      <w:r>
        <w:t>[</w:t>
      </w:r>
      <w:r>
        <w:rPr>
          <w:b/>
        </w:rPr>
        <w:t>10</w:t>
      </w:r>
      <w:r>
        <w:rPr>
          <w:b/>
        </w:rPr>
        <w:noBreakHyphen/>
        <w:t>11.</w:t>
      </w:r>
      <w:r>
        <w:tab/>
        <w:t>Deleted: No. 27 of 2000 s. 12.]</w:t>
      </w:r>
    </w:p>
    <w:p>
      <w:pPr>
        <w:pStyle w:val="Ednotesection"/>
        <w:spacing w:before="180"/>
        <w:ind w:left="890" w:hanging="890"/>
      </w:pPr>
      <w:r>
        <w:t>[</w:t>
      </w:r>
      <w:r>
        <w:rPr>
          <w:b/>
        </w:rPr>
        <w:t>12.</w:t>
      </w:r>
      <w:r>
        <w:rPr>
          <w:b/>
        </w:rPr>
        <w:tab/>
      </w:r>
      <w:r>
        <w:t>Deleted: No. 12 of 1998 s. 10(1).]</w:t>
      </w:r>
    </w:p>
    <w:p>
      <w:pPr>
        <w:pStyle w:val="Heading3"/>
        <w:rPr>
          <w:snapToGrid w:val="0"/>
        </w:rPr>
      </w:pPr>
      <w:bookmarkStart w:id="38" w:name="_Toc93918010"/>
      <w:bookmarkStart w:id="39" w:name="_Toc93934555"/>
      <w:r>
        <w:rPr>
          <w:rStyle w:val="CharDivNo"/>
        </w:rPr>
        <w:t>Division 3</w:t>
      </w:r>
      <w:r>
        <w:rPr>
          <w:snapToGrid w:val="0"/>
        </w:rPr>
        <w:t> — </w:t>
      </w:r>
      <w:r>
        <w:rPr>
          <w:rStyle w:val="CharDivText"/>
        </w:rPr>
        <w:t>The Director of Liquor Licensing</w:t>
      </w:r>
      <w:bookmarkEnd w:id="38"/>
      <w:bookmarkEnd w:id="39"/>
      <w:r>
        <w:rPr>
          <w:rStyle w:val="CharDivText"/>
        </w:rPr>
        <w:t xml:space="preserve"> </w:t>
      </w:r>
    </w:p>
    <w:p>
      <w:pPr>
        <w:pStyle w:val="Heading5"/>
        <w:spacing w:before="240"/>
        <w:rPr>
          <w:snapToGrid w:val="0"/>
        </w:rPr>
      </w:pPr>
      <w:bookmarkStart w:id="40" w:name="_Toc93934556"/>
      <w:r>
        <w:rPr>
          <w:rStyle w:val="CharSectno"/>
        </w:rPr>
        <w:t>13</w:t>
      </w:r>
      <w:r>
        <w:rPr>
          <w:snapToGrid w:val="0"/>
        </w:rPr>
        <w:t>.</w:t>
      </w:r>
      <w:r>
        <w:rPr>
          <w:snapToGrid w:val="0"/>
        </w:rPr>
        <w:tab/>
        <w:t>Functions of and hearings by Director</w:t>
      </w:r>
      <w:bookmarkEnd w:id="40"/>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lastRenderedPageBreak/>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No. 32 of 1994 s. 3(2); No. 73 of 2006 s. 12.] </w:t>
      </w:r>
    </w:p>
    <w:p>
      <w:pPr>
        <w:pStyle w:val="Heading5"/>
        <w:spacing w:before="180"/>
        <w:rPr>
          <w:snapToGrid w:val="0"/>
        </w:rPr>
      </w:pPr>
      <w:bookmarkStart w:id="41" w:name="_Toc93934557"/>
      <w:r>
        <w:rPr>
          <w:rStyle w:val="CharSectno"/>
        </w:rPr>
        <w:t>14</w:t>
      </w:r>
      <w:r>
        <w:rPr>
          <w:snapToGrid w:val="0"/>
        </w:rPr>
        <w:t>.</w:t>
      </w:r>
      <w:r>
        <w:rPr>
          <w:snapToGrid w:val="0"/>
        </w:rPr>
        <w:tab/>
        <w:t>Inspectors etc., appointment of etc.</w:t>
      </w:r>
      <w:bookmarkEnd w:id="41"/>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pPr>
      <w:r>
        <w:tab/>
        <w:t>(a)</w:t>
      </w:r>
      <w:r>
        <w:tab/>
        <w:t>an inspector;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No. 32 of 1994 s. 3(2); No. 56 of 1997 s. 28; No. 73 of 2006 s. 106 and 111(1); No. 9 of 2018 s. 7.] </w:t>
      </w:r>
    </w:p>
    <w:p>
      <w:pPr>
        <w:pStyle w:val="Heading3"/>
        <w:rPr>
          <w:snapToGrid w:val="0"/>
        </w:rPr>
      </w:pPr>
      <w:bookmarkStart w:id="42" w:name="_Toc93918013"/>
      <w:bookmarkStart w:id="43" w:name="_Toc93934558"/>
      <w:r>
        <w:rPr>
          <w:rStyle w:val="CharDivNo"/>
        </w:rPr>
        <w:t>Division 4</w:t>
      </w:r>
      <w:r>
        <w:rPr>
          <w:snapToGrid w:val="0"/>
        </w:rPr>
        <w:t> — </w:t>
      </w:r>
      <w:r>
        <w:rPr>
          <w:rStyle w:val="CharDivText"/>
        </w:rPr>
        <w:t>Other staff of the licensing authority</w:t>
      </w:r>
      <w:bookmarkEnd w:id="42"/>
      <w:bookmarkEnd w:id="43"/>
      <w:r>
        <w:rPr>
          <w:rStyle w:val="CharDivText"/>
        </w:rPr>
        <w:t xml:space="preserve"> </w:t>
      </w:r>
    </w:p>
    <w:p>
      <w:pPr>
        <w:pStyle w:val="Heading5"/>
        <w:rPr>
          <w:snapToGrid w:val="0"/>
        </w:rPr>
      </w:pPr>
      <w:bookmarkStart w:id="44" w:name="_Toc93934559"/>
      <w:r>
        <w:rPr>
          <w:rStyle w:val="CharSectno"/>
        </w:rPr>
        <w:t>15</w:t>
      </w:r>
      <w:r>
        <w:rPr>
          <w:snapToGrid w:val="0"/>
        </w:rPr>
        <w:t>.</w:t>
      </w:r>
      <w:r>
        <w:rPr>
          <w:snapToGrid w:val="0"/>
        </w:rPr>
        <w:tab/>
        <w:t>Director may delegate etc.</w:t>
      </w:r>
      <w:bookmarkEnd w:id="44"/>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keepNext/>
        <w:rPr>
          <w:snapToGrid w:val="0"/>
        </w:rPr>
      </w:pPr>
      <w:r>
        <w:rPr>
          <w:snapToGrid w:val="0"/>
        </w:rPr>
        <w:lastRenderedPageBreak/>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45" w:name="_Toc93918015"/>
      <w:bookmarkStart w:id="46" w:name="_Toc93934560"/>
      <w:r>
        <w:rPr>
          <w:rStyle w:val="CharDivNo"/>
        </w:rPr>
        <w:t>Division 5</w:t>
      </w:r>
      <w:r>
        <w:rPr>
          <w:snapToGrid w:val="0"/>
        </w:rPr>
        <w:t> — </w:t>
      </w:r>
      <w:r>
        <w:rPr>
          <w:rStyle w:val="CharDivText"/>
        </w:rPr>
        <w:t>Proceedings before the licensing authority</w:t>
      </w:r>
      <w:bookmarkEnd w:id="45"/>
      <w:bookmarkEnd w:id="46"/>
      <w:r>
        <w:rPr>
          <w:rStyle w:val="CharDivText"/>
        </w:rPr>
        <w:t xml:space="preserve"> </w:t>
      </w:r>
    </w:p>
    <w:p>
      <w:pPr>
        <w:pStyle w:val="Heading5"/>
        <w:spacing w:before="180"/>
        <w:rPr>
          <w:snapToGrid w:val="0"/>
        </w:rPr>
      </w:pPr>
      <w:bookmarkStart w:id="47" w:name="_Toc93934561"/>
      <w:r>
        <w:rPr>
          <w:rStyle w:val="CharSectno"/>
        </w:rPr>
        <w:t>16</w:t>
      </w:r>
      <w:r>
        <w:rPr>
          <w:snapToGrid w:val="0"/>
        </w:rPr>
        <w:t>.</w:t>
      </w:r>
      <w:r>
        <w:rPr>
          <w:snapToGrid w:val="0"/>
        </w:rPr>
        <w:tab/>
        <w:t>Procedure, sittings, use of experts, evidentiary rules etc.</w:t>
      </w:r>
      <w:bookmarkEnd w:id="47"/>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may, upon its own motion or upon the application of any party, adjourn the hearing or further hearing of any </w:t>
      </w:r>
      <w:r>
        <w:rPr>
          <w:snapToGrid w:val="0"/>
        </w:rPr>
        <w:lastRenderedPageBreak/>
        <w:t>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lastRenderedPageBreak/>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must be in public unless the Commission considers that, in the circumstances of the case, the hearing should be in private.</w:t>
      </w:r>
    </w:p>
    <w:p>
      <w:pPr>
        <w:pStyle w:val="Subsection"/>
        <w:spacing w:before="180"/>
      </w:pPr>
      <w:r>
        <w:rPr>
          <w:snapToGrid w:val="0"/>
        </w:rPr>
        <w:tab/>
        <w:t>(9)</w:t>
      </w:r>
      <w:r>
        <w:rPr>
          <w:snapToGrid w:val="0"/>
        </w:rPr>
        <w:tab/>
      </w:r>
      <w:r>
        <w:t xml:space="preserve">When the hearing of a proceeding before the licensing authority, however constituted, is in private, the licensing authority,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 xml:space="preserve">give directions prohibiting or restricting the disclosure, to some or all of the parties to a proceeding, of evidence given before the licensing authority, or of the contents of a document lodged with the licensing authority or </w:t>
      </w:r>
      <w:r>
        <w:rPr>
          <w:snapToGrid w:val="0"/>
        </w:rPr>
        <w:lastRenderedPageBreak/>
        <w:t>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pPr>
      <w:r>
        <w:tab/>
        <w:t>(11)</w:t>
      </w:r>
      <w:r>
        <w:tab/>
        <w:t xml:space="preserve">Subject to subsections (8) and (9) and section 30, the licensing authority must ensure that each party to proceedings is given a reasonable opportunity to — </w:t>
      </w:r>
    </w:p>
    <w:p>
      <w:pPr>
        <w:pStyle w:val="Indenta"/>
      </w:pPr>
      <w:r>
        <w:tab/>
        <w:t>(a)</w:t>
      </w:r>
      <w:r>
        <w:tab/>
        <w:t>present its case to the licensing authority; and</w:t>
      </w:r>
    </w:p>
    <w:p>
      <w:pPr>
        <w:pStyle w:val="Indenta"/>
      </w:pPr>
      <w:r>
        <w:tab/>
        <w:t>(b)</w:t>
      </w:r>
      <w:r>
        <w:tab/>
        <w:t xml:space="preserve">inspect any documents — </w:t>
      </w:r>
    </w:p>
    <w:p>
      <w:pPr>
        <w:pStyle w:val="Indenti"/>
      </w:pPr>
      <w:r>
        <w:tab/>
        <w:t>(i)</w:t>
      </w:r>
      <w:r>
        <w:tab/>
        <w:t>to which the licensing authority proposes to have regard in making a determination in the proceedings; and</w:t>
      </w:r>
    </w:p>
    <w:p>
      <w:pPr>
        <w:pStyle w:val="Indenti"/>
      </w:pPr>
      <w:r>
        <w:tab/>
        <w:t>(ii)</w:t>
      </w:r>
      <w:r>
        <w:tab/>
        <w:t>that are relevant to the party’s case;</w:t>
      </w:r>
    </w:p>
    <w:p>
      <w:pPr>
        <w:pStyle w:val="Indenta"/>
      </w:pPr>
      <w:r>
        <w:tab/>
      </w:r>
      <w:r>
        <w:tab/>
        <w:t>and</w:t>
      </w:r>
    </w:p>
    <w:p>
      <w:pPr>
        <w:pStyle w:val="Indenta"/>
      </w:pPr>
      <w:r>
        <w:tab/>
        <w:t>(c)</w:t>
      </w:r>
      <w:r>
        <w:tab/>
        <w:t>make submissions in relation to any documents inspected under paragraph (b).</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lastRenderedPageBreak/>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No. 12 of 1998 s. 10(2), (3), (4) and (5) and 11; No. 27 of 2000 s. 13; No. 59 of 2004 s. 141; No. 73 of 2006 s. 13 and 106; No. 56 of 2010 s. 37; No. 9 of 2018 s. 8.] </w:t>
      </w:r>
    </w:p>
    <w:p>
      <w:pPr>
        <w:pStyle w:val="Heading5"/>
        <w:rPr>
          <w:snapToGrid w:val="0"/>
        </w:rPr>
      </w:pPr>
      <w:bookmarkStart w:id="48" w:name="_Toc93934562"/>
      <w:r>
        <w:rPr>
          <w:rStyle w:val="CharSectno"/>
        </w:rPr>
        <w:t>17</w:t>
      </w:r>
      <w:r>
        <w:rPr>
          <w:snapToGrid w:val="0"/>
        </w:rPr>
        <w:t>.</w:t>
      </w:r>
      <w:r>
        <w:rPr>
          <w:snapToGrid w:val="0"/>
        </w:rPr>
        <w:tab/>
        <w:t>Representation of parties</w:t>
      </w:r>
      <w:bookmarkEnd w:id="48"/>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 xml:space="preserve">The Commissioner of Police may be represented before the licensing authority by a member of the Police Force, and where a member of the Police Force purports in any proceedings to represent the Commissioner of Police that person shall be </w:t>
      </w:r>
      <w:r>
        <w:rPr>
          <w:snapToGrid w:val="0"/>
        </w:rPr>
        <w:lastRenderedPageBreak/>
        <w:t>deemed, in the absence of proof to the contrary, to have been authorised by the Commissioner of Police so to do.</w:t>
      </w:r>
    </w:p>
    <w:p>
      <w:pPr>
        <w:pStyle w:val="Footnotesection"/>
      </w:pPr>
      <w:r>
        <w:tab/>
        <w:t xml:space="preserve">[Section 17 amended: No. 12 of 1998 s. 12.] </w:t>
      </w:r>
    </w:p>
    <w:p>
      <w:pPr>
        <w:pStyle w:val="Heading5"/>
        <w:rPr>
          <w:snapToGrid w:val="0"/>
        </w:rPr>
      </w:pPr>
      <w:bookmarkStart w:id="49" w:name="_Toc93934563"/>
      <w:r>
        <w:rPr>
          <w:rStyle w:val="CharSectno"/>
        </w:rPr>
        <w:t>18</w:t>
      </w:r>
      <w:r>
        <w:rPr>
          <w:snapToGrid w:val="0"/>
        </w:rPr>
        <w:t>.</w:t>
      </w:r>
      <w:r>
        <w:rPr>
          <w:snapToGrid w:val="0"/>
        </w:rPr>
        <w:tab/>
        <w:t>Witnesses and evidence, powers to summon etc.</w:t>
      </w:r>
      <w:bookmarkEnd w:id="49"/>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keepNext/>
        <w:rPr>
          <w:snapToGrid w:val="0"/>
        </w:rPr>
      </w:pPr>
      <w:r>
        <w:rPr>
          <w:snapToGrid w:val="0"/>
        </w:rPr>
        <w:lastRenderedPageBreak/>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No. 12 of 1998 s. 10(6) and (7); No. 73 of 2006 s. 14 and 106.] </w:t>
      </w:r>
    </w:p>
    <w:p>
      <w:pPr>
        <w:pStyle w:val="Heading5"/>
      </w:pPr>
      <w:bookmarkStart w:id="50" w:name="_Toc93934564"/>
      <w:r>
        <w:rPr>
          <w:rStyle w:val="CharSectno"/>
        </w:rPr>
        <w:t>18AA</w:t>
      </w:r>
      <w:r>
        <w:t>.</w:t>
      </w:r>
      <w:r>
        <w:tab/>
        <w:t>Notice of decision</w:t>
      </w:r>
      <w:bookmarkEnd w:id="50"/>
    </w:p>
    <w:p>
      <w:pPr>
        <w:pStyle w:val="Subsection"/>
      </w:pPr>
      <w:r>
        <w:tab/>
        <w:t>(1)</w:t>
      </w:r>
      <w:r>
        <w:tab/>
        <w:t>If the licensing authority, when constituted by the Director, makes a decision in relation to an application, the licensing authority must give to each party to proceedings written notice of —</w:t>
      </w:r>
    </w:p>
    <w:p>
      <w:pPr>
        <w:pStyle w:val="Indenta"/>
      </w:pPr>
      <w:r>
        <w:tab/>
        <w:t>(a)</w:t>
      </w:r>
      <w:r>
        <w:tab/>
        <w:t>the decision; and</w:t>
      </w:r>
    </w:p>
    <w:p>
      <w:pPr>
        <w:pStyle w:val="Indenta"/>
      </w:pPr>
      <w:r>
        <w:tab/>
        <w:t>(b)</w:t>
      </w:r>
      <w:r>
        <w:tab/>
        <w:t>the right of review under section 25.</w:t>
      </w:r>
    </w:p>
    <w:p>
      <w:pPr>
        <w:pStyle w:val="Subsection"/>
      </w:pPr>
      <w:r>
        <w:tab/>
        <w:t>(2)</w:t>
      </w:r>
      <w:r>
        <w:tab/>
        <w:t>The notice may, but need not, include the reasons for the decision.</w:t>
      </w:r>
    </w:p>
    <w:p>
      <w:pPr>
        <w:pStyle w:val="Subsection"/>
      </w:pPr>
      <w:r>
        <w:tab/>
        <w:t>(3)</w:t>
      </w:r>
      <w:r>
        <w:tab/>
        <w:t>If the notice does not include the reasons for the decision, a party to proceedings may, within 28 days after receiving the notice or any longer period that may be allowed by the Director, request the licensing authority to provide the party with the reasons for the decision.</w:t>
      </w:r>
    </w:p>
    <w:p>
      <w:pPr>
        <w:pStyle w:val="Subsection"/>
      </w:pPr>
      <w:r>
        <w:tab/>
        <w:t>(4)</w:t>
      </w:r>
      <w:r>
        <w:tab/>
        <w:t>If a party to proceedings makes a request under subsection (3), the licensing authority must provide the party to proceedings with written reasons for the decision.</w:t>
      </w:r>
    </w:p>
    <w:p>
      <w:pPr>
        <w:pStyle w:val="Footnotesection"/>
      </w:pPr>
      <w:r>
        <w:tab/>
        <w:t xml:space="preserve">[Section 18AA inserted: No. 9 of 2018 s. 9.] </w:t>
      </w:r>
    </w:p>
    <w:p>
      <w:pPr>
        <w:pStyle w:val="Heading5"/>
      </w:pPr>
      <w:bookmarkStart w:id="51" w:name="_Toc93934565"/>
      <w:r>
        <w:rPr>
          <w:rStyle w:val="CharSectno"/>
        </w:rPr>
        <w:lastRenderedPageBreak/>
        <w:t>18A</w:t>
      </w:r>
      <w:r>
        <w:t>.</w:t>
      </w:r>
      <w:r>
        <w:tab/>
        <w:t>Enforcing decisions</w:t>
      </w:r>
      <w:bookmarkEnd w:id="51"/>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No. 73 of 2006 s. 15.]</w:t>
      </w:r>
    </w:p>
    <w:p>
      <w:pPr>
        <w:pStyle w:val="Heading5"/>
        <w:rPr>
          <w:snapToGrid w:val="0"/>
        </w:rPr>
      </w:pPr>
      <w:bookmarkStart w:id="52" w:name="_Toc93934566"/>
      <w:r>
        <w:rPr>
          <w:rStyle w:val="CharSectno"/>
        </w:rPr>
        <w:t>19</w:t>
      </w:r>
      <w:r>
        <w:rPr>
          <w:snapToGrid w:val="0"/>
        </w:rPr>
        <w:t>.</w:t>
      </w:r>
      <w:r>
        <w:rPr>
          <w:snapToGrid w:val="0"/>
        </w:rPr>
        <w:tab/>
        <w:t>Enforcing monetary penalties</w:t>
      </w:r>
      <w:bookmarkEnd w:id="52"/>
    </w:p>
    <w:p>
      <w:pPr>
        <w:pStyle w:val="Ednotesubsection"/>
        <w:keepNext/>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No. 92 of 1994 s. 22; No. 73 of 2006 s. 16.] </w:t>
      </w:r>
    </w:p>
    <w:p>
      <w:pPr>
        <w:pStyle w:val="Heading5"/>
        <w:spacing w:before="180"/>
        <w:rPr>
          <w:snapToGrid w:val="0"/>
        </w:rPr>
      </w:pPr>
      <w:bookmarkStart w:id="53" w:name="_Toc93934567"/>
      <w:r>
        <w:rPr>
          <w:rStyle w:val="CharSectno"/>
        </w:rPr>
        <w:lastRenderedPageBreak/>
        <w:t>20</w:t>
      </w:r>
      <w:r>
        <w:rPr>
          <w:snapToGrid w:val="0"/>
        </w:rPr>
        <w:t>.</w:t>
      </w:r>
      <w:r>
        <w:rPr>
          <w:snapToGrid w:val="0"/>
        </w:rPr>
        <w:tab/>
        <w:t>Contempt etc.</w:t>
      </w:r>
      <w:bookmarkEnd w:id="53"/>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keepNext/>
        <w:rPr>
          <w:snapToGrid w:val="0"/>
        </w:rPr>
      </w:pPr>
      <w:r>
        <w:rPr>
          <w:snapToGrid w:val="0"/>
        </w:rPr>
        <w:lastRenderedPageBreak/>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No. 12 of 1998 s. 10(8); No. 73 of 2006 s. 17 and 106; No. 56 of 2010 s. 69.] </w:t>
      </w:r>
    </w:p>
    <w:p>
      <w:pPr>
        <w:pStyle w:val="Heading5"/>
        <w:rPr>
          <w:snapToGrid w:val="0"/>
        </w:rPr>
      </w:pPr>
      <w:bookmarkStart w:id="54" w:name="_Toc93934568"/>
      <w:r>
        <w:rPr>
          <w:rStyle w:val="CharSectno"/>
        </w:rPr>
        <w:t>21</w:t>
      </w:r>
      <w:r>
        <w:rPr>
          <w:snapToGrid w:val="0"/>
        </w:rPr>
        <w:t>.</w:t>
      </w:r>
      <w:r>
        <w:rPr>
          <w:snapToGrid w:val="0"/>
        </w:rPr>
        <w:tab/>
        <w:t>Costs</w:t>
      </w:r>
      <w:bookmarkEnd w:id="54"/>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lastRenderedPageBreak/>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No. 73 of 2006 s. 18 and 106.]</w:t>
      </w:r>
    </w:p>
    <w:p>
      <w:pPr>
        <w:pStyle w:val="Heading5"/>
        <w:rPr>
          <w:snapToGrid w:val="0"/>
        </w:rPr>
      </w:pPr>
      <w:bookmarkStart w:id="55" w:name="_Toc93934569"/>
      <w:r>
        <w:rPr>
          <w:rStyle w:val="CharSectno"/>
        </w:rPr>
        <w:t>22</w:t>
      </w:r>
      <w:r>
        <w:rPr>
          <w:snapToGrid w:val="0"/>
        </w:rPr>
        <w:t>.</w:t>
      </w:r>
      <w:r>
        <w:rPr>
          <w:snapToGrid w:val="0"/>
        </w:rPr>
        <w:tab/>
        <w:t xml:space="preserve">Rules </w:t>
      </w:r>
      <w:r>
        <w:t>of Commission</w:t>
      </w:r>
      <w:bookmarkEnd w:id="55"/>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constituted by the chairperson and 2 other members,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No. 73 of 2006 s. 19 and 106; No. 9 of 2018 s. 10.]</w:t>
      </w:r>
    </w:p>
    <w:p>
      <w:pPr>
        <w:pStyle w:val="Heading5"/>
        <w:rPr>
          <w:snapToGrid w:val="0"/>
        </w:rPr>
      </w:pPr>
      <w:bookmarkStart w:id="56" w:name="_Toc93934570"/>
      <w:r>
        <w:rPr>
          <w:rStyle w:val="CharSectno"/>
        </w:rPr>
        <w:t>23</w:t>
      </w:r>
      <w:r>
        <w:rPr>
          <w:snapToGrid w:val="0"/>
        </w:rPr>
        <w:t>.</w:t>
      </w:r>
      <w:r>
        <w:rPr>
          <w:snapToGrid w:val="0"/>
        </w:rPr>
        <w:tab/>
        <w:t>Proof of process; protection from personal liability</w:t>
      </w:r>
      <w:bookmarkEnd w:id="56"/>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lastRenderedPageBreak/>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No. 73 of 2006 s. 106.]</w:t>
      </w:r>
    </w:p>
    <w:p>
      <w:pPr>
        <w:pStyle w:val="Heading3"/>
        <w:keepLines/>
      </w:pPr>
      <w:bookmarkStart w:id="57" w:name="_Toc93918026"/>
      <w:bookmarkStart w:id="58" w:name="_Toc93934571"/>
      <w:r>
        <w:rPr>
          <w:rStyle w:val="CharDivNo"/>
        </w:rPr>
        <w:t>Division 6</w:t>
      </w:r>
      <w:r>
        <w:rPr>
          <w:snapToGrid w:val="0"/>
        </w:rPr>
        <w:t> — </w:t>
      </w:r>
      <w:r>
        <w:rPr>
          <w:rStyle w:val="CharDivText"/>
        </w:rPr>
        <w:t>Reference to the Commission, review and appeals</w:t>
      </w:r>
      <w:bookmarkEnd w:id="57"/>
      <w:bookmarkEnd w:id="58"/>
      <w:r>
        <w:t xml:space="preserve"> </w:t>
      </w:r>
    </w:p>
    <w:p>
      <w:pPr>
        <w:pStyle w:val="Footnoteheading"/>
        <w:keepNext/>
        <w:keepLines/>
      </w:pPr>
      <w:r>
        <w:tab/>
        <w:t>[Heading amended: No. 73 of 2006 s. 20.]</w:t>
      </w:r>
    </w:p>
    <w:p>
      <w:pPr>
        <w:pStyle w:val="Heading5"/>
        <w:rPr>
          <w:snapToGrid w:val="0"/>
        </w:rPr>
      </w:pPr>
      <w:bookmarkStart w:id="59" w:name="_Toc93934572"/>
      <w:r>
        <w:rPr>
          <w:rStyle w:val="CharSectno"/>
        </w:rPr>
        <w:t>24</w:t>
      </w:r>
      <w:r>
        <w:rPr>
          <w:snapToGrid w:val="0"/>
        </w:rPr>
        <w:t>.</w:t>
      </w:r>
      <w:r>
        <w:rPr>
          <w:snapToGrid w:val="0"/>
        </w:rPr>
        <w:tab/>
        <w:t>Director may refer matters to Commission</w:t>
      </w:r>
      <w:bookmarkEnd w:id="59"/>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lastRenderedPageBreak/>
        <w:tab/>
        <w:t>(c)</w:t>
      </w:r>
      <w:r>
        <w:tab/>
        <w:t>the chairperson so determines under section 9A(2).</w:t>
      </w:r>
    </w:p>
    <w:p>
      <w:pPr>
        <w:pStyle w:val="Footnotesection"/>
      </w:pPr>
      <w:r>
        <w:tab/>
        <w:t xml:space="preserve">[Section 24 inserted: No. 12 of 1998 s. 13; amended: No. 73 of 2006 s. 21 and 106.] </w:t>
      </w:r>
    </w:p>
    <w:p>
      <w:pPr>
        <w:pStyle w:val="Heading5"/>
        <w:rPr>
          <w:snapToGrid w:val="0"/>
        </w:rPr>
      </w:pPr>
      <w:bookmarkStart w:id="60" w:name="_Toc93934573"/>
      <w:r>
        <w:rPr>
          <w:rStyle w:val="CharSectno"/>
        </w:rPr>
        <w:t>25</w:t>
      </w:r>
      <w:r>
        <w:rPr>
          <w:snapToGrid w:val="0"/>
        </w:rPr>
        <w:t>.</w:t>
      </w:r>
      <w:r>
        <w:rPr>
          <w:snapToGrid w:val="0"/>
        </w:rPr>
        <w:tab/>
        <w:t>Review of Director’s decisions</w:t>
      </w:r>
      <w:bookmarkEnd w:id="60"/>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 xml:space="preserve">An application under subsection (1) must be made within a month after the applicant receives </w:t>
      </w:r>
      <w:r>
        <w:t>written reasons for</w:t>
      </w:r>
      <w:r>
        <w:rPr>
          <w:snapToGrid w:val="0"/>
        </w:rPr>
        <w:t xml:space="preserve">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keepNext/>
        <w:rPr>
          <w:snapToGrid w:val="0"/>
        </w:rPr>
      </w:pPr>
      <w:r>
        <w:rPr>
          <w:snapToGrid w:val="0"/>
        </w:rPr>
        <w:lastRenderedPageBreak/>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lastRenderedPageBreak/>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lastRenderedPageBreak/>
        <w:tab/>
        <w:t>(c)</w:t>
      </w:r>
      <w:r>
        <w:rPr>
          <w:snapToGrid w:val="0"/>
        </w:rPr>
        <w:tab/>
        <w:t>a person who held a licence which was cancelled under section 93 is a party to any proceedings relating to its cancellation under that section.</w:t>
      </w:r>
    </w:p>
    <w:p>
      <w:pPr>
        <w:pStyle w:val="Footnotesection"/>
      </w:pPr>
      <w:r>
        <w:tab/>
        <w:t>[Section 25 amended: No. 56 of 1997 s. 29; No. 12 of 1998 s. 14; No. 73 of 2006 s. 22 and 106; No. 21 of 2008 s. 675(3); No. 9 of 2018 s. 11.]</w:t>
      </w:r>
    </w:p>
    <w:p>
      <w:pPr>
        <w:pStyle w:val="Heading5"/>
      </w:pPr>
      <w:bookmarkStart w:id="61" w:name="_Toc93934574"/>
      <w:r>
        <w:rPr>
          <w:rStyle w:val="CharSectno"/>
        </w:rPr>
        <w:t>25A</w:t>
      </w:r>
      <w:r>
        <w:t>.</w:t>
      </w:r>
      <w:r>
        <w:tab/>
        <w:t>Commission may refer application for review to State Administrative Tribunal</w:t>
      </w:r>
      <w:bookmarkEnd w:id="61"/>
    </w:p>
    <w:p>
      <w:pPr>
        <w:pStyle w:val="Subsection"/>
      </w:pPr>
      <w:r>
        <w:tab/>
        <w:t>(1)</w:t>
      </w:r>
      <w:r>
        <w:tab/>
        <w:t xml:space="preserve">If an application is made to the Commission under section 25(1) for a review of a decision, the Commission may, instead of conducting the review, refer the application to the State Administrative Tribunal (the </w:t>
      </w:r>
      <w:r>
        <w:rPr>
          <w:rStyle w:val="CharDefText"/>
        </w:rPr>
        <w:t>Tribunal</w:t>
      </w:r>
      <w:r>
        <w:t>) for a review of the decision.</w:t>
      </w:r>
    </w:p>
    <w:p>
      <w:pPr>
        <w:pStyle w:val="Subsection"/>
      </w:pPr>
      <w:r>
        <w:tab/>
        <w:t>(2)</w:t>
      </w:r>
      <w:r>
        <w:tab/>
        <w:t>An application cannot be referred under subsection (1) unless the President of the Tribunal agrees to the referral.</w:t>
      </w:r>
    </w:p>
    <w:p>
      <w:pPr>
        <w:pStyle w:val="Subsection"/>
      </w:pPr>
      <w:r>
        <w:tab/>
        <w:t>(3)</w:t>
      </w:r>
      <w:r>
        <w:tab/>
        <w:t xml:space="preserve">If an application is referred under subsection (1), the person who made the application is to be regarded as the applicant for the purposes of the exercise of the Tribunal’s review jurisdiction under the </w:t>
      </w:r>
      <w:r>
        <w:rPr>
          <w:i/>
        </w:rPr>
        <w:t>State Administrative Tribunal Act 2004</w:t>
      </w:r>
      <w:r>
        <w:t>.</w:t>
      </w:r>
    </w:p>
    <w:p>
      <w:pPr>
        <w:pStyle w:val="Subsection"/>
      </w:pPr>
      <w:r>
        <w:tab/>
        <w:t>(4)</w:t>
      </w:r>
      <w:r>
        <w:tab/>
        <w:t>When conducting a review under this section, the Tribunal may have regard only to the material that was before the Director when making the decision.</w:t>
      </w:r>
    </w:p>
    <w:p>
      <w:pPr>
        <w:pStyle w:val="Subsection"/>
      </w:pPr>
      <w:r>
        <w:tab/>
        <w:t>(5)</w:t>
      </w:r>
      <w:r>
        <w:tab/>
        <w:t>When conducting a review under this section involving a question of law or giving directions as to any question of law reviewed, the Tribunal is to be constituted by, or is to include, a lawyer.</w:t>
      </w:r>
    </w:p>
    <w:p>
      <w:pPr>
        <w:pStyle w:val="Subsection"/>
      </w:pPr>
      <w:r>
        <w:tab/>
        <w:t>(6)</w:t>
      </w:r>
      <w:r>
        <w:tab/>
        <w:t>Section 25(3) applies to a review under this section as if it were a review under section 25.</w:t>
      </w:r>
    </w:p>
    <w:p>
      <w:pPr>
        <w:pStyle w:val="Subsection"/>
      </w:pPr>
      <w:r>
        <w:tab/>
        <w:t>(7)</w:t>
      </w:r>
      <w:r>
        <w:tab/>
        <w:t>On a review under this section, the Tribunal has the powers conferred on the Commission under section 25(4).</w:t>
      </w:r>
    </w:p>
    <w:p>
      <w:pPr>
        <w:pStyle w:val="Footnotesection"/>
      </w:pPr>
      <w:r>
        <w:lastRenderedPageBreak/>
        <w:tab/>
        <w:t>[Section 25A inserted: No. 9 of 2018 s. 12.]</w:t>
      </w:r>
    </w:p>
    <w:p>
      <w:pPr>
        <w:pStyle w:val="Heading5"/>
      </w:pPr>
      <w:bookmarkStart w:id="62" w:name="_Toc93934575"/>
      <w:r>
        <w:rPr>
          <w:rStyle w:val="CharSectno"/>
        </w:rPr>
        <w:t>26</w:t>
      </w:r>
      <w:r>
        <w:t>.</w:t>
      </w:r>
      <w:r>
        <w:tab/>
        <w:t>Some Director’s decisions have effect despite application to review</w:t>
      </w:r>
      <w:bookmarkEnd w:id="62"/>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No. 73 of 2006 s. 23.]</w:t>
      </w:r>
    </w:p>
    <w:p>
      <w:pPr>
        <w:pStyle w:val="Heading5"/>
        <w:rPr>
          <w:snapToGrid w:val="0"/>
        </w:rPr>
      </w:pPr>
      <w:bookmarkStart w:id="63" w:name="_Toc93934576"/>
      <w:r>
        <w:rPr>
          <w:rStyle w:val="CharSectno"/>
        </w:rPr>
        <w:t>27</w:t>
      </w:r>
      <w:r>
        <w:rPr>
          <w:snapToGrid w:val="0"/>
        </w:rPr>
        <w:t>.</w:t>
      </w:r>
      <w:r>
        <w:rPr>
          <w:snapToGrid w:val="0"/>
        </w:rPr>
        <w:tab/>
        <w:t>Question of law, Commission may state to Supreme Court</w:t>
      </w:r>
      <w:bookmarkEnd w:id="63"/>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No. 45 of 2004 s. 37; No. 73 of 2006 s. 24 and 106.]</w:t>
      </w:r>
    </w:p>
    <w:p>
      <w:pPr>
        <w:pStyle w:val="Heading5"/>
        <w:rPr>
          <w:snapToGrid w:val="0"/>
        </w:rPr>
      </w:pPr>
      <w:bookmarkStart w:id="64" w:name="_Toc93934577"/>
      <w:r>
        <w:rPr>
          <w:rStyle w:val="CharSectno"/>
        </w:rPr>
        <w:t>28</w:t>
      </w:r>
      <w:r>
        <w:rPr>
          <w:snapToGrid w:val="0"/>
        </w:rPr>
        <w:t>.</w:t>
      </w:r>
      <w:r>
        <w:rPr>
          <w:snapToGrid w:val="0"/>
        </w:rPr>
        <w:tab/>
        <w:t>Appeals against Commission’s decisions</w:t>
      </w:r>
      <w:bookmarkEnd w:id="64"/>
    </w:p>
    <w:p>
      <w:pPr>
        <w:pStyle w:val="Subsection"/>
      </w:pPr>
      <w:r>
        <w:tab/>
        <w:t>(1)</w:t>
      </w:r>
      <w:r>
        <w:tab/>
        <w:t xml:space="preserve">Subject to this section, a person who — </w:t>
      </w:r>
    </w:p>
    <w:p>
      <w:pPr>
        <w:pStyle w:val="Indenta"/>
      </w:pPr>
      <w:r>
        <w:tab/>
        <w:t>(a)</w:t>
      </w:r>
      <w:r>
        <w:tab/>
        <w:t>is a party to proceedings before the Commission;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lastRenderedPageBreak/>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keepNext/>
      </w:pPr>
      <w:r>
        <w:lastRenderedPageBreak/>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No. 12 of 1998 s. 15; No. 45 of 2004 s. 37; No. 73 of 2006 s. 25 and 106; No. 21 of 2008 s. 675(3); No. 9 of 2018 s. 13.] </w:t>
      </w:r>
    </w:p>
    <w:p>
      <w:pPr>
        <w:pStyle w:val="Heading5"/>
        <w:spacing w:before="180"/>
        <w:rPr>
          <w:snapToGrid w:val="0"/>
        </w:rPr>
      </w:pPr>
      <w:bookmarkStart w:id="65" w:name="_Toc93934578"/>
      <w:r>
        <w:rPr>
          <w:rStyle w:val="CharSectno"/>
        </w:rPr>
        <w:t>29</w:t>
      </w:r>
      <w:r>
        <w:rPr>
          <w:snapToGrid w:val="0"/>
        </w:rPr>
        <w:t>.</w:t>
      </w:r>
      <w:r>
        <w:rPr>
          <w:snapToGrid w:val="0"/>
        </w:rPr>
        <w:tab/>
        <w:t>Licence or permit continues to have effect pending appeal</w:t>
      </w:r>
      <w:bookmarkEnd w:id="65"/>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lastRenderedPageBreak/>
        <w:tab/>
        <w:t>[Section 29 amended: No. 73 of 2006 s. 26 and 106.]</w:t>
      </w:r>
    </w:p>
    <w:p>
      <w:pPr>
        <w:pStyle w:val="Heading3"/>
      </w:pPr>
      <w:bookmarkStart w:id="66" w:name="_Toc93918034"/>
      <w:bookmarkStart w:id="67" w:name="_Toc93934579"/>
      <w:r>
        <w:rPr>
          <w:rStyle w:val="CharDivNo"/>
        </w:rPr>
        <w:t>Division 7</w:t>
      </w:r>
      <w:r>
        <w:t> — </w:t>
      </w:r>
      <w:r>
        <w:rPr>
          <w:rStyle w:val="CharDivText"/>
        </w:rPr>
        <w:t>Confidential police information</w:t>
      </w:r>
      <w:bookmarkEnd w:id="66"/>
      <w:bookmarkEnd w:id="67"/>
    </w:p>
    <w:p>
      <w:pPr>
        <w:pStyle w:val="Footnoteheading"/>
      </w:pPr>
      <w:r>
        <w:tab/>
        <w:t>[Heading inserted: No. 73 of 2006 s. 27.]</w:t>
      </w:r>
    </w:p>
    <w:p>
      <w:pPr>
        <w:pStyle w:val="Heading5"/>
        <w:spacing w:before="180"/>
      </w:pPr>
      <w:bookmarkStart w:id="68" w:name="_Toc93934580"/>
      <w:r>
        <w:rPr>
          <w:rStyle w:val="CharSectno"/>
        </w:rPr>
        <w:t>30</w:t>
      </w:r>
      <w:r>
        <w:t>.</w:t>
      </w:r>
      <w:r>
        <w:tab/>
        <w:t>Confidential police information, use and protection of</w:t>
      </w:r>
      <w:bookmarkEnd w:id="68"/>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lastRenderedPageBreak/>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Director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keepNext/>
      </w:pPr>
      <w:r>
        <w:lastRenderedPageBreak/>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No. 73 of 2006 s. 27; amended: No. 56 of 2010 s. 5; No. 35 of 2014 s. 39; No. 9 of 2018 s. 14.]</w:t>
      </w:r>
    </w:p>
    <w:p>
      <w:pPr>
        <w:pStyle w:val="Heading2"/>
      </w:pPr>
      <w:bookmarkStart w:id="69" w:name="_Toc93918036"/>
      <w:bookmarkStart w:id="70" w:name="_Toc93934581"/>
      <w:r>
        <w:rPr>
          <w:rStyle w:val="CharPartNo"/>
        </w:rPr>
        <w:lastRenderedPageBreak/>
        <w:t>Part 3</w:t>
      </w:r>
      <w:r>
        <w:t> — </w:t>
      </w:r>
      <w:r>
        <w:rPr>
          <w:rStyle w:val="CharPartText"/>
        </w:rPr>
        <w:t>Licences and permits</w:t>
      </w:r>
      <w:bookmarkEnd w:id="69"/>
      <w:bookmarkEnd w:id="70"/>
      <w:r>
        <w:rPr>
          <w:rStyle w:val="CharPartText"/>
        </w:rPr>
        <w:t xml:space="preserve"> </w:t>
      </w:r>
    </w:p>
    <w:p>
      <w:pPr>
        <w:pStyle w:val="Heading3"/>
        <w:rPr>
          <w:snapToGrid w:val="0"/>
        </w:rPr>
      </w:pPr>
      <w:bookmarkStart w:id="71" w:name="_Toc93918037"/>
      <w:bookmarkStart w:id="72" w:name="_Toc93934582"/>
      <w:r>
        <w:rPr>
          <w:rStyle w:val="CharDivNo"/>
        </w:rPr>
        <w:t>Division 1</w:t>
      </w:r>
      <w:r>
        <w:rPr>
          <w:snapToGrid w:val="0"/>
        </w:rPr>
        <w:t> — </w:t>
      </w:r>
      <w:r>
        <w:rPr>
          <w:rStyle w:val="CharDivText"/>
        </w:rPr>
        <w:t>General matters</w:t>
      </w:r>
      <w:bookmarkEnd w:id="71"/>
      <w:bookmarkEnd w:id="72"/>
      <w:r>
        <w:rPr>
          <w:rStyle w:val="CharDivText"/>
        </w:rPr>
        <w:t xml:space="preserve"> </w:t>
      </w:r>
    </w:p>
    <w:p>
      <w:pPr>
        <w:pStyle w:val="Heading5"/>
        <w:rPr>
          <w:snapToGrid w:val="0"/>
        </w:rPr>
      </w:pPr>
      <w:bookmarkStart w:id="73" w:name="_Toc93934583"/>
      <w:r>
        <w:rPr>
          <w:rStyle w:val="CharSectno"/>
        </w:rPr>
        <w:t>30A</w:t>
      </w:r>
      <w:r>
        <w:rPr>
          <w:snapToGrid w:val="0"/>
        </w:rPr>
        <w:t>.</w:t>
      </w:r>
      <w:r>
        <w:rPr>
          <w:snapToGrid w:val="0"/>
        </w:rPr>
        <w:tab/>
        <w:t>Licences to sell liquor, grant and nature of</w:t>
      </w:r>
      <w:bookmarkEnd w:id="73"/>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No. 12 of 1998 s. 17; amended: No. 42 of 2011 s. 95 .] </w:t>
      </w:r>
    </w:p>
    <w:p>
      <w:pPr>
        <w:pStyle w:val="Heading5"/>
        <w:spacing w:before="180"/>
        <w:rPr>
          <w:snapToGrid w:val="0"/>
        </w:rPr>
      </w:pPr>
      <w:bookmarkStart w:id="74" w:name="_Toc93934584"/>
      <w:r>
        <w:rPr>
          <w:rStyle w:val="CharSectno"/>
        </w:rPr>
        <w:t>30B</w:t>
      </w:r>
      <w:r>
        <w:rPr>
          <w:snapToGrid w:val="0"/>
        </w:rPr>
        <w:t>.</w:t>
      </w:r>
      <w:r>
        <w:rPr>
          <w:snapToGrid w:val="0"/>
        </w:rPr>
        <w:tab/>
        <w:t>Power of attorney does not empower donee to act for licensee under this Act</w:t>
      </w:r>
      <w:bookmarkEnd w:id="74"/>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No. 12 of 1998 s. 17.] </w:t>
      </w:r>
    </w:p>
    <w:p>
      <w:pPr>
        <w:pStyle w:val="Heading5"/>
        <w:spacing w:before="180"/>
        <w:rPr>
          <w:snapToGrid w:val="0"/>
        </w:rPr>
      </w:pPr>
      <w:bookmarkStart w:id="75" w:name="_Toc93934585"/>
      <w:r>
        <w:rPr>
          <w:rStyle w:val="CharSectno"/>
        </w:rPr>
        <w:t>31</w:t>
      </w:r>
      <w:r>
        <w:rPr>
          <w:snapToGrid w:val="0"/>
        </w:rPr>
        <w:t>.</w:t>
      </w:r>
      <w:r>
        <w:rPr>
          <w:snapToGrid w:val="0"/>
        </w:rPr>
        <w:tab/>
        <w:t>Licences, generally</w:t>
      </w:r>
      <w:bookmarkEnd w:id="75"/>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 xml:space="preserve">an application for approval to the transfer of a licence means an application to vary the licence in respect of </w:t>
      </w:r>
      <w:r>
        <w:rPr>
          <w:snapToGrid w:val="0"/>
        </w:rPr>
        <w:lastRenderedPageBreak/>
        <w:t>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keepNext/>
        <w:rPr>
          <w:snapToGrid w:val="0"/>
        </w:rPr>
      </w:pPr>
      <w:r>
        <w:rPr>
          <w:snapToGrid w:val="0"/>
        </w:rPr>
        <w:lastRenderedPageBreak/>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No. 12 of 1998 s. 18.] </w:t>
      </w:r>
    </w:p>
    <w:p>
      <w:pPr>
        <w:pStyle w:val="Heading5"/>
        <w:spacing w:before="180"/>
        <w:rPr>
          <w:snapToGrid w:val="0"/>
        </w:rPr>
      </w:pPr>
      <w:bookmarkStart w:id="76" w:name="_Toc93934586"/>
      <w:r>
        <w:rPr>
          <w:rStyle w:val="CharSectno"/>
        </w:rPr>
        <w:t>32</w:t>
      </w:r>
      <w:r>
        <w:rPr>
          <w:snapToGrid w:val="0"/>
        </w:rPr>
        <w:t>.</w:t>
      </w:r>
      <w:r>
        <w:rPr>
          <w:snapToGrid w:val="0"/>
        </w:rPr>
        <w:tab/>
        <w:t>Duration of licences</w:t>
      </w:r>
      <w:bookmarkEnd w:id="76"/>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lastRenderedPageBreak/>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No. 12 of 1998 s. 19 and 39(2); No. 73 of 2006 s. 106.] </w:t>
      </w:r>
    </w:p>
    <w:p>
      <w:pPr>
        <w:pStyle w:val="Heading5"/>
        <w:rPr>
          <w:snapToGrid w:val="0"/>
        </w:rPr>
      </w:pPr>
      <w:bookmarkStart w:id="77" w:name="_Toc93934587"/>
      <w:r>
        <w:rPr>
          <w:rStyle w:val="CharSectno"/>
        </w:rPr>
        <w:t>33</w:t>
      </w:r>
      <w:r>
        <w:rPr>
          <w:snapToGrid w:val="0"/>
        </w:rPr>
        <w:t>.</w:t>
      </w:r>
      <w:r>
        <w:rPr>
          <w:snapToGrid w:val="0"/>
        </w:rPr>
        <w:tab/>
        <w:t>Powers of licensing authority when deciding applications</w:t>
      </w:r>
      <w:bookmarkEnd w:id="77"/>
    </w:p>
    <w:p>
      <w:pPr>
        <w:pStyle w:val="Subsection"/>
        <w:rPr>
          <w:snapToGrid w:val="0"/>
        </w:rPr>
      </w:pPr>
      <w:r>
        <w:rPr>
          <w:snapToGrid w:val="0"/>
        </w:rPr>
        <w:tab/>
        <w:t>(1)</w:t>
      </w:r>
      <w:r>
        <w:rPr>
          <w:snapToGrid w:val="0"/>
        </w:rPr>
        <w:tab/>
        <w:t xml:space="preserve">Subject to this Act, the licensing authority has an absolute discretion to grant or refuse an application under this Act on any </w:t>
      </w:r>
      <w:r>
        <w:rPr>
          <w:snapToGrid w:val="0"/>
        </w:rPr>
        <w:lastRenderedPageBreak/>
        <w:t>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lastRenderedPageBreak/>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lastRenderedPageBreak/>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No. 12 of 1998 s. 20; No. 73 of 2006 s. 28; No. 56 of 2010 s. 6 and 38.] </w:t>
      </w:r>
    </w:p>
    <w:p>
      <w:pPr>
        <w:pStyle w:val="Heading5"/>
        <w:rPr>
          <w:snapToGrid w:val="0"/>
        </w:rPr>
      </w:pPr>
      <w:bookmarkStart w:id="78" w:name="_Toc93934588"/>
      <w:r>
        <w:rPr>
          <w:rStyle w:val="CharSectno"/>
        </w:rPr>
        <w:t>34</w:t>
      </w:r>
      <w:r>
        <w:rPr>
          <w:snapToGrid w:val="0"/>
        </w:rPr>
        <w:t>.</w:t>
      </w:r>
      <w:r>
        <w:rPr>
          <w:snapToGrid w:val="0"/>
        </w:rPr>
        <w:tab/>
        <w:t>Certain applications not to be decided</w:t>
      </w:r>
      <w:bookmarkEnd w:id="78"/>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lastRenderedPageBreak/>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by a person who — </w:t>
      </w:r>
    </w:p>
    <w:p>
      <w:pPr>
        <w:pStyle w:val="Ednotesubpara"/>
      </w:pPr>
      <w:r>
        <w:tab/>
        <w:t>[(i)</w:t>
      </w:r>
      <w:r>
        <w:tab/>
        <w:t>deleted]</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pPr>
      <w:r>
        <w:tab/>
        <w:t>(3)</w:t>
      </w:r>
      <w:r>
        <w:tab/>
        <w:t>Subsection (4) applies to any application made to the licensing authority for — </w:t>
      </w:r>
    </w:p>
    <w:p>
      <w:pPr>
        <w:pStyle w:val="Indenta"/>
      </w:pPr>
      <w:r>
        <w:tab/>
        <w:t>(a)</w:t>
      </w:r>
      <w:r>
        <w:tab/>
        <w:t>the grant or removal of a licence; or</w:t>
      </w:r>
    </w:p>
    <w:p>
      <w:pPr>
        <w:pStyle w:val="Indenta"/>
      </w:pPr>
      <w:r>
        <w:lastRenderedPageBreak/>
        <w:tab/>
        <w:t>(b)</w:t>
      </w:r>
      <w:r>
        <w:tab/>
        <w:t>approval to the transfer of a licence; or</w:t>
      </w:r>
    </w:p>
    <w:p>
      <w:pPr>
        <w:pStyle w:val="Indenta"/>
      </w:pPr>
      <w:r>
        <w:tab/>
        <w:t>(c)</w:t>
      </w:r>
      <w:r>
        <w:tab/>
        <w:t>approval of a person — </w:t>
      </w:r>
    </w:p>
    <w:p>
      <w:pPr>
        <w:pStyle w:val="Indenti"/>
      </w:pPr>
      <w:r>
        <w:tab/>
        <w:t>(i)</w:t>
      </w:r>
      <w:r>
        <w:tab/>
        <w:t>as a trustee; or</w:t>
      </w:r>
    </w:p>
    <w:p>
      <w:pPr>
        <w:pStyle w:val="Indenti"/>
      </w:pPr>
      <w:r>
        <w:tab/>
        <w:t>(ii)</w:t>
      </w:r>
      <w:r>
        <w:tab/>
        <w:t>as the occupant of a position of authority in a body corporate that holds a licence.</w:t>
      </w:r>
    </w:p>
    <w:p>
      <w:pPr>
        <w:pStyle w:val="Subsection"/>
      </w:pPr>
      <w:r>
        <w:tab/>
        <w:t>(4)</w:t>
      </w:r>
      <w:r>
        <w:tab/>
        <w:t xml:space="preserve">The licensing authority must not hear or determine any application to which this subsection applies if that application is made by a person who is, according the </w:t>
      </w:r>
      <w:r>
        <w:rPr>
          <w:i/>
        </w:rPr>
        <w:t>Interpretation Act 1984</w:t>
      </w:r>
      <w:r>
        <w:t xml:space="preserve"> section 13D, a bankrupt or a person whose affairs are under insolvency laws.</w:t>
      </w:r>
    </w:p>
    <w:p>
      <w:pPr>
        <w:pStyle w:val="Footnotesection"/>
      </w:pPr>
      <w:r>
        <w:tab/>
        <w:t xml:space="preserve">[Section 34 amended: No. 12 of 1998 s. 21 and 97(1); No. 10 of 2001 s. 220; No. 18 of 2009 s. 51; No. 56 of 2010 s. 7 and 25; No. 9 of 2018 s. 15.] </w:t>
      </w:r>
    </w:p>
    <w:p>
      <w:pPr>
        <w:pStyle w:val="Heading5"/>
        <w:spacing w:before="180"/>
        <w:rPr>
          <w:snapToGrid w:val="0"/>
        </w:rPr>
      </w:pPr>
      <w:bookmarkStart w:id="79" w:name="_Toc93934589"/>
      <w:r>
        <w:rPr>
          <w:rStyle w:val="CharSectno"/>
        </w:rPr>
        <w:t>35</w:t>
      </w:r>
      <w:r>
        <w:rPr>
          <w:snapToGrid w:val="0"/>
        </w:rPr>
        <w:t>.</w:t>
      </w:r>
      <w:r>
        <w:rPr>
          <w:snapToGrid w:val="0"/>
        </w:rPr>
        <w:tab/>
        <w:t>Persons who may hold licences</w:t>
      </w:r>
      <w:bookmarkEnd w:id="79"/>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No. 12 of 1998 s. 22.] </w:t>
      </w:r>
    </w:p>
    <w:p>
      <w:pPr>
        <w:pStyle w:val="Heading5"/>
        <w:spacing w:before="260"/>
        <w:rPr>
          <w:snapToGrid w:val="0"/>
        </w:rPr>
      </w:pPr>
      <w:bookmarkStart w:id="80" w:name="_Toc93934590"/>
      <w:r>
        <w:rPr>
          <w:rStyle w:val="CharSectno"/>
        </w:rPr>
        <w:t>35A</w:t>
      </w:r>
      <w:r>
        <w:rPr>
          <w:snapToGrid w:val="0"/>
        </w:rPr>
        <w:t>.</w:t>
      </w:r>
      <w:r>
        <w:rPr>
          <w:snapToGrid w:val="0"/>
        </w:rPr>
        <w:tab/>
        <w:t>Trustees for unincorporated bodies</w:t>
      </w:r>
      <w:bookmarkEnd w:id="80"/>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lastRenderedPageBreak/>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No. 12 of 1998 s. 22; amended: No. 56 of 2010 s. 25.] </w:t>
      </w:r>
    </w:p>
    <w:p>
      <w:pPr>
        <w:pStyle w:val="Ednotesection"/>
      </w:pPr>
      <w:r>
        <w:t>[</w:t>
      </w:r>
      <w:r>
        <w:rPr>
          <w:b/>
        </w:rPr>
        <w:t>35B.</w:t>
      </w:r>
      <w:r>
        <w:rPr>
          <w:b/>
        </w:rPr>
        <w:tab/>
      </w:r>
      <w:r>
        <w:t xml:space="preserve">Deleted: No. 56 of 2010 s. 8.] </w:t>
      </w:r>
    </w:p>
    <w:p>
      <w:pPr>
        <w:pStyle w:val="Heading5"/>
        <w:rPr>
          <w:snapToGrid w:val="0"/>
        </w:rPr>
      </w:pPr>
      <w:bookmarkStart w:id="81" w:name="_Toc93934591"/>
      <w:r>
        <w:rPr>
          <w:rStyle w:val="CharSectno"/>
        </w:rPr>
        <w:t>36</w:t>
      </w:r>
      <w:r>
        <w:rPr>
          <w:snapToGrid w:val="0"/>
        </w:rPr>
        <w:t>.</w:t>
      </w:r>
      <w:r>
        <w:rPr>
          <w:snapToGrid w:val="0"/>
        </w:rPr>
        <w:tab/>
        <w:t>Two or more licences for same premises, restrictions on</w:t>
      </w:r>
      <w:bookmarkEnd w:id="81"/>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pPr>
      <w:r>
        <w:tab/>
        <w:t>(3)</w:t>
      </w:r>
      <w:r>
        <w:tab/>
        <w:t xml:space="preserve">In addition to a licence granted in respect of any premises, or a part of any premises, either or both of the following licences may also be granted in respect of those premises or a part of those premises — </w:t>
      </w:r>
    </w:p>
    <w:p>
      <w:pPr>
        <w:pStyle w:val="Indenta"/>
      </w:pPr>
      <w:r>
        <w:tab/>
        <w:t>(a)</w:t>
      </w:r>
      <w:r>
        <w:tab/>
        <w:t>an occasional licence;</w:t>
      </w:r>
    </w:p>
    <w:p>
      <w:pPr>
        <w:pStyle w:val="Indenta"/>
      </w:pPr>
      <w:r>
        <w:tab/>
        <w:t>(b)</w:t>
      </w:r>
      <w:r>
        <w:tab/>
        <w:t>a licence conditionally granted under section 62.</w:t>
      </w:r>
    </w:p>
    <w:p>
      <w:pPr>
        <w:pStyle w:val="Footnotesection"/>
      </w:pPr>
      <w:r>
        <w:tab/>
        <w:t xml:space="preserve">[Section 36 amended: No. 9 of 2018 s. 16.] </w:t>
      </w:r>
    </w:p>
    <w:p>
      <w:pPr>
        <w:pStyle w:val="Heading5"/>
      </w:pPr>
      <w:bookmarkStart w:id="82" w:name="_Toc93934592"/>
      <w:r>
        <w:rPr>
          <w:rStyle w:val="CharSectno"/>
        </w:rPr>
        <w:lastRenderedPageBreak/>
        <w:t>36A</w:t>
      </w:r>
      <w:r>
        <w:t>.</w:t>
      </w:r>
      <w:r>
        <w:tab/>
        <w:t>Petrol stations in some areas not to be granted licences</w:t>
      </w:r>
      <w:bookmarkEnd w:id="82"/>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must not grant an application for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No. 23 of 2000 s. 5; amended: No. 9 of 2018 s. 17.]</w:t>
      </w:r>
    </w:p>
    <w:p>
      <w:pPr>
        <w:pStyle w:val="Heading5"/>
      </w:pPr>
      <w:bookmarkStart w:id="83" w:name="_Toc93934593"/>
      <w:r>
        <w:rPr>
          <w:rStyle w:val="CharSectno"/>
        </w:rPr>
        <w:t>36B</w:t>
      </w:r>
      <w:r>
        <w:t>.</w:t>
      </w:r>
      <w:r>
        <w:tab/>
        <w:t>Restrictions on grant or removal of certain licences authorising sale of packaged liquor</w:t>
      </w:r>
      <w:bookmarkEnd w:id="83"/>
    </w:p>
    <w:p>
      <w:pPr>
        <w:pStyle w:val="Subsection"/>
      </w:pPr>
      <w:r>
        <w:tab/>
        <w:t>(1)</w:t>
      </w:r>
      <w:r>
        <w:tab/>
        <w:t xml:space="preserve">In this section — </w:t>
      </w:r>
    </w:p>
    <w:p>
      <w:pPr>
        <w:pStyle w:val="Defstart"/>
      </w:pPr>
      <w:r>
        <w:tab/>
      </w:r>
      <w:r>
        <w:rPr>
          <w:rStyle w:val="CharDefText"/>
        </w:rPr>
        <w:t>local packaged liquor requirements</w:t>
      </w:r>
      <w:r>
        <w:t xml:space="preserve">, in relation to an application to which this section applies, means the </w:t>
      </w:r>
      <w:r>
        <w:lastRenderedPageBreak/>
        <w:t>requirements of consumers for packaged liquor in the locality in which the proposed licensed premises are, or are to be, situated;</w:t>
      </w:r>
    </w:p>
    <w:p>
      <w:pPr>
        <w:pStyle w:val="Defstart"/>
      </w:pPr>
      <w:r>
        <w:tab/>
      </w:r>
      <w:r>
        <w:rPr>
          <w:rStyle w:val="CharDefText"/>
        </w:rPr>
        <w:t>packaged liquor premises</w:t>
      </w:r>
      <w:r>
        <w:t xml:space="preserve"> means premises to which a licence referred to in subsection (2) relates;</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 xml:space="preserve">prescribed distance </w:t>
      </w:r>
      <w:r>
        <w:t>means the distance prescribed for the purposes of this section;</w:t>
      </w:r>
    </w:p>
    <w:p>
      <w:pPr>
        <w:pStyle w:val="Defstart"/>
      </w:pPr>
      <w:r>
        <w:tab/>
      </w:r>
      <w:r>
        <w:rPr>
          <w:rStyle w:val="CharDefText"/>
        </w:rPr>
        <w:t>proposed licensed premises</w:t>
      </w:r>
      <w:r>
        <w:t xml:space="preserve">, in relation to an application to which this section applies, means — </w:t>
      </w:r>
    </w:p>
    <w:p>
      <w:pPr>
        <w:pStyle w:val="Defpara"/>
      </w:pPr>
      <w:r>
        <w:tab/>
        <w:t>(a)</w:t>
      </w:r>
      <w:r>
        <w:tab/>
        <w:t>if the application is for the grant of a licence — the premises to which the application relates; or</w:t>
      </w:r>
    </w:p>
    <w:p>
      <w:pPr>
        <w:pStyle w:val="Defpara"/>
      </w:pPr>
      <w:r>
        <w:tab/>
        <w:t>(b)</w:t>
      </w:r>
      <w:r>
        <w:tab/>
        <w:t>if the application is for the removal of a licence — the premises to which the licence is sought to be removed;</w:t>
      </w:r>
    </w:p>
    <w:p>
      <w:pPr>
        <w:pStyle w:val="Defstart"/>
        <w:keepNext/>
      </w:pPr>
      <w:r>
        <w:tab/>
      </w:r>
      <w:r>
        <w:rPr>
          <w:rStyle w:val="CharDefText"/>
        </w:rPr>
        <w:t>retail section</w:t>
      </w:r>
      <w:r>
        <w:t xml:space="preserve"> — </w:t>
      </w:r>
    </w:p>
    <w:p>
      <w:pPr>
        <w:pStyle w:val="Defpara"/>
      </w:pPr>
      <w:r>
        <w:tab/>
        <w:t>(a)</w:t>
      </w:r>
      <w:r>
        <w:tab/>
        <w:t>in relation to packaged liquor premises — means the part or parts of the premises on which packaged liquor is displayed for the purposes of sale or sold; and</w:t>
      </w:r>
    </w:p>
    <w:p>
      <w:pPr>
        <w:pStyle w:val="Defpara"/>
      </w:pPr>
      <w:r>
        <w:tab/>
        <w:t>(b)</w:t>
      </w:r>
      <w:r>
        <w:tab/>
        <w:t>in relation to proposed licensed premises — means the part or parts of the premises on which packaged liquor is to be displayed for the purposes of sale or sold.</w:t>
      </w:r>
    </w:p>
    <w:p>
      <w:pPr>
        <w:pStyle w:val="Subsection"/>
      </w:pPr>
      <w:r>
        <w:tab/>
        <w:t>(2)</w:t>
      </w:r>
      <w:r>
        <w:tab/>
        <w:t xml:space="preserve">This section applies to an application for the grant or removal of any of the following licences — </w:t>
      </w:r>
    </w:p>
    <w:p>
      <w:pPr>
        <w:pStyle w:val="Indenta"/>
      </w:pPr>
      <w:r>
        <w:tab/>
        <w:t>(a)</w:t>
      </w:r>
      <w:r>
        <w:tab/>
        <w:t>a hotel licence without restriction;</w:t>
      </w:r>
    </w:p>
    <w:p>
      <w:pPr>
        <w:pStyle w:val="Indenta"/>
      </w:pPr>
      <w:r>
        <w:tab/>
        <w:t>(b)</w:t>
      </w:r>
      <w:r>
        <w:tab/>
        <w:t>a tavern licence;</w:t>
      </w:r>
    </w:p>
    <w:p>
      <w:pPr>
        <w:pStyle w:val="Indenta"/>
      </w:pPr>
      <w:r>
        <w:tab/>
        <w:t>(c)</w:t>
      </w:r>
      <w:r>
        <w:tab/>
        <w:t>a liquor store licence;</w:t>
      </w:r>
    </w:p>
    <w:p>
      <w:pPr>
        <w:pStyle w:val="Indenta"/>
      </w:pPr>
      <w:r>
        <w:tab/>
        <w:t>(d)</w:t>
      </w:r>
      <w:r>
        <w:tab/>
        <w:t>a special facility licence of a prescribed type.</w:t>
      </w:r>
    </w:p>
    <w:p>
      <w:pPr>
        <w:pStyle w:val="Subsection"/>
        <w:keepNext/>
      </w:pPr>
      <w:r>
        <w:lastRenderedPageBreak/>
        <w:tab/>
        <w:t>(3)</w:t>
      </w:r>
      <w:r>
        <w:tab/>
        <w:t xml:space="preserve">The licensing authority must not hear or determine an application to which this section applies if — </w:t>
      </w:r>
    </w:p>
    <w:p>
      <w:pPr>
        <w:pStyle w:val="Indenta"/>
      </w:pPr>
      <w:r>
        <w:tab/>
        <w:t>(a)</w:t>
      </w:r>
      <w:r>
        <w:tab/>
        <w:t>packaged liquor premises are situated less than the prescribed distance from the proposed licensed premises; and</w:t>
      </w:r>
    </w:p>
    <w:p>
      <w:pPr>
        <w:pStyle w:val="Indenta"/>
      </w:pPr>
      <w:r>
        <w:tab/>
        <w:t>(b)</w:t>
      </w:r>
      <w:r>
        <w:tab/>
        <w:t>the area of the retail section of those packaged liquor premises exceeds the prescribed area; and</w:t>
      </w:r>
    </w:p>
    <w:p>
      <w:pPr>
        <w:pStyle w:val="Indenta"/>
      </w:pPr>
      <w:r>
        <w:tab/>
        <w:t>(c)</w:t>
      </w:r>
      <w:r>
        <w:tab/>
        <w:t>the area of the retail section of the proposed licensed premises exceeds the prescribed area.</w:t>
      </w:r>
    </w:p>
    <w:p>
      <w:pPr>
        <w:pStyle w:val="Subsection"/>
      </w:pPr>
      <w:r>
        <w:tab/>
        <w:t>(4)</w:t>
      </w:r>
      <w:r>
        <w:tab/>
        <w:t>The licensing authority must not grant an application to which this section applies unless satisfied that local packaged liquor requirements cannot reasonably be met by existing packaged liquor premises in the locality in which the proposed licensed premises are, or are to be, situated.</w:t>
      </w:r>
    </w:p>
    <w:p>
      <w:pPr>
        <w:pStyle w:val="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36B inserted: No. 9 of 2018 s. 18.]</w:t>
      </w:r>
    </w:p>
    <w:p>
      <w:pPr>
        <w:pStyle w:val="Heading5"/>
        <w:rPr>
          <w:snapToGrid w:val="0"/>
        </w:rPr>
      </w:pPr>
      <w:bookmarkStart w:id="84" w:name="_Toc93934594"/>
      <w:r>
        <w:rPr>
          <w:rStyle w:val="CharSectno"/>
        </w:rPr>
        <w:t>37</w:t>
      </w:r>
      <w:r>
        <w:rPr>
          <w:snapToGrid w:val="0"/>
        </w:rPr>
        <w:t>.</w:t>
      </w:r>
      <w:r>
        <w:rPr>
          <w:snapToGrid w:val="0"/>
        </w:rPr>
        <w:tab/>
        <w:t>Pre-requisites for grants of licences etc.; conditions on licences</w:t>
      </w:r>
      <w:bookmarkEnd w:id="84"/>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lastRenderedPageBreak/>
        <w:tab/>
        <w:t>(c)</w:t>
      </w:r>
      <w:r>
        <w:tab/>
        <w:t>a local government, regional local government or regional subsidiary; or</w:t>
      </w:r>
    </w:p>
    <w:p>
      <w:pPr>
        <w:pStyle w:val="Defpara"/>
      </w:pPr>
      <w:r>
        <w:tab/>
        <w:t>(d)</w:t>
      </w:r>
      <w:r>
        <w:tab/>
        <w:t>any other body, or the holder of an office, post or position, that is prescribed as a public body for the purposes of this definition.</w:t>
      </w:r>
    </w:p>
    <w:p>
      <w:pPr>
        <w:pStyle w:val="Subsection"/>
        <w:keepNext/>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keepNext/>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lastRenderedPageBreak/>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keepNext/>
        <w:rPr>
          <w:snapToGrid w:val="0"/>
        </w:rPr>
      </w:pPr>
      <w:r>
        <w:rPr>
          <w:snapToGrid w:val="0"/>
        </w:rPr>
        <w:tab/>
        <w:t>(e)</w:t>
      </w:r>
      <w:r>
        <w:rPr>
          <w:snapToGrid w:val="0"/>
        </w:rPr>
        <w:tab/>
        <w:t>in the case of an application for — </w:t>
      </w:r>
    </w:p>
    <w:p>
      <w:pPr>
        <w:pStyle w:val="Indenti"/>
        <w:keepNext/>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spacing w:before="180"/>
        <w:rPr>
          <w:snapToGrid w:val="0"/>
        </w:rPr>
      </w:pPr>
      <w:r>
        <w:rPr>
          <w:snapToGrid w:val="0"/>
        </w:rPr>
        <w:lastRenderedPageBreak/>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lastRenderedPageBreak/>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No. 12 of 1998 s. 23; No. 73 of 2006 s. 30; No. 56 of 2010 s. 9 and 39; No. 30 of 2015 s. 222; No. 26 of 2016 s. 66.] </w:t>
      </w:r>
    </w:p>
    <w:p>
      <w:pPr>
        <w:pStyle w:val="Heading5"/>
        <w:rPr>
          <w:snapToGrid w:val="0"/>
        </w:rPr>
      </w:pPr>
      <w:bookmarkStart w:id="85" w:name="_Toc93934595"/>
      <w:r>
        <w:rPr>
          <w:rStyle w:val="CharSectno"/>
        </w:rPr>
        <w:t>37A</w:t>
      </w:r>
      <w:r>
        <w:rPr>
          <w:snapToGrid w:val="0"/>
        </w:rPr>
        <w:t>.</w:t>
      </w:r>
      <w:r>
        <w:rPr>
          <w:snapToGrid w:val="0"/>
        </w:rPr>
        <w:tab/>
        <w:t>Conviction of licensee etc., duty to inform Director</w:t>
      </w:r>
      <w:bookmarkEnd w:id="85"/>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No. 12 of 1998 s. 24; amended: No. 73 of 2006 s. 110; No. 56 of 2010 s. 25 and 69.]</w:t>
      </w:r>
    </w:p>
    <w:p>
      <w:pPr>
        <w:pStyle w:val="Heading5"/>
        <w:spacing w:before="180"/>
      </w:pPr>
      <w:bookmarkStart w:id="86" w:name="_Toc93934596"/>
      <w:r>
        <w:rPr>
          <w:rStyle w:val="CharSectno"/>
        </w:rPr>
        <w:t>37B</w:t>
      </w:r>
      <w:r>
        <w:t>.</w:t>
      </w:r>
      <w:r>
        <w:tab/>
        <w:t>Fingerprints etc., licensing authority’s powers to obtain</w:t>
      </w:r>
      <w:bookmarkEnd w:id="86"/>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lastRenderedPageBreak/>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lastRenderedPageBreak/>
        <w:tab/>
        <w:t>(7)</w:t>
      </w:r>
      <w:r>
        <w:tab/>
        <w:t>The licensing authority is to provide the Commissioner of Police with any information that the Commissioner of Police requires to comply with subsection (6).</w:t>
      </w:r>
    </w:p>
    <w:p>
      <w:pPr>
        <w:pStyle w:val="Footnotesection"/>
      </w:pPr>
      <w:r>
        <w:tab/>
        <w:t>[Section 37B inserted: No. 73 of 2006 s. 31; No. 56 of 2010 s. 10.]</w:t>
      </w:r>
    </w:p>
    <w:p>
      <w:pPr>
        <w:pStyle w:val="Heading5"/>
      </w:pPr>
      <w:bookmarkStart w:id="87" w:name="_Toc93934597"/>
      <w:r>
        <w:rPr>
          <w:rStyle w:val="CharSectno"/>
        </w:rPr>
        <w:t>37C</w:t>
      </w:r>
      <w:r>
        <w:t>.</w:t>
      </w:r>
      <w:r>
        <w:tab/>
        <w:t>Register of licensed premises</w:t>
      </w:r>
      <w:bookmarkEnd w:id="87"/>
    </w:p>
    <w:p>
      <w:pPr>
        <w:pStyle w:val="Subsection"/>
        <w:keepNext/>
      </w:pPr>
      <w:r>
        <w:tab/>
        <w:t>(1)</w:t>
      </w:r>
      <w:r>
        <w:tab/>
        <w:t xml:space="preserve">The Director may keep a register that contains the following information in respect of licensed premises — </w:t>
      </w:r>
    </w:p>
    <w:p>
      <w:pPr>
        <w:pStyle w:val="Indenta"/>
        <w:keepNext/>
      </w:pPr>
      <w:r>
        <w:tab/>
        <w:t>(a)</w:t>
      </w:r>
      <w:r>
        <w:tab/>
        <w:t>the name and address of the premises;</w:t>
      </w:r>
    </w:p>
    <w:p>
      <w:pPr>
        <w:pStyle w:val="Indenta"/>
      </w:pPr>
      <w:r>
        <w:tab/>
        <w:t>(b)</w:t>
      </w:r>
      <w:r>
        <w:tab/>
        <w:t>the licence number of the premises;</w:t>
      </w:r>
    </w:p>
    <w:p>
      <w:pPr>
        <w:pStyle w:val="Indenta"/>
      </w:pPr>
      <w:r>
        <w:tab/>
        <w:t>(c)</w:t>
      </w:r>
      <w:r>
        <w:tab/>
        <w:t>the type of licence that applies to the premises;</w:t>
      </w:r>
    </w:p>
    <w:p>
      <w:pPr>
        <w:pStyle w:val="Defpara"/>
      </w:pPr>
      <w:r>
        <w:tab/>
        <w:t>(d)</w:t>
      </w:r>
      <w:r>
        <w:tab/>
        <w:t>the status of the licence that applies to the premises (for example, whether the licence is conditionally granted or suspended);</w:t>
      </w:r>
    </w:p>
    <w:p>
      <w:pPr>
        <w:pStyle w:val="Indenta"/>
      </w:pPr>
      <w:r>
        <w:tab/>
        <w:t>(e)</w:t>
      </w:r>
      <w:r>
        <w:tab/>
        <w:t>the name of the licensee of the premises.</w:t>
      </w:r>
    </w:p>
    <w:p>
      <w:pPr>
        <w:pStyle w:val="Subsection"/>
      </w:pPr>
      <w:r>
        <w:tab/>
        <w:t>(2)</w:t>
      </w:r>
      <w:r>
        <w:tab/>
        <w:t>The Director may make the register available to the public in any way the Director considers appropriate, including by publication on the Department’s website.</w:t>
      </w:r>
    </w:p>
    <w:p>
      <w:pPr>
        <w:pStyle w:val="Footnotesection"/>
      </w:pPr>
      <w:r>
        <w:tab/>
        <w:t>[Section 37C inserted: No. 9 of 2018 s. 19.]</w:t>
      </w:r>
    </w:p>
    <w:p>
      <w:pPr>
        <w:pStyle w:val="Heading3"/>
      </w:pPr>
      <w:bookmarkStart w:id="88" w:name="_Toc93918053"/>
      <w:bookmarkStart w:id="89" w:name="_Toc93934598"/>
      <w:r>
        <w:rPr>
          <w:rStyle w:val="CharDivNo"/>
        </w:rPr>
        <w:t>Division 2</w:t>
      </w:r>
      <w:r>
        <w:t> — </w:t>
      </w:r>
      <w:r>
        <w:rPr>
          <w:rStyle w:val="CharDivText"/>
        </w:rPr>
        <w:t>Licences</w:t>
      </w:r>
      <w:bookmarkEnd w:id="88"/>
      <w:bookmarkEnd w:id="89"/>
    </w:p>
    <w:p>
      <w:pPr>
        <w:pStyle w:val="Footnoteheading"/>
        <w:keepNext/>
        <w:rPr>
          <w:snapToGrid w:val="0"/>
        </w:rPr>
      </w:pPr>
      <w:r>
        <w:tab/>
        <w:t>[Heading inserted: No. 73 of 2006 s. 32.]</w:t>
      </w:r>
    </w:p>
    <w:p>
      <w:pPr>
        <w:pStyle w:val="Heading5"/>
      </w:pPr>
      <w:bookmarkStart w:id="90" w:name="_Toc93934599"/>
      <w:r>
        <w:rPr>
          <w:rStyle w:val="CharSectno"/>
        </w:rPr>
        <w:t>38</w:t>
      </w:r>
      <w:r>
        <w:t>.</w:t>
      </w:r>
      <w:r>
        <w:tab/>
        <w:t>Some applications not to be granted unless in the public interest</w:t>
      </w:r>
      <w:bookmarkEnd w:id="90"/>
    </w:p>
    <w:p>
      <w:pPr>
        <w:pStyle w:val="Subsection"/>
      </w:pPr>
      <w:r>
        <w:tab/>
        <w:t>(1)</w:t>
      </w:r>
      <w:r>
        <w:tab/>
        <w:t xml:space="preserve">Subsection (2) applies to — </w:t>
      </w:r>
    </w:p>
    <w:p>
      <w:pPr>
        <w:pStyle w:val="Indenta"/>
        <w:spacing w:before="60"/>
      </w:pPr>
      <w:r>
        <w:tab/>
        <w:t>(a)</w:t>
      </w:r>
      <w:r>
        <w:tab/>
        <w:t>an application for the grant or removal of a licence of a kind prescribed;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lastRenderedPageBreak/>
        <w:tab/>
        <w:t>(2)</w:t>
      </w:r>
      <w:r>
        <w:tab/>
        <w:t>An applicant who makes an application to which this subsection applies must satisfy the licensing authority that granting the application is in the public interest.</w:t>
      </w:r>
    </w:p>
    <w:p>
      <w:pPr>
        <w:pStyle w:val="Subsection"/>
        <w:keepNext/>
      </w:pPr>
      <w:r>
        <w:tab/>
        <w:t>(3)</w:t>
      </w:r>
      <w:r>
        <w:tab/>
        <w:t xml:space="preserve">For the purposes of subsection (2), the applicant must provide to the licensing authority — </w:t>
      </w:r>
    </w:p>
    <w:p>
      <w:pPr>
        <w:pStyle w:val="Indenta"/>
        <w:keepNext/>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whether the amenity, quiet or good order of the locality in which the licensed premises or proposed licensed premises are, or are to be, situated might in some manner be lessened;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pPr>
      <w:r>
        <w:tab/>
        <w:t>(ca)</w:t>
      </w:r>
      <w:r>
        <w:tab/>
        <w:t>any effect the granting of the application might have in relation to tourism, or community or cultural matters; and</w:t>
      </w:r>
    </w:p>
    <w:p>
      <w:pPr>
        <w:pStyle w:val="Indenta"/>
        <w:spacing w:before="60"/>
      </w:pPr>
      <w:r>
        <w:tab/>
        <w:t>(d)</w:t>
      </w:r>
      <w:r>
        <w:tab/>
        <w:t>any other prescribed matter.</w:t>
      </w:r>
    </w:p>
    <w:p>
      <w:pPr>
        <w:pStyle w:val="Subsection"/>
        <w:spacing w:before="120"/>
      </w:pPr>
      <w:r>
        <w:tab/>
        <w:t>(5)</w:t>
      </w:r>
      <w:r>
        <w:tab/>
        <w:t xml:space="preserve">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w:t>
      </w:r>
      <w:r>
        <w:lastRenderedPageBreak/>
        <w:t>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Subsection"/>
      </w:pPr>
      <w:r>
        <w:tab/>
        <w:t>(7)</w:t>
      </w:r>
      <w:r>
        <w:tab/>
        <w:t xml:space="preserve">If subsection (2) applies to an application, the Director may publish the following on the Department’s website — </w:t>
      </w:r>
    </w:p>
    <w:p>
      <w:pPr>
        <w:pStyle w:val="Indenta"/>
      </w:pPr>
      <w:r>
        <w:tab/>
        <w:t>(a)</w:t>
      </w:r>
      <w:r>
        <w:tab/>
        <w:t>the application;</w:t>
      </w:r>
    </w:p>
    <w:p>
      <w:pPr>
        <w:pStyle w:val="Indenta"/>
        <w:keepNext/>
      </w:pPr>
      <w:r>
        <w:tab/>
        <w:t>(b)</w:t>
      </w:r>
      <w:r>
        <w:tab/>
        <w:t>any document or information provided under subsection (3) in relation to the application.</w:t>
      </w:r>
    </w:p>
    <w:p>
      <w:pPr>
        <w:pStyle w:val="Footnotesection"/>
      </w:pPr>
      <w:r>
        <w:tab/>
        <w:t>[Section 38 inserted: No. 73 of 2006 s. 33; amended: No. 56 of 2010 s. 40; No. 9 of 2018 s. 20.]</w:t>
      </w:r>
    </w:p>
    <w:p>
      <w:pPr>
        <w:pStyle w:val="Heading5"/>
        <w:spacing w:before="180"/>
        <w:rPr>
          <w:snapToGrid w:val="0"/>
        </w:rPr>
      </w:pPr>
      <w:bookmarkStart w:id="91" w:name="_Toc93934600"/>
      <w:r>
        <w:rPr>
          <w:rStyle w:val="CharSectno"/>
        </w:rPr>
        <w:t>39</w:t>
      </w:r>
      <w:r>
        <w:rPr>
          <w:snapToGrid w:val="0"/>
        </w:rPr>
        <w:t>.</w:t>
      </w:r>
      <w:r>
        <w:rPr>
          <w:snapToGrid w:val="0"/>
        </w:rPr>
        <w:tab/>
        <w:t>Certificate of local government as to whether premises comply with laws</w:t>
      </w:r>
      <w:bookmarkEnd w:id="91"/>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keepNext/>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No. 12 of 1998 s. 26; amended: No. 43 of 2008 s. 148(2); No. 24 of 2011 s. 165(2); No. 19 of 2016 s. 101.] </w:t>
      </w:r>
    </w:p>
    <w:p>
      <w:pPr>
        <w:pStyle w:val="Heading5"/>
        <w:spacing w:before="180"/>
        <w:rPr>
          <w:snapToGrid w:val="0"/>
        </w:rPr>
      </w:pPr>
      <w:bookmarkStart w:id="92" w:name="_Toc93934601"/>
      <w:r>
        <w:rPr>
          <w:rStyle w:val="CharSectno"/>
        </w:rPr>
        <w:t>40</w:t>
      </w:r>
      <w:r>
        <w:rPr>
          <w:snapToGrid w:val="0"/>
        </w:rPr>
        <w:t>.</w:t>
      </w:r>
      <w:r>
        <w:rPr>
          <w:snapToGrid w:val="0"/>
        </w:rPr>
        <w:tab/>
        <w:t>Certificate of planning authority as to whether use of premises complies with planning laws</w:t>
      </w:r>
      <w:bookmarkEnd w:id="92"/>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 xml:space="preserve">would comply with the requirements specified if consent were to be given by a specified authority, if it is known whether that authority will give the consent, and what </w:t>
      </w:r>
      <w:r>
        <w:rPr>
          <w:snapToGrid w:val="0"/>
        </w:rPr>
        <w:lastRenderedPageBreak/>
        <w:t>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No. 12 of 1998 s. 26; amended: No. 38 of 2005 s. 15; No. 35 of 2015 s. 5.] </w:t>
      </w:r>
    </w:p>
    <w:p>
      <w:pPr>
        <w:pStyle w:val="Heading5"/>
        <w:spacing w:before="180"/>
        <w:rPr>
          <w:snapToGrid w:val="0"/>
        </w:rPr>
      </w:pPr>
      <w:bookmarkStart w:id="93" w:name="_Toc93934602"/>
      <w:r>
        <w:rPr>
          <w:rStyle w:val="CharSectno"/>
        </w:rPr>
        <w:t>41</w:t>
      </w:r>
      <w:r>
        <w:rPr>
          <w:snapToGrid w:val="0"/>
        </w:rPr>
        <w:t>.</w:t>
      </w:r>
      <w:r>
        <w:rPr>
          <w:snapToGrid w:val="0"/>
        </w:rPr>
        <w:tab/>
        <w:t>Hotel licence, kinds, conditions and effect of</w:t>
      </w:r>
      <w:bookmarkEnd w:id="93"/>
    </w:p>
    <w:p>
      <w:pPr>
        <w:pStyle w:val="Ednotesubsection"/>
      </w:pPr>
      <w:r>
        <w:tab/>
        <w:t>[(1aa)</w:t>
      </w:r>
      <w:r>
        <w:tab/>
        <w:t>deleted]</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 xml:space="preserve">any condition referred to in subsection (4) </w:t>
      </w:r>
      <w:r>
        <w:rPr>
          <w:snapToGrid w:val="0"/>
        </w:rPr>
        <w:t>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lastRenderedPageBreak/>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keepNext/>
      </w:pPr>
      <w:r>
        <w:tab/>
        <w:t>(2)</w:t>
      </w:r>
      <w:r>
        <w:tab/>
        <w:t xml:space="preserve">Subject to this Act, during permitted hours the licensee of a hotel licence is authorised to keep open the licensed premises, or part of those premises, and, while those premises are open — </w:t>
      </w:r>
    </w:p>
    <w:p>
      <w:pPr>
        <w:pStyle w:val="Indenta"/>
        <w:keepNext/>
      </w:pPr>
      <w:r>
        <w:tab/>
        <w:t>(a)</w:t>
      </w:r>
      <w:r>
        <w:tab/>
        <w:t>may sell liquor on the premises to any person for consumption on the premises; and</w:t>
      </w:r>
    </w:p>
    <w:p>
      <w:pPr>
        <w:pStyle w:val="Indenta"/>
      </w:pPr>
      <w:r>
        <w:tab/>
        <w:t>(b)</w:t>
      </w:r>
      <w:r>
        <w:tab/>
        <w:t>may, unless the licence is a hotel restricted licence or a tavern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lastRenderedPageBreak/>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No. 12 of 1998 s. 27; No. 26 of 2001 s. 4; No. 73 of 2006 s. 34 and 108; No. 56 of 2010 s. 41; No. 9 of 2018 s. 21.] </w:t>
      </w:r>
    </w:p>
    <w:p>
      <w:pPr>
        <w:pStyle w:val="Heading5"/>
      </w:pPr>
      <w:bookmarkStart w:id="94" w:name="_Toc93934603"/>
      <w:r>
        <w:rPr>
          <w:rStyle w:val="CharSectno"/>
        </w:rPr>
        <w:lastRenderedPageBreak/>
        <w:t>41A</w:t>
      </w:r>
      <w:r>
        <w:t>.</w:t>
      </w:r>
      <w:r>
        <w:tab/>
        <w:t>Effect and conditions of small bar licence</w:t>
      </w:r>
      <w:bookmarkEnd w:id="94"/>
    </w:p>
    <w:p>
      <w:pPr>
        <w:pStyle w:val="Subsection"/>
      </w:pPr>
      <w:r>
        <w:tab/>
        <w:t>(1)</w:t>
      </w:r>
      <w:r>
        <w:tab/>
        <w:t>Subject to this Act, the licensee of a small bar licence is, during permitted hours, authorised to sell liquor for consumption on the licensed premises.</w:t>
      </w:r>
    </w:p>
    <w:p>
      <w:pPr>
        <w:pStyle w:val="Subsection"/>
      </w:pPr>
      <w:r>
        <w:tab/>
        <w:t>(2)</w:t>
      </w:r>
      <w:r>
        <w:tab/>
        <w:t xml:space="preserve">A small bar licence is subject to — </w:t>
      </w:r>
    </w:p>
    <w:p>
      <w:pPr>
        <w:pStyle w:val="Indenta"/>
      </w:pPr>
      <w:r>
        <w:tab/>
        <w:t>(a)</w:t>
      </w:r>
      <w:r>
        <w:tab/>
        <w:t>a condition prohibiting the sale of packaged liquor; and</w:t>
      </w:r>
    </w:p>
    <w:p>
      <w:pPr>
        <w:pStyle w:val="Indenta"/>
      </w:pPr>
      <w:r>
        <w:tab/>
        <w:t>(b)</w:t>
      </w:r>
      <w:r>
        <w:tab/>
        <w:t>a condition limiting the maximum number of persons (excluding responsible persons and authorised officers) who may be on the licensed premises to 120.</w:t>
      </w:r>
    </w:p>
    <w:p>
      <w:pPr>
        <w:pStyle w:val="Footnotesection"/>
      </w:pPr>
      <w:r>
        <w:tab/>
        <w:t>[Section 41A inserted: No. 9 of 2018 s. 22.]</w:t>
      </w:r>
    </w:p>
    <w:p>
      <w:pPr>
        <w:pStyle w:val="Heading5"/>
      </w:pPr>
      <w:bookmarkStart w:id="95" w:name="_Toc93934604"/>
      <w:r>
        <w:rPr>
          <w:rStyle w:val="CharSectno"/>
        </w:rPr>
        <w:t>41B</w:t>
      </w:r>
      <w:r>
        <w:t>.</w:t>
      </w:r>
      <w:r>
        <w:tab/>
        <w:t>Small bar licence may be granted as alternative to tavern restricted licence</w:t>
      </w:r>
      <w:bookmarkEnd w:id="95"/>
    </w:p>
    <w:p>
      <w:pPr>
        <w:pStyle w:val="Subsection"/>
      </w:pPr>
      <w:r>
        <w:tab/>
        <w:t>(1)</w:t>
      </w:r>
      <w:r>
        <w:tab/>
        <w:t>If the licensing authority considers it appropriate, the licensing authority may, with the agreement of the applicant, treat an application for a tavern restricted licence as an application for a small bar licence.</w:t>
      </w:r>
    </w:p>
    <w:p>
      <w:pPr>
        <w:pStyle w:val="Subsection"/>
      </w:pPr>
      <w:r>
        <w:tab/>
        <w:t>(2)</w:t>
      </w:r>
      <w:r>
        <w:tab/>
        <w:t xml:space="preserve">Subsection (3) applies to a tavern restricted licence if — </w:t>
      </w:r>
    </w:p>
    <w:p>
      <w:pPr>
        <w:pStyle w:val="Indenta"/>
      </w:pPr>
      <w:r>
        <w:tab/>
        <w:t>(a)</w:t>
      </w:r>
      <w:r>
        <w:tab/>
        <w:t>it is subject to a condition limiting the maximum number of persons (excluding responsible persons and authorised officers) who may be on the licensed premises to 120; and</w:t>
      </w:r>
    </w:p>
    <w:p>
      <w:pPr>
        <w:pStyle w:val="Indenta"/>
      </w:pPr>
      <w:r>
        <w:tab/>
        <w:t>(b)</w:t>
      </w:r>
      <w:r>
        <w:tab/>
        <w:t>the capacity of the licensed premises is not more than 120 persons.</w:t>
      </w:r>
    </w:p>
    <w:p>
      <w:pPr>
        <w:pStyle w:val="Subsection"/>
      </w:pPr>
      <w:r>
        <w:tab/>
        <w:t>(3)</w:t>
      </w:r>
      <w:r>
        <w:tab/>
        <w:t xml:space="preserve">The licensing authority may, of its own motion or on the application of the licensee of the licence — </w:t>
      </w:r>
    </w:p>
    <w:p>
      <w:pPr>
        <w:pStyle w:val="Indenta"/>
      </w:pPr>
      <w:r>
        <w:tab/>
        <w:t>(a)</w:t>
      </w:r>
      <w:r>
        <w:tab/>
        <w:t>cancel a tavern restricted licence to which this subsection applies; and</w:t>
      </w:r>
    </w:p>
    <w:p>
      <w:pPr>
        <w:pStyle w:val="Indenta"/>
      </w:pPr>
      <w:r>
        <w:tab/>
        <w:t>(b)</w:t>
      </w:r>
      <w:r>
        <w:tab/>
        <w:t>grant to the person who was the licensee of the licence a small bar licence in respect of the premises to which the licence related.</w:t>
      </w:r>
    </w:p>
    <w:p>
      <w:pPr>
        <w:pStyle w:val="Subsection"/>
      </w:pPr>
      <w:r>
        <w:lastRenderedPageBreak/>
        <w:tab/>
        <w:t>(4)</w:t>
      </w:r>
      <w:r>
        <w:tab/>
        <w:t xml:space="preserve">If the licensing authority proposes of its own motion to cancel a tavern restricted licence and grant a small bar licence under subsection (3), the licensing authority must give the licensee of the tavern restricted licence — </w:t>
      </w:r>
    </w:p>
    <w:p>
      <w:pPr>
        <w:pStyle w:val="Indenta"/>
      </w:pPr>
      <w:r>
        <w:tab/>
        <w:t>(a)</w:t>
      </w:r>
      <w:r>
        <w:tab/>
        <w:t>a notice that sets out the proposal and the reasons for it; and</w:t>
      </w:r>
    </w:p>
    <w:p>
      <w:pPr>
        <w:pStyle w:val="Indenta"/>
      </w:pPr>
      <w:r>
        <w:tab/>
        <w:t>(b)</w:t>
      </w:r>
      <w:r>
        <w:tab/>
        <w:t>a reasonable opportunity to make submissions or to be heard in relation to the proposal.</w:t>
      </w:r>
    </w:p>
    <w:p>
      <w:pPr>
        <w:pStyle w:val="Footnotesection"/>
      </w:pPr>
      <w:r>
        <w:tab/>
        <w:t>[Section 41B inserted: No. 9 of 2018 s. 22.]</w:t>
      </w:r>
    </w:p>
    <w:p>
      <w:pPr>
        <w:pStyle w:val="Heading5"/>
        <w:spacing w:before="240"/>
        <w:rPr>
          <w:snapToGrid w:val="0"/>
        </w:rPr>
      </w:pPr>
      <w:bookmarkStart w:id="96" w:name="_Toc93934605"/>
      <w:r>
        <w:rPr>
          <w:rStyle w:val="CharSectno"/>
        </w:rPr>
        <w:t>42</w:t>
      </w:r>
      <w:r>
        <w:rPr>
          <w:snapToGrid w:val="0"/>
        </w:rPr>
        <w:t>.</w:t>
      </w:r>
      <w:r>
        <w:rPr>
          <w:snapToGrid w:val="0"/>
        </w:rPr>
        <w:tab/>
        <w:t>Nightclub licence, effect and conditions of</w:t>
      </w:r>
      <w:bookmarkEnd w:id="96"/>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No. 73 of 2006 s. 107.]</w:t>
      </w:r>
    </w:p>
    <w:p>
      <w:pPr>
        <w:pStyle w:val="Heading5"/>
        <w:rPr>
          <w:snapToGrid w:val="0"/>
        </w:rPr>
      </w:pPr>
      <w:bookmarkStart w:id="97" w:name="_Toc93934606"/>
      <w:r>
        <w:rPr>
          <w:rStyle w:val="CharSectno"/>
        </w:rPr>
        <w:lastRenderedPageBreak/>
        <w:t>43</w:t>
      </w:r>
      <w:r>
        <w:rPr>
          <w:snapToGrid w:val="0"/>
        </w:rPr>
        <w:t>.</w:t>
      </w:r>
      <w:r>
        <w:rPr>
          <w:snapToGrid w:val="0"/>
        </w:rPr>
        <w:tab/>
        <w:t>N</w:t>
      </w:r>
      <w:r>
        <w:t xml:space="preserve">ightclub </w:t>
      </w:r>
      <w:r>
        <w:rPr>
          <w:snapToGrid w:val="0"/>
        </w:rPr>
        <w:t>licence, pre-requisites for grant of</w:t>
      </w:r>
      <w:bookmarkEnd w:id="97"/>
    </w:p>
    <w:p>
      <w:pPr>
        <w:pStyle w:val="Subsection"/>
        <w:keepNext/>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No. 73 of 2006 s. 107.]</w:t>
      </w:r>
    </w:p>
    <w:p>
      <w:pPr>
        <w:pStyle w:val="Heading5"/>
        <w:keepLines w:val="0"/>
        <w:spacing w:before="180"/>
        <w:rPr>
          <w:snapToGrid w:val="0"/>
        </w:rPr>
      </w:pPr>
      <w:bookmarkStart w:id="98" w:name="_Toc93934607"/>
      <w:r>
        <w:rPr>
          <w:rStyle w:val="CharSectno"/>
        </w:rPr>
        <w:t>44</w:t>
      </w:r>
      <w:r>
        <w:rPr>
          <w:snapToGrid w:val="0"/>
        </w:rPr>
        <w:t>.</w:t>
      </w:r>
      <w:r>
        <w:rPr>
          <w:snapToGrid w:val="0"/>
        </w:rPr>
        <w:tab/>
        <w:t>Casino liquor licence, effect and conditions of</w:t>
      </w:r>
      <w:bookmarkEnd w:id="98"/>
    </w:p>
    <w:p>
      <w:pPr>
        <w:pStyle w:val="Subsection"/>
        <w:keepNext/>
      </w:pPr>
      <w:r>
        <w:tab/>
        <w:t>(1)</w:t>
      </w:r>
      <w:r>
        <w:tab/>
        <w:t xml:space="preserve">Subject to this Act, a casino licence authorises the licensee, during permitted hours, to do either or both of the following — </w:t>
      </w:r>
    </w:p>
    <w:p>
      <w:pPr>
        <w:pStyle w:val="Indenta"/>
      </w:pPr>
      <w:r>
        <w:tab/>
        <w:t>(a)</w:t>
      </w:r>
      <w:r>
        <w:tab/>
        <w:t xml:space="preserve">sell liquor for consumption — </w:t>
      </w:r>
    </w:p>
    <w:p>
      <w:pPr>
        <w:pStyle w:val="Indenti"/>
      </w:pPr>
      <w:r>
        <w:tab/>
        <w:t>(i)</w:t>
      </w:r>
      <w:r>
        <w:tab/>
        <w:t>on the premises at the casino; and</w:t>
      </w:r>
    </w:p>
    <w:p>
      <w:pPr>
        <w:pStyle w:val="Indenti"/>
      </w:pPr>
      <w:r>
        <w:tab/>
        <w:t>(ii)</w:t>
      </w:r>
      <w:r>
        <w:tab/>
        <w:t>on other premises within the casino complex concerned or adjacent to that complex, within one or more defined areas as may from time to time be approved by the Gaming and Wagering Commission;</w:t>
      </w:r>
    </w:p>
    <w:p>
      <w:pPr>
        <w:pStyle w:val="Indenta"/>
      </w:pPr>
      <w:r>
        <w:tab/>
        <w:t>(b)</w:t>
      </w:r>
      <w:r>
        <w:tab/>
        <w:t xml:space="preserve">supply, without charge, packaged liquor on the premises referred to in paragraph (a) as part of — </w:t>
      </w:r>
    </w:p>
    <w:p>
      <w:pPr>
        <w:pStyle w:val="Indenti"/>
      </w:pPr>
      <w:r>
        <w:tab/>
        <w:t>(i)</w:t>
      </w:r>
      <w:r>
        <w:tab/>
        <w:t>an accommodation, restaurant or dining service provided on those premises; or</w:t>
      </w:r>
    </w:p>
    <w:p>
      <w:pPr>
        <w:pStyle w:val="Indenti"/>
      </w:pPr>
      <w:r>
        <w:tab/>
        <w:t>(ii)</w:t>
      </w:r>
      <w:r>
        <w:tab/>
        <w:t>a function or promotional activity conducted on those premises.</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 xml:space="preserve">licence, or a restaurant licence, or </w:t>
      </w:r>
      <w:r>
        <w:rPr>
          <w:snapToGrid w:val="0"/>
        </w:rPr>
        <w:lastRenderedPageBreak/>
        <w:t>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No. 35 of 2003 s. 173(4); No. 73 of 2006 s. 107; No. 9 of 2018 s. 23.]</w:t>
      </w:r>
    </w:p>
    <w:p>
      <w:pPr>
        <w:pStyle w:val="Heading5"/>
        <w:keepNext w:val="0"/>
        <w:keepLines w:val="0"/>
        <w:spacing w:before="180"/>
        <w:rPr>
          <w:snapToGrid w:val="0"/>
        </w:rPr>
      </w:pPr>
      <w:bookmarkStart w:id="99" w:name="_Toc93934608"/>
      <w:r>
        <w:rPr>
          <w:rStyle w:val="CharSectno"/>
        </w:rPr>
        <w:t>45</w:t>
      </w:r>
      <w:r>
        <w:rPr>
          <w:snapToGrid w:val="0"/>
        </w:rPr>
        <w:t>.</w:t>
      </w:r>
      <w:r>
        <w:rPr>
          <w:snapToGrid w:val="0"/>
        </w:rPr>
        <w:tab/>
        <w:t>Casino liquor licence, pre-requisites for grant of</w:t>
      </w:r>
      <w:bookmarkEnd w:id="99"/>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r>
        <w:t>a</w:t>
      </w:r>
      <w:r>
        <w:rPr>
          <w:snapToGrid w:val="0"/>
        </w:rPr>
        <w:t xml:space="preserve">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 xml:space="preserve">The licensing authority shall not grant any authorisation to sell liquor in the casino complex </w:t>
      </w:r>
      <w:r>
        <w:t>to which a casino gaming licence relates</w:t>
      </w:r>
      <w:r>
        <w:rPr>
          <w:snapToGrid w:val="0"/>
        </w:rPr>
        <w:t xml:space="preserve"> that contravenes, or exceeds the authorisation contemplated by, the casino complex agreement pursuant to which the casino gaming licence was granted.</w:t>
      </w:r>
    </w:p>
    <w:p>
      <w:pPr>
        <w:pStyle w:val="Subsection"/>
        <w:rPr>
          <w:snapToGrid w:val="0"/>
        </w:rPr>
      </w:pPr>
      <w:r>
        <w:rPr>
          <w:snapToGrid w:val="0"/>
        </w:rPr>
        <w:lastRenderedPageBreak/>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No. 12 of 1998 s. 28; No. 35 of 2003 s. 173(4); No. 9 of 2018 s. 24.] </w:t>
      </w:r>
    </w:p>
    <w:p>
      <w:pPr>
        <w:pStyle w:val="Heading5"/>
        <w:spacing w:before="240"/>
        <w:rPr>
          <w:snapToGrid w:val="0"/>
        </w:rPr>
      </w:pPr>
      <w:bookmarkStart w:id="100" w:name="_Toc93934609"/>
      <w:r>
        <w:rPr>
          <w:rStyle w:val="CharSectno"/>
        </w:rPr>
        <w:t>46</w:t>
      </w:r>
      <w:r>
        <w:rPr>
          <w:snapToGrid w:val="0"/>
        </w:rPr>
        <w:t>.</w:t>
      </w:r>
      <w:r>
        <w:rPr>
          <w:snapToGrid w:val="0"/>
        </w:rPr>
        <w:tab/>
        <w:t>Special facility licence, pre-requisites for grant of</w:t>
      </w:r>
      <w:bookmarkEnd w:id="100"/>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lastRenderedPageBreak/>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lastRenderedPageBreak/>
        <w:tab/>
        <w:t xml:space="preserve">[Section 46 inserted: No. 12 of 1998 s. 29; amended: No. 26 of 2001 s. 5(1); No. 73 of 2006 s. 35.] </w:t>
      </w:r>
    </w:p>
    <w:p>
      <w:pPr>
        <w:pStyle w:val="Heading5"/>
        <w:spacing w:before="240"/>
      </w:pPr>
      <w:bookmarkStart w:id="101" w:name="_Toc93934610"/>
      <w:r>
        <w:rPr>
          <w:rStyle w:val="CharSectno"/>
        </w:rPr>
        <w:t>46A</w:t>
      </w:r>
      <w:r>
        <w:t>.</w:t>
      </w:r>
      <w:r>
        <w:tab/>
        <w:t>Special facility licence, restrictions on varying</w:t>
      </w:r>
      <w:bookmarkEnd w:id="101"/>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No. 73 of 2006 s. 36.]</w:t>
      </w:r>
    </w:p>
    <w:p>
      <w:pPr>
        <w:pStyle w:val="Heading5"/>
      </w:pPr>
      <w:bookmarkStart w:id="102" w:name="_Toc93934611"/>
      <w:r>
        <w:rPr>
          <w:rStyle w:val="CharSectno"/>
        </w:rPr>
        <w:t>46B</w:t>
      </w:r>
      <w:r>
        <w:t>.</w:t>
      </w:r>
      <w:r>
        <w:tab/>
        <w:t>Alternatives to granting or varying special facility licences</w:t>
      </w:r>
      <w:bookmarkEnd w:id="102"/>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lastRenderedPageBreak/>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No. 73 of 2006 s. 36.]</w:t>
      </w:r>
    </w:p>
    <w:p>
      <w:pPr>
        <w:pStyle w:val="Heading5"/>
        <w:keepNext w:val="0"/>
        <w:keepLines w:val="0"/>
        <w:spacing w:before="180"/>
        <w:rPr>
          <w:snapToGrid w:val="0"/>
        </w:rPr>
      </w:pPr>
      <w:bookmarkStart w:id="103" w:name="_Toc93934612"/>
      <w:r>
        <w:rPr>
          <w:rStyle w:val="CharSectno"/>
        </w:rPr>
        <w:t>47</w:t>
      </w:r>
      <w:r>
        <w:rPr>
          <w:snapToGrid w:val="0"/>
        </w:rPr>
        <w:t>.</w:t>
      </w:r>
      <w:r>
        <w:rPr>
          <w:snapToGrid w:val="0"/>
        </w:rPr>
        <w:tab/>
        <w:t>Liquor store licence, effect of</w:t>
      </w:r>
      <w:bookmarkEnd w:id="103"/>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lastRenderedPageBreak/>
        <w:tab/>
        <w:t>(b)</w:t>
      </w:r>
      <w:r>
        <w:rPr>
          <w:snapToGrid w:val="0"/>
        </w:rPr>
        <w:tab/>
        <w:t>for consumption off the premises.</w:t>
      </w:r>
    </w:p>
    <w:p>
      <w:pPr>
        <w:pStyle w:val="Footnotesection"/>
        <w:ind w:left="890" w:hanging="890"/>
      </w:pPr>
      <w:r>
        <w:tab/>
        <w:t xml:space="preserve">[Section 47 amended: No. 12 of 1998 s. 30.] </w:t>
      </w:r>
    </w:p>
    <w:p>
      <w:pPr>
        <w:pStyle w:val="Ednotedivision"/>
        <w:spacing w:before="240"/>
      </w:pPr>
      <w:r>
        <w:t>[Heading deleted: No. 73 of 2006 s. 37.]</w:t>
      </w:r>
    </w:p>
    <w:p>
      <w:pPr>
        <w:pStyle w:val="Heading5"/>
        <w:spacing w:before="240"/>
        <w:rPr>
          <w:snapToGrid w:val="0"/>
        </w:rPr>
      </w:pPr>
      <w:bookmarkStart w:id="104" w:name="_Toc93934613"/>
      <w:r>
        <w:rPr>
          <w:rStyle w:val="CharSectno"/>
        </w:rPr>
        <w:t>48</w:t>
      </w:r>
      <w:r>
        <w:rPr>
          <w:snapToGrid w:val="0"/>
        </w:rPr>
        <w:t>.</w:t>
      </w:r>
      <w:r>
        <w:rPr>
          <w:snapToGrid w:val="0"/>
        </w:rPr>
        <w:tab/>
        <w:t>Club licence, kinds, conditions and effect of</w:t>
      </w:r>
      <w:bookmarkEnd w:id="104"/>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 xml:space="preserve">ancillary to a meal supplied at the club by or on behalf of the club to a member and to each of the guests of that member (without limitation as to number), being guests of whose attendance prior notice was given to the club in accordance with </w:t>
      </w:r>
      <w:r>
        <w:t>the rules of the club;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to a member, for consumption by the guests of that member (without limitation as to number) at a function held by or on behalf of that member at the club if in accordance with </w:t>
      </w:r>
      <w:r>
        <w:t>the rules of the club; or</w:t>
      </w:r>
    </w:p>
    <w:p>
      <w:pPr>
        <w:pStyle w:val="Indenta"/>
        <w:rPr>
          <w:snapToGrid w:val="0"/>
        </w:rPr>
      </w:pPr>
      <w:r>
        <w:rPr>
          <w:snapToGrid w:val="0"/>
        </w:rPr>
        <w:lastRenderedPageBreak/>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 xml:space="preserve">if the </w:t>
      </w:r>
      <w:r>
        <w:t>rules of the club</w:t>
      </w:r>
      <w:r>
        <w:rPr>
          <w:snapToGrid w:val="0"/>
        </w:rPr>
        <w:t xml:space="preserve"> are not thereby contravened.</w:t>
      </w:r>
    </w:p>
    <w:p>
      <w:pPr>
        <w:pStyle w:val="Subsection"/>
      </w:pPr>
      <w:r>
        <w:tab/>
        <w:t>(2A)</w:t>
      </w:r>
      <w:r>
        <w:tab/>
        <w:t>Subject to this Act, a club licence authorises the sale, during permitted hours, of liquor to a visitor for consumption on the licensed premises if the sale does not contravene the rules of the club.</w:t>
      </w:r>
    </w:p>
    <w:p>
      <w:pPr>
        <w:pStyle w:val="Subsection"/>
        <w:keepNext/>
      </w:pPr>
      <w:r>
        <w:tab/>
        <w:t>(2B)</w:t>
      </w:r>
      <w:r>
        <w:tab/>
        <w:t xml:space="preserve">In subsection (2A) — </w:t>
      </w:r>
    </w:p>
    <w:p>
      <w:pPr>
        <w:pStyle w:val="Defstart"/>
        <w:keepNext/>
      </w:pPr>
      <w:r>
        <w:tab/>
      </w:r>
      <w:r>
        <w:rPr>
          <w:rStyle w:val="CharDefText"/>
        </w:rPr>
        <w:t>visitor</w:t>
      </w:r>
      <w:r>
        <w:t xml:space="preserve"> means a person, other than a member, a guest of a member or a person referred to in subsection (5), who — </w:t>
      </w:r>
    </w:p>
    <w:p>
      <w:pPr>
        <w:pStyle w:val="Defpara"/>
      </w:pPr>
      <w:r>
        <w:tab/>
        <w:t>(a)</w:t>
      </w:r>
      <w:r>
        <w:tab/>
        <w:t>is at least 40 km or, if a greater distance is prescribed for the purposes of this paragraph, at least that distance from their usual place of residence; and</w:t>
      </w:r>
    </w:p>
    <w:p>
      <w:pPr>
        <w:pStyle w:val="Defpara"/>
      </w:pPr>
      <w:r>
        <w:tab/>
        <w:t>(b)</w:t>
      </w:r>
      <w:r>
        <w:tab/>
        <w:t>is visiting the club while travelling in the course of a holiday or travelling for leisure or business; and</w:t>
      </w:r>
    </w:p>
    <w:p>
      <w:pPr>
        <w:pStyle w:val="Defpara"/>
      </w:pPr>
      <w:r>
        <w:tab/>
        <w:t>(c)</w:t>
      </w:r>
      <w:r>
        <w:tab/>
        <w:t>is required, at the time of their visit, to pay a fee to the club for the use of its facilities.</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 xml:space="preserve">where a club restricted licence applies — a right to occupy the licensed premises to the exclusion </w:t>
      </w:r>
      <w:r>
        <w:rPr>
          <w:snapToGrid w:val="0"/>
        </w:rPr>
        <w:lastRenderedPageBreak/>
        <w:t>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authority to sell liquor for consumption by the guests of a member, otherwise than ancillary to a meal or at a function under subsection (2)(b), extends only to such persons, not exceeding 5 or such lesser number as may be permitted by </w:t>
      </w:r>
      <w:r>
        <w:t>the rules of the club,</w:t>
      </w:r>
      <w:r>
        <w:rPr>
          <w:snapToGrid w:val="0"/>
        </w:rPr>
        <w:t xml:space="preserve"> as are introduced as the guests of that member on that day; and</w:t>
      </w:r>
    </w:p>
    <w:p>
      <w:pPr>
        <w:pStyle w:val="Indenta"/>
        <w:keepNext/>
        <w:rPr>
          <w:snapToGrid w:val="0"/>
        </w:rPr>
      </w:pPr>
      <w:r>
        <w:rPr>
          <w:snapToGrid w:val="0"/>
        </w:rPr>
        <w:tab/>
        <w:t>(c)</w:t>
      </w:r>
      <w:r>
        <w:rPr>
          <w:snapToGrid w:val="0"/>
        </w:rPr>
        <w:tab/>
        <w:t>packaged liquor be not removed — </w:t>
      </w:r>
    </w:p>
    <w:p>
      <w:pPr>
        <w:pStyle w:val="Indenti"/>
        <w:keepNext/>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 xml:space="preserve">as soon as is practicable after the making of any proposal for a </w:t>
      </w:r>
      <w:r>
        <w:t>change in the appointment of a person as trustee to hold the licence for the club, the Secretary</w:t>
      </w:r>
      <w:r>
        <w:rPr>
          <w:snapToGrid w:val="0"/>
        </w:rPr>
        <w:t xml:space="preserve">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pPr>
      <w:r>
        <w:tab/>
        <w:t>(ea)</w:t>
      </w:r>
      <w:r>
        <w:tab/>
        <w:t>an up-to-date register of visitors (as defined in subsection (2B)) be continually available for inspection at the club premises; and</w:t>
      </w:r>
    </w:p>
    <w:p>
      <w:pPr>
        <w:pStyle w:val="Indenta"/>
        <w:rPr>
          <w:snapToGrid w:val="0"/>
        </w:rPr>
      </w:pPr>
      <w:r>
        <w:rPr>
          <w:snapToGrid w:val="0"/>
        </w:rPr>
        <w:tab/>
        <w:t>(f)</w:t>
      </w:r>
      <w:r>
        <w:rPr>
          <w:snapToGrid w:val="0"/>
        </w:rPr>
        <w:tab/>
        <w:t xml:space="preserve">the club ensures that its </w:t>
      </w:r>
      <w:r>
        <w:t>rules</w:t>
      </w:r>
      <w:r>
        <w:rPr>
          <w:snapToGrid w:val="0"/>
        </w:rPr>
        <w:t xml:space="preserve"> are not contravened.</w:t>
      </w:r>
    </w:p>
    <w:p>
      <w:pPr>
        <w:pStyle w:val="Subsection"/>
      </w:pPr>
      <w:r>
        <w:lastRenderedPageBreak/>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as a member or an official of another club or a team, or a person assisting a member or an official of another club or a team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the rules of the club.</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 xml:space="preserve">Where in relation to the sale of liquor a club permits any contravention of its </w:t>
      </w:r>
      <w:r>
        <w:t>rules,</w:t>
      </w:r>
      <w:r>
        <w:rPr>
          <w:snapToGrid w:val="0"/>
        </w:rPr>
        <w:t xml:space="preserve">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lastRenderedPageBreak/>
        <w:tab/>
        <w:t>(b)</w:t>
      </w:r>
      <w:r>
        <w:rPr>
          <w:snapToGrid w:val="0"/>
        </w:rPr>
        <w:tab/>
        <w:t>effect shall be given to the endorsement as a variation of the terms of the licence fixed by this Act.</w:t>
      </w:r>
    </w:p>
    <w:p>
      <w:pPr>
        <w:pStyle w:val="Footnotesection"/>
        <w:ind w:left="890" w:hanging="890"/>
      </w:pPr>
      <w:r>
        <w:tab/>
        <w:t xml:space="preserve">[Section 48 amended: No. 12 of 1998 s. 31; No. 73 of 2006 s. 38; No. 56 of 2010 s. 11; No. 9 of 2018 s. 25.] </w:t>
      </w:r>
    </w:p>
    <w:p>
      <w:pPr>
        <w:pStyle w:val="Heading5"/>
        <w:rPr>
          <w:snapToGrid w:val="0"/>
        </w:rPr>
      </w:pPr>
      <w:bookmarkStart w:id="105" w:name="_Toc93934614"/>
      <w:r>
        <w:rPr>
          <w:rStyle w:val="CharSectno"/>
        </w:rPr>
        <w:t>49</w:t>
      </w:r>
      <w:r>
        <w:rPr>
          <w:snapToGrid w:val="0"/>
        </w:rPr>
        <w:t>.</w:t>
      </w:r>
      <w:r>
        <w:rPr>
          <w:snapToGrid w:val="0"/>
        </w:rPr>
        <w:tab/>
        <w:t>Club licence, pre-requisites for grant of</w:t>
      </w:r>
      <w:bookmarkEnd w:id="105"/>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keepNext/>
        <w:rPr>
          <w:snapToGrid w:val="0"/>
        </w:rPr>
      </w:pPr>
      <w:r>
        <w:rPr>
          <w:snapToGrid w:val="0"/>
        </w:rPr>
        <w:tab/>
        <w:t>(a)</w:t>
      </w:r>
      <w:r>
        <w:rPr>
          <w:snapToGrid w:val="0"/>
        </w:rPr>
        <w:tab/>
        <w:t>that the applicant is a society, club, institution or other body of persons which — </w:t>
      </w:r>
    </w:p>
    <w:p>
      <w:pPr>
        <w:pStyle w:val="Indenti"/>
        <w:keepNext/>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r>
      <w:r>
        <w:t>that the</w:t>
      </w:r>
      <w:r>
        <w:rPr>
          <w:snapToGrid w:val="0"/>
        </w:rPr>
        <w:t xml:space="preserve"> rules of the club are of a kind appropriate for the purposes of a club seeking to be licensed, having regard to the terms and conditions of the licence </w:t>
      </w:r>
      <w:r>
        <w:t>sought.</w:t>
      </w:r>
    </w:p>
    <w:p>
      <w:pPr>
        <w:pStyle w:val="Subsection"/>
        <w:rPr>
          <w:snapToGrid w:val="0"/>
        </w:rPr>
      </w:pPr>
      <w:r>
        <w:rPr>
          <w:snapToGrid w:val="0"/>
        </w:rPr>
        <w:lastRenderedPageBreak/>
        <w:tab/>
        <w:t>(2)</w:t>
      </w:r>
      <w:r>
        <w:rPr>
          <w:snapToGrid w:val="0"/>
        </w:rPr>
        <w:tab/>
        <w:t>Where the Director finds that the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rules to be varied; or</w:t>
      </w:r>
    </w:p>
    <w:p>
      <w:pPr>
        <w:pStyle w:val="Indenta"/>
        <w:rPr>
          <w:snapToGrid w:val="0"/>
        </w:rPr>
      </w:pPr>
      <w:r>
        <w:rPr>
          <w:snapToGrid w:val="0"/>
        </w:rPr>
        <w:tab/>
        <w:t>(b)</w:t>
      </w:r>
      <w:r>
        <w:rPr>
          <w:snapToGrid w:val="0"/>
        </w:rPr>
        <w:tab/>
        <w:t>grant the application subject to a condition requiring amendment of the rules.</w:t>
      </w:r>
    </w:p>
    <w:p>
      <w:pPr>
        <w:pStyle w:val="Ednotesubsection"/>
      </w:pPr>
      <w:r>
        <w:tab/>
        <w:t>[(3), (4)</w:t>
      </w:r>
      <w:r>
        <w:tab/>
        <w:t>deleted]</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No. 12 of 1998 s. 32; No. 73 of 2006 s. 39; No. 30 of 2015 s. 232; No. 9 of 2018 s. 26.] </w:t>
      </w:r>
    </w:p>
    <w:p>
      <w:pPr>
        <w:pStyle w:val="Heading5"/>
        <w:rPr>
          <w:snapToGrid w:val="0"/>
        </w:rPr>
      </w:pPr>
      <w:bookmarkStart w:id="106" w:name="_Toc93934615"/>
      <w:r>
        <w:rPr>
          <w:rStyle w:val="CharSectno"/>
        </w:rPr>
        <w:t>50</w:t>
      </w:r>
      <w:r>
        <w:rPr>
          <w:snapToGrid w:val="0"/>
        </w:rPr>
        <w:t>.</w:t>
      </w:r>
      <w:r>
        <w:rPr>
          <w:snapToGrid w:val="0"/>
        </w:rPr>
        <w:tab/>
        <w:t>Restaurant licence, effect and conditions of</w:t>
      </w:r>
      <w:bookmarkEnd w:id="106"/>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 xml:space="preserve">Where the licensee of a restaurant licence holds an extended trading permit under section 60(4)(ca) in respect of the </w:t>
      </w:r>
      <w:r>
        <w:rPr>
          <w:snapToGrid w:val="0"/>
        </w:rPr>
        <w:lastRenderedPageBreak/>
        <w:t>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No. 12 of 1998 s. 33; No. 73 of 2006 s. 40 and 108.] </w:t>
      </w:r>
    </w:p>
    <w:p>
      <w:pPr>
        <w:pStyle w:val="Heading5"/>
      </w:pPr>
      <w:bookmarkStart w:id="107" w:name="_Toc93934616"/>
      <w:r>
        <w:rPr>
          <w:rStyle w:val="CharSectno"/>
        </w:rPr>
        <w:lastRenderedPageBreak/>
        <w:t>50A</w:t>
      </w:r>
      <w:r>
        <w:t>.</w:t>
      </w:r>
      <w:r>
        <w:tab/>
        <w:t>Issue of extended trading permit under s. 60(4)(ca) for certain restaurant licences at time of grant</w:t>
      </w:r>
      <w:bookmarkEnd w:id="107"/>
    </w:p>
    <w:p>
      <w:pPr>
        <w:pStyle w:val="Subsection"/>
      </w:pPr>
      <w:r>
        <w:tab/>
        <w:t>(1)</w:t>
      </w:r>
      <w:r>
        <w:tab/>
        <w:t xml:space="preserve">Subsection (2) applies if — </w:t>
      </w:r>
    </w:p>
    <w:p>
      <w:pPr>
        <w:pStyle w:val="Indenta"/>
      </w:pPr>
      <w:r>
        <w:tab/>
        <w:t>(a)</w:t>
      </w:r>
      <w:r>
        <w:tab/>
        <w:t>the licensing authority decides to grant a restaurant licence subject to a condition limiting the maximum number of persons (excluding responsible persons and authorised officers) who may be on the licensed premises to 120; and</w:t>
      </w:r>
    </w:p>
    <w:p>
      <w:pPr>
        <w:pStyle w:val="Indenta"/>
      </w:pPr>
      <w:r>
        <w:tab/>
        <w:t>(b)</w:t>
      </w:r>
      <w:r>
        <w:tab/>
        <w:t>the application for the restaurant licence specifies that an extended trading permit under section 60(4)(ca) is also sought in respect of the premises to which the application relates.</w:t>
      </w:r>
    </w:p>
    <w:p>
      <w:pPr>
        <w:pStyle w:val="Subsection"/>
      </w:pPr>
      <w:r>
        <w:tab/>
        <w:t>(2)</w:t>
      </w:r>
      <w:r>
        <w:tab/>
        <w:t>When the licensing authority grants the restaurant licence the licensing authority may issue an extended trading permit under section 60(4)(ca) in respect of the licensed premises.</w:t>
      </w:r>
    </w:p>
    <w:p>
      <w:pPr>
        <w:pStyle w:val="Footnotesection"/>
      </w:pPr>
      <w:r>
        <w:tab/>
        <w:t>[Section 50A inserted: No. 9 of 2018 s. 27.]</w:t>
      </w:r>
    </w:p>
    <w:p>
      <w:pPr>
        <w:pStyle w:val="Heading5"/>
        <w:rPr>
          <w:snapToGrid w:val="0"/>
        </w:rPr>
      </w:pPr>
      <w:bookmarkStart w:id="108" w:name="_Toc93934617"/>
      <w:r>
        <w:rPr>
          <w:rStyle w:val="CharSectno"/>
        </w:rPr>
        <w:t>51</w:t>
      </w:r>
      <w:r>
        <w:rPr>
          <w:snapToGrid w:val="0"/>
        </w:rPr>
        <w:t>.</w:t>
      </w:r>
      <w:r>
        <w:rPr>
          <w:snapToGrid w:val="0"/>
        </w:rPr>
        <w:tab/>
        <w:t>Unlicensed restaurants, supply of liquor in</w:t>
      </w:r>
      <w:bookmarkEnd w:id="108"/>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lastRenderedPageBreak/>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No. 12 of 1998 s. 34; No. 73 of 2006 s. 110; No. 56 of 2010 s. 69.] </w:t>
      </w:r>
    </w:p>
    <w:p>
      <w:pPr>
        <w:pStyle w:val="Heading5"/>
        <w:rPr>
          <w:snapToGrid w:val="0"/>
        </w:rPr>
      </w:pPr>
      <w:bookmarkStart w:id="109" w:name="_Toc93934618"/>
      <w:r>
        <w:rPr>
          <w:rStyle w:val="CharSectno"/>
        </w:rPr>
        <w:t>52</w:t>
      </w:r>
      <w:r>
        <w:rPr>
          <w:snapToGrid w:val="0"/>
        </w:rPr>
        <w:t>.</w:t>
      </w:r>
      <w:r>
        <w:rPr>
          <w:snapToGrid w:val="0"/>
        </w:rPr>
        <w:tab/>
        <w:t>Liquor sold or consumed with meals, effect of extended trading permit which authorises; evidentiary provisions</w:t>
      </w:r>
      <w:bookmarkEnd w:id="109"/>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lastRenderedPageBreak/>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No. 84 of 2004 s. 80.] </w:t>
      </w:r>
    </w:p>
    <w:p>
      <w:pPr>
        <w:pStyle w:val="Heading5"/>
        <w:rPr>
          <w:snapToGrid w:val="0"/>
        </w:rPr>
      </w:pPr>
      <w:bookmarkStart w:id="110" w:name="_Toc93934619"/>
      <w:r>
        <w:rPr>
          <w:rStyle w:val="CharSectno"/>
        </w:rPr>
        <w:t>53</w:t>
      </w:r>
      <w:r>
        <w:rPr>
          <w:snapToGrid w:val="0"/>
        </w:rPr>
        <w:t>.</w:t>
      </w:r>
      <w:r>
        <w:rPr>
          <w:snapToGrid w:val="0"/>
        </w:rPr>
        <w:tab/>
        <w:t>Restaurant licence and extended trading permit, effect of may be restricted as to selling liquor with meals</w:t>
      </w:r>
      <w:bookmarkEnd w:id="110"/>
    </w:p>
    <w:p>
      <w:pPr>
        <w:pStyle w:val="Subsection"/>
        <w:keepNext/>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keepNext/>
        <w:rPr>
          <w:snapToGrid w:val="0"/>
        </w:rPr>
      </w:pPr>
      <w:r>
        <w:rPr>
          <w:snapToGrid w:val="0"/>
        </w:rPr>
        <w:tab/>
        <w:t>(a)</w:t>
      </w:r>
      <w:r>
        <w:rPr>
          <w:snapToGrid w:val="0"/>
        </w:rPr>
        <w:tab/>
        <w:t>by the imposition, on the grant of the licence or the issue of the permit, of conditions requiring — </w:t>
      </w:r>
    </w:p>
    <w:p>
      <w:pPr>
        <w:pStyle w:val="Indenti"/>
        <w:keepNext/>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lastRenderedPageBreak/>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No. 12 of 1998 s. 35(1).] </w:t>
      </w:r>
    </w:p>
    <w:p>
      <w:pPr>
        <w:pStyle w:val="Heading5"/>
        <w:spacing w:before="240"/>
        <w:rPr>
          <w:snapToGrid w:val="0"/>
        </w:rPr>
      </w:pPr>
      <w:bookmarkStart w:id="111" w:name="_Toc93934620"/>
      <w:r>
        <w:rPr>
          <w:rStyle w:val="CharSectno"/>
        </w:rPr>
        <w:t>55</w:t>
      </w:r>
      <w:r>
        <w:rPr>
          <w:snapToGrid w:val="0"/>
        </w:rPr>
        <w:t>.</w:t>
      </w:r>
      <w:r>
        <w:rPr>
          <w:snapToGrid w:val="0"/>
        </w:rPr>
        <w:tab/>
        <w:t>Producer’s licence, effect of</w:t>
      </w:r>
      <w:bookmarkEnd w:id="111"/>
    </w:p>
    <w:p>
      <w:pPr>
        <w:pStyle w:val="Subsection"/>
        <w:keepNext/>
        <w:rPr>
          <w:snapToGrid w:val="0"/>
        </w:rPr>
      </w:pPr>
      <w:r>
        <w:rPr>
          <w:snapToGrid w:val="0"/>
        </w:rPr>
        <w:tab/>
        <w:t>(1)</w:t>
      </w:r>
      <w:r>
        <w:rPr>
          <w:snapToGrid w:val="0"/>
        </w:rPr>
        <w:tab/>
        <w:t>Subject to this Act the licensee of a producer’s licence is, during permitted hours, authorised — </w:t>
      </w:r>
    </w:p>
    <w:p>
      <w:pPr>
        <w:pStyle w:val="Indenta"/>
        <w:keepNext/>
      </w:pPr>
      <w:r>
        <w:tab/>
        <w:t>(a)</w:t>
      </w:r>
      <w:r>
        <w:tab/>
        <w:t>to sell or supply (including by way of sample) on the licensed premises liquor produced by the licensee for consumption on a part of the licensed premises approved for the purpose by the Director; and</w:t>
      </w:r>
    </w:p>
    <w:p>
      <w:pPr>
        <w:pStyle w:val="Indenta"/>
      </w:pPr>
      <w:r>
        <w:tab/>
        <w:t>(b)</w:t>
      </w:r>
      <w:r>
        <w:tab/>
        <w:t>to sell or supply on or from the licensed premises liquor produced by the licensee for consumption off the licensed premises; and</w:t>
      </w:r>
    </w:p>
    <w:p>
      <w:pPr>
        <w:pStyle w:val="Indenta"/>
      </w:pPr>
      <w:r>
        <w:tab/>
        <w:t>(c)</w:t>
      </w:r>
      <w:r>
        <w:tab/>
        <w:t xml:space="preserve">to sell or supply liquor, other than liquor produced by the licensee, on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Ednotesubsection"/>
      </w:pPr>
      <w:r>
        <w:tab/>
        <w:t>[(1a)</w:t>
      </w:r>
      <w:r>
        <w:tab/>
        <w:t>deleted]</w:t>
      </w:r>
    </w:p>
    <w:p>
      <w:pPr>
        <w:pStyle w:val="Subsection"/>
        <w:spacing w:before="120"/>
      </w:pPr>
      <w:r>
        <w:tab/>
        <w:t>(2A)</w:t>
      </w:r>
      <w:r>
        <w:tab/>
        <w:t xml:space="preserve">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lastRenderedPageBreak/>
        <w:tab/>
        <w:t>(2)</w:t>
      </w:r>
      <w:r>
        <w:rPr>
          <w:snapToGrid w:val="0"/>
        </w:rPr>
        <w:tab/>
        <w:t>A producer’s licence shall not be granted other than in accordance with this Act and any conditions prescribed.</w:t>
      </w:r>
    </w:p>
    <w:p>
      <w:pPr>
        <w:pStyle w:val="Subsection"/>
        <w:keepNext/>
        <w:spacing w:before="120"/>
        <w:rPr>
          <w:snapToGrid w:val="0"/>
        </w:rPr>
      </w:pPr>
      <w:r>
        <w:rPr>
          <w:snapToGrid w:val="0"/>
        </w:rPr>
        <w:tab/>
        <w:t>(3)</w:t>
      </w:r>
      <w:r>
        <w:rPr>
          <w:snapToGrid w:val="0"/>
        </w:rPr>
        <w:tab/>
        <w:t xml:space="preserve">Where the licensee is a body </w:t>
      </w:r>
      <w:r>
        <w:t>corporate, liquor</w:t>
      </w:r>
      <w:r>
        <w:rPr>
          <w:snapToGrid w:val="0"/>
        </w:rPr>
        <w:t xml:space="preserve"> produced by a related body corporate shall be deemed to have been produced by the licensee.</w:t>
      </w:r>
    </w:p>
    <w:p>
      <w:pPr>
        <w:pStyle w:val="Footnotesection"/>
        <w:keepNext/>
        <w:spacing w:before="80"/>
        <w:ind w:left="890" w:hanging="890"/>
      </w:pPr>
      <w:r>
        <w:tab/>
        <w:t xml:space="preserve">[Section 55 amended: No. 12 of 1998 s. 36; No. 73 of 2006 s. 41; No. 56 of 2010 s. 42; No. 35 of 2015 s. 6; No. 9 of 2018 s. 28.] </w:t>
      </w:r>
    </w:p>
    <w:p>
      <w:pPr>
        <w:pStyle w:val="Heading5"/>
        <w:spacing w:before="180"/>
        <w:rPr>
          <w:snapToGrid w:val="0"/>
        </w:rPr>
      </w:pPr>
      <w:bookmarkStart w:id="112" w:name="_Toc93934621"/>
      <w:r>
        <w:rPr>
          <w:rStyle w:val="CharSectno"/>
        </w:rPr>
        <w:t>56</w:t>
      </w:r>
      <w:r>
        <w:rPr>
          <w:snapToGrid w:val="0"/>
        </w:rPr>
        <w:t>.</w:t>
      </w:r>
      <w:r>
        <w:rPr>
          <w:snapToGrid w:val="0"/>
        </w:rPr>
        <w:tab/>
        <w:t>Production of liquor by person, presumption of</w:t>
      </w:r>
      <w:bookmarkEnd w:id="112"/>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pPr>
      <w:r>
        <w:tab/>
        <w:t>(ba)</w:t>
      </w:r>
      <w:r>
        <w:tab/>
        <w:t xml:space="preserve">being spirits made from wine — </w:t>
      </w:r>
    </w:p>
    <w:p>
      <w:pPr>
        <w:pStyle w:val="Indenti"/>
      </w:pPr>
      <w:r>
        <w:tab/>
        <w:t>(i)</w:t>
      </w:r>
      <w:r>
        <w:tab/>
        <w:t>if it was distilled by that person; or</w:t>
      </w:r>
    </w:p>
    <w:p>
      <w:pPr>
        <w:pStyle w:val="Indenti"/>
      </w:pPr>
      <w:r>
        <w:tab/>
        <w:t>(ii)</w:t>
      </w:r>
      <w:r>
        <w:tab/>
        <w:t>if it was distilled under the control or direction of that person from wine produced by that person;</w:t>
      </w:r>
    </w:p>
    <w:p>
      <w:pPr>
        <w:pStyle w:val="Indenta"/>
      </w:pPr>
      <w:r>
        <w:tab/>
      </w:r>
      <w:r>
        <w:tab/>
        <w:t>or</w:t>
      </w:r>
    </w:p>
    <w:p>
      <w:pPr>
        <w:pStyle w:val="Indenta"/>
        <w:rPr>
          <w:snapToGrid w:val="0"/>
        </w:rPr>
      </w:pPr>
      <w:r>
        <w:rPr>
          <w:snapToGrid w:val="0"/>
        </w:rPr>
        <w:tab/>
        <w:t>(c)</w:t>
      </w:r>
      <w:r>
        <w:rPr>
          <w:snapToGrid w:val="0"/>
        </w:rPr>
        <w:tab/>
        <w:t xml:space="preserve">being </w:t>
      </w:r>
      <w:r>
        <w:t xml:space="preserve">spirits not made from wine, </w:t>
      </w:r>
      <w:r>
        <w:rPr>
          <w:snapToGrid w:val="0"/>
        </w:rPr>
        <w:t>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lastRenderedPageBreak/>
        <w:tab/>
        <w:t>[Section 56 amended: No. 74 of 2003 s. 78; No. 9 of 2018 s. 29.]</w:t>
      </w:r>
    </w:p>
    <w:p>
      <w:pPr>
        <w:pStyle w:val="Heading5"/>
        <w:spacing w:before="180"/>
        <w:rPr>
          <w:snapToGrid w:val="0"/>
        </w:rPr>
      </w:pPr>
      <w:bookmarkStart w:id="113" w:name="_Toc93934622"/>
      <w:r>
        <w:rPr>
          <w:rStyle w:val="CharSectno"/>
        </w:rPr>
        <w:t>57</w:t>
      </w:r>
      <w:r>
        <w:rPr>
          <w:snapToGrid w:val="0"/>
        </w:rPr>
        <w:t>.</w:t>
      </w:r>
      <w:r>
        <w:rPr>
          <w:snapToGrid w:val="0"/>
        </w:rPr>
        <w:tab/>
        <w:t>Producer’s licence, pre-requisites for grant of</w:t>
      </w:r>
      <w:bookmarkEnd w:id="113"/>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No. 12 of 1998 s. 37; No. 56 of 2010 s. 43.] </w:t>
      </w:r>
    </w:p>
    <w:p>
      <w:pPr>
        <w:pStyle w:val="Heading5"/>
        <w:rPr>
          <w:snapToGrid w:val="0"/>
        </w:rPr>
      </w:pPr>
      <w:bookmarkStart w:id="114" w:name="_Toc93934623"/>
      <w:r>
        <w:rPr>
          <w:rStyle w:val="CharSectno"/>
        </w:rPr>
        <w:lastRenderedPageBreak/>
        <w:t>58</w:t>
      </w:r>
      <w:r>
        <w:rPr>
          <w:snapToGrid w:val="0"/>
        </w:rPr>
        <w:t>.</w:t>
      </w:r>
      <w:r>
        <w:rPr>
          <w:snapToGrid w:val="0"/>
        </w:rPr>
        <w:tab/>
        <w:t>Wholesaler’s licence, effect and conditions of</w:t>
      </w:r>
      <w:bookmarkEnd w:id="114"/>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Ednotesubsection"/>
      </w:pPr>
      <w:r>
        <w:tab/>
        <w:t>[(2a)</w:t>
      </w:r>
      <w:r>
        <w:tab/>
        <w:t>deleted]</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lastRenderedPageBreak/>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No. 56 of 1997 s. 26(4); No. 12 of 1998 s. 38; No. 73 of 2006 s. 42; No. 35 of 2015 s. 7; No. 9 of 2018 s. 30.] </w:t>
      </w:r>
    </w:p>
    <w:p>
      <w:pPr>
        <w:pStyle w:val="Heading5"/>
        <w:rPr>
          <w:snapToGrid w:val="0"/>
        </w:rPr>
      </w:pPr>
      <w:bookmarkStart w:id="115" w:name="_Toc93934624"/>
      <w:r>
        <w:rPr>
          <w:rStyle w:val="CharSectno"/>
        </w:rPr>
        <w:t>59</w:t>
      </w:r>
      <w:r>
        <w:rPr>
          <w:snapToGrid w:val="0"/>
        </w:rPr>
        <w:t>.</w:t>
      </w:r>
      <w:r>
        <w:rPr>
          <w:snapToGrid w:val="0"/>
        </w:rPr>
        <w:tab/>
        <w:t>Occasional licence, effect, conditions and pre-requisites for grant of</w:t>
      </w:r>
      <w:bookmarkEnd w:id="115"/>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 xml:space="preserve">where the applicant holds another licence, the issue of an extended trading permit issued relating to, or the variation or cancellation of a term or condition of, that licence would be a </w:t>
      </w:r>
      <w:r>
        <w:rPr>
          <w:snapToGrid w:val="0"/>
        </w:rPr>
        <w:lastRenderedPageBreak/>
        <w:t>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lastRenderedPageBreak/>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No. 12 of 1998 s. 39(1); No. 56 of 2010 s. 12.] </w:t>
      </w:r>
    </w:p>
    <w:p>
      <w:pPr>
        <w:pStyle w:val="Heading5"/>
      </w:pPr>
      <w:bookmarkStart w:id="116" w:name="_Toc93934625"/>
      <w:r>
        <w:rPr>
          <w:rStyle w:val="CharSectno"/>
        </w:rPr>
        <w:lastRenderedPageBreak/>
        <w:t>59A</w:t>
      </w:r>
      <w:r>
        <w:t>.</w:t>
      </w:r>
      <w:r>
        <w:tab/>
        <w:t>Additional authorisations relating to supply and sale of liquor on licensed premises</w:t>
      </w:r>
      <w:bookmarkEnd w:id="116"/>
    </w:p>
    <w:p>
      <w:pPr>
        <w:pStyle w:val="Subsection"/>
        <w:keepNext/>
      </w:pPr>
      <w:r>
        <w:tab/>
        <w:t>(1)</w:t>
      </w:r>
      <w:r>
        <w:tab/>
        <w:t xml:space="preserve">In this section — </w:t>
      </w:r>
    </w:p>
    <w:p>
      <w:pPr>
        <w:pStyle w:val="Defstart"/>
      </w:pPr>
      <w:r>
        <w:tab/>
      </w:r>
      <w:r>
        <w:rPr>
          <w:rStyle w:val="CharDefText"/>
        </w:rPr>
        <w:t>interstate supplier</w:t>
      </w:r>
      <w:r>
        <w:t xml:space="preserve"> means a person who is authorised under the law of another State, or of a Territory, to sell packaged liquor;</w:t>
      </w:r>
    </w:p>
    <w:p>
      <w:pPr>
        <w:pStyle w:val="Defstart"/>
      </w:pPr>
      <w:r>
        <w:tab/>
      </w:r>
      <w:r>
        <w:rPr>
          <w:rStyle w:val="CharDefText"/>
        </w:rPr>
        <w:t>packaged liquor</w:t>
      </w:r>
      <w:r>
        <w:t xml:space="preserve"> — </w:t>
      </w:r>
    </w:p>
    <w:p>
      <w:pPr>
        <w:pStyle w:val="Defpara"/>
      </w:pPr>
      <w:r>
        <w:tab/>
        <w:t>(a)</w:t>
      </w:r>
      <w:r>
        <w:tab/>
        <w:t>in relation to an interstate supplier, means liquor in sealed containers for consumption off the premises of the interstate supplier; and</w:t>
      </w:r>
    </w:p>
    <w:p>
      <w:pPr>
        <w:pStyle w:val="Defpara"/>
      </w:pPr>
      <w:r>
        <w:tab/>
        <w:t>(b)</w:t>
      </w:r>
      <w:r>
        <w:tab/>
        <w:t>otherwise, has the meaning given in section 3(1);</w:t>
      </w:r>
    </w:p>
    <w:p>
      <w:pPr>
        <w:pStyle w:val="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pPr>
        <w:pStyle w:val="Subsection"/>
      </w:pPr>
      <w:r>
        <w:tab/>
        <w:t>(2)</w:t>
      </w:r>
      <w:r>
        <w:tab/>
        <w:t xml:space="preserve">A packaged liquor licence authorises the licensee (the </w:t>
      </w:r>
      <w:r>
        <w:rPr>
          <w:rStyle w:val="CharDefText"/>
        </w:rPr>
        <w:t>supplier</w:t>
      </w:r>
      <w:r>
        <w:t xml:space="preserve">), with the agreement of another licensee — </w:t>
      </w:r>
    </w:p>
    <w:p>
      <w:pPr>
        <w:pStyle w:val="Indenta"/>
      </w:pPr>
      <w:r>
        <w:tab/>
        <w:t>(a)</w:t>
      </w:r>
      <w:r>
        <w:tab/>
        <w:t>to supply liquor, by way of free sample, on the licensed premises of the other licensee for consumption on those premises; and</w:t>
      </w:r>
    </w:p>
    <w:p>
      <w:pPr>
        <w:pStyle w:val="Indenta"/>
      </w:pPr>
      <w:r>
        <w:tab/>
        <w:t>(b)</w:t>
      </w:r>
      <w:r>
        <w:tab/>
        <w:t>to sell packaged liquor on the licensed premises of the other licensee for delivery to the purchaser, or to premises specified by the purchaser, from the licensed premises of the supplier.</w:t>
      </w:r>
    </w:p>
    <w:p>
      <w:pPr>
        <w:pStyle w:val="Subsection"/>
      </w:pPr>
      <w:r>
        <w:tab/>
        <w:t>(3)</w:t>
      </w:r>
      <w:r>
        <w:tab/>
        <w:t xml:space="preserve">An interstate supplier is authorised, with the agreement of a licensee — </w:t>
      </w:r>
    </w:p>
    <w:p>
      <w:pPr>
        <w:pStyle w:val="Indenta"/>
      </w:pPr>
      <w:r>
        <w:tab/>
        <w:t>(a)</w:t>
      </w:r>
      <w:r>
        <w:tab/>
        <w:t>to supply liquor, by way of free sample, on the licensed premises of the licensee for consumption on those premises; and</w:t>
      </w:r>
    </w:p>
    <w:p>
      <w:pPr>
        <w:pStyle w:val="Indenta"/>
      </w:pPr>
      <w:r>
        <w:tab/>
        <w:t>(b)</w:t>
      </w:r>
      <w:r>
        <w:tab/>
        <w:t>to sell packaged liquor on the licensed premises of the licensee for delivery to the purchaser, or to premises specified by the purchaser, from the premises of the interstate supplier.</w:t>
      </w:r>
    </w:p>
    <w:p>
      <w:pPr>
        <w:pStyle w:val="Subsection"/>
      </w:pPr>
      <w:r>
        <w:lastRenderedPageBreak/>
        <w:tab/>
        <w:t>(4)</w:t>
      </w:r>
      <w:r>
        <w:tab/>
        <w:t>A sale of packaged liquor made by an interstate supplier as authorised under subsection (3) is taken to be made under a licence described in section 109(1)(a).</w:t>
      </w:r>
    </w:p>
    <w:p>
      <w:pPr>
        <w:pStyle w:val="Footnotesection"/>
        <w:spacing w:before="80"/>
        <w:ind w:left="890" w:hanging="890"/>
      </w:pPr>
      <w:r>
        <w:tab/>
        <w:t xml:space="preserve">[Section 59A inserted: No. 9 of 2018 s. 31.] </w:t>
      </w:r>
    </w:p>
    <w:p>
      <w:pPr>
        <w:pStyle w:val="Heading3"/>
        <w:rPr>
          <w:snapToGrid w:val="0"/>
        </w:rPr>
      </w:pPr>
      <w:bookmarkStart w:id="117" w:name="_Toc93918081"/>
      <w:bookmarkStart w:id="118" w:name="_Toc93934626"/>
      <w:r>
        <w:rPr>
          <w:rStyle w:val="CharDivNo"/>
        </w:rPr>
        <w:t>Division 4</w:t>
      </w:r>
      <w:r>
        <w:rPr>
          <w:snapToGrid w:val="0"/>
        </w:rPr>
        <w:t> — </w:t>
      </w:r>
      <w:r>
        <w:rPr>
          <w:rStyle w:val="CharDivText"/>
        </w:rPr>
        <w:t>Permits</w:t>
      </w:r>
      <w:bookmarkEnd w:id="117"/>
      <w:bookmarkEnd w:id="118"/>
      <w:r>
        <w:rPr>
          <w:rStyle w:val="CharDivText"/>
        </w:rPr>
        <w:t xml:space="preserve"> </w:t>
      </w:r>
    </w:p>
    <w:p>
      <w:pPr>
        <w:pStyle w:val="Heading5"/>
        <w:rPr>
          <w:snapToGrid w:val="0"/>
        </w:rPr>
      </w:pPr>
      <w:bookmarkStart w:id="119" w:name="_Toc93934627"/>
      <w:r>
        <w:rPr>
          <w:rStyle w:val="CharSectno"/>
        </w:rPr>
        <w:t>60</w:t>
      </w:r>
      <w:r>
        <w:rPr>
          <w:snapToGrid w:val="0"/>
        </w:rPr>
        <w:t>.</w:t>
      </w:r>
      <w:r>
        <w:rPr>
          <w:snapToGrid w:val="0"/>
        </w:rPr>
        <w:tab/>
        <w:t>Extended trading permit, purposes, effect and conditions of</w:t>
      </w:r>
      <w:bookmarkEnd w:id="119"/>
    </w:p>
    <w:p>
      <w:pPr>
        <w:pStyle w:val="Subsection"/>
        <w:keepNext/>
        <w:rPr>
          <w:snapToGrid w:val="0"/>
        </w:rPr>
      </w:pPr>
      <w:r>
        <w:rPr>
          <w:snapToGrid w:val="0"/>
        </w:rPr>
        <w:tab/>
        <w:t>(1)</w:t>
      </w:r>
      <w:r>
        <w:rPr>
          <w:snapToGrid w:val="0"/>
        </w:rPr>
        <w:tab/>
        <w:t>An extended trading permit authorises the licensee of the licence to which it relates, subject to — </w:t>
      </w:r>
    </w:p>
    <w:p>
      <w:pPr>
        <w:pStyle w:val="Indenta"/>
        <w:keepNext/>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lastRenderedPageBreak/>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(g) or (h)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 xml:space="preserve">catering, authorising the licensee to sell liquor </w:t>
      </w:r>
      <w:r>
        <w:t>as a caterer</w:t>
      </w:r>
      <w:r>
        <w:rPr>
          <w:snapToGrid w:val="0"/>
        </w:rPr>
        <w:t xml:space="preserve"> on such days other than a Good Friday and between such hours on those days as may be specified,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 xml:space="preserve">a restaurant comprised within guest accommodation, authorising the licensee of a restaurant licence to sell, at any time, liquor to a lodger under section 50(2), which remains in force for the period during which the licence </w:t>
      </w:r>
      <w:r>
        <w:rPr>
          <w:snapToGrid w:val="0"/>
        </w:rPr>
        <w:lastRenderedPageBreak/>
        <w:t>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w:t>
      </w:r>
      <w:r>
        <w:rPr>
          <w:snapToGrid w:val="0"/>
        </w:rPr>
        <w:lastRenderedPageBreak/>
        <w:t>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 xml:space="preserve">the licensee takes such measures as will ensure that the </w:t>
      </w:r>
      <w:r>
        <w:t>rules of the association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10 years,</w:t>
      </w:r>
      <w:r>
        <w:rPr>
          <w:snapToGrid w:val="0"/>
        </w:rPr>
        <w:t xml:space="preserve"> specified; or</w:t>
      </w:r>
    </w:p>
    <w:p>
      <w:pPr>
        <w:pStyle w:val="Indenta"/>
      </w:pPr>
      <w:r>
        <w:rPr>
          <w:snapToGrid w:val="0"/>
        </w:rPr>
        <w:tab/>
        <w:t>(h)</w:t>
      </w:r>
      <w:r>
        <w:rPr>
          <w:snapToGrid w:val="0"/>
        </w:rPr>
        <w:tab/>
        <w:t xml:space="preserve">an extended area, authorising the licensee to sell liquor </w:t>
      </w:r>
      <w:r>
        <w:t xml:space="preserve">under the licence on specified premises or in a specified area that would not otherwise be authorised, on such days and between such hours on those days as may be specified, </w:t>
      </w:r>
      <w:r>
        <w:rPr>
          <w:snapToGrid w:val="0"/>
        </w:rPr>
        <w:t>which remains in force for the period specified</w:t>
      </w:r>
      <w:r>
        <w:t>; or</w:t>
      </w:r>
    </w:p>
    <w:p>
      <w:pPr>
        <w:pStyle w:val="Indenta"/>
      </w:pPr>
      <w:r>
        <w:tab/>
        <w:t>(ia)</w:t>
      </w:r>
      <w:r>
        <w:tab/>
        <w:t xml:space="preserve">authorising the licensee of a producer’s licence to sell liquor under the licence on specified premises on which the licensee would not otherwise be authorised to sell </w:t>
      </w:r>
      <w:r>
        <w:lastRenderedPageBreak/>
        <w:t>the liquor,for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lastRenderedPageBreak/>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keepNext/>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keepNext/>
        <w:ind w:left="890" w:hanging="890"/>
      </w:pPr>
      <w:r>
        <w:tab/>
        <w:t xml:space="preserve">[Section 60 amended: No. 12 of 1998 s. 40 and 97(2); No. 73 of 2006 s. 43, 107 and 108; No. 56 of 2010 s. 13; No. 35 of 2015 s. 8; No. 9 of 2018 s. 32.] </w:t>
      </w:r>
    </w:p>
    <w:p>
      <w:pPr>
        <w:pStyle w:val="Heading5"/>
        <w:rPr>
          <w:snapToGrid w:val="0"/>
        </w:rPr>
      </w:pPr>
      <w:bookmarkStart w:id="120" w:name="_Toc93934628"/>
      <w:r>
        <w:rPr>
          <w:rStyle w:val="CharSectno"/>
        </w:rPr>
        <w:t>61</w:t>
      </w:r>
      <w:r>
        <w:rPr>
          <w:snapToGrid w:val="0"/>
        </w:rPr>
        <w:t>.</w:t>
      </w:r>
      <w:r>
        <w:rPr>
          <w:snapToGrid w:val="0"/>
        </w:rPr>
        <w:tab/>
        <w:t>Extended trading permit for extended area (s. 60(4)(h)), pre</w:t>
      </w:r>
      <w:r>
        <w:rPr>
          <w:snapToGrid w:val="0"/>
        </w:rPr>
        <w:noBreakHyphen/>
        <w:t>requisites for grant of</w:t>
      </w:r>
      <w:bookmarkEnd w:id="120"/>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 xml:space="preserve">the licensee will, at times when the sale of liquor under the permit is authorised, be entitled to use for that purpose the premises or area to which the permit sought </w:t>
      </w:r>
      <w:r>
        <w:t>relates.</w:t>
      </w:r>
    </w:p>
    <w:p>
      <w:pPr>
        <w:pStyle w:val="Ednotepara"/>
        <w:rPr>
          <w:snapToGrid w:val="0"/>
        </w:rPr>
      </w:pPr>
      <w:r>
        <w:rPr>
          <w:snapToGrid w:val="0"/>
        </w:rPr>
        <w:tab/>
        <w:t>[(d)</w:t>
      </w:r>
      <w:r>
        <w:rPr>
          <w:snapToGrid w:val="0"/>
        </w:rPr>
        <w:tab/>
        <w:t>deleted]</w:t>
      </w:r>
    </w:p>
    <w:p>
      <w:pPr>
        <w:pStyle w:val="Ednotesubsection"/>
      </w:pPr>
      <w:r>
        <w:tab/>
        <w:t>[(2)</w:t>
      </w:r>
      <w:r>
        <w:tab/>
        <w:t>deleted]</w:t>
      </w:r>
    </w:p>
    <w:p>
      <w:pPr>
        <w:pStyle w:val="Footnotesection"/>
        <w:ind w:left="890" w:hanging="890"/>
      </w:pPr>
      <w:r>
        <w:tab/>
        <w:t xml:space="preserve">[Section 61 amended: No. 14 of 1996 s. 4; No. 9 of 2018 s. 33.] </w:t>
      </w:r>
    </w:p>
    <w:p>
      <w:pPr>
        <w:pStyle w:val="Heading5"/>
      </w:pPr>
      <w:bookmarkStart w:id="121" w:name="_Toc93934629"/>
      <w:r>
        <w:rPr>
          <w:rStyle w:val="CharSectno"/>
        </w:rPr>
        <w:lastRenderedPageBreak/>
        <w:t>61A</w:t>
      </w:r>
      <w:r>
        <w:t>.</w:t>
      </w:r>
      <w:r>
        <w:tab/>
        <w:t>Extended trading permit for sale of liquor (s. 60(4)(ia))</w:t>
      </w:r>
      <w:bookmarkEnd w:id="121"/>
    </w:p>
    <w:p>
      <w:pPr>
        <w:pStyle w:val="Subsection"/>
        <w:keepNext/>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liquor;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liquor other than wine, the premises are located in the district where the liquor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liquor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lastRenderedPageBreak/>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liquor other than wine if the licensee does not already hold a cellar door permit for the purposes of the sale of liquor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(5A)</w:t>
      </w:r>
      <w:r>
        <w:tab/>
        <w:t xml:space="preserve">If a cellar door permit is issued in respect of the same premises to 2 or more licensees, those licensees are jointly and severally liable — </w:t>
      </w:r>
    </w:p>
    <w:p>
      <w:pPr>
        <w:pStyle w:val="Indenta"/>
      </w:pPr>
      <w:r>
        <w:tab/>
        <w:t>(a)</w:t>
      </w:r>
      <w:r>
        <w:tab/>
        <w:t>as licensee; and</w:t>
      </w:r>
    </w:p>
    <w:p>
      <w:pPr>
        <w:pStyle w:val="Indenta"/>
      </w:pPr>
      <w:r>
        <w:tab/>
        <w:t>(b)</w:t>
      </w:r>
      <w:r>
        <w:tab/>
        <w:t>in respect of any civil or criminal liability that attaches to the licensee under this Act.</w:t>
      </w:r>
    </w:p>
    <w:p>
      <w:pPr>
        <w:pStyle w:val="Subsection"/>
      </w:pPr>
      <w:r>
        <w:tab/>
        <w:t>(6)</w:t>
      </w:r>
      <w:r>
        <w:tab/>
        <w:t>The regulations may prescribe conditions that are to be taken to be attached to a cellar door permit unless otherwise specified in the permit.</w:t>
      </w:r>
    </w:p>
    <w:p>
      <w:pPr>
        <w:pStyle w:val="Footnotesection"/>
      </w:pPr>
      <w:r>
        <w:tab/>
        <w:t>[Section 61A inserted: No. 35 of 2015 s. 9; amended: No. 9 of 2018 s. 34.]</w:t>
      </w:r>
    </w:p>
    <w:p>
      <w:pPr>
        <w:pStyle w:val="Heading3"/>
        <w:keepLines/>
        <w:rPr>
          <w:snapToGrid w:val="0"/>
        </w:rPr>
      </w:pPr>
      <w:bookmarkStart w:id="122" w:name="_Toc93918085"/>
      <w:bookmarkStart w:id="123" w:name="_Toc93934630"/>
      <w:r>
        <w:rPr>
          <w:rStyle w:val="CharDivNo"/>
        </w:rPr>
        <w:t>Division 5</w:t>
      </w:r>
      <w:r>
        <w:rPr>
          <w:snapToGrid w:val="0"/>
        </w:rPr>
        <w:t> — </w:t>
      </w:r>
      <w:r>
        <w:rPr>
          <w:rStyle w:val="CharDivText"/>
        </w:rPr>
        <w:t>Conditional grants or approvals</w:t>
      </w:r>
      <w:bookmarkEnd w:id="122"/>
      <w:bookmarkEnd w:id="123"/>
      <w:r>
        <w:rPr>
          <w:rStyle w:val="CharDivText"/>
        </w:rPr>
        <w:t xml:space="preserve"> </w:t>
      </w:r>
    </w:p>
    <w:p>
      <w:pPr>
        <w:pStyle w:val="Footnoteheading"/>
        <w:keepNext/>
        <w:keepLines/>
        <w:rPr>
          <w:snapToGrid w:val="0"/>
        </w:rPr>
      </w:pPr>
      <w:r>
        <w:rPr>
          <w:snapToGrid w:val="0"/>
        </w:rPr>
        <w:tab/>
        <w:t>[Heading amended: No. 12 of 1998 s. 41.]</w:t>
      </w:r>
    </w:p>
    <w:p>
      <w:pPr>
        <w:pStyle w:val="Heading5"/>
        <w:rPr>
          <w:snapToGrid w:val="0"/>
        </w:rPr>
      </w:pPr>
      <w:bookmarkStart w:id="124" w:name="_Toc93934631"/>
      <w:r>
        <w:rPr>
          <w:rStyle w:val="CharSectno"/>
        </w:rPr>
        <w:t>62</w:t>
      </w:r>
      <w:r>
        <w:rPr>
          <w:snapToGrid w:val="0"/>
        </w:rPr>
        <w:t>.</w:t>
      </w:r>
      <w:r>
        <w:rPr>
          <w:snapToGrid w:val="0"/>
        </w:rPr>
        <w:tab/>
        <w:t>Uncompleted premises, conditional grant or removal in case of</w:t>
      </w:r>
      <w:bookmarkEnd w:id="124"/>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lastRenderedPageBreak/>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lastRenderedPageBreak/>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lastRenderedPageBreak/>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No. 12 of 1998 s. 42.] </w:t>
      </w:r>
    </w:p>
    <w:p>
      <w:pPr>
        <w:pStyle w:val="Heading5"/>
        <w:spacing w:before="180"/>
        <w:rPr>
          <w:snapToGrid w:val="0"/>
        </w:rPr>
      </w:pPr>
      <w:bookmarkStart w:id="125" w:name="_Toc93934632"/>
      <w:r>
        <w:rPr>
          <w:rStyle w:val="CharSectno"/>
        </w:rPr>
        <w:lastRenderedPageBreak/>
        <w:t>62A</w:t>
      </w:r>
      <w:r>
        <w:rPr>
          <w:snapToGrid w:val="0"/>
        </w:rPr>
        <w:t>.</w:t>
      </w:r>
      <w:r>
        <w:rPr>
          <w:snapToGrid w:val="0"/>
        </w:rPr>
        <w:tab/>
        <w:t>Pending certificate (s. 39 or 40) etc., conditional grant in case of</w:t>
      </w:r>
      <w:bookmarkEnd w:id="125"/>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No. 12 of 1998 s. 42.] </w:t>
      </w:r>
    </w:p>
    <w:p>
      <w:pPr>
        <w:pStyle w:val="Heading5"/>
        <w:spacing w:before="160"/>
        <w:rPr>
          <w:snapToGrid w:val="0"/>
        </w:rPr>
      </w:pPr>
      <w:bookmarkStart w:id="126" w:name="_Toc93934633"/>
      <w:r>
        <w:rPr>
          <w:rStyle w:val="CharSectno"/>
        </w:rPr>
        <w:t>62B</w:t>
      </w:r>
      <w:r>
        <w:rPr>
          <w:snapToGrid w:val="0"/>
        </w:rPr>
        <w:t>.</w:t>
      </w:r>
      <w:r>
        <w:rPr>
          <w:snapToGrid w:val="0"/>
        </w:rPr>
        <w:tab/>
        <w:t>Pending approval etc. (s. 77(5)), conditional approval of alteration etc. in case of</w:t>
      </w:r>
      <w:bookmarkEnd w:id="126"/>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lastRenderedPageBreak/>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No. 12 of 1998 </w:t>
      </w:r>
      <w:r>
        <w:t xml:space="preserve">s. 42.] </w:t>
      </w:r>
    </w:p>
    <w:p>
      <w:pPr>
        <w:pStyle w:val="Heading3"/>
        <w:keepLines/>
        <w:rPr>
          <w:snapToGrid w:val="0"/>
        </w:rPr>
      </w:pPr>
      <w:bookmarkStart w:id="127" w:name="_Toc93918089"/>
      <w:bookmarkStart w:id="128" w:name="_Toc93934634"/>
      <w:r>
        <w:rPr>
          <w:rStyle w:val="CharDivNo"/>
        </w:rPr>
        <w:t>Division 6</w:t>
      </w:r>
      <w:r>
        <w:rPr>
          <w:snapToGrid w:val="0"/>
        </w:rPr>
        <w:t> — </w:t>
      </w:r>
      <w:r>
        <w:rPr>
          <w:rStyle w:val="CharDivText"/>
        </w:rPr>
        <w:t>Conditions, generally</w:t>
      </w:r>
      <w:bookmarkEnd w:id="127"/>
      <w:bookmarkEnd w:id="128"/>
      <w:r>
        <w:rPr>
          <w:rStyle w:val="CharDivText"/>
        </w:rPr>
        <w:t xml:space="preserve"> </w:t>
      </w:r>
    </w:p>
    <w:p>
      <w:pPr>
        <w:pStyle w:val="Heading5"/>
        <w:rPr>
          <w:snapToGrid w:val="0"/>
        </w:rPr>
      </w:pPr>
      <w:bookmarkStart w:id="129" w:name="_Toc93934635"/>
      <w:r>
        <w:rPr>
          <w:rStyle w:val="CharSectno"/>
        </w:rPr>
        <w:t>63</w:t>
      </w:r>
      <w:r>
        <w:rPr>
          <w:snapToGrid w:val="0"/>
        </w:rPr>
        <w:t>.</w:t>
      </w:r>
      <w:r>
        <w:rPr>
          <w:snapToGrid w:val="0"/>
        </w:rPr>
        <w:tab/>
        <w:t>Terms fixed and conditions imposed by Act, only some can be varied etc.</w:t>
      </w:r>
      <w:bookmarkEnd w:id="129"/>
    </w:p>
    <w:p>
      <w:pPr>
        <w:pStyle w:val="Subsection"/>
        <w:keepNext/>
        <w:rPr>
          <w:snapToGrid w:val="0"/>
        </w:rPr>
      </w:pPr>
      <w:r>
        <w:rPr>
          <w:snapToGrid w:val="0"/>
        </w:rPr>
        <w:tab/>
      </w:r>
      <w:r>
        <w:rPr>
          <w:snapToGrid w:val="0"/>
        </w:rPr>
        <w:tab/>
        <w:t>The licensing authority may, of its own motion or on the application of the licensee — </w:t>
      </w:r>
    </w:p>
    <w:p>
      <w:pPr>
        <w:pStyle w:val="Indenta"/>
        <w:keepNext/>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lastRenderedPageBreak/>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No. 12 of 1998 s. 43; No. 73 of 2006 s. 45.] </w:t>
      </w:r>
    </w:p>
    <w:p>
      <w:pPr>
        <w:pStyle w:val="Heading5"/>
        <w:rPr>
          <w:snapToGrid w:val="0"/>
        </w:rPr>
      </w:pPr>
      <w:bookmarkStart w:id="130" w:name="_Toc93934636"/>
      <w:r>
        <w:rPr>
          <w:rStyle w:val="CharSectno"/>
        </w:rPr>
        <w:t>64</w:t>
      </w:r>
      <w:r>
        <w:rPr>
          <w:snapToGrid w:val="0"/>
        </w:rPr>
        <w:t>.</w:t>
      </w:r>
      <w:r>
        <w:rPr>
          <w:snapToGrid w:val="0"/>
        </w:rPr>
        <w:tab/>
        <w:t>Imposing, varying and cancelling conditions</w:t>
      </w:r>
      <w:bookmarkEnd w:id="130"/>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lastRenderedPageBreak/>
        <w:tab/>
        <w:t>(1b)</w:t>
      </w:r>
      <w:r>
        <w:tab/>
        <w:t xml:space="preserve">In subsection (1a) — </w:t>
      </w:r>
    </w:p>
    <w:p>
      <w:pPr>
        <w:pStyle w:val="Defstart"/>
        <w:keepNex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pPr>
      <w:r>
        <w:t>(1BA)</w:t>
      </w:r>
      <w:r>
        <w:tab/>
        <w:t>An application under subsection (1a)(b) to vary a condition must be made not later than the prescribed number of days before the variation is proposed to take effect, unless the Director otherwise approves.</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Chief Health Officer;</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lastRenderedPageBreak/>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keepNext/>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keepNext/>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lastRenderedPageBreak/>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keepNext/>
        <w:rPr>
          <w:snapToGrid w:val="0"/>
        </w:rPr>
      </w:pPr>
      <w:r>
        <w:rPr>
          <w:snapToGrid w:val="0"/>
        </w:rPr>
        <w:tab/>
        <w:t>(e)</w:t>
      </w:r>
      <w:r>
        <w:rPr>
          <w:snapToGrid w:val="0"/>
        </w:rPr>
        <w:tab/>
        <w:t>limit — </w:t>
      </w:r>
    </w:p>
    <w:p>
      <w:pPr>
        <w:pStyle w:val="Indenti"/>
        <w:keepNext/>
        <w:rPr>
          <w:snapToGrid w:val="0"/>
        </w:rPr>
      </w:pPr>
      <w:r>
        <w:rPr>
          <w:snapToGrid w:val="0"/>
        </w:rPr>
        <w:tab/>
        <w:t>(i)</w:t>
      </w:r>
      <w:r>
        <w:rPr>
          <w:snapToGrid w:val="0"/>
        </w:rPr>
        <w:tab/>
        <w:t>the kinds of liquor that may be sold;</w:t>
      </w:r>
    </w:p>
    <w:p>
      <w:pPr>
        <w:pStyle w:val="Indenti"/>
        <w:keepNext/>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 xml:space="preserve">prohibit the provision of entertainment, or limit the kind of entertainment that may be provided, on, or in an area </w:t>
      </w:r>
      <w:r>
        <w:rPr>
          <w:snapToGrid w:val="0"/>
        </w:rPr>
        <w:lastRenderedPageBreak/>
        <w:t>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lastRenderedPageBreak/>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 No. 56 of 1997 s. 31; No. 12 of 1998 s. 44; No. 73 of 2006 s. 46; No. 56 of 2010 s. 44; No. 35 of 2015 s. 10</w:t>
      </w:r>
      <w:r>
        <w:rPr>
          <w:spacing w:val="-4"/>
        </w:rPr>
        <w:t>; No. 19 of 2016 s. 163; No. 9 of 2018 s. 35</w:t>
      </w:r>
      <w:r>
        <w:t xml:space="preserve">.] </w:t>
      </w:r>
    </w:p>
    <w:p>
      <w:pPr>
        <w:pStyle w:val="Heading5"/>
        <w:spacing w:before="240"/>
        <w:rPr>
          <w:snapToGrid w:val="0"/>
        </w:rPr>
      </w:pPr>
      <w:bookmarkStart w:id="131" w:name="_Toc93934637"/>
      <w:r>
        <w:rPr>
          <w:rStyle w:val="CharSectno"/>
        </w:rPr>
        <w:t>65</w:t>
      </w:r>
      <w:r>
        <w:rPr>
          <w:snapToGrid w:val="0"/>
        </w:rPr>
        <w:t>.</w:t>
      </w:r>
      <w:r>
        <w:rPr>
          <w:snapToGrid w:val="0"/>
        </w:rPr>
        <w:tab/>
      </w:r>
      <w:r>
        <w:t>Conditions relating to sale and delivery of packaged liquor or liquor for consumption off licensed premises</w:t>
      </w:r>
      <w:bookmarkEnd w:id="131"/>
    </w:p>
    <w:p>
      <w:pPr>
        <w:pStyle w:val="Subsection"/>
      </w:pPr>
      <w:r>
        <w:tab/>
        <w:t>(1)</w:t>
      </w:r>
      <w:r>
        <w:tab/>
        <w:t xml:space="preserve">Subject to subsection (3), a licence or permit that authorises the sale of packaged liquor or of liquor for consumption off the licensed premises is subject to the following conditions — </w:t>
      </w:r>
    </w:p>
    <w:p>
      <w:pPr>
        <w:pStyle w:val="Indenta"/>
      </w:pPr>
      <w:r>
        <w:tab/>
        <w:t>(a)</w:t>
      </w:r>
      <w:r>
        <w:tab/>
        <w:t xml:space="preserve">that the liquor sold — </w:t>
      </w:r>
    </w:p>
    <w:p>
      <w:pPr>
        <w:pStyle w:val="Indenti"/>
      </w:pPr>
      <w:r>
        <w:tab/>
        <w:t>(i)</w:t>
      </w:r>
      <w:r>
        <w:tab/>
        <w:t>must be consigned to the purchaser at, and delivered on or from, the licensed premises, unless the Director otherwise approves; and</w:t>
      </w:r>
    </w:p>
    <w:p>
      <w:pPr>
        <w:pStyle w:val="Indenti"/>
        <w:rPr>
          <w:szCs w:val="24"/>
        </w:rPr>
      </w:pPr>
      <w:r>
        <w:tab/>
        <w:t>(ii)</w:t>
      </w:r>
      <w:r>
        <w:tab/>
        <w:t>must be delivered in sealed containers; and</w:t>
      </w:r>
    </w:p>
    <w:p>
      <w:pPr>
        <w:pStyle w:val="Indenti"/>
      </w:pPr>
      <w:r>
        <w:lastRenderedPageBreak/>
        <w:tab/>
        <w:t>(iii)</w:t>
      </w:r>
      <w:r>
        <w:tab/>
        <w:t>must not, unless an extended trading permit or a special facility licence so authorises, be or be permitted to be consumed on or, except in the case of liquor sold under section 55, in the immediate proximity of the licensed premises;</w:t>
      </w:r>
    </w:p>
    <w:p>
      <w:pPr>
        <w:pStyle w:val="Indenta"/>
      </w:pPr>
      <w:r>
        <w:tab/>
        <w:t>(b)</w:t>
      </w:r>
      <w:r>
        <w:tab/>
        <w:t>that the prescribed requirements relating to sale and delivery must be complied with.</w:t>
      </w:r>
    </w:p>
    <w:p>
      <w:pPr>
        <w:pStyle w:val="Subsection"/>
      </w:pPr>
      <w:r>
        <w:tab/>
        <w:t>(1A)</w:t>
      </w:r>
      <w:r>
        <w:tab/>
        <w:t>A person who contravenes a condition referred to in subsection (1) commits an offence.</w:t>
      </w:r>
    </w:p>
    <w:p>
      <w:pPr>
        <w:pStyle w:val="Penstart"/>
      </w:pPr>
      <w:r>
        <w:tab/>
        <w:t>Penalty for this subsection: a fine of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lastRenderedPageBreak/>
        <w:tab/>
        <w:t xml:space="preserve">[Section 65 amended: No. 12 of 1998 s. 45; No. 56 of 2010 s. 69; No. 9 of 2018 s. 36.] </w:t>
      </w:r>
    </w:p>
    <w:p>
      <w:pPr>
        <w:pStyle w:val="Heading5"/>
        <w:spacing w:before="180"/>
      </w:pPr>
      <w:bookmarkStart w:id="132" w:name="_Toc93934638"/>
      <w:r>
        <w:rPr>
          <w:rStyle w:val="CharSectno"/>
        </w:rPr>
        <w:t>65A</w:t>
      </w:r>
      <w:r>
        <w:t>.</w:t>
      </w:r>
      <w:r>
        <w:tab/>
        <w:t>Petrol station not to be established on premises from which packaged liquor is sold</w:t>
      </w:r>
      <w:bookmarkEnd w:id="132"/>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No. 23 of 2000 s. 6.]</w:t>
      </w:r>
    </w:p>
    <w:p>
      <w:pPr>
        <w:pStyle w:val="Heading5"/>
      </w:pPr>
      <w:bookmarkStart w:id="133" w:name="_Toc93934639"/>
      <w:r>
        <w:rPr>
          <w:rStyle w:val="CharSectno"/>
        </w:rPr>
        <w:t>65B</w:t>
      </w:r>
      <w:r>
        <w:t>.</w:t>
      </w:r>
      <w:r>
        <w:tab/>
        <w:t>Promoting liquor, regulations may prescribe conditions about</w:t>
      </w:r>
      <w:bookmarkEnd w:id="133"/>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lastRenderedPageBreak/>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No. 73 of 2006 s. 47.]</w:t>
      </w:r>
    </w:p>
    <w:p>
      <w:pPr>
        <w:pStyle w:val="Heading3"/>
        <w:rPr>
          <w:snapToGrid w:val="0"/>
        </w:rPr>
      </w:pPr>
      <w:bookmarkStart w:id="134" w:name="_Toc93918095"/>
      <w:bookmarkStart w:id="135" w:name="_Toc93934640"/>
      <w:r>
        <w:rPr>
          <w:rStyle w:val="CharDivNo"/>
        </w:rPr>
        <w:t>Division 7</w:t>
      </w:r>
      <w:r>
        <w:rPr>
          <w:snapToGrid w:val="0"/>
        </w:rPr>
        <w:t> — </w:t>
      </w:r>
      <w:r>
        <w:rPr>
          <w:rStyle w:val="CharDivText"/>
        </w:rPr>
        <w:t>Applications</w:t>
      </w:r>
      <w:bookmarkEnd w:id="134"/>
      <w:bookmarkEnd w:id="135"/>
      <w:r>
        <w:rPr>
          <w:rStyle w:val="CharDivText"/>
        </w:rPr>
        <w:t xml:space="preserve"> </w:t>
      </w:r>
    </w:p>
    <w:p>
      <w:pPr>
        <w:pStyle w:val="Heading5"/>
        <w:rPr>
          <w:snapToGrid w:val="0"/>
        </w:rPr>
      </w:pPr>
      <w:bookmarkStart w:id="136" w:name="_Toc93934641"/>
      <w:r>
        <w:rPr>
          <w:rStyle w:val="CharSectno"/>
        </w:rPr>
        <w:t>66</w:t>
      </w:r>
      <w:r>
        <w:rPr>
          <w:snapToGrid w:val="0"/>
        </w:rPr>
        <w:t>.</w:t>
      </w:r>
      <w:r>
        <w:rPr>
          <w:snapToGrid w:val="0"/>
        </w:rPr>
        <w:tab/>
        <w:t>Plans and specifications of premises, requirements as to</w:t>
      </w:r>
      <w:bookmarkEnd w:id="136"/>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lastRenderedPageBreak/>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No. 12 of 1998 s. 46.] </w:t>
      </w:r>
    </w:p>
    <w:p>
      <w:pPr>
        <w:pStyle w:val="Heading5"/>
        <w:rPr>
          <w:snapToGrid w:val="0"/>
        </w:rPr>
      </w:pPr>
      <w:bookmarkStart w:id="137" w:name="_Toc93934642"/>
      <w:r>
        <w:rPr>
          <w:rStyle w:val="CharSectno"/>
        </w:rPr>
        <w:t>67</w:t>
      </w:r>
      <w:r>
        <w:rPr>
          <w:snapToGrid w:val="0"/>
        </w:rPr>
        <w:t>.</w:t>
      </w:r>
      <w:r>
        <w:rPr>
          <w:snapToGrid w:val="0"/>
        </w:rPr>
        <w:tab/>
        <w:t>Advertisement of applications</w:t>
      </w:r>
      <w:bookmarkEnd w:id="137"/>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pPr>
      <w:r>
        <w:tab/>
        <w:t>(5)</w:t>
      </w:r>
      <w:r>
        <w:tab/>
        <w:t>If an application is required to be advertised, the Director must cause a copy of the notice of application to be published on the Department’s website.</w:t>
      </w:r>
    </w:p>
    <w:p>
      <w:pPr>
        <w:pStyle w:val="Footnotesection"/>
      </w:pPr>
      <w:r>
        <w:tab/>
        <w:t xml:space="preserve">[Section 67 amended: No. 12 of 1998 s. 47; No. 73 of 2006 s. 48; No. 56 of 2010 s. 45; No. 9 of 2018 s. 37.] </w:t>
      </w:r>
    </w:p>
    <w:p>
      <w:pPr>
        <w:pStyle w:val="Heading5"/>
        <w:rPr>
          <w:snapToGrid w:val="0"/>
        </w:rPr>
      </w:pPr>
      <w:bookmarkStart w:id="138" w:name="_Toc93934643"/>
      <w:r>
        <w:rPr>
          <w:rStyle w:val="CharSectno"/>
        </w:rPr>
        <w:t>68</w:t>
      </w:r>
      <w:r>
        <w:rPr>
          <w:snapToGrid w:val="0"/>
        </w:rPr>
        <w:t>.</w:t>
      </w:r>
      <w:r>
        <w:rPr>
          <w:snapToGrid w:val="0"/>
        </w:rPr>
        <w:tab/>
        <w:t>Form, manner, notice and public inspection of applications</w:t>
      </w:r>
      <w:bookmarkEnd w:id="138"/>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lastRenderedPageBreak/>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 xml:space="preserve">any consent required under </w:t>
      </w:r>
      <w:r>
        <w:t>section 72;</w:t>
      </w:r>
    </w:p>
    <w:p>
      <w:pPr>
        <w:pStyle w:val="Ednotesubpara"/>
      </w:pPr>
      <w:r>
        <w:tab/>
        <w:t>[(v)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w:t>
      </w:r>
      <w:r>
        <w:t xml:space="preserve">(1)(b)(iii) and (iv) </w:t>
      </w:r>
      <w:r>
        <w:rPr>
          <w:snapToGrid w:val="0"/>
        </w:rPr>
        <w:t>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No. 73 of 2006 s. 49 and 111(2); No. 9 of 2018 s. 38.]</w:t>
      </w:r>
    </w:p>
    <w:p>
      <w:pPr>
        <w:pStyle w:val="Heading5"/>
        <w:spacing w:before="180"/>
        <w:rPr>
          <w:snapToGrid w:val="0"/>
        </w:rPr>
      </w:pPr>
      <w:bookmarkStart w:id="139" w:name="_Toc93934644"/>
      <w:r>
        <w:rPr>
          <w:rStyle w:val="CharSectno"/>
        </w:rPr>
        <w:t>69</w:t>
      </w:r>
      <w:r>
        <w:rPr>
          <w:snapToGrid w:val="0"/>
        </w:rPr>
        <w:t>.</w:t>
      </w:r>
      <w:r>
        <w:rPr>
          <w:snapToGrid w:val="0"/>
        </w:rPr>
        <w:tab/>
        <w:t>Advertising, referring, investigating and intervening in applications</w:t>
      </w:r>
      <w:bookmarkEnd w:id="139"/>
    </w:p>
    <w:p>
      <w:pPr>
        <w:pStyle w:val="Subsection"/>
        <w:rPr>
          <w:snapToGrid w:val="0"/>
        </w:rPr>
      </w:pPr>
      <w:r>
        <w:rPr>
          <w:snapToGrid w:val="0"/>
        </w:rPr>
        <w:tab/>
        <w:t>(1)</w:t>
      </w:r>
      <w:r>
        <w:rPr>
          <w:snapToGrid w:val="0"/>
        </w:rPr>
        <w:tab/>
        <w:t>Every notice of application must be lodged with the Director.</w:t>
      </w:r>
    </w:p>
    <w:p>
      <w:pPr>
        <w:pStyle w:val="Subsection"/>
      </w:pPr>
      <w:r>
        <w:lastRenderedPageBreak/>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Ednotesubsection"/>
      </w:pPr>
      <w:r>
        <w:tab/>
        <w:t>[(5)</w:t>
      </w:r>
      <w:r>
        <w:tab/>
        <w:t>deleted]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lastRenderedPageBreak/>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as to 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 xml:space="preserve">on the question of whether, if a particular application were granted, persons who reside, work or worship in </w:t>
      </w:r>
      <w:r>
        <w:rPr>
          <w:snapToGrid w:val="0"/>
        </w:rPr>
        <w:lastRenderedPageBreak/>
        <w:t>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(Miscellaneous Provisions)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pPr>
      <w:r>
        <w:t>(8AA)</w:t>
      </w:r>
      <w:r>
        <w:tab/>
        <w:t xml:space="preserve">The chief executive officer appointed under the </w:t>
      </w:r>
      <w:r>
        <w:rPr>
          <w:i/>
        </w:rPr>
        <w:t>Western Australian Tourism Commission Act 1983</w:t>
      </w:r>
      <w:r>
        <w:t xml:space="preserve"> section 17 may intervene in proceedings before the licensing authority for the purpose of introducing evidence or making representations — </w:t>
      </w:r>
    </w:p>
    <w:p>
      <w:pPr>
        <w:pStyle w:val="Indenta"/>
      </w:pPr>
      <w:r>
        <w:tab/>
        <w:t>(a)</w:t>
      </w:r>
      <w:r>
        <w:tab/>
        <w:t>as to whether any tourism benefits might result if a particular application is granted; and</w:t>
      </w:r>
    </w:p>
    <w:p>
      <w:pPr>
        <w:pStyle w:val="Indenta"/>
      </w:pPr>
      <w:r>
        <w:tab/>
        <w:t>(b)</w:t>
      </w:r>
      <w:r>
        <w:tab/>
        <w:t>as to any other matter relevant to the proper development of the tourism industry in the State.</w:t>
      </w:r>
    </w:p>
    <w:p>
      <w:pPr>
        <w:pStyle w:val="Subsection"/>
        <w:keepNext/>
      </w:pPr>
      <w:r>
        <w:tab/>
        <w:t>(8a)</w:t>
      </w:r>
      <w:r>
        <w:tab/>
        <w:t xml:space="preserve">The Chief Health Officer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lastRenderedPageBreak/>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Chief Health Officer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snapToGrid w:val="0"/>
        </w:rPr>
        <w:t>Health (Miscellaneous Provisions)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lastRenderedPageBreak/>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No. 14 of 1996 s. 4; No. 12 of 1998 s. 10(9) and 48; No. 73 of 2006 s. 50; No. 43 of 2008 s. 148(3); No. 56 of 2010 s. 29 and 46; No. 24 of 2011 s. 165(3); No. 35 of 2015 s. 11; No. 19 of 2016 s. 101 and 164; No. 9 of 2018 s. 39.] </w:t>
      </w:r>
    </w:p>
    <w:p>
      <w:pPr>
        <w:pStyle w:val="Heading5"/>
        <w:keepLines w:val="0"/>
        <w:spacing w:before="180"/>
        <w:rPr>
          <w:snapToGrid w:val="0"/>
        </w:rPr>
      </w:pPr>
      <w:bookmarkStart w:id="140" w:name="_Toc93934645"/>
      <w:r>
        <w:rPr>
          <w:rStyle w:val="CharSectno"/>
        </w:rPr>
        <w:lastRenderedPageBreak/>
        <w:t>70</w:t>
      </w:r>
      <w:r>
        <w:rPr>
          <w:snapToGrid w:val="0"/>
        </w:rPr>
        <w:t>.</w:t>
      </w:r>
      <w:r>
        <w:rPr>
          <w:snapToGrid w:val="0"/>
        </w:rPr>
        <w:tab/>
        <w:t>Club licence applications, intervening in</w:t>
      </w:r>
      <w:bookmarkEnd w:id="140"/>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 xml:space="preserve">The matters in relation to which a person to whom </w:t>
      </w:r>
      <w:r>
        <w:t>this section</w:t>
      </w:r>
      <w:r>
        <w:rPr>
          <w:snapToGrid w:val="0"/>
        </w:rPr>
        <w:t xml:space="preserve">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Footnotesection"/>
      </w:pPr>
      <w:r>
        <w:tab/>
        <w:t>[Section 70 amended: No. 9 of 2018 s. 40.]</w:t>
      </w:r>
    </w:p>
    <w:p>
      <w:pPr>
        <w:pStyle w:val="Ednotesection"/>
        <w:spacing w:before="240"/>
      </w:pPr>
      <w:r>
        <w:t>[</w:t>
      </w:r>
      <w:r>
        <w:rPr>
          <w:b/>
        </w:rPr>
        <w:t>71.</w:t>
      </w:r>
      <w:r>
        <w:tab/>
        <w:t>Deleted: No. 73 of 2006 s. 51.]</w:t>
      </w:r>
    </w:p>
    <w:p>
      <w:pPr>
        <w:pStyle w:val="Heading5"/>
        <w:spacing w:before="240"/>
        <w:rPr>
          <w:snapToGrid w:val="0"/>
        </w:rPr>
      </w:pPr>
      <w:bookmarkStart w:id="141" w:name="_Toc93934646"/>
      <w:r>
        <w:rPr>
          <w:rStyle w:val="CharSectno"/>
        </w:rPr>
        <w:t>72</w:t>
      </w:r>
      <w:r>
        <w:rPr>
          <w:snapToGrid w:val="0"/>
        </w:rPr>
        <w:t>.</w:t>
      </w:r>
      <w:r>
        <w:rPr>
          <w:snapToGrid w:val="0"/>
        </w:rPr>
        <w:tab/>
        <w:t>Owner etc. of premises, when consent of required; right of owner, lessee etc. to object</w:t>
      </w:r>
      <w:bookmarkEnd w:id="141"/>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lastRenderedPageBreak/>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No. 12 of 1998 s. 50; No. 73 of 2006 s. 52.] </w:t>
      </w:r>
    </w:p>
    <w:p>
      <w:pPr>
        <w:pStyle w:val="Heading5"/>
      </w:pPr>
      <w:bookmarkStart w:id="142" w:name="_Toc93934647"/>
      <w:r>
        <w:rPr>
          <w:rStyle w:val="CharSectno"/>
        </w:rPr>
        <w:t>72A</w:t>
      </w:r>
      <w:r>
        <w:t>.</w:t>
      </w:r>
      <w:r>
        <w:tab/>
        <w:t>Submissions generally</w:t>
      </w:r>
      <w:bookmarkEnd w:id="142"/>
    </w:p>
    <w:p>
      <w:pPr>
        <w:pStyle w:val="Subsection"/>
        <w:keepNext/>
      </w:pPr>
      <w:r>
        <w:tab/>
        <w:t>(1)</w:t>
      </w:r>
      <w:r>
        <w:tab/>
        <w:t xml:space="preserve">In this section — </w:t>
      </w:r>
    </w:p>
    <w:p>
      <w:pPr>
        <w:pStyle w:val="Defstart"/>
        <w:keepNext/>
      </w:pPr>
      <w:r>
        <w:tab/>
      </w:r>
      <w:r>
        <w:rPr>
          <w:rStyle w:val="CharDefText"/>
        </w:rPr>
        <w:t>submission</w:t>
      </w:r>
      <w:r>
        <w:t xml:space="preserve"> means — </w:t>
      </w:r>
    </w:p>
    <w:p>
      <w:pPr>
        <w:pStyle w:val="Defpara"/>
        <w:keepNext/>
      </w:pPr>
      <w:r>
        <w:tab/>
        <w:t>(a)</w:t>
      </w:r>
      <w:r>
        <w:tab/>
        <w:t>a submission made by a person in support of an application; or</w:t>
      </w:r>
    </w:p>
    <w:p>
      <w:pPr>
        <w:pStyle w:val="Defpara"/>
      </w:pPr>
      <w:r>
        <w:tab/>
        <w:t>(b)</w:t>
      </w:r>
      <w:r>
        <w:tab/>
        <w:t>a submission made by a person in opposition to an application, but does not include an objection to an application lodged with the Director under section 73.</w:t>
      </w:r>
    </w:p>
    <w:p>
      <w:pPr>
        <w:pStyle w:val="Subsection"/>
      </w:pPr>
      <w:r>
        <w:tab/>
        <w:t>(2)</w:t>
      </w:r>
      <w:r>
        <w:tab/>
        <w:t>A person who makes a submission to the Director is not a party to proceedings.</w:t>
      </w:r>
    </w:p>
    <w:p>
      <w:pPr>
        <w:pStyle w:val="Subsection"/>
      </w:pPr>
      <w:r>
        <w:lastRenderedPageBreak/>
        <w:tab/>
        <w:t>(3)</w:t>
      </w:r>
      <w:r>
        <w:tab/>
        <w:t>Subsection (2) does not apply to a person who intervenes in proceedings relating to an application.</w:t>
      </w:r>
    </w:p>
    <w:p>
      <w:pPr>
        <w:pStyle w:val="Subsection"/>
      </w:pPr>
      <w:r>
        <w:tab/>
        <w:t>(4)</w:t>
      </w:r>
      <w:r>
        <w:tab/>
        <w:t>The Director may, but need not, acknowledge receipt of a submission.</w:t>
      </w:r>
    </w:p>
    <w:p>
      <w:pPr>
        <w:pStyle w:val="Subsection"/>
      </w:pPr>
      <w:r>
        <w:tab/>
        <w:t>(5)</w:t>
      </w:r>
      <w:r>
        <w:tab/>
        <w:t>Sections 73 and 74 do not apply to a submission made in opposition to an application.</w:t>
      </w:r>
    </w:p>
    <w:p>
      <w:pPr>
        <w:pStyle w:val="Footnotesection"/>
      </w:pPr>
      <w:r>
        <w:tab/>
        <w:t>[Section 72A inserted: No. 9 of 2018 s. 41.]</w:t>
      </w:r>
    </w:p>
    <w:p>
      <w:pPr>
        <w:pStyle w:val="Heading5"/>
        <w:rPr>
          <w:snapToGrid w:val="0"/>
        </w:rPr>
      </w:pPr>
      <w:bookmarkStart w:id="143" w:name="_Toc93934648"/>
      <w:r>
        <w:rPr>
          <w:rStyle w:val="CharSectno"/>
        </w:rPr>
        <w:t>73</w:t>
      </w:r>
      <w:r>
        <w:rPr>
          <w:snapToGrid w:val="0"/>
        </w:rPr>
        <w:t>.</w:t>
      </w:r>
      <w:r>
        <w:rPr>
          <w:snapToGrid w:val="0"/>
        </w:rPr>
        <w:tab/>
        <w:t>Objecting to applications, general right and rules as to</w:t>
      </w:r>
      <w:bookmarkEnd w:id="143"/>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pPr>
      <w:r>
        <w:tab/>
        <w:t>(4A)</w:t>
      </w:r>
      <w:r>
        <w:tab/>
        <w:t>The Director must serve a copy of a notice lodged under subsection (4) on the applicant, unless section 30(4)(a) applies.</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lastRenderedPageBreak/>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No. 12 of 1998 s. 16(2) and 51; No. 73 of 2006 s. 53, 111(3) and (4); No. 9 of 2018 s. 42.] </w:t>
      </w:r>
    </w:p>
    <w:p>
      <w:pPr>
        <w:pStyle w:val="Heading5"/>
        <w:rPr>
          <w:snapToGrid w:val="0"/>
        </w:rPr>
      </w:pPr>
      <w:bookmarkStart w:id="144" w:name="_Toc93934649"/>
      <w:r>
        <w:rPr>
          <w:rStyle w:val="CharSectno"/>
        </w:rPr>
        <w:lastRenderedPageBreak/>
        <w:t>74</w:t>
      </w:r>
      <w:r>
        <w:rPr>
          <w:snapToGrid w:val="0"/>
        </w:rPr>
        <w:t>.</w:t>
      </w:r>
      <w:r>
        <w:rPr>
          <w:snapToGrid w:val="0"/>
        </w:rPr>
        <w:tab/>
        <w:t>Objecting to applications, grounds for etc.</w:t>
      </w:r>
      <w:bookmarkEnd w:id="144"/>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lastRenderedPageBreak/>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 xml:space="preserve">the Director shall give notice of the determination to the objector not later than 7 days before the day appointed for the </w:t>
      </w:r>
      <w:r>
        <w:rPr>
          <w:snapToGrid w:val="0"/>
        </w:rPr>
        <w:lastRenderedPageBreak/>
        <w:t>hearing of the application and the objection shall not then be heard.</w:t>
      </w:r>
    </w:p>
    <w:p>
      <w:pPr>
        <w:pStyle w:val="Subsection"/>
      </w:pPr>
      <w:r>
        <w:tab/>
        <w:t>(5)</w:t>
      </w:r>
      <w:r>
        <w:tab/>
        <w:t>A determination made by the Director under subsection (4) is not subject to review under section 25.</w:t>
      </w:r>
    </w:p>
    <w:p>
      <w:pPr>
        <w:pStyle w:val="Footnotesection"/>
      </w:pPr>
      <w:r>
        <w:tab/>
        <w:t xml:space="preserve">[Section 74 amended: No. 12 of 1998 s. 10(10) and 52; No. 73 of 2006 s. 54; No. 9 of 2018 s. 43.] </w:t>
      </w:r>
    </w:p>
    <w:p>
      <w:pPr>
        <w:pStyle w:val="Heading5"/>
        <w:spacing w:before="240"/>
        <w:rPr>
          <w:snapToGrid w:val="0"/>
        </w:rPr>
      </w:pPr>
      <w:bookmarkStart w:id="145" w:name="_Toc93934650"/>
      <w:r>
        <w:rPr>
          <w:rStyle w:val="CharSectno"/>
        </w:rPr>
        <w:t>75</w:t>
      </w:r>
      <w:r>
        <w:rPr>
          <w:snapToGrid w:val="0"/>
        </w:rPr>
        <w:t>.</w:t>
      </w:r>
      <w:r>
        <w:rPr>
          <w:snapToGrid w:val="0"/>
        </w:rPr>
        <w:tab/>
        <w:t>Occasional licence, applications for</w:t>
      </w:r>
      <w:bookmarkEnd w:id="145"/>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pPr>
      <w:r>
        <w:tab/>
        <w:t>(b)</w:t>
      </w:r>
      <w: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keepNext/>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keepNext/>
        <w:ind w:left="890" w:hanging="890"/>
      </w:pPr>
      <w:r>
        <w:tab/>
        <w:t xml:space="preserve">[Section 75 amended: No. 12 of 1998 s. 53; No. 73 of 2006 s. 55, 106 and 111(5); No. 9 of 2018 s. 44.] </w:t>
      </w:r>
    </w:p>
    <w:p>
      <w:pPr>
        <w:pStyle w:val="Heading5"/>
        <w:keepLines w:val="0"/>
        <w:spacing w:before="240"/>
        <w:rPr>
          <w:snapToGrid w:val="0"/>
        </w:rPr>
      </w:pPr>
      <w:bookmarkStart w:id="146" w:name="_Toc93934651"/>
      <w:r>
        <w:rPr>
          <w:rStyle w:val="CharSectno"/>
        </w:rPr>
        <w:t>76</w:t>
      </w:r>
      <w:r>
        <w:rPr>
          <w:snapToGrid w:val="0"/>
        </w:rPr>
        <w:t>.</w:t>
      </w:r>
      <w:r>
        <w:rPr>
          <w:snapToGrid w:val="0"/>
        </w:rPr>
        <w:tab/>
        <w:t>Extended trading permit, applications for</w:t>
      </w:r>
      <w:bookmarkEnd w:id="146"/>
    </w:p>
    <w:p>
      <w:pPr>
        <w:pStyle w:val="Subsection"/>
        <w:rPr>
          <w:snapToGrid w:val="0"/>
        </w:rPr>
      </w:pPr>
      <w:r>
        <w:rPr>
          <w:snapToGrid w:val="0"/>
        </w:rPr>
        <w:tab/>
        <w:t>(1)</w:t>
      </w:r>
      <w:r>
        <w:rPr>
          <w:snapToGrid w:val="0"/>
        </w:rPr>
        <w:tab/>
        <w:t xml:space="preserve">An application for the issue of an extended trading permit may be made by lodging </w:t>
      </w:r>
      <w:r>
        <w:t xml:space="preserve">with the Director an application in the </w:t>
      </w:r>
      <w:r>
        <w:lastRenderedPageBreak/>
        <w:t>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No. 12 of 1998 s. 54; No. 73 of 2006 s. 56 and 111(6).] </w:t>
      </w:r>
    </w:p>
    <w:p>
      <w:pPr>
        <w:pStyle w:val="Heading5"/>
        <w:keepLines w:val="0"/>
        <w:rPr>
          <w:snapToGrid w:val="0"/>
        </w:rPr>
      </w:pPr>
      <w:bookmarkStart w:id="147" w:name="_Toc93934652"/>
      <w:r>
        <w:rPr>
          <w:rStyle w:val="CharSectno"/>
        </w:rPr>
        <w:t>77</w:t>
      </w:r>
      <w:r>
        <w:rPr>
          <w:snapToGrid w:val="0"/>
        </w:rPr>
        <w:t>.</w:t>
      </w:r>
      <w:r>
        <w:rPr>
          <w:snapToGrid w:val="0"/>
        </w:rPr>
        <w:tab/>
        <w:t>No alteration of licensed premises without approval; application for approvals of alterations or redefinition of premises</w:t>
      </w:r>
      <w:bookmarkEnd w:id="147"/>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lastRenderedPageBreak/>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lastRenderedPageBreak/>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State Register of Heritage Places established and maintained under the </w:t>
      </w:r>
      <w:r>
        <w:rPr>
          <w:i/>
        </w:rPr>
        <w:t>Heritage Act 2018</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lastRenderedPageBreak/>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No. 26 of 2001 s. 6(1); No. 73 of 2006 s. 57 and 110; No. 56 of 2010 s. 69; No. 22 of 2018 s. 185.]</w:t>
      </w:r>
    </w:p>
    <w:p>
      <w:pPr>
        <w:pStyle w:val="Heading5"/>
      </w:pPr>
      <w:bookmarkStart w:id="148" w:name="_Toc93934653"/>
      <w:r>
        <w:rPr>
          <w:rStyle w:val="CharSectno"/>
        </w:rPr>
        <w:t>77A</w:t>
      </w:r>
      <w:r>
        <w:t>.</w:t>
      </w:r>
      <w:r>
        <w:tab/>
        <w:t>Restrictions on alteration or redefinition of certain packaged liquor premises</w:t>
      </w:r>
      <w:bookmarkEnd w:id="148"/>
    </w:p>
    <w:p>
      <w:pPr>
        <w:pStyle w:val="Subsection"/>
      </w:pPr>
      <w:r>
        <w:tab/>
        <w:t>(1)</w:t>
      </w:r>
      <w:r>
        <w:tab/>
        <w:t xml:space="preserve">In this section — </w:t>
      </w:r>
    </w:p>
    <w:p>
      <w:pPr>
        <w:pStyle w:val="Defstart"/>
      </w:pPr>
      <w:r>
        <w:tab/>
      </w:r>
      <w:r>
        <w:rPr>
          <w:rStyle w:val="CharDefText"/>
        </w:rPr>
        <w:t>packaged liquor premises</w:t>
      </w:r>
      <w:r>
        <w:t xml:space="preserve"> has the meaning given in section 36B(1);</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prescribed distance</w:t>
      </w:r>
      <w:r>
        <w:t xml:space="preserve"> means the distance prescribed for the purposes of this section;</w:t>
      </w:r>
    </w:p>
    <w:p>
      <w:pPr>
        <w:pStyle w:val="Defstart"/>
      </w:pPr>
      <w:r>
        <w:tab/>
      </w:r>
      <w:r>
        <w:rPr>
          <w:rStyle w:val="CharDefText"/>
        </w:rPr>
        <w:t>retail section</w:t>
      </w:r>
      <w:r>
        <w:t>, in relation to packaged liquor premises, means the part or parts of the premises on which packaged liquor is displayed for the purposes of sale or sold.</w:t>
      </w:r>
    </w:p>
    <w:p>
      <w:pPr>
        <w:pStyle w:val="Subsection"/>
      </w:pPr>
      <w:r>
        <w:tab/>
        <w:t>(2)</w:t>
      </w:r>
      <w:r>
        <w:tab/>
        <w:t xml:space="preserve">Subsection (3) applies to packaged liquor premises if — </w:t>
      </w:r>
    </w:p>
    <w:p>
      <w:pPr>
        <w:pStyle w:val="Indenta"/>
      </w:pPr>
      <w:r>
        <w:tab/>
        <w:t>(a)</w:t>
      </w:r>
      <w:r>
        <w:tab/>
        <w:t>the premises are situated less than the prescribed distance from other packaged liquor premises; and</w:t>
      </w:r>
    </w:p>
    <w:p>
      <w:pPr>
        <w:pStyle w:val="Indenta"/>
      </w:pPr>
      <w:r>
        <w:tab/>
        <w:t>(b)</w:t>
      </w:r>
      <w:r>
        <w:tab/>
        <w:t>the area of the retail section of the other packaged liquor premises exceeds the prescribed area.</w:t>
      </w:r>
    </w:p>
    <w:p>
      <w:pPr>
        <w:pStyle w:val="Subsection"/>
        <w:keepNext/>
      </w:pPr>
      <w:r>
        <w:tab/>
        <w:t>(3)</w:t>
      </w:r>
      <w:r>
        <w:tab/>
        <w:t xml:space="preserve">The licensing authority must not hear or determine an application made under section 77(4) in respect of packaged liquor premises to which this subsection applies — </w:t>
      </w:r>
    </w:p>
    <w:p>
      <w:pPr>
        <w:pStyle w:val="Indenta"/>
        <w:keepNext/>
      </w:pPr>
      <w:r>
        <w:tab/>
        <w:t>(a)</w:t>
      </w:r>
      <w:r>
        <w:tab/>
        <w:t xml:space="preserve">if — </w:t>
      </w:r>
    </w:p>
    <w:p>
      <w:pPr>
        <w:pStyle w:val="Indenti"/>
      </w:pPr>
      <w:r>
        <w:tab/>
        <w:t>(i)</w:t>
      </w:r>
      <w:r>
        <w:tab/>
        <w:t>the area of the retail section of the premises does not exceed the prescribed area; and</w:t>
      </w:r>
    </w:p>
    <w:p>
      <w:pPr>
        <w:pStyle w:val="Indenti"/>
      </w:pPr>
      <w:r>
        <w:lastRenderedPageBreak/>
        <w:tab/>
        <w:t>(ii)</w:t>
      </w:r>
      <w:r>
        <w:tab/>
        <w:t>the proposed alteration or redefinition of the premises would increase the area of the retail section of the premises so that it exceeds the prescribed area;</w:t>
      </w:r>
    </w:p>
    <w:p>
      <w:pPr>
        <w:pStyle w:val="Indenta"/>
      </w:pPr>
      <w:r>
        <w:tab/>
      </w:r>
      <w:r>
        <w:tab/>
        <w:t>or</w:t>
      </w:r>
    </w:p>
    <w:p>
      <w:pPr>
        <w:pStyle w:val="Indenta"/>
      </w:pPr>
      <w:r>
        <w:tab/>
        <w:t>(b)</w:t>
      </w:r>
      <w:r>
        <w:tab/>
        <w:t xml:space="preserve">if — </w:t>
      </w:r>
    </w:p>
    <w:p>
      <w:pPr>
        <w:pStyle w:val="Indenti"/>
      </w:pPr>
      <w:r>
        <w:tab/>
        <w:t>(i)</w:t>
      </w:r>
      <w:r>
        <w:tab/>
        <w:t>the area of the retail section of the premises exceeds the prescribed area; and</w:t>
      </w:r>
    </w:p>
    <w:p>
      <w:pPr>
        <w:pStyle w:val="Indenti"/>
      </w:pPr>
      <w:r>
        <w:tab/>
        <w:t>(ii)</w:t>
      </w:r>
      <w:r>
        <w:tab/>
        <w:t>the proposed alteration or redefinition of the premises would increase the area of the retail section of the premises.</w:t>
      </w:r>
    </w:p>
    <w:p>
      <w:pPr>
        <w:pStyle w:val="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77A inserted: No. 9 of 2018 s. 45.]</w:t>
      </w:r>
    </w:p>
    <w:p>
      <w:pPr>
        <w:pStyle w:val="Heading3"/>
        <w:rPr>
          <w:snapToGrid w:val="0"/>
        </w:rPr>
      </w:pPr>
      <w:bookmarkStart w:id="149" w:name="_Toc93918109"/>
      <w:bookmarkStart w:id="150" w:name="_Toc93934654"/>
      <w:r>
        <w:rPr>
          <w:rStyle w:val="CharDivNo"/>
        </w:rPr>
        <w:t>Division 8</w:t>
      </w:r>
      <w:r>
        <w:rPr>
          <w:snapToGrid w:val="0"/>
        </w:rPr>
        <w:t> — </w:t>
      </w:r>
      <w:r>
        <w:rPr>
          <w:rStyle w:val="CharDivText"/>
        </w:rPr>
        <w:t>Removals</w:t>
      </w:r>
      <w:bookmarkEnd w:id="149"/>
      <w:bookmarkEnd w:id="150"/>
      <w:r>
        <w:rPr>
          <w:rStyle w:val="CharDivText"/>
        </w:rPr>
        <w:t xml:space="preserve"> </w:t>
      </w:r>
    </w:p>
    <w:p>
      <w:pPr>
        <w:pStyle w:val="Heading5"/>
        <w:rPr>
          <w:snapToGrid w:val="0"/>
        </w:rPr>
      </w:pPr>
      <w:bookmarkStart w:id="151" w:name="_Toc93934655"/>
      <w:r>
        <w:rPr>
          <w:rStyle w:val="CharSectno"/>
        </w:rPr>
        <w:t>78</w:t>
      </w:r>
      <w:r>
        <w:rPr>
          <w:snapToGrid w:val="0"/>
        </w:rPr>
        <w:t>.</w:t>
      </w:r>
      <w:r>
        <w:rPr>
          <w:snapToGrid w:val="0"/>
        </w:rPr>
        <w:tab/>
        <w:t>Casino liquor licence not removable without authority</w:t>
      </w:r>
      <w:bookmarkEnd w:id="151"/>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No. 35 of 2003 s. 173(4).]</w:t>
      </w:r>
    </w:p>
    <w:p>
      <w:pPr>
        <w:pStyle w:val="Heading5"/>
        <w:keepLines w:val="0"/>
        <w:rPr>
          <w:snapToGrid w:val="0"/>
        </w:rPr>
      </w:pPr>
      <w:bookmarkStart w:id="152" w:name="_Toc93934656"/>
      <w:r>
        <w:rPr>
          <w:rStyle w:val="CharSectno"/>
        </w:rPr>
        <w:lastRenderedPageBreak/>
        <w:t>79</w:t>
      </w:r>
      <w:r>
        <w:rPr>
          <w:snapToGrid w:val="0"/>
        </w:rPr>
        <w:t>.</w:t>
      </w:r>
      <w:r>
        <w:rPr>
          <w:snapToGrid w:val="0"/>
        </w:rPr>
        <w:tab/>
        <w:t>Licence relating to transport, when removable</w:t>
      </w:r>
      <w:bookmarkEnd w:id="152"/>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53" w:name="_Toc93934657"/>
      <w:r>
        <w:rPr>
          <w:rStyle w:val="CharSectno"/>
        </w:rPr>
        <w:t>80</w:t>
      </w:r>
      <w:r>
        <w:rPr>
          <w:snapToGrid w:val="0"/>
        </w:rPr>
        <w:t>.</w:t>
      </w:r>
      <w:r>
        <w:rPr>
          <w:snapToGrid w:val="0"/>
        </w:rPr>
        <w:tab/>
        <w:t>Temporary removal or redefinition of licence</w:t>
      </w:r>
      <w:bookmarkEnd w:id="153"/>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No. 73 of 2006 s. 58.]</w:t>
      </w:r>
    </w:p>
    <w:p>
      <w:pPr>
        <w:pStyle w:val="Heading5"/>
        <w:rPr>
          <w:snapToGrid w:val="0"/>
        </w:rPr>
      </w:pPr>
      <w:bookmarkStart w:id="154" w:name="_Toc93934658"/>
      <w:r>
        <w:rPr>
          <w:rStyle w:val="CharSectno"/>
        </w:rPr>
        <w:lastRenderedPageBreak/>
        <w:t>81</w:t>
      </w:r>
      <w:r>
        <w:rPr>
          <w:snapToGrid w:val="0"/>
        </w:rPr>
        <w:t>.</w:t>
      </w:r>
      <w:r>
        <w:rPr>
          <w:snapToGrid w:val="0"/>
        </w:rPr>
        <w:tab/>
        <w:t>Applications for removal of licence</w:t>
      </w:r>
      <w:bookmarkEnd w:id="154"/>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keepNext/>
        <w:rPr>
          <w:snapToGrid w:val="0"/>
        </w:rPr>
      </w:pPr>
      <w:r>
        <w:rPr>
          <w:snapToGrid w:val="0"/>
        </w:rPr>
        <w:tab/>
        <w:t>(3)</w:t>
      </w:r>
      <w:r>
        <w:rPr>
          <w:snapToGrid w:val="0"/>
        </w:rPr>
        <w:tab/>
        <w:t>An applicant for the removal of a licence must satisfy the licensing authority — </w:t>
      </w:r>
    </w:p>
    <w:p>
      <w:pPr>
        <w:pStyle w:val="Ednotepara"/>
        <w:keepNext/>
        <w:spacing w:before="80"/>
        <w:rPr>
          <w:snapToGrid w:val="0"/>
        </w:rPr>
      </w:pPr>
      <w:r>
        <w:rPr>
          <w:snapToGrid w:val="0"/>
        </w:rPr>
        <w:tab/>
        <w:t>[(a)</w:t>
      </w:r>
      <w:r>
        <w:rPr>
          <w:snapToGrid w:val="0"/>
        </w:rPr>
        <w:tab/>
        <w:t xml:space="preserve">deleted] </w:t>
      </w:r>
    </w:p>
    <w:p>
      <w:pPr>
        <w:pStyle w:val="Indenta"/>
        <w:keepNext/>
        <w:rPr>
          <w:snapToGrid w:val="0"/>
        </w:rPr>
      </w:pPr>
      <w:r>
        <w:rPr>
          <w:snapToGrid w:val="0"/>
        </w:rPr>
        <w:tab/>
        <w:t>(b)</w:t>
      </w:r>
      <w:r>
        <w:rPr>
          <w:snapToGrid w:val="0"/>
        </w:rPr>
        <w:tab/>
        <w:t>that the requirements of this Act in relation to the grant of a new licence of that class are met in relation to — </w:t>
      </w:r>
    </w:p>
    <w:p>
      <w:pPr>
        <w:pStyle w:val="Indenti"/>
        <w:keepNext/>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lastRenderedPageBreak/>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keepNext/>
        <w:spacing w:before="140"/>
      </w:pPr>
      <w:r>
        <w:tab/>
        <w:t>(7)</w:t>
      </w:r>
      <w:r>
        <w:tab/>
        <w:t xml:space="preserve">An application for the removal of a licence cannot be made if — </w:t>
      </w:r>
    </w:p>
    <w:p>
      <w:pPr>
        <w:pStyle w:val="Indenta"/>
        <w:keepNext/>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No. 12 of 1998 s. 55; No. 73 of 2006 s. 59.] </w:t>
      </w:r>
    </w:p>
    <w:p>
      <w:pPr>
        <w:pStyle w:val="Heading3"/>
        <w:rPr>
          <w:snapToGrid w:val="0"/>
        </w:rPr>
      </w:pPr>
      <w:bookmarkStart w:id="155" w:name="_Toc93918114"/>
      <w:bookmarkStart w:id="156" w:name="_Toc93934659"/>
      <w:r>
        <w:rPr>
          <w:rStyle w:val="CharDivNo"/>
        </w:rPr>
        <w:t>Division 9</w:t>
      </w:r>
      <w:r>
        <w:rPr>
          <w:snapToGrid w:val="0"/>
        </w:rPr>
        <w:t> — </w:t>
      </w:r>
      <w:r>
        <w:rPr>
          <w:rStyle w:val="CharDivText"/>
        </w:rPr>
        <w:t>Transfers</w:t>
      </w:r>
      <w:bookmarkEnd w:id="155"/>
      <w:bookmarkEnd w:id="156"/>
      <w:r>
        <w:rPr>
          <w:rStyle w:val="CharDivText"/>
        </w:rPr>
        <w:t xml:space="preserve"> </w:t>
      </w:r>
    </w:p>
    <w:p>
      <w:pPr>
        <w:pStyle w:val="Heading5"/>
        <w:rPr>
          <w:snapToGrid w:val="0"/>
        </w:rPr>
      </w:pPr>
      <w:bookmarkStart w:id="157" w:name="_Toc93934660"/>
      <w:r>
        <w:rPr>
          <w:rStyle w:val="CharSectno"/>
        </w:rPr>
        <w:t>82</w:t>
      </w:r>
      <w:r>
        <w:rPr>
          <w:snapToGrid w:val="0"/>
        </w:rPr>
        <w:t>.</w:t>
      </w:r>
      <w:r>
        <w:rPr>
          <w:snapToGrid w:val="0"/>
        </w:rPr>
        <w:tab/>
        <w:t>Applications for transfer of licences</w:t>
      </w:r>
      <w:bookmarkEnd w:id="157"/>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keepNext/>
        <w:rPr>
          <w:snapToGrid w:val="0"/>
        </w:rPr>
      </w:pPr>
      <w:r>
        <w:rPr>
          <w:snapToGrid w:val="0"/>
        </w:rPr>
        <w:lastRenderedPageBreak/>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No. 12 of 1998 s. 56.] </w:t>
      </w:r>
    </w:p>
    <w:p>
      <w:pPr>
        <w:pStyle w:val="Heading5"/>
        <w:spacing w:before="240"/>
        <w:rPr>
          <w:snapToGrid w:val="0"/>
        </w:rPr>
      </w:pPr>
      <w:bookmarkStart w:id="158" w:name="_Toc93934661"/>
      <w:r>
        <w:rPr>
          <w:rStyle w:val="CharSectno"/>
        </w:rPr>
        <w:t>82A</w:t>
      </w:r>
      <w:r>
        <w:rPr>
          <w:snapToGrid w:val="0"/>
        </w:rPr>
        <w:t>.</w:t>
      </w:r>
      <w:r>
        <w:rPr>
          <w:snapToGrid w:val="0"/>
        </w:rPr>
        <w:tab/>
        <w:t>Transfer of licence between licence holders</w:t>
      </w:r>
      <w:bookmarkEnd w:id="158"/>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No. 12 of 1998 s. 57.] </w:t>
      </w:r>
    </w:p>
    <w:p>
      <w:pPr>
        <w:pStyle w:val="Heading5"/>
        <w:rPr>
          <w:snapToGrid w:val="0"/>
        </w:rPr>
      </w:pPr>
      <w:bookmarkStart w:id="159" w:name="_Toc93934662"/>
      <w:r>
        <w:rPr>
          <w:rStyle w:val="CharSectno"/>
        </w:rPr>
        <w:t>83</w:t>
      </w:r>
      <w:r>
        <w:rPr>
          <w:snapToGrid w:val="0"/>
        </w:rPr>
        <w:t>.</w:t>
      </w:r>
      <w:r>
        <w:rPr>
          <w:snapToGrid w:val="0"/>
        </w:rPr>
        <w:tab/>
        <w:t>Certain licences not transferable</w:t>
      </w:r>
      <w:bookmarkEnd w:id="159"/>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lastRenderedPageBreak/>
        <w:tab/>
        <w:t>(3)</w:t>
      </w:r>
      <w:r>
        <w:rPr>
          <w:snapToGrid w:val="0"/>
        </w:rPr>
        <w:tab/>
        <w:t>An occasional licence is not capable of being transferred.</w:t>
      </w:r>
    </w:p>
    <w:p>
      <w:pPr>
        <w:pStyle w:val="Footnotesection"/>
      </w:pPr>
      <w:r>
        <w:tab/>
        <w:t>[Section 83 amended: No. 35 of 2003 s. 173(4).]</w:t>
      </w:r>
    </w:p>
    <w:p>
      <w:pPr>
        <w:pStyle w:val="Heading5"/>
        <w:rPr>
          <w:snapToGrid w:val="0"/>
        </w:rPr>
      </w:pPr>
      <w:bookmarkStart w:id="160" w:name="_Toc93934663"/>
      <w:r>
        <w:rPr>
          <w:rStyle w:val="CharSectno"/>
        </w:rPr>
        <w:t>84</w:t>
      </w:r>
      <w:r>
        <w:rPr>
          <w:snapToGrid w:val="0"/>
        </w:rPr>
        <w:t>.</w:t>
      </w:r>
      <w:r>
        <w:rPr>
          <w:snapToGrid w:val="0"/>
        </w:rPr>
        <w:tab/>
        <w:t>Pre-requisites for transfer of licence</w:t>
      </w:r>
      <w:bookmarkEnd w:id="160"/>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 xml:space="preserve">Where an application for approval of a transfer is made on the grounds that the licensee has been evicted from, or has ceased to occupy or to carry on business at, the licensed premises or that to the exclusion of the licensee the owner of the licensed </w:t>
      </w:r>
      <w:r>
        <w:rPr>
          <w:snapToGrid w:val="0"/>
        </w:rPr>
        <w:lastRenderedPageBreak/>
        <w:t>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 xml:space="preserve">On an application for approval to a proposed transfer of a licence the Director may make the grant of approval subject to </w:t>
      </w:r>
      <w:r>
        <w:rPr>
          <w:snapToGrid w:val="0"/>
        </w:rPr>
        <w:lastRenderedPageBreak/>
        <w:t>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No. 12 of 1998 s. 58; No. 73 of 2006 s. 60 and 111(7).] </w:t>
      </w:r>
    </w:p>
    <w:p>
      <w:pPr>
        <w:pStyle w:val="Heading5"/>
        <w:rPr>
          <w:snapToGrid w:val="0"/>
        </w:rPr>
      </w:pPr>
      <w:bookmarkStart w:id="161" w:name="_Toc93934664"/>
      <w:r>
        <w:rPr>
          <w:rStyle w:val="CharSectno"/>
        </w:rPr>
        <w:t>85</w:t>
      </w:r>
      <w:r>
        <w:rPr>
          <w:snapToGrid w:val="0"/>
        </w:rPr>
        <w:t>.</w:t>
      </w:r>
      <w:r>
        <w:rPr>
          <w:snapToGrid w:val="0"/>
        </w:rPr>
        <w:tab/>
        <w:t>Transferee to succeed to certain of transferor’s liabilities and rights</w:t>
      </w:r>
      <w:bookmarkEnd w:id="161"/>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No. 56 of 1997 s. 32.] </w:t>
      </w:r>
    </w:p>
    <w:p>
      <w:pPr>
        <w:pStyle w:val="Heading3"/>
        <w:rPr>
          <w:snapToGrid w:val="0"/>
        </w:rPr>
      </w:pPr>
      <w:bookmarkStart w:id="162" w:name="_Toc93918120"/>
      <w:bookmarkStart w:id="163" w:name="_Toc93934665"/>
      <w:r>
        <w:rPr>
          <w:rStyle w:val="CharDivNo"/>
        </w:rPr>
        <w:lastRenderedPageBreak/>
        <w:t>Division 10</w:t>
      </w:r>
      <w:r>
        <w:rPr>
          <w:snapToGrid w:val="0"/>
        </w:rPr>
        <w:t> — </w:t>
      </w:r>
      <w:r>
        <w:rPr>
          <w:rStyle w:val="CharDivText"/>
        </w:rPr>
        <w:t>Interim authorisations and protection orders</w:t>
      </w:r>
      <w:bookmarkEnd w:id="162"/>
      <w:bookmarkEnd w:id="163"/>
      <w:r>
        <w:rPr>
          <w:rStyle w:val="CharDivText"/>
        </w:rPr>
        <w:t xml:space="preserve"> </w:t>
      </w:r>
    </w:p>
    <w:p>
      <w:pPr>
        <w:pStyle w:val="Heading5"/>
        <w:rPr>
          <w:snapToGrid w:val="0"/>
        </w:rPr>
      </w:pPr>
      <w:bookmarkStart w:id="164" w:name="_Toc93934666"/>
      <w:r>
        <w:rPr>
          <w:rStyle w:val="CharSectno"/>
        </w:rPr>
        <w:t>86</w:t>
      </w:r>
      <w:r>
        <w:rPr>
          <w:snapToGrid w:val="0"/>
        </w:rPr>
        <w:t>.</w:t>
      </w:r>
      <w:r>
        <w:rPr>
          <w:snapToGrid w:val="0"/>
        </w:rPr>
        <w:tab/>
        <w:t>Interim authorisations to carry on business under licence</w:t>
      </w:r>
      <w:bookmarkEnd w:id="164"/>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lastRenderedPageBreak/>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rPr>
          <w:snapToGrid w:val="0"/>
        </w:rPr>
      </w:pPr>
      <w:r>
        <w:rPr>
          <w:snapToGrid w:val="0"/>
        </w:rPr>
        <w:lastRenderedPageBreak/>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lastRenderedPageBreak/>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No. 12 of 1998 s. 59; No. 10 of 2001 s. 220; No. 73 of 2006 s. 61.] </w:t>
      </w:r>
    </w:p>
    <w:p>
      <w:pPr>
        <w:pStyle w:val="Heading5"/>
        <w:keepLines w:val="0"/>
        <w:rPr>
          <w:snapToGrid w:val="0"/>
        </w:rPr>
      </w:pPr>
      <w:bookmarkStart w:id="165" w:name="_Toc93934667"/>
      <w:r>
        <w:rPr>
          <w:rStyle w:val="CharSectno"/>
        </w:rPr>
        <w:t>87</w:t>
      </w:r>
      <w:r>
        <w:rPr>
          <w:snapToGrid w:val="0"/>
        </w:rPr>
        <w:t>.</w:t>
      </w:r>
      <w:r>
        <w:rPr>
          <w:snapToGrid w:val="0"/>
        </w:rPr>
        <w:tab/>
        <w:t>Protection orders, grant and term of etc.</w:t>
      </w:r>
      <w:bookmarkEnd w:id="16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xml:space="preserve">, to sell liquor and to carry on the business of the licensee, or former licensee, on or from the licensed premises as if that person were </w:t>
      </w:r>
      <w:r>
        <w:rPr>
          <w:snapToGrid w:val="0"/>
        </w:rPr>
        <w:lastRenderedPageBreak/>
        <w:t>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lastRenderedPageBreak/>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lastRenderedPageBreak/>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No. 14 of 1996 s. 4; No. 12 of 1998 s. 60; No. 73 of 2006 s. 62.] </w:t>
      </w:r>
    </w:p>
    <w:p>
      <w:pPr>
        <w:pStyle w:val="Heading5"/>
        <w:rPr>
          <w:snapToGrid w:val="0"/>
        </w:rPr>
      </w:pPr>
      <w:bookmarkStart w:id="166" w:name="_Toc93934668"/>
      <w:r>
        <w:rPr>
          <w:rStyle w:val="CharSectno"/>
        </w:rPr>
        <w:t>88</w:t>
      </w:r>
      <w:r>
        <w:rPr>
          <w:snapToGrid w:val="0"/>
        </w:rPr>
        <w:t>.</w:t>
      </w:r>
      <w:r>
        <w:rPr>
          <w:snapToGrid w:val="0"/>
        </w:rPr>
        <w:tab/>
        <w:t>Protection order, effect of</w:t>
      </w:r>
      <w:bookmarkEnd w:id="166"/>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lastRenderedPageBreak/>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No. 12 of 1998 s. 61.] </w:t>
      </w:r>
    </w:p>
    <w:p>
      <w:pPr>
        <w:pStyle w:val="Heading5"/>
        <w:spacing w:before="180"/>
        <w:rPr>
          <w:snapToGrid w:val="0"/>
        </w:rPr>
      </w:pPr>
      <w:bookmarkStart w:id="167" w:name="_Toc93934669"/>
      <w:r>
        <w:rPr>
          <w:rStyle w:val="CharSectno"/>
        </w:rPr>
        <w:t>89</w:t>
      </w:r>
      <w:r>
        <w:rPr>
          <w:snapToGrid w:val="0"/>
        </w:rPr>
        <w:t>.</w:t>
      </w:r>
      <w:r>
        <w:rPr>
          <w:snapToGrid w:val="0"/>
        </w:rPr>
        <w:tab/>
        <w:t>Dispute as to terms of lease, Director’s powers in case of</w:t>
      </w:r>
      <w:bookmarkEnd w:id="167"/>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No. 12 of 1998 s. 62.] </w:t>
      </w:r>
    </w:p>
    <w:p>
      <w:pPr>
        <w:pStyle w:val="Heading3"/>
        <w:spacing w:before="180"/>
        <w:rPr>
          <w:snapToGrid w:val="0"/>
        </w:rPr>
      </w:pPr>
      <w:bookmarkStart w:id="168" w:name="_Toc93918125"/>
      <w:bookmarkStart w:id="169" w:name="_Toc93934670"/>
      <w:r>
        <w:rPr>
          <w:rStyle w:val="CharDivNo"/>
        </w:rPr>
        <w:t>Division 11</w:t>
      </w:r>
      <w:r>
        <w:rPr>
          <w:snapToGrid w:val="0"/>
        </w:rPr>
        <w:t> — </w:t>
      </w:r>
      <w:r>
        <w:rPr>
          <w:rStyle w:val="CharDivText"/>
        </w:rPr>
        <w:t>Suspensions</w:t>
      </w:r>
      <w:bookmarkEnd w:id="168"/>
      <w:bookmarkEnd w:id="169"/>
      <w:r>
        <w:rPr>
          <w:rStyle w:val="CharDivText"/>
        </w:rPr>
        <w:t xml:space="preserve"> </w:t>
      </w:r>
    </w:p>
    <w:p>
      <w:pPr>
        <w:pStyle w:val="Ednotesection"/>
        <w:spacing w:before="180"/>
      </w:pPr>
      <w:r>
        <w:t>[</w:t>
      </w:r>
      <w:r>
        <w:rPr>
          <w:b/>
        </w:rPr>
        <w:t>90.</w:t>
      </w:r>
      <w:r>
        <w:tab/>
        <w:t>Deleted: No. 73 of 2006 s. 63.]</w:t>
      </w:r>
    </w:p>
    <w:p>
      <w:pPr>
        <w:pStyle w:val="Heading5"/>
        <w:spacing w:before="180"/>
        <w:rPr>
          <w:snapToGrid w:val="0"/>
        </w:rPr>
      </w:pPr>
      <w:bookmarkStart w:id="170" w:name="_Toc93934671"/>
      <w:r>
        <w:rPr>
          <w:rStyle w:val="CharSectno"/>
        </w:rPr>
        <w:t>91</w:t>
      </w:r>
      <w:r>
        <w:rPr>
          <w:snapToGrid w:val="0"/>
        </w:rPr>
        <w:t>.</w:t>
      </w:r>
      <w:r>
        <w:rPr>
          <w:snapToGrid w:val="0"/>
        </w:rPr>
        <w:tab/>
        <w:t>Suspension of licence or permit in the public interest</w:t>
      </w:r>
      <w:bookmarkEnd w:id="170"/>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lastRenderedPageBreak/>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No. 73 of 2006 s. 64.]</w:t>
      </w:r>
    </w:p>
    <w:p>
      <w:pPr>
        <w:pStyle w:val="Heading5"/>
        <w:spacing w:before="240"/>
        <w:rPr>
          <w:snapToGrid w:val="0"/>
        </w:rPr>
      </w:pPr>
      <w:bookmarkStart w:id="171" w:name="_Toc93934672"/>
      <w:r>
        <w:rPr>
          <w:rStyle w:val="CharSectno"/>
        </w:rPr>
        <w:t>92</w:t>
      </w:r>
      <w:r>
        <w:rPr>
          <w:snapToGrid w:val="0"/>
        </w:rPr>
        <w:t>.</w:t>
      </w:r>
      <w:r>
        <w:rPr>
          <w:snapToGrid w:val="0"/>
        </w:rPr>
        <w:tab/>
        <w:t>Suspension because business has ceased etc.</w:t>
      </w:r>
      <w:bookmarkEnd w:id="171"/>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No. 12 of 1998 s. 63.] </w:t>
      </w:r>
    </w:p>
    <w:p>
      <w:pPr>
        <w:pStyle w:val="Heading5"/>
        <w:spacing w:before="240"/>
        <w:rPr>
          <w:snapToGrid w:val="0"/>
        </w:rPr>
      </w:pPr>
      <w:bookmarkStart w:id="172" w:name="_Toc93934673"/>
      <w:r>
        <w:rPr>
          <w:rStyle w:val="CharSectno"/>
        </w:rPr>
        <w:t>92A</w:t>
      </w:r>
      <w:r>
        <w:rPr>
          <w:snapToGrid w:val="0"/>
        </w:rPr>
        <w:t>.</w:t>
      </w:r>
      <w:r>
        <w:rPr>
          <w:snapToGrid w:val="0"/>
        </w:rPr>
        <w:tab/>
        <w:t>Cancellation of suspension</w:t>
      </w:r>
      <w:bookmarkEnd w:id="172"/>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No. 12 of 1998 s. 64.] </w:t>
      </w:r>
    </w:p>
    <w:p>
      <w:pPr>
        <w:pStyle w:val="Heading5"/>
        <w:spacing w:before="240"/>
        <w:rPr>
          <w:snapToGrid w:val="0"/>
        </w:rPr>
      </w:pPr>
      <w:bookmarkStart w:id="173" w:name="_Toc93934674"/>
      <w:r>
        <w:rPr>
          <w:rStyle w:val="CharSectno"/>
        </w:rPr>
        <w:lastRenderedPageBreak/>
        <w:t>93</w:t>
      </w:r>
      <w:r>
        <w:rPr>
          <w:snapToGrid w:val="0"/>
        </w:rPr>
        <w:t>.</w:t>
      </w:r>
      <w:r>
        <w:rPr>
          <w:snapToGrid w:val="0"/>
        </w:rPr>
        <w:tab/>
        <w:t>Cancellation of suspended licences</w:t>
      </w:r>
      <w:bookmarkEnd w:id="173"/>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No. 12 of 1998 s. 65; No. 73 of 2006 s. 65.] </w:t>
      </w:r>
    </w:p>
    <w:p>
      <w:pPr>
        <w:pStyle w:val="Heading3"/>
        <w:keepLines/>
        <w:spacing w:before="160"/>
        <w:rPr>
          <w:snapToGrid w:val="0"/>
        </w:rPr>
      </w:pPr>
      <w:bookmarkStart w:id="174" w:name="_Toc93918130"/>
      <w:bookmarkStart w:id="175" w:name="_Toc93934675"/>
      <w:r>
        <w:rPr>
          <w:rStyle w:val="CharDivNo"/>
        </w:rPr>
        <w:t>Division 12</w:t>
      </w:r>
      <w:r>
        <w:rPr>
          <w:snapToGrid w:val="0"/>
        </w:rPr>
        <w:t> — </w:t>
      </w:r>
      <w:r>
        <w:rPr>
          <w:rStyle w:val="CharDivText"/>
        </w:rPr>
        <w:t>Surrenders</w:t>
      </w:r>
      <w:bookmarkEnd w:id="174"/>
      <w:bookmarkEnd w:id="175"/>
      <w:r>
        <w:rPr>
          <w:rStyle w:val="CharDivText"/>
        </w:rPr>
        <w:t xml:space="preserve"> </w:t>
      </w:r>
    </w:p>
    <w:p>
      <w:pPr>
        <w:pStyle w:val="Heading5"/>
        <w:keepNext w:val="0"/>
        <w:spacing w:before="160"/>
        <w:rPr>
          <w:snapToGrid w:val="0"/>
        </w:rPr>
      </w:pPr>
      <w:bookmarkStart w:id="176" w:name="_Toc93934676"/>
      <w:r>
        <w:rPr>
          <w:rStyle w:val="CharSectno"/>
        </w:rPr>
        <w:t>94</w:t>
      </w:r>
      <w:r>
        <w:rPr>
          <w:snapToGrid w:val="0"/>
        </w:rPr>
        <w:t>.</w:t>
      </w:r>
      <w:r>
        <w:rPr>
          <w:snapToGrid w:val="0"/>
        </w:rPr>
        <w:tab/>
        <w:t>Surrendering licences</w:t>
      </w:r>
      <w:bookmarkEnd w:id="176"/>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lastRenderedPageBreak/>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77" w:name="_Toc93918132"/>
      <w:bookmarkStart w:id="178" w:name="_Toc93934677"/>
      <w:r>
        <w:rPr>
          <w:rStyle w:val="CharDivNo"/>
        </w:rPr>
        <w:lastRenderedPageBreak/>
        <w:t>Division 13</w:t>
      </w:r>
      <w:r>
        <w:rPr>
          <w:snapToGrid w:val="0"/>
        </w:rPr>
        <w:t> — </w:t>
      </w:r>
      <w:r>
        <w:rPr>
          <w:rStyle w:val="CharDivText"/>
        </w:rPr>
        <w:t>Disciplinary matters</w:t>
      </w:r>
      <w:bookmarkEnd w:id="177"/>
      <w:bookmarkEnd w:id="178"/>
      <w:r>
        <w:rPr>
          <w:rStyle w:val="CharDivText"/>
        </w:rPr>
        <w:t xml:space="preserve"> </w:t>
      </w:r>
    </w:p>
    <w:p>
      <w:pPr>
        <w:pStyle w:val="Heading5"/>
        <w:rPr>
          <w:snapToGrid w:val="0"/>
        </w:rPr>
      </w:pPr>
      <w:bookmarkStart w:id="179" w:name="_Toc93934678"/>
      <w:r>
        <w:rPr>
          <w:rStyle w:val="CharSectno"/>
        </w:rPr>
        <w:t>95</w:t>
      </w:r>
      <w:r>
        <w:rPr>
          <w:snapToGrid w:val="0"/>
        </w:rPr>
        <w:t>.</w:t>
      </w:r>
      <w:r>
        <w:rPr>
          <w:snapToGrid w:val="0"/>
        </w:rPr>
        <w:tab/>
        <w:t>Disciplinary action against licensees, grounds and procedure for</w:t>
      </w:r>
      <w:bookmarkEnd w:id="179"/>
    </w:p>
    <w:p>
      <w:pPr>
        <w:pStyle w:val="Subsection"/>
      </w:pPr>
      <w:r>
        <w:tab/>
        <w:t>(1A)</w:t>
      </w:r>
      <w:r>
        <w:tab/>
        <w:t xml:space="preserve">In this section — </w:t>
      </w:r>
    </w:p>
    <w:p>
      <w:pPr>
        <w:pStyle w:val="Defstart"/>
      </w:pPr>
      <w: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 xml:space="preserve">a person who — </w:t>
      </w:r>
    </w:p>
    <w:p>
      <w:pPr>
        <w:pStyle w:val="Defsubpara"/>
      </w:pPr>
      <w:r>
        <w:tab/>
        <w:t>(i)</w:t>
      </w:r>
      <w:r>
        <w:tab/>
        <w:t>holds a crowd controller’s licence; and</w:t>
      </w:r>
    </w:p>
    <w:p>
      <w:pPr>
        <w:pStyle w:val="Defsubpara"/>
      </w:pPr>
      <w:r>
        <w:tab/>
        <w:t>(ii)</w:t>
      </w:r>
      <w:r>
        <w:tab/>
        <w:t>is employed by a crowd control agent engaged under a contract for services by the licensee or occupier or a manager of the licensed premises to supply the services of crowd controllers at those premises.</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lastRenderedPageBreak/>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keepNext/>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licensee has been convicted of — </w:t>
      </w:r>
    </w:p>
    <w:p>
      <w:pPr>
        <w:pStyle w:val="Indenti"/>
        <w:keepNext/>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lastRenderedPageBreak/>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keepNext/>
      </w:pPr>
      <w:r>
        <w:rPr>
          <w:snapToGrid w:val="0"/>
        </w:rPr>
        <w:tab/>
        <w:t>(k)</w:t>
      </w:r>
      <w:r>
        <w:rPr>
          <w:snapToGrid w:val="0"/>
        </w:rPr>
        <w:tab/>
        <w:t xml:space="preserve">the safety, health or welfare of persons who resort to the licensed premises is endangered by an act or neglect </w:t>
      </w:r>
      <w:r>
        <w:t xml:space="preserve">of — </w:t>
      </w:r>
    </w:p>
    <w:p>
      <w:pPr>
        <w:pStyle w:val="Indenti"/>
        <w:keepNext/>
      </w:pPr>
      <w:r>
        <w:tab/>
        <w:t>(i)</w:t>
      </w:r>
      <w:r>
        <w:tab/>
        <w:t>the licensee; or</w:t>
      </w:r>
    </w:p>
    <w:p>
      <w:pPr>
        <w:pStyle w:val="Indenti"/>
      </w:pPr>
      <w:r>
        <w:tab/>
        <w:t>(ii)</w:t>
      </w:r>
      <w:r>
        <w:tab/>
        <w:t>an employee or agent of the licensee; or</w:t>
      </w:r>
    </w:p>
    <w:p>
      <w:pPr>
        <w:pStyle w:val="Indenti"/>
      </w:pPr>
      <w:r>
        <w:tab/>
        <w:t>(iii)</w:t>
      </w:r>
      <w:r>
        <w:tab/>
        <w:t>a person acting, or purporting to act, on behalf of the licensee;</w:t>
      </w:r>
    </w:p>
    <w:p>
      <w:pPr>
        <w:pStyle w:val="Indenta"/>
      </w:pPr>
      <w:r>
        <w:tab/>
      </w:r>
      <w:r>
        <w:tab/>
        <w:t>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lastRenderedPageBreak/>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lastRenderedPageBreak/>
        <w:tab/>
        <w:t>(7a)</w:t>
      </w:r>
      <w:r>
        <w:tab/>
        <w:t>When hearing a complaint under this section, the Commission is to be constituted by 3 members, including a member who is a lawyer.</w:t>
      </w:r>
    </w:p>
    <w:p>
      <w:pPr>
        <w:pStyle w:val="Subsection"/>
        <w:keepNext/>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Lines/>
        <w:rPr>
          <w:snapToGrid w:val="0"/>
        </w:rPr>
      </w:pPr>
      <w:r>
        <w:rPr>
          <w:snapToGrid w:val="0"/>
        </w:rPr>
        <w:tab/>
        <w:t>(b)</w:t>
      </w:r>
      <w:r>
        <w:rPr>
          <w:snapToGrid w:val="0"/>
        </w:rPr>
        <w:tab/>
        <w:t>had taken reasonable steps to prevent that act or omission from taking place.</w:t>
      </w:r>
    </w:p>
    <w:p>
      <w:pPr>
        <w:pStyle w:val="Subsection"/>
      </w:pPr>
      <w:r>
        <w:tab/>
        <w:t>(12)</w:t>
      </w:r>
      <w:r>
        <w:tab/>
        <w:t>The hearing of a complaint lodged under this section must be in public unless the Commission considers that, in the circumstances of the case, the hearing should be in private.</w:t>
      </w:r>
    </w:p>
    <w:p>
      <w:pPr>
        <w:pStyle w:val="Footnotesection"/>
        <w:widowControl w:val="0"/>
        <w:ind w:left="890" w:hanging="890"/>
      </w:pPr>
      <w:r>
        <w:tab/>
        <w:t xml:space="preserve">[Section 95 amended: No. 14 of 1996 s. 4; No. 56 of 1997 s. 33; No. 12 of 1998 s. 10(11), 35(3) and (4), 66, 70(6) and (7); No. 73 of 2006 s. 66 and 106; No. 21 of 2008 s. 675(3); No. 43 of 2008 s. 148(4); No. 19 of 2016 s. 101; No. 9 of 2018 s. 46.] </w:t>
      </w:r>
    </w:p>
    <w:p>
      <w:pPr>
        <w:pStyle w:val="Heading5"/>
        <w:spacing w:before="240"/>
        <w:rPr>
          <w:snapToGrid w:val="0"/>
        </w:rPr>
      </w:pPr>
      <w:bookmarkStart w:id="180" w:name="_Toc93934679"/>
      <w:r>
        <w:rPr>
          <w:rStyle w:val="CharSectno"/>
        </w:rPr>
        <w:lastRenderedPageBreak/>
        <w:t>96</w:t>
      </w:r>
      <w:r>
        <w:rPr>
          <w:snapToGrid w:val="0"/>
        </w:rPr>
        <w:t>.</w:t>
      </w:r>
      <w:r>
        <w:rPr>
          <w:snapToGrid w:val="0"/>
        </w:rPr>
        <w:tab/>
        <w:t>Disciplinary action, powers to take</w:t>
      </w:r>
      <w:bookmarkEnd w:id="180"/>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lastRenderedPageBreak/>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lastRenderedPageBreak/>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keepNext/>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No. 73 of 1994 s. 4; No. 12 of 1998 s. 67; No. 73 of 2006 s. 106 and 111(8); No. 56 of 2010 s. 47.] </w:t>
      </w:r>
    </w:p>
    <w:p>
      <w:pPr>
        <w:pStyle w:val="Heading2"/>
      </w:pPr>
      <w:bookmarkStart w:id="181" w:name="_Toc93918135"/>
      <w:bookmarkStart w:id="182" w:name="_Toc93934680"/>
      <w:r>
        <w:rPr>
          <w:rStyle w:val="CharPartNo"/>
        </w:rPr>
        <w:lastRenderedPageBreak/>
        <w:t>Part 4</w:t>
      </w:r>
      <w:r>
        <w:t> — </w:t>
      </w:r>
      <w:r>
        <w:rPr>
          <w:rStyle w:val="CharPartText"/>
        </w:rPr>
        <w:t>The conduct of business</w:t>
      </w:r>
      <w:bookmarkEnd w:id="181"/>
      <w:bookmarkEnd w:id="182"/>
      <w:r>
        <w:rPr>
          <w:rStyle w:val="CharPartText"/>
        </w:rPr>
        <w:t xml:space="preserve"> </w:t>
      </w:r>
    </w:p>
    <w:p>
      <w:pPr>
        <w:pStyle w:val="Heading3"/>
        <w:rPr>
          <w:snapToGrid w:val="0"/>
        </w:rPr>
      </w:pPr>
      <w:bookmarkStart w:id="183" w:name="_Toc93918136"/>
      <w:bookmarkStart w:id="184" w:name="_Toc93934681"/>
      <w:r>
        <w:rPr>
          <w:rStyle w:val="CharDivNo"/>
        </w:rPr>
        <w:t>Division 1</w:t>
      </w:r>
      <w:r>
        <w:rPr>
          <w:snapToGrid w:val="0"/>
        </w:rPr>
        <w:t> — </w:t>
      </w:r>
      <w:r>
        <w:rPr>
          <w:rStyle w:val="CharDivText"/>
        </w:rPr>
        <w:t>Hours of trading</w:t>
      </w:r>
      <w:bookmarkEnd w:id="183"/>
      <w:bookmarkEnd w:id="184"/>
      <w:r>
        <w:rPr>
          <w:rStyle w:val="CharDivText"/>
        </w:rPr>
        <w:t xml:space="preserve"> </w:t>
      </w:r>
    </w:p>
    <w:p>
      <w:pPr>
        <w:pStyle w:val="Heading5"/>
        <w:rPr>
          <w:snapToGrid w:val="0"/>
        </w:rPr>
      </w:pPr>
      <w:bookmarkStart w:id="185" w:name="_Toc93934682"/>
      <w:r>
        <w:rPr>
          <w:rStyle w:val="CharSectno"/>
        </w:rPr>
        <w:t>97</w:t>
      </w:r>
      <w:r>
        <w:rPr>
          <w:snapToGrid w:val="0"/>
        </w:rPr>
        <w:t>.</w:t>
      </w:r>
      <w:r>
        <w:rPr>
          <w:snapToGrid w:val="0"/>
        </w:rPr>
        <w:tab/>
        <w:t>Permitted hours generally</w:t>
      </w:r>
      <w:bookmarkEnd w:id="185"/>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No. 12 of 1998 s. 68; No. 35 of 2003 s. 173(4); No. 73 of 2006 s. 67.] </w:t>
      </w:r>
    </w:p>
    <w:p>
      <w:pPr>
        <w:pStyle w:val="Heading5"/>
      </w:pPr>
      <w:bookmarkStart w:id="186" w:name="_Toc93934683"/>
      <w:r>
        <w:rPr>
          <w:rStyle w:val="CharSectno"/>
        </w:rPr>
        <w:t>98</w:t>
      </w:r>
      <w:r>
        <w:t>.</w:t>
      </w:r>
      <w:r>
        <w:tab/>
        <w:t>Hotel licence, permitted hours under</w:t>
      </w:r>
      <w:bookmarkEnd w:id="186"/>
    </w:p>
    <w:p>
      <w:pPr>
        <w:pStyle w:val="Subsection"/>
      </w:pPr>
      <w:r>
        <w:tab/>
        <w:t>(1)</w:t>
      </w:r>
      <w:r>
        <w:tab/>
        <w:t xml:space="preserve">The permitted hours under a hotel licence are — </w:t>
      </w:r>
    </w:p>
    <w:p>
      <w:pPr>
        <w:pStyle w:val="Indenta"/>
      </w:pPr>
      <w:r>
        <w:tab/>
        <w:t>(a)</w:t>
      </w:r>
      <w:r>
        <w:tab/>
        <w:t>on a day other than a Sunday — from 6 a.m. to 12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 and then in accordance with paragraph (a) or (b), as the case requires;</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lastRenderedPageBreak/>
        <w:tab/>
        <w:t>(2)</w:t>
      </w:r>
      <w:r>
        <w:tab/>
        <w:t>The permitted hours under a hotel licence for the sale of liquor to a lodger are unrestricted.</w:t>
      </w:r>
    </w:p>
    <w:p>
      <w:pPr>
        <w:pStyle w:val="Footnotesection"/>
        <w:keepLines w:val="0"/>
        <w:ind w:left="890" w:hanging="890"/>
      </w:pPr>
      <w:r>
        <w:tab/>
        <w:t>[Section 98 inserted: No. 73 of 2006 s. 68; amended: No. 35 of 2015 s. 12; No. 9 of 2018 s. 47.]</w:t>
      </w:r>
    </w:p>
    <w:p>
      <w:pPr>
        <w:pStyle w:val="Heading5"/>
      </w:pPr>
      <w:bookmarkStart w:id="187" w:name="_Toc93934684"/>
      <w:r>
        <w:rPr>
          <w:rStyle w:val="CharSectno"/>
        </w:rPr>
        <w:t>98AA</w:t>
      </w:r>
      <w:r>
        <w:t>.</w:t>
      </w:r>
      <w:r>
        <w:tab/>
        <w:t>Permitted hours under small bar licence</w:t>
      </w:r>
      <w:bookmarkEnd w:id="187"/>
    </w:p>
    <w:p>
      <w:pPr>
        <w:pStyle w:val="Subsection"/>
      </w:pPr>
      <w:r>
        <w:tab/>
      </w:r>
      <w:r>
        <w:tab/>
        <w:t xml:space="preserve">The permitted hours under a small bar licence are — </w:t>
      </w:r>
    </w:p>
    <w:p>
      <w:pPr>
        <w:pStyle w:val="Indenta"/>
      </w:pPr>
      <w:r>
        <w:tab/>
        <w:t>(a)</w:t>
      </w:r>
      <w:r>
        <w:tab/>
        <w:t>on a day other than a Sunday — from 6 am to 12 midnight;</w:t>
      </w:r>
    </w:p>
    <w:p>
      <w:pPr>
        <w:pStyle w:val="Indenta"/>
      </w:pPr>
      <w:r>
        <w:tab/>
        <w:t>(b)</w:t>
      </w:r>
      <w:r>
        <w:tab/>
        <w:t>on a Sunday — from 10 am to 12 midnight;</w:t>
      </w:r>
    </w:p>
    <w:p>
      <w:pPr>
        <w:pStyle w:val="Indenta"/>
      </w:pPr>
      <w:r>
        <w:tab/>
        <w:t>(c)</w:t>
      </w:r>
      <w:r>
        <w:tab/>
        <w:t>on New Year’s Day — from immediately after 12 midnight on New Year’s Eve to 2 am and then in accordance with paragraph (a) or (b), as the case requires;</w:t>
      </w:r>
    </w:p>
    <w:p>
      <w:pPr>
        <w:pStyle w:val="Indenta"/>
      </w:pPr>
      <w:r>
        <w:tab/>
        <w:t>(d)</w:t>
      </w:r>
      <w:r>
        <w:tab/>
        <w:t>on Good Friday or Christmas Day — from 12 noon to 10 pm, but only for liquor sold ancillary to a meal supplied by the licensee;</w:t>
      </w:r>
    </w:p>
    <w:p>
      <w:pPr>
        <w:pStyle w:val="Indenta"/>
      </w:pPr>
      <w:r>
        <w:tab/>
        <w:t>(e)</w:t>
      </w:r>
      <w:r>
        <w:tab/>
        <w:t>on ANZAC Day — from 12 noon to 12 midnight.</w:t>
      </w:r>
    </w:p>
    <w:p>
      <w:pPr>
        <w:pStyle w:val="Footnotesection"/>
        <w:keepLines w:val="0"/>
        <w:ind w:left="890" w:hanging="890"/>
      </w:pPr>
      <w:r>
        <w:tab/>
        <w:t>[Section 98AA inserted: No. 9 of 2018 s. 48.]</w:t>
      </w:r>
    </w:p>
    <w:p>
      <w:pPr>
        <w:pStyle w:val="Heading5"/>
      </w:pPr>
      <w:bookmarkStart w:id="188" w:name="_Toc93934685"/>
      <w:r>
        <w:rPr>
          <w:rStyle w:val="CharSectno"/>
        </w:rPr>
        <w:t>98A</w:t>
      </w:r>
      <w:r>
        <w:t>.</w:t>
      </w:r>
      <w:r>
        <w:tab/>
        <w:t>Nightclub licence, permitted hours under</w:t>
      </w:r>
      <w:bookmarkEnd w:id="188"/>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lastRenderedPageBreak/>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No. 73 of 2006 s. 68; amended: No. 56 of 2010 s. 48; No. 35 of 2015 s. 13; No. 9 of 2018 s. 49.]</w:t>
      </w:r>
    </w:p>
    <w:p>
      <w:pPr>
        <w:pStyle w:val="Heading5"/>
      </w:pPr>
      <w:bookmarkStart w:id="189" w:name="_Toc93934686"/>
      <w:r>
        <w:rPr>
          <w:rStyle w:val="CharSectno"/>
        </w:rPr>
        <w:t>98B</w:t>
      </w:r>
      <w:r>
        <w:t>.</w:t>
      </w:r>
      <w:r>
        <w:tab/>
        <w:t>Casino liquor licence, permitted hours under</w:t>
      </w:r>
      <w:bookmarkEnd w:id="189"/>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No. 73 of 2006 s. 68.]</w:t>
      </w:r>
    </w:p>
    <w:p>
      <w:pPr>
        <w:pStyle w:val="Heading5"/>
      </w:pPr>
      <w:bookmarkStart w:id="190" w:name="_Toc93934687"/>
      <w:r>
        <w:rPr>
          <w:rStyle w:val="CharSectno"/>
        </w:rPr>
        <w:t>98C</w:t>
      </w:r>
      <w:r>
        <w:t>.</w:t>
      </w:r>
      <w:r>
        <w:tab/>
        <w:t>Special facility licence, permitted hours under</w:t>
      </w:r>
      <w:bookmarkEnd w:id="190"/>
    </w:p>
    <w:p>
      <w:pPr>
        <w:pStyle w:val="Subsection"/>
      </w:pPr>
      <w:r>
        <w:tab/>
      </w:r>
      <w:r>
        <w:tab/>
        <w:t>The permitted hours under a special facility licence are as specified in the particular licence.</w:t>
      </w:r>
    </w:p>
    <w:p>
      <w:pPr>
        <w:pStyle w:val="Footnotesection"/>
      </w:pPr>
      <w:r>
        <w:lastRenderedPageBreak/>
        <w:tab/>
        <w:t>[Section 98C inserted: No. 73 of 2006 s. 68.]</w:t>
      </w:r>
    </w:p>
    <w:p>
      <w:pPr>
        <w:pStyle w:val="Heading5"/>
      </w:pPr>
      <w:bookmarkStart w:id="191" w:name="_Toc93934688"/>
      <w:r>
        <w:rPr>
          <w:rStyle w:val="CharSectno"/>
        </w:rPr>
        <w:t>98D</w:t>
      </w:r>
      <w:r>
        <w:t>.</w:t>
      </w:r>
      <w:r>
        <w:tab/>
        <w:t>Liquor store licence, permitted hours under</w:t>
      </w:r>
      <w:bookmarkEnd w:id="191"/>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No. 73 of 2006 s. 68.]</w:t>
      </w:r>
    </w:p>
    <w:p>
      <w:pPr>
        <w:pStyle w:val="Heading5"/>
      </w:pPr>
      <w:bookmarkStart w:id="192" w:name="_Toc93934689"/>
      <w:r>
        <w:rPr>
          <w:rStyle w:val="CharSectno"/>
        </w:rPr>
        <w:t>98E</w:t>
      </w:r>
      <w:r>
        <w:t>.</w:t>
      </w:r>
      <w:r>
        <w:tab/>
        <w:t>Club licence and club restricted licence, permitted hours under</w:t>
      </w:r>
      <w:bookmarkEnd w:id="192"/>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lastRenderedPageBreak/>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 and then in accordance with paragraph (a) or (b)(ii), as the case requires.</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lastRenderedPageBreak/>
        <w:tab/>
        <w:t>[Section 98E inserted: No. 73 of 2006 s. 68; amended: No. 9 of 2018 s. 50.]</w:t>
      </w:r>
    </w:p>
    <w:p>
      <w:pPr>
        <w:pStyle w:val="Heading5"/>
      </w:pPr>
      <w:bookmarkStart w:id="193" w:name="_Toc93934690"/>
      <w:r>
        <w:rPr>
          <w:rStyle w:val="CharSectno"/>
        </w:rPr>
        <w:t>98F</w:t>
      </w:r>
      <w:r>
        <w:t>.</w:t>
      </w:r>
      <w:r>
        <w:tab/>
        <w:t>Restaurant licence, permitted hours under</w:t>
      </w:r>
      <w:bookmarkEnd w:id="193"/>
    </w:p>
    <w:p>
      <w:pPr>
        <w:pStyle w:val="Subsection"/>
      </w:pPr>
      <w:r>
        <w:tab/>
      </w:r>
      <w:r>
        <w:tab/>
        <w:t>The permitted hours under a restaurant licence are at any time except from 3 a.m. to 12 noon on ANZAC Day.</w:t>
      </w:r>
    </w:p>
    <w:p>
      <w:pPr>
        <w:pStyle w:val="Footnotesection"/>
      </w:pPr>
      <w:r>
        <w:tab/>
        <w:t>[Section 98F inserted: No. 73 of 2006 s. 68.]</w:t>
      </w:r>
    </w:p>
    <w:p>
      <w:pPr>
        <w:pStyle w:val="Heading5"/>
      </w:pPr>
      <w:bookmarkStart w:id="194" w:name="_Toc93934691"/>
      <w:r>
        <w:rPr>
          <w:rStyle w:val="CharSectno"/>
        </w:rPr>
        <w:t>98G</w:t>
      </w:r>
      <w:r>
        <w:t>.</w:t>
      </w:r>
      <w:r>
        <w:tab/>
        <w:t>Producer’s licence, permitted hours under</w:t>
      </w:r>
      <w:bookmarkEnd w:id="194"/>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 the permitted hours in relation to the sale or supply of beer or spirits on a day other than Good Friday, Christmas Day or ANZAC Day are from 10 am to 10 pm.</w:t>
      </w:r>
    </w:p>
    <w:p>
      <w:pPr>
        <w:pStyle w:val="Footnotesection"/>
      </w:pPr>
      <w:r>
        <w:tab/>
        <w:t>[Section 98G inserted: No. 73 of 2006 s. 68; amended: No. 35 of 2015 s. 14; No. 9 of 2018 s. 51.]</w:t>
      </w:r>
    </w:p>
    <w:p>
      <w:pPr>
        <w:pStyle w:val="Heading5"/>
        <w:spacing w:before="240"/>
      </w:pPr>
      <w:bookmarkStart w:id="195" w:name="_Toc93934692"/>
      <w:r>
        <w:rPr>
          <w:rStyle w:val="CharSectno"/>
        </w:rPr>
        <w:t>98H</w:t>
      </w:r>
      <w:r>
        <w:t>.</w:t>
      </w:r>
      <w:r>
        <w:tab/>
        <w:t>Wholesaler’s licence, permitted hours under</w:t>
      </w:r>
      <w:bookmarkEnd w:id="195"/>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lastRenderedPageBreak/>
        <w:tab/>
        <w:t>[Section 98H inserted: No. 73 of 2006 s. 68.]</w:t>
      </w:r>
    </w:p>
    <w:p>
      <w:pPr>
        <w:pStyle w:val="Heading3"/>
        <w:rPr>
          <w:snapToGrid w:val="0"/>
        </w:rPr>
      </w:pPr>
      <w:bookmarkStart w:id="196" w:name="_Toc93918148"/>
      <w:bookmarkStart w:id="197" w:name="_Toc93934693"/>
      <w:r>
        <w:rPr>
          <w:rStyle w:val="CharDivNo"/>
        </w:rPr>
        <w:t>Division 2</w:t>
      </w:r>
      <w:r>
        <w:rPr>
          <w:snapToGrid w:val="0"/>
        </w:rPr>
        <w:t> — </w:t>
      </w:r>
      <w:r>
        <w:rPr>
          <w:rStyle w:val="CharDivText"/>
        </w:rPr>
        <w:t>Maintenance of the premises</w:t>
      </w:r>
      <w:bookmarkEnd w:id="196"/>
      <w:bookmarkEnd w:id="197"/>
      <w:r>
        <w:rPr>
          <w:rStyle w:val="CharDivText"/>
        </w:rPr>
        <w:t xml:space="preserve"> </w:t>
      </w:r>
    </w:p>
    <w:p>
      <w:pPr>
        <w:pStyle w:val="Heading5"/>
        <w:spacing w:before="240"/>
        <w:rPr>
          <w:snapToGrid w:val="0"/>
        </w:rPr>
      </w:pPr>
      <w:bookmarkStart w:id="198" w:name="_Toc93934694"/>
      <w:r>
        <w:rPr>
          <w:rStyle w:val="CharSectno"/>
        </w:rPr>
        <w:t>99</w:t>
      </w:r>
      <w:r>
        <w:rPr>
          <w:snapToGrid w:val="0"/>
        </w:rPr>
        <w:t>.</w:t>
      </w:r>
      <w:r>
        <w:rPr>
          <w:snapToGrid w:val="0"/>
        </w:rPr>
        <w:tab/>
        <w:t>Duty to keep premises clean and in good repair; powers to enforce duty and require alterations</w:t>
      </w:r>
      <w:bookmarkEnd w:id="198"/>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lastRenderedPageBreak/>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No. 12 of 1998 s. 70(1) to (4); No. 56 of 2010 s. 49.] </w:t>
      </w:r>
    </w:p>
    <w:p>
      <w:pPr>
        <w:pStyle w:val="Heading3"/>
        <w:keepLines/>
        <w:spacing w:before="180"/>
        <w:rPr>
          <w:snapToGrid w:val="0"/>
        </w:rPr>
      </w:pPr>
      <w:bookmarkStart w:id="199" w:name="_Toc93918150"/>
      <w:bookmarkStart w:id="200" w:name="_Toc93934695"/>
      <w:r>
        <w:rPr>
          <w:rStyle w:val="CharDivNo"/>
        </w:rPr>
        <w:t>Division 3</w:t>
      </w:r>
      <w:r>
        <w:rPr>
          <w:snapToGrid w:val="0"/>
        </w:rPr>
        <w:t> — </w:t>
      </w:r>
      <w:r>
        <w:rPr>
          <w:rStyle w:val="CharDivText"/>
        </w:rPr>
        <w:t>Supervision and management</w:t>
      </w:r>
      <w:bookmarkEnd w:id="199"/>
      <w:bookmarkEnd w:id="200"/>
      <w:r>
        <w:rPr>
          <w:rStyle w:val="CharDivText"/>
        </w:rPr>
        <w:t xml:space="preserve"> </w:t>
      </w:r>
    </w:p>
    <w:p>
      <w:pPr>
        <w:pStyle w:val="Heading4"/>
        <w:keepLines/>
        <w:spacing w:before="180"/>
      </w:pPr>
      <w:bookmarkStart w:id="201" w:name="_Toc93918151"/>
      <w:bookmarkStart w:id="202" w:name="_Toc93934696"/>
      <w:r>
        <w:t>Subdivision 1 — Licensed premises to be supervised and managed</w:t>
      </w:r>
      <w:bookmarkEnd w:id="201"/>
      <w:bookmarkEnd w:id="202"/>
    </w:p>
    <w:p>
      <w:pPr>
        <w:pStyle w:val="Footnoteheading"/>
        <w:spacing w:before="100"/>
      </w:pPr>
      <w:r>
        <w:tab/>
        <w:t>[Heading inserted: No. 56 of 2010 s. 14.]</w:t>
      </w:r>
    </w:p>
    <w:p>
      <w:pPr>
        <w:pStyle w:val="Heading5"/>
        <w:spacing w:before="180"/>
        <w:rPr>
          <w:snapToGrid w:val="0"/>
        </w:rPr>
      </w:pPr>
      <w:bookmarkStart w:id="203" w:name="_Toc93934697"/>
      <w:r>
        <w:rPr>
          <w:rStyle w:val="CharSectno"/>
        </w:rPr>
        <w:t>100</w:t>
      </w:r>
      <w:r>
        <w:rPr>
          <w:snapToGrid w:val="0"/>
        </w:rPr>
        <w:t>.</w:t>
      </w:r>
      <w:r>
        <w:rPr>
          <w:snapToGrid w:val="0"/>
        </w:rPr>
        <w:tab/>
        <w:t>Licensee’s duties</w:t>
      </w:r>
      <w:bookmarkEnd w:id="203"/>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keepNext/>
        <w:rPr>
          <w:snapToGrid w:val="0"/>
        </w:rPr>
      </w:pPr>
      <w:r>
        <w:rPr>
          <w:snapToGrid w:val="0"/>
        </w:rPr>
        <w:lastRenderedPageBreak/>
        <w:tab/>
        <w:t>(2)</w:t>
      </w:r>
      <w:r>
        <w:rPr>
          <w:snapToGrid w:val="0"/>
        </w:rPr>
        <w:tab/>
        <w:t>The licensee shall ensure that the conduct of business at the licensed premises is personally supervised and managed — </w:t>
      </w:r>
    </w:p>
    <w:p>
      <w:pPr>
        <w:pStyle w:val="Indenta"/>
        <w:keepNext/>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in accordance with subsection (3) to act as a temporary manager of the premises.</w:t>
      </w:r>
    </w:p>
    <w:p>
      <w:pPr>
        <w:pStyle w:val="Penstart"/>
      </w:pPr>
      <w:r>
        <w:tab/>
        <w:t>Penalty: a fine of $10 000.</w:t>
      </w:r>
    </w:p>
    <w:p>
      <w:pPr>
        <w:pStyle w:val="Subsection"/>
      </w:pPr>
      <w:r>
        <w:lastRenderedPageBreak/>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 an approved unrestricted manager or an approved restricted manager</w:t>
      </w:r>
      <w:r>
        <w:rPr>
          <w:snapToGrid w:val="0"/>
        </w:rPr>
        <w:t xml:space="preserv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appointment of </w:t>
      </w:r>
      <w:r>
        <w:rPr>
          <w:snapToGrid w:val="0"/>
        </w:rPr>
        <w:t>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t>deleted]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lastRenderedPageBreak/>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No. 12 of 1998 s. 71; amended: No. 73 of 2006 s. 69 and 110; No. 56 of 2010 s. 15 and 69; No. 9 of 2018 s. 52.] </w:t>
      </w:r>
    </w:p>
    <w:p>
      <w:pPr>
        <w:pStyle w:val="Heading5"/>
        <w:rPr>
          <w:snapToGrid w:val="0"/>
        </w:rPr>
      </w:pPr>
      <w:bookmarkStart w:id="204" w:name="_Toc93934698"/>
      <w:r>
        <w:rPr>
          <w:rStyle w:val="CharSectno"/>
        </w:rPr>
        <w:t>101</w:t>
      </w:r>
      <w:r>
        <w:rPr>
          <w:snapToGrid w:val="0"/>
        </w:rPr>
        <w:t>.</w:t>
      </w:r>
      <w:r>
        <w:rPr>
          <w:snapToGrid w:val="0"/>
        </w:rPr>
        <w:tab/>
        <w:t>Managers etc., liabilities of</w:t>
      </w:r>
      <w:bookmarkEnd w:id="204"/>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keepNext/>
        <w:rPr>
          <w:snapToGrid w:val="0"/>
        </w:rPr>
      </w:pPr>
      <w:r>
        <w:rPr>
          <w:snapToGrid w:val="0"/>
        </w:rPr>
        <w:lastRenderedPageBreak/>
        <w:tab/>
        <w:t>(b)</w:t>
      </w:r>
      <w:r>
        <w:rPr>
          <w:snapToGrid w:val="0"/>
        </w:rPr>
        <w:tab/>
        <w:t>to conduct, supervise or manage the business carried on there under the licence, other than in accordance with section 100,</w:t>
      </w:r>
    </w:p>
    <w:p>
      <w:pPr>
        <w:pStyle w:val="Subsection"/>
        <w:keepNext/>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No. 12 of 1998 s. 72; No. 84 of 2004 s. 80; No. 73 of 2006 s. 110; No. 56 of 2010 s. 25 and 69.] </w:t>
      </w:r>
    </w:p>
    <w:p>
      <w:pPr>
        <w:pStyle w:val="Heading4"/>
      </w:pPr>
      <w:bookmarkStart w:id="205" w:name="_Toc93918154"/>
      <w:bookmarkStart w:id="206" w:name="_Toc93934699"/>
      <w:r>
        <w:t>Subdivision 2 — Approval of managers</w:t>
      </w:r>
      <w:bookmarkEnd w:id="205"/>
      <w:bookmarkEnd w:id="206"/>
    </w:p>
    <w:p>
      <w:pPr>
        <w:pStyle w:val="Footnoteheading"/>
      </w:pPr>
      <w:r>
        <w:tab/>
        <w:t>[Heading inserted: No. 56 of 2010 s. 16.]</w:t>
      </w:r>
    </w:p>
    <w:p>
      <w:pPr>
        <w:pStyle w:val="Heading5"/>
      </w:pPr>
      <w:bookmarkStart w:id="207" w:name="_Toc93934700"/>
      <w:r>
        <w:rPr>
          <w:rStyle w:val="CharSectno"/>
        </w:rPr>
        <w:t>102A</w:t>
      </w:r>
      <w:r>
        <w:t>.</w:t>
      </w:r>
      <w:r>
        <w:tab/>
        <w:t>Terms used</w:t>
      </w:r>
      <w:bookmarkEnd w:id="207"/>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No. 56 of 2010 s. 16.]</w:t>
      </w:r>
    </w:p>
    <w:p>
      <w:pPr>
        <w:pStyle w:val="Heading5"/>
      </w:pPr>
      <w:bookmarkStart w:id="208" w:name="_Toc93934701"/>
      <w:r>
        <w:rPr>
          <w:rStyle w:val="CharSectno"/>
        </w:rPr>
        <w:t>102B</w:t>
      </w:r>
      <w:r>
        <w:t>.</w:t>
      </w:r>
      <w:r>
        <w:tab/>
        <w:t>Applications for and granting approvals</w:t>
      </w:r>
      <w:bookmarkEnd w:id="208"/>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lastRenderedPageBreak/>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No. 56 of 2010 s. 16.]</w:t>
      </w:r>
    </w:p>
    <w:p>
      <w:pPr>
        <w:pStyle w:val="Heading5"/>
        <w:spacing w:before="180"/>
      </w:pPr>
      <w:bookmarkStart w:id="209" w:name="_Toc93934702"/>
      <w:r>
        <w:rPr>
          <w:rStyle w:val="CharSectno"/>
        </w:rPr>
        <w:t>102C</w:t>
      </w:r>
      <w:r>
        <w:t>.</w:t>
      </w:r>
      <w:r>
        <w:tab/>
        <w:t>Conditions on manager’s approval</w:t>
      </w:r>
      <w:bookmarkEnd w:id="209"/>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No. 56 of 2010 s. 16.]</w:t>
      </w:r>
    </w:p>
    <w:p>
      <w:pPr>
        <w:pStyle w:val="Heading5"/>
        <w:spacing w:before="180"/>
      </w:pPr>
      <w:bookmarkStart w:id="210" w:name="_Toc93934703"/>
      <w:r>
        <w:rPr>
          <w:rStyle w:val="CharSectno"/>
        </w:rPr>
        <w:t>102D</w:t>
      </w:r>
      <w:r>
        <w:t>.</w:t>
      </w:r>
      <w:r>
        <w:tab/>
        <w:t>Duration of manager’s approval</w:t>
      </w:r>
      <w:bookmarkEnd w:id="210"/>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No. 56 of 2010 s. 16.]</w:t>
      </w:r>
    </w:p>
    <w:p>
      <w:pPr>
        <w:pStyle w:val="Heading5"/>
        <w:keepNext w:val="0"/>
        <w:keepLines w:val="0"/>
        <w:spacing w:before="180"/>
      </w:pPr>
      <w:bookmarkStart w:id="211" w:name="_Toc93934704"/>
      <w:r>
        <w:rPr>
          <w:rStyle w:val="CharSectno"/>
        </w:rPr>
        <w:t>102E</w:t>
      </w:r>
      <w:r>
        <w:t>.</w:t>
      </w:r>
      <w:r>
        <w:tab/>
        <w:t>Renewal of manager’s approval</w:t>
      </w:r>
      <w:bookmarkEnd w:id="211"/>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keepNext/>
      </w:pPr>
      <w:r>
        <w:lastRenderedPageBreak/>
        <w:tab/>
        <w:t>(b)</w:t>
      </w:r>
      <w:r>
        <w:tab/>
        <w:t>is to be accompanied by the prescribed fee.</w:t>
      </w:r>
    </w:p>
    <w:p>
      <w:pPr>
        <w:pStyle w:val="Footnotesection"/>
        <w:keepNext/>
      </w:pPr>
      <w:r>
        <w:tab/>
        <w:t>[Section 102E inserted: No. 56 of 2010 s. 16.]</w:t>
      </w:r>
    </w:p>
    <w:p>
      <w:pPr>
        <w:pStyle w:val="Heading5"/>
        <w:spacing w:before="180"/>
      </w:pPr>
      <w:bookmarkStart w:id="212" w:name="_Toc93934705"/>
      <w:r>
        <w:rPr>
          <w:rStyle w:val="CharSectno"/>
        </w:rPr>
        <w:t>102F</w:t>
      </w:r>
      <w:r>
        <w:t>.</w:t>
      </w:r>
      <w:r>
        <w:tab/>
        <w:t>Disciplinary action against approved managers</w:t>
      </w:r>
      <w:bookmarkEnd w:id="212"/>
    </w:p>
    <w:p>
      <w:pPr>
        <w:pStyle w:val="Subsection"/>
        <w:keepNext/>
        <w:spacing w:before="120"/>
        <w:rPr>
          <w:snapToGrid w:val="0"/>
        </w:rPr>
      </w:pPr>
      <w:r>
        <w:rPr>
          <w:snapToGrid w:val="0"/>
        </w:rPr>
        <w:tab/>
        <w:t>(1)</w:t>
      </w:r>
      <w:r>
        <w:rPr>
          <w:snapToGrid w:val="0"/>
        </w:rPr>
        <w:tab/>
        <w:t>There are grounds for taking action against an approved manager under this section if —</w:t>
      </w:r>
    </w:p>
    <w:p>
      <w:pPr>
        <w:pStyle w:val="Indenta"/>
        <w:keepNext/>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lastRenderedPageBreak/>
        <w:tab/>
        <w:t>[Section 102F inserted: No. 56 of 2010 s. 16.]</w:t>
      </w:r>
    </w:p>
    <w:p>
      <w:pPr>
        <w:pStyle w:val="Heading5"/>
      </w:pPr>
      <w:bookmarkStart w:id="213" w:name="_Toc93934706"/>
      <w:r>
        <w:rPr>
          <w:rStyle w:val="CharSectno"/>
        </w:rPr>
        <w:t>102G</w:t>
      </w:r>
      <w:r>
        <w:t>.</w:t>
      </w:r>
      <w:r>
        <w:tab/>
        <w:t>Approval may be cancelled on request</w:t>
      </w:r>
      <w:bookmarkEnd w:id="213"/>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No. 56 of 2010 s. 16.]</w:t>
      </w:r>
    </w:p>
    <w:p>
      <w:pPr>
        <w:pStyle w:val="Heading4"/>
      </w:pPr>
      <w:bookmarkStart w:id="214" w:name="_Toc93918162"/>
      <w:bookmarkStart w:id="215" w:name="_Toc93934707"/>
      <w:r>
        <w:t>Subdivision 3 — General matters</w:t>
      </w:r>
      <w:bookmarkEnd w:id="214"/>
      <w:bookmarkEnd w:id="215"/>
    </w:p>
    <w:p>
      <w:pPr>
        <w:pStyle w:val="Footnoteheading"/>
      </w:pPr>
      <w:r>
        <w:tab/>
        <w:t>[Heading inserted: No. 56 of 2010 s. 17.]</w:t>
      </w:r>
    </w:p>
    <w:p>
      <w:pPr>
        <w:pStyle w:val="Heading5"/>
        <w:rPr>
          <w:snapToGrid w:val="0"/>
        </w:rPr>
      </w:pPr>
      <w:bookmarkStart w:id="216" w:name="_Toc93934708"/>
      <w:r>
        <w:rPr>
          <w:rStyle w:val="CharSectno"/>
        </w:rPr>
        <w:t>102</w:t>
      </w:r>
      <w:r>
        <w:rPr>
          <w:snapToGrid w:val="0"/>
        </w:rPr>
        <w:t>.</w:t>
      </w:r>
      <w:r>
        <w:rPr>
          <w:snapToGrid w:val="0"/>
        </w:rPr>
        <w:tab/>
        <w:t>Management and control of incorporated licensees, approvals required</w:t>
      </w:r>
      <w:bookmarkEnd w:id="216"/>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lastRenderedPageBreak/>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No. 73 of 2006 s. 70 and 110; No. 56 of 2010 s. 69.]</w:t>
      </w:r>
    </w:p>
    <w:p>
      <w:pPr>
        <w:pStyle w:val="Heading5"/>
        <w:spacing w:before="240"/>
        <w:rPr>
          <w:snapToGrid w:val="0"/>
        </w:rPr>
      </w:pPr>
      <w:bookmarkStart w:id="217" w:name="_Toc93934709"/>
      <w:r>
        <w:rPr>
          <w:rStyle w:val="CharSectno"/>
        </w:rPr>
        <w:t>103</w:t>
      </w:r>
      <w:r>
        <w:rPr>
          <w:snapToGrid w:val="0"/>
        </w:rPr>
        <w:t>.</w:t>
      </w:r>
      <w:r>
        <w:rPr>
          <w:snapToGrid w:val="0"/>
        </w:rPr>
        <w:tab/>
        <w:t>Owners of licensed premises to notify Director of certain matters</w:t>
      </w:r>
      <w:bookmarkEnd w:id="217"/>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No. 56 of 2010 s. 69.]</w:t>
      </w:r>
    </w:p>
    <w:p>
      <w:pPr>
        <w:pStyle w:val="Heading3"/>
        <w:keepLines/>
        <w:spacing w:before="180"/>
      </w:pPr>
      <w:bookmarkStart w:id="218" w:name="_Toc93918165"/>
      <w:bookmarkStart w:id="219" w:name="_Toc93934710"/>
      <w:r>
        <w:rPr>
          <w:rStyle w:val="CharDivNo"/>
        </w:rPr>
        <w:lastRenderedPageBreak/>
        <w:t>Division 3A</w:t>
      </w:r>
      <w:r>
        <w:t> — </w:t>
      </w:r>
      <w:r>
        <w:rPr>
          <w:rStyle w:val="CharDivText"/>
        </w:rPr>
        <w:t>Responsible practices in selling, supplying and serving liquor</w:t>
      </w:r>
      <w:bookmarkEnd w:id="218"/>
      <w:bookmarkEnd w:id="219"/>
    </w:p>
    <w:p>
      <w:pPr>
        <w:pStyle w:val="Footnoteheading"/>
        <w:keepNext/>
        <w:keepLines/>
      </w:pPr>
      <w:r>
        <w:tab/>
        <w:t>[Heading inserted: No. 73 of 2006 s. 71.]</w:t>
      </w:r>
    </w:p>
    <w:p>
      <w:pPr>
        <w:pStyle w:val="Heading5"/>
        <w:spacing w:before="180"/>
      </w:pPr>
      <w:bookmarkStart w:id="220" w:name="_Toc93934711"/>
      <w:r>
        <w:rPr>
          <w:rStyle w:val="CharSectno"/>
        </w:rPr>
        <w:t>103AA</w:t>
      </w:r>
      <w:r>
        <w:t>.</w:t>
      </w:r>
      <w:r>
        <w:tab/>
        <w:t>Register of responsible practices’ training</w:t>
      </w:r>
      <w:bookmarkEnd w:id="220"/>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No. 35 of 2015 s. 15.]</w:t>
      </w:r>
    </w:p>
    <w:p>
      <w:pPr>
        <w:pStyle w:val="Heading5"/>
        <w:spacing w:before="180"/>
      </w:pPr>
      <w:bookmarkStart w:id="221" w:name="_Toc93934712"/>
      <w:r>
        <w:rPr>
          <w:rStyle w:val="CharSectno"/>
        </w:rPr>
        <w:t>103A</w:t>
      </w:r>
      <w:r>
        <w:t>.</w:t>
      </w:r>
      <w:r>
        <w:tab/>
        <w:t>Regulations about training people in responsible practices</w:t>
      </w:r>
      <w:bookmarkEnd w:id="221"/>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 xml:space="preserve">to complete successfully within a specified period a course of training or an assessment, approved by the </w:t>
      </w:r>
      <w:r>
        <w:lastRenderedPageBreak/>
        <w:t>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No. 73 of 2006 s. 71; amended: No. 56 of 2010 s. 25 and 50; No. 35 of 2015 s. 16.]</w:t>
      </w:r>
    </w:p>
    <w:p>
      <w:pPr>
        <w:pStyle w:val="Heading3"/>
        <w:spacing w:before="180"/>
        <w:rPr>
          <w:snapToGrid w:val="0"/>
        </w:rPr>
      </w:pPr>
      <w:bookmarkStart w:id="222" w:name="_Toc93918168"/>
      <w:bookmarkStart w:id="223" w:name="_Toc93934713"/>
      <w:r>
        <w:rPr>
          <w:rStyle w:val="CharDivNo"/>
        </w:rPr>
        <w:t>Division 4</w:t>
      </w:r>
      <w:r>
        <w:rPr>
          <w:snapToGrid w:val="0"/>
        </w:rPr>
        <w:t> — </w:t>
      </w:r>
      <w:r>
        <w:rPr>
          <w:rStyle w:val="CharDivText"/>
        </w:rPr>
        <w:t>Profit sharing</w:t>
      </w:r>
      <w:bookmarkEnd w:id="222"/>
      <w:bookmarkEnd w:id="223"/>
      <w:r>
        <w:rPr>
          <w:rStyle w:val="CharDivText"/>
        </w:rPr>
        <w:t xml:space="preserve"> </w:t>
      </w:r>
    </w:p>
    <w:p>
      <w:pPr>
        <w:pStyle w:val="Heading5"/>
        <w:spacing w:before="180"/>
        <w:rPr>
          <w:snapToGrid w:val="0"/>
        </w:rPr>
      </w:pPr>
      <w:bookmarkStart w:id="224" w:name="_Toc93934714"/>
      <w:r>
        <w:rPr>
          <w:rStyle w:val="CharSectno"/>
        </w:rPr>
        <w:t>104</w:t>
      </w:r>
      <w:r>
        <w:rPr>
          <w:snapToGrid w:val="0"/>
        </w:rPr>
        <w:t>.</w:t>
      </w:r>
      <w:r>
        <w:rPr>
          <w:snapToGrid w:val="0"/>
        </w:rPr>
        <w:tab/>
        <w:t>Profit sharing etc. prohibited without approval</w:t>
      </w:r>
      <w:bookmarkEnd w:id="224"/>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lastRenderedPageBreak/>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lastRenderedPageBreak/>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No. 12 of 1998 s. 73; No. 73 of 2006 s. 72, 92(2) and 110; No. 56 of 2010 s. 69.] </w:t>
      </w:r>
    </w:p>
    <w:p>
      <w:pPr>
        <w:pStyle w:val="Heading3"/>
        <w:rPr>
          <w:snapToGrid w:val="0"/>
        </w:rPr>
      </w:pPr>
      <w:bookmarkStart w:id="225" w:name="_Toc93918170"/>
      <w:bookmarkStart w:id="226" w:name="_Toc93934715"/>
      <w:r>
        <w:rPr>
          <w:rStyle w:val="CharDivNo"/>
        </w:rPr>
        <w:t>Division 5</w:t>
      </w:r>
      <w:r>
        <w:rPr>
          <w:snapToGrid w:val="0"/>
        </w:rPr>
        <w:t> — </w:t>
      </w:r>
      <w:r>
        <w:rPr>
          <w:rStyle w:val="CharDivText"/>
        </w:rPr>
        <w:t>Lodgers</w:t>
      </w:r>
      <w:bookmarkEnd w:id="225"/>
      <w:bookmarkEnd w:id="226"/>
      <w:r>
        <w:rPr>
          <w:rStyle w:val="CharDivText"/>
        </w:rPr>
        <w:t xml:space="preserve"> </w:t>
      </w:r>
    </w:p>
    <w:p>
      <w:pPr>
        <w:pStyle w:val="Heading5"/>
        <w:rPr>
          <w:snapToGrid w:val="0"/>
        </w:rPr>
      </w:pPr>
      <w:bookmarkStart w:id="227" w:name="_Toc93934716"/>
      <w:r>
        <w:rPr>
          <w:rStyle w:val="CharSectno"/>
        </w:rPr>
        <w:t>105</w:t>
      </w:r>
      <w:r>
        <w:rPr>
          <w:snapToGrid w:val="0"/>
        </w:rPr>
        <w:t>.</w:t>
      </w:r>
      <w:r>
        <w:rPr>
          <w:snapToGrid w:val="0"/>
        </w:rPr>
        <w:tab/>
        <w:t>Persons deemed lodgers of licensed premises in some cases</w:t>
      </w:r>
      <w:bookmarkEnd w:id="227"/>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No. 23 of 2000 s. 7; No. 73 of 2006 s. 73 and 108.]</w:t>
      </w:r>
    </w:p>
    <w:p>
      <w:pPr>
        <w:pStyle w:val="Heading5"/>
        <w:spacing w:before="180"/>
        <w:rPr>
          <w:snapToGrid w:val="0"/>
        </w:rPr>
      </w:pPr>
      <w:bookmarkStart w:id="228" w:name="_Toc93934717"/>
      <w:r>
        <w:rPr>
          <w:rStyle w:val="CharSectno"/>
        </w:rPr>
        <w:t>106</w:t>
      </w:r>
      <w:r>
        <w:rPr>
          <w:snapToGrid w:val="0"/>
        </w:rPr>
        <w:t>.</w:t>
      </w:r>
      <w:r>
        <w:rPr>
          <w:snapToGrid w:val="0"/>
        </w:rPr>
        <w:tab/>
        <w:t>Liquor supplied to lodgers etc., conditions applying to</w:t>
      </w:r>
      <w:bookmarkEnd w:id="228"/>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lastRenderedPageBreak/>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lastRenderedPageBreak/>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No. 12 of 1998 s. 74; No. 73 of 2006 s. 74 and 110; No. 56 of 2010 s. 51.] </w:t>
      </w:r>
    </w:p>
    <w:p>
      <w:pPr>
        <w:pStyle w:val="Heading5"/>
        <w:rPr>
          <w:snapToGrid w:val="0"/>
        </w:rPr>
      </w:pPr>
      <w:bookmarkStart w:id="229" w:name="_Toc93934718"/>
      <w:r>
        <w:rPr>
          <w:rStyle w:val="CharSectno"/>
        </w:rPr>
        <w:t>107</w:t>
      </w:r>
      <w:r>
        <w:rPr>
          <w:snapToGrid w:val="0"/>
        </w:rPr>
        <w:t>.</w:t>
      </w:r>
      <w:r>
        <w:rPr>
          <w:snapToGrid w:val="0"/>
        </w:rPr>
        <w:tab/>
        <w:t>Loss of lodger’s property, licensee’s liability for</w:t>
      </w:r>
      <w:bookmarkEnd w:id="229"/>
    </w:p>
    <w:p>
      <w:pPr>
        <w:pStyle w:val="Subsection"/>
        <w:keepNext/>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keepNext/>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30" w:name="_Toc93918174"/>
      <w:bookmarkStart w:id="231" w:name="_Toc93934719"/>
      <w:r>
        <w:rPr>
          <w:rStyle w:val="CharDivNo"/>
        </w:rPr>
        <w:t>Division 6</w:t>
      </w:r>
      <w:r>
        <w:rPr>
          <w:snapToGrid w:val="0"/>
        </w:rPr>
        <w:t> — </w:t>
      </w:r>
      <w:r>
        <w:rPr>
          <w:rStyle w:val="CharDivText"/>
        </w:rPr>
        <w:t>The sale and consumption of liquor, etc.</w:t>
      </w:r>
      <w:bookmarkEnd w:id="230"/>
      <w:bookmarkEnd w:id="231"/>
      <w:r>
        <w:rPr>
          <w:rStyle w:val="CharDivText"/>
        </w:rPr>
        <w:t xml:space="preserve"> </w:t>
      </w:r>
    </w:p>
    <w:p>
      <w:pPr>
        <w:pStyle w:val="Heading5"/>
      </w:pPr>
      <w:bookmarkStart w:id="232" w:name="_Toc93934720"/>
      <w:r>
        <w:rPr>
          <w:rStyle w:val="CharSectno"/>
        </w:rPr>
        <w:t>108</w:t>
      </w:r>
      <w:r>
        <w:t>.</w:t>
      </w:r>
      <w:r>
        <w:tab/>
        <w:t>Certain licensees to exhibit charges for meals and liquor</w:t>
      </w:r>
      <w:bookmarkEnd w:id="232"/>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lastRenderedPageBreak/>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No. 73 of 2006 s. 75; amended: No. 56 of 2010 s. 69.]</w:t>
      </w:r>
    </w:p>
    <w:p>
      <w:pPr>
        <w:pStyle w:val="Heading5"/>
        <w:spacing w:before="240"/>
        <w:rPr>
          <w:snapToGrid w:val="0"/>
        </w:rPr>
      </w:pPr>
      <w:bookmarkStart w:id="233" w:name="_Toc93934721"/>
      <w:r>
        <w:rPr>
          <w:rStyle w:val="CharSectno"/>
        </w:rPr>
        <w:t>109</w:t>
      </w:r>
      <w:r>
        <w:rPr>
          <w:snapToGrid w:val="0"/>
        </w:rPr>
        <w:t>.</w:t>
      </w:r>
      <w:r>
        <w:rPr>
          <w:snapToGrid w:val="0"/>
        </w:rPr>
        <w:tab/>
        <w:t>Sale of liquor, offences as to</w:t>
      </w:r>
      <w:bookmarkEnd w:id="233"/>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lastRenderedPageBreak/>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keepLines/>
        <w:rPr>
          <w:snapToGrid w:val="0"/>
        </w:rPr>
      </w:pPr>
      <w:r>
        <w:rPr>
          <w:snapToGrid w:val="0"/>
        </w:rPr>
        <w:lastRenderedPageBreak/>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No. 84 of 2004 s. 80 and 82; No. 73 of 2006 s. 76 and 110; No. 56 of 2010 s. 52.] </w:t>
      </w:r>
    </w:p>
    <w:p>
      <w:pPr>
        <w:pStyle w:val="Heading5"/>
      </w:pPr>
      <w:bookmarkStart w:id="234" w:name="_Toc93934722"/>
      <w:r>
        <w:rPr>
          <w:rStyle w:val="CharSectno"/>
        </w:rPr>
        <w:t>109A</w:t>
      </w:r>
      <w:r>
        <w:t>.</w:t>
      </w:r>
      <w:r>
        <w:tab/>
        <w:t>Offence to carry liquor in excess of prescribed quantity in prescribed area of State</w:t>
      </w:r>
      <w:bookmarkEnd w:id="234"/>
    </w:p>
    <w:p>
      <w:pPr>
        <w:pStyle w:val="Subsection"/>
      </w:pPr>
      <w:r>
        <w:tab/>
        <w:t>(1)</w:t>
      </w:r>
      <w:r>
        <w:tab/>
        <w:t xml:space="preserve">In this section — </w:t>
      </w:r>
    </w:p>
    <w:p>
      <w:pPr>
        <w:pStyle w:val="Defstart"/>
      </w:pPr>
      <w:r>
        <w:tab/>
      </w:r>
      <w:r>
        <w:rPr>
          <w:rStyle w:val="CharDefText"/>
        </w:rPr>
        <w:t>driver</w:t>
      </w:r>
      <w:r>
        <w:t>, in relation to a vehicle, means a person who has control over the steering, movement or propulsion of the vehicle;</w:t>
      </w:r>
    </w:p>
    <w:p>
      <w:pPr>
        <w:pStyle w:val="Defstart"/>
      </w:pPr>
      <w:r>
        <w:tab/>
      </w:r>
      <w:r>
        <w:rPr>
          <w:rStyle w:val="CharDefText"/>
        </w:rPr>
        <w:t>vehicle</w:t>
      </w:r>
      <w:r>
        <w:t>, without limiting the definition of that term in section 3(1), includes a trailer, semi</w:t>
      </w:r>
      <w:r>
        <w:noBreakHyphen/>
        <w:t>trailer or caravan attached to another vehicle.</w:t>
      </w:r>
    </w:p>
    <w:p>
      <w:pPr>
        <w:pStyle w:val="Subsection"/>
      </w:pPr>
      <w:r>
        <w:tab/>
        <w:t>(2)</w:t>
      </w:r>
      <w:r>
        <w:tab/>
        <w:t>A person who, in a prescribed area of the State, carries a kind of liquor in a quantity that exceeds the quantity prescribed for that kind of liquor commits an offence.</w:t>
      </w:r>
    </w:p>
    <w:p>
      <w:pPr>
        <w:pStyle w:val="Penstart"/>
      </w:pPr>
      <w:r>
        <w:tab/>
        <w:t>Penalty for this subsection: a fine of $10 000.</w:t>
      </w:r>
    </w:p>
    <w:p>
      <w:pPr>
        <w:pStyle w:val="Subsection"/>
      </w:pPr>
      <w:r>
        <w:lastRenderedPageBreak/>
        <w:tab/>
        <w:t>(3)</w:t>
      </w:r>
      <w:r>
        <w:tab/>
        <w:t>For the purposes of subsection (2), if liquor is carried in or on a vehicle the driver of the vehicle is taken to be the person who carries the liquor.</w:t>
      </w:r>
    </w:p>
    <w:p>
      <w:pPr>
        <w:pStyle w:val="Subsection"/>
      </w:pPr>
      <w:r>
        <w:tab/>
        <w:t>(4)</w:t>
      </w:r>
      <w:r>
        <w:tab/>
        <w:t xml:space="preserve">It is a defence to a charge of an offence under subsection (2) to prove that the liquor was carried — </w:t>
      </w:r>
    </w:p>
    <w:p>
      <w:pPr>
        <w:pStyle w:val="Indenta"/>
      </w:pPr>
      <w:r>
        <w:tab/>
        <w:t>(a)</w:t>
      </w:r>
      <w:r>
        <w:tab/>
        <w:t>for the purpose of a sale that may lawfully be made; or</w:t>
      </w:r>
    </w:p>
    <w:p>
      <w:pPr>
        <w:pStyle w:val="Indenta"/>
      </w:pPr>
      <w:r>
        <w:tab/>
        <w:t>(b)</w:t>
      </w:r>
      <w:r>
        <w:tab/>
        <w:t>by a person of a prescribed class; or</w:t>
      </w:r>
    </w:p>
    <w:p>
      <w:pPr>
        <w:pStyle w:val="Indenta"/>
      </w:pPr>
      <w:r>
        <w:tab/>
        <w:t>(c)</w:t>
      </w:r>
      <w:r>
        <w:tab/>
        <w:t>in or on a vehicle of a prescribed class; or</w:t>
      </w:r>
    </w:p>
    <w:p>
      <w:pPr>
        <w:pStyle w:val="Indenta"/>
      </w:pPr>
      <w:r>
        <w:tab/>
        <w:t>(d)</w:t>
      </w:r>
      <w:r>
        <w:tab/>
        <w:t>in prescribed circumstances.</w:t>
      </w:r>
    </w:p>
    <w:p>
      <w:pPr>
        <w:pStyle w:val="Subsection"/>
      </w:pPr>
      <w:r>
        <w:tab/>
        <w:t>(5)</w:t>
      </w:r>
      <w:r>
        <w:tab/>
        <w:t>Regulations made for the purposes of subsection (2) may prescribe different quantities for different areas of the State.</w:t>
      </w:r>
    </w:p>
    <w:p>
      <w:pPr>
        <w:pStyle w:val="Footnotesection"/>
        <w:ind w:left="890" w:hanging="890"/>
      </w:pPr>
      <w:r>
        <w:tab/>
        <w:t>[Section 109A inserted: No. 9 of 2018 s. 53.]</w:t>
      </w:r>
    </w:p>
    <w:p>
      <w:pPr>
        <w:pStyle w:val="Heading5"/>
        <w:keepLines w:val="0"/>
        <w:spacing w:before="240"/>
        <w:rPr>
          <w:snapToGrid w:val="0"/>
        </w:rPr>
      </w:pPr>
      <w:bookmarkStart w:id="235" w:name="_Toc93934723"/>
      <w:r>
        <w:rPr>
          <w:rStyle w:val="CharSectno"/>
        </w:rPr>
        <w:t>110</w:t>
      </w:r>
      <w:r>
        <w:rPr>
          <w:snapToGrid w:val="0"/>
        </w:rPr>
        <w:t>.</w:t>
      </w:r>
      <w:r>
        <w:rPr>
          <w:snapToGrid w:val="0"/>
        </w:rPr>
        <w:tab/>
        <w:t>Licensed premises and sports arenas, offences as to</w:t>
      </w:r>
      <w:bookmarkEnd w:id="235"/>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lastRenderedPageBreak/>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keepNext/>
      </w:pPr>
      <w:r>
        <w:lastRenderedPageBreak/>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keepNext/>
      </w:pPr>
      <w:r>
        <w:tab/>
        <w:t>(4A)</w:t>
      </w:r>
      <w:r>
        <w:tab/>
        <w:t>A person attending a public event at a sports arena commits an offence if, without the consent of the licensee, the person —</w:t>
      </w:r>
    </w:p>
    <w:p>
      <w:pPr>
        <w:pStyle w:val="Indenta"/>
        <w:keepNext/>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lastRenderedPageBreak/>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pPr>
      <w:r>
        <w:tab/>
        <w:t>(6A)</w:t>
      </w:r>
      <w:r>
        <w:tab/>
        <w:t xml:space="preserve">If, under a licence, wine is sold to a person (the </w:t>
      </w:r>
      <w:r>
        <w:rPr>
          <w:rStyle w:val="CharDefText"/>
        </w:rPr>
        <w:t>purchaser</w:t>
      </w:r>
      <w:r>
        <w:t>) for consumption on the licensed premises ancillary to a meal provided by the licensee, then, despite any other provision of this Act, it is lawful for the purchaser subsequently to take from the licensed premises any opened container of the wine if its contents have been partially consumed.</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 xml:space="preserve">sells or supplies, or causes or permits to be sold or supplied, or keeps on the licensed premises, any liquor </w:t>
      </w:r>
      <w:r>
        <w:rPr>
          <w:snapToGrid w:val="0"/>
        </w:rPr>
        <w:lastRenderedPageBreak/>
        <w:t>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No. 12 of 1998 s. 76; No. 73 of 2006 s. 77 and 110; No. 56 of 2010 s. 53 and 69; No. 35 of 2015 s. 17; No. 9 of 2018 s. 54.] </w:t>
      </w:r>
    </w:p>
    <w:p>
      <w:pPr>
        <w:pStyle w:val="Heading5"/>
        <w:rPr>
          <w:snapToGrid w:val="0"/>
        </w:rPr>
      </w:pPr>
      <w:bookmarkStart w:id="236" w:name="_Toc93934724"/>
      <w:r>
        <w:rPr>
          <w:rStyle w:val="CharSectno"/>
        </w:rPr>
        <w:t>111</w:t>
      </w:r>
      <w:r>
        <w:rPr>
          <w:snapToGrid w:val="0"/>
        </w:rPr>
        <w:t>.</w:t>
      </w:r>
      <w:r>
        <w:rPr>
          <w:snapToGrid w:val="0"/>
        </w:rPr>
        <w:tab/>
        <w:t>Trading outside permitted hours, offences as to</w:t>
      </w:r>
      <w:bookmarkEnd w:id="236"/>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lastRenderedPageBreak/>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No. 12 of 1998 s. 77; No. 73 of 2006 s. 110; No. 56 of 2010 s. 54 and 69.] </w:t>
      </w:r>
    </w:p>
    <w:p>
      <w:pPr>
        <w:pStyle w:val="Heading5"/>
        <w:keepNext w:val="0"/>
        <w:keepLines w:val="0"/>
        <w:rPr>
          <w:snapToGrid w:val="0"/>
        </w:rPr>
      </w:pPr>
      <w:bookmarkStart w:id="237" w:name="_Toc93934725"/>
      <w:r>
        <w:rPr>
          <w:rStyle w:val="CharSectno"/>
        </w:rPr>
        <w:t>112</w:t>
      </w:r>
      <w:r>
        <w:rPr>
          <w:snapToGrid w:val="0"/>
        </w:rPr>
        <w:t>.</w:t>
      </w:r>
      <w:r>
        <w:rPr>
          <w:snapToGrid w:val="0"/>
        </w:rPr>
        <w:tab/>
        <w:t>Exceptions to s. 109, 110 and 111</w:t>
      </w:r>
      <w:bookmarkEnd w:id="237"/>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 xml:space="preserve">during the first </w:t>
      </w:r>
      <w:r>
        <w:t>30</w:t>
      </w:r>
      <w:r>
        <w:rPr>
          <w:snapToGrid w:val="0"/>
        </w:rPr>
        <w:t xml:space="preserve">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lastRenderedPageBreak/>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No. 12 of 1998 s. 78; No. 84 of 2004 s. 80; No. 9 of 2018 s. 55.] </w:t>
      </w:r>
    </w:p>
    <w:p>
      <w:pPr>
        <w:pStyle w:val="Heading5"/>
        <w:keepNext w:val="0"/>
        <w:keepLines w:val="0"/>
        <w:rPr>
          <w:snapToGrid w:val="0"/>
        </w:rPr>
      </w:pPr>
      <w:bookmarkStart w:id="238" w:name="_Toc93934726"/>
      <w:r>
        <w:rPr>
          <w:rStyle w:val="CharSectno"/>
        </w:rPr>
        <w:t>113</w:t>
      </w:r>
      <w:r>
        <w:rPr>
          <w:snapToGrid w:val="0"/>
        </w:rPr>
        <w:t>.</w:t>
      </w:r>
      <w:r>
        <w:rPr>
          <w:snapToGrid w:val="0"/>
        </w:rPr>
        <w:tab/>
        <w:t>Offence under s. 109, 110 or 111, finding as to unlawful dealing in liquor; forfeiture of liquor</w:t>
      </w:r>
      <w:bookmarkEnd w:id="238"/>
    </w:p>
    <w:p>
      <w:pPr>
        <w:pStyle w:val="Subsection"/>
        <w:widowControl w:val="0"/>
        <w:rPr>
          <w:snapToGrid w:val="0"/>
        </w:rPr>
      </w:pPr>
      <w:r>
        <w:rPr>
          <w:snapToGrid w:val="0"/>
        </w:rPr>
        <w:tab/>
        <w:t>(1)</w:t>
      </w:r>
      <w:r>
        <w:rPr>
          <w:snapToGrid w:val="0"/>
        </w:rPr>
        <w:tab/>
        <w:t xml:space="preserve">A person who is charged with an offence under section 109, 110 or 111 may in the same proceedings be found, for the purposes </w:t>
      </w:r>
      <w:r>
        <w:rPr>
          <w:snapToGrid w:val="0"/>
        </w:rPr>
        <w:lastRenderedPageBreak/>
        <w:t>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No. 6 of 1993 s. 11; No. 49 of 1996 s. 64; No. 59 of 2006 s. 54; No. 77 of 2006 s. 4.]</w:t>
      </w:r>
    </w:p>
    <w:p>
      <w:pPr>
        <w:pStyle w:val="Heading5"/>
      </w:pPr>
      <w:bookmarkStart w:id="239" w:name="_Toc93934727"/>
      <w:r>
        <w:rPr>
          <w:rStyle w:val="CharSectno"/>
        </w:rPr>
        <w:t>113A</w:t>
      </w:r>
      <w:r>
        <w:t>.</w:t>
      </w:r>
      <w:r>
        <w:tab/>
        <w:t>Websites of some licensees, information to be displayed on</w:t>
      </w:r>
      <w:bookmarkEnd w:id="239"/>
    </w:p>
    <w:p>
      <w:pPr>
        <w:pStyle w:val="Subsection"/>
        <w:keepNext/>
      </w:pPr>
      <w:r>
        <w:tab/>
      </w:r>
      <w:r>
        <w:tab/>
      </w:r>
      <w:r>
        <w:rPr>
          <w:snapToGrid w:val="0"/>
        </w:rPr>
        <w:t>Where</w:t>
      </w:r>
      <w:r>
        <w:t xml:space="preserve"> — </w:t>
      </w:r>
    </w:p>
    <w:p>
      <w:pPr>
        <w:pStyle w:val="Indenta"/>
        <w:keepNext/>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No. 73 of 2006 s. 78; amended: No. 56 of 2010 s. 69.]</w:t>
      </w:r>
    </w:p>
    <w:p>
      <w:pPr>
        <w:pStyle w:val="Heading5"/>
        <w:rPr>
          <w:snapToGrid w:val="0"/>
        </w:rPr>
      </w:pPr>
      <w:bookmarkStart w:id="240" w:name="_Toc93934728"/>
      <w:r>
        <w:rPr>
          <w:rStyle w:val="CharSectno"/>
        </w:rPr>
        <w:t>114</w:t>
      </w:r>
      <w:r>
        <w:rPr>
          <w:snapToGrid w:val="0"/>
        </w:rPr>
        <w:t>.</w:t>
      </w:r>
      <w:r>
        <w:rPr>
          <w:snapToGrid w:val="0"/>
        </w:rPr>
        <w:tab/>
        <w:t>Closure of licensed premises, police powers as to</w:t>
      </w:r>
      <w:bookmarkEnd w:id="240"/>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lastRenderedPageBreak/>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No. 12 of 1998 s. 79; No. 73 of 2006 s. 79, 109 and 110; No. 56 of 2010 s. 55.] </w:t>
      </w:r>
    </w:p>
    <w:p>
      <w:pPr>
        <w:pStyle w:val="Heading5"/>
        <w:rPr>
          <w:snapToGrid w:val="0"/>
        </w:rPr>
      </w:pPr>
      <w:bookmarkStart w:id="241" w:name="_Toc93934729"/>
      <w:r>
        <w:rPr>
          <w:rStyle w:val="CharSectno"/>
        </w:rPr>
        <w:t>115</w:t>
      </w:r>
      <w:r>
        <w:rPr>
          <w:snapToGrid w:val="0"/>
        </w:rPr>
        <w:t>.</w:t>
      </w:r>
      <w:r>
        <w:rPr>
          <w:snapToGrid w:val="0"/>
        </w:rPr>
        <w:tab/>
        <w:t>Drunk etc. people, offences as to, refusal of entry to etc.</w:t>
      </w:r>
      <w:bookmarkEnd w:id="241"/>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lastRenderedPageBreak/>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Penalty for this subsection:</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Penalty for this subsection:</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 xml:space="preserve">It is a defence to a charge of an offence against subsection (2)(a) of selling or supplying liquor to a drunk person to show that the </w:t>
      </w:r>
      <w:r>
        <w:lastRenderedPageBreak/>
        <w:t>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lastRenderedPageBreak/>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pPr>
      <w:r>
        <w:tab/>
        <w:t>(4B)</w:t>
      </w:r>
      <w:r>
        <w:tab/>
        <w:t>A person commits an offence if the person does not leave licensed premises or a part of licensed premises after being required under subsection (4)(b) to do so.</w:t>
      </w:r>
    </w:p>
    <w:p>
      <w:pPr>
        <w:pStyle w:val="Penstart"/>
      </w:pPr>
      <w:r>
        <w:tab/>
        <w:t>Penalty for this subsection: a fine of $5 000.</w:t>
      </w:r>
    </w:p>
    <w:p>
      <w:pPr>
        <w:pStyle w:val="Subsection"/>
        <w:keepNext/>
        <w:rPr>
          <w:snapToGrid w:val="0"/>
        </w:rPr>
      </w:pPr>
      <w:r>
        <w:rPr>
          <w:snapToGrid w:val="0"/>
        </w:rPr>
        <w:tab/>
        <w:t>(5)</w:t>
      </w:r>
      <w:r>
        <w:rPr>
          <w:snapToGrid w:val="0"/>
        </w:rPr>
        <w:tab/>
      </w:r>
      <w:r>
        <w:t>A person commits an offence if the person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w:t>
      </w:r>
    </w:p>
    <w:p>
      <w:pPr>
        <w:pStyle w:val="Ednotepara"/>
      </w:pPr>
      <w:r>
        <w:lastRenderedPageBreak/>
        <w:tab/>
        <w:t>[(c)</w:t>
      </w:r>
      <w:r>
        <w:tab/>
        <w:t>deleted]</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for this subsection: a fine of $5 000.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lastRenderedPageBreak/>
        <w:tab/>
        <w:t>(9)</w:t>
      </w:r>
      <w:r>
        <w:tab/>
        <w:t>This section does not limit any other right to refuse a person entry to premises or to remove a person from premises.</w:t>
      </w:r>
    </w:p>
    <w:p>
      <w:pPr>
        <w:pStyle w:val="Footnotesection"/>
      </w:pPr>
      <w:r>
        <w:tab/>
        <w:t xml:space="preserve">[Section 115 amended: No. 12 of 1998 s. 80; No. 35 of 2003 s. 173(3); No. 73 of 2006 s. 80, 109 and 110; No. 56 of 2010 s. 25, 56 and 69; No. 9 of 2018 s. 56.] </w:t>
      </w:r>
    </w:p>
    <w:p>
      <w:pPr>
        <w:pStyle w:val="Heading5"/>
      </w:pPr>
      <w:bookmarkStart w:id="242" w:name="_Toc93934730"/>
      <w:r>
        <w:rPr>
          <w:rStyle w:val="CharSectno"/>
        </w:rPr>
        <w:t>115AA</w:t>
      </w:r>
      <w:r>
        <w:t>.</w:t>
      </w:r>
      <w:r>
        <w:tab/>
        <w:t>Banning people from licensed premises, Commissioner of Police’s power for</w:t>
      </w:r>
      <w:bookmarkEnd w:id="242"/>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or in the vicinity of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lastRenderedPageBreak/>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(7B)</w:t>
      </w:r>
      <w:r>
        <w:tab/>
        <w:t>The reference in subsection (7A) to performing duties relating to the person’s work does not include attending a function associated with the person’s work that is held on the premises.</w:t>
      </w:r>
    </w:p>
    <w:p>
      <w:pPr>
        <w:pStyle w:val="Subsection"/>
      </w:pPr>
      <w:r>
        <w:tab/>
        <w:t>(7)</w:t>
      </w:r>
      <w:r>
        <w:tab/>
        <w:t>The Commissioner of Police may revoke a notice under subsection (2) by giving to the person a notice of revocation.</w:t>
      </w:r>
    </w:p>
    <w:p>
      <w:pPr>
        <w:pStyle w:val="Subsection"/>
        <w:keepNext/>
      </w:pPr>
      <w:r>
        <w:tab/>
        <w:t>(8)</w:t>
      </w:r>
      <w:r>
        <w:tab/>
        <w:t>The notice of revocation is to be in a form approved by the Director.</w:t>
      </w:r>
    </w:p>
    <w:p>
      <w:pPr>
        <w:pStyle w:val="Footnotesection"/>
        <w:keepNext/>
      </w:pPr>
      <w:r>
        <w:tab/>
        <w:t>[Section 115AA inserted: No. 56 of 2010 s. 30; amended: No. 9 of 2018 s. 57.]</w:t>
      </w:r>
    </w:p>
    <w:p>
      <w:pPr>
        <w:pStyle w:val="Heading5"/>
      </w:pPr>
      <w:bookmarkStart w:id="243" w:name="_Toc93934731"/>
      <w:r>
        <w:rPr>
          <w:rStyle w:val="CharSectno"/>
        </w:rPr>
        <w:t>115AB</w:t>
      </w:r>
      <w:r>
        <w:t>.</w:t>
      </w:r>
      <w:r>
        <w:tab/>
        <w:t>Delegation by Commissioner of Police</w:t>
      </w:r>
      <w:bookmarkEnd w:id="243"/>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keepNext/>
      </w:pPr>
      <w:r>
        <w:lastRenderedPageBreak/>
        <w:tab/>
        <w:t>(5)</w:t>
      </w:r>
      <w:r>
        <w:tab/>
        <w:t>Nothing in this section limits the ability of the Commissioner of Police to perform the duty through an officer or agent.</w:t>
      </w:r>
    </w:p>
    <w:p>
      <w:pPr>
        <w:pStyle w:val="Footnotesection"/>
      </w:pPr>
      <w:r>
        <w:tab/>
        <w:t>[Section 115AB inserted: No. 56 of 2010 s. 30.]</w:t>
      </w:r>
    </w:p>
    <w:p>
      <w:pPr>
        <w:pStyle w:val="Heading5"/>
      </w:pPr>
      <w:bookmarkStart w:id="244" w:name="_Toc93934732"/>
      <w:r>
        <w:rPr>
          <w:rStyle w:val="CharSectno"/>
        </w:rPr>
        <w:t>115AC</w:t>
      </w:r>
      <w:r>
        <w:t>.</w:t>
      </w:r>
      <w:r>
        <w:tab/>
        <w:t>Publication of details of people banned under s. 115AA</w:t>
      </w:r>
      <w:bookmarkEnd w:id="244"/>
    </w:p>
    <w:p>
      <w:pPr>
        <w:pStyle w:val="Subsection"/>
        <w:spacing w:before="120"/>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spacing w:before="120"/>
      </w:pPr>
      <w:r>
        <w:tab/>
        <w:t>(1)</w:t>
      </w:r>
      <w:r>
        <w:tab/>
        <w:t>The Commissioner of Police must publish on a secure webpage all of the following in relation to a person to whom a notice under section 115AA is given —</w:t>
      </w:r>
    </w:p>
    <w:p>
      <w:pPr>
        <w:pStyle w:val="Indenta"/>
      </w:pPr>
      <w:r>
        <w:tab/>
        <w:t>(a)</w:t>
      </w:r>
      <w:r>
        <w:tab/>
        <w:t>the name and date of birth of the person;</w:t>
      </w:r>
    </w:p>
    <w:p>
      <w:pPr>
        <w:pStyle w:val="Indenta"/>
      </w:pPr>
      <w:r>
        <w:tab/>
        <w:t>(b)</w:t>
      </w:r>
      <w:r>
        <w:tab/>
        <w:t>a photograph of the person (if any is in the possession of the Commissioner);</w:t>
      </w:r>
    </w:p>
    <w:p>
      <w:pPr>
        <w:pStyle w:val="Indenta"/>
      </w:pPr>
      <w:r>
        <w:tab/>
        <w:t>(c)</w:t>
      </w:r>
      <w:r>
        <w:tab/>
        <w:t>the address of the person;</w:t>
      </w:r>
    </w:p>
    <w:p>
      <w:pPr>
        <w:pStyle w:val="Indenta"/>
      </w:pPr>
      <w:r>
        <w:tab/>
        <w:t>(d)</w:t>
      </w:r>
      <w:r>
        <w:tab/>
        <w:t>the licensed premises, or class of licensed premises, in relation to which the notice relates.</w:t>
      </w:r>
    </w:p>
    <w:p>
      <w:pPr>
        <w:pStyle w:val="Subsection"/>
        <w:spacing w:before="120"/>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spacing w:before="120"/>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spacing w:before="120"/>
      </w:pPr>
      <w:r>
        <w:lastRenderedPageBreak/>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No. 56 of 2010 s. 30; amended: No. 9 of 2018 s. 58.]</w:t>
      </w:r>
    </w:p>
    <w:p>
      <w:pPr>
        <w:pStyle w:val="Heading5"/>
      </w:pPr>
      <w:bookmarkStart w:id="245" w:name="_Toc93934733"/>
      <w:r>
        <w:rPr>
          <w:rStyle w:val="CharSectno"/>
        </w:rPr>
        <w:t>115AD</w:t>
      </w:r>
      <w:r>
        <w:t>.</w:t>
      </w:r>
      <w:r>
        <w:tab/>
        <w:t>Review of s. 115AA notices</w:t>
      </w:r>
      <w:bookmarkEnd w:id="245"/>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lastRenderedPageBreak/>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No. 56 of 2010 s. 30.]</w:t>
      </w:r>
    </w:p>
    <w:p>
      <w:pPr>
        <w:pStyle w:val="Heading5"/>
        <w:spacing w:before="180"/>
      </w:pPr>
      <w:bookmarkStart w:id="246" w:name="_Toc93934734"/>
      <w:r>
        <w:rPr>
          <w:rStyle w:val="CharSectno"/>
        </w:rPr>
        <w:t>115AE</w:t>
      </w:r>
      <w:r>
        <w:t>.</w:t>
      </w:r>
      <w:r>
        <w:tab/>
        <w:t>Permitting entry to premises contrary to s. 115AA notice</w:t>
      </w:r>
      <w:bookmarkEnd w:id="246"/>
    </w:p>
    <w:p>
      <w:pPr>
        <w:pStyle w:val="Subsection"/>
        <w:spacing w:before="120"/>
      </w:pPr>
      <w:r>
        <w:tab/>
        <w:t>(1)</w:t>
      </w:r>
      <w:r>
        <w:tab/>
        <w:t xml:space="preserve">Subject to subsection (2), 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for this subsection: a fine of $10 000.</w:t>
      </w:r>
    </w:p>
    <w:p>
      <w:pPr>
        <w:pStyle w:val="Subsection"/>
      </w:pPr>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p>
    <w:p>
      <w:pPr>
        <w:pStyle w:val="Subsection"/>
      </w:pPr>
      <w:r>
        <w:lastRenderedPageBreak/>
        <w:tab/>
        <w:t>(3)</w:t>
      </w:r>
      <w:r>
        <w:tab/>
        <w:t>The reference in subsection (2) to performing duties relating to the person’s work does not include attending a function associated with the person’s work that is held on the premises.</w:t>
      </w:r>
    </w:p>
    <w:p>
      <w:pPr>
        <w:pStyle w:val="Footnotesection"/>
        <w:spacing w:before="80"/>
        <w:ind w:left="890" w:hanging="890"/>
      </w:pPr>
      <w:r>
        <w:tab/>
        <w:t>[Section 115AE inserted: No. 56 of 2010 s. 30; amended: No. 9 of 2018 s. 59.]</w:t>
      </w:r>
    </w:p>
    <w:p>
      <w:pPr>
        <w:pStyle w:val="Heading5"/>
        <w:spacing w:before="180"/>
      </w:pPr>
      <w:bookmarkStart w:id="247" w:name="_Toc93934735"/>
      <w:r>
        <w:rPr>
          <w:rStyle w:val="CharSectno"/>
        </w:rPr>
        <w:t>115A</w:t>
      </w:r>
      <w:r>
        <w:t>.</w:t>
      </w:r>
      <w:r>
        <w:tab/>
        <w:t>Drinking water to be provided free at certain licensed premises</w:t>
      </w:r>
      <w:bookmarkEnd w:id="247"/>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keepNext/>
      </w:pPr>
      <w:r>
        <w:tab/>
        <w:t>(b)</w:t>
      </w:r>
      <w:r>
        <w:tab/>
        <w:t>for a manager, a fine of $4 000.</w:t>
      </w:r>
    </w:p>
    <w:p>
      <w:pPr>
        <w:pStyle w:val="Footnotesection"/>
        <w:keepNext/>
        <w:spacing w:before="80"/>
        <w:ind w:left="890" w:hanging="890"/>
      </w:pPr>
      <w:r>
        <w:tab/>
        <w:t>[Section 115A inserted: No. 73 of 2006 s. 81; amended: No. 56 of 2010 s. 57.]</w:t>
      </w:r>
    </w:p>
    <w:p>
      <w:pPr>
        <w:pStyle w:val="Heading5"/>
        <w:keepNext w:val="0"/>
        <w:keepLines w:val="0"/>
        <w:spacing w:before="180"/>
        <w:rPr>
          <w:snapToGrid w:val="0"/>
        </w:rPr>
      </w:pPr>
      <w:bookmarkStart w:id="248" w:name="_Toc93934736"/>
      <w:r>
        <w:rPr>
          <w:rStyle w:val="CharSectno"/>
        </w:rPr>
        <w:t>116</w:t>
      </w:r>
      <w:r>
        <w:rPr>
          <w:snapToGrid w:val="0"/>
        </w:rPr>
        <w:t>.</w:t>
      </w:r>
      <w:r>
        <w:rPr>
          <w:snapToGrid w:val="0"/>
        </w:rPr>
        <w:tab/>
        <w:t>Documents to be displayed etc. at premises and produced</w:t>
      </w:r>
      <w:bookmarkEnd w:id="248"/>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 xml:space="preserve">Unless the Director otherwise approves, a licensee of a cellar door permit must cause a copy of the plans described in </w:t>
      </w:r>
      <w:r>
        <w:lastRenderedPageBreak/>
        <w:t>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lastRenderedPageBreak/>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No. 12 of 1998 s. 81; amended: No. 73 of 2006 s. 82 and 110; No. 56 of 2010 s. 18, 25, 58 and 69; No. 35 of 2015 s. 18.] </w:t>
      </w:r>
    </w:p>
    <w:p>
      <w:pPr>
        <w:pStyle w:val="Heading5"/>
        <w:spacing w:before="180"/>
      </w:pPr>
      <w:bookmarkStart w:id="249" w:name="_Toc93934737"/>
      <w:r>
        <w:rPr>
          <w:rStyle w:val="CharSectno"/>
        </w:rPr>
        <w:t>116A</w:t>
      </w:r>
      <w:r>
        <w:t>.</w:t>
      </w:r>
      <w:r>
        <w:tab/>
        <w:t>Register of incidents at licensed premises to be maintained</w:t>
      </w:r>
      <w:bookmarkEnd w:id="249"/>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No. 73 of 2006 s. 83; amended: No. 56 of 2010 s. 59 and 69; No. 35 of 2015 s. 19.]</w:t>
      </w:r>
    </w:p>
    <w:p>
      <w:pPr>
        <w:pStyle w:val="Heading3"/>
      </w:pPr>
      <w:bookmarkStart w:id="250" w:name="_Toc93918193"/>
      <w:bookmarkStart w:id="251" w:name="_Toc93934738"/>
      <w:r>
        <w:rPr>
          <w:rStyle w:val="CharDivNo"/>
        </w:rPr>
        <w:lastRenderedPageBreak/>
        <w:t>Division 7</w:t>
      </w:r>
      <w:r>
        <w:t> — </w:t>
      </w:r>
      <w:r>
        <w:rPr>
          <w:rStyle w:val="CharDivText"/>
        </w:rPr>
        <w:t>Complaints to Director</w:t>
      </w:r>
      <w:bookmarkEnd w:id="250"/>
      <w:bookmarkEnd w:id="251"/>
    </w:p>
    <w:p>
      <w:pPr>
        <w:pStyle w:val="Footnoteheading"/>
        <w:rPr>
          <w:snapToGrid w:val="0"/>
        </w:rPr>
      </w:pPr>
      <w:r>
        <w:tab/>
        <w:t>[Heading inserted: No. 73 of 2006 s. 84.]</w:t>
      </w:r>
    </w:p>
    <w:p>
      <w:pPr>
        <w:pStyle w:val="Heading5"/>
        <w:spacing w:before="240"/>
        <w:rPr>
          <w:snapToGrid w:val="0"/>
        </w:rPr>
      </w:pPr>
      <w:bookmarkStart w:id="252" w:name="_Toc93934739"/>
      <w:r>
        <w:rPr>
          <w:rStyle w:val="CharSectno"/>
        </w:rPr>
        <w:t>117</w:t>
      </w:r>
      <w:r>
        <w:rPr>
          <w:snapToGrid w:val="0"/>
        </w:rPr>
        <w:t>.</w:t>
      </w:r>
      <w:r>
        <w:rPr>
          <w:snapToGrid w:val="0"/>
        </w:rPr>
        <w:tab/>
        <w:t>Noise or behaviour related to licensed premises, complaints about</w:t>
      </w:r>
      <w:bookmarkEnd w:id="252"/>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keepNext/>
        <w:rPr>
          <w:snapToGrid w:val="0"/>
        </w:rPr>
      </w:pPr>
      <w:r>
        <w:rPr>
          <w:snapToGrid w:val="0"/>
        </w:rPr>
        <w:lastRenderedPageBreak/>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lastRenderedPageBreak/>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lastRenderedPageBreak/>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lastRenderedPageBreak/>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No. 14 of 1996 s. 4; No. 12 of 1998 s. 82; No. 73 of 2006 s. 85, 106 and 110; No. 56 of 2010 s. 69.] </w:t>
      </w:r>
    </w:p>
    <w:p>
      <w:pPr>
        <w:pStyle w:val="Heading3"/>
        <w:keepLines/>
        <w:rPr>
          <w:snapToGrid w:val="0"/>
        </w:rPr>
      </w:pPr>
      <w:bookmarkStart w:id="253" w:name="_Toc93918195"/>
      <w:bookmarkStart w:id="254" w:name="_Toc93934740"/>
      <w:r>
        <w:rPr>
          <w:rStyle w:val="CharDivNo"/>
        </w:rPr>
        <w:t>Division 8</w:t>
      </w:r>
      <w:r>
        <w:rPr>
          <w:snapToGrid w:val="0"/>
        </w:rPr>
        <w:t> — </w:t>
      </w:r>
      <w:r>
        <w:rPr>
          <w:rStyle w:val="CharDivText"/>
        </w:rPr>
        <w:t>Liquor on unlicensed premises</w:t>
      </w:r>
      <w:bookmarkEnd w:id="253"/>
      <w:bookmarkEnd w:id="254"/>
      <w:r>
        <w:rPr>
          <w:rStyle w:val="CharDivText"/>
        </w:rPr>
        <w:t xml:space="preserve"> </w:t>
      </w:r>
    </w:p>
    <w:p>
      <w:pPr>
        <w:pStyle w:val="Heading5"/>
        <w:spacing w:before="180"/>
        <w:rPr>
          <w:snapToGrid w:val="0"/>
        </w:rPr>
      </w:pPr>
      <w:bookmarkStart w:id="255" w:name="_Toc93934741"/>
      <w:r>
        <w:rPr>
          <w:rStyle w:val="CharSectno"/>
        </w:rPr>
        <w:t>118</w:t>
      </w:r>
      <w:r>
        <w:rPr>
          <w:snapToGrid w:val="0"/>
        </w:rPr>
        <w:t>.</w:t>
      </w:r>
      <w:r>
        <w:rPr>
          <w:snapToGrid w:val="0"/>
        </w:rPr>
        <w:tab/>
        <w:t>Persons purporting to be licensee</w:t>
      </w:r>
      <w:bookmarkEnd w:id="255"/>
      <w:r>
        <w:rPr>
          <w:snapToGrid w:val="0"/>
        </w:rPr>
        <w:t xml:space="preserve"> </w:t>
      </w:r>
    </w:p>
    <w:p>
      <w:pPr>
        <w:pStyle w:val="Subsection"/>
        <w:keepNext/>
        <w:keepLines/>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keepLines/>
        <w:rPr>
          <w:snapToGrid w:val="0"/>
        </w:rPr>
      </w:pPr>
      <w:r>
        <w:rPr>
          <w:snapToGrid w:val="0"/>
        </w:rPr>
        <w:tab/>
        <w:t>(a)</w:t>
      </w:r>
      <w:r>
        <w:rPr>
          <w:snapToGrid w:val="0"/>
        </w:rPr>
        <w:tab/>
        <w:t>which are licensed premises; or</w:t>
      </w:r>
    </w:p>
    <w:p>
      <w:pPr>
        <w:pStyle w:val="Indenta"/>
        <w:keepLines/>
        <w:rPr>
          <w:snapToGrid w:val="0"/>
        </w:rPr>
      </w:pPr>
      <w:r>
        <w:rPr>
          <w:snapToGrid w:val="0"/>
        </w:rPr>
        <w:tab/>
        <w:t>(b)</w:t>
      </w:r>
      <w:r>
        <w:rPr>
          <w:snapToGrid w:val="0"/>
        </w:rPr>
        <w:tab/>
        <w:t>of which that person purports to be the licensee; or</w:t>
      </w:r>
    </w:p>
    <w:p>
      <w:pPr>
        <w:pStyle w:val="Indenta"/>
        <w:keepLines/>
        <w:rPr>
          <w:snapToGrid w:val="0"/>
        </w:rPr>
      </w:pPr>
      <w:r>
        <w:rPr>
          <w:snapToGrid w:val="0"/>
        </w:rPr>
        <w:tab/>
        <w:t>(c)</w:t>
      </w:r>
      <w:r>
        <w:rPr>
          <w:snapToGrid w:val="0"/>
        </w:rPr>
        <w:tab/>
        <w:t>in respect to which that person alleges a licence was transferred; or</w:t>
      </w:r>
    </w:p>
    <w:p>
      <w:pPr>
        <w:pStyle w:val="Indenta"/>
        <w:keepLines/>
        <w:rPr>
          <w:snapToGrid w:val="0"/>
        </w:rPr>
      </w:pPr>
      <w:r>
        <w:rPr>
          <w:snapToGrid w:val="0"/>
        </w:rPr>
        <w:tab/>
        <w:t>(d)</w:t>
      </w:r>
      <w:r>
        <w:rPr>
          <w:snapToGrid w:val="0"/>
        </w:rPr>
        <w:tab/>
        <w:t>to which a purported authorisation conferred by section 86 applies,</w:t>
      </w:r>
    </w:p>
    <w:p>
      <w:pPr>
        <w:pStyle w:val="Subsection"/>
        <w:keepLines/>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keepLines/>
        <w:rPr>
          <w:snapToGrid w:val="0"/>
        </w:rPr>
      </w:pPr>
      <w:r>
        <w:rPr>
          <w:snapToGrid w:val="0"/>
        </w:rPr>
        <w:lastRenderedPageBreak/>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No. 73 of 2006 s. 110; No. 56 of 2010 s. 69.]</w:t>
      </w:r>
    </w:p>
    <w:p>
      <w:pPr>
        <w:pStyle w:val="Heading5"/>
        <w:spacing w:before="240"/>
        <w:rPr>
          <w:snapToGrid w:val="0"/>
        </w:rPr>
      </w:pPr>
      <w:bookmarkStart w:id="256" w:name="_Toc93934742"/>
      <w:r>
        <w:rPr>
          <w:rStyle w:val="CharSectno"/>
        </w:rPr>
        <w:t>119</w:t>
      </w:r>
      <w:r>
        <w:rPr>
          <w:snapToGrid w:val="0"/>
        </w:rPr>
        <w:t>.</w:t>
      </w:r>
      <w:r>
        <w:rPr>
          <w:snapToGrid w:val="0"/>
        </w:rPr>
        <w:tab/>
        <w:t>Unlicensed premises etc., offences as to</w:t>
      </w:r>
      <w:bookmarkEnd w:id="256"/>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lastRenderedPageBreak/>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 xml:space="preserve">in any place or on any premises to which the public is permitted to have access, whether on payment of a </w:t>
      </w:r>
      <w:r>
        <w:rPr>
          <w:snapToGrid w:val="0"/>
        </w:rPr>
        <w:lastRenderedPageBreak/>
        <w:t>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lastRenderedPageBreak/>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No. 84 of 2004 s. 80 and 82; No. 73 of 2006 s. 86 and 110; No. 56 of 2010 s. 25, 60 and 69; No. 8 of 2012 s. 119.] </w:t>
      </w:r>
    </w:p>
    <w:p>
      <w:pPr>
        <w:pStyle w:val="Heading3"/>
        <w:spacing w:before="180"/>
      </w:pPr>
      <w:bookmarkStart w:id="257" w:name="_Toc93918198"/>
      <w:bookmarkStart w:id="258" w:name="_Toc93934743"/>
      <w:r>
        <w:rPr>
          <w:rStyle w:val="CharDivNo"/>
        </w:rPr>
        <w:t>Division 8A</w:t>
      </w:r>
      <w:r>
        <w:t> — </w:t>
      </w:r>
      <w:r>
        <w:rPr>
          <w:rStyle w:val="CharDivText"/>
        </w:rPr>
        <w:t>Conduct of unapproved businesses on or from licensed premises</w:t>
      </w:r>
      <w:bookmarkEnd w:id="257"/>
      <w:bookmarkEnd w:id="258"/>
    </w:p>
    <w:p>
      <w:pPr>
        <w:pStyle w:val="Footnoteheading"/>
      </w:pPr>
      <w:r>
        <w:tab/>
        <w:t>[Heading inserted: No. 73 of 2006 s. 87.]</w:t>
      </w:r>
    </w:p>
    <w:p>
      <w:pPr>
        <w:pStyle w:val="Heading5"/>
        <w:spacing w:before="180"/>
      </w:pPr>
      <w:bookmarkStart w:id="259" w:name="_Toc93934744"/>
      <w:r>
        <w:rPr>
          <w:rStyle w:val="CharSectno"/>
        </w:rPr>
        <w:t>119A</w:t>
      </w:r>
      <w:r>
        <w:t>.</w:t>
      </w:r>
      <w:r>
        <w:tab/>
        <w:t>Non-liquor businesses on licensed premises, conduct of requires approval</w:t>
      </w:r>
      <w:bookmarkEnd w:id="259"/>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lastRenderedPageBreak/>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No. 56 of 2010 s. 61.]</w:t>
      </w:r>
    </w:p>
    <w:p>
      <w:pPr>
        <w:pStyle w:val="Heading3"/>
        <w:keepLines/>
        <w:rPr>
          <w:snapToGrid w:val="0"/>
        </w:rPr>
      </w:pPr>
      <w:bookmarkStart w:id="260" w:name="_Toc93918200"/>
      <w:bookmarkStart w:id="261" w:name="_Toc93934745"/>
      <w:r>
        <w:rPr>
          <w:rStyle w:val="CharDivNo"/>
        </w:rPr>
        <w:t>Division 9</w:t>
      </w:r>
      <w:r>
        <w:rPr>
          <w:snapToGrid w:val="0"/>
        </w:rPr>
        <w:t> — </w:t>
      </w:r>
      <w:r>
        <w:rPr>
          <w:rStyle w:val="CharDivText"/>
        </w:rPr>
        <w:t>Juveniles</w:t>
      </w:r>
      <w:bookmarkEnd w:id="260"/>
      <w:bookmarkEnd w:id="261"/>
      <w:r>
        <w:rPr>
          <w:rStyle w:val="CharDivText"/>
        </w:rPr>
        <w:t xml:space="preserve"> </w:t>
      </w:r>
    </w:p>
    <w:p>
      <w:pPr>
        <w:pStyle w:val="Heading5"/>
        <w:rPr>
          <w:snapToGrid w:val="0"/>
        </w:rPr>
      </w:pPr>
      <w:bookmarkStart w:id="262" w:name="_Toc93934746"/>
      <w:r>
        <w:rPr>
          <w:rStyle w:val="CharSectno"/>
        </w:rPr>
        <w:t>120</w:t>
      </w:r>
      <w:r>
        <w:rPr>
          <w:snapToGrid w:val="0"/>
        </w:rPr>
        <w:t>.</w:t>
      </w:r>
      <w:r>
        <w:rPr>
          <w:snapToGrid w:val="0"/>
        </w:rPr>
        <w:tab/>
        <w:t>When juveniles permitted on licensed premises</w:t>
      </w:r>
      <w:bookmarkEnd w:id="262"/>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rules of the club; and</w:t>
      </w:r>
    </w:p>
    <w:p>
      <w:pPr>
        <w:pStyle w:val="Indenti"/>
        <w:rPr>
          <w:snapToGrid w:val="0"/>
        </w:rPr>
      </w:pPr>
      <w:r>
        <w:rPr>
          <w:snapToGrid w:val="0"/>
        </w:rPr>
        <w:lastRenderedPageBreak/>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 xml:space="preserve">the place is on a part of licensed premises or of regulated premises which, on application by an authorised person, </w:t>
      </w:r>
      <w:r>
        <w:rPr>
          <w:snapToGrid w:val="0"/>
        </w:rPr>
        <w:lastRenderedPageBreak/>
        <w:t>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No. 56 of 2010 s. 25; No. 9 of 2018 s. 60.] </w:t>
      </w:r>
    </w:p>
    <w:p>
      <w:pPr>
        <w:pStyle w:val="Heading5"/>
        <w:rPr>
          <w:snapToGrid w:val="0"/>
        </w:rPr>
      </w:pPr>
      <w:bookmarkStart w:id="263" w:name="_Toc93934747"/>
      <w:r>
        <w:rPr>
          <w:rStyle w:val="CharSectno"/>
        </w:rPr>
        <w:t>121</w:t>
      </w:r>
      <w:r>
        <w:rPr>
          <w:snapToGrid w:val="0"/>
        </w:rPr>
        <w:t>.</w:t>
      </w:r>
      <w:r>
        <w:rPr>
          <w:snapToGrid w:val="0"/>
        </w:rPr>
        <w:tab/>
        <w:t>Licensed premises, offences as to juveniles</w:t>
      </w:r>
      <w:bookmarkEnd w:id="263"/>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lastRenderedPageBreak/>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keepNext/>
        <w:spacing w:before="120"/>
        <w:rPr>
          <w:snapToGrid w:val="0"/>
        </w:rPr>
      </w:pPr>
      <w:r>
        <w:rPr>
          <w:snapToGrid w:val="0"/>
        </w:rPr>
        <w:lastRenderedPageBreak/>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keepNext/>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keepNext/>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lastRenderedPageBreak/>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lastRenderedPageBreak/>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No. 12 of 1998 s. 83; No. 73 of 2006 s. 88, 109, 110 and 111(9); No. 56 of 2010 s. 19, 62 and 69.]</w:t>
      </w:r>
    </w:p>
    <w:p>
      <w:pPr>
        <w:pStyle w:val="Heading5"/>
        <w:spacing w:before="240"/>
      </w:pPr>
      <w:bookmarkStart w:id="264" w:name="_Toc93934748"/>
      <w:r>
        <w:rPr>
          <w:rStyle w:val="CharSectno"/>
        </w:rPr>
        <w:lastRenderedPageBreak/>
        <w:t>122A</w:t>
      </w:r>
      <w:r>
        <w:t>.</w:t>
      </w:r>
      <w:r>
        <w:tab/>
        <w:t>Supplying juveniles with alcohol on unlicensed premises</w:t>
      </w:r>
      <w:bookmarkEnd w:id="264"/>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No. 35 of 2015 s. 20.]</w:t>
      </w:r>
    </w:p>
    <w:p>
      <w:pPr>
        <w:pStyle w:val="Heading5"/>
        <w:rPr>
          <w:snapToGrid w:val="0"/>
        </w:rPr>
      </w:pPr>
      <w:bookmarkStart w:id="265" w:name="_Toc93934749"/>
      <w:r>
        <w:rPr>
          <w:rStyle w:val="CharSectno"/>
        </w:rPr>
        <w:t>122</w:t>
      </w:r>
      <w:r>
        <w:rPr>
          <w:snapToGrid w:val="0"/>
        </w:rPr>
        <w:t>.</w:t>
      </w:r>
      <w:r>
        <w:rPr>
          <w:snapToGrid w:val="0"/>
        </w:rPr>
        <w:tab/>
        <w:t>Regulated premises, offences as to juveniles</w:t>
      </w:r>
      <w:bookmarkEnd w:id="265"/>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lastRenderedPageBreak/>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lastRenderedPageBreak/>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keepNext/>
        <w:rPr>
          <w:snapToGrid w:val="0"/>
        </w:rPr>
      </w:pPr>
      <w:r>
        <w:rPr>
          <w:snapToGrid w:val="0"/>
        </w:rPr>
        <w:tab/>
        <w:t>(4)</w:t>
      </w:r>
      <w:r>
        <w:rPr>
          <w:snapToGrid w:val="0"/>
        </w:rPr>
        <w:tab/>
        <w:t>Subsection (3) does not apply to or in relation to a juvenile to whom section 120(1)(b) or (f), 120(2), or 121(5)(c) or (d) applies.</w:t>
      </w:r>
    </w:p>
    <w:p>
      <w:pPr>
        <w:pStyle w:val="Footnotesection"/>
        <w:keepNext/>
        <w:ind w:left="890" w:hanging="890"/>
      </w:pPr>
      <w:r>
        <w:tab/>
        <w:t xml:space="preserve">[Section 122 amended: No. 12 of 1998 s. 35(5); No. 73 of 2006 s. 89 and 110; No. 56 of 2010 s. 63 and 69.] </w:t>
      </w:r>
    </w:p>
    <w:p>
      <w:pPr>
        <w:pStyle w:val="Heading5"/>
        <w:spacing w:before="240"/>
        <w:rPr>
          <w:snapToGrid w:val="0"/>
        </w:rPr>
      </w:pPr>
      <w:bookmarkStart w:id="266" w:name="_Toc93934750"/>
      <w:r>
        <w:rPr>
          <w:rStyle w:val="CharSectno"/>
        </w:rPr>
        <w:t>123</w:t>
      </w:r>
      <w:r>
        <w:rPr>
          <w:snapToGrid w:val="0"/>
        </w:rPr>
        <w:t>.</w:t>
      </w:r>
      <w:r>
        <w:rPr>
          <w:snapToGrid w:val="0"/>
        </w:rPr>
        <w:tab/>
        <w:t>Possession etc. of liquor, offences by juveniles</w:t>
      </w:r>
      <w:bookmarkEnd w:id="266"/>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lastRenderedPageBreak/>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No. 73 of 2006 s. 90 and 110; No. 56 of 2010 s. 69.]</w:t>
      </w:r>
    </w:p>
    <w:p>
      <w:pPr>
        <w:pStyle w:val="Heading5"/>
        <w:keepNext w:val="0"/>
        <w:keepLines w:val="0"/>
        <w:spacing w:before="160"/>
        <w:rPr>
          <w:snapToGrid w:val="0"/>
        </w:rPr>
      </w:pPr>
      <w:bookmarkStart w:id="267" w:name="_Toc93934751"/>
      <w:r>
        <w:rPr>
          <w:rStyle w:val="CharSectno"/>
        </w:rPr>
        <w:t>124</w:t>
      </w:r>
      <w:r>
        <w:rPr>
          <w:snapToGrid w:val="0"/>
        </w:rPr>
        <w:t>.</w:t>
      </w:r>
      <w:r>
        <w:rPr>
          <w:snapToGrid w:val="0"/>
        </w:rPr>
        <w:tab/>
        <w:t>Sending juveniles to obtain liquor, offence</w:t>
      </w:r>
      <w:bookmarkEnd w:id="267"/>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No. 73 of 2006 s. 110; No. 56 of 2010 s. 69.]</w:t>
      </w:r>
    </w:p>
    <w:p>
      <w:pPr>
        <w:pStyle w:val="Heading5"/>
        <w:spacing w:before="180"/>
        <w:rPr>
          <w:snapToGrid w:val="0"/>
        </w:rPr>
      </w:pPr>
      <w:bookmarkStart w:id="268" w:name="_Toc93934752"/>
      <w:r>
        <w:rPr>
          <w:rStyle w:val="CharSectno"/>
        </w:rPr>
        <w:t>125</w:t>
      </w:r>
      <w:r>
        <w:rPr>
          <w:snapToGrid w:val="0"/>
        </w:rPr>
        <w:t>.</w:t>
      </w:r>
      <w:r>
        <w:rPr>
          <w:snapToGrid w:val="0"/>
        </w:rPr>
        <w:tab/>
        <w:t>Defences to offences under this Division</w:t>
      </w:r>
      <w:bookmarkEnd w:id="268"/>
    </w:p>
    <w:p>
      <w:pPr>
        <w:pStyle w:val="Subsection"/>
        <w:keepNext/>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keepNext/>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lastRenderedPageBreak/>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keepNext/>
        <w:rPr>
          <w:snapToGrid w:val="0"/>
        </w:rPr>
      </w:pPr>
      <w:r>
        <w:rPr>
          <w:snapToGrid w:val="0"/>
        </w:rPr>
        <w:tab/>
        <w:t>(2)</w:t>
      </w:r>
      <w:r>
        <w:rPr>
          <w:snapToGrid w:val="0"/>
        </w:rPr>
        <w:tab/>
        <w:t>For the purposes of any proceedings under this Division — </w:t>
      </w:r>
    </w:p>
    <w:p>
      <w:pPr>
        <w:pStyle w:val="Indenta"/>
        <w:keepNext/>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keepNext/>
      </w:pPr>
      <w:r>
        <w:lastRenderedPageBreak/>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No. 12 of 1998 s. 84; No. 28 of 2003 s. 106; No. 84 of 2004 s. 80 and 82; No. 56 of 2010 s. 25.] </w:t>
      </w:r>
    </w:p>
    <w:p>
      <w:pPr>
        <w:pStyle w:val="Heading5"/>
        <w:keepNext w:val="0"/>
        <w:keepLines w:val="0"/>
        <w:rPr>
          <w:snapToGrid w:val="0"/>
        </w:rPr>
      </w:pPr>
      <w:bookmarkStart w:id="269" w:name="_Toc93934753"/>
      <w:r>
        <w:rPr>
          <w:rStyle w:val="CharSectno"/>
        </w:rPr>
        <w:t>126</w:t>
      </w:r>
      <w:r>
        <w:rPr>
          <w:snapToGrid w:val="0"/>
        </w:rPr>
        <w:t>.</w:t>
      </w:r>
      <w:r>
        <w:rPr>
          <w:snapToGrid w:val="0"/>
        </w:rPr>
        <w:tab/>
        <w:t>Suspected juveniles, authorised persons’ powers as to, offences by</w:t>
      </w:r>
      <w:bookmarkEnd w:id="269"/>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lastRenderedPageBreak/>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lastRenderedPageBreak/>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No. 12 of 1998 s. 85; No. 73 of 2006 s. 91, 109 and 110; No. 56 of 2010 s. 69; No. 35 of 2015 s. 21.] </w:t>
      </w:r>
    </w:p>
    <w:p>
      <w:pPr>
        <w:pStyle w:val="Heading5"/>
        <w:spacing w:before="240"/>
      </w:pPr>
      <w:bookmarkStart w:id="270" w:name="_Toc93934754"/>
      <w:r>
        <w:rPr>
          <w:rStyle w:val="CharSectno"/>
        </w:rPr>
        <w:t>126A</w:t>
      </w:r>
      <w:r>
        <w:t>.</w:t>
      </w:r>
      <w:r>
        <w:tab/>
        <w:t>Entertainment for juveniles on licensed premises, application for approval of</w:t>
      </w:r>
      <w:bookmarkEnd w:id="270"/>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No. 73 of 2006 s. 92(1).]</w:t>
      </w:r>
    </w:p>
    <w:p>
      <w:pPr>
        <w:pStyle w:val="Heading5"/>
      </w:pPr>
      <w:bookmarkStart w:id="271" w:name="_Toc93934755"/>
      <w:r>
        <w:rPr>
          <w:rStyle w:val="CharSectno"/>
        </w:rPr>
        <w:lastRenderedPageBreak/>
        <w:t>126B</w:t>
      </w:r>
      <w:r>
        <w:t>.</w:t>
      </w:r>
      <w:r>
        <w:tab/>
        <w:t>Entertainment for juveniles on licensed premises, approval of</w:t>
      </w:r>
      <w:bookmarkEnd w:id="271"/>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No. 73 of 2006 s. 92(1).]</w:t>
      </w:r>
    </w:p>
    <w:p>
      <w:pPr>
        <w:pStyle w:val="Heading3"/>
      </w:pPr>
      <w:bookmarkStart w:id="272" w:name="_Toc93918211"/>
      <w:bookmarkStart w:id="273" w:name="_Toc93934756"/>
      <w:r>
        <w:rPr>
          <w:rStyle w:val="CharDivNo"/>
        </w:rPr>
        <w:lastRenderedPageBreak/>
        <w:t>Division 10</w:t>
      </w:r>
      <w:r>
        <w:t> — </w:t>
      </w:r>
      <w:r>
        <w:rPr>
          <w:rStyle w:val="CharDivText"/>
        </w:rPr>
        <w:t>Miscellaneous</w:t>
      </w:r>
      <w:bookmarkEnd w:id="272"/>
      <w:bookmarkEnd w:id="273"/>
    </w:p>
    <w:p>
      <w:pPr>
        <w:pStyle w:val="Footnoteheading"/>
        <w:keepNext/>
      </w:pPr>
      <w:r>
        <w:tab/>
        <w:t>[Heading inserted: No. 73 of 2006 s. 93.]</w:t>
      </w:r>
    </w:p>
    <w:p>
      <w:pPr>
        <w:pStyle w:val="Heading5"/>
        <w:spacing w:before="240"/>
      </w:pPr>
      <w:bookmarkStart w:id="274" w:name="_Toc93934757"/>
      <w:r>
        <w:rPr>
          <w:rStyle w:val="CharSectno"/>
        </w:rPr>
        <w:t>126C</w:t>
      </w:r>
      <w:r>
        <w:t>.</w:t>
      </w:r>
      <w:r>
        <w:tab/>
        <w:t>Crowd controllers to be authorised when exercising powers of removal</w:t>
      </w:r>
      <w:bookmarkEnd w:id="274"/>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No. 73 of 2006 s. 93; amended: No. 56 of 2010 s. 25.]</w:t>
      </w:r>
    </w:p>
    <w:p>
      <w:pPr>
        <w:pStyle w:val="Heading5"/>
        <w:keepNext w:val="0"/>
        <w:keepLines w:val="0"/>
        <w:spacing w:before="180"/>
      </w:pPr>
      <w:bookmarkStart w:id="275" w:name="_Toc93934758"/>
      <w:r>
        <w:rPr>
          <w:rStyle w:val="CharSectno"/>
        </w:rPr>
        <w:t>126D</w:t>
      </w:r>
      <w:r>
        <w:t>.</w:t>
      </w:r>
      <w:r>
        <w:tab/>
        <w:t>Undesirable liquor products, declaration of and offence as to</w:t>
      </w:r>
      <w:bookmarkEnd w:id="275"/>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lastRenderedPageBreak/>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keepNext/>
      </w:pPr>
      <w:r>
        <w:lastRenderedPageBreak/>
        <w:tab/>
        <w:t>(5)</w:t>
      </w:r>
      <w:r>
        <w:tab/>
        <w:t>A failure to comply with subsection (3) does not affect the validity of the regulation concerned.</w:t>
      </w:r>
    </w:p>
    <w:p>
      <w:pPr>
        <w:pStyle w:val="Footnotesection"/>
        <w:keepNext/>
        <w:spacing w:before="80"/>
        <w:ind w:left="890" w:hanging="890"/>
      </w:pPr>
      <w:r>
        <w:tab/>
        <w:t>[Section 126D inserted: No. 73 of 2006 s. 93; amended: No. 56 of 2010 s. 64.]</w:t>
      </w:r>
    </w:p>
    <w:p>
      <w:pPr>
        <w:pStyle w:val="Heading5"/>
      </w:pPr>
      <w:bookmarkStart w:id="276" w:name="_Toc93934759"/>
      <w:r>
        <w:rPr>
          <w:rStyle w:val="CharSectno"/>
        </w:rPr>
        <w:t>126E</w:t>
      </w:r>
      <w:r>
        <w:t>.</w:t>
      </w:r>
      <w:r>
        <w:tab/>
        <w:t>Special events, operation of Act may be modified for</w:t>
      </w:r>
      <w:bookmarkEnd w:id="276"/>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No. 73 of 2006 s. 93.]</w:t>
      </w:r>
    </w:p>
    <w:p>
      <w:pPr>
        <w:pStyle w:val="Heading2"/>
      </w:pPr>
      <w:bookmarkStart w:id="277" w:name="_Toc93918215"/>
      <w:bookmarkStart w:id="278" w:name="_Toc93934760"/>
      <w:r>
        <w:rPr>
          <w:rStyle w:val="CharPartNo"/>
        </w:rPr>
        <w:lastRenderedPageBreak/>
        <w:t>Part 5</w:t>
      </w:r>
      <w:r>
        <w:t> — </w:t>
      </w:r>
      <w:r>
        <w:rPr>
          <w:rStyle w:val="CharPartText"/>
        </w:rPr>
        <w:t>Financial provisions</w:t>
      </w:r>
      <w:bookmarkEnd w:id="277"/>
      <w:bookmarkEnd w:id="278"/>
      <w:r>
        <w:rPr>
          <w:rStyle w:val="CharPartText"/>
        </w:rPr>
        <w:t xml:space="preserve"> </w:t>
      </w:r>
    </w:p>
    <w:p>
      <w:pPr>
        <w:pStyle w:val="Heading3"/>
        <w:spacing w:before="220"/>
        <w:rPr>
          <w:snapToGrid w:val="0"/>
        </w:rPr>
      </w:pPr>
      <w:bookmarkStart w:id="279" w:name="_Toc93918216"/>
      <w:bookmarkStart w:id="280" w:name="_Toc93934761"/>
      <w:r>
        <w:rPr>
          <w:rStyle w:val="CharDivNo"/>
        </w:rPr>
        <w:t>Division 1</w:t>
      </w:r>
      <w:r>
        <w:rPr>
          <w:snapToGrid w:val="0"/>
        </w:rPr>
        <w:t> — </w:t>
      </w:r>
      <w:r>
        <w:rPr>
          <w:rStyle w:val="CharDivText"/>
        </w:rPr>
        <w:t>Licence fees</w:t>
      </w:r>
      <w:bookmarkEnd w:id="279"/>
      <w:bookmarkEnd w:id="280"/>
      <w:r>
        <w:rPr>
          <w:rStyle w:val="CharDivText"/>
        </w:rPr>
        <w:t xml:space="preserve"> </w:t>
      </w:r>
    </w:p>
    <w:p>
      <w:pPr>
        <w:pStyle w:val="Heading5"/>
        <w:rPr>
          <w:snapToGrid w:val="0"/>
        </w:rPr>
      </w:pPr>
      <w:bookmarkStart w:id="281" w:name="_Toc93934762"/>
      <w:r>
        <w:rPr>
          <w:rStyle w:val="CharSectno"/>
        </w:rPr>
        <w:t>127</w:t>
      </w:r>
      <w:r>
        <w:rPr>
          <w:snapToGrid w:val="0"/>
        </w:rPr>
        <w:t>.</w:t>
      </w:r>
      <w:r>
        <w:rPr>
          <w:snapToGrid w:val="0"/>
        </w:rPr>
        <w:tab/>
        <w:t>Payment of licence fees</w:t>
      </w:r>
      <w:bookmarkEnd w:id="281"/>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No. 56 of 1997 s. 34; No. 73 of 2006 s. 94.] </w:t>
      </w:r>
    </w:p>
    <w:p>
      <w:pPr>
        <w:pStyle w:val="Heading5"/>
        <w:rPr>
          <w:snapToGrid w:val="0"/>
        </w:rPr>
      </w:pPr>
      <w:bookmarkStart w:id="282" w:name="_Toc93934763"/>
      <w:r>
        <w:rPr>
          <w:rStyle w:val="CharSectno"/>
        </w:rPr>
        <w:t>128</w:t>
      </w:r>
      <w:r>
        <w:rPr>
          <w:snapToGrid w:val="0"/>
        </w:rPr>
        <w:t>.</w:t>
      </w:r>
      <w:r>
        <w:rPr>
          <w:snapToGrid w:val="0"/>
        </w:rPr>
        <w:tab/>
        <w:t>Regulations about licence fees</w:t>
      </w:r>
      <w:bookmarkEnd w:id="282"/>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lastRenderedPageBreak/>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No. 56 of 1997 s. 35; amended: No. 73 of 2006 s. 95; No. 56 of 2010 s. 31.] </w:t>
      </w:r>
    </w:p>
    <w:p>
      <w:pPr>
        <w:pStyle w:val="Heading3"/>
        <w:keepLines/>
        <w:spacing w:before="180"/>
        <w:rPr>
          <w:snapToGrid w:val="0"/>
        </w:rPr>
      </w:pPr>
      <w:bookmarkStart w:id="283" w:name="_Toc93918219"/>
      <w:bookmarkStart w:id="284" w:name="_Toc93934764"/>
      <w:r>
        <w:rPr>
          <w:rStyle w:val="CharDivNo"/>
        </w:rPr>
        <w:t>Division 2</w:t>
      </w:r>
      <w:r>
        <w:rPr>
          <w:snapToGrid w:val="0"/>
        </w:rPr>
        <w:t> — </w:t>
      </w:r>
      <w:r>
        <w:rPr>
          <w:rStyle w:val="CharDivText"/>
        </w:rPr>
        <w:t>Subsidies</w:t>
      </w:r>
      <w:bookmarkEnd w:id="283"/>
      <w:bookmarkEnd w:id="284"/>
      <w:r>
        <w:rPr>
          <w:rStyle w:val="CharDivText"/>
        </w:rPr>
        <w:t xml:space="preserve"> </w:t>
      </w:r>
    </w:p>
    <w:p>
      <w:pPr>
        <w:pStyle w:val="Footnoteheading"/>
        <w:keepNext/>
        <w:keepLines/>
        <w:tabs>
          <w:tab w:val="left" w:pos="924"/>
        </w:tabs>
        <w:rPr>
          <w:snapToGrid w:val="0"/>
        </w:rPr>
      </w:pPr>
      <w:r>
        <w:rPr>
          <w:snapToGrid w:val="0"/>
        </w:rPr>
        <w:tab/>
        <w:t xml:space="preserve">[Heading inserted: No. 56 of 1997 s. 36.] </w:t>
      </w:r>
    </w:p>
    <w:p>
      <w:pPr>
        <w:pStyle w:val="Heading5"/>
        <w:spacing w:before="180"/>
        <w:rPr>
          <w:snapToGrid w:val="0"/>
        </w:rPr>
      </w:pPr>
      <w:bookmarkStart w:id="285" w:name="_Toc93934765"/>
      <w:r>
        <w:rPr>
          <w:rStyle w:val="CharSectno"/>
        </w:rPr>
        <w:t>129</w:t>
      </w:r>
      <w:r>
        <w:rPr>
          <w:snapToGrid w:val="0"/>
        </w:rPr>
        <w:t>.</w:t>
      </w:r>
      <w:r>
        <w:rPr>
          <w:snapToGrid w:val="0"/>
        </w:rPr>
        <w:tab/>
        <w:t>Terms used</w:t>
      </w:r>
      <w:bookmarkEnd w:id="285"/>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No. 56 of 1997 s. 36; amended: No. 12 of 1998 s. 35(6).] </w:t>
      </w:r>
    </w:p>
    <w:p>
      <w:pPr>
        <w:pStyle w:val="Heading5"/>
        <w:spacing w:before="180"/>
        <w:rPr>
          <w:snapToGrid w:val="0"/>
        </w:rPr>
      </w:pPr>
      <w:bookmarkStart w:id="286" w:name="_Toc93934766"/>
      <w:r>
        <w:rPr>
          <w:rStyle w:val="CharSectno"/>
        </w:rPr>
        <w:t>130</w:t>
      </w:r>
      <w:r>
        <w:rPr>
          <w:snapToGrid w:val="0"/>
        </w:rPr>
        <w:t>.</w:t>
      </w:r>
      <w:r>
        <w:rPr>
          <w:snapToGrid w:val="0"/>
        </w:rPr>
        <w:tab/>
        <w:t>Subsidies for wholesalers and producers</w:t>
      </w:r>
      <w:bookmarkEnd w:id="286"/>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lastRenderedPageBreak/>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No. 56 of 1997 s. 36.]</w:t>
      </w:r>
    </w:p>
    <w:p>
      <w:pPr>
        <w:pStyle w:val="Heading5"/>
        <w:spacing w:before="180"/>
        <w:rPr>
          <w:snapToGrid w:val="0"/>
        </w:rPr>
      </w:pPr>
      <w:bookmarkStart w:id="287" w:name="_Toc93934767"/>
      <w:r>
        <w:rPr>
          <w:rStyle w:val="CharSectno"/>
        </w:rPr>
        <w:t>131</w:t>
      </w:r>
      <w:r>
        <w:rPr>
          <w:snapToGrid w:val="0"/>
        </w:rPr>
        <w:t>.</w:t>
      </w:r>
      <w:r>
        <w:rPr>
          <w:snapToGrid w:val="0"/>
        </w:rPr>
        <w:tab/>
        <w:t>Application for subsidy</w:t>
      </w:r>
      <w:bookmarkEnd w:id="287"/>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No. 56 of 1997 s. 36.] </w:t>
      </w:r>
    </w:p>
    <w:p>
      <w:pPr>
        <w:pStyle w:val="Heading5"/>
        <w:spacing w:before="180"/>
        <w:rPr>
          <w:snapToGrid w:val="0"/>
        </w:rPr>
      </w:pPr>
      <w:bookmarkStart w:id="288" w:name="_Toc93934768"/>
      <w:r>
        <w:rPr>
          <w:rStyle w:val="CharSectno"/>
        </w:rPr>
        <w:t>132</w:t>
      </w:r>
      <w:r>
        <w:rPr>
          <w:snapToGrid w:val="0"/>
        </w:rPr>
        <w:t>.</w:t>
      </w:r>
      <w:r>
        <w:rPr>
          <w:snapToGrid w:val="0"/>
        </w:rPr>
        <w:tab/>
        <w:t>Director to pay subsidies</w:t>
      </w:r>
      <w:bookmarkEnd w:id="288"/>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No. 56 of 1997 s. 36.]</w:t>
      </w:r>
    </w:p>
    <w:p>
      <w:pPr>
        <w:pStyle w:val="Heading5"/>
        <w:spacing w:before="180"/>
        <w:rPr>
          <w:snapToGrid w:val="0"/>
        </w:rPr>
      </w:pPr>
      <w:bookmarkStart w:id="289" w:name="_Toc93934769"/>
      <w:r>
        <w:rPr>
          <w:rStyle w:val="CharSectno"/>
        </w:rPr>
        <w:t>133</w:t>
      </w:r>
      <w:r>
        <w:rPr>
          <w:snapToGrid w:val="0"/>
        </w:rPr>
        <w:t>.</w:t>
      </w:r>
      <w:r>
        <w:rPr>
          <w:snapToGrid w:val="0"/>
        </w:rPr>
        <w:tab/>
        <w:t>Consolidated Account appropriated</w:t>
      </w:r>
      <w:bookmarkEnd w:id="289"/>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lastRenderedPageBreak/>
        <w:tab/>
        <w:t>[Section 133 inserted: No. 56 of 1997 s. 36; amended: No. 77 of 2006 s. 4.]</w:t>
      </w:r>
    </w:p>
    <w:p>
      <w:pPr>
        <w:pStyle w:val="Heading5"/>
        <w:rPr>
          <w:snapToGrid w:val="0"/>
        </w:rPr>
      </w:pPr>
      <w:bookmarkStart w:id="290" w:name="_Toc93934770"/>
      <w:r>
        <w:rPr>
          <w:rStyle w:val="CharSectno"/>
        </w:rPr>
        <w:t>134</w:t>
      </w:r>
      <w:r>
        <w:rPr>
          <w:snapToGrid w:val="0"/>
        </w:rPr>
        <w:t>.</w:t>
      </w:r>
      <w:r>
        <w:rPr>
          <w:snapToGrid w:val="0"/>
        </w:rPr>
        <w:tab/>
        <w:t>Correcting incorrect subsidy payments</w:t>
      </w:r>
      <w:bookmarkEnd w:id="290"/>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No. 56 of 1997 s. 36.]</w:t>
      </w:r>
    </w:p>
    <w:p>
      <w:pPr>
        <w:pStyle w:val="Heading5"/>
        <w:rPr>
          <w:snapToGrid w:val="0"/>
        </w:rPr>
      </w:pPr>
      <w:bookmarkStart w:id="291" w:name="_Toc93934771"/>
      <w:r>
        <w:rPr>
          <w:rStyle w:val="CharSectno"/>
        </w:rPr>
        <w:t>135</w:t>
      </w:r>
      <w:r>
        <w:rPr>
          <w:snapToGrid w:val="0"/>
        </w:rPr>
        <w:t>.</w:t>
      </w:r>
      <w:r>
        <w:rPr>
          <w:snapToGrid w:val="0"/>
        </w:rPr>
        <w:tab/>
        <w:t>Failure to correct incorrect subsidy application</w:t>
      </w:r>
      <w:bookmarkEnd w:id="291"/>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lastRenderedPageBreak/>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No. 56 of 1997 s. 36; amended: No. 56 of 2010 s. 69.]</w:t>
      </w:r>
    </w:p>
    <w:p>
      <w:pPr>
        <w:pStyle w:val="Heading5"/>
        <w:spacing w:before="180"/>
        <w:rPr>
          <w:snapToGrid w:val="0"/>
        </w:rPr>
      </w:pPr>
      <w:bookmarkStart w:id="292" w:name="_Toc93934772"/>
      <w:r>
        <w:rPr>
          <w:rStyle w:val="CharSectno"/>
        </w:rPr>
        <w:t>136</w:t>
      </w:r>
      <w:r>
        <w:rPr>
          <w:snapToGrid w:val="0"/>
        </w:rPr>
        <w:t>.</w:t>
      </w:r>
      <w:r>
        <w:rPr>
          <w:snapToGrid w:val="0"/>
        </w:rPr>
        <w:tab/>
        <w:t>Minister may order subsidies to cease</w:t>
      </w:r>
      <w:bookmarkEnd w:id="292"/>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lastRenderedPageBreak/>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No. 56 of 1997 s. 36.] </w:t>
      </w:r>
    </w:p>
    <w:p>
      <w:pPr>
        <w:pStyle w:val="Ednotesection"/>
        <w:spacing w:before="240"/>
        <w:ind w:left="890" w:hanging="890"/>
      </w:pPr>
      <w:r>
        <w:t>[</w:t>
      </w:r>
      <w:r>
        <w:rPr>
          <w:b/>
        </w:rPr>
        <w:t>137, 138.</w:t>
      </w:r>
      <w:r>
        <w:rPr>
          <w:b/>
        </w:rPr>
        <w:tab/>
      </w:r>
      <w:r>
        <w:t xml:space="preserve">Deleted: No. 56 of 1997 s. 36.] </w:t>
      </w:r>
    </w:p>
    <w:p>
      <w:pPr>
        <w:pStyle w:val="Heading3"/>
        <w:keepLines/>
        <w:spacing w:before="280"/>
        <w:rPr>
          <w:snapToGrid w:val="0"/>
        </w:rPr>
      </w:pPr>
      <w:bookmarkStart w:id="293" w:name="_Toc93918228"/>
      <w:bookmarkStart w:id="294" w:name="_Toc93934773"/>
      <w:r>
        <w:rPr>
          <w:rStyle w:val="CharDivNo"/>
        </w:rPr>
        <w:t>Division 3</w:t>
      </w:r>
      <w:r>
        <w:rPr>
          <w:snapToGrid w:val="0"/>
        </w:rPr>
        <w:t> — </w:t>
      </w:r>
      <w:r>
        <w:rPr>
          <w:rStyle w:val="CharDivText"/>
        </w:rPr>
        <w:t>Power of Commission with respect to moneys due</w:t>
      </w:r>
      <w:bookmarkEnd w:id="293"/>
      <w:bookmarkEnd w:id="294"/>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No. 56 of 1997 s. 37; No. 73 of 2006 s. 96.]</w:t>
      </w:r>
    </w:p>
    <w:p>
      <w:pPr>
        <w:pStyle w:val="Ednotesection"/>
        <w:keepNext/>
        <w:keepLines/>
        <w:spacing w:before="240"/>
      </w:pPr>
      <w:r>
        <w:t>[</w:t>
      </w:r>
      <w:r>
        <w:rPr>
          <w:b/>
        </w:rPr>
        <w:t>139</w:t>
      </w:r>
      <w:r>
        <w:rPr>
          <w:b/>
        </w:rPr>
        <w:noBreakHyphen/>
        <w:t>142.</w:t>
      </w:r>
      <w:r>
        <w:rPr>
          <w:b/>
        </w:rPr>
        <w:tab/>
      </w:r>
      <w:r>
        <w:t xml:space="preserve">Deleted: No. 56 of 1997 s. 38.] </w:t>
      </w:r>
    </w:p>
    <w:p>
      <w:pPr>
        <w:pStyle w:val="Heading5"/>
        <w:spacing w:before="240"/>
        <w:rPr>
          <w:snapToGrid w:val="0"/>
        </w:rPr>
      </w:pPr>
      <w:bookmarkStart w:id="295" w:name="_Toc93934774"/>
      <w:r>
        <w:rPr>
          <w:rStyle w:val="CharSectno"/>
        </w:rPr>
        <w:t>143</w:t>
      </w:r>
      <w:r>
        <w:rPr>
          <w:snapToGrid w:val="0"/>
        </w:rPr>
        <w:t>.</w:t>
      </w:r>
      <w:r>
        <w:rPr>
          <w:snapToGrid w:val="0"/>
        </w:rPr>
        <w:tab/>
        <w:t>Order for payment of money</w:t>
      </w:r>
      <w:bookmarkEnd w:id="295"/>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lastRenderedPageBreak/>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No. 56 of 1997 s. 39; No. 59 of 2004 s. 141; No. 73 of 2006 s. 106.] </w:t>
      </w:r>
    </w:p>
    <w:p>
      <w:pPr>
        <w:pStyle w:val="Ednotesection"/>
        <w:ind w:left="890" w:hanging="890"/>
      </w:pPr>
      <w:r>
        <w:t>[</w:t>
      </w:r>
      <w:r>
        <w:rPr>
          <w:b/>
        </w:rPr>
        <w:t>144.</w:t>
      </w:r>
      <w:r>
        <w:rPr>
          <w:b/>
        </w:rPr>
        <w:tab/>
      </w:r>
      <w:r>
        <w:t xml:space="preserve">Deleted: No. 56 of 1997 s. 40.] </w:t>
      </w:r>
    </w:p>
    <w:p>
      <w:pPr>
        <w:pStyle w:val="Heading3"/>
        <w:keepNext w:val="0"/>
        <w:rPr>
          <w:snapToGrid w:val="0"/>
        </w:rPr>
      </w:pPr>
      <w:bookmarkStart w:id="296" w:name="_Toc93918230"/>
      <w:bookmarkStart w:id="297" w:name="_Toc93934775"/>
      <w:r>
        <w:rPr>
          <w:rStyle w:val="CharDivNo"/>
        </w:rPr>
        <w:t>Division 4</w:t>
      </w:r>
      <w:r>
        <w:rPr>
          <w:snapToGrid w:val="0"/>
        </w:rPr>
        <w:t> — </w:t>
      </w:r>
      <w:r>
        <w:rPr>
          <w:rStyle w:val="CharDivText"/>
        </w:rPr>
        <w:t>Records and returns</w:t>
      </w:r>
      <w:bookmarkEnd w:id="296"/>
      <w:bookmarkEnd w:id="297"/>
      <w:r>
        <w:rPr>
          <w:rStyle w:val="CharDivText"/>
        </w:rPr>
        <w:t xml:space="preserve"> </w:t>
      </w:r>
    </w:p>
    <w:p>
      <w:pPr>
        <w:pStyle w:val="Heading5"/>
        <w:keepNext w:val="0"/>
        <w:spacing w:before="160"/>
        <w:rPr>
          <w:snapToGrid w:val="0"/>
        </w:rPr>
      </w:pPr>
      <w:bookmarkStart w:id="298" w:name="_Toc93934776"/>
      <w:r>
        <w:rPr>
          <w:rStyle w:val="CharSectno"/>
        </w:rPr>
        <w:t>145</w:t>
      </w:r>
      <w:r>
        <w:rPr>
          <w:snapToGrid w:val="0"/>
        </w:rPr>
        <w:t>.</w:t>
      </w:r>
      <w:r>
        <w:rPr>
          <w:snapToGrid w:val="0"/>
        </w:rPr>
        <w:tab/>
        <w:t>Records of liquor transactions to be kept by licensees etc.</w:t>
      </w:r>
      <w:bookmarkEnd w:id="298"/>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lastRenderedPageBreak/>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No. 56 of 1997 s. 41; No. 12 of 1998 s. 86; No. 73 of 2006 s. 110; No. 56 of 2010 s. 69.] </w:t>
      </w:r>
    </w:p>
    <w:p>
      <w:pPr>
        <w:pStyle w:val="Heading5"/>
        <w:rPr>
          <w:snapToGrid w:val="0"/>
        </w:rPr>
      </w:pPr>
      <w:bookmarkStart w:id="299" w:name="_Toc93934777"/>
      <w:r>
        <w:rPr>
          <w:rStyle w:val="CharSectno"/>
        </w:rPr>
        <w:t>146</w:t>
      </w:r>
      <w:r>
        <w:rPr>
          <w:snapToGrid w:val="0"/>
        </w:rPr>
        <w:t>.</w:t>
      </w:r>
      <w:r>
        <w:rPr>
          <w:snapToGrid w:val="0"/>
        </w:rPr>
        <w:tab/>
        <w:t>Information to be given to Director in returns</w:t>
      </w:r>
      <w:bookmarkEnd w:id="299"/>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lastRenderedPageBreak/>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No. 56 of 1997 s. 42; No. 73 of 2006 s. 110; No. 56 of 2010 s. 69.] </w:t>
      </w:r>
    </w:p>
    <w:p>
      <w:pPr>
        <w:pStyle w:val="Heading3"/>
        <w:rPr>
          <w:snapToGrid w:val="0"/>
        </w:rPr>
      </w:pPr>
      <w:bookmarkStart w:id="300" w:name="_Toc93918233"/>
      <w:bookmarkStart w:id="301" w:name="_Toc93934778"/>
      <w:r>
        <w:rPr>
          <w:rStyle w:val="CharDivNo"/>
        </w:rPr>
        <w:t>Division 5</w:t>
      </w:r>
      <w:r>
        <w:rPr>
          <w:snapToGrid w:val="0"/>
        </w:rPr>
        <w:t> — </w:t>
      </w:r>
      <w:r>
        <w:rPr>
          <w:rStyle w:val="CharDivText"/>
        </w:rPr>
        <w:t>Recovery of illegal gains</w:t>
      </w:r>
      <w:bookmarkEnd w:id="300"/>
      <w:bookmarkEnd w:id="301"/>
      <w:r>
        <w:rPr>
          <w:rStyle w:val="CharDivText"/>
        </w:rPr>
        <w:t xml:space="preserve"> </w:t>
      </w:r>
    </w:p>
    <w:p>
      <w:pPr>
        <w:pStyle w:val="Footnoteheading"/>
        <w:keepNext/>
        <w:keepLines/>
        <w:tabs>
          <w:tab w:val="left" w:pos="924"/>
        </w:tabs>
        <w:rPr>
          <w:snapToGrid w:val="0"/>
        </w:rPr>
      </w:pPr>
      <w:r>
        <w:rPr>
          <w:snapToGrid w:val="0"/>
        </w:rPr>
        <w:tab/>
        <w:t>[Heading amended: No. 56 of 1997 s. 43.]</w:t>
      </w:r>
    </w:p>
    <w:p>
      <w:pPr>
        <w:pStyle w:val="Heading5"/>
        <w:rPr>
          <w:snapToGrid w:val="0"/>
        </w:rPr>
      </w:pPr>
      <w:bookmarkStart w:id="302" w:name="_Toc93934779"/>
      <w:r>
        <w:rPr>
          <w:rStyle w:val="CharSectno"/>
        </w:rPr>
        <w:t>147</w:t>
      </w:r>
      <w:r>
        <w:rPr>
          <w:snapToGrid w:val="0"/>
        </w:rPr>
        <w:t>.</w:t>
      </w:r>
      <w:r>
        <w:rPr>
          <w:snapToGrid w:val="0"/>
        </w:rPr>
        <w:tab/>
        <w:t>Illegal gains, estimation and recovery of</w:t>
      </w:r>
      <w:bookmarkEnd w:id="302"/>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lastRenderedPageBreak/>
        <w:tab/>
        <w:t xml:space="preserve">[Section 147 amended: No. 56 of 1997 s. 44; No. 73 of 2006 s. 106.] </w:t>
      </w:r>
    </w:p>
    <w:p>
      <w:pPr>
        <w:pStyle w:val="Heading3"/>
        <w:rPr>
          <w:snapToGrid w:val="0"/>
        </w:rPr>
      </w:pPr>
      <w:bookmarkStart w:id="303" w:name="_Toc93918235"/>
      <w:bookmarkStart w:id="304" w:name="_Toc93934780"/>
      <w:r>
        <w:rPr>
          <w:rStyle w:val="CharDivNo"/>
        </w:rPr>
        <w:t>Division 6</w:t>
      </w:r>
      <w:r>
        <w:rPr>
          <w:snapToGrid w:val="0"/>
        </w:rPr>
        <w:t> — </w:t>
      </w:r>
      <w:r>
        <w:rPr>
          <w:rStyle w:val="CharDivText"/>
        </w:rPr>
        <w:t>Information</w:t>
      </w:r>
      <w:bookmarkEnd w:id="303"/>
      <w:bookmarkEnd w:id="304"/>
      <w:r>
        <w:rPr>
          <w:rStyle w:val="CharDivText"/>
        </w:rPr>
        <w:t xml:space="preserve"> </w:t>
      </w:r>
    </w:p>
    <w:p>
      <w:pPr>
        <w:pStyle w:val="Heading5"/>
        <w:rPr>
          <w:snapToGrid w:val="0"/>
        </w:rPr>
      </w:pPr>
      <w:bookmarkStart w:id="305" w:name="_Toc93934781"/>
      <w:r>
        <w:rPr>
          <w:rStyle w:val="CharSectno"/>
        </w:rPr>
        <w:t>148</w:t>
      </w:r>
      <w:r>
        <w:rPr>
          <w:snapToGrid w:val="0"/>
        </w:rPr>
        <w:t>.</w:t>
      </w:r>
      <w:r>
        <w:rPr>
          <w:snapToGrid w:val="0"/>
        </w:rPr>
        <w:tab/>
        <w:t>Information etc., Director’s powers to obtain</w:t>
      </w:r>
      <w:bookmarkEnd w:id="305"/>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No. 56 of 1997 s. 45.] </w:t>
      </w:r>
    </w:p>
    <w:p>
      <w:pPr>
        <w:pStyle w:val="Heading5"/>
        <w:rPr>
          <w:snapToGrid w:val="0"/>
        </w:rPr>
      </w:pPr>
      <w:bookmarkStart w:id="306" w:name="_Toc93934782"/>
      <w:r>
        <w:rPr>
          <w:rStyle w:val="CharSectno"/>
        </w:rPr>
        <w:t>149</w:t>
      </w:r>
      <w:r>
        <w:rPr>
          <w:snapToGrid w:val="0"/>
        </w:rPr>
        <w:t>.</w:t>
      </w:r>
      <w:r>
        <w:rPr>
          <w:snapToGrid w:val="0"/>
        </w:rPr>
        <w:tab/>
        <w:t>Use of information, Director’s powers as to</w:t>
      </w:r>
      <w:bookmarkEnd w:id="306"/>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07" w:name="_Toc93934783"/>
      <w:r>
        <w:rPr>
          <w:rStyle w:val="CharSectno"/>
        </w:rPr>
        <w:t>150</w:t>
      </w:r>
      <w:r>
        <w:rPr>
          <w:snapToGrid w:val="0"/>
        </w:rPr>
        <w:t>.</w:t>
      </w:r>
      <w:r>
        <w:rPr>
          <w:snapToGrid w:val="0"/>
        </w:rPr>
        <w:tab/>
        <w:t>Premises and records, Director’s right of access to etc.</w:t>
      </w:r>
      <w:bookmarkEnd w:id="307"/>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lastRenderedPageBreak/>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No. 56 of 1997 s. 46; No. 12 of 1998 s. 97(1); No. 73 of 2006 s. 110; No. 56 of 2010 s. 69.] </w:t>
      </w:r>
    </w:p>
    <w:p>
      <w:pPr>
        <w:pStyle w:val="Heading5"/>
        <w:rPr>
          <w:snapToGrid w:val="0"/>
        </w:rPr>
      </w:pPr>
      <w:bookmarkStart w:id="308" w:name="_Toc93934784"/>
      <w:r>
        <w:rPr>
          <w:rStyle w:val="CharSectno"/>
        </w:rPr>
        <w:t>151</w:t>
      </w:r>
      <w:r>
        <w:rPr>
          <w:snapToGrid w:val="0"/>
        </w:rPr>
        <w:t>.</w:t>
      </w:r>
      <w:r>
        <w:rPr>
          <w:snapToGrid w:val="0"/>
        </w:rPr>
        <w:tab/>
        <w:t>Licensing authority may assist other authorities</w:t>
      </w:r>
      <w:bookmarkEnd w:id="308"/>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09" w:name="_Toc93934785"/>
      <w:r>
        <w:rPr>
          <w:rStyle w:val="CharSectno"/>
        </w:rPr>
        <w:t>152</w:t>
      </w:r>
      <w:r>
        <w:rPr>
          <w:snapToGrid w:val="0"/>
        </w:rPr>
        <w:t>.</w:t>
      </w:r>
      <w:r>
        <w:rPr>
          <w:snapToGrid w:val="0"/>
        </w:rPr>
        <w:tab/>
        <w:t>Disclosure of information by officials</w:t>
      </w:r>
      <w:bookmarkEnd w:id="309"/>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 xml:space="preserve">either directly or indirectly, except in the performance of a function in relation to this Act or in accordance with section 151, make a record of, or divulge or </w:t>
      </w:r>
      <w:r>
        <w:rPr>
          <w:snapToGrid w:val="0"/>
        </w:rPr>
        <w:lastRenderedPageBreak/>
        <w:t>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No. 73 of 2006 s. 110; No. 56 of 2010 s. 69.]</w:t>
      </w:r>
    </w:p>
    <w:p>
      <w:pPr>
        <w:pStyle w:val="Heading2"/>
      </w:pPr>
      <w:bookmarkStart w:id="310" w:name="_Toc93918241"/>
      <w:bookmarkStart w:id="311" w:name="_Toc93934786"/>
      <w:r>
        <w:rPr>
          <w:rStyle w:val="CharPartNo"/>
        </w:rPr>
        <w:lastRenderedPageBreak/>
        <w:t>Part 5A</w:t>
      </w:r>
      <w:r>
        <w:rPr>
          <w:rStyle w:val="CharDivNo"/>
        </w:rPr>
        <w:t> </w:t>
      </w:r>
      <w:r>
        <w:t>—</w:t>
      </w:r>
      <w:r>
        <w:rPr>
          <w:rStyle w:val="CharDivText"/>
        </w:rPr>
        <w:t> </w:t>
      </w:r>
      <w:r>
        <w:rPr>
          <w:rStyle w:val="CharPartText"/>
        </w:rPr>
        <w:t>Prohibition orders</w:t>
      </w:r>
      <w:bookmarkEnd w:id="310"/>
      <w:bookmarkEnd w:id="311"/>
    </w:p>
    <w:p>
      <w:pPr>
        <w:pStyle w:val="Footnoteheading"/>
      </w:pPr>
      <w:r>
        <w:tab/>
        <w:t>[Heading inserted: No. 73 of 2006 s. 97.]</w:t>
      </w:r>
    </w:p>
    <w:p>
      <w:pPr>
        <w:pStyle w:val="Heading5"/>
        <w:spacing w:before="240"/>
      </w:pPr>
      <w:bookmarkStart w:id="312" w:name="_Toc93934787"/>
      <w:r>
        <w:rPr>
          <w:rStyle w:val="CharSectno"/>
        </w:rPr>
        <w:t>152A</w:t>
      </w:r>
      <w:r>
        <w:t>.</w:t>
      </w:r>
      <w:r>
        <w:tab/>
        <w:t>Terms used</w:t>
      </w:r>
      <w:bookmarkEnd w:id="312"/>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No. 73 of 2006 s. 97.]</w:t>
      </w:r>
    </w:p>
    <w:p>
      <w:pPr>
        <w:pStyle w:val="Heading5"/>
        <w:spacing w:before="240"/>
      </w:pPr>
      <w:bookmarkStart w:id="313" w:name="_Toc93934788"/>
      <w:r>
        <w:rPr>
          <w:rStyle w:val="CharSectno"/>
        </w:rPr>
        <w:t>152B</w:t>
      </w:r>
      <w:r>
        <w:t>.</w:t>
      </w:r>
      <w:r>
        <w:tab/>
        <w:t>Commissioner of Police may apply for prohibition orders</w:t>
      </w:r>
      <w:bookmarkEnd w:id="313"/>
    </w:p>
    <w:p>
      <w:pPr>
        <w:pStyle w:val="Subsection"/>
        <w:spacing w:before="180"/>
      </w:pPr>
      <w:r>
        <w:tab/>
        <w:t>(1)</w:t>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Subsection"/>
      </w:pPr>
      <w:r>
        <w:tab/>
        <w:t>(2)</w:t>
      </w:r>
      <w:r>
        <w:tab/>
        <w:t>The Commissioner of Police must serve a copy of the application on the relevant person.</w:t>
      </w:r>
    </w:p>
    <w:p>
      <w:pPr>
        <w:pStyle w:val="Footnotesection"/>
      </w:pPr>
      <w:r>
        <w:tab/>
        <w:t>[Section 152B inserted: No. 73 of 2006 s. 97; amended: No. 9 of 2018 s. 61.]</w:t>
      </w:r>
    </w:p>
    <w:p>
      <w:pPr>
        <w:pStyle w:val="Heading5"/>
        <w:keepNext w:val="0"/>
        <w:keepLines w:val="0"/>
        <w:pageBreakBefore/>
        <w:spacing w:before="0"/>
      </w:pPr>
      <w:bookmarkStart w:id="314" w:name="_Toc93934789"/>
      <w:r>
        <w:rPr>
          <w:rStyle w:val="CharSectno"/>
        </w:rPr>
        <w:lastRenderedPageBreak/>
        <w:t>152C</w:t>
      </w:r>
      <w:r>
        <w:t>.</w:t>
      </w:r>
      <w:r>
        <w:tab/>
        <w:t>Evidence in support of s. 152B application</w:t>
      </w:r>
      <w:bookmarkEnd w:id="314"/>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No. 73 of 2006 s. 97.]</w:t>
      </w:r>
    </w:p>
    <w:p>
      <w:pPr>
        <w:pStyle w:val="Heading5"/>
      </w:pPr>
      <w:bookmarkStart w:id="315" w:name="_Toc93934790"/>
      <w:r>
        <w:rPr>
          <w:rStyle w:val="CharSectno"/>
        </w:rPr>
        <w:t>152D</w:t>
      </w:r>
      <w:r>
        <w:t>.</w:t>
      </w:r>
      <w:r>
        <w:tab/>
        <w:t>Notice of s. 152B application etc. to be given to relevant person</w:t>
      </w:r>
      <w:bookmarkEnd w:id="315"/>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lastRenderedPageBreak/>
        <w:tab/>
        <w:t>[Section 152D inserted: No. 73 of 2006 s. 97.]</w:t>
      </w:r>
    </w:p>
    <w:p>
      <w:pPr>
        <w:pStyle w:val="Heading5"/>
      </w:pPr>
      <w:bookmarkStart w:id="316" w:name="_Toc93934791"/>
      <w:r>
        <w:rPr>
          <w:rStyle w:val="CharSectno"/>
        </w:rPr>
        <w:t>152E</w:t>
      </w:r>
      <w:r>
        <w:t>.</w:t>
      </w:r>
      <w:r>
        <w:tab/>
        <w:t>Director may make prohibition orders</w:t>
      </w:r>
      <w:bookmarkEnd w:id="316"/>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No. 73 of 2006 s. 97.]</w:t>
      </w:r>
    </w:p>
    <w:p>
      <w:pPr>
        <w:pStyle w:val="Heading5"/>
        <w:keepLines w:val="0"/>
        <w:spacing w:before="180"/>
      </w:pPr>
      <w:bookmarkStart w:id="317" w:name="_Toc93934792"/>
      <w:r>
        <w:rPr>
          <w:rStyle w:val="CharSectno"/>
        </w:rPr>
        <w:lastRenderedPageBreak/>
        <w:t>152F</w:t>
      </w:r>
      <w:r>
        <w:t>.</w:t>
      </w:r>
      <w:r>
        <w:tab/>
        <w:t>Term of prohibition orders</w:t>
      </w:r>
      <w:bookmarkEnd w:id="317"/>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No. 73 of 2006 s. 97.]</w:t>
      </w:r>
    </w:p>
    <w:p>
      <w:pPr>
        <w:pStyle w:val="Heading5"/>
      </w:pPr>
      <w:bookmarkStart w:id="318" w:name="_Toc93934793"/>
      <w:r>
        <w:rPr>
          <w:rStyle w:val="CharSectno"/>
        </w:rPr>
        <w:t>152G</w:t>
      </w:r>
      <w:r>
        <w:t>.</w:t>
      </w:r>
      <w:r>
        <w:tab/>
        <w:t>Applications to vary or revoke prohibition orders</w:t>
      </w:r>
      <w:bookmarkEnd w:id="318"/>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No. 73 of 2006 s. 97.]</w:t>
      </w:r>
    </w:p>
    <w:p>
      <w:pPr>
        <w:pStyle w:val="Heading5"/>
      </w:pPr>
      <w:bookmarkStart w:id="319" w:name="_Toc93934794"/>
      <w:r>
        <w:rPr>
          <w:rStyle w:val="CharSectno"/>
        </w:rPr>
        <w:t>152H</w:t>
      </w:r>
      <w:r>
        <w:t>.</w:t>
      </w:r>
      <w:r>
        <w:tab/>
        <w:t>Evidence in support of s. 152G application</w:t>
      </w:r>
      <w:bookmarkEnd w:id="319"/>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No. 73 of 2006 s. 97.]</w:t>
      </w:r>
    </w:p>
    <w:p>
      <w:pPr>
        <w:pStyle w:val="Heading5"/>
      </w:pPr>
      <w:bookmarkStart w:id="320" w:name="_Toc93934795"/>
      <w:r>
        <w:rPr>
          <w:rStyle w:val="CharSectno"/>
        </w:rPr>
        <w:lastRenderedPageBreak/>
        <w:t>152I</w:t>
      </w:r>
      <w:r>
        <w:t>.</w:t>
      </w:r>
      <w:r>
        <w:tab/>
        <w:t>Notice of s. 152G application etc. to be given to respondent</w:t>
      </w:r>
      <w:bookmarkEnd w:id="320"/>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No. 73 of 2006 s. 97.]</w:t>
      </w:r>
    </w:p>
    <w:p>
      <w:pPr>
        <w:pStyle w:val="Heading5"/>
      </w:pPr>
      <w:bookmarkStart w:id="321" w:name="_Toc93934796"/>
      <w:r>
        <w:rPr>
          <w:rStyle w:val="CharSectno"/>
        </w:rPr>
        <w:t>152J</w:t>
      </w:r>
      <w:r>
        <w:t>.</w:t>
      </w:r>
      <w:r>
        <w:tab/>
        <w:t>Director may vary or revoke prohibition orders</w:t>
      </w:r>
      <w:bookmarkEnd w:id="321"/>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No. 73 of 2006 s. 97.]</w:t>
      </w:r>
    </w:p>
    <w:p>
      <w:pPr>
        <w:pStyle w:val="Heading5"/>
      </w:pPr>
      <w:bookmarkStart w:id="322" w:name="_Toc93934797"/>
      <w:r>
        <w:rPr>
          <w:rStyle w:val="CharSectno"/>
        </w:rPr>
        <w:lastRenderedPageBreak/>
        <w:t>152K</w:t>
      </w:r>
      <w:r>
        <w:t>.</w:t>
      </w:r>
      <w:r>
        <w:tab/>
        <w:t>Service and publication of prohibition orders</w:t>
      </w:r>
      <w:bookmarkEnd w:id="322"/>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No. 73 of 2006 s. 97; amended: No. 56 of 2010 s. 32.]</w:t>
      </w:r>
    </w:p>
    <w:p>
      <w:pPr>
        <w:pStyle w:val="Heading5"/>
      </w:pPr>
      <w:bookmarkStart w:id="323" w:name="_Toc93934798"/>
      <w:r>
        <w:rPr>
          <w:rStyle w:val="CharSectno"/>
        </w:rPr>
        <w:lastRenderedPageBreak/>
        <w:t>152L</w:t>
      </w:r>
      <w:r>
        <w:t>.</w:t>
      </w:r>
      <w:r>
        <w:tab/>
        <w:t>Failing to comply with prohibition orders</w:t>
      </w:r>
      <w:bookmarkEnd w:id="323"/>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No. 73 of 2006 s. 97; amended: No. 56 of 2010 s. 69.]</w:t>
      </w:r>
    </w:p>
    <w:p>
      <w:pPr>
        <w:pStyle w:val="Heading5"/>
      </w:pPr>
      <w:bookmarkStart w:id="324" w:name="_Toc93934799"/>
      <w:r>
        <w:rPr>
          <w:rStyle w:val="CharSectno"/>
        </w:rPr>
        <w:t>152M</w:t>
      </w:r>
      <w:r>
        <w:t>.</w:t>
      </w:r>
      <w:r>
        <w:tab/>
        <w:t>Permitting entry to premises contrary to prohibition order</w:t>
      </w:r>
      <w:bookmarkEnd w:id="324"/>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No. 56 of 2010 s. 33.]</w:t>
      </w:r>
    </w:p>
    <w:p>
      <w:pPr>
        <w:pStyle w:val="Heading5"/>
      </w:pPr>
      <w:bookmarkStart w:id="325" w:name="_Toc93934800"/>
      <w:r>
        <w:rPr>
          <w:rStyle w:val="CharSectno"/>
        </w:rPr>
        <w:t>152NA</w:t>
      </w:r>
      <w:r>
        <w:t>.</w:t>
      </w:r>
      <w:r>
        <w:tab/>
        <w:t xml:space="preserve">Relationship with </w:t>
      </w:r>
      <w:r>
        <w:rPr>
          <w:i/>
        </w:rPr>
        <w:t>Criminal Organisations Control Act 2012</w:t>
      </w:r>
      <w:bookmarkEnd w:id="325"/>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No. 49 of 2012 s. 178.]</w:t>
      </w:r>
    </w:p>
    <w:p>
      <w:pPr>
        <w:pStyle w:val="Heading2"/>
      </w:pPr>
      <w:bookmarkStart w:id="326" w:name="_Toc93918256"/>
      <w:bookmarkStart w:id="327" w:name="_Toc93934801"/>
      <w:r>
        <w:rPr>
          <w:rStyle w:val="CharPartNo"/>
        </w:rPr>
        <w:lastRenderedPageBreak/>
        <w:t>Part 5B</w:t>
      </w:r>
      <w:r>
        <w:rPr>
          <w:rStyle w:val="CharDivNo"/>
        </w:rPr>
        <w:t> </w:t>
      </w:r>
      <w:r>
        <w:t>—</w:t>
      </w:r>
      <w:r>
        <w:rPr>
          <w:rStyle w:val="CharDivText"/>
        </w:rPr>
        <w:t> </w:t>
      </w:r>
      <w:r>
        <w:rPr>
          <w:rStyle w:val="CharPartText"/>
        </w:rPr>
        <w:t>Liquor restricted premises</w:t>
      </w:r>
      <w:bookmarkEnd w:id="326"/>
      <w:bookmarkEnd w:id="327"/>
    </w:p>
    <w:p>
      <w:pPr>
        <w:pStyle w:val="Footnoteheading"/>
      </w:pPr>
      <w:r>
        <w:tab/>
        <w:t>[Heading inserted: No. 56 of 2010 s. 26.]</w:t>
      </w:r>
    </w:p>
    <w:p>
      <w:pPr>
        <w:pStyle w:val="Heading5"/>
      </w:pPr>
      <w:bookmarkStart w:id="328" w:name="_Toc93934802"/>
      <w:r>
        <w:rPr>
          <w:rStyle w:val="CharSectno"/>
        </w:rPr>
        <w:t>152N</w:t>
      </w:r>
      <w:r>
        <w:t>.</w:t>
      </w:r>
      <w:r>
        <w:tab/>
        <w:t>Terms used</w:t>
      </w:r>
      <w:bookmarkEnd w:id="328"/>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No. 56 of 2010 s. 26.]</w:t>
      </w:r>
    </w:p>
    <w:p>
      <w:pPr>
        <w:pStyle w:val="Heading5"/>
      </w:pPr>
      <w:bookmarkStart w:id="329" w:name="_Toc93934803"/>
      <w:r>
        <w:rPr>
          <w:rStyle w:val="CharSectno"/>
        </w:rPr>
        <w:t>152O</w:t>
      </w:r>
      <w:r>
        <w:t>.</w:t>
      </w:r>
      <w:r>
        <w:tab/>
        <w:t>Liquor on liquor restricted premises, offences as to</w:t>
      </w:r>
      <w:bookmarkEnd w:id="329"/>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lastRenderedPageBreak/>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No. 56 of 2010 s. 26; No. 35 of 2015 s. 22.]</w:t>
      </w:r>
    </w:p>
    <w:p>
      <w:pPr>
        <w:pStyle w:val="Heading5"/>
      </w:pPr>
      <w:bookmarkStart w:id="330" w:name="_Toc93934804"/>
      <w:r>
        <w:rPr>
          <w:rStyle w:val="CharSectno"/>
        </w:rPr>
        <w:t>152P</w:t>
      </w:r>
      <w:r>
        <w:t>.</w:t>
      </w:r>
      <w:r>
        <w:tab/>
        <w:t>Declaration of liquor restricted premises</w:t>
      </w:r>
      <w:bookmarkEnd w:id="330"/>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lastRenderedPageBreak/>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No. 56 of 2010 s. 26.]</w:t>
      </w:r>
    </w:p>
    <w:p>
      <w:pPr>
        <w:pStyle w:val="Heading5"/>
        <w:spacing w:before="240"/>
      </w:pPr>
      <w:bookmarkStart w:id="331" w:name="_Toc93934805"/>
      <w:r>
        <w:rPr>
          <w:rStyle w:val="CharSectno"/>
        </w:rPr>
        <w:t>152Q</w:t>
      </w:r>
      <w:r>
        <w:t>.</w:t>
      </w:r>
      <w:r>
        <w:tab/>
        <w:t>Liquor restriction declarations, power to make</w:t>
      </w:r>
      <w:bookmarkEnd w:id="331"/>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lastRenderedPageBreak/>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No. 56 of 2010 s. 26.]</w:t>
      </w:r>
    </w:p>
    <w:p>
      <w:pPr>
        <w:pStyle w:val="Heading5"/>
      </w:pPr>
      <w:bookmarkStart w:id="332" w:name="_Toc93934806"/>
      <w:r>
        <w:rPr>
          <w:rStyle w:val="CharSectno"/>
        </w:rPr>
        <w:t>152R</w:t>
      </w:r>
      <w:r>
        <w:t>.</w:t>
      </w:r>
      <w:r>
        <w:tab/>
        <w:t>Service etc. of liquor restriction declarations</w:t>
      </w:r>
      <w:bookmarkEnd w:id="332"/>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lastRenderedPageBreak/>
        <w:tab/>
        <w:t>(4)</w:t>
      </w:r>
      <w:r>
        <w:tab/>
        <w:t>A failure to give notice as required by subsection (2) does not affect the validity of the declaration.</w:t>
      </w:r>
    </w:p>
    <w:p>
      <w:pPr>
        <w:pStyle w:val="Footnotesection"/>
      </w:pPr>
      <w:r>
        <w:tab/>
        <w:t>[Section 152R inserted: No. 56 of 2010 s. 26.]</w:t>
      </w:r>
    </w:p>
    <w:p>
      <w:pPr>
        <w:pStyle w:val="Heading5"/>
      </w:pPr>
      <w:bookmarkStart w:id="333" w:name="_Toc93934807"/>
      <w:r>
        <w:rPr>
          <w:rStyle w:val="CharSectno"/>
        </w:rPr>
        <w:t>152S</w:t>
      </w:r>
      <w:r>
        <w:t>.</w:t>
      </w:r>
      <w:r>
        <w:tab/>
        <w:t>Notice of liquor restriction declaration to be displayed at premises</w:t>
      </w:r>
      <w:bookmarkEnd w:id="333"/>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lastRenderedPageBreak/>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No. 56 of 2010 s. 26; amended: No. 35 of 2015 s. 23.]</w:t>
      </w:r>
    </w:p>
    <w:p>
      <w:pPr>
        <w:pStyle w:val="Heading5"/>
        <w:spacing w:before="180"/>
      </w:pPr>
      <w:bookmarkStart w:id="334" w:name="_Toc93934808"/>
      <w:r>
        <w:rPr>
          <w:rStyle w:val="CharSectno"/>
        </w:rPr>
        <w:t>152T</w:t>
      </w:r>
      <w:r>
        <w:t>.</w:t>
      </w:r>
      <w:r>
        <w:tab/>
        <w:t>Duration of liquor restriction declarations</w:t>
      </w:r>
      <w:bookmarkEnd w:id="334"/>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No. 56 of 2010 s. 26.]</w:t>
      </w:r>
    </w:p>
    <w:p>
      <w:pPr>
        <w:pStyle w:val="Heading5"/>
        <w:spacing w:before="180"/>
      </w:pPr>
      <w:bookmarkStart w:id="335" w:name="_Toc93934809"/>
      <w:r>
        <w:rPr>
          <w:rStyle w:val="CharSectno"/>
        </w:rPr>
        <w:t>152U</w:t>
      </w:r>
      <w:r>
        <w:t>.</w:t>
      </w:r>
      <w:r>
        <w:tab/>
        <w:t>Varying liquor restriction declarations</w:t>
      </w:r>
      <w:bookmarkEnd w:id="335"/>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lastRenderedPageBreak/>
        <w:tab/>
        <w:t>(ii)</w:t>
      </w:r>
      <w:r>
        <w:tab/>
        <w:t>is in the public interest, despite not reflecting the wishes of the majority of the occupiers of the premises;</w:t>
      </w:r>
    </w:p>
    <w:p>
      <w:pPr>
        <w:pStyle w:val="Indenta"/>
        <w:keepNext/>
      </w:pPr>
      <w:r>
        <w:tab/>
      </w:r>
      <w:r>
        <w:tab/>
        <w:t>and</w:t>
      </w:r>
    </w:p>
    <w:p>
      <w:pPr>
        <w:pStyle w:val="Indenta"/>
        <w:keepNext/>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lastRenderedPageBreak/>
        <w:tab/>
        <w:t>(5)</w:t>
      </w:r>
      <w:r>
        <w:tab/>
        <w:t>Section 152Q(4) and (5) apply, with any necessary modifications, to the exercise by the Director of a power under subsection (1).</w:t>
      </w:r>
    </w:p>
    <w:p>
      <w:pPr>
        <w:pStyle w:val="Footnotesection"/>
      </w:pPr>
      <w:r>
        <w:tab/>
        <w:t>[Section 152U inserted: No. 56 of 2010 s. 26.]</w:t>
      </w:r>
    </w:p>
    <w:p>
      <w:pPr>
        <w:pStyle w:val="Heading5"/>
      </w:pPr>
      <w:bookmarkStart w:id="336" w:name="_Toc93934810"/>
      <w:r>
        <w:rPr>
          <w:rStyle w:val="CharSectno"/>
        </w:rPr>
        <w:t>152V</w:t>
      </w:r>
      <w:r>
        <w:t>.</w:t>
      </w:r>
      <w:r>
        <w:tab/>
        <w:t>Revoking liquor restriction declarations</w:t>
      </w:r>
      <w:bookmarkEnd w:id="336"/>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No. 56 of 2010 s. 26.]</w:t>
      </w:r>
    </w:p>
    <w:p>
      <w:pPr>
        <w:pStyle w:val="Heading5"/>
      </w:pPr>
      <w:bookmarkStart w:id="337" w:name="_Toc93934811"/>
      <w:r>
        <w:rPr>
          <w:rStyle w:val="CharSectno"/>
        </w:rPr>
        <w:lastRenderedPageBreak/>
        <w:t>152W</w:t>
      </w:r>
      <w:r>
        <w:t>.</w:t>
      </w:r>
      <w:r>
        <w:tab/>
        <w:t>Applications generally</w:t>
      </w:r>
      <w:bookmarkEnd w:id="337"/>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No. 56 of 2010 s. 26.]</w:t>
      </w:r>
    </w:p>
    <w:p>
      <w:pPr>
        <w:pStyle w:val="Heading5"/>
      </w:pPr>
      <w:bookmarkStart w:id="338" w:name="_Toc93934812"/>
      <w:r>
        <w:rPr>
          <w:rStyle w:val="CharSectno"/>
        </w:rPr>
        <w:t>152X</w:t>
      </w:r>
      <w:r>
        <w:t>.</w:t>
      </w:r>
      <w:r>
        <w:tab/>
        <w:t>Decisions under Part 5B not subject to review under s. 25</w:t>
      </w:r>
      <w:bookmarkEnd w:id="338"/>
    </w:p>
    <w:p>
      <w:pPr>
        <w:pStyle w:val="Subsection"/>
      </w:pPr>
      <w:r>
        <w:tab/>
      </w:r>
      <w:r>
        <w:tab/>
        <w:t>A decision made by the Director under this Part is not subject to review under section 25.</w:t>
      </w:r>
    </w:p>
    <w:p>
      <w:pPr>
        <w:pStyle w:val="Footnotesection"/>
      </w:pPr>
      <w:r>
        <w:tab/>
        <w:t>[Section 152X inserted: No. 56 of 2010 s. 26.]</w:t>
      </w:r>
    </w:p>
    <w:p>
      <w:pPr>
        <w:pStyle w:val="Heading2"/>
      </w:pPr>
      <w:bookmarkStart w:id="339" w:name="_Toc93918268"/>
      <w:bookmarkStart w:id="340" w:name="_Toc93934813"/>
      <w:r>
        <w:rPr>
          <w:rStyle w:val="CharPartNo"/>
        </w:rPr>
        <w:lastRenderedPageBreak/>
        <w:t>Part 6</w:t>
      </w:r>
      <w:r>
        <w:rPr>
          <w:rStyle w:val="CharDivNo"/>
        </w:rPr>
        <w:t> </w:t>
      </w:r>
      <w:r>
        <w:t>—</w:t>
      </w:r>
      <w:r>
        <w:rPr>
          <w:rStyle w:val="CharDivText"/>
        </w:rPr>
        <w:t> </w:t>
      </w:r>
      <w:r>
        <w:rPr>
          <w:rStyle w:val="CharPartText"/>
        </w:rPr>
        <w:t>Enforcement</w:t>
      </w:r>
      <w:bookmarkEnd w:id="339"/>
      <w:bookmarkEnd w:id="340"/>
      <w:r>
        <w:rPr>
          <w:rStyle w:val="CharPartText"/>
        </w:rPr>
        <w:t xml:space="preserve"> </w:t>
      </w:r>
    </w:p>
    <w:p>
      <w:pPr>
        <w:pStyle w:val="Heading5"/>
        <w:rPr>
          <w:snapToGrid w:val="0"/>
        </w:rPr>
      </w:pPr>
      <w:bookmarkStart w:id="341" w:name="_Toc93934814"/>
      <w:r>
        <w:rPr>
          <w:rStyle w:val="CharSectno"/>
        </w:rPr>
        <w:t>153</w:t>
      </w:r>
      <w:r>
        <w:rPr>
          <w:snapToGrid w:val="0"/>
        </w:rPr>
        <w:t>.</w:t>
      </w:r>
      <w:r>
        <w:rPr>
          <w:snapToGrid w:val="0"/>
        </w:rPr>
        <w:tab/>
        <w:t>Authorised officers etc., functions and reports of</w:t>
      </w:r>
      <w:bookmarkEnd w:id="341"/>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lastRenderedPageBreak/>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No. 14 of 1996 s. 4; No. 73 of 2006 s. 106.] </w:t>
      </w:r>
    </w:p>
    <w:p>
      <w:pPr>
        <w:pStyle w:val="Heading5"/>
        <w:rPr>
          <w:snapToGrid w:val="0"/>
        </w:rPr>
      </w:pPr>
      <w:bookmarkStart w:id="342" w:name="_Toc93934815"/>
      <w:r>
        <w:rPr>
          <w:rStyle w:val="CharSectno"/>
        </w:rPr>
        <w:t>154</w:t>
      </w:r>
      <w:r>
        <w:rPr>
          <w:snapToGrid w:val="0"/>
        </w:rPr>
        <w:t>.</w:t>
      </w:r>
      <w:r>
        <w:rPr>
          <w:snapToGrid w:val="0"/>
        </w:rPr>
        <w:tab/>
        <w:t>Authorised officers, powers of entry etc., offences as to</w:t>
      </w:r>
      <w:bookmarkEnd w:id="342"/>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lastRenderedPageBreak/>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 xml:space="preserve">Where a question put to a person under this Act is relevant to the assessment of a subsidy, a person is not excused from answering the question on the ground that the answer to the question would tend to incriminate the person but, where a </w:t>
      </w:r>
      <w:r>
        <w:rPr>
          <w:snapToGrid w:val="0"/>
        </w:rPr>
        <w:lastRenderedPageBreak/>
        <w:t>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No. 56 of 1997 s. 47; No. 12 of 1998 s. 97(1) and (3); No. 73 of 2006 s. 110; No. 56 of 2010 s. 25 and 69.] </w:t>
      </w:r>
    </w:p>
    <w:p>
      <w:pPr>
        <w:pStyle w:val="Heading5"/>
        <w:rPr>
          <w:snapToGrid w:val="0"/>
        </w:rPr>
      </w:pPr>
      <w:bookmarkStart w:id="343" w:name="_Toc93934816"/>
      <w:r>
        <w:rPr>
          <w:rStyle w:val="CharSectno"/>
        </w:rPr>
        <w:t>155</w:t>
      </w:r>
      <w:r>
        <w:rPr>
          <w:snapToGrid w:val="0"/>
        </w:rPr>
        <w:t>.</w:t>
      </w:r>
      <w:r>
        <w:rPr>
          <w:snapToGrid w:val="0"/>
        </w:rPr>
        <w:tab/>
        <w:t>Police, powers of to enter, seize liquor etc.</w:t>
      </w:r>
      <w:bookmarkEnd w:id="343"/>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lastRenderedPageBreak/>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(5A)</w:t>
      </w:r>
      <w:r>
        <w:tab/>
        <w:t>If a person is contravening section 109A(2) a member of the Police Force may, subject to subsection (5B), seize an opened or unopened container of liquor involved in the contravention.</w:t>
      </w:r>
    </w:p>
    <w:p>
      <w:pPr>
        <w:pStyle w:val="Subsection"/>
      </w:pPr>
      <w:r>
        <w:lastRenderedPageBreak/>
        <w:tab/>
        <w:t>(5B)</w:t>
      </w:r>
      <w:r>
        <w:tab/>
        <w:t>The total quantity of a kind of liquor in any containers seized under subsection (5A) must not exceed the seizable quantity for that kind of liquor.</w:t>
      </w:r>
    </w:p>
    <w:p>
      <w:pPr>
        <w:pStyle w:val="Subsection"/>
      </w:pPr>
      <w:r>
        <w:tab/>
        <w:t>(5C)</w:t>
      </w:r>
      <w:r>
        <w:tab/>
        <w:t xml:space="preserve">In subsection (5B) — </w:t>
      </w:r>
    </w:p>
    <w:p>
      <w:pPr>
        <w:pStyle w:val="Defstart"/>
      </w:pPr>
      <w:r>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suspects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 xml:space="preserve">If a member of the Police Force suspects on reasonable grounds that a juvenile is contravening a provision of this Act, the member may seize any opened or unopened container that the </w:t>
      </w:r>
      <w:r>
        <w:lastRenderedPageBreak/>
        <w:t>member suspects on reasonable grounds relates to that contravention.</w:t>
      </w:r>
    </w:p>
    <w:p>
      <w:pPr>
        <w:pStyle w:val="Subsection"/>
      </w:pPr>
      <w:r>
        <w:tab/>
        <w:t>(9)</w:t>
      </w:r>
      <w:r>
        <w:tab/>
        <w:t>Despite subsection (5), a member of the Police Force who seizes a container of liquor under subsection (5A), (6), (7), (8) or (9A) must dispose of it as soon as is practicable after it is seized.</w:t>
      </w:r>
    </w:p>
    <w:p>
      <w:pPr>
        <w:pStyle w:val="Footnotesection"/>
      </w:pPr>
      <w:r>
        <w:tab/>
        <w:t>[Section 155 amended: No. 70 of 2004 s. 82; No. 59 of 2006 s. 55; No. 73 of 2006 s. 98 and 109; No. 56 of 2010 s. 65; No. 35 of 2015 s. 24; No. 9 of 2018 s. 62.]</w:t>
      </w:r>
    </w:p>
    <w:p>
      <w:pPr>
        <w:pStyle w:val="Heading5"/>
        <w:rPr>
          <w:snapToGrid w:val="0"/>
        </w:rPr>
      </w:pPr>
      <w:bookmarkStart w:id="344" w:name="_Toc93934817"/>
      <w:r>
        <w:rPr>
          <w:rStyle w:val="CharSectno"/>
        </w:rPr>
        <w:t>156</w:t>
      </w:r>
      <w:r>
        <w:rPr>
          <w:snapToGrid w:val="0"/>
        </w:rPr>
        <w:t>.</w:t>
      </w:r>
      <w:r>
        <w:rPr>
          <w:snapToGrid w:val="0"/>
        </w:rPr>
        <w:tab/>
        <w:t>Local governments, functions of</w:t>
      </w:r>
      <w:bookmarkEnd w:id="344"/>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No. 14 of 1996 s. 4; No. 84 of 2004 s. 80.] </w:t>
      </w:r>
    </w:p>
    <w:p>
      <w:pPr>
        <w:pStyle w:val="Heading5"/>
        <w:rPr>
          <w:snapToGrid w:val="0"/>
        </w:rPr>
      </w:pPr>
      <w:bookmarkStart w:id="345" w:name="_Toc93934818"/>
      <w:r>
        <w:rPr>
          <w:rStyle w:val="CharSectno"/>
        </w:rPr>
        <w:t>157</w:t>
      </w:r>
      <w:r>
        <w:rPr>
          <w:snapToGrid w:val="0"/>
        </w:rPr>
        <w:t>.</w:t>
      </w:r>
      <w:r>
        <w:rPr>
          <w:snapToGrid w:val="0"/>
        </w:rPr>
        <w:tab/>
        <w:t>Evasion of fees due etc., offence</w:t>
      </w:r>
      <w:bookmarkEnd w:id="345"/>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lastRenderedPageBreak/>
        <w:tab/>
        <w:t xml:space="preserve">[Section 157 amended: No. 12 of 1998 s. 87; No. 84 of 2004 s. 80; No. 56 of 2010 s. 69.] </w:t>
      </w:r>
    </w:p>
    <w:p>
      <w:pPr>
        <w:pStyle w:val="Heading5"/>
        <w:rPr>
          <w:snapToGrid w:val="0"/>
        </w:rPr>
      </w:pPr>
      <w:bookmarkStart w:id="346" w:name="_Toc93934819"/>
      <w:r>
        <w:rPr>
          <w:rStyle w:val="CharSectno"/>
        </w:rPr>
        <w:t>158</w:t>
      </w:r>
      <w:r>
        <w:rPr>
          <w:snapToGrid w:val="0"/>
        </w:rPr>
        <w:t>.</w:t>
      </w:r>
      <w:r>
        <w:rPr>
          <w:snapToGrid w:val="0"/>
        </w:rPr>
        <w:tab/>
        <w:t>Failing to comply with licensing authority’s requirements etc., offence</w:t>
      </w:r>
      <w:bookmarkEnd w:id="346"/>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No. 73 of 2006 s. 110; No. 56 of 2010 s. 69.]</w:t>
      </w:r>
    </w:p>
    <w:p>
      <w:pPr>
        <w:pStyle w:val="Heading5"/>
        <w:rPr>
          <w:snapToGrid w:val="0"/>
        </w:rPr>
      </w:pPr>
      <w:bookmarkStart w:id="347" w:name="_Toc93934820"/>
      <w:r>
        <w:rPr>
          <w:rStyle w:val="CharSectno"/>
        </w:rPr>
        <w:lastRenderedPageBreak/>
        <w:t>159</w:t>
      </w:r>
      <w:r>
        <w:rPr>
          <w:snapToGrid w:val="0"/>
        </w:rPr>
        <w:t>.</w:t>
      </w:r>
      <w:r>
        <w:rPr>
          <w:snapToGrid w:val="0"/>
        </w:rPr>
        <w:tab/>
        <w:t>False or misleading statements and records, offence</w:t>
      </w:r>
      <w:bookmarkEnd w:id="347"/>
    </w:p>
    <w:p>
      <w:pPr>
        <w:pStyle w:val="Subsection"/>
        <w:keepNext/>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No. 73 of 2006 s. 110; No. 56 of 2010 s. 69.]</w:t>
      </w:r>
    </w:p>
    <w:p>
      <w:pPr>
        <w:pStyle w:val="Heading5"/>
        <w:rPr>
          <w:snapToGrid w:val="0"/>
        </w:rPr>
      </w:pPr>
      <w:bookmarkStart w:id="348" w:name="_Toc93934821"/>
      <w:r>
        <w:rPr>
          <w:rStyle w:val="CharSectno"/>
        </w:rPr>
        <w:lastRenderedPageBreak/>
        <w:t>160</w:t>
      </w:r>
      <w:r>
        <w:rPr>
          <w:snapToGrid w:val="0"/>
        </w:rPr>
        <w:t>.</w:t>
      </w:r>
      <w:r>
        <w:rPr>
          <w:snapToGrid w:val="0"/>
        </w:rPr>
        <w:tab/>
        <w:t>Information about offences, power to obtain</w:t>
      </w:r>
      <w:bookmarkEnd w:id="348"/>
    </w:p>
    <w:p>
      <w:pPr>
        <w:pStyle w:val="Subsection"/>
        <w:keepNext/>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No. 12 of 1998 s. 88; No. 73 of 2006 s. 110; No. 56 of 2010 s. 69; No. 35 of 2015 s. 25.] </w:t>
      </w:r>
    </w:p>
    <w:p>
      <w:pPr>
        <w:pStyle w:val="Heading5"/>
        <w:spacing w:before="180"/>
        <w:rPr>
          <w:snapToGrid w:val="0"/>
        </w:rPr>
      </w:pPr>
      <w:bookmarkStart w:id="349" w:name="_Toc93934822"/>
      <w:r>
        <w:rPr>
          <w:rStyle w:val="CharSectno"/>
        </w:rPr>
        <w:lastRenderedPageBreak/>
        <w:t>161</w:t>
      </w:r>
      <w:r>
        <w:rPr>
          <w:snapToGrid w:val="0"/>
        </w:rPr>
        <w:t>.</w:t>
      </w:r>
      <w:r>
        <w:rPr>
          <w:snapToGrid w:val="0"/>
        </w:rPr>
        <w:tab/>
        <w:t>Search warrants, issue and execution of</w:t>
      </w:r>
      <w:bookmarkEnd w:id="349"/>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lastRenderedPageBreak/>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lastRenderedPageBreak/>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No. 56 of 1997 s. 48; No. 84 of 2004 s. 80; No. 73 of 2006 s. 109 and 110; No. 56 of 2010 s. 69.] </w:t>
      </w:r>
    </w:p>
    <w:p>
      <w:pPr>
        <w:pStyle w:val="Heading5"/>
        <w:rPr>
          <w:snapToGrid w:val="0"/>
        </w:rPr>
      </w:pPr>
      <w:bookmarkStart w:id="350" w:name="_Toc93934823"/>
      <w:r>
        <w:rPr>
          <w:rStyle w:val="CharSectno"/>
        </w:rPr>
        <w:t>162</w:t>
      </w:r>
      <w:r>
        <w:rPr>
          <w:snapToGrid w:val="0"/>
        </w:rPr>
        <w:t>.</w:t>
      </w:r>
      <w:r>
        <w:rPr>
          <w:snapToGrid w:val="0"/>
        </w:rPr>
        <w:tab/>
        <w:t>Separate offences and continuing offences</w:t>
      </w:r>
      <w:bookmarkEnd w:id="350"/>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No. 84 of 2004 s. 80.] </w:t>
      </w:r>
    </w:p>
    <w:p>
      <w:pPr>
        <w:pStyle w:val="Heading5"/>
        <w:rPr>
          <w:snapToGrid w:val="0"/>
        </w:rPr>
      </w:pPr>
      <w:bookmarkStart w:id="351" w:name="_Toc93934824"/>
      <w:r>
        <w:rPr>
          <w:rStyle w:val="CharSectno"/>
        </w:rPr>
        <w:t>163</w:t>
      </w:r>
      <w:r>
        <w:rPr>
          <w:snapToGrid w:val="0"/>
        </w:rPr>
        <w:t>.</w:t>
      </w:r>
      <w:r>
        <w:rPr>
          <w:snapToGrid w:val="0"/>
        </w:rPr>
        <w:tab/>
        <w:t>Sale of liquor, presumption of in some cases</w:t>
      </w:r>
      <w:bookmarkEnd w:id="351"/>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lastRenderedPageBreak/>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52" w:name="_Toc93934825"/>
      <w:r>
        <w:rPr>
          <w:rStyle w:val="CharSectno"/>
        </w:rPr>
        <w:t>164</w:t>
      </w:r>
      <w:r>
        <w:rPr>
          <w:snapToGrid w:val="0"/>
        </w:rPr>
        <w:t>.</w:t>
      </w:r>
      <w:r>
        <w:rPr>
          <w:snapToGrid w:val="0"/>
        </w:rPr>
        <w:tab/>
        <w:t>Bodies corporate and partnerships, offences by</w:t>
      </w:r>
      <w:bookmarkEnd w:id="352"/>
    </w:p>
    <w:p>
      <w:pPr>
        <w:pStyle w:val="Subsection"/>
        <w:keepNext/>
        <w:rPr>
          <w:snapToGrid w:val="0"/>
        </w:rPr>
      </w:pPr>
      <w:r>
        <w:rPr>
          <w:snapToGrid w:val="0"/>
        </w:rPr>
        <w:tab/>
        <w:t>(1)</w:t>
      </w:r>
      <w:r>
        <w:rPr>
          <w:snapToGrid w:val="0"/>
        </w:rPr>
        <w:tab/>
        <w:t>Where an offence under this Act is found to have been committed by a body corporate, then — </w:t>
      </w:r>
    </w:p>
    <w:p>
      <w:pPr>
        <w:pStyle w:val="Indenta"/>
        <w:keepNext/>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lastRenderedPageBreak/>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 xml:space="preserve">Where the affairs of a body corporate are managed by its members, subsections (1) and (1a) apply in relation to the acts and defaults of a member in connection with functions of </w:t>
      </w:r>
      <w:r>
        <w:rPr>
          <w:snapToGrid w:val="0"/>
        </w:rPr>
        <w:lastRenderedPageBreak/>
        <w:t>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No. 12 of 1998 s. 89; No. 10 of 2001 s. 220; No. 84 of 2004 s. 80; No. 73 of 2006 s. 106; No. 56 of 2010 s. 20.] </w:t>
      </w:r>
    </w:p>
    <w:p>
      <w:pPr>
        <w:pStyle w:val="Heading5"/>
        <w:rPr>
          <w:snapToGrid w:val="0"/>
        </w:rPr>
      </w:pPr>
      <w:bookmarkStart w:id="353" w:name="_Toc93934826"/>
      <w:r>
        <w:rPr>
          <w:rStyle w:val="CharSectno"/>
        </w:rPr>
        <w:t>165</w:t>
      </w:r>
      <w:r>
        <w:rPr>
          <w:snapToGrid w:val="0"/>
        </w:rPr>
        <w:t>.</w:t>
      </w:r>
      <w:r>
        <w:rPr>
          <w:snapToGrid w:val="0"/>
        </w:rPr>
        <w:tab/>
        <w:t>Licensee liable for act of employee etc.</w:t>
      </w:r>
      <w:bookmarkEnd w:id="353"/>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 xml:space="preserve">A licensee may be proceeded against and convicted under subsection (1) notwithstanding that the employee or agent has </w:t>
      </w:r>
      <w:r>
        <w:rPr>
          <w:snapToGrid w:val="0"/>
        </w:rPr>
        <w:lastRenderedPageBreak/>
        <w:t>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keepNext/>
      </w:pPr>
      <w:r>
        <w:tab/>
        <w:t>(4)</w:t>
      </w:r>
      <w:r>
        <w:tab/>
        <w:t xml:space="preserve">In this section — </w:t>
      </w:r>
    </w:p>
    <w:p>
      <w:pPr>
        <w:pStyle w:val="Defstart"/>
        <w:keepNex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No. 84 of 2004 s. 80; No. 73 of 2006 s. 99.] </w:t>
      </w:r>
    </w:p>
    <w:p>
      <w:pPr>
        <w:pStyle w:val="Heading5"/>
        <w:rPr>
          <w:snapToGrid w:val="0"/>
        </w:rPr>
      </w:pPr>
      <w:bookmarkStart w:id="354" w:name="_Toc93934827"/>
      <w:r>
        <w:rPr>
          <w:rStyle w:val="CharSectno"/>
        </w:rPr>
        <w:t>166</w:t>
      </w:r>
      <w:r>
        <w:rPr>
          <w:snapToGrid w:val="0"/>
        </w:rPr>
        <w:t>.</w:t>
      </w:r>
      <w:r>
        <w:rPr>
          <w:snapToGrid w:val="0"/>
        </w:rPr>
        <w:tab/>
        <w:t>General penalty</w:t>
      </w:r>
      <w:bookmarkEnd w:id="354"/>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No. 73 of 2006 s. 110; No. 56 of 2010 s. 66.]</w:t>
      </w:r>
    </w:p>
    <w:p>
      <w:pPr>
        <w:pStyle w:val="Heading5"/>
        <w:rPr>
          <w:snapToGrid w:val="0"/>
        </w:rPr>
      </w:pPr>
      <w:bookmarkStart w:id="355" w:name="_Toc93934828"/>
      <w:r>
        <w:rPr>
          <w:rStyle w:val="CharSectno"/>
        </w:rPr>
        <w:t>167</w:t>
      </w:r>
      <w:r>
        <w:rPr>
          <w:snapToGrid w:val="0"/>
        </w:rPr>
        <w:t>.</w:t>
      </w:r>
      <w:r>
        <w:rPr>
          <w:snapToGrid w:val="0"/>
        </w:rPr>
        <w:tab/>
        <w:t>Infringement notices</w:t>
      </w:r>
      <w:bookmarkEnd w:id="35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lastRenderedPageBreak/>
        <w:tab/>
      </w:r>
      <w:r>
        <w:rPr>
          <w:rStyle w:val="CharDefText"/>
        </w:rPr>
        <w:t>alleged offender</w:t>
      </w:r>
      <w:r>
        <w:t>, in relation to an infringement notice, means the person to whom the infringement notice is given;</w:t>
      </w:r>
    </w:p>
    <w:p>
      <w:pPr>
        <w:pStyle w:val="Defstart"/>
      </w:pPr>
      <w:r>
        <w:tab/>
      </w:r>
      <w:r>
        <w:rPr>
          <w:rStyle w:val="CharDefText"/>
        </w:rPr>
        <w:t>approved form</w:t>
      </w:r>
      <w:r>
        <w:t xml:space="preserve"> means the form approved by the Director;</w:t>
      </w:r>
    </w:p>
    <w:p>
      <w:pPr>
        <w:pStyle w:val="Defstart"/>
      </w:pPr>
      <w:r>
        <w:rPr>
          <w:b/>
        </w:rPr>
        <w:tab/>
      </w:r>
      <w:r>
        <w:rPr>
          <w:rStyle w:val="CharDefText"/>
        </w:rPr>
        <w:t>infringement notice</w:t>
      </w:r>
      <w:r>
        <w:t xml:space="preserve"> means an infringement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w:t>
      </w:r>
      <w:r>
        <w:t>an infringement notice.</w:t>
      </w:r>
    </w:p>
    <w:p>
      <w:pPr>
        <w:pStyle w:val="Subsection"/>
      </w:pPr>
      <w:r>
        <w:tab/>
        <w:t>(2A)</w:t>
      </w:r>
      <w:r>
        <w:tab/>
        <w:t xml:space="preserve">An infringement notice must be in the approved form and must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 xml:space="preserve">The modified penalty specified in an infringement notice shall be 10% of the maximum fine for that offence under this Act, as </w:t>
      </w:r>
      <w:r>
        <w:rPr>
          <w:snapToGrid w:val="0"/>
        </w:rPr>
        <w:lastRenderedPageBreak/>
        <w:t>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 xml:space="preserve">The Director may, whether or not the modified penalty has been paid, withdraw an infringement notice within 2 years after it was given by sending to the alleged offender a notice in the </w:t>
      </w:r>
      <w:r>
        <w:t>approved</w:t>
      </w:r>
      <w:r>
        <w:rPr>
          <w:snapToGrid w:val="0"/>
        </w:rPr>
        <w:t xml:space="preserve">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lastRenderedPageBreak/>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No. 84 of 2004 s. 80; No. 73 of 2006 s. 100; No. 9 of 2018 s. 63.] </w:t>
      </w:r>
    </w:p>
    <w:p>
      <w:pPr>
        <w:pStyle w:val="Heading5"/>
        <w:spacing w:before="180"/>
        <w:rPr>
          <w:snapToGrid w:val="0"/>
        </w:rPr>
      </w:pPr>
      <w:bookmarkStart w:id="356" w:name="_Toc93934829"/>
      <w:r>
        <w:rPr>
          <w:rStyle w:val="CharSectno"/>
        </w:rPr>
        <w:t>168</w:t>
      </w:r>
      <w:r>
        <w:rPr>
          <w:snapToGrid w:val="0"/>
        </w:rPr>
        <w:t>.</w:t>
      </w:r>
      <w:r>
        <w:rPr>
          <w:snapToGrid w:val="0"/>
        </w:rPr>
        <w:tab/>
        <w:t>Prosecutions, institution of</w:t>
      </w:r>
      <w:bookmarkEnd w:id="356"/>
    </w:p>
    <w:p>
      <w:pPr>
        <w:pStyle w:val="Subsection"/>
        <w:keepNext/>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No. 84 of 2004 s. 80.] </w:t>
      </w:r>
    </w:p>
    <w:p>
      <w:pPr>
        <w:pStyle w:val="Heading5"/>
        <w:spacing w:before="180"/>
        <w:rPr>
          <w:snapToGrid w:val="0"/>
        </w:rPr>
      </w:pPr>
      <w:bookmarkStart w:id="357" w:name="_Toc93934830"/>
      <w:r>
        <w:rPr>
          <w:rStyle w:val="CharSectno"/>
        </w:rPr>
        <w:t>169</w:t>
      </w:r>
      <w:r>
        <w:rPr>
          <w:snapToGrid w:val="0"/>
        </w:rPr>
        <w:t>.</w:t>
      </w:r>
      <w:r>
        <w:rPr>
          <w:snapToGrid w:val="0"/>
        </w:rPr>
        <w:tab/>
        <w:t>Prosecutions, hearing of and limitation periods for</w:t>
      </w:r>
      <w:bookmarkEnd w:id="357"/>
    </w:p>
    <w:p>
      <w:pPr>
        <w:pStyle w:val="Subsection"/>
        <w:keepNext/>
      </w:pPr>
      <w:r>
        <w:tab/>
        <w:t>(1)</w:t>
      </w:r>
      <w:r>
        <w:tab/>
        <w:t xml:space="preserve">A court of summary jurisdiction hearing and determining a charge of an offence under this Act is to be constituted by a magistrate if — </w:t>
      </w:r>
    </w:p>
    <w:p>
      <w:pPr>
        <w:pStyle w:val="Indenta"/>
        <w:keepNext/>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lastRenderedPageBreak/>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No. 56 of 1997 s. 26(4); No. 12 of 1998 s. 91; No. 59 of 2004 s. 141; No. 84 of 2004 s. 82; No. 56 of 2010 s. 67.] </w:t>
      </w:r>
    </w:p>
    <w:p>
      <w:pPr>
        <w:pStyle w:val="Heading5"/>
        <w:rPr>
          <w:snapToGrid w:val="0"/>
        </w:rPr>
      </w:pPr>
      <w:bookmarkStart w:id="358" w:name="_Toc93934831"/>
      <w:r>
        <w:rPr>
          <w:rStyle w:val="CharSectno"/>
        </w:rPr>
        <w:t>170</w:t>
      </w:r>
      <w:r>
        <w:rPr>
          <w:snapToGrid w:val="0"/>
        </w:rPr>
        <w:t>.</w:t>
      </w:r>
      <w:r>
        <w:rPr>
          <w:snapToGrid w:val="0"/>
        </w:rPr>
        <w:tab/>
        <w:t>Evidentiary provisions as to proof of certain facts</w:t>
      </w:r>
      <w:bookmarkEnd w:id="358"/>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 xml:space="preserve">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w:t>
      </w:r>
      <w:r>
        <w:rPr>
          <w:snapToGrid w:val="0"/>
        </w:rPr>
        <w:lastRenderedPageBreak/>
        <w:t>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 xml:space="preserve">where the offence alleged is a contravention of section 100(2)(c), </w:t>
      </w:r>
      <w:r>
        <w:t xml:space="preserve">a person is taken not to have been appointed </w:t>
      </w:r>
      <w:r>
        <w:rPr>
          <w:snapToGrid w:val="0"/>
        </w:rPr>
        <w:t>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No. 12 of 1998 s. 92; No. 84 of 2004 s. 82; No. 9 of 2018 s. 64.] </w:t>
      </w:r>
    </w:p>
    <w:p>
      <w:pPr>
        <w:pStyle w:val="Heading5"/>
        <w:rPr>
          <w:snapToGrid w:val="0"/>
        </w:rPr>
      </w:pPr>
      <w:bookmarkStart w:id="359" w:name="_Toc93934832"/>
      <w:r>
        <w:rPr>
          <w:rStyle w:val="CharSectno"/>
        </w:rPr>
        <w:lastRenderedPageBreak/>
        <w:t>171</w:t>
      </w:r>
      <w:r>
        <w:rPr>
          <w:snapToGrid w:val="0"/>
        </w:rPr>
        <w:t>.</w:t>
      </w:r>
      <w:r>
        <w:rPr>
          <w:snapToGrid w:val="0"/>
        </w:rPr>
        <w:tab/>
        <w:t>Accomplices, who are not, evidence of</w:t>
      </w:r>
      <w:bookmarkEnd w:id="359"/>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No. 84 of 2004 s. 80 and 82.] </w:t>
      </w:r>
    </w:p>
    <w:p>
      <w:pPr>
        <w:pStyle w:val="Heading5"/>
        <w:spacing w:before="260"/>
        <w:rPr>
          <w:snapToGrid w:val="0"/>
        </w:rPr>
      </w:pPr>
      <w:bookmarkStart w:id="360" w:name="_Toc93934833"/>
      <w:r>
        <w:rPr>
          <w:rStyle w:val="CharSectno"/>
        </w:rPr>
        <w:t>172</w:t>
      </w:r>
      <w:r>
        <w:rPr>
          <w:snapToGrid w:val="0"/>
        </w:rPr>
        <w:t>.</w:t>
      </w:r>
      <w:r>
        <w:rPr>
          <w:snapToGrid w:val="0"/>
        </w:rPr>
        <w:tab/>
        <w:t>Averments in charges, proof of certain documents and facts</w:t>
      </w:r>
      <w:bookmarkEnd w:id="360"/>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lastRenderedPageBreak/>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lastRenderedPageBreak/>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keepNext/>
        <w:rPr>
          <w:snapToGrid w:val="0"/>
        </w:rPr>
      </w:pPr>
      <w:r>
        <w:rPr>
          <w:snapToGrid w:val="0"/>
        </w:rPr>
        <w:tab/>
        <w:t>(3)</w:t>
      </w:r>
      <w:r>
        <w:rPr>
          <w:snapToGrid w:val="0"/>
        </w:rPr>
        <w:tab/>
        <w:t xml:space="preserve">In any legal proceedings, a document apparently certified by the Director to be a licence, permit, notice or other document issued under this Act, or to be a copy of a licence, permit, notice or other document issued under this Act, or to be a document or a </w:t>
      </w:r>
      <w:r>
        <w:rPr>
          <w:snapToGrid w:val="0"/>
        </w:rPr>
        <w:lastRenderedPageBreak/>
        <w:t>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 xml:space="preserve">a certificate purporting to be signed by the Director that a notice or other document of the description mentioned in the statement has or has not been given to or served </w:t>
      </w:r>
      <w:r>
        <w:rPr>
          <w:snapToGrid w:val="0"/>
        </w:rPr>
        <w:lastRenderedPageBreak/>
        <w:t>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lastRenderedPageBreak/>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lastRenderedPageBreak/>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No. 56 of 1997 s. 49; No. 12 of 1998 s. 10(12) and 93; No. 84 of 2004 s. 80 and 82; No. 73 of 2006 s. 101 and 106; No. 56 of 2010 s. 21.] </w:t>
      </w:r>
    </w:p>
    <w:p>
      <w:pPr>
        <w:pStyle w:val="Heading5"/>
      </w:pPr>
      <w:bookmarkStart w:id="361" w:name="_Toc93934834"/>
      <w:r>
        <w:rPr>
          <w:rStyle w:val="CharSectno"/>
        </w:rPr>
        <w:t>172A</w:t>
      </w:r>
      <w:r>
        <w:t>.</w:t>
      </w:r>
      <w:r>
        <w:tab/>
        <w:t>Forfeiture of liquor etc. on conviction or payment of modified penalty</w:t>
      </w:r>
      <w:bookmarkEnd w:id="361"/>
    </w:p>
    <w:p>
      <w:pPr>
        <w:pStyle w:val="Subsection"/>
        <w:spacing w:before="140"/>
      </w:pPr>
      <w:r>
        <w:tab/>
        <w:t>(1)</w:t>
      </w:r>
      <w:r>
        <w:tab/>
        <w:t xml:space="preserve">If a court convicts a person of an offence under this Act of illegally selling, supplying, consuming or storing liquor, or of unlawfully possessing liquor, or of possessing liquor for an </w:t>
      </w:r>
      <w:r>
        <w:lastRenderedPageBreak/>
        <w:t>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No. 59 of 2006 s. 56.]</w:t>
      </w:r>
    </w:p>
    <w:p>
      <w:pPr>
        <w:pStyle w:val="Heading2"/>
      </w:pPr>
      <w:bookmarkStart w:id="362" w:name="_Toc93918290"/>
      <w:bookmarkStart w:id="363" w:name="_Toc93934835"/>
      <w:r>
        <w:rPr>
          <w:rStyle w:val="CharPartNo"/>
        </w:rPr>
        <w:lastRenderedPageBreak/>
        <w:t>Part 7</w:t>
      </w:r>
      <w:r>
        <w:rPr>
          <w:rStyle w:val="CharDivNo"/>
        </w:rPr>
        <w:t> </w:t>
      </w:r>
      <w:r>
        <w:t>—</w:t>
      </w:r>
      <w:r>
        <w:rPr>
          <w:rStyle w:val="CharDivText"/>
        </w:rPr>
        <w:t> </w:t>
      </w:r>
      <w:r>
        <w:rPr>
          <w:rStyle w:val="CharPartText"/>
        </w:rPr>
        <w:t>General</w:t>
      </w:r>
      <w:bookmarkEnd w:id="362"/>
      <w:bookmarkEnd w:id="363"/>
      <w:r>
        <w:rPr>
          <w:rStyle w:val="CharPartText"/>
        </w:rPr>
        <w:t xml:space="preserve"> </w:t>
      </w:r>
    </w:p>
    <w:p>
      <w:pPr>
        <w:pStyle w:val="Heading5"/>
        <w:rPr>
          <w:snapToGrid w:val="0"/>
        </w:rPr>
      </w:pPr>
      <w:bookmarkStart w:id="364" w:name="_Toc93934836"/>
      <w:r>
        <w:rPr>
          <w:rStyle w:val="CharSectno"/>
        </w:rPr>
        <w:t>173</w:t>
      </w:r>
      <w:r>
        <w:rPr>
          <w:snapToGrid w:val="0"/>
        </w:rPr>
        <w:t>.</w:t>
      </w:r>
      <w:r>
        <w:rPr>
          <w:snapToGrid w:val="0"/>
        </w:rPr>
        <w:tab/>
        <w:t>Pending review etc. not to affect liability</w:t>
      </w:r>
      <w:bookmarkEnd w:id="364"/>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65" w:name="_Toc93934837"/>
      <w:r>
        <w:rPr>
          <w:rStyle w:val="CharSectno"/>
        </w:rPr>
        <w:t>174</w:t>
      </w:r>
      <w:r>
        <w:rPr>
          <w:snapToGrid w:val="0"/>
        </w:rPr>
        <w:t>.</w:t>
      </w:r>
      <w:r>
        <w:rPr>
          <w:snapToGrid w:val="0"/>
        </w:rPr>
        <w:tab/>
        <w:t>Service of documents</w:t>
      </w:r>
      <w:bookmarkEnd w:id="365"/>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66" w:name="_Toc93934838"/>
      <w:r>
        <w:rPr>
          <w:rStyle w:val="CharSectno"/>
        </w:rPr>
        <w:lastRenderedPageBreak/>
        <w:t>174A</w:t>
      </w:r>
      <w:r>
        <w:t>.</w:t>
      </w:r>
      <w:r>
        <w:tab/>
      </w:r>
      <w:r>
        <w:rPr>
          <w:i/>
          <w:iCs/>
        </w:rPr>
        <w:t>Criminal and Found Property Disposal Act 2006</w:t>
      </w:r>
      <w:r>
        <w:rPr>
          <w:iCs/>
        </w:rPr>
        <w:t xml:space="preserve">, </w:t>
      </w:r>
      <w:r>
        <w:t>application of</w:t>
      </w:r>
      <w:bookmarkEnd w:id="366"/>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is a prescribed agency.</w:t>
      </w:r>
    </w:p>
    <w:p>
      <w:pPr>
        <w:pStyle w:val="Footnotesection"/>
      </w:pPr>
      <w:r>
        <w:tab/>
        <w:t>[Section 174A inserted: No. 59 of 2006 s. 57; amended: No. 56 of 2010 s. 68; No. 9 of 2018 s. 65.]</w:t>
      </w:r>
    </w:p>
    <w:p>
      <w:pPr>
        <w:pStyle w:val="Heading5"/>
      </w:pPr>
      <w:bookmarkStart w:id="367" w:name="_Toc93934839"/>
      <w:r>
        <w:rPr>
          <w:rStyle w:val="CharSectno"/>
        </w:rPr>
        <w:t>174B</w:t>
      </w:r>
      <w:r>
        <w:t>.</w:t>
      </w:r>
      <w:r>
        <w:tab/>
        <w:t xml:space="preserve">Liquor accords: authorisation for purposes of </w:t>
      </w:r>
      <w:r>
        <w:rPr>
          <w:i/>
        </w:rPr>
        <w:t>Competition and Consumer Act 2010</w:t>
      </w:r>
      <w:r>
        <w:t xml:space="preserve"> and Competition Code</w:t>
      </w:r>
      <w:bookmarkEnd w:id="367"/>
    </w:p>
    <w:p>
      <w:pPr>
        <w:pStyle w:val="Subsection"/>
      </w:pPr>
      <w:r>
        <w:tab/>
        <w:t>(1)</w:t>
      </w:r>
      <w:r>
        <w:tab/>
        <w:t xml:space="preserve">In this section — </w:t>
      </w:r>
    </w:p>
    <w:p>
      <w:pPr>
        <w:pStyle w:val="Defstart"/>
      </w:pPr>
      <w:r>
        <w:tab/>
      </w:r>
      <w:r>
        <w:rPr>
          <w:rStyle w:val="CharDefText"/>
        </w:rPr>
        <w:t>liquor accord</w:t>
      </w:r>
      <w:r>
        <w:t xml:space="preserve"> has the meaning given in section 64(1b).</w:t>
      </w:r>
    </w:p>
    <w:p>
      <w:pPr>
        <w:pStyle w:val="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pPr>
        <w:pStyle w:val="Indenta"/>
      </w:pPr>
      <w:r>
        <w:tab/>
        <w:t>(a)</w:t>
      </w:r>
      <w:r>
        <w:tab/>
        <w:t>the entry by any person into a liquor accord;</w:t>
      </w:r>
    </w:p>
    <w:p>
      <w:pPr>
        <w:pStyle w:val="Indenta"/>
      </w:pPr>
      <w:r>
        <w:tab/>
        <w:t>(b)</w:t>
      </w:r>
      <w:r>
        <w:tab/>
        <w:t>conduct engaged in by any person for the purpose of promoting or giving effect to the terms of a liquor accord.</w:t>
      </w:r>
    </w:p>
    <w:p>
      <w:pPr>
        <w:pStyle w:val="Footnotesection"/>
      </w:pPr>
      <w:r>
        <w:tab/>
        <w:t>[Section 174B inserted: No. 9 of 2018 s. 66.]</w:t>
      </w:r>
    </w:p>
    <w:p>
      <w:pPr>
        <w:pStyle w:val="Heading5"/>
        <w:spacing w:before="180"/>
        <w:rPr>
          <w:snapToGrid w:val="0"/>
        </w:rPr>
      </w:pPr>
      <w:bookmarkStart w:id="368" w:name="_Toc93934840"/>
      <w:r>
        <w:rPr>
          <w:rStyle w:val="CharSectno"/>
        </w:rPr>
        <w:t>175</w:t>
      </w:r>
      <w:r>
        <w:rPr>
          <w:snapToGrid w:val="0"/>
        </w:rPr>
        <w:t>.</w:t>
      </w:r>
      <w:r>
        <w:rPr>
          <w:snapToGrid w:val="0"/>
        </w:rPr>
        <w:tab/>
        <w:t>Regulations</w:t>
      </w:r>
      <w:bookmarkEnd w:id="368"/>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lastRenderedPageBreak/>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pPr>
      <w:r>
        <w:tab/>
        <w:t>(d)</w:t>
      </w:r>
      <w:r>
        <w:tab/>
        <w:t>advertising, websites maintained by licensees, and the content of notices; and</w:t>
      </w:r>
    </w:p>
    <w:p>
      <w:pPr>
        <w:pStyle w:val="Indenta"/>
      </w:pPr>
      <w:r>
        <w:tab/>
        <w:t>(e)</w:t>
      </w:r>
      <w:r>
        <w:tab/>
        <w:t>the endorsement, production and display of licences;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 xml:space="preserve">in relation to any offence in the regulations of failing to comply with restrictions or prohibitions referred to in paragraph (b) and without limiting any other power of a </w:t>
      </w:r>
      <w:r>
        <w:lastRenderedPageBreak/>
        <w:t>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No. 56 of 1997 s. 50; No. 12 of 1998 s. 94; No. 73 of 2006 s. 102 and 106; No. 56 of 2010 s. 22 and 34; No. 9 of 2018 s. 67.] </w:t>
      </w:r>
    </w:p>
    <w:p>
      <w:pPr>
        <w:pStyle w:val="Ednotesection"/>
      </w:pPr>
      <w:r>
        <w:t>[</w:t>
      </w:r>
      <w:r>
        <w:rPr>
          <w:b/>
          <w:bCs/>
        </w:rPr>
        <w:t>176.</w:t>
      </w:r>
      <w:r>
        <w:tab/>
        <w:t>Omitted under the Reprints Act 1984 s. 7(4)(f).]</w:t>
      </w:r>
    </w:p>
    <w:p>
      <w:pPr>
        <w:pStyle w:val="Heading5"/>
        <w:rPr>
          <w:snapToGrid w:val="0"/>
        </w:rPr>
      </w:pPr>
      <w:bookmarkStart w:id="369" w:name="_Toc93934841"/>
      <w:r>
        <w:rPr>
          <w:rStyle w:val="CharSectno"/>
        </w:rPr>
        <w:lastRenderedPageBreak/>
        <w:t>177</w:t>
      </w:r>
      <w:r>
        <w:rPr>
          <w:snapToGrid w:val="0"/>
        </w:rPr>
        <w:t>.</w:t>
      </w:r>
      <w:r>
        <w:rPr>
          <w:snapToGrid w:val="0"/>
        </w:rPr>
        <w:tab/>
        <w:t>Transitional provisions (Sch. 1)</w:t>
      </w:r>
      <w:bookmarkEnd w:id="369"/>
    </w:p>
    <w:p>
      <w:pPr>
        <w:pStyle w:val="Subsection"/>
        <w:rPr>
          <w:snapToGrid w:val="0"/>
        </w:rPr>
      </w:pPr>
      <w:r>
        <w:rPr>
          <w:snapToGrid w:val="0"/>
        </w:rPr>
        <w:tab/>
      </w:r>
      <w:r>
        <w:rPr>
          <w:snapToGrid w:val="0"/>
        </w:rPr>
        <w:tab/>
        <w:t>Schedule 1, which contains transitional provisions, has effect.</w:t>
      </w:r>
    </w:p>
    <w:p>
      <w:pPr>
        <w:pStyle w:val="Heading5"/>
      </w:pPr>
      <w:bookmarkStart w:id="370" w:name="_Toc93934842"/>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370"/>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No. 73 of 2006 s. 103.]</w:t>
      </w:r>
    </w:p>
    <w:p>
      <w:pPr>
        <w:pStyle w:val="Heading5"/>
      </w:pPr>
      <w:bookmarkStart w:id="371" w:name="_Toc93934843"/>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371"/>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No. 56 of 2010 s. 23.] </w:t>
      </w:r>
    </w:p>
    <w:p>
      <w:pPr>
        <w:pStyle w:val="Heading5"/>
      </w:pPr>
      <w:bookmarkStart w:id="372" w:name="_Toc93934844"/>
      <w:r>
        <w:rPr>
          <w:rStyle w:val="CharSectno"/>
        </w:rPr>
        <w:t>177C</w:t>
      </w:r>
      <w:r>
        <w:t>.</w:t>
      </w:r>
      <w:r>
        <w:tab/>
        <w:t xml:space="preserve">Transitional provisions for </w:t>
      </w:r>
      <w:r>
        <w:rPr>
          <w:i/>
        </w:rPr>
        <w:t>Liquor Control Amendment Act 2018</w:t>
      </w:r>
      <w:r>
        <w:t xml:space="preserve"> (Sch. 1C)</w:t>
      </w:r>
      <w:bookmarkEnd w:id="372"/>
    </w:p>
    <w:p>
      <w:pPr>
        <w:pStyle w:val="Subsection"/>
      </w:pPr>
      <w:r>
        <w:tab/>
      </w:r>
      <w:r>
        <w:tab/>
        <w:t xml:space="preserve">Schedule 1C sets out transitional provisions relating to amendments made to this Act by the </w:t>
      </w:r>
      <w:r>
        <w:rPr>
          <w:i/>
        </w:rPr>
        <w:t>Liquor Control Amendment Act 2018</w:t>
      </w:r>
      <w:r>
        <w:t>.</w:t>
      </w:r>
    </w:p>
    <w:p>
      <w:pPr>
        <w:pStyle w:val="Footnotesection"/>
      </w:pPr>
      <w:r>
        <w:tab/>
        <w:t xml:space="preserve">[Section 177C inserted: No. 9 of 2018 s. 68.] </w:t>
      </w:r>
    </w:p>
    <w:p>
      <w:pPr>
        <w:pStyle w:val="Heading5"/>
        <w:rPr>
          <w:snapToGrid w:val="0"/>
        </w:rPr>
      </w:pPr>
      <w:bookmarkStart w:id="373" w:name="_Toc93934845"/>
      <w:r>
        <w:rPr>
          <w:rStyle w:val="CharSectno"/>
        </w:rPr>
        <w:t>178</w:t>
      </w:r>
      <w:r>
        <w:rPr>
          <w:snapToGrid w:val="0"/>
        </w:rPr>
        <w:t>.</w:t>
      </w:r>
      <w:r>
        <w:rPr>
          <w:snapToGrid w:val="0"/>
        </w:rPr>
        <w:tab/>
        <w:t>Review of Act</w:t>
      </w:r>
      <w:bookmarkEnd w:id="373"/>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w:t>
      </w:r>
      <w:r>
        <w:t xml:space="preserve">the </w:t>
      </w:r>
      <w:r>
        <w:rPr>
          <w:i/>
        </w:rPr>
        <w:t>Liquor Control Amendment Act 2018</w:t>
      </w:r>
      <w:r>
        <w:t xml:space="preserve"> section 68, </w:t>
      </w:r>
      <w:r>
        <w:rPr>
          <w:snapToGrid w:val="0"/>
        </w:rPr>
        <w:t>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lastRenderedPageBreak/>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No. 12 of 1998 s. 95; No. 9 of 2018 s. 69.]</w:t>
      </w:r>
    </w:p>
    <w:p>
      <w:pPr>
        <w:pStyle w:val="Footnotesection"/>
      </w:pPr>
    </w:p>
    <w:p>
      <w:pPr>
        <w:pStyle w:val="Footnotesection"/>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375" w:name="_Toc93918301"/>
      <w:bookmarkStart w:id="376" w:name="_Toc93934846"/>
      <w:r>
        <w:rPr>
          <w:rStyle w:val="CharSchNo"/>
        </w:rPr>
        <w:lastRenderedPageBreak/>
        <w:t>Schedule 1</w:t>
      </w:r>
      <w:r>
        <w:rPr>
          <w:rStyle w:val="CharSDivNo"/>
        </w:rPr>
        <w:t> </w:t>
      </w:r>
      <w:r>
        <w:t>—</w:t>
      </w:r>
      <w:r>
        <w:rPr>
          <w:rStyle w:val="CharSDivText"/>
        </w:rPr>
        <w:t> </w:t>
      </w:r>
      <w:r>
        <w:rPr>
          <w:rStyle w:val="CharSchText"/>
        </w:rPr>
        <w:t>Transitional provisions</w:t>
      </w:r>
      <w:bookmarkEnd w:id="375"/>
      <w:bookmarkEnd w:id="376"/>
    </w:p>
    <w:p>
      <w:pPr>
        <w:pStyle w:val="yShoulderClause"/>
        <w:rPr>
          <w:snapToGrid w:val="0"/>
        </w:rPr>
      </w:pPr>
      <w:r>
        <w:rPr>
          <w:snapToGrid w:val="0"/>
        </w:rPr>
        <w:t>[s. 177]</w:t>
      </w:r>
    </w:p>
    <w:p>
      <w:pPr>
        <w:pStyle w:val="yFootnoteheading"/>
      </w:pPr>
      <w:r>
        <w:tab/>
        <w:t>[Heading amended: No. 19 of 2010 s. 4.]</w:t>
      </w:r>
    </w:p>
    <w:p>
      <w:pPr>
        <w:pStyle w:val="yHeading5"/>
        <w:rPr>
          <w:snapToGrid w:val="0"/>
        </w:rPr>
      </w:pPr>
      <w:bookmarkStart w:id="377" w:name="_Toc93934847"/>
      <w:r>
        <w:rPr>
          <w:rStyle w:val="CharSClsNo"/>
        </w:rPr>
        <w:t>1</w:t>
      </w:r>
      <w:r>
        <w:rPr>
          <w:snapToGrid w:val="0"/>
        </w:rPr>
        <w:t>.</w:t>
      </w:r>
      <w:r>
        <w:rPr>
          <w:snapToGrid w:val="0"/>
        </w:rPr>
        <w:tab/>
        <w:t>Terms used</w:t>
      </w:r>
      <w:bookmarkEnd w:id="377"/>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1</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1</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lastRenderedPageBreak/>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78" w:name="_Toc93934848"/>
      <w:r>
        <w:rPr>
          <w:rStyle w:val="CharSClsNo"/>
        </w:rPr>
        <w:t>2</w:t>
      </w:r>
      <w:r>
        <w:rPr>
          <w:snapToGrid w:val="0"/>
        </w:rPr>
        <w:t>.</w:t>
      </w:r>
      <w:r>
        <w:rPr>
          <w:snapToGrid w:val="0"/>
        </w:rPr>
        <w:tab/>
        <w:t>Continuing effect of convictions, forfeitures etc.</w:t>
      </w:r>
      <w:bookmarkEnd w:id="378"/>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79" w:name="_Toc93934849"/>
      <w:r>
        <w:rPr>
          <w:rStyle w:val="CharSClsNo"/>
        </w:rPr>
        <w:t>3</w:t>
      </w:r>
      <w:r>
        <w:rPr>
          <w:snapToGrid w:val="0"/>
        </w:rPr>
        <w:t>.</w:t>
      </w:r>
      <w:r>
        <w:rPr>
          <w:snapToGrid w:val="0"/>
        </w:rPr>
        <w:tab/>
        <w:t>Proceedings part heard, rules of court, and appointments under repealed Act</w:t>
      </w:r>
      <w:bookmarkEnd w:id="379"/>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lastRenderedPageBreak/>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lastRenderedPageBreak/>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vertAlign w:val="superscript"/>
        </w:rPr>
        <w:t> 2</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vertAlign w:val="superscript"/>
        </w:rPr>
        <w:t> 2</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2</w:t>
      </w:r>
      <w:r>
        <w:rPr>
          <w:snapToGrid w:val="0"/>
        </w:rPr>
        <w:t xml:space="preserve"> to hold a like office for the time being under section 14 for the purposes of this Act.</w:t>
      </w:r>
    </w:p>
    <w:p>
      <w:pPr>
        <w:pStyle w:val="yHeading5"/>
        <w:outlineLvl w:val="5"/>
        <w:rPr>
          <w:snapToGrid w:val="0"/>
        </w:rPr>
      </w:pPr>
      <w:bookmarkStart w:id="380" w:name="_Toc93934850"/>
      <w:r>
        <w:rPr>
          <w:rStyle w:val="CharSClsNo"/>
        </w:rPr>
        <w:t>4</w:t>
      </w:r>
      <w:r>
        <w:rPr>
          <w:snapToGrid w:val="0"/>
        </w:rPr>
        <w:t>.</w:t>
      </w:r>
      <w:r>
        <w:rPr>
          <w:snapToGrid w:val="0"/>
        </w:rPr>
        <w:tab/>
        <w:t>Fees</w:t>
      </w:r>
      <w:bookmarkEnd w:id="380"/>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lastRenderedPageBreak/>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81" w:name="_Toc93934851"/>
      <w:r>
        <w:rPr>
          <w:rStyle w:val="CharSClsNo"/>
        </w:rPr>
        <w:t>5</w:t>
      </w:r>
      <w:r>
        <w:rPr>
          <w:snapToGrid w:val="0"/>
        </w:rPr>
        <w:t>.</w:t>
      </w:r>
      <w:r>
        <w:rPr>
          <w:snapToGrid w:val="0"/>
        </w:rPr>
        <w:tab/>
        <w:t>Continuing effect of conditions, delineated or designated areas, approvals etc.</w:t>
      </w:r>
      <w:bookmarkEnd w:id="381"/>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lastRenderedPageBreak/>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82" w:name="_Toc93934852"/>
      <w:r>
        <w:rPr>
          <w:rStyle w:val="CharSClsNo"/>
        </w:rPr>
        <w:t>6</w:t>
      </w:r>
      <w:r>
        <w:rPr>
          <w:snapToGrid w:val="0"/>
        </w:rPr>
        <w:t>.</w:t>
      </w:r>
      <w:r>
        <w:rPr>
          <w:snapToGrid w:val="0"/>
        </w:rPr>
        <w:tab/>
        <w:t>Conversion of licences generally</w:t>
      </w:r>
      <w:bookmarkEnd w:id="382"/>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lastRenderedPageBreak/>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lastRenderedPageBreak/>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83" w:name="_Toc93934853"/>
      <w:r>
        <w:rPr>
          <w:rStyle w:val="CharSClsNo"/>
        </w:rPr>
        <w:t>7</w:t>
      </w:r>
      <w:r>
        <w:rPr>
          <w:snapToGrid w:val="0"/>
        </w:rPr>
        <w:t>.</w:t>
      </w:r>
      <w:r>
        <w:rPr>
          <w:snapToGrid w:val="0"/>
        </w:rPr>
        <w:tab/>
        <w:t>Hotel licences</w:t>
      </w:r>
      <w:bookmarkEnd w:id="383"/>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84" w:name="_Toc93934854"/>
      <w:r>
        <w:rPr>
          <w:rStyle w:val="CharSClsNo"/>
        </w:rPr>
        <w:t>8</w:t>
      </w:r>
      <w:r>
        <w:rPr>
          <w:snapToGrid w:val="0"/>
        </w:rPr>
        <w:t>.</w:t>
      </w:r>
      <w:r>
        <w:rPr>
          <w:snapToGrid w:val="0"/>
        </w:rPr>
        <w:tab/>
        <w:t>Limited hotel licences</w:t>
      </w:r>
      <w:bookmarkEnd w:id="384"/>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85" w:name="_Toc93934855"/>
      <w:r>
        <w:rPr>
          <w:rStyle w:val="CharSClsNo"/>
        </w:rPr>
        <w:t>9</w:t>
      </w:r>
      <w:r>
        <w:rPr>
          <w:snapToGrid w:val="0"/>
        </w:rPr>
        <w:t>.</w:t>
      </w:r>
      <w:r>
        <w:rPr>
          <w:snapToGrid w:val="0"/>
        </w:rPr>
        <w:tab/>
        <w:t>Tavern licences</w:t>
      </w:r>
      <w:bookmarkEnd w:id="385"/>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86" w:name="_Toc93934856"/>
      <w:r>
        <w:rPr>
          <w:rStyle w:val="CharSClsNo"/>
        </w:rPr>
        <w:lastRenderedPageBreak/>
        <w:t>10</w:t>
      </w:r>
      <w:r>
        <w:rPr>
          <w:snapToGrid w:val="0"/>
        </w:rPr>
        <w:t>.</w:t>
      </w:r>
      <w:r>
        <w:rPr>
          <w:snapToGrid w:val="0"/>
        </w:rPr>
        <w:tab/>
        <w:t>Obligatory trading hours relating to hotel licences</w:t>
      </w:r>
      <w:bookmarkEnd w:id="386"/>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87" w:name="_Toc93934857"/>
      <w:r>
        <w:rPr>
          <w:rStyle w:val="CharSClsNo"/>
        </w:rPr>
        <w:t>11</w:t>
      </w:r>
      <w:r>
        <w:rPr>
          <w:snapToGrid w:val="0"/>
        </w:rPr>
        <w:t>.</w:t>
      </w:r>
      <w:r>
        <w:rPr>
          <w:snapToGrid w:val="0"/>
        </w:rPr>
        <w:tab/>
        <w:t>Winehouse licences and Australian wine licences</w:t>
      </w:r>
      <w:bookmarkEnd w:id="387"/>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lastRenderedPageBreak/>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88" w:name="_Toc93934858"/>
      <w:r>
        <w:rPr>
          <w:rStyle w:val="CharSClsNo"/>
        </w:rPr>
        <w:t>12</w:t>
      </w:r>
      <w:r>
        <w:rPr>
          <w:snapToGrid w:val="0"/>
        </w:rPr>
        <w:t>.</w:t>
      </w:r>
      <w:r>
        <w:rPr>
          <w:snapToGrid w:val="0"/>
        </w:rPr>
        <w:tab/>
        <w:t>Casino liquor licences</w:t>
      </w:r>
      <w:bookmarkEnd w:id="388"/>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89" w:name="_Toc93934859"/>
      <w:r>
        <w:rPr>
          <w:rStyle w:val="CharSClsNo"/>
        </w:rPr>
        <w:t>13</w:t>
      </w:r>
      <w:r>
        <w:rPr>
          <w:snapToGrid w:val="0"/>
        </w:rPr>
        <w:t>.</w:t>
      </w:r>
      <w:r>
        <w:rPr>
          <w:snapToGrid w:val="0"/>
        </w:rPr>
        <w:tab/>
        <w:t>Cabaret licences</w:t>
      </w:r>
      <w:bookmarkEnd w:id="389"/>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90" w:name="_Toc93934860"/>
      <w:r>
        <w:rPr>
          <w:rStyle w:val="CharSClsNo"/>
        </w:rPr>
        <w:t>14</w:t>
      </w:r>
      <w:r>
        <w:rPr>
          <w:snapToGrid w:val="0"/>
        </w:rPr>
        <w:t>.</w:t>
      </w:r>
      <w:r>
        <w:rPr>
          <w:snapToGrid w:val="0"/>
        </w:rPr>
        <w:tab/>
        <w:t>Restaurant licences</w:t>
      </w:r>
      <w:bookmarkEnd w:id="390"/>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 xml:space="preserve">Where, immediately before the appointed day, the holder of a restaurant licence held a lodger’s permit under section 34 of the repealed Act, or a reception area permit under section 40 of the </w:t>
      </w:r>
      <w:r>
        <w:rPr>
          <w:snapToGrid w:val="0"/>
        </w:rPr>
        <w:lastRenderedPageBreak/>
        <w:t>repealed Act, in conjunction with the restaurant licence that permit continues in force as though it were an extended trading permit issued in relation to that licence.</w:t>
      </w:r>
    </w:p>
    <w:p>
      <w:pPr>
        <w:pStyle w:val="yHeading5"/>
        <w:outlineLvl w:val="5"/>
        <w:rPr>
          <w:snapToGrid w:val="0"/>
        </w:rPr>
      </w:pPr>
      <w:bookmarkStart w:id="391" w:name="_Toc93934861"/>
      <w:r>
        <w:rPr>
          <w:rStyle w:val="CharSClsNo"/>
        </w:rPr>
        <w:t>15</w:t>
      </w:r>
      <w:r>
        <w:rPr>
          <w:snapToGrid w:val="0"/>
        </w:rPr>
        <w:t>.</w:t>
      </w:r>
      <w:r>
        <w:rPr>
          <w:snapToGrid w:val="0"/>
        </w:rPr>
        <w:tab/>
        <w:t>Restaurant facilities on premises formerly licensed as a hotel, tavern, limited hotel, or winehouse</w:t>
      </w:r>
      <w:bookmarkEnd w:id="391"/>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92" w:name="_Toc93934862"/>
      <w:r>
        <w:rPr>
          <w:rStyle w:val="CharSClsNo"/>
        </w:rPr>
        <w:lastRenderedPageBreak/>
        <w:t>16</w:t>
      </w:r>
      <w:r>
        <w:rPr>
          <w:snapToGrid w:val="0"/>
        </w:rPr>
        <w:t>.</w:t>
      </w:r>
      <w:r>
        <w:rPr>
          <w:snapToGrid w:val="0"/>
        </w:rPr>
        <w:tab/>
        <w:t>Store licences</w:t>
      </w:r>
      <w:bookmarkEnd w:id="392"/>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93" w:name="_Toc93934863"/>
      <w:r>
        <w:rPr>
          <w:rStyle w:val="CharSClsNo"/>
        </w:rPr>
        <w:t>17</w:t>
      </w:r>
      <w:r>
        <w:rPr>
          <w:snapToGrid w:val="0"/>
        </w:rPr>
        <w:t>.</w:t>
      </w:r>
      <w:r>
        <w:rPr>
          <w:snapToGrid w:val="0"/>
        </w:rPr>
        <w:tab/>
        <w:t>Vigneron’s licences and brewer’s licences</w:t>
      </w:r>
      <w:bookmarkEnd w:id="393"/>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lastRenderedPageBreak/>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94" w:name="_Toc93934864"/>
      <w:r>
        <w:rPr>
          <w:rStyle w:val="CharSClsNo"/>
        </w:rPr>
        <w:t>18</w:t>
      </w:r>
      <w:r>
        <w:rPr>
          <w:snapToGrid w:val="0"/>
        </w:rPr>
        <w:t>.</w:t>
      </w:r>
      <w:r>
        <w:rPr>
          <w:snapToGrid w:val="0"/>
        </w:rPr>
        <w:tab/>
        <w:t>Wholesale licences</w:t>
      </w:r>
      <w:bookmarkEnd w:id="394"/>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95" w:name="_Toc93934865"/>
      <w:r>
        <w:rPr>
          <w:rStyle w:val="CharSClsNo"/>
        </w:rPr>
        <w:t>19</w:t>
      </w:r>
      <w:r>
        <w:rPr>
          <w:snapToGrid w:val="0"/>
        </w:rPr>
        <w:t>.</w:t>
      </w:r>
      <w:r>
        <w:rPr>
          <w:snapToGrid w:val="0"/>
        </w:rPr>
        <w:tab/>
        <w:t>Club licences and unlicensed club permits</w:t>
      </w:r>
      <w:bookmarkEnd w:id="395"/>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 xml:space="preserve">where a term of, or condition applicable to, the permit under the repealed Act restricted the sale of liquor to liquor sold for consumption on the premises or the club’s hours of trading, </w:t>
      </w:r>
      <w:r>
        <w:rPr>
          <w:snapToGrid w:val="0"/>
        </w:rPr>
        <w:lastRenderedPageBreak/>
        <w:t>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lastRenderedPageBreak/>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96" w:name="_Toc93934866"/>
      <w:r>
        <w:rPr>
          <w:rStyle w:val="CharSClsNo"/>
        </w:rPr>
        <w:t>20</w:t>
      </w:r>
      <w:r>
        <w:rPr>
          <w:snapToGrid w:val="0"/>
        </w:rPr>
        <w:t>.</w:t>
      </w:r>
      <w:r>
        <w:rPr>
          <w:snapToGrid w:val="0"/>
        </w:rPr>
        <w:tab/>
        <w:t>Certain licences to become special facility licences</w:t>
      </w:r>
      <w:bookmarkEnd w:id="396"/>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 xml:space="preserve">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w:t>
      </w:r>
      <w:r>
        <w:rPr>
          <w:snapToGrid w:val="0"/>
        </w:rPr>
        <w:lastRenderedPageBreak/>
        <w:t>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97" w:name="_Toc93934867"/>
      <w:r>
        <w:rPr>
          <w:rStyle w:val="CharSClsNo"/>
        </w:rPr>
        <w:t>21</w:t>
      </w:r>
      <w:r>
        <w:rPr>
          <w:snapToGrid w:val="0"/>
        </w:rPr>
        <w:t>.</w:t>
      </w:r>
      <w:r>
        <w:rPr>
          <w:snapToGrid w:val="0"/>
        </w:rPr>
        <w:tab/>
        <w:t>Caterer’s permit</w:t>
      </w:r>
      <w:bookmarkEnd w:id="397"/>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98" w:name="_Toc93934868"/>
      <w:r>
        <w:rPr>
          <w:rStyle w:val="CharSClsNo"/>
        </w:rPr>
        <w:t>22</w:t>
      </w:r>
      <w:r>
        <w:rPr>
          <w:snapToGrid w:val="0"/>
        </w:rPr>
        <w:t>.</w:t>
      </w:r>
      <w:r>
        <w:rPr>
          <w:snapToGrid w:val="0"/>
        </w:rPr>
        <w:tab/>
        <w:t>Exempted producers etc.</w:t>
      </w:r>
      <w:bookmarkEnd w:id="398"/>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99" w:name="_Toc93934869"/>
      <w:r>
        <w:rPr>
          <w:rStyle w:val="CharSClsNo"/>
        </w:rPr>
        <w:lastRenderedPageBreak/>
        <w:t>23</w:t>
      </w:r>
      <w:r>
        <w:rPr>
          <w:snapToGrid w:val="0"/>
        </w:rPr>
        <w:t>.</w:t>
      </w:r>
      <w:r>
        <w:rPr>
          <w:snapToGrid w:val="0"/>
        </w:rPr>
        <w:tab/>
        <w:t>Certain licences may become special facility licences</w:t>
      </w:r>
      <w:bookmarkEnd w:id="399"/>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400" w:name="_Toc93934870"/>
      <w:r>
        <w:rPr>
          <w:rStyle w:val="CharSClsNo"/>
        </w:rPr>
        <w:t>24</w:t>
      </w:r>
      <w:r>
        <w:rPr>
          <w:snapToGrid w:val="0"/>
        </w:rPr>
        <w:t>.</w:t>
      </w:r>
      <w:r>
        <w:rPr>
          <w:snapToGrid w:val="0"/>
        </w:rPr>
        <w:tab/>
        <w:t>References in other written laws</w:t>
      </w:r>
      <w:bookmarkEnd w:id="400"/>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3</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vertAlign w:val="superscript"/>
        </w:rPr>
        <w:t> 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401" w:name="_Toc93918326"/>
      <w:bookmarkStart w:id="402" w:name="_Toc93934871"/>
      <w:r>
        <w:rPr>
          <w:rStyle w:val="CharSchNo"/>
        </w:rPr>
        <w:lastRenderedPageBreak/>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401"/>
      <w:bookmarkEnd w:id="402"/>
    </w:p>
    <w:p>
      <w:pPr>
        <w:pStyle w:val="yShoulderClause"/>
      </w:pPr>
      <w:r>
        <w:t>[s. 177A]</w:t>
      </w:r>
    </w:p>
    <w:p>
      <w:pPr>
        <w:pStyle w:val="yFootnoteheading"/>
      </w:pPr>
      <w:r>
        <w:tab/>
        <w:t>[Heading inserted: No. 73 of 2006 s. 104.]</w:t>
      </w:r>
    </w:p>
    <w:p>
      <w:pPr>
        <w:pStyle w:val="yHeading5"/>
        <w:outlineLvl w:val="5"/>
      </w:pPr>
      <w:bookmarkStart w:id="403" w:name="_Toc93934872"/>
      <w:r>
        <w:rPr>
          <w:rStyle w:val="CharSClsNo"/>
        </w:rPr>
        <w:t>1</w:t>
      </w:r>
      <w:r>
        <w:t>.</w:t>
      </w:r>
      <w:r>
        <w:rPr>
          <w:b w:val="0"/>
        </w:rPr>
        <w:tab/>
      </w:r>
      <w:r>
        <w:t>Terms used</w:t>
      </w:r>
      <w:bookmarkEnd w:id="403"/>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No. 73 of 2006 s. 104.]</w:t>
      </w:r>
    </w:p>
    <w:p>
      <w:pPr>
        <w:pStyle w:val="yHeading5"/>
        <w:outlineLvl w:val="5"/>
      </w:pPr>
      <w:bookmarkStart w:id="404" w:name="_Toc93934873"/>
      <w:r>
        <w:rPr>
          <w:rStyle w:val="CharSClsNo"/>
        </w:rPr>
        <w:t>2</w:t>
      </w:r>
      <w:r>
        <w:t>.</w:t>
      </w:r>
      <w:r>
        <w:rPr>
          <w:b w:val="0"/>
        </w:rPr>
        <w:tab/>
      </w:r>
      <w:r>
        <w:t>Liquor Licensing Court</w:t>
      </w:r>
      <w:bookmarkEnd w:id="404"/>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No. 73 of 2006 s. 104.]</w:t>
      </w:r>
    </w:p>
    <w:p>
      <w:pPr>
        <w:pStyle w:val="yHeading5"/>
        <w:outlineLvl w:val="5"/>
      </w:pPr>
      <w:bookmarkStart w:id="405" w:name="_Toc93934874"/>
      <w:r>
        <w:rPr>
          <w:rStyle w:val="CharSClsNo"/>
        </w:rPr>
        <w:lastRenderedPageBreak/>
        <w:t>3</w:t>
      </w:r>
      <w:r>
        <w:t>.</w:t>
      </w:r>
      <w:r>
        <w:rPr>
          <w:b w:val="0"/>
        </w:rPr>
        <w:tab/>
      </w:r>
      <w:r>
        <w:t>Liquor Licensing Court judge</w:t>
      </w:r>
      <w:bookmarkEnd w:id="405"/>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No. 73 of 2006 s. 104.]</w:t>
      </w:r>
    </w:p>
    <w:p>
      <w:pPr>
        <w:pStyle w:val="yHeading5"/>
        <w:outlineLvl w:val="5"/>
      </w:pPr>
      <w:bookmarkStart w:id="406" w:name="_Toc93934875"/>
      <w:r>
        <w:rPr>
          <w:rStyle w:val="CharSClsNo"/>
        </w:rPr>
        <w:t>4</w:t>
      </w:r>
      <w:r>
        <w:t>.</w:t>
      </w:r>
      <w:r>
        <w:rPr>
          <w:b w:val="0"/>
        </w:rPr>
        <w:tab/>
      </w:r>
      <w:r>
        <w:t>Pending cases stated and appeals to Supreme Court</w:t>
      </w:r>
      <w:bookmarkEnd w:id="406"/>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No. 73 of 2006 s. 104.]</w:t>
      </w:r>
    </w:p>
    <w:p>
      <w:pPr>
        <w:pStyle w:val="yHeading5"/>
        <w:outlineLvl w:val="5"/>
      </w:pPr>
      <w:bookmarkStart w:id="407" w:name="_Toc93934876"/>
      <w:r>
        <w:rPr>
          <w:rStyle w:val="CharSClsNo"/>
        </w:rPr>
        <w:t>5</w:t>
      </w:r>
      <w:r>
        <w:t>.</w:t>
      </w:r>
      <w:r>
        <w:rPr>
          <w:b w:val="0"/>
        </w:rPr>
        <w:tab/>
      </w:r>
      <w:r>
        <w:t>Pending applications and matters</w:t>
      </w:r>
      <w:bookmarkEnd w:id="407"/>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lastRenderedPageBreak/>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No. 73 of 2006 s. 104.]</w:t>
      </w:r>
    </w:p>
    <w:p>
      <w:pPr>
        <w:pStyle w:val="yHeading5"/>
        <w:outlineLvl w:val="5"/>
      </w:pPr>
      <w:bookmarkStart w:id="408" w:name="_Toc93934877"/>
      <w:r>
        <w:rPr>
          <w:rStyle w:val="CharSClsNo"/>
        </w:rPr>
        <w:t>6</w:t>
      </w:r>
      <w:r>
        <w:t>.</w:t>
      </w:r>
      <w:r>
        <w:rPr>
          <w:b w:val="0"/>
        </w:rPr>
        <w:tab/>
      </w:r>
      <w:r>
        <w:t>Licences granted and permits issued by Liquor Licensing Court</w:t>
      </w:r>
      <w:bookmarkEnd w:id="408"/>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No. 73 of 2006 s. 104.]</w:t>
      </w:r>
    </w:p>
    <w:p>
      <w:pPr>
        <w:pStyle w:val="yHeading5"/>
        <w:spacing w:before="180"/>
        <w:outlineLvl w:val="5"/>
      </w:pPr>
      <w:bookmarkStart w:id="409" w:name="_Toc93934878"/>
      <w:r>
        <w:rPr>
          <w:rStyle w:val="CharSClsNo"/>
        </w:rPr>
        <w:t>7</w:t>
      </w:r>
      <w:r>
        <w:t>.</w:t>
      </w:r>
      <w:r>
        <w:rPr>
          <w:b w:val="0"/>
        </w:rPr>
        <w:tab/>
      </w:r>
      <w:r>
        <w:t>Cabaret licences</w:t>
      </w:r>
      <w:bookmarkEnd w:id="409"/>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No. 73 of 2006 s. 104.]</w:t>
      </w:r>
    </w:p>
    <w:p>
      <w:pPr>
        <w:pStyle w:val="yHeading5"/>
        <w:spacing w:before="180"/>
        <w:outlineLvl w:val="5"/>
      </w:pPr>
      <w:bookmarkStart w:id="410" w:name="_Toc93934879"/>
      <w:r>
        <w:rPr>
          <w:rStyle w:val="CharSClsNo"/>
        </w:rPr>
        <w:t>8</w:t>
      </w:r>
      <w:r>
        <w:t>.</w:t>
      </w:r>
      <w:r>
        <w:rPr>
          <w:b w:val="0"/>
        </w:rPr>
        <w:tab/>
      </w:r>
      <w:r>
        <w:t>Courses of training and assessments</w:t>
      </w:r>
      <w:bookmarkEnd w:id="410"/>
    </w:p>
    <w:p>
      <w:pPr>
        <w:pStyle w:val="ySubsection"/>
      </w:pPr>
      <w:r>
        <w:tab/>
      </w:r>
      <w:r>
        <w:tab/>
        <w:t xml:space="preserve">For the purposes of the application of paragraph (c) of section 35B(3) of the new Act to a person who was employed as a manager </w:t>
      </w:r>
      <w:r>
        <w:lastRenderedPageBreak/>
        <w:t>immediately before the commencement day, the period referred to in that paragraph is to be taken to be the period of 12 months after that day.</w:t>
      </w:r>
    </w:p>
    <w:p>
      <w:pPr>
        <w:pStyle w:val="yFootnotesection"/>
      </w:pPr>
      <w:r>
        <w:tab/>
        <w:t>[Clause 8 inserted: No. 73 of 2006 s. 104.]</w:t>
      </w:r>
    </w:p>
    <w:p>
      <w:pPr>
        <w:pStyle w:val="yHeading5"/>
        <w:outlineLvl w:val="5"/>
      </w:pPr>
      <w:bookmarkStart w:id="411" w:name="_Toc93934880"/>
      <w:r>
        <w:rPr>
          <w:rStyle w:val="CharSClsNo"/>
        </w:rPr>
        <w:t>9</w:t>
      </w:r>
      <w:r>
        <w:t>.</w:t>
      </w:r>
      <w:r>
        <w:rPr>
          <w:b w:val="0"/>
        </w:rPr>
        <w:tab/>
      </w:r>
      <w:r>
        <w:t>References to Liquor Licensing Court and Liquor Licensing Court judge</w:t>
      </w:r>
      <w:bookmarkEnd w:id="411"/>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No. 73 of 2006 s. 104.]</w:t>
      </w:r>
    </w:p>
    <w:p>
      <w:pPr>
        <w:pStyle w:val="yHeading5"/>
        <w:outlineLvl w:val="5"/>
      </w:pPr>
      <w:bookmarkStart w:id="412" w:name="_Toc93934881"/>
      <w:r>
        <w:rPr>
          <w:rStyle w:val="CharSClsNo"/>
        </w:rPr>
        <w:t>10</w:t>
      </w:r>
      <w:r>
        <w:t>.</w:t>
      </w:r>
      <w:r>
        <w:rPr>
          <w:b w:val="0"/>
        </w:rPr>
        <w:tab/>
      </w:r>
      <w:r>
        <w:t>Transitional regulations</w:t>
      </w:r>
      <w:bookmarkEnd w:id="412"/>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lastRenderedPageBreak/>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No. 73 of 2006 s. 104.]</w:t>
      </w:r>
    </w:p>
    <w:p>
      <w:pPr>
        <w:pStyle w:val="yScheduleHeading"/>
      </w:pPr>
      <w:bookmarkStart w:id="413" w:name="_Toc93918337"/>
      <w:bookmarkStart w:id="414" w:name="_Toc93934882"/>
      <w:r>
        <w:rPr>
          <w:rStyle w:val="CharSchNo"/>
        </w:rPr>
        <w:lastRenderedPageBreak/>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413"/>
      <w:bookmarkEnd w:id="414"/>
    </w:p>
    <w:p>
      <w:pPr>
        <w:pStyle w:val="yShoulderClause"/>
      </w:pPr>
      <w:r>
        <w:t>[s. 177B]</w:t>
      </w:r>
    </w:p>
    <w:p>
      <w:pPr>
        <w:pStyle w:val="yFootnoteheading"/>
      </w:pPr>
      <w:r>
        <w:tab/>
        <w:t>[Heading inserted: No. 56 of 2010 s. 24.]</w:t>
      </w:r>
    </w:p>
    <w:p>
      <w:pPr>
        <w:pStyle w:val="yHeading5"/>
      </w:pPr>
      <w:bookmarkStart w:id="415" w:name="_Toc93934883"/>
      <w:r>
        <w:rPr>
          <w:rStyle w:val="CharSClsNo"/>
        </w:rPr>
        <w:t>1</w:t>
      </w:r>
      <w:r>
        <w:t>.</w:t>
      </w:r>
      <w:r>
        <w:tab/>
        <w:t>Terms used</w:t>
      </w:r>
      <w:bookmarkEnd w:id="415"/>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No. 56 of 2010 s. 24.]</w:t>
      </w:r>
    </w:p>
    <w:p>
      <w:pPr>
        <w:pStyle w:val="yHeading5"/>
      </w:pPr>
      <w:bookmarkStart w:id="416" w:name="_Toc93934884"/>
      <w:r>
        <w:rPr>
          <w:rStyle w:val="CharSClsNo"/>
        </w:rPr>
        <w:t>2</w:t>
      </w:r>
      <w:r>
        <w:t>.</w:t>
      </w:r>
      <w:r>
        <w:tab/>
        <w:t>Current managers taken to be licensed</w:t>
      </w:r>
      <w:bookmarkEnd w:id="416"/>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No. 56 of 2010 s. 24.]</w:t>
      </w:r>
    </w:p>
    <w:p>
      <w:pPr>
        <w:pStyle w:val="yHeading5"/>
      </w:pPr>
      <w:bookmarkStart w:id="417" w:name="_Toc93934885"/>
      <w:r>
        <w:t>3.</w:t>
      </w:r>
      <w:r>
        <w:rPr>
          <w:b w:val="0"/>
        </w:rPr>
        <w:tab/>
      </w:r>
      <w:r>
        <w:t>Duration of transitioned approvals</w:t>
      </w:r>
      <w:bookmarkEnd w:id="417"/>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lastRenderedPageBreak/>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No. 56 of 2010 s. 24.]</w:t>
      </w:r>
    </w:p>
    <w:p>
      <w:pPr>
        <w:pStyle w:val="yHeading5"/>
      </w:pPr>
      <w:bookmarkStart w:id="418" w:name="_Toc93934886"/>
      <w:r>
        <w:rPr>
          <w:rStyle w:val="CharSClsNo"/>
        </w:rPr>
        <w:t>4</w:t>
      </w:r>
      <w:r>
        <w:t>.</w:t>
      </w:r>
      <w:r>
        <w:tab/>
        <w:t>Current applications</w:t>
      </w:r>
      <w:bookmarkEnd w:id="418"/>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No. 56 of 2010 s. 24.]</w:t>
      </w:r>
    </w:p>
    <w:p>
      <w:pPr>
        <w:pStyle w:val="yScheduleHeading"/>
      </w:pPr>
      <w:bookmarkStart w:id="419" w:name="_Toc93918342"/>
      <w:bookmarkStart w:id="420" w:name="_Toc93934887"/>
      <w:r>
        <w:rPr>
          <w:rStyle w:val="CharSchNo"/>
        </w:rPr>
        <w:lastRenderedPageBreak/>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419"/>
      <w:bookmarkEnd w:id="420"/>
    </w:p>
    <w:p>
      <w:pPr>
        <w:pStyle w:val="yShoulderClause"/>
      </w:pPr>
      <w:r>
        <w:t>[s. 177C]</w:t>
      </w:r>
    </w:p>
    <w:p>
      <w:pPr>
        <w:pStyle w:val="yFootnoteheading"/>
      </w:pPr>
      <w:r>
        <w:tab/>
        <w:t>[Heading inserted: No. 9 of 2018 s. 70.]</w:t>
      </w:r>
    </w:p>
    <w:p>
      <w:pPr>
        <w:pStyle w:val="yHeading5"/>
      </w:pPr>
      <w:bookmarkStart w:id="421" w:name="_Toc93934888"/>
      <w:r>
        <w:rPr>
          <w:rStyle w:val="CharSClsNo"/>
        </w:rPr>
        <w:t>1</w:t>
      </w:r>
      <w:r>
        <w:t>.</w:t>
      </w:r>
      <w:r>
        <w:tab/>
        <w:t>Application of s. 36B to existing applications for grant or removal of licence</w:t>
      </w:r>
      <w:bookmarkEnd w:id="421"/>
    </w:p>
    <w:p>
      <w:pPr>
        <w:pStyle w:val="y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pPr>
        <w:pStyle w:val="yFootnotesection"/>
      </w:pPr>
      <w:r>
        <w:tab/>
        <w:t>[Clause 1 inserted: No. 9 of 2018 s. 70.]</w:t>
      </w:r>
    </w:p>
    <w:p>
      <w:pPr>
        <w:pStyle w:val="yHeading5"/>
      </w:pPr>
      <w:bookmarkStart w:id="422" w:name="_Toc93934889"/>
      <w:r>
        <w:rPr>
          <w:rStyle w:val="CharSClsNo"/>
        </w:rPr>
        <w:t>2</w:t>
      </w:r>
      <w:r>
        <w:t>.</w:t>
      </w:r>
      <w:r>
        <w:tab/>
        <w:t>Small bar licences</w:t>
      </w:r>
      <w:bookmarkEnd w:id="422"/>
    </w:p>
    <w:p>
      <w:pPr>
        <w:pStyle w:val="ySubsection"/>
      </w:pPr>
      <w:r>
        <w:tab/>
        <w:t>(1)</w:t>
      </w:r>
      <w:r>
        <w:tab/>
        <w:t>In this clause —</w:t>
      </w:r>
    </w:p>
    <w:p>
      <w:pPr>
        <w:pStyle w:val="yDefstart"/>
      </w:pPr>
      <w:r>
        <w:tab/>
      </w:r>
      <w:r>
        <w:rPr>
          <w:rStyle w:val="CharDefText"/>
        </w:rPr>
        <w:t>commencement day</w:t>
      </w:r>
      <w:r>
        <w:t xml:space="preserve"> means the day on which the </w:t>
      </w:r>
      <w:r>
        <w:rPr>
          <w:i/>
        </w:rPr>
        <w:t xml:space="preserve">Liquor Control Amendment Act 2018 </w:t>
      </w:r>
      <w:r>
        <w:t>section 21 comes into operation;</w:t>
      </w:r>
    </w:p>
    <w:p>
      <w:pPr>
        <w:pStyle w:val="yDefstart"/>
      </w:pPr>
      <w:r>
        <w:tab/>
      </w:r>
      <w:r>
        <w:rPr>
          <w:rStyle w:val="CharDefText"/>
        </w:rPr>
        <w:t xml:space="preserve">old licence </w:t>
      </w:r>
      <w:r>
        <w:t>means a hotel licence of the kind referred to in section 41(1aa) as in force immediately before commencement day.</w:t>
      </w:r>
    </w:p>
    <w:p>
      <w:pPr>
        <w:pStyle w:val="ySubsection"/>
      </w:pPr>
      <w:r>
        <w:tab/>
        <w:t>(2)</w:t>
      </w:r>
      <w:r>
        <w:tab/>
        <w:t>An old licence that was in effect immediately before commencement day is taken to be a small bar licence under section 41A, subject to the conditions that applied to the old licence immediately before commencement day.</w:t>
      </w:r>
    </w:p>
    <w:p>
      <w:pPr>
        <w:pStyle w:val="ySubsection"/>
        <w:rPr>
          <w:b/>
        </w:rPr>
      </w:pPr>
      <w:r>
        <w:tab/>
        <w:t>(3)</w:t>
      </w:r>
      <w:r>
        <w:tab/>
        <w:t>An application for an old licence that was made, but not determined by the licensing authority, before commencement day is taken to be an application for a small bar licence under section 41A.</w:t>
      </w:r>
    </w:p>
    <w:p>
      <w:pPr>
        <w:pStyle w:val="yFootnotesection"/>
      </w:pPr>
      <w:r>
        <w:tab/>
        <w:t>[Clause 2 inserted: No. 9 of 2018 s. 70.]</w:t>
      </w:r>
    </w:p>
    <w:p>
      <w:pPr>
        <w:pStyle w:val="yHeading5"/>
      </w:pPr>
      <w:bookmarkStart w:id="423" w:name="_Toc93934890"/>
      <w:r>
        <w:rPr>
          <w:rStyle w:val="CharSClsNo"/>
        </w:rPr>
        <w:t>3</w:t>
      </w:r>
      <w:r>
        <w:t>.</w:t>
      </w:r>
      <w:r>
        <w:tab/>
        <w:t>Certain restaurant licences: no fee for application for extended trading permit under section 60(4)(ca)</w:t>
      </w:r>
      <w:bookmarkEnd w:id="423"/>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Liquor Control Amendment Act 2018 </w:t>
      </w:r>
      <w:r>
        <w:t>section 27 comes into operation;</w:t>
      </w:r>
    </w:p>
    <w:p>
      <w:pPr>
        <w:pStyle w:val="yDefstart"/>
      </w:pPr>
      <w:r>
        <w:lastRenderedPageBreak/>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pPr>
        <w:pStyle w:val="y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pPr>
        <w:pStyle w:val="yFootnotesection"/>
      </w:pPr>
      <w:r>
        <w:tab/>
        <w:t>[Clause 3 inserted: No. 9 of 2018 s. 70.]</w:t>
      </w:r>
    </w:p>
    <w:p>
      <w:pPr>
        <w:pStyle w:val="yHeading5"/>
      </w:pPr>
      <w:bookmarkStart w:id="424" w:name="_Toc93934891"/>
      <w:r>
        <w:rPr>
          <w:rStyle w:val="CharSClsNo"/>
        </w:rPr>
        <w:t>4</w:t>
      </w:r>
      <w:r>
        <w:t>.</w:t>
      </w:r>
      <w:r>
        <w:tab/>
        <w:t>Application of s. 77A to existing applications for alteration or redefinition of licensed premises</w:t>
      </w:r>
      <w:bookmarkEnd w:id="424"/>
    </w:p>
    <w:p>
      <w:pPr>
        <w:pStyle w:val="y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pPr>
        <w:pStyle w:val="yFootnotesection"/>
      </w:pPr>
      <w:r>
        <w:tab/>
        <w:t>[Clause 4 inserted: No. 9 of 2018 s. 70.]</w:t>
      </w:r>
    </w:p>
    <w:p>
      <w:pPr>
        <w:pStyle w:val="yScheduleHeading"/>
      </w:pPr>
      <w:bookmarkStart w:id="425" w:name="_Toc93918347"/>
      <w:bookmarkStart w:id="426" w:name="_Toc93934892"/>
      <w:r>
        <w:rPr>
          <w:rStyle w:val="CharSchNo"/>
        </w:rPr>
        <w:lastRenderedPageBreak/>
        <w:t>Schedule 2</w:t>
      </w:r>
      <w:r>
        <w:t> — </w:t>
      </w:r>
      <w:r>
        <w:rPr>
          <w:rStyle w:val="CharSchText"/>
        </w:rPr>
        <w:t>Unincorporated clubs</w:t>
      </w:r>
      <w:bookmarkEnd w:id="425"/>
      <w:bookmarkEnd w:id="426"/>
    </w:p>
    <w:p>
      <w:pPr>
        <w:pStyle w:val="yShoulderClause"/>
        <w:rPr>
          <w:snapToGrid w:val="0"/>
        </w:rPr>
      </w:pPr>
      <w:r>
        <w:rPr>
          <w:snapToGrid w:val="0"/>
        </w:rPr>
        <w:t>[s. 49(1)(a)]</w:t>
      </w:r>
    </w:p>
    <w:p>
      <w:pPr>
        <w:pStyle w:val="yFootnoteheading"/>
      </w:pPr>
      <w:r>
        <w:tab/>
        <w:t>[Heading amended: No. 19 of 2010 s. 4.]</w:t>
      </w:r>
    </w:p>
    <w:p>
      <w:pPr>
        <w:pStyle w:val="yHeading3"/>
      </w:pPr>
      <w:bookmarkStart w:id="427" w:name="_Toc93918348"/>
      <w:bookmarkStart w:id="428" w:name="_Toc93934893"/>
      <w:r>
        <w:rPr>
          <w:rStyle w:val="CharSDivNo"/>
        </w:rPr>
        <w:t>Division 1</w:t>
      </w:r>
      <w:r>
        <w:rPr>
          <w:snapToGrid w:val="0"/>
        </w:rPr>
        <w:t> — </w:t>
      </w:r>
      <w:r>
        <w:rPr>
          <w:rStyle w:val="CharSDivText"/>
        </w:rPr>
        <w:t>The Anzac Club</w:t>
      </w:r>
      <w:bookmarkEnd w:id="427"/>
      <w:bookmarkEnd w:id="428"/>
      <w:r>
        <w:rPr>
          <w:snapToGrid w:val="0"/>
        </w:rPr>
        <w:t xml:space="preserve"> </w:t>
      </w:r>
    </w:p>
    <w:p>
      <w:pPr>
        <w:pStyle w:val="yHeading5"/>
        <w:outlineLvl w:val="5"/>
        <w:rPr>
          <w:snapToGrid w:val="0"/>
        </w:rPr>
      </w:pPr>
      <w:bookmarkStart w:id="429" w:name="_Toc93934894"/>
      <w:r>
        <w:rPr>
          <w:rStyle w:val="CharSClsNo"/>
        </w:rPr>
        <w:t>1</w:t>
      </w:r>
      <w:r>
        <w:rPr>
          <w:snapToGrid w:val="0"/>
        </w:rPr>
        <w:t>.</w:t>
      </w:r>
      <w:r>
        <w:rPr>
          <w:snapToGrid w:val="0"/>
        </w:rPr>
        <w:tab/>
        <w:t>Terms used</w:t>
      </w:r>
      <w:bookmarkEnd w:id="429"/>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rPr>
          <w:vertAlign w:val="superscript"/>
        </w:rPr>
        <w:t> 5</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Australia WA Branch Incorporated;</w:t>
      </w:r>
    </w:p>
    <w:p>
      <w:pPr>
        <w:pStyle w:val="yDefstart"/>
      </w:pPr>
      <w:r>
        <w:rPr>
          <w:b/>
        </w:rPr>
        <w:tab/>
      </w:r>
      <w:r>
        <w:rPr>
          <w:rStyle w:val="CharDefText"/>
        </w:rPr>
        <w:t>State Branch Headquarters</w:t>
      </w:r>
      <w:r>
        <w:t xml:space="preserve"> means the premises of the League in Perth, known as Anzac House, and situate at 28 (formerly 30A) St George’s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No. 14 of 1996 s. 4</w:t>
      </w:r>
      <w:r>
        <w:rPr>
          <w:spacing w:val="-4"/>
        </w:rPr>
        <w:t>; No. 47 of 2011 s.</w:t>
      </w:r>
      <w:r>
        <w:t> 17; No. 30 of 2015 s. 232.]</w:t>
      </w:r>
    </w:p>
    <w:p>
      <w:pPr>
        <w:pStyle w:val="yHeading5"/>
        <w:outlineLvl w:val="5"/>
        <w:rPr>
          <w:snapToGrid w:val="0"/>
        </w:rPr>
      </w:pPr>
      <w:bookmarkStart w:id="430" w:name="_Toc93934895"/>
      <w:r>
        <w:rPr>
          <w:rStyle w:val="CharSClsNo"/>
        </w:rPr>
        <w:t>2</w:t>
      </w:r>
      <w:r>
        <w:rPr>
          <w:snapToGrid w:val="0"/>
        </w:rPr>
        <w:t>.</w:t>
      </w:r>
      <w:r>
        <w:rPr>
          <w:snapToGrid w:val="0"/>
        </w:rPr>
        <w:tab/>
        <w:t>Anzac Club</w:t>
      </w:r>
      <w:bookmarkEnd w:id="430"/>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lastRenderedPageBreak/>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431" w:name="_Toc93918351"/>
      <w:bookmarkStart w:id="432" w:name="_Toc93934896"/>
      <w:r>
        <w:rPr>
          <w:rStyle w:val="CharSDivNo"/>
        </w:rPr>
        <w:lastRenderedPageBreak/>
        <w:t>Division 2</w:t>
      </w:r>
      <w:r>
        <w:rPr>
          <w:snapToGrid w:val="0"/>
        </w:rPr>
        <w:t> — </w:t>
      </w:r>
      <w:r>
        <w:rPr>
          <w:rStyle w:val="CharSDivText"/>
        </w:rPr>
        <w:t>The Air Force Association Club</w:t>
      </w:r>
      <w:bookmarkEnd w:id="431"/>
      <w:bookmarkEnd w:id="432"/>
      <w:r>
        <w:rPr>
          <w:snapToGrid w:val="0"/>
        </w:rPr>
        <w:t xml:space="preserve"> </w:t>
      </w:r>
    </w:p>
    <w:p>
      <w:pPr>
        <w:pStyle w:val="yHeading5"/>
        <w:outlineLvl w:val="5"/>
        <w:rPr>
          <w:snapToGrid w:val="0"/>
        </w:rPr>
      </w:pPr>
      <w:bookmarkStart w:id="433" w:name="_Toc93934897"/>
      <w:r>
        <w:rPr>
          <w:rStyle w:val="CharSClsNo"/>
        </w:rPr>
        <w:t>1</w:t>
      </w:r>
      <w:r>
        <w:rPr>
          <w:snapToGrid w:val="0"/>
        </w:rPr>
        <w:t>.</w:t>
      </w:r>
      <w:r>
        <w:rPr>
          <w:snapToGrid w:val="0"/>
        </w:rPr>
        <w:tab/>
        <w:t>Terms used</w:t>
      </w:r>
      <w:bookmarkEnd w:id="433"/>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No. 30 of 2015 s. 232.]</w:t>
      </w:r>
    </w:p>
    <w:p>
      <w:pPr>
        <w:pStyle w:val="yHeading5"/>
        <w:outlineLvl w:val="5"/>
        <w:rPr>
          <w:snapToGrid w:val="0"/>
        </w:rPr>
      </w:pPr>
      <w:bookmarkStart w:id="434" w:name="_Toc93934898"/>
      <w:r>
        <w:rPr>
          <w:rStyle w:val="CharSClsNo"/>
        </w:rPr>
        <w:t>2</w:t>
      </w:r>
      <w:r>
        <w:rPr>
          <w:snapToGrid w:val="0"/>
        </w:rPr>
        <w:t>.</w:t>
      </w:r>
      <w:r>
        <w:rPr>
          <w:snapToGrid w:val="0"/>
        </w:rPr>
        <w:tab/>
        <w:t>Air Force Association (Western Australia Division) Club</w:t>
      </w:r>
      <w:bookmarkEnd w:id="434"/>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lastRenderedPageBreak/>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No. 12 of 1998 s. 96; No. 73 of 2006 s. 105.] </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435" w:name="_Toc93918354"/>
      <w:bookmarkStart w:id="436" w:name="_Toc93934899"/>
      <w:r>
        <w:lastRenderedPageBreak/>
        <w:t>Notes</w:t>
      </w:r>
      <w:bookmarkEnd w:id="435"/>
      <w:bookmarkEnd w:id="436"/>
    </w:p>
    <w:p>
      <w:pPr>
        <w:pStyle w:val="nStatement"/>
      </w:pPr>
      <w:r>
        <w:t xml:space="preserve">This is a compilation of the </w:t>
      </w:r>
      <w:r>
        <w:rPr>
          <w:i/>
          <w:noProof/>
        </w:rPr>
        <w:t>Liquor Control Act 1988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37" w:name="_Toc93934900"/>
      <w:r>
        <w:t>Compilation table</w:t>
      </w:r>
      <w:bookmarkEnd w:id="437"/>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68"/>
        <w:gridCol w:w="993"/>
        <w:gridCol w:w="1275"/>
        <w:gridCol w:w="2529"/>
        <w:gridCol w:w="16"/>
        <w:gridCol w:w="15"/>
      </w:tblGrid>
      <w:tr>
        <w:trPr>
          <w:gridAfter w:val="2"/>
          <w:wAfter w:w="31" w:type="dxa"/>
          <w:cantSplit/>
          <w:tblHeader/>
        </w:trPr>
        <w:tc>
          <w:tcPr>
            <w:tcW w:w="2296"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275" w:type="dxa"/>
            <w:tcBorders>
              <w:top w:val="single" w:sz="8" w:space="0" w:color="auto"/>
              <w:bottom w:val="single" w:sz="8" w:space="0" w:color="auto"/>
            </w:tcBorders>
            <w:shd w:val="clear" w:color="auto" w:fill="auto"/>
          </w:tcPr>
          <w:p>
            <w:pPr>
              <w:pStyle w:val="nTable"/>
              <w:spacing w:after="40"/>
              <w:rPr>
                <w:b/>
              </w:rPr>
            </w:pPr>
            <w:r>
              <w:rPr>
                <w:b/>
              </w:rPr>
              <w:t>Assent</w:t>
            </w:r>
          </w:p>
        </w:tc>
        <w:tc>
          <w:tcPr>
            <w:tcW w:w="2529"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31" w:type="dxa"/>
          <w:cantSplit/>
        </w:trPr>
        <w:tc>
          <w:tcPr>
            <w:tcW w:w="2296" w:type="dxa"/>
            <w:gridSpan w:val="3"/>
          </w:tcPr>
          <w:p>
            <w:pPr>
              <w:pStyle w:val="nTable"/>
              <w:spacing w:after="40"/>
              <w:ind w:right="113"/>
            </w:pPr>
            <w:r>
              <w:rPr>
                <w:i/>
              </w:rPr>
              <w:t>Liquor Licensing Act 1988</w:t>
            </w:r>
            <w:r>
              <w:rPr>
                <w:vertAlign w:val="superscript"/>
              </w:rPr>
              <w:t> 6</w:t>
            </w:r>
          </w:p>
        </w:tc>
        <w:tc>
          <w:tcPr>
            <w:tcW w:w="993" w:type="dxa"/>
          </w:tcPr>
          <w:p>
            <w:pPr>
              <w:pStyle w:val="nTable"/>
              <w:spacing w:after="40"/>
            </w:pPr>
            <w:r>
              <w:t>54 of 1988</w:t>
            </w:r>
          </w:p>
        </w:tc>
        <w:tc>
          <w:tcPr>
            <w:tcW w:w="1275" w:type="dxa"/>
          </w:tcPr>
          <w:p>
            <w:pPr>
              <w:pStyle w:val="nTable"/>
              <w:spacing w:after="40"/>
            </w:pPr>
            <w:r>
              <w:t>9 Dec 1988</w:t>
            </w:r>
          </w:p>
        </w:tc>
        <w:tc>
          <w:tcPr>
            <w:tcW w:w="2529" w:type="dxa"/>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31" w:type="dxa"/>
          <w:cantSplit/>
        </w:trPr>
        <w:tc>
          <w:tcPr>
            <w:tcW w:w="2296" w:type="dxa"/>
            <w:gridSpan w:val="3"/>
          </w:tcPr>
          <w:p>
            <w:pPr>
              <w:pStyle w:val="nTable"/>
              <w:spacing w:after="40"/>
              <w:ind w:right="113"/>
            </w:pPr>
            <w:r>
              <w:rPr>
                <w:i/>
              </w:rPr>
              <w:t xml:space="preserve">Financial Administration Legislation Amendment Act 1993 </w:t>
            </w:r>
            <w:r>
              <w:t>s. 11</w:t>
            </w:r>
          </w:p>
        </w:tc>
        <w:tc>
          <w:tcPr>
            <w:tcW w:w="993" w:type="dxa"/>
          </w:tcPr>
          <w:p>
            <w:pPr>
              <w:pStyle w:val="nTable"/>
              <w:spacing w:after="40"/>
            </w:pPr>
            <w:r>
              <w:t>6 of 1993</w:t>
            </w:r>
          </w:p>
        </w:tc>
        <w:tc>
          <w:tcPr>
            <w:tcW w:w="1275" w:type="dxa"/>
          </w:tcPr>
          <w:p>
            <w:pPr>
              <w:pStyle w:val="nTable"/>
              <w:spacing w:after="40"/>
            </w:pPr>
            <w:r>
              <w:t>27 Aug 1993</w:t>
            </w:r>
          </w:p>
        </w:tc>
        <w:tc>
          <w:tcPr>
            <w:tcW w:w="2529" w:type="dxa"/>
          </w:tcPr>
          <w:p>
            <w:pPr>
              <w:pStyle w:val="nTable"/>
              <w:spacing w:after="40"/>
            </w:pPr>
            <w:r>
              <w:t>1 Jul 1993 (see s. 2(1))</w:t>
            </w:r>
          </w:p>
        </w:tc>
      </w:tr>
      <w:tr>
        <w:trPr>
          <w:gridAfter w:val="2"/>
          <w:wAfter w:w="31" w:type="dxa"/>
          <w:cantSplit/>
        </w:trPr>
        <w:tc>
          <w:tcPr>
            <w:tcW w:w="2296" w:type="dxa"/>
            <w:gridSpan w:val="3"/>
          </w:tcPr>
          <w:p>
            <w:pPr>
              <w:pStyle w:val="nTable"/>
              <w:spacing w:after="40"/>
              <w:ind w:right="113"/>
            </w:pPr>
            <w:r>
              <w:rPr>
                <w:i/>
              </w:rPr>
              <w:t xml:space="preserve">Acts Amendment (Public Sector Management) Act 1994 </w:t>
            </w:r>
            <w:r>
              <w:t>s. 3(2)</w:t>
            </w:r>
          </w:p>
        </w:tc>
        <w:tc>
          <w:tcPr>
            <w:tcW w:w="993" w:type="dxa"/>
          </w:tcPr>
          <w:p>
            <w:pPr>
              <w:pStyle w:val="nTable"/>
              <w:spacing w:after="40"/>
            </w:pPr>
            <w:r>
              <w:t>32 of 1994</w:t>
            </w:r>
          </w:p>
        </w:tc>
        <w:tc>
          <w:tcPr>
            <w:tcW w:w="1275" w:type="dxa"/>
          </w:tcPr>
          <w:p>
            <w:pPr>
              <w:pStyle w:val="nTable"/>
              <w:spacing w:after="40"/>
            </w:pPr>
            <w:r>
              <w:t>29 Jun 1994</w:t>
            </w:r>
          </w:p>
        </w:tc>
        <w:tc>
          <w:tcPr>
            <w:tcW w:w="2529" w:type="dxa"/>
          </w:tcPr>
          <w:p>
            <w:pPr>
              <w:pStyle w:val="nTable"/>
              <w:spacing w:after="40"/>
            </w:pPr>
            <w:r>
              <w:t xml:space="preserve">1 Oct 1994 (see s. 2 and </w:t>
            </w:r>
            <w:r>
              <w:rPr>
                <w:i/>
              </w:rPr>
              <w:t>Gazette</w:t>
            </w:r>
            <w:r>
              <w:t xml:space="preserve"> 30 Sep 1994 p. 4948)</w:t>
            </w:r>
          </w:p>
        </w:tc>
      </w:tr>
      <w:tr>
        <w:trPr>
          <w:gridAfter w:val="2"/>
          <w:wAfter w:w="31" w:type="dxa"/>
          <w:cantSplit/>
        </w:trPr>
        <w:tc>
          <w:tcPr>
            <w:tcW w:w="2296" w:type="dxa"/>
            <w:gridSpan w:val="3"/>
          </w:tcPr>
          <w:p>
            <w:pPr>
              <w:pStyle w:val="nTable"/>
              <w:spacing w:after="40"/>
              <w:ind w:right="113"/>
            </w:pPr>
            <w:r>
              <w:rPr>
                <w:i/>
              </w:rPr>
              <w:t xml:space="preserve">Statutes (Repeals and Minor Amendments) Act 1994 </w:t>
            </w:r>
            <w:r>
              <w:t>s. 4</w:t>
            </w:r>
          </w:p>
        </w:tc>
        <w:tc>
          <w:tcPr>
            <w:tcW w:w="993" w:type="dxa"/>
          </w:tcPr>
          <w:p>
            <w:pPr>
              <w:pStyle w:val="nTable"/>
              <w:spacing w:after="40"/>
            </w:pPr>
            <w:r>
              <w:t>73 of 1994</w:t>
            </w:r>
          </w:p>
        </w:tc>
        <w:tc>
          <w:tcPr>
            <w:tcW w:w="1275" w:type="dxa"/>
          </w:tcPr>
          <w:p>
            <w:pPr>
              <w:pStyle w:val="nTable"/>
              <w:spacing w:after="40"/>
            </w:pPr>
            <w:r>
              <w:t>9 Dec 1994</w:t>
            </w:r>
          </w:p>
        </w:tc>
        <w:tc>
          <w:tcPr>
            <w:tcW w:w="2529" w:type="dxa"/>
          </w:tcPr>
          <w:p>
            <w:pPr>
              <w:pStyle w:val="nTable"/>
              <w:spacing w:after="40"/>
            </w:pPr>
            <w:r>
              <w:t>9 Dec 1994 (see s. 2)</w:t>
            </w:r>
          </w:p>
        </w:tc>
      </w:tr>
      <w:tr>
        <w:trPr>
          <w:gridAfter w:val="2"/>
          <w:wAfter w:w="31" w:type="dxa"/>
          <w:cantSplit/>
        </w:trPr>
        <w:tc>
          <w:tcPr>
            <w:tcW w:w="2296" w:type="dxa"/>
            <w:gridSpan w:val="3"/>
          </w:tcPr>
          <w:p>
            <w:pPr>
              <w:pStyle w:val="nTable"/>
              <w:spacing w:after="40"/>
              <w:ind w:right="113"/>
            </w:pPr>
            <w:r>
              <w:rPr>
                <w:i/>
              </w:rPr>
              <w:t xml:space="preserve">Acts Amendment (Fines, Penalties and Infringement Notices) Act 1994 </w:t>
            </w:r>
            <w:r>
              <w:t>s. 22</w:t>
            </w:r>
          </w:p>
        </w:tc>
        <w:tc>
          <w:tcPr>
            <w:tcW w:w="993" w:type="dxa"/>
          </w:tcPr>
          <w:p>
            <w:pPr>
              <w:pStyle w:val="nTable"/>
              <w:spacing w:after="40"/>
            </w:pPr>
            <w:r>
              <w:t>92 of 1994</w:t>
            </w:r>
          </w:p>
        </w:tc>
        <w:tc>
          <w:tcPr>
            <w:tcW w:w="1275" w:type="dxa"/>
          </w:tcPr>
          <w:p>
            <w:pPr>
              <w:pStyle w:val="nTable"/>
              <w:spacing w:after="40"/>
            </w:pPr>
            <w:r>
              <w:t>23 Dec 1994</w:t>
            </w:r>
          </w:p>
        </w:tc>
        <w:tc>
          <w:tcPr>
            <w:tcW w:w="2529" w:type="dxa"/>
          </w:tcPr>
          <w:p>
            <w:pPr>
              <w:pStyle w:val="nTable"/>
              <w:spacing w:after="40"/>
            </w:pPr>
            <w:r>
              <w:t xml:space="preserve">1 Jan 1995 (see s. 2(1) and </w:t>
            </w:r>
            <w:r>
              <w:rPr>
                <w:i/>
              </w:rPr>
              <w:t>Gazette</w:t>
            </w:r>
            <w:r>
              <w:t xml:space="preserve"> 30 Dec 1994 p. 7211)</w:t>
            </w:r>
          </w:p>
        </w:tc>
      </w:tr>
      <w:tr>
        <w:trPr>
          <w:gridAfter w:val="2"/>
          <w:wAfter w:w="31" w:type="dxa"/>
          <w:cantSplit/>
        </w:trPr>
        <w:tc>
          <w:tcPr>
            <w:tcW w:w="2296" w:type="dxa"/>
            <w:gridSpan w:val="3"/>
          </w:tcPr>
          <w:p>
            <w:pPr>
              <w:pStyle w:val="nTable"/>
              <w:spacing w:after="40"/>
              <w:ind w:right="113"/>
            </w:pPr>
            <w:r>
              <w:rPr>
                <w:i/>
              </w:rPr>
              <w:t xml:space="preserve">Sentencing (Consequential Provisions) Act 1995 </w:t>
            </w:r>
            <w:r>
              <w:t>s. 66</w:t>
            </w:r>
          </w:p>
        </w:tc>
        <w:tc>
          <w:tcPr>
            <w:tcW w:w="993" w:type="dxa"/>
          </w:tcPr>
          <w:p>
            <w:pPr>
              <w:pStyle w:val="nTable"/>
              <w:spacing w:after="40"/>
            </w:pPr>
            <w:r>
              <w:t>78 of 1995</w:t>
            </w:r>
          </w:p>
        </w:tc>
        <w:tc>
          <w:tcPr>
            <w:tcW w:w="1275" w:type="dxa"/>
          </w:tcPr>
          <w:p>
            <w:pPr>
              <w:pStyle w:val="nTable"/>
              <w:spacing w:after="40"/>
            </w:pPr>
            <w:r>
              <w:t>16 Jan 1996</w:t>
            </w:r>
          </w:p>
        </w:tc>
        <w:tc>
          <w:tcPr>
            <w:tcW w:w="2529" w:type="dxa"/>
          </w:tcPr>
          <w:p>
            <w:pPr>
              <w:pStyle w:val="nTable"/>
              <w:spacing w:after="40"/>
            </w:pPr>
            <w:r>
              <w:t xml:space="preserve">4 Nov 1996 (see s. 2 and </w:t>
            </w:r>
            <w:r>
              <w:rPr>
                <w:i/>
              </w:rPr>
              <w:t xml:space="preserve">Gazette </w:t>
            </w:r>
            <w:r>
              <w:t>25 Oct 1996 p. 5632)</w:t>
            </w:r>
          </w:p>
        </w:tc>
      </w:tr>
      <w:tr>
        <w:trPr>
          <w:gridAfter w:val="2"/>
          <w:wAfter w:w="31" w:type="dxa"/>
          <w:cantSplit/>
        </w:trPr>
        <w:tc>
          <w:tcPr>
            <w:tcW w:w="2296" w:type="dxa"/>
            <w:gridSpan w:val="3"/>
          </w:tcPr>
          <w:p>
            <w:pPr>
              <w:pStyle w:val="nTable"/>
              <w:spacing w:after="40"/>
              <w:ind w:right="113"/>
            </w:pPr>
            <w:r>
              <w:rPr>
                <w:i/>
              </w:rPr>
              <w:t xml:space="preserve">Local Government (Consequential Amendments) Act 1996 </w:t>
            </w:r>
            <w:r>
              <w:t>s. 4</w:t>
            </w:r>
          </w:p>
        </w:tc>
        <w:tc>
          <w:tcPr>
            <w:tcW w:w="993" w:type="dxa"/>
          </w:tcPr>
          <w:p>
            <w:pPr>
              <w:pStyle w:val="nTable"/>
              <w:keepNext/>
              <w:keepLines/>
              <w:spacing w:after="40"/>
            </w:pPr>
            <w:r>
              <w:t>14 of 1996</w:t>
            </w:r>
          </w:p>
        </w:tc>
        <w:tc>
          <w:tcPr>
            <w:tcW w:w="1275" w:type="dxa"/>
          </w:tcPr>
          <w:p>
            <w:pPr>
              <w:pStyle w:val="nTable"/>
              <w:keepNext/>
              <w:keepLines/>
              <w:spacing w:after="40"/>
            </w:pPr>
            <w:r>
              <w:t>28 Jun 1996</w:t>
            </w:r>
          </w:p>
        </w:tc>
        <w:tc>
          <w:tcPr>
            <w:tcW w:w="2529" w:type="dxa"/>
          </w:tcPr>
          <w:p>
            <w:pPr>
              <w:pStyle w:val="nTable"/>
              <w:keepNext/>
              <w:keepLines/>
              <w:spacing w:after="40"/>
            </w:pPr>
            <w:r>
              <w:t>1 Jul 1996 (see s. 2)</w:t>
            </w:r>
          </w:p>
        </w:tc>
      </w:tr>
      <w:tr>
        <w:trPr>
          <w:gridAfter w:val="2"/>
          <w:wAfter w:w="31" w:type="dxa"/>
          <w:cantSplit/>
        </w:trPr>
        <w:tc>
          <w:tcPr>
            <w:tcW w:w="2296" w:type="dxa"/>
            <w:gridSpan w:val="3"/>
          </w:tcPr>
          <w:p>
            <w:pPr>
              <w:pStyle w:val="nTable"/>
              <w:spacing w:after="40"/>
              <w:ind w:right="113"/>
            </w:pPr>
            <w:r>
              <w:rPr>
                <w:i/>
              </w:rPr>
              <w:t xml:space="preserve">Financial Legislation Amendment Act 1996 </w:t>
            </w:r>
            <w:r>
              <w:t>s. 64</w:t>
            </w:r>
          </w:p>
        </w:tc>
        <w:tc>
          <w:tcPr>
            <w:tcW w:w="993" w:type="dxa"/>
          </w:tcPr>
          <w:p>
            <w:pPr>
              <w:pStyle w:val="nTable"/>
              <w:spacing w:after="40"/>
            </w:pPr>
            <w:r>
              <w:t>49 of 1996</w:t>
            </w:r>
          </w:p>
        </w:tc>
        <w:tc>
          <w:tcPr>
            <w:tcW w:w="1275" w:type="dxa"/>
          </w:tcPr>
          <w:p>
            <w:pPr>
              <w:pStyle w:val="nTable"/>
              <w:spacing w:after="40"/>
            </w:pPr>
            <w:r>
              <w:t>25 Oct 1996</w:t>
            </w:r>
          </w:p>
        </w:tc>
        <w:tc>
          <w:tcPr>
            <w:tcW w:w="2529" w:type="dxa"/>
          </w:tcPr>
          <w:p>
            <w:pPr>
              <w:pStyle w:val="nTable"/>
              <w:spacing w:after="40"/>
            </w:pPr>
            <w:r>
              <w:t>25 Oct 1996 (see s. 2(1))</w:t>
            </w:r>
          </w:p>
        </w:tc>
      </w:tr>
      <w:tr>
        <w:trPr>
          <w:gridAfter w:val="2"/>
          <w:wAfter w:w="31" w:type="dxa"/>
          <w:cantSplit/>
        </w:trPr>
        <w:tc>
          <w:tcPr>
            <w:tcW w:w="2296" w:type="dxa"/>
            <w:gridSpan w:val="3"/>
          </w:tcPr>
          <w:p>
            <w:pPr>
              <w:pStyle w:val="nTable"/>
              <w:spacing w:after="40"/>
              <w:ind w:right="113"/>
            </w:pPr>
            <w:r>
              <w:rPr>
                <w:i/>
              </w:rPr>
              <w:t xml:space="preserve">Acts Amendment (Franchise Fees) Act 1997 </w:t>
            </w:r>
            <w:r>
              <w:t>Pt. 4</w:t>
            </w:r>
          </w:p>
        </w:tc>
        <w:tc>
          <w:tcPr>
            <w:tcW w:w="993" w:type="dxa"/>
          </w:tcPr>
          <w:p>
            <w:pPr>
              <w:pStyle w:val="nTable"/>
              <w:spacing w:after="40"/>
            </w:pPr>
            <w:r>
              <w:t>56 of 1997</w:t>
            </w:r>
          </w:p>
        </w:tc>
        <w:tc>
          <w:tcPr>
            <w:tcW w:w="1275" w:type="dxa"/>
          </w:tcPr>
          <w:p>
            <w:pPr>
              <w:pStyle w:val="nTable"/>
              <w:spacing w:after="40"/>
            </w:pPr>
            <w:r>
              <w:t>12 Dec 1997</w:t>
            </w:r>
          </w:p>
        </w:tc>
        <w:tc>
          <w:tcPr>
            <w:tcW w:w="2529" w:type="dxa"/>
          </w:tcPr>
          <w:p>
            <w:pPr>
              <w:pStyle w:val="nTable"/>
              <w:spacing w:after="40"/>
            </w:pPr>
            <w:r>
              <w:t xml:space="preserve">31 Jan 1998 (see s. 2 and </w:t>
            </w:r>
            <w:r>
              <w:rPr>
                <w:i/>
              </w:rPr>
              <w:t>Gazette</w:t>
            </w:r>
            <w:r>
              <w:t xml:space="preserve"> 30 Jan 1998 p. 577)</w:t>
            </w:r>
          </w:p>
        </w:tc>
      </w:tr>
      <w:tr>
        <w:trPr>
          <w:gridAfter w:val="2"/>
          <w:wAfter w:w="31" w:type="dxa"/>
          <w:cantSplit/>
        </w:trPr>
        <w:tc>
          <w:tcPr>
            <w:tcW w:w="2296" w:type="dxa"/>
            <w:gridSpan w:val="3"/>
          </w:tcPr>
          <w:p>
            <w:pPr>
              <w:pStyle w:val="nTable"/>
              <w:spacing w:after="40"/>
              <w:ind w:right="113"/>
            </w:pPr>
            <w:r>
              <w:rPr>
                <w:i/>
              </w:rPr>
              <w:t>Liquor Licensing Amendment Act 1998</w:t>
            </w:r>
          </w:p>
        </w:tc>
        <w:tc>
          <w:tcPr>
            <w:tcW w:w="993" w:type="dxa"/>
          </w:tcPr>
          <w:p>
            <w:pPr>
              <w:pStyle w:val="nTable"/>
              <w:spacing w:after="40"/>
            </w:pPr>
            <w:r>
              <w:t>12 of 1998</w:t>
            </w:r>
          </w:p>
        </w:tc>
        <w:tc>
          <w:tcPr>
            <w:tcW w:w="1275" w:type="dxa"/>
          </w:tcPr>
          <w:p>
            <w:pPr>
              <w:pStyle w:val="nTable"/>
              <w:spacing w:after="40"/>
            </w:pPr>
            <w:r>
              <w:t>12 May 1998</w:t>
            </w:r>
          </w:p>
        </w:tc>
        <w:tc>
          <w:tcPr>
            <w:tcW w:w="2529" w:type="dxa"/>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31" w:type="dxa"/>
          <w:cantSplit/>
        </w:trPr>
        <w:tc>
          <w:tcPr>
            <w:tcW w:w="7093" w:type="dxa"/>
            <w:gridSpan w:val="6"/>
          </w:tcPr>
          <w:p>
            <w:pPr>
              <w:pStyle w:val="nTable"/>
              <w:spacing w:after="40"/>
            </w:pPr>
            <w:r>
              <w:rPr>
                <w:b/>
              </w:rPr>
              <w:lastRenderedPageBreak/>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31" w:type="dxa"/>
          <w:cantSplit/>
        </w:trPr>
        <w:tc>
          <w:tcPr>
            <w:tcW w:w="2296" w:type="dxa"/>
            <w:gridSpan w:val="3"/>
          </w:tcPr>
          <w:p>
            <w:pPr>
              <w:pStyle w:val="nTable"/>
              <w:spacing w:after="40"/>
              <w:ind w:right="113"/>
              <w:rPr>
                <w:i/>
              </w:rPr>
            </w:pPr>
            <w:r>
              <w:rPr>
                <w:i/>
              </w:rPr>
              <w:t>Liquor Licensing Amendment (Petrol Stations and Lodgers’ Registers) Act 2000</w:t>
            </w:r>
          </w:p>
        </w:tc>
        <w:tc>
          <w:tcPr>
            <w:tcW w:w="993" w:type="dxa"/>
          </w:tcPr>
          <w:p>
            <w:pPr>
              <w:pStyle w:val="nTable"/>
              <w:spacing w:after="40"/>
            </w:pPr>
            <w:r>
              <w:t>23 of 2000</w:t>
            </w:r>
          </w:p>
        </w:tc>
        <w:tc>
          <w:tcPr>
            <w:tcW w:w="1275" w:type="dxa"/>
          </w:tcPr>
          <w:p>
            <w:pPr>
              <w:pStyle w:val="nTable"/>
              <w:spacing w:after="40"/>
            </w:pPr>
            <w:r>
              <w:t xml:space="preserve">30 Jun 2000 </w:t>
            </w:r>
          </w:p>
        </w:tc>
        <w:tc>
          <w:tcPr>
            <w:tcW w:w="2529" w:type="dxa"/>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31" w:type="dxa"/>
          <w:cantSplit/>
        </w:trPr>
        <w:tc>
          <w:tcPr>
            <w:tcW w:w="2296" w:type="dxa"/>
            <w:gridSpan w:val="3"/>
          </w:tcPr>
          <w:p>
            <w:pPr>
              <w:pStyle w:val="nTable"/>
              <w:spacing w:after="40"/>
              <w:ind w:right="113"/>
            </w:pPr>
            <w:r>
              <w:rPr>
                <w:i/>
              </w:rPr>
              <w:t xml:space="preserve">Courts Legislation Amendment Act 2000 </w:t>
            </w:r>
            <w:r>
              <w:t>Pt. 3</w:t>
            </w:r>
            <w:r>
              <w:rPr>
                <w:vertAlign w:val="superscript"/>
              </w:rPr>
              <w:t> 7</w:t>
            </w:r>
          </w:p>
        </w:tc>
        <w:tc>
          <w:tcPr>
            <w:tcW w:w="993" w:type="dxa"/>
          </w:tcPr>
          <w:p>
            <w:pPr>
              <w:pStyle w:val="nTable"/>
              <w:spacing w:after="40"/>
            </w:pPr>
            <w:r>
              <w:t>27 of 2000</w:t>
            </w:r>
          </w:p>
        </w:tc>
        <w:tc>
          <w:tcPr>
            <w:tcW w:w="1275" w:type="dxa"/>
          </w:tcPr>
          <w:p>
            <w:pPr>
              <w:pStyle w:val="nTable"/>
              <w:spacing w:after="40"/>
            </w:pPr>
            <w:r>
              <w:t>6 Jul 2000</w:t>
            </w:r>
          </w:p>
        </w:tc>
        <w:tc>
          <w:tcPr>
            <w:tcW w:w="2529" w:type="dxa"/>
          </w:tcPr>
          <w:p>
            <w:pPr>
              <w:pStyle w:val="nTable"/>
              <w:spacing w:after="40"/>
            </w:pPr>
            <w:r>
              <w:t>6 Jul 2000 (see s. 2(1))</w:t>
            </w:r>
          </w:p>
        </w:tc>
      </w:tr>
      <w:tr>
        <w:trPr>
          <w:gridAfter w:val="2"/>
          <w:wAfter w:w="31" w:type="dxa"/>
          <w:cantSplit/>
        </w:trPr>
        <w:tc>
          <w:tcPr>
            <w:tcW w:w="7093" w:type="dxa"/>
            <w:gridSpan w:val="6"/>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31" w:type="dxa"/>
          <w:cantSplit/>
        </w:trPr>
        <w:tc>
          <w:tcPr>
            <w:tcW w:w="2296" w:type="dxa"/>
            <w:gridSpan w:val="3"/>
          </w:tcPr>
          <w:p>
            <w:pPr>
              <w:pStyle w:val="nTable"/>
              <w:spacing w:after="40"/>
              <w:ind w:right="113"/>
              <w:rPr>
                <w:i/>
              </w:rPr>
            </w:pPr>
            <w:r>
              <w:rPr>
                <w:i/>
              </w:rPr>
              <w:t>Corporations (Consequential Amendments) Act 2001</w:t>
            </w:r>
            <w:r>
              <w:t xml:space="preserve"> s. 220</w:t>
            </w:r>
          </w:p>
        </w:tc>
        <w:tc>
          <w:tcPr>
            <w:tcW w:w="993" w:type="dxa"/>
          </w:tcPr>
          <w:p>
            <w:pPr>
              <w:pStyle w:val="nTable"/>
              <w:spacing w:after="40"/>
            </w:pPr>
            <w:r>
              <w:t>10 of 2001</w:t>
            </w:r>
          </w:p>
        </w:tc>
        <w:tc>
          <w:tcPr>
            <w:tcW w:w="1275" w:type="dxa"/>
          </w:tcPr>
          <w:p>
            <w:pPr>
              <w:pStyle w:val="nTable"/>
              <w:spacing w:after="40"/>
            </w:pPr>
            <w:r>
              <w:t>28 Jun 2001</w:t>
            </w:r>
          </w:p>
        </w:tc>
        <w:tc>
          <w:tcPr>
            <w:tcW w:w="2529"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31" w:type="dxa"/>
          <w:cantSplit/>
        </w:trPr>
        <w:tc>
          <w:tcPr>
            <w:tcW w:w="2296" w:type="dxa"/>
            <w:gridSpan w:val="3"/>
          </w:tcPr>
          <w:p>
            <w:pPr>
              <w:pStyle w:val="nTable"/>
              <w:tabs>
                <w:tab w:val="left" w:pos="1436"/>
              </w:tabs>
              <w:spacing w:after="40"/>
              <w:ind w:right="113"/>
            </w:pPr>
            <w:r>
              <w:rPr>
                <w:i/>
              </w:rPr>
              <w:t>Liquor Licensing Amendment Act 2001</w:t>
            </w:r>
            <w:r>
              <w:rPr>
                <w:vertAlign w:val="superscript"/>
              </w:rPr>
              <w:t> 8</w:t>
            </w:r>
          </w:p>
        </w:tc>
        <w:tc>
          <w:tcPr>
            <w:tcW w:w="993" w:type="dxa"/>
          </w:tcPr>
          <w:p>
            <w:pPr>
              <w:pStyle w:val="nTable"/>
              <w:spacing w:after="40"/>
            </w:pPr>
            <w:r>
              <w:t>26 of 2001</w:t>
            </w:r>
          </w:p>
        </w:tc>
        <w:tc>
          <w:tcPr>
            <w:tcW w:w="1275" w:type="dxa"/>
          </w:tcPr>
          <w:p>
            <w:pPr>
              <w:pStyle w:val="nTable"/>
              <w:spacing w:after="40"/>
            </w:pPr>
            <w:r>
              <w:t>5 Dec 2001</w:t>
            </w:r>
          </w:p>
        </w:tc>
        <w:tc>
          <w:tcPr>
            <w:tcW w:w="2529" w:type="dxa"/>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31" w:type="dxa"/>
          <w:cantSplit/>
        </w:trPr>
        <w:tc>
          <w:tcPr>
            <w:tcW w:w="2296" w:type="dxa"/>
            <w:gridSpan w:val="3"/>
          </w:tcPr>
          <w:p>
            <w:pPr>
              <w:pStyle w:val="nTable"/>
              <w:spacing w:after="40"/>
              <w:ind w:right="113"/>
              <w:rPr>
                <w:i/>
              </w:rPr>
            </w:pPr>
            <w:r>
              <w:rPr>
                <w:i/>
              </w:rPr>
              <w:t>Vexatious Proceedings Restriction Act 2002</w:t>
            </w:r>
            <w:r>
              <w:t xml:space="preserve"> s. 13</w:t>
            </w:r>
          </w:p>
        </w:tc>
        <w:tc>
          <w:tcPr>
            <w:tcW w:w="993" w:type="dxa"/>
          </w:tcPr>
          <w:p>
            <w:pPr>
              <w:pStyle w:val="nTable"/>
              <w:spacing w:after="40"/>
            </w:pPr>
            <w:r>
              <w:t>23 of 2002</w:t>
            </w:r>
          </w:p>
        </w:tc>
        <w:tc>
          <w:tcPr>
            <w:tcW w:w="1275" w:type="dxa"/>
          </w:tcPr>
          <w:p>
            <w:pPr>
              <w:pStyle w:val="nTable"/>
              <w:spacing w:after="40"/>
            </w:pPr>
            <w:r>
              <w:t>18 Sep 2002</w:t>
            </w:r>
          </w:p>
        </w:tc>
        <w:tc>
          <w:tcPr>
            <w:tcW w:w="2529" w:type="dxa"/>
          </w:tcPr>
          <w:p>
            <w:pPr>
              <w:pStyle w:val="nTable"/>
              <w:spacing w:after="40"/>
            </w:pPr>
            <w:r>
              <w:t xml:space="preserve">28 Sep 2002 (see s. 2 and </w:t>
            </w:r>
            <w:r>
              <w:rPr>
                <w:i/>
              </w:rPr>
              <w:t>Gazette</w:t>
            </w:r>
            <w:r>
              <w:t xml:space="preserve"> 27 Sep 2002 p. 4877)</w:t>
            </w:r>
          </w:p>
        </w:tc>
      </w:tr>
      <w:tr>
        <w:trPr>
          <w:gridAfter w:val="2"/>
          <w:wAfter w:w="31" w:type="dxa"/>
          <w:cantSplit/>
        </w:trPr>
        <w:tc>
          <w:tcPr>
            <w:tcW w:w="2296" w:type="dxa"/>
            <w:gridSpan w:val="3"/>
          </w:tcPr>
          <w:p>
            <w:pPr>
              <w:pStyle w:val="nTable"/>
              <w:spacing w:after="40"/>
              <w:ind w:right="113"/>
            </w:pPr>
            <w:r>
              <w:rPr>
                <w:i/>
              </w:rPr>
              <w:t>Acts Amendment (Equality of Status) Act 2003</w:t>
            </w:r>
            <w:r>
              <w:t xml:space="preserve"> Pt. 36</w:t>
            </w:r>
          </w:p>
        </w:tc>
        <w:tc>
          <w:tcPr>
            <w:tcW w:w="993" w:type="dxa"/>
          </w:tcPr>
          <w:p>
            <w:pPr>
              <w:pStyle w:val="nTable"/>
              <w:spacing w:after="40"/>
            </w:pPr>
            <w:r>
              <w:t>28 of 2003</w:t>
            </w:r>
          </w:p>
        </w:tc>
        <w:tc>
          <w:tcPr>
            <w:tcW w:w="1275" w:type="dxa"/>
          </w:tcPr>
          <w:p>
            <w:pPr>
              <w:pStyle w:val="nTable"/>
              <w:spacing w:after="40"/>
            </w:pPr>
            <w:r>
              <w:t>22 May 2003</w:t>
            </w:r>
          </w:p>
        </w:tc>
        <w:tc>
          <w:tcPr>
            <w:tcW w:w="2529" w:type="dxa"/>
          </w:tcPr>
          <w:p>
            <w:pPr>
              <w:pStyle w:val="nTable"/>
              <w:spacing w:after="40"/>
            </w:pPr>
            <w:r>
              <w:t xml:space="preserve">1 Jul 2003 (see s. 2 and </w:t>
            </w:r>
            <w:r>
              <w:rPr>
                <w:i/>
              </w:rPr>
              <w:t xml:space="preserve">Gazette </w:t>
            </w:r>
            <w:r>
              <w:t>30 Jun 2003 p. 2579)</w:t>
            </w:r>
          </w:p>
        </w:tc>
      </w:tr>
      <w:tr>
        <w:trPr>
          <w:gridAfter w:val="2"/>
          <w:wAfter w:w="31" w:type="dxa"/>
          <w:cantSplit/>
        </w:trPr>
        <w:tc>
          <w:tcPr>
            <w:tcW w:w="2296" w:type="dxa"/>
            <w:gridSpan w:val="3"/>
          </w:tcPr>
          <w:p>
            <w:pPr>
              <w:pStyle w:val="nTable"/>
              <w:spacing w:after="40"/>
              <w:ind w:right="113"/>
              <w:rPr>
                <w:i/>
              </w:rPr>
            </w:pPr>
            <w:r>
              <w:rPr>
                <w:i/>
              </w:rPr>
              <w:t>Public Transport Authority Act 2003</w:t>
            </w:r>
            <w:r>
              <w:t xml:space="preserve"> s. 151</w:t>
            </w:r>
          </w:p>
        </w:tc>
        <w:tc>
          <w:tcPr>
            <w:tcW w:w="993" w:type="dxa"/>
          </w:tcPr>
          <w:p>
            <w:pPr>
              <w:pStyle w:val="nTable"/>
              <w:spacing w:after="40"/>
            </w:pPr>
            <w:r>
              <w:t>31 of 2003</w:t>
            </w:r>
          </w:p>
        </w:tc>
        <w:tc>
          <w:tcPr>
            <w:tcW w:w="1275" w:type="dxa"/>
          </w:tcPr>
          <w:p>
            <w:pPr>
              <w:pStyle w:val="nTable"/>
              <w:spacing w:after="40"/>
            </w:pPr>
            <w:r>
              <w:t>26 May 2003</w:t>
            </w:r>
          </w:p>
        </w:tc>
        <w:tc>
          <w:tcPr>
            <w:tcW w:w="2529" w:type="dxa"/>
          </w:tcPr>
          <w:p>
            <w:pPr>
              <w:pStyle w:val="nTable"/>
              <w:spacing w:after="40"/>
            </w:pPr>
            <w:r>
              <w:t xml:space="preserve">1 Jul 2003 (see s. 2(1) and </w:t>
            </w:r>
            <w:r>
              <w:rPr>
                <w:i/>
              </w:rPr>
              <w:t xml:space="preserve">Gazette </w:t>
            </w:r>
            <w:r>
              <w:t>27 Jun 2003 p. 2384)</w:t>
            </w:r>
          </w:p>
        </w:tc>
      </w:tr>
      <w:tr>
        <w:trPr>
          <w:gridAfter w:val="2"/>
          <w:wAfter w:w="31" w:type="dxa"/>
          <w:cantSplit/>
        </w:trPr>
        <w:tc>
          <w:tcPr>
            <w:tcW w:w="2296" w:type="dxa"/>
            <w:gridSpan w:val="3"/>
          </w:tcPr>
          <w:p>
            <w:pPr>
              <w:pStyle w:val="nTable"/>
              <w:spacing w:after="40"/>
              <w:ind w:right="113"/>
              <w:rPr>
                <w:i/>
              </w:rPr>
            </w:pPr>
            <w:r>
              <w:rPr>
                <w:i/>
              </w:rPr>
              <w:t>Racing and Gambling Legislation Amendment and Repeal Act 2003</w:t>
            </w:r>
            <w:r>
              <w:t xml:space="preserve"> s. 173</w:t>
            </w:r>
          </w:p>
        </w:tc>
        <w:tc>
          <w:tcPr>
            <w:tcW w:w="993" w:type="dxa"/>
          </w:tcPr>
          <w:p>
            <w:pPr>
              <w:pStyle w:val="nTable"/>
              <w:spacing w:after="40"/>
              <w:rPr>
                <w:snapToGrid w:val="0"/>
              </w:rPr>
            </w:pPr>
            <w:r>
              <w:t>35 of 2003</w:t>
            </w:r>
          </w:p>
        </w:tc>
        <w:tc>
          <w:tcPr>
            <w:tcW w:w="1275" w:type="dxa"/>
          </w:tcPr>
          <w:p>
            <w:pPr>
              <w:pStyle w:val="nTable"/>
              <w:spacing w:after="40"/>
              <w:rPr>
                <w:snapToGrid w:val="0"/>
              </w:rPr>
            </w:pPr>
            <w:r>
              <w:t>26 Jun 2003</w:t>
            </w:r>
          </w:p>
        </w:tc>
        <w:tc>
          <w:tcPr>
            <w:tcW w:w="2529" w:type="dxa"/>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31" w:type="dxa"/>
          <w:cantSplit/>
        </w:trPr>
        <w:tc>
          <w:tcPr>
            <w:tcW w:w="2296" w:type="dxa"/>
            <w:gridSpan w:val="3"/>
          </w:tcPr>
          <w:p>
            <w:pPr>
              <w:pStyle w:val="nTable"/>
              <w:spacing w:after="40"/>
              <w:ind w:right="113"/>
            </w:pPr>
            <w:r>
              <w:rPr>
                <w:i/>
              </w:rPr>
              <w:t>Statutes (Repeals and Minor Amendments) Act 2003</w:t>
            </w:r>
            <w:r>
              <w:t xml:space="preserve"> s. 78</w:t>
            </w:r>
          </w:p>
        </w:tc>
        <w:tc>
          <w:tcPr>
            <w:tcW w:w="993" w:type="dxa"/>
          </w:tcPr>
          <w:p>
            <w:pPr>
              <w:pStyle w:val="nTable"/>
              <w:spacing w:after="40"/>
            </w:pPr>
            <w:r>
              <w:t>74 of 2003</w:t>
            </w:r>
          </w:p>
        </w:tc>
        <w:tc>
          <w:tcPr>
            <w:tcW w:w="1275" w:type="dxa"/>
          </w:tcPr>
          <w:p>
            <w:pPr>
              <w:pStyle w:val="nTable"/>
              <w:spacing w:after="40"/>
            </w:pPr>
            <w:r>
              <w:t>15 Dec 2003</w:t>
            </w:r>
          </w:p>
        </w:tc>
        <w:tc>
          <w:tcPr>
            <w:tcW w:w="2529" w:type="dxa"/>
          </w:tcPr>
          <w:p>
            <w:pPr>
              <w:pStyle w:val="nTable"/>
              <w:spacing w:after="40"/>
            </w:pPr>
            <w:r>
              <w:rPr>
                <w:spacing w:val="-2"/>
              </w:rPr>
              <w:t>15 Dec 2003 (see s. 2)</w:t>
            </w:r>
          </w:p>
        </w:tc>
      </w:tr>
      <w:tr>
        <w:trPr>
          <w:gridAfter w:val="2"/>
          <w:wAfter w:w="31" w:type="dxa"/>
          <w:cantSplit/>
        </w:trPr>
        <w:tc>
          <w:tcPr>
            <w:tcW w:w="7093" w:type="dxa"/>
            <w:gridSpan w:val="6"/>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31" w:type="dxa"/>
          <w:cantSplit/>
        </w:trPr>
        <w:tc>
          <w:tcPr>
            <w:tcW w:w="2296" w:type="dxa"/>
            <w:gridSpan w:val="3"/>
          </w:tcPr>
          <w:p>
            <w:pPr>
              <w:pStyle w:val="nTable"/>
              <w:spacing w:after="40"/>
              <w:ind w:right="113"/>
            </w:pPr>
            <w:r>
              <w:rPr>
                <w:i/>
                <w:snapToGrid w:val="0"/>
              </w:rPr>
              <w:t>Acts Amendment (Court of Appeal) Act 2004</w:t>
            </w:r>
            <w:r>
              <w:rPr>
                <w:snapToGrid w:val="0"/>
              </w:rPr>
              <w:t xml:space="preserve"> s. 37</w:t>
            </w:r>
          </w:p>
        </w:tc>
        <w:tc>
          <w:tcPr>
            <w:tcW w:w="993" w:type="dxa"/>
          </w:tcPr>
          <w:p>
            <w:pPr>
              <w:pStyle w:val="nTable"/>
              <w:spacing w:after="40"/>
            </w:pPr>
            <w:r>
              <w:rPr>
                <w:snapToGrid w:val="0"/>
              </w:rPr>
              <w:t>45 of 2004</w:t>
            </w:r>
          </w:p>
        </w:tc>
        <w:tc>
          <w:tcPr>
            <w:tcW w:w="1275" w:type="dxa"/>
          </w:tcPr>
          <w:p>
            <w:pPr>
              <w:pStyle w:val="nTable"/>
              <w:spacing w:after="40"/>
            </w:pPr>
            <w:r>
              <w:t>9 Nov 2004</w:t>
            </w:r>
          </w:p>
        </w:tc>
        <w:tc>
          <w:tcPr>
            <w:tcW w:w="2529"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lastRenderedPageBreak/>
              <w:t>Courts Legislation Amendment and Repeal Act 2004</w:t>
            </w:r>
            <w:r>
              <w:rPr>
                <w:snapToGrid w:val="0"/>
              </w:rPr>
              <w:t xml:space="preserve"> s. 141</w:t>
            </w:r>
          </w:p>
        </w:tc>
        <w:tc>
          <w:tcPr>
            <w:tcW w:w="993" w:type="dxa"/>
          </w:tcPr>
          <w:p>
            <w:pPr>
              <w:pStyle w:val="nTable"/>
              <w:keepNext/>
              <w:spacing w:after="40"/>
              <w:rPr>
                <w:snapToGrid w:val="0"/>
              </w:rPr>
            </w:pPr>
            <w:r>
              <w:rPr>
                <w:snapToGrid w:val="0"/>
              </w:rPr>
              <w:t>59 of 2004</w:t>
            </w:r>
          </w:p>
        </w:tc>
        <w:tc>
          <w:tcPr>
            <w:tcW w:w="1275" w:type="dxa"/>
          </w:tcPr>
          <w:p>
            <w:pPr>
              <w:pStyle w:val="nTable"/>
              <w:keepNext/>
              <w:spacing w:after="40"/>
            </w:pPr>
            <w:r>
              <w:t>23 Nov 2004</w:t>
            </w:r>
          </w:p>
        </w:tc>
        <w:tc>
          <w:tcPr>
            <w:tcW w:w="2529"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31" w:type="dxa"/>
          <w:cantSplit/>
        </w:trPr>
        <w:tc>
          <w:tcPr>
            <w:tcW w:w="2296"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993" w:type="dxa"/>
          </w:tcPr>
          <w:p>
            <w:pPr>
              <w:pStyle w:val="nTable"/>
              <w:spacing w:after="40"/>
              <w:rPr>
                <w:snapToGrid w:val="0"/>
              </w:rPr>
            </w:pPr>
            <w:r>
              <w:rPr>
                <w:snapToGrid w:val="0"/>
              </w:rPr>
              <w:t>70 of 2004</w:t>
            </w:r>
          </w:p>
        </w:tc>
        <w:tc>
          <w:tcPr>
            <w:tcW w:w="1275" w:type="dxa"/>
          </w:tcPr>
          <w:p>
            <w:pPr>
              <w:pStyle w:val="nTable"/>
              <w:spacing w:after="40"/>
            </w:pPr>
            <w:r>
              <w:rPr>
                <w:snapToGrid w:val="0"/>
              </w:rPr>
              <w:t>8 Dec 2004</w:t>
            </w:r>
          </w:p>
        </w:tc>
        <w:tc>
          <w:tcPr>
            <w:tcW w:w="2529"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993" w:type="dxa"/>
          </w:tcPr>
          <w:p>
            <w:pPr>
              <w:pStyle w:val="nTable"/>
              <w:spacing w:after="40"/>
              <w:rPr>
                <w:snapToGrid w:val="0"/>
              </w:rPr>
            </w:pPr>
            <w:r>
              <w:rPr>
                <w:snapToGrid w:val="0"/>
              </w:rPr>
              <w:t>84 of 2004</w:t>
            </w:r>
          </w:p>
        </w:tc>
        <w:tc>
          <w:tcPr>
            <w:tcW w:w="1275" w:type="dxa"/>
          </w:tcPr>
          <w:p>
            <w:pPr>
              <w:pStyle w:val="nTable"/>
              <w:spacing w:after="40"/>
            </w:pPr>
            <w:r>
              <w:t>16 Dec 2004</w:t>
            </w:r>
          </w:p>
        </w:tc>
        <w:tc>
          <w:tcPr>
            <w:tcW w:w="2529"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31" w:type="dxa"/>
          <w:cantSplit/>
        </w:trPr>
        <w:tc>
          <w:tcPr>
            <w:tcW w:w="2296"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993" w:type="dxa"/>
          </w:tcPr>
          <w:p>
            <w:pPr>
              <w:pStyle w:val="nTable"/>
              <w:spacing w:after="40"/>
              <w:rPr>
                <w:snapToGrid w:val="0"/>
              </w:rPr>
            </w:pPr>
            <w:r>
              <w:rPr>
                <w:snapToGrid w:val="0"/>
              </w:rPr>
              <w:t>38 of 2005</w:t>
            </w:r>
          </w:p>
        </w:tc>
        <w:tc>
          <w:tcPr>
            <w:tcW w:w="1275" w:type="dxa"/>
          </w:tcPr>
          <w:p>
            <w:pPr>
              <w:pStyle w:val="nTable"/>
              <w:spacing w:after="40"/>
            </w:pPr>
            <w:r>
              <w:t>12 Dec 2005</w:t>
            </w:r>
          </w:p>
        </w:tc>
        <w:tc>
          <w:tcPr>
            <w:tcW w:w="2529"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31" w:type="dxa"/>
          <w:cantSplit/>
        </w:trPr>
        <w:tc>
          <w:tcPr>
            <w:tcW w:w="7093" w:type="dxa"/>
            <w:gridSpan w:val="6"/>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31" w:type="dxa"/>
        </w:trPr>
        <w:tc>
          <w:tcPr>
            <w:tcW w:w="2296"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993" w:type="dxa"/>
          </w:tcPr>
          <w:p>
            <w:pPr>
              <w:pStyle w:val="nTable"/>
              <w:spacing w:after="40"/>
              <w:rPr>
                <w:snapToGrid w:val="0"/>
              </w:rPr>
            </w:pPr>
            <w:r>
              <w:rPr>
                <w:snapToGrid w:val="0"/>
              </w:rPr>
              <w:t>59 of 2006</w:t>
            </w:r>
          </w:p>
        </w:tc>
        <w:tc>
          <w:tcPr>
            <w:tcW w:w="1275" w:type="dxa"/>
          </w:tcPr>
          <w:p>
            <w:pPr>
              <w:pStyle w:val="nTable"/>
              <w:spacing w:after="40"/>
              <w:rPr>
                <w:snapToGrid w:val="0"/>
              </w:rPr>
            </w:pPr>
            <w:r>
              <w:rPr>
                <w:snapToGrid w:val="0"/>
              </w:rPr>
              <w:t>16 Nov 2006</w:t>
            </w:r>
          </w:p>
        </w:tc>
        <w:tc>
          <w:tcPr>
            <w:tcW w:w="2529" w:type="dxa"/>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31" w:type="dxa"/>
        </w:trPr>
        <w:tc>
          <w:tcPr>
            <w:tcW w:w="2296"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993" w:type="dxa"/>
          </w:tcPr>
          <w:p>
            <w:pPr>
              <w:pStyle w:val="nTable"/>
              <w:spacing w:after="40"/>
              <w:rPr>
                <w:snapToGrid w:val="0"/>
              </w:rPr>
            </w:pPr>
            <w:r>
              <w:rPr>
                <w:snapToGrid w:val="0"/>
              </w:rPr>
              <w:t>73 of 2006</w:t>
            </w:r>
          </w:p>
        </w:tc>
        <w:tc>
          <w:tcPr>
            <w:tcW w:w="1275" w:type="dxa"/>
          </w:tcPr>
          <w:p>
            <w:pPr>
              <w:pStyle w:val="nTable"/>
              <w:spacing w:after="40"/>
              <w:rPr>
                <w:snapToGrid w:val="0"/>
              </w:rPr>
            </w:pPr>
            <w:r>
              <w:rPr>
                <w:snapToGrid w:val="0"/>
              </w:rPr>
              <w:t>13 Dec 2006</w:t>
            </w:r>
          </w:p>
        </w:tc>
        <w:tc>
          <w:tcPr>
            <w:tcW w:w="2529" w:type="dxa"/>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31" w:type="dxa"/>
        </w:trPr>
        <w:tc>
          <w:tcPr>
            <w:tcW w:w="2296"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993" w:type="dxa"/>
          </w:tcPr>
          <w:p>
            <w:pPr>
              <w:pStyle w:val="nTable"/>
              <w:spacing w:after="40"/>
              <w:rPr>
                <w:snapToGrid w:val="0"/>
              </w:rPr>
            </w:pPr>
            <w:r>
              <w:rPr>
                <w:snapToGrid w:val="0"/>
              </w:rPr>
              <w:t>77 of 2006</w:t>
            </w:r>
          </w:p>
        </w:tc>
        <w:tc>
          <w:tcPr>
            <w:tcW w:w="1275" w:type="dxa"/>
          </w:tcPr>
          <w:p>
            <w:pPr>
              <w:pStyle w:val="nTable"/>
              <w:spacing w:after="40"/>
              <w:rPr>
                <w:snapToGrid w:val="0"/>
              </w:rPr>
            </w:pPr>
            <w:r>
              <w:rPr>
                <w:snapToGrid w:val="0"/>
              </w:rPr>
              <w:t>21 Dec 2006</w:t>
            </w:r>
          </w:p>
        </w:tc>
        <w:tc>
          <w:tcPr>
            <w:tcW w:w="2529"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31" w:type="dxa"/>
          <w:cantSplit/>
        </w:trPr>
        <w:tc>
          <w:tcPr>
            <w:tcW w:w="7093" w:type="dxa"/>
            <w:gridSpan w:val="6"/>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31" w:type="dxa"/>
        </w:trPr>
        <w:tc>
          <w:tcPr>
            <w:tcW w:w="2296" w:type="dxa"/>
            <w:gridSpan w:val="3"/>
          </w:tcPr>
          <w:p>
            <w:pPr>
              <w:pStyle w:val="nTable"/>
              <w:spacing w:after="40"/>
              <w:rPr>
                <w:i/>
                <w:snapToGrid w:val="0"/>
              </w:rPr>
            </w:pPr>
            <w:r>
              <w:rPr>
                <w:i/>
                <w:iCs/>
                <w:snapToGrid w:val="0"/>
              </w:rPr>
              <w:lastRenderedPageBreak/>
              <w:t>Legal Profession Act 2008</w:t>
            </w:r>
            <w:r>
              <w:rPr>
                <w:snapToGrid w:val="0"/>
              </w:rPr>
              <w:t xml:space="preserve"> s. 675 </w:t>
            </w:r>
          </w:p>
        </w:tc>
        <w:tc>
          <w:tcPr>
            <w:tcW w:w="993" w:type="dxa"/>
          </w:tcPr>
          <w:p>
            <w:pPr>
              <w:pStyle w:val="nTable"/>
              <w:spacing w:after="40"/>
            </w:pPr>
            <w:r>
              <w:rPr>
                <w:snapToGrid w:val="0"/>
              </w:rPr>
              <w:t>21 of 2008</w:t>
            </w:r>
          </w:p>
        </w:tc>
        <w:tc>
          <w:tcPr>
            <w:tcW w:w="1275" w:type="dxa"/>
          </w:tcPr>
          <w:p>
            <w:pPr>
              <w:pStyle w:val="nTable"/>
              <w:spacing w:after="40"/>
              <w:ind w:right="-80"/>
            </w:pPr>
            <w:r>
              <w:rPr>
                <w:snapToGrid w:val="0"/>
              </w:rPr>
              <w:t>27 May 2008</w:t>
            </w:r>
          </w:p>
        </w:tc>
        <w:tc>
          <w:tcPr>
            <w:tcW w:w="2529"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31" w:type="dxa"/>
          <w:cantSplit/>
        </w:trPr>
        <w:tc>
          <w:tcPr>
            <w:tcW w:w="2296"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993" w:type="dxa"/>
          </w:tcPr>
          <w:p>
            <w:pPr>
              <w:pStyle w:val="nTable"/>
              <w:spacing w:after="40"/>
              <w:rPr>
                <w:snapToGrid w:val="0"/>
              </w:rPr>
            </w:pPr>
            <w:r>
              <w:t>43 of 2008</w:t>
            </w:r>
          </w:p>
        </w:tc>
        <w:tc>
          <w:tcPr>
            <w:tcW w:w="1275" w:type="dxa"/>
          </w:tcPr>
          <w:p>
            <w:pPr>
              <w:pStyle w:val="nTable"/>
              <w:spacing w:after="40"/>
              <w:ind w:right="-80"/>
              <w:rPr>
                <w:snapToGrid w:val="0"/>
              </w:rPr>
            </w:pPr>
            <w:r>
              <w:t>8 Jul 2008</w:t>
            </w:r>
          </w:p>
        </w:tc>
        <w:tc>
          <w:tcPr>
            <w:tcW w:w="2529" w:type="dxa"/>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31" w:type="dxa"/>
          <w:cantSplit/>
        </w:trPr>
        <w:tc>
          <w:tcPr>
            <w:tcW w:w="2296"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993" w:type="dxa"/>
          </w:tcPr>
          <w:p>
            <w:pPr>
              <w:pStyle w:val="nTable"/>
              <w:spacing w:after="40"/>
            </w:pPr>
            <w:r>
              <w:t>18 of 2009</w:t>
            </w:r>
          </w:p>
        </w:tc>
        <w:tc>
          <w:tcPr>
            <w:tcW w:w="1275" w:type="dxa"/>
          </w:tcPr>
          <w:p>
            <w:pPr>
              <w:pStyle w:val="nTable"/>
              <w:spacing w:after="40"/>
            </w:pPr>
            <w:r>
              <w:t>16 Sep 2009</w:t>
            </w:r>
          </w:p>
        </w:tc>
        <w:tc>
          <w:tcPr>
            <w:tcW w:w="2529" w:type="dxa"/>
          </w:tcPr>
          <w:p>
            <w:pPr>
              <w:pStyle w:val="nTable"/>
              <w:spacing w:after="40"/>
            </w:pPr>
            <w:r>
              <w:t>17 Sep 2009 (see s. 2(b))</w:t>
            </w:r>
          </w:p>
        </w:tc>
      </w:tr>
      <w:tr>
        <w:trPr>
          <w:gridAfter w:val="2"/>
          <w:wAfter w:w="31" w:type="dxa"/>
          <w:cantSplit/>
        </w:trPr>
        <w:tc>
          <w:tcPr>
            <w:tcW w:w="7093" w:type="dxa"/>
            <w:gridSpan w:val="6"/>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993" w:type="dxa"/>
          </w:tcPr>
          <w:p>
            <w:pPr>
              <w:pStyle w:val="nTable"/>
              <w:spacing w:after="40"/>
              <w:rPr>
                <w:snapToGrid w:val="0"/>
              </w:rPr>
            </w:pPr>
            <w:r>
              <w:rPr>
                <w:snapToGrid w:val="0"/>
              </w:rPr>
              <w:t>19 of 2010</w:t>
            </w:r>
          </w:p>
        </w:tc>
        <w:tc>
          <w:tcPr>
            <w:tcW w:w="1275" w:type="dxa"/>
          </w:tcPr>
          <w:p>
            <w:pPr>
              <w:pStyle w:val="nTable"/>
              <w:spacing w:after="40"/>
              <w:rPr>
                <w:snapToGrid w:val="0"/>
              </w:rPr>
            </w:pPr>
            <w:r>
              <w:rPr>
                <w:snapToGrid w:val="0"/>
              </w:rPr>
              <w:t>28 Jun 2010</w:t>
            </w:r>
          </w:p>
        </w:tc>
        <w:tc>
          <w:tcPr>
            <w:tcW w:w="2545"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993" w:type="dxa"/>
          </w:tcPr>
          <w:p>
            <w:pPr>
              <w:pStyle w:val="nTable"/>
              <w:spacing w:after="40"/>
              <w:rPr>
                <w:snapToGrid w:val="0"/>
              </w:rPr>
            </w:pPr>
            <w:r>
              <w:rPr>
                <w:snapToGrid w:val="0"/>
              </w:rPr>
              <w:t>35 of 2010</w:t>
            </w:r>
          </w:p>
        </w:tc>
        <w:tc>
          <w:tcPr>
            <w:tcW w:w="1275" w:type="dxa"/>
          </w:tcPr>
          <w:p>
            <w:pPr>
              <w:pStyle w:val="nTable"/>
              <w:spacing w:after="40"/>
              <w:rPr>
                <w:snapToGrid w:val="0"/>
              </w:rPr>
            </w:pPr>
            <w:r>
              <w:rPr>
                <w:snapToGrid w:val="0"/>
              </w:rPr>
              <w:t>30 Aug 2010</w:t>
            </w:r>
          </w:p>
        </w:tc>
        <w:tc>
          <w:tcPr>
            <w:tcW w:w="2545"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275" w:type="dxa"/>
          </w:tcPr>
          <w:p>
            <w:pPr>
              <w:pStyle w:val="nTable"/>
              <w:spacing w:after="40"/>
              <w:rPr>
                <w:snapToGrid w:val="0"/>
              </w:rPr>
            </w:pPr>
            <w:r>
              <w:rPr>
                <w:snapToGrid w:val="0"/>
              </w:rPr>
              <w:t>1 Oct 2010</w:t>
            </w:r>
          </w:p>
        </w:tc>
        <w:tc>
          <w:tcPr>
            <w:tcW w:w="2545"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15" w:type="dxa"/>
          <w:cantSplit/>
        </w:trPr>
        <w:tc>
          <w:tcPr>
            <w:tcW w:w="2282" w:type="dxa"/>
            <w:gridSpan w:val="2"/>
          </w:tcPr>
          <w:p>
            <w:pPr>
              <w:pStyle w:val="nTable"/>
              <w:spacing w:after="40"/>
              <w:ind w:right="113"/>
              <w:rPr>
                <w:i/>
                <w:iCs/>
                <w:snapToGrid w:val="0"/>
              </w:rPr>
            </w:pPr>
            <w:r>
              <w:rPr>
                <w:i/>
                <w:snapToGrid w:val="0"/>
              </w:rPr>
              <w:t>Liquor Control Amendment Act 2010</w:t>
            </w:r>
            <w:r>
              <w:rPr>
                <w:iCs/>
                <w:snapToGrid w:val="0"/>
              </w:rPr>
              <w:t xml:space="preserve"> </w:t>
            </w:r>
          </w:p>
        </w:tc>
        <w:tc>
          <w:tcPr>
            <w:tcW w:w="993" w:type="dxa"/>
          </w:tcPr>
          <w:p>
            <w:pPr>
              <w:pStyle w:val="nTable"/>
              <w:spacing w:after="40"/>
              <w:rPr>
                <w:snapToGrid w:val="0"/>
              </w:rPr>
            </w:pPr>
            <w:r>
              <w:t>56 of 2010</w:t>
            </w:r>
          </w:p>
        </w:tc>
        <w:tc>
          <w:tcPr>
            <w:tcW w:w="1275" w:type="dxa"/>
          </w:tcPr>
          <w:p>
            <w:pPr>
              <w:pStyle w:val="nTable"/>
              <w:spacing w:after="40"/>
              <w:rPr>
                <w:snapToGrid w:val="0"/>
              </w:rPr>
            </w:pPr>
            <w:r>
              <w:t>8 Dec 2010</w:t>
            </w:r>
          </w:p>
        </w:tc>
        <w:tc>
          <w:tcPr>
            <w:tcW w:w="2545" w:type="dxa"/>
            <w:gridSpan w:val="2"/>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Building Act 2011</w:t>
            </w:r>
            <w:r>
              <w:rPr>
                <w:snapToGrid w:val="0"/>
              </w:rPr>
              <w:t xml:space="preserve"> s. 165</w:t>
            </w:r>
          </w:p>
        </w:tc>
        <w:tc>
          <w:tcPr>
            <w:tcW w:w="993" w:type="dxa"/>
          </w:tcPr>
          <w:p>
            <w:pPr>
              <w:pStyle w:val="nTable"/>
              <w:spacing w:after="40"/>
            </w:pPr>
            <w:r>
              <w:rPr>
                <w:snapToGrid w:val="0"/>
              </w:rPr>
              <w:t>24 of 2011</w:t>
            </w:r>
          </w:p>
        </w:tc>
        <w:tc>
          <w:tcPr>
            <w:tcW w:w="1275" w:type="dxa"/>
          </w:tcPr>
          <w:p>
            <w:pPr>
              <w:pStyle w:val="nTable"/>
              <w:spacing w:after="40"/>
            </w:pPr>
            <w:r>
              <w:t>11 Jul 2011</w:t>
            </w:r>
          </w:p>
        </w:tc>
        <w:tc>
          <w:tcPr>
            <w:tcW w:w="2545" w:type="dxa"/>
            <w:gridSpan w:val="2"/>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993" w:type="dxa"/>
            <w:shd w:val="clear" w:color="auto" w:fill="auto"/>
          </w:tcPr>
          <w:p>
            <w:pPr>
              <w:pStyle w:val="nTable"/>
              <w:spacing w:after="40"/>
            </w:pPr>
            <w:r>
              <w:rPr>
                <w:snapToGrid w:val="0"/>
              </w:rPr>
              <w:t>42 of 2011</w:t>
            </w:r>
          </w:p>
        </w:tc>
        <w:tc>
          <w:tcPr>
            <w:tcW w:w="1275" w:type="dxa"/>
            <w:shd w:val="clear" w:color="auto" w:fill="auto"/>
          </w:tcPr>
          <w:p>
            <w:pPr>
              <w:pStyle w:val="nTable"/>
              <w:spacing w:after="40"/>
            </w:pPr>
            <w:r>
              <w:t>4 Oct 2011</w:t>
            </w:r>
          </w:p>
        </w:tc>
        <w:tc>
          <w:tcPr>
            <w:tcW w:w="2545" w:type="dxa"/>
            <w:gridSpan w:val="2"/>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993" w:type="dxa"/>
            <w:shd w:val="clear" w:color="auto" w:fill="auto"/>
          </w:tcPr>
          <w:p>
            <w:pPr>
              <w:pStyle w:val="nTable"/>
              <w:spacing w:after="40"/>
            </w:pPr>
            <w:r>
              <w:rPr>
                <w:snapToGrid w:val="0"/>
              </w:rPr>
              <w:t>47 of 2011</w:t>
            </w:r>
          </w:p>
        </w:tc>
        <w:tc>
          <w:tcPr>
            <w:tcW w:w="1275" w:type="dxa"/>
            <w:shd w:val="clear" w:color="auto" w:fill="auto"/>
          </w:tcPr>
          <w:p>
            <w:pPr>
              <w:pStyle w:val="nTable"/>
              <w:spacing w:after="40"/>
            </w:pPr>
            <w:r>
              <w:rPr>
                <w:snapToGrid w:val="0"/>
              </w:rPr>
              <w:t>25 Oct 2011</w:t>
            </w:r>
          </w:p>
        </w:tc>
        <w:tc>
          <w:tcPr>
            <w:tcW w:w="2545" w:type="dxa"/>
            <w:gridSpan w:val="2"/>
            <w:shd w:val="clear" w:color="auto" w:fill="auto"/>
          </w:tcPr>
          <w:p>
            <w:pPr>
              <w:pStyle w:val="nTable"/>
              <w:spacing w:after="40"/>
              <w:rPr>
                <w:snapToGrid w:val="0"/>
              </w:rPr>
            </w:pPr>
            <w:r>
              <w:rPr>
                <w:snapToGrid w:val="0"/>
              </w:rPr>
              <w:t>26 Oct 2011 (see s. 2(b))</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lastRenderedPageBreak/>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p>
        </w:tc>
        <w:tc>
          <w:tcPr>
            <w:tcW w:w="993" w:type="dxa"/>
            <w:tcBorders>
              <w:top w:val="nil"/>
              <w:bottom w:val="nil"/>
            </w:tcBorders>
          </w:tcPr>
          <w:p>
            <w:pPr>
              <w:pStyle w:val="nTable"/>
              <w:keepNext/>
              <w:keepLines/>
              <w:spacing w:after="40"/>
            </w:pPr>
            <w:r>
              <w:rPr>
                <w:snapToGrid w:val="0"/>
              </w:rPr>
              <w:t>8 of 2012</w:t>
            </w:r>
          </w:p>
        </w:tc>
        <w:tc>
          <w:tcPr>
            <w:tcW w:w="1275" w:type="dxa"/>
            <w:tcBorders>
              <w:top w:val="nil"/>
              <w:bottom w:val="nil"/>
            </w:tcBorders>
          </w:tcPr>
          <w:p>
            <w:pPr>
              <w:pStyle w:val="nTable"/>
              <w:keepNext/>
              <w:keepLines/>
              <w:spacing w:after="40"/>
            </w:pPr>
            <w:r>
              <w:t>21 May 2012</w:t>
            </w:r>
          </w:p>
        </w:tc>
        <w:tc>
          <w:tcPr>
            <w:tcW w:w="2560"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993" w:type="dxa"/>
            <w:shd w:val="clear" w:color="auto" w:fill="auto"/>
          </w:tcPr>
          <w:p>
            <w:pPr>
              <w:pStyle w:val="nTable"/>
              <w:spacing w:after="40"/>
            </w:pPr>
            <w:r>
              <w:rPr>
                <w:snapToGrid w:val="0"/>
              </w:rPr>
              <w:t>49 of 2012</w:t>
            </w:r>
          </w:p>
        </w:tc>
        <w:tc>
          <w:tcPr>
            <w:tcW w:w="1275" w:type="dxa"/>
            <w:shd w:val="clear" w:color="auto" w:fill="auto"/>
          </w:tcPr>
          <w:p>
            <w:pPr>
              <w:pStyle w:val="nTable"/>
              <w:spacing w:after="40"/>
            </w:pPr>
            <w:r>
              <w:t>29 Nov 2012</w:t>
            </w:r>
          </w:p>
        </w:tc>
        <w:tc>
          <w:tcPr>
            <w:tcW w:w="2545" w:type="dxa"/>
            <w:gridSpan w:val="2"/>
            <w:shd w:val="clear" w:color="auto" w:fill="auto"/>
          </w:tcPr>
          <w:p>
            <w:pPr>
              <w:pStyle w:val="nTable"/>
              <w:spacing w:after="40"/>
              <w:rPr>
                <w:snapToGrid w:val="0"/>
              </w:rPr>
            </w:pPr>
            <w:r>
              <w:rPr>
                <w:snapToGrid w:val="0"/>
              </w:rPr>
              <w:t>2 Nov 2013 (see s. 2(b) and Gazette 1 Nov 2013 p. 4891)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993" w:type="dxa"/>
            <w:shd w:val="clear" w:color="auto" w:fill="auto"/>
          </w:tcPr>
          <w:p>
            <w:pPr>
              <w:pStyle w:val="nTable"/>
              <w:spacing w:after="40"/>
              <w:rPr>
                <w:snapToGrid w:val="0"/>
              </w:rPr>
            </w:pPr>
            <w:r>
              <w:rPr>
                <w:snapToGrid w:val="0"/>
              </w:rPr>
              <w:t>35 of 2014</w:t>
            </w:r>
          </w:p>
        </w:tc>
        <w:tc>
          <w:tcPr>
            <w:tcW w:w="1275" w:type="dxa"/>
            <w:shd w:val="clear" w:color="auto" w:fill="auto"/>
          </w:tcPr>
          <w:p>
            <w:pPr>
              <w:pStyle w:val="nTable"/>
              <w:spacing w:after="40"/>
            </w:pPr>
            <w:r>
              <w:t>9 Dec 2014</w:t>
            </w:r>
          </w:p>
        </w:tc>
        <w:tc>
          <w:tcPr>
            <w:tcW w:w="2545"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993" w:type="dxa"/>
            <w:shd w:val="clear" w:color="auto" w:fill="auto"/>
          </w:tcPr>
          <w:p>
            <w:pPr>
              <w:pStyle w:val="nTable"/>
              <w:spacing w:after="40"/>
              <w:rPr>
                <w:snapToGrid w:val="0"/>
              </w:rPr>
            </w:pPr>
            <w:r>
              <w:t>30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993" w:type="dxa"/>
            <w:shd w:val="clear" w:color="auto" w:fill="auto"/>
          </w:tcPr>
          <w:p>
            <w:pPr>
              <w:pStyle w:val="nTable"/>
              <w:spacing w:after="40"/>
              <w:rPr>
                <w:snapToGrid w:val="0"/>
              </w:rPr>
            </w:pPr>
            <w:r>
              <w:t>35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14" w:type="dxa"/>
          <w:wAfter w:w="15" w:type="dxa"/>
          <w:cantSplit/>
        </w:trPr>
        <w:tc>
          <w:tcPr>
            <w:tcW w:w="2282" w:type="dxa"/>
            <w:gridSpan w:val="2"/>
            <w:shd w:val="clear" w:color="auto" w:fill="auto"/>
          </w:tcPr>
          <w:p>
            <w:pPr>
              <w:pStyle w:val="nTable"/>
              <w:spacing w:after="40"/>
              <w:rPr>
                <w:i/>
                <w:snapToGrid w:val="0"/>
              </w:rPr>
            </w:pPr>
            <w:r>
              <w:rPr>
                <w:i/>
                <w:snapToGrid w:val="0"/>
              </w:rPr>
              <w:t>Public Health (Consequential Provisions) Act 2016</w:t>
            </w:r>
            <w:r>
              <w:rPr>
                <w:snapToGrid w:val="0"/>
              </w:rPr>
              <w:t xml:space="preserve"> s. 101 and Pt. 3 Div. 17</w:t>
            </w:r>
          </w:p>
        </w:tc>
        <w:tc>
          <w:tcPr>
            <w:tcW w:w="993" w:type="dxa"/>
            <w:shd w:val="clear" w:color="auto" w:fill="auto"/>
          </w:tcPr>
          <w:p>
            <w:pPr>
              <w:pStyle w:val="nTable"/>
              <w:spacing w:after="40"/>
            </w:pPr>
            <w:r>
              <w:t>19 of 2016</w:t>
            </w:r>
          </w:p>
        </w:tc>
        <w:tc>
          <w:tcPr>
            <w:tcW w:w="1275" w:type="dxa"/>
            <w:shd w:val="clear" w:color="auto" w:fill="auto"/>
          </w:tcPr>
          <w:p>
            <w:pPr>
              <w:pStyle w:val="nTable"/>
              <w:spacing w:after="40"/>
            </w:pPr>
            <w:r>
              <w:t>25 Jul 2016</w:t>
            </w:r>
          </w:p>
        </w:tc>
        <w:tc>
          <w:tcPr>
            <w:tcW w:w="2545" w:type="dxa"/>
            <w:gridSpan w:val="2"/>
            <w:shd w:val="clear" w:color="auto" w:fill="auto"/>
          </w:tcPr>
          <w:p>
            <w:pPr>
              <w:pStyle w:val="nTable"/>
              <w:spacing w:after="40"/>
              <w:rPr>
                <w:snapToGrid w:val="0"/>
              </w:rPr>
            </w:pPr>
            <w:r>
              <w:rPr>
                <w:snapToGrid w:val="0"/>
              </w:rPr>
              <w:t>24 Jan 2017 (see s. 2(1)(c) and Gazette 10 Jan 2017 p. 165)</w:t>
            </w:r>
          </w:p>
        </w:tc>
      </w:tr>
      <w:tr>
        <w:trPr>
          <w:gridBefore w:val="1"/>
          <w:gridAfter w:val="1"/>
          <w:wBefore w:w="14" w:type="dxa"/>
          <w:wAfter w:w="15" w:type="dxa"/>
          <w:cantSplit/>
        </w:trPr>
        <w:tc>
          <w:tcPr>
            <w:tcW w:w="2282"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20</w:t>
            </w:r>
          </w:p>
        </w:tc>
        <w:tc>
          <w:tcPr>
            <w:tcW w:w="993" w:type="dxa"/>
            <w:shd w:val="clear" w:color="auto" w:fill="auto"/>
          </w:tcPr>
          <w:p>
            <w:pPr>
              <w:pStyle w:val="nTable"/>
              <w:spacing w:after="40"/>
              <w:rPr>
                <w:b/>
                <w:snapToGrid w:val="0"/>
              </w:rPr>
            </w:pPr>
            <w:r>
              <w:t>26 of 2016</w:t>
            </w:r>
          </w:p>
        </w:tc>
        <w:tc>
          <w:tcPr>
            <w:tcW w:w="1275" w:type="dxa"/>
            <w:shd w:val="clear" w:color="auto" w:fill="auto"/>
          </w:tcPr>
          <w:p>
            <w:pPr>
              <w:pStyle w:val="nTable"/>
              <w:spacing w:after="40"/>
              <w:rPr>
                <w:b/>
                <w:snapToGrid w:val="0"/>
              </w:rPr>
            </w:pPr>
            <w:r>
              <w:t>21 Sep 2016</w:t>
            </w:r>
          </w:p>
        </w:tc>
        <w:tc>
          <w:tcPr>
            <w:tcW w:w="2545"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pPr>
            <w:r>
              <w:rPr>
                <w:i/>
              </w:rPr>
              <w:t>Liquor Control Amendment Act 2018</w:t>
            </w:r>
          </w:p>
        </w:tc>
        <w:tc>
          <w:tcPr>
            <w:tcW w:w="993" w:type="dxa"/>
            <w:tcBorders>
              <w:top w:val="nil"/>
              <w:bottom w:val="nil"/>
            </w:tcBorders>
          </w:tcPr>
          <w:p>
            <w:pPr>
              <w:pStyle w:val="nTable"/>
              <w:spacing w:after="40"/>
            </w:pPr>
            <w:r>
              <w:t>9 of 2018</w:t>
            </w:r>
          </w:p>
        </w:tc>
        <w:tc>
          <w:tcPr>
            <w:tcW w:w="1275" w:type="dxa"/>
            <w:tcBorders>
              <w:top w:val="nil"/>
              <w:bottom w:val="nil"/>
            </w:tcBorders>
          </w:tcPr>
          <w:p>
            <w:pPr>
              <w:pStyle w:val="nTable"/>
              <w:spacing w:after="40"/>
            </w:pPr>
            <w:r>
              <w:t>13 Jul 2018</w:t>
            </w:r>
          </w:p>
        </w:tc>
        <w:tc>
          <w:tcPr>
            <w:tcW w:w="2529" w:type="dxa"/>
            <w:tcBorders>
              <w:top w:val="nil"/>
              <w:bottom w:val="nil"/>
            </w:tcBorders>
          </w:tcPr>
          <w:p>
            <w:pPr>
              <w:pStyle w:val="nTable"/>
              <w:keepNext/>
              <w:spacing w:after="40"/>
            </w:pPr>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r>
              <w:br/>
              <w:t>s. 5, 8, 10, 12, 20</w:t>
            </w:r>
            <w:r>
              <w:noBreakHyphen/>
              <w:t xml:space="preserve">22, 25, 26, 32, 35, 38, 39, 46, 56, 60, 62(2) and 63: 3 Oct 2018 (see s. 2(b) and </w:t>
            </w:r>
            <w:r>
              <w:rPr>
                <w:i/>
              </w:rPr>
              <w:t>Gazette</w:t>
            </w:r>
            <w:r>
              <w:t xml:space="preserve"> 2 Oct 2018 p. 3779);</w:t>
            </w:r>
            <w:r>
              <w:br/>
              <w:t xml:space="preserve">s. 17, 18 and 45: 2 Nov 2019 </w:t>
            </w:r>
            <w:r>
              <w:lastRenderedPageBreak/>
              <w:t xml:space="preserve">(see s. 2(b) and </w:t>
            </w:r>
            <w:r>
              <w:rPr>
                <w:i/>
              </w:rPr>
              <w:t>Gazette</w:t>
            </w:r>
            <w:r>
              <w:t xml:space="preserve"> 1 Nov 2019 p. 3857);</w:t>
            </w:r>
            <w:r>
              <w:br/>
              <w:t>s. 53 and 62(1) and (3): 18 Sep 2021 (see s. 2(b) and SL 2021/162 cl. 2);</w:t>
            </w:r>
            <w:r>
              <w:br/>
              <w:t>s. 36: 1 Feb 2022 (see s. 2(b) and SL 2021/198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single" w:sz="4" w:space="0" w:color="auto"/>
            </w:tcBorders>
          </w:tcPr>
          <w:p>
            <w:pPr>
              <w:pStyle w:val="nTable"/>
              <w:spacing w:after="40"/>
              <w:rPr>
                <w:i/>
              </w:rPr>
            </w:pPr>
            <w:r>
              <w:rPr>
                <w:i/>
                <w:noProof/>
              </w:rPr>
              <w:lastRenderedPageBreak/>
              <w:t>Heritage Act 2018</w:t>
            </w:r>
            <w:r>
              <w:rPr>
                <w:noProof/>
              </w:rPr>
              <w:t xml:space="preserve"> s. 185</w:t>
            </w:r>
          </w:p>
        </w:tc>
        <w:tc>
          <w:tcPr>
            <w:tcW w:w="993" w:type="dxa"/>
            <w:tcBorders>
              <w:top w:val="nil"/>
              <w:bottom w:val="single" w:sz="4" w:space="0" w:color="auto"/>
            </w:tcBorders>
          </w:tcPr>
          <w:p>
            <w:pPr>
              <w:pStyle w:val="nTable"/>
              <w:spacing w:after="40"/>
            </w:pPr>
            <w:r>
              <w:t>22 of 2018</w:t>
            </w:r>
          </w:p>
        </w:tc>
        <w:tc>
          <w:tcPr>
            <w:tcW w:w="1275" w:type="dxa"/>
            <w:tcBorders>
              <w:top w:val="nil"/>
              <w:bottom w:val="single" w:sz="4" w:space="0" w:color="auto"/>
            </w:tcBorders>
          </w:tcPr>
          <w:p>
            <w:pPr>
              <w:pStyle w:val="nTable"/>
              <w:spacing w:after="40"/>
            </w:pPr>
            <w:r>
              <w:t>18 Sep 2018</w:t>
            </w:r>
          </w:p>
        </w:tc>
        <w:tc>
          <w:tcPr>
            <w:tcW w:w="2529" w:type="dxa"/>
            <w:tcBorders>
              <w:top w:val="nil"/>
              <w:bottom w:val="single" w:sz="4" w:space="0" w:color="auto"/>
            </w:tcBorders>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bl>
    <w:p>
      <w:pPr>
        <w:pStyle w:val="nHeading3"/>
      </w:pPr>
      <w:bookmarkStart w:id="438" w:name="_Toc93934901"/>
      <w:r>
        <w:t>Uncommenced provisions table</w:t>
      </w:r>
      <w:bookmarkEnd w:id="438"/>
    </w:p>
    <w:p>
      <w:pPr>
        <w:pStyle w:val="nStatement"/>
        <w:keepNext/>
        <w:spacing w:after="240"/>
      </w:pPr>
      <w:r>
        <w:t xml:space="preserve">To view the text of the uncommenced provisions see </w:t>
      </w:r>
      <w:r>
        <w:rPr>
          <w:i/>
        </w:rPr>
        <w:t>Acts as passed</w:t>
      </w:r>
      <w:r>
        <w:t xml:space="preserve"> on the WA Legislation website.</w:t>
      </w:r>
    </w:p>
    <w:tbl>
      <w:tblPr>
        <w:tblW w:w="711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68"/>
        <w:gridCol w:w="1134"/>
        <w:gridCol w:w="1134"/>
        <w:gridCol w:w="2524"/>
        <w:gridCol w:w="27"/>
      </w:tblGrid>
      <w:tr>
        <w:trPr>
          <w:gridBefore w:val="1"/>
          <w:wBefore w:w="28" w:type="dxa"/>
          <w:cantSplit/>
          <w:tblHeader/>
        </w:trPr>
        <w:tc>
          <w:tcPr>
            <w:tcW w:w="2268"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51" w:type="dxa"/>
            <w:gridSpan w:val="2"/>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gridBefore w:val="1"/>
          <w:wBefore w:w="28" w:type="dxa"/>
        </w:trPr>
        <w:tc>
          <w:tcPr>
            <w:tcW w:w="2268"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551" w:type="dxa"/>
            <w:gridSpan w:val="2"/>
            <w:tcBorders>
              <w:top w:val="single" w:sz="4" w:space="0" w:color="auto"/>
              <w:bottom w:val="nil"/>
            </w:tcBorders>
          </w:tcPr>
          <w:p>
            <w:pPr>
              <w:pStyle w:val="nTable"/>
              <w:spacing w:after="40"/>
              <w:rPr>
                <w:snapToGrid w:val="0"/>
              </w:rPr>
            </w:pPr>
            <w:r>
              <w:rPr>
                <w:snapToGrid w:val="0"/>
              </w:rPr>
              <w:t>To be proclaimed (see s. 2(b))</w:t>
            </w:r>
          </w:p>
        </w:tc>
      </w:tr>
      <w:tr>
        <w:trPr>
          <w:gridBefore w:val="1"/>
          <w:wBefore w:w="28" w:type="dxa"/>
        </w:trPr>
        <w:tc>
          <w:tcPr>
            <w:tcW w:w="2268"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1"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single" w:sz="4" w:space="0" w:color="auto"/>
            </w:tcBorders>
          </w:tcPr>
          <w:p>
            <w:pPr>
              <w:pStyle w:val="nTable"/>
              <w:spacing w:after="40"/>
              <w:rPr>
                <w:noProof/>
                <w:snapToGrid w:val="0"/>
              </w:rPr>
            </w:pPr>
            <w:r>
              <w:rPr>
                <w:i/>
              </w:rPr>
              <w:t>Public Health (Consequential Provisions) Act 2016</w:t>
            </w:r>
            <w:r>
              <w:t xml:space="preserve"> Pt. 5 Div. 12</w:t>
            </w:r>
          </w:p>
        </w:tc>
        <w:tc>
          <w:tcPr>
            <w:tcW w:w="1134"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524" w:type="dxa"/>
            <w:tcBorders>
              <w:top w:val="nil"/>
              <w:bottom w:val="single" w:sz="4" w:space="0" w:color="auto"/>
            </w:tcBorders>
          </w:tcPr>
          <w:p>
            <w:pPr>
              <w:pStyle w:val="nTable"/>
              <w:spacing w:after="40"/>
              <w:rPr>
                <w:snapToGrid w:val="0"/>
              </w:rPr>
            </w:pPr>
            <w:r>
              <w:t>T</w:t>
            </w:r>
            <w:r>
              <w:rPr>
                <w:snapToGrid w:val="0"/>
              </w:rPr>
              <w:t>o be proclaimed (see s. 2(1)(c))</w:t>
            </w:r>
          </w:p>
        </w:tc>
      </w:tr>
    </w:tbl>
    <w:p>
      <w:pPr>
        <w:pStyle w:val="nHeading3"/>
      </w:pPr>
      <w:bookmarkStart w:id="439" w:name="_Toc93934902"/>
      <w:r>
        <w:t>Other notes</w:t>
      </w:r>
      <w:bookmarkEnd w:id="439"/>
    </w:p>
    <w:p>
      <w:pPr>
        <w:pStyle w:val="nNote"/>
        <w:spacing w:before="160"/>
        <w:rPr>
          <w:snapToGrid w:val="0"/>
        </w:rPr>
      </w:pPr>
      <w:r>
        <w:rPr>
          <w:snapToGrid w:val="0"/>
          <w:vertAlign w:val="superscript"/>
        </w:rPr>
        <w:t>1</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Repealed by the </w:t>
      </w:r>
      <w:r>
        <w:rPr>
          <w:i/>
          <w:snapToGrid w:val="0"/>
        </w:rPr>
        <w:t>Public Sector Management Act 1994</w:t>
      </w:r>
      <w:r>
        <w:rPr>
          <w:snapToGrid w:val="0"/>
        </w:rPr>
        <w:t>.</w:t>
      </w:r>
    </w:p>
    <w:p>
      <w:pPr>
        <w:pStyle w:val="nNote"/>
        <w:rPr>
          <w:snapToGrid w:val="0"/>
        </w:rPr>
      </w:pPr>
      <w:r>
        <w:rPr>
          <w:vertAlign w:val="superscript"/>
        </w:rPr>
        <w:t>3</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Note"/>
        <w:rPr>
          <w:snapToGrid w:val="0"/>
        </w:rPr>
      </w:pPr>
      <w:r>
        <w:rPr>
          <w:snapToGrid w:val="0"/>
          <w:vertAlign w:val="superscript"/>
        </w:rPr>
        <w:t>4</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Note"/>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pPr>
        <w:pStyle w:val="nNote"/>
      </w:pPr>
      <w:r>
        <w:rPr>
          <w:vertAlign w:val="superscript"/>
        </w:rPr>
        <w:t>6</w:t>
      </w:r>
      <w:r>
        <w:rPr>
          <w:vertAlign w:val="superscript"/>
        </w:rPr>
        <w:tab/>
      </w:r>
      <w:r>
        <w:t xml:space="preserve">Now known as the </w:t>
      </w:r>
      <w:r>
        <w:rPr>
          <w:i/>
        </w:rPr>
        <w:t>Liquor Control Act 1988</w:t>
      </w:r>
      <w:r>
        <w:rPr>
          <w:iCs/>
        </w:rPr>
        <w:t xml:space="preserve">; </w:t>
      </w:r>
      <w:r>
        <w:t>short title changed (see note under s. 1).</w:t>
      </w:r>
    </w:p>
    <w:p>
      <w:pPr>
        <w:pStyle w:val="nNote"/>
      </w:pPr>
      <w:r>
        <w:rPr>
          <w:vertAlign w:val="superscript"/>
        </w:rPr>
        <w:lastRenderedPageBreak/>
        <w:t>7</w:t>
      </w:r>
      <w:r>
        <w:tab/>
        <w:t xml:space="preserve">The </w:t>
      </w:r>
      <w:r>
        <w:rPr>
          <w:i/>
        </w:rPr>
        <w:t xml:space="preserve">Courts Legislation Amendment Act 2000 </w:t>
      </w:r>
      <w:r>
        <w:t>s. 14 is a transitional provision that is of no further effect.</w:t>
      </w:r>
    </w:p>
    <w:p>
      <w:pPr>
        <w:pStyle w:val="nNote"/>
      </w:pPr>
      <w:r>
        <w:rPr>
          <w:vertAlign w:val="superscript"/>
        </w:rPr>
        <w:t>8</w:t>
      </w:r>
      <w:r>
        <w:tab/>
        <w:t xml:space="preserve">The </w:t>
      </w:r>
      <w:r>
        <w:rPr>
          <w:i/>
        </w:rPr>
        <w:t>Liquor Licensing Amendment Act 2001</w:t>
      </w:r>
      <w:r>
        <w:t xml:space="preserve"> s. 5(2) and 6(2) are transitional provisions that are of no further effect.</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441" w:name="_Toc93918358"/>
      <w:bookmarkStart w:id="442" w:name="_Toc93934903"/>
      <w:r>
        <w:rPr>
          <w:sz w:val="28"/>
        </w:rPr>
        <w:lastRenderedPageBreak/>
        <w:t>Defined terms</w:t>
      </w:r>
      <w:bookmarkEnd w:id="441"/>
      <w:bookmarkEnd w:id="4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 unrelated adults</w:t>
      </w:r>
      <w:r>
        <w:tab/>
        <w:t>117(2b)</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w:t>
      </w:r>
    </w:p>
    <w:p>
      <w:pPr>
        <w:pStyle w:val="DefinedTerms"/>
      </w:pPr>
      <w:r>
        <w:t>application</w:t>
      </w:r>
      <w:r>
        <w:tab/>
        <w:t>152W(1), Sch. 1 cl. 1(1)</w:t>
      </w:r>
    </w:p>
    <w:p>
      <w:pPr>
        <w:pStyle w:val="DefinedTerms"/>
      </w:pPr>
      <w:r>
        <w:t>appointed day</w:t>
      </w:r>
      <w:r>
        <w:tab/>
        <w:t>Sch. 1 cl. 1(1)</w:t>
      </w:r>
    </w:p>
    <w:p>
      <w:pPr>
        <w:pStyle w:val="DefinedTerms"/>
      </w:pPr>
      <w:r>
        <w:t>approved form</w:t>
      </w:r>
      <w:r>
        <w:tab/>
        <w:t>167(1)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Association</w:t>
      </w:r>
      <w:r>
        <w:tab/>
        <w:t>Sch. 2 cl. 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buyer</w:t>
      </w:r>
      <w:r>
        <w:tab/>
        <w:t>109(4A)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cellar door permit</w:t>
      </w:r>
      <w:r>
        <w:tab/>
        <w:t>3(1), 61A(1)</w:t>
      </w:r>
    </w:p>
    <w:p>
      <w:pPr>
        <w:pStyle w:val="DefinedTerms"/>
      </w:pPr>
      <w:r>
        <w:t>chairperson</w:t>
      </w:r>
      <w:r>
        <w:tab/>
        <w:t>3(1)</w:t>
      </w:r>
    </w:p>
    <w:p>
      <w:pPr>
        <w:pStyle w:val="DefinedTerms"/>
      </w:pPr>
      <w:r>
        <w:t>Chief Health Officer</w:t>
      </w:r>
      <w:r>
        <w:tab/>
        <w:t>3(1)</w:t>
      </w:r>
    </w:p>
    <w:p>
      <w:pPr>
        <w:pStyle w:val="DefinedTerms"/>
      </w:pPr>
      <w:r>
        <w:t>club</w:t>
      </w:r>
      <w:r>
        <w:tab/>
        <w:t>49(1), Sch. 2 cl. 1</w:t>
      </w:r>
    </w:p>
    <w:p>
      <w:pPr>
        <w:pStyle w:val="DefinedTerms"/>
      </w:pPr>
      <w:r>
        <w:t>club licence</w:t>
      </w:r>
      <w:r>
        <w:tab/>
        <w:t>3(1)</w:t>
      </w:r>
    </w:p>
    <w:p>
      <w:pPr>
        <w:pStyle w:val="DefinedTerms"/>
      </w:pPr>
      <w:r>
        <w:t>club restricted licence</w:t>
      </w:r>
      <w:r>
        <w:tab/>
        <w:t>3(1)</w:t>
      </w:r>
    </w:p>
    <w:p>
      <w:pPr>
        <w:pStyle w:val="DefinedTerms"/>
      </w:pPr>
      <w:r>
        <w:t>commencement day</w:t>
      </w:r>
      <w:r>
        <w:tab/>
        <w:t>Sch. 1A cl. 1, Sch. 1B cl. 1, Sch. 1C cl. 2(1), 3(1)</w:t>
      </w:r>
    </w:p>
    <w:p>
      <w:pPr>
        <w:pStyle w:val="DefinedTerms"/>
      </w:pPr>
      <w:r>
        <w:t>Commission</w:t>
      </w:r>
      <w:r>
        <w:tab/>
        <w:t>3(1)</w:t>
      </w:r>
    </w:p>
    <w:p>
      <w:pPr>
        <w:pStyle w:val="DefinedTerms"/>
      </w:pPr>
      <w:r>
        <w:t>Commissioner of Police</w:t>
      </w:r>
      <w:r>
        <w:tab/>
        <w:t>3(1)</w:t>
      </w:r>
    </w:p>
    <w:p>
      <w:pPr>
        <w:pStyle w:val="DefinedTerms"/>
      </w:pPr>
      <w:r>
        <w:t>Committee of Management</w:t>
      </w:r>
      <w:r>
        <w:tab/>
        <w:t>Sch. 2 cl. 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lastRenderedPageBreak/>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Department</w:t>
      </w:r>
      <w:r>
        <w:tab/>
        <w:t>3(1)</w:t>
      </w:r>
    </w:p>
    <w:p>
      <w:pPr>
        <w:pStyle w:val="DefinedTerms"/>
      </w:pPr>
      <w:r>
        <w:t>Department’s website</w:t>
      </w:r>
      <w:r>
        <w:tab/>
        <w:t>3(1)</w:t>
      </w:r>
    </w:p>
    <w:p>
      <w:pPr>
        <w:pStyle w:val="DefinedTerms"/>
      </w:pPr>
      <w:r>
        <w:t>dining area</w:t>
      </w:r>
      <w:r>
        <w:tab/>
        <w:t>3(1)</w:t>
      </w:r>
    </w:p>
    <w:p>
      <w:pPr>
        <w:pStyle w:val="DefinedTerms"/>
      </w:pPr>
      <w:r>
        <w:t>director</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driver</w:t>
      </w:r>
      <w:r>
        <w:tab/>
        <w:t>109A(1)</w:t>
      </w:r>
    </w:p>
    <w:p>
      <w:pPr>
        <w:pStyle w:val="DefinedTerms"/>
      </w:pPr>
      <w:r>
        <w:t>drunk</w:t>
      </w:r>
      <w:r>
        <w:tab/>
        <w:t>3(1), 3A(1)</w:t>
      </w:r>
    </w:p>
    <w:p>
      <w:pPr>
        <w:pStyle w:val="DefinedTerms"/>
      </w:pPr>
      <w:r>
        <w:t>employed</w:t>
      </w:r>
      <w:r>
        <w:tab/>
        <w:t>152A</w:t>
      </w:r>
    </w:p>
    <w:p>
      <w:pPr>
        <w:pStyle w:val="DefinedTerms"/>
      </w:pPr>
      <w:r>
        <w:t>employee</w:t>
      </w:r>
      <w:r>
        <w:tab/>
        <w:t>3(7), 95(1A), 165(4)</w:t>
      </w:r>
    </w:p>
    <w:p>
      <w:pPr>
        <w:pStyle w:val="DefinedTerms"/>
      </w:pPr>
      <w:r>
        <w:t>extended trading permit</w:t>
      </w:r>
      <w:r>
        <w:tab/>
        <w:t>3(1)</w:t>
      </w:r>
    </w:p>
    <w:p>
      <w:pPr>
        <w:pStyle w:val="DefinedTerms"/>
      </w:pPr>
      <w:r>
        <w:t>former Act</w:t>
      </w:r>
      <w:r>
        <w:tab/>
        <w:t>Sch. 1A cl. 1</w:t>
      </w:r>
    </w:p>
    <w:p>
      <w:pPr>
        <w:pStyle w:val="DefinedTerms"/>
      </w:pPr>
      <w:r>
        <w:t>function</w:t>
      </w:r>
      <w:r>
        <w:tab/>
        <w:t>3(1)</w:t>
      </w:r>
    </w:p>
    <w:p>
      <w:pPr>
        <w:pStyle w:val="DefinedTerms"/>
      </w:pPr>
      <w:r>
        <w:t>Gaming and Wagering Commission</w:t>
      </w:r>
      <w:r>
        <w:tab/>
        <w:t>3(1)</w:t>
      </w:r>
    </w:p>
    <w:p>
      <w:pPr>
        <w:pStyle w:val="DefinedTerms"/>
      </w:pPr>
      <w:r>
        <w:t>geographical indication</w:t>
      </w:r>
      <w:r>
        <w:tab/>
        <w:t>61A(1)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interstate supplier</w:t>
      </w:r>
      <w:r>
        <w:tab/>
        <w:t>59A(1)</w:t>
      </w:r>
    </w:p>
    <w:p>
      <w:pPr>
        <w:pStyle w:val="DefinedTerms"/>
      </w:pPr>
      <w:r>
        <w:t>juvenile</w:t>
      </w:r>
      <w:r>
        <w:tab/>
        <w:t>3(1)</w:t>
      </w:r>
    </w:p>
    <w:p>
      <w:pPr>
        <w:pStyle w:val="DefinedTerms"/>
      </w:pPr>
      <w:r>
        <w:t>kind</w:t>
      </w:r>
      <w:r>
        <w:tab/>
        <w:t>3(1)</w:t>
      </w:r>
    </w:p>
    <w:p>
      <w:pPr>
        <w:pStyle w:val="DefinedTerms"/>
      </w:pPr>
      <w:r>
        <w:t>lawyer</w:t>
      </w:r>
      <w:r>
        <w:tab/>
        <w:t>3(1)</w:t>
      </w:r>
    </w:p>
    <w:p>
      <w:pPr>
        <w:pStyle w:val="DefinedTerms"/>
      </w:pPr>
      <w:r>
        <w:t>League</w:t>
      </w:r>
      <w:r>
        <w:tab/>
        <w:t>Sch. 2 cl. 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 174B(1)</w:t>
      </w:r>
    </w:p>
    <w:p>
      <w:pPr>
        <w:pStyle w:val="DefinedTerms"/>
      </w:pPr>
      <w:r>
        <w:t>liquor merchant</w:t>
      </w:r>
      <w:r>
        <w:tab/>
        <w:t>3(1)</w:t>
      </w:r>
    </w:p>
    <w:p>
      <w:pPr>
        <w:pStyle w:val="DefinedTerms"/>
      </w:pPr>
      <w:r>
        <w:lastRenderedPageBreak/>
        <w:t>liquor restricted premises</w:t>
      </w:r>
      <w:r>
        <w:tab/>
        <w:t>152N</w:t>
      </w:r>
    </w:p>
    <w:p>
      <w:pPr>
        <w:pStyle w:val="DefinedTerms"/>
      </w:pPr>
      <w:r>
        <w:t>liquor restriction declaration</w:t>
      </w:r>
      <w:r>
        <w:tab/>
        <w:t>152N</w:t>
      </w:r>
    </w:p>
    <w:p>
      <w:pPr>
        <w:pStyle w:val="DefinedTerms"/>
      </w:pPr>
      <w:r>
        <w:t>liquor store licence</w:t>
      </w:r>
      <w:r>
        <w:tab/>
        <w:t>3(1)</w:t>
      </w:r>
    </w:p>
    <w:p>
      <w:pPr>
        <w:pStyle w:val="DefinedTerms"/>
      </w:pPr>
      <w:r>
        <w:t>local packaged liquor requirements</w:t>
      </w:r>
      <w:r>
        <w:tab/>
        <w:t>36B(1)</w:t>
      </w:r>
    </w:p>
    <w:p>
      <w:pPr>
        <w:pStyle w:val="DefinedTerms"/>
      </w:pPr>
      <w:r>
        <w:t>lodger</w:t>
      </w:r>
      <w:r>
        <w:tab/>
        <w:t>3(1)</w:t>
      </w:r>
    </w:p>
    <w:p>
      <w:pPr>
        <w:pStyle w:val="DefinedTerms"/>
      </w:pPr>
      <w:r>
        <w:t>manager</w:t>
      </w:r>
      <w:r>
        <w:tab/>
        <w:t>3(1)</w:t>
      </w:r>
    </w:p>
    <w:p>
      <w:pPr>
        <w:pStyle w:val="DefinedTerms"/>
      </w:pPr>
      <w:r>
        <w:t>manager’s approval</w:t>
      </w:r>
      <w:r>
        <w:tab/>
        <w:t>102A</w:t>
      </w:r>
    </w:p>
    <w:p>
      <w:pPr>
        <w:pStyle w:val="DefinedTerms"/>
      </w:pPr>
      <w:r>
        <w:t>meal</w:t>
      </w:r>
      <w:r>
        <w:tab/>
        <w:t>3(1)</w:t>
      </w:r>
    </w:p>
    <w:p>
      <w:pPr>
        <w:pStyle w:val="DefinedTerms"/>
      </w:pPr>
      <w:r>
        <w:t>member</w:t>
      </w:r>
      <w:r>
        <w:tab/>
        <w:t>3(1)</w:t>
      </w:r>
    </w:p>
    <w:p>
      <w:pPr>
        <w:pStyle w:val="DefinedTerms"/>
      </w:pPr>
      <w:r>
        <w:t>member of the family</w:t>
      </w:r>
      <w:r>
        <w:tab/>
        <w:t>125(3)</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non-liquor business on licensed premises</w:t>
      </w:r>
      <w:r>
        <w:tab/>
        <w:t>119A(1)</w:t>
      </w:r>
    </w:p>
    <w:p>
      <w:pPr>
        <w:pStyle w:val="DefinedTerms"/>
      </w:pPr>
      <w:r>
        <w:t>notice</w:t>
      </w:r>
      <w:r>
        <w:tab/>
        <w:t>115AD(1)</w:t>
      </w:r>
    </w:p>
    <w:p>
      <w:pPr>
        <w:pStyle w:val="DefinedTerms"/>
      </w:pPr>
      <w:r>
        <w:t>occasional licence</w:t>
      </w:r>
      <w:r>
        <w:tab/>
        <w:t>3(1)</w:t>
      </w:r>
    </w:p>
    <w:p>
      <w:pPr>
        <w:pStyle w:val="DefinedTerms"/>
      </w:pPr>
      <w:r>
        <w:t>occupier</w:t>
      </w:r>
      <w:r>
        <w:tab/>
        <w:t>152N</w:t>
      </w:r>
    </w:p>
    <w:p>
      <w:pPr>
        <w:pStyle w:val="DefinedTerms"/>
      </w:pPr>
      <w:r>
        <w:t>officer</w:t>
      </w:r>
      <w:r>
        <w:tab/>
        <w:t>164(2)</w:t>
      </w:r>
    </w:p>
    <w:p>
      <w:pPr>
        <w:pStyle w:val="DefinedTerms"/>
      </w:pPr>
      <w:r>
        <w:t xml:space="preserve">old licence </w:t>
      </w:r>
      <w:r>
        <w:tab/>
        <w:t>Sch. 1C cl. 2(1)</w:t>
      </w:r>
    </w:p>
    <w:p>
      <w:pPr>
        <w:pStyle w:val="DefinedTerms"/>
      </w:pPr>
      <w:r>
        <w:t>old section 35B</w:t>
      </w:r>
      <w:r>
        <w:tab/>
        <w:t>Sch. 1B cl. 1</w:t>
      </w:r>
    </w:p>
    <w:p>
      <w:pPr>
        <w:pStyle w:val="DefinedTerms"/>
      </w:pPr>
      <w:r>
        <w:t>owner</w:t>
      </w:r>
      <w:r>
        <w:tab/>
        <w:t>3(1)</w:t>
      </w:r>
    </w:p>
    <w:p>
      <w:pPr>
        <w:pStyle w:val="DefinedTerms"/>
      </w:pPr>
      <w:r>
        <w:t>packaged liquor</w:t>
      </w:r>
      <w:r>
        <w:tab/>
        <w:t>3(1), 59A(1)</w:t>
      </w:r>
    </w:p>
    <w:p>
      <w:pPr>
        <w:pStyle w:val="DefinedTerms"/>
      </w:pPr>
      <w:r>
        <w:t>packaged liquor licence</w:t>
      </w:r>
      <w:r>
        <w:tab/>
        <w:t>59A(1)</w:t>
      </w:r>
    </w:p>
    <w:p>
      <w:pPr>
        <w:pStyle w:val="DefinedTerms"/>
      </w:pPr>
      <w:r>
        <w:t>packaged liquor outlet</w:t>
      </w:r>
      <w:r>
        <w:tab/>
        <w:t>36A(1)</w:t>
      </w:r>
    </w:p>
    <w:p>
      <w:pPr>
        <w:pStyle w:val="DefinedTerms"/>
      </w:pPr>
      <w:r>
        <w:t>packaged liquor premises</w:t>
      </w:r>
      <w:r>
        <w:tab/>
        <w:t>36B(1), 77A(1)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petrol station</w:t>
      </w:r>
      <w:r>
        <w:tab/>
        <w:t>36A(1), 65A(1)</w:t>
      </w:r>
    </w:p>
    <w:p>
      <w:pPr>
        <w:pStyle w:val="DefinedTerms"/>
      </w:pPr>
      <w:r>
        <w:t>premises</w:t>
      </w:r>
      <w:r>
        <w:tab/>
        <w:t>3(1)</w:t>
      </w:r>
    </w:p>
    <w:p>
      <w:pPr>
        <w:pStyle w:val="DefinedTerms"/>
      </w:pPr>
      <w:r>
        <w:t>prescribed</w:t>
      </w:r>
      <w:r>
        <w:tab/>
        <w:t>3(1)</w:t>
      </w:r>
    </w:p>
    <w:p>
      <w:pPr>
        <w:pStyle w:val="DefinedTerms"/>
      </w:pPr>
      <w:r>
        <w:t>prescribed area</w:t>
      </w:r>
      <w:r>
        <w:tab/>
        <w:t>36B(1), 77A(1)</w:t>
      </w:r>
    </w:p>
    <w:p>
      <w:pPr>
        <w:pStyle w:val="DefinedTerms"/>
      </w:pPr>
      <w:r>
        <w:t xml:space="preserve">prescribed distance </w:t>
      </w:r>
      <w:r>
        <w:tab/>
        <w:t>36B(1)</w:t>
      </w:r>
    </w:p>
    <w:p>
      <w:pPr>
        <w:pStyle w:val="DefinedTerms"/>
      </w:pPr>
      <w:r>
        <w:t>prescribed distance</w:t>
      </w:r>
      <w:r>
        <w:tab/>
        <w:t>77A(1)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proposed licensed premises</w:t>
      </w:r>
      <w:r>
        <w:tab/>
        <w:t>36B(1)</w:t>
      </w:r>
    </w:p>
    <w:p>
      <w:pPr>
        <w:pStyle w:val="DefinedTerms"/>
      </w:pPr>
      <w:r>
        <w:t>proprietary company</w:t>
      </w:r>
      <w:r>
        <w:tab/>
        <w:t>3(1)</w:t>
      </w:r>
    </w:p>
    <w:p>
      <w:pPr>
        <w:pStyle w:val="DefinedTerms"/>
      </w:pPr>
      <w:r>
        <w:t>protection order</w:t>
      </w:r>
      <w:r>
        <w:tab/>
        <w:t>3(1), 87(1)</w:t>
      </w:r>
    </w:p>
    <w:p>
      <w:pPr>
        <w:pStyle w:val="DefinedTerms"/>
      </w:pPr>
      <w:r>
        <w:t>public body</w:t>
      </w:r>
      <w:r>
        <w:tab/>
        <w:t>37(1A)</w:t>
      </w:r>
    </w:p>
    <w:p>
      <w:pPr>
        <w:pStyle w:val="DefinedTerms"/>
      </w:pPr>
      <w:r>
        <w:t>public event</w:t>
      </w:r>
      <w:r>
        <w:tab/>
        <w:t>110(4B)</w:t>
      </w:r>
    </w:p>
    <w:p>
      <w:pPr>
        <w:pStyle w:val="DefinedTerms"/>
      </w:pPr>
      <w:r>
        <w:lastRenderedPageBreak/>
        <w:t>purchaser</w:t>
      </w:r>
      <w:r>
        <w:tab/>
        <w:t>110(6A)</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Register</w:t>
      </w:r>
      <w:r>
        <w:tab/>
        <w:t>103AA(1)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liquor</w:t>
      </w:r>
      <w:r>
        <w:tab/>
        <w:t>57(1)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pPr>
      <w:r>
        <w:t>removal</w:t>
      </w:r>
      <w:r>
        <w:tab/>
        <w:t>3(1)</w:t>
      </w:r>
    </w:p>
    <w:p>
      <w:pPr>
        <w:pStyle w:val="DefinedTerms"/>
      </w:pPr>
      <w:r>
        <w:t>repealed Act</w:t>
      </w:r>
      <w:r>
        <w:tab/>
        <w:t>Sch. 1 cl. 1(1)</w:t>
      </w:r>
    </w:p>
    <w:p>
      <w:pPr>
        <w:pStyle w:val="DefinedTerms"/>
      </w:pPr>
      <w:r>
        <w:t>responsible person</w:t>
      </w:r>
      <w:r>
        <w:tab/>
        <w:t>3(1)</w:t>
      </w:r>
    </w:p>
    <w:p>
      <w:pPr>
        <w:pStyle w:val="DefinedTerms"/>
      </w:pPr>
      <w:r>
        <w:t>restaurant</w:t>
      </w:r>
      <w:r>
        <w:tab/>
        <w:t>3(1)</w:t>
      </w:r>
    </w:p>
    <w:p>
      <w:pPr>
        <w:pStyle w:val="DefinedTerms"/>
      </w:pPr>
      <w:r>
        <w:t>restaurant licence</w:t>
      </w:r>
      <w:r>
        <w:tab/>
        <w:t>3(1)</w:t>
      </w:r>
    </w:p>
    <w:p>
      <w:pPr>
        <w:pStyle w:val="DefinedTerms"/>
      </w:pPr>
      <w:r>
        <w:t>retail section</w:t>
      </w:r>
      <w:r>
        <w:tab/>
        <w:t>36B(1), 77A(1)</w:t>
      </w:r>
    </w:p>
    <w:p>
      <w:pPr>
        <w:pStyle w:val="DefinedTerms"/>
      </w:pPr>
      <w:r>
        <w:t>sample</w:t>
      </w:r>
      <w:r>
        <w:tab/>
        <w:t>3(1)</w:t>
      </w:r>
    </w:p>
    <w:p>
      <w:pPr>
        <w:pStyle w:val="DefinedTerms"/>
      </w:pPr>
      <w:r>
        <w:t>Secretary</w:t>
      </w:r>
      <w:r>
        <w:tab/>
        <w:t>3(1)</w:t>
      </w:r>
    </w:p>
    <w:p>
      <w:pPr>
        <w:pStyle w:val="DefinedTerms"/>
      </w:pPr>
      <w:r>
        <w:t>secure webpage</w:t>
      </w:r>
      <w:r>
        <w:tab/>
        <w:t>115AC(1A)</w:t>
      </w:r>
    </w:p>
    <w:p>
      <w:pPr>
        <w:pStyle w:val="DefinedTerms"/>
      </w:pPr>
      <w:r>
        <w:t>seizable quantity</w:t>
      </w:r>
      <w:r>
        <w:tab/>
        <w:t>155(5C)</w:t>
      </w:r>
    </w:p>
    <w:p>
      <w:pPr>
        <w:pStyle w:val="DefinedTerms"/>
      </w:pPr>
      <w:r>
        <w:t>sell</w:t>
      </w:r>
      <w:r>
        <w:tab/>
        <w:t>3(1)</w:t>
      </w:r>
    </w:p>
    <w:p>
      <w:pPr>
        <w:pStyle w:val="DefinedTerms"/>
      </w:pPr>
      <w:r>
        <w:t>seller</w:t>
      </w:r>
      <w:r>
        <w:tab/>
        <w:t>109(4A)</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small restaurant licence</w:t>
      </w:r>
      <w:r>
        <w:tab/>
        <w:t>Sch. 1C cl. 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spirits</w:t>
      </w:r>
      <w:r>
        <w:tab/>
        <w:t>3(1)</w:t>
      </w:r>
    </w:p>
    <w:p>
      <w:pPr>
        <w:pStyle w:val="DefinedTerms"/>
      </w:pPr>
      <w:r>
        <w:t>sports arena</w:t>
      </w:r>
      <w:r>
        <w:tab/>
        <w:t>110(4B)</w:t>
      </w:r>
    </w:p>
    <w:p>
      <w:pPr>
        <w:pStyle w:val="DefinedTerms"/>
      </w:pPr>
      <w:r>
        <w:t>State Branch Headquarters</w:t>
      </w:r>
      <w:r>
        <w:tab/>
        <w:t>Sch. 2 cl. 1</w:t>
      </w:r>
    </w:p>
    <w:p>
      <w:pPr>
        <w:pStyle w:val="DefinedTerms"/>
      </w:pPr>
      <w:r>
        <w:t>State Executive</w:t>
      </w:r>
      <w:r>
        <w:tab/>
        <w:t>Sch. 2 cl. 1</w:t>
      </w:r>
    </w:p>
    <w:p>
      <w:pPr>
        <w:pStyle w:val="DefinedTerms"/>
      </w:pPr>
      <w:r>
        <w:t>submission</w:t>
      </w:r>
      <w:r>
        <w:tab/>
        <w:t>72A(1)</w:t>
      </w:r>
    </w:p>
    <w:p>
      <w:pPr>
        <w:pStyle w:val="DefinedTerms"/>
      </w:pPr>
      <w:r>
        <w:t>subsidy</w:t>
      </w:r>
      <w:r>
        <w:tab/>
        <w:t>3(1)</w:t>
      </w:r>
    </w:p>
    <w:p>
      <w:pPr>
        <w:pStyle w:val="DefinedTerms"/>
      </w:pPr>
      <w:r>
        <w:t>substance</w:t>
      </w:r>
      <w:r>
        <w:tab/>
        <w:t>3(1)</w:t>
      </w:r>
    </w:p>
    <w:p>
      <w:pPr>
        <w:pStyle w:val="DefinedTerms"/>
      </w:pPr>
      <w:r>
        <w:t>supplier</w:t>
      </w:r>
      <w:r>
        <w:tab/>
        <w:t>59A(2)</w:t>
      </w:r>
    </w:p>
    <w:p>
      <w:pPr>
        <w:pStyle w:val="DefinedTerms"/>
      </w:pPr>
      <w:r>
        <w:t>tavern licence</w:t>
      </w:r>
      <w:r>
        <w:tab/>
        <w:t>3(1)</w:t>
      </w:r>
    </w:p>
    <w:p>
      <w:pPr>
        <w:pStyle w:val="DefinedTerms"/>
      </w:pPr>
      <w:r>
        <w:t>tavern restricted licence</w:t>
      </w:r>
      <w:r>
        <w:tab/>
        <w:t>3(1)</w:t>
      </w:r>
    </w:p>
    <w:p>
      <w:pPr>
        <w:pStyle w:val="DefinedTerms"/>
      </w:pPr>
      <w:r>
        <w:t>the required day</w:t>
      </w:r>
      <w:r>
        <w:tab/>
        <w:t>62(4)</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lastRenderedPageBreak/>
        <w:t>transitioned approval</w:t>
      </w:r>
      <w:r>
        <w:tab/>
        <w:t>Sch. 1B cl. 3(1)</w:t>
      </w:r>
    </w:p>
    <w:p>
      <w:pPr>
        <w:pStyle w:val="DefinedTerms"/>
      </w:pPr>
      <w:r>
        <w:t>Tribunal</w:t>
      </w:r>
      <w:r>
        <w:tab/>
        <w:t>25A(1)</w:t>
      </w:r>
    </w:p>
    <w:p>
      <w:pPr>
        <w:pStyle w:val="DefinedTerms"/>
      </w:pPr>
      <w:r>
        <w:t>trustee</w:t>
      </w:r>
      <w:r>
        <w:tab/>
        <w:t>3(1)</w:t>
      </w:r>
    </w:p>
    <w:p>
      <w:pPr>
        <w:pStyle w:val="DefinedTerms"/>
      </w:pPr>
      <w:r>
        <w:t>vehicle</w:t>
      </w:r>
      <w:r>
        <w:tab/>
        <w:t>3(1), 109A(1)</w:t>
      </w:r>
    </w:p>
    <w:p>
      <w:pPr>
        <w:pStyle w:val="DefinedTerms"/>
      </w:pPr>
      <w:r>
        <w:t>visitor</w:t>
      </w:r>
      <w:r>
        <w:tab/>
        <w:t>48(2B)</w:t>
      </w:r>
    </w:p>
    <w:p>
      <w:pPr>
        <w:pStyle w:val="DefinedTerms"/>
      </w:pPr>
      <w:r>
        <w:t>wholesaler</w:t>
      </w:r>
      <w:r>
        <w:tab/>
        <w:t>129</w:t>
      </w:r>
    </w:p>
    <w:p>
      <w:pPr>
        <w:pStyle w:val="DefinedTerms"/>
      </w:pPr>
      <w:r>
        <w:t>wholesaler’s licence</w:t>
      </w:r>
      <w:r>
        <w:tab/>
        <w:t>3(1)</w:t>
      </w:r>
    </w:p>
    <w:p>
      <w:pPr>
        <w:pStyle w:val="DefinedTerms"/>
      </w:pPr>
      <w:r>
        <w:t>wine</w:t>
      </w:r>
      <w:r>
        <w:tab/>
        <w:t>3(1)</w:t>
      </w:r>
    </w:p>
    <w:p>
      <w:pPr>
        <w:pStyle w:val="DefinedTerms"/>
      </w:pPr>
      <w:r>
        <w:t>wine producing region</w:t>
      </w:r>
      <w:r>
        <w:tab/>
        <w:t>61A(1)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2022</w:t>
    </w:r>
    <w:r>
      <w:rPr>
        <w:sz w:val="20"/>
      </w:rPr>
      <w:fldChar w:fldCharType="end"/>
    </w:r>
  </w:p>
  <w:p>
    <w:pPr>
      <w:pStyle w:val="Footer"/>
      <w:tabs>
        <w:tab w:val="center" w:pos="3600"/>
      </w:tabs>
      <w:rPr>
        <w:sz w:val="16"/>
      </w:rPr>
    </w:pPr>
    <w:r>
      <w:rPr>
        <w:sz w:val="16"/>
      </w:rPr>
      <w:tab/>
      <w:t>Published on www.legislation.wa.gov.au</w:t>
    </w:r>
  </w:p>
  <w:p>
    <w:pPr>
      <w:pStyle w:val="Footer"/>
      <w:tabs>
        <w:tab w:val="center" w:pos="3600"/>
      </w:tabs>
      <w:rPr>
        <w:sz w:val="16"/>
      </w:rPr>
    </w:pPr>
  </w:p>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374" w:name="Schedule"/>
    <w:bookmarkEnd w:id="3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60" w:type="dxa"/>
        </w:tcPr>
        <w:p>
          <w:pPr>
            <w:pStyle w:val="Header"/>
            <w:spacing w:before="40"/>
            <w:jc w:val="right"/>
          </w:pPr>
          <w:r>
            <w:fldChar w:fldCharType="begin"/>
          </w:r>
          <w:r>
            <w:instrText xml:space="preserve"> styleref CharSDivText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trPr>
        <w:cantSplit/>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40" w:name="Compilation"/>
    <w:bookmarkEnd w:id="44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43" w:name="DefinedTerms"/>
    <w:bookmarkEnd w:id="44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4" w:name="Coversheet"/>
    <w:bookmarkEnd w:id="4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4F80A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E03B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28A5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3887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32C67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124112905"/>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 w:name="WAFER_20180920150641" w:val="RemoveTocBookmarks,RemoveUnusedBookmarks,RemoveLanguageTags,UsedStyles,ResetPageSize"/>
    <w:docVar w:name="WAFER_20180920150641_GUID" w:val="543c4eab-d763-417b-9a78-9c19e133e1f4"/>
    <w:docVar w:name="WAFER_202002131324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2400_GUID" w:val="ce220b70-39db-41d7-b7b9-aa45c43e47a9"/>
    <w:docVar w:name="WAFER_2021091613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31125_GUID" w:val="90ee5332-1a02-4df1-bc90-bafb58b9d1ae"/>
    <w:docVar w:name="WAFER_202112011206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20614_GUID" w:val="73829c1f-5c27-496e-9181-cca6affaa125"/>
    <w:docVar w:name="WAFER_20220124112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905_GUID" w:val="2ef573a7-3462-4d24-81f3-0b16f17a06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shapelayout>
  </w:shapeDefaults>
  <w:decimalSymbol w:val="."/>
  <w:listSeparator w:val=","/>
  <w15:docId w15:val="{F859DD8A-E9C5-44B0-A898-A5994FEF6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C0E79E-A360-41F5-B516-699ADF0A7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92767</Words>
  <Characters>437861</Characters>
  <Application>Microsoft Office Word</Application>
  <DocSecurity>0</DocSecurity>
  <Lines>11522</Lines>
  <Paragraphs>6471</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524157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1988 - 08-n0-00</dc:title>
  <dc:subject/>
  <dc:creator/>
  <cp:keywords/>
  <dc:description/>
  <cp:lastModifiedBy>Master Repository Process</cp:lastModifiedBy>
  <cp:revision>4</cp:revision>
  <cp:lastPrinted>2018-08-17T03:42:00Z</cp:lastPrinted>
  <dcterms:created xsi:type="dcterms:W3CDTF">2022-01-28T02:03:00Z</dcterms:created>
  <dcterms:modified xsi:type="dcterms:W3CDTF">2022-01-28T02:03:00Z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AsAtDate">
    <vt:lpwstr>01 Feb 2022</vt:lpwstr>
  </property>
  <property fmtid="{D5CDD505-2E9C-101B-9397-08002B2CF9AE}" pid="9" name="Suffix">
    <vt:lpwstr>08-n0-00</vt:lpwstr>
  </property>
  <property fmtid="{D5CDD505-2E9C-101B-9397-08002B2CF9AE}" pid="10" name="CommencementDate">
    <vt:lpwstr>20220201</vt:lpwstr>
  </property>
</Properties>
</file>