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rPr>
          <w:szCs w:val="34"/>
        </w:rPr>
      </w:pPr>
      <w:r>
        <w:rPr>
          <w:szCs w:val="34"/>
        </w:rPr>
        <w:fldChar w:fldCharType="begin"/>
      </w:r>
      <w:r>
        <w:rPr>
          <w:szCs w:val="34"/>
        </w:rPr>
        <w:instrText xml:space="preserve"> STYLEREF "Name Of Act/Reg"</w:instrText>
      </w:r>
      <w:r>
        <w:rPr>
          <w:szCs w:val="34"/>
        </w:rPr>
        <w:fldChar w:fldCharType="separate"/>
      </w:r>
      <w:r>
        <w:rPr>
          <w:noProof/>
          <w:szCs w:val="34"/>
        </w:rPr>
        <w:t>First Home Owner Grant Act 2000</w:t>
      </w:r>
      <w:r>
        <w:rPr>
          <w:szCs w:val="34"/>
        </w:rP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_Toc96086267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_Toc96086268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_Toc96086269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home</w:t>
      </w:r>
      <w:r>
        <w:tab/>
      </w:r>
      <w:r>
        <w:fldChar w:fldCharType="begin"/>
      </w:r>
      <w:r>
        <w:instrText xml:space="preserve"> PAGEREF _Toc96086270 \h </w:instrText>
      </w:r>
      <w:r>
        <w:fldChar w:fldCharType="separate"/>
      </w:r>
      <w:r>
        <w:t>6</w:t>
      </w:r>
      <w:r>
        <w:fldChar w:fldCharType="end"/>
      </w:r>
    </w:p>
    <w:p>
      <w:pPr>
        <w:pStyle w:val="TOC8"/>
        <w:rPr>
          <w:rFonts w:asciiTheme="minorHAnsi" w:eastAsiaTheme="minorEastAsia" w:hAnsiTheme="minorHAnsi" w:cstheme="minorBidi"/>
          <w:szCs w:val="22"/>
        </w:rPr>
      </w:pPr>
      <w:r>
        <w:t>5.</w:t>
      </w:r>
      <w:r>
        <w:tab/>
        <w:t>Terms used: owner, home owner</w:t>
      </w:r>
      <w:r>
        <w:tab/>
      </w:r>
      <w:r>
        <w:fldChar w:fldCharType="begin"/>
      </w:r>
      <w:r>
        <w:instrText xml:space="preserve"> PAGEREF _Toc96086271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relevant interest</w:t>
      </w:r>
      <w:r>
        <w:tab/>
      </w:r>
      <w:r>
        <w:fldChar w:fldCharType="begin"/>
      </w:r>
      <w:r>
        <w:instrText xml:space="preserve"> PAGEREF _Toc96086272 \h </w:instrText>
      </w:r>
      <w:r>
        <w:fldChar w:fldCharType="separate"/>
      </w:r>
      <w:r>
        <w:t>7</w:t>
      </w:r>
      <w:r>
        <w:fldChar w:fldCharType="end"/>
      </w:r>
    </w:p>
    <w:p>
      <w:pPr>
        <w:pStyle w:val="TOC8"/>
        <w:rPr>
          <w:rFonts w:asciiTheme="minorHAnsi" w:eastAsiaTheme="minorEastAsia" w:hAnsiTheme="minorHAnsi" w:cstheme="minorBidi"/>
          <w:szCs w:val="22"/>
        </w:rPr>
      </w:pPr>
      <w:r>
        <w:t>7.</w:t>
      </w:r>
      <w:r>
        <w:tab/>
        <w:t>Term used: spouse</w:t>
      </w:r>
      <w:r>
        <w:tab/>
      </w:r>
      <w:r>
        <w:fldChar w:fldCharType="begin"/>
      </w:r>
      <w:r>
        <w:instrText xml:space="preserve"> PAGEREF _Toc96086273 \h </w:instrText>
      </w:r>
      <w:r>
        <w:fldChar w:fldCharType="separate"/>
      </w:r>
      <w:r>
        <w:t>8</w:t>
      </w:r>
      <w:r>
        <w:fldChar w:fldCharType="end"/>
      </w:r>
    </w:p>
    <w:p>
      <w:pPr>
        <w:pStyle w:val="TOC8"/>
        <w:rPr>
          <w:rFonts w:asciiTheme="minorHAnsi" w:eastAsiaTheme="minorEastAsia" w:hAnsiTheme="minorHAnsi" w:cstheme="minorBidi"/>
          <w:szCs w:val="22"/>
        </w:rPr>
      </w:pPr>
      <w:r>
        <w:t>7A.</w:t>
      </w:r>
      <w:r>
        <w:tab/>
        <w:t>Term used: Australian citizen</w:t>
      </w:r>
      <w:r>
        <w:tab/>
      </w:r>
      <w:r>
        <w:fldChar w:fldCharType="begin"/>
      </w:r>
      <w:r>
        <w:instrText xml:space="preserve"> PAGEREF _Toc96086274 \h </w:instrText>
      </w:r>
      <w:r>
        <w:fldChar w:fldCharType="separate"/>
      </w:r>
      <w:r>
        <w:t>9</w:t>
      </w:r>
      <w:r>
        <w:fldChar w:fldCharType="end"/>
      </w:r>
    </w:p>
    <w:p>
      <w:pPr>
        <w:pStyle w:val="TOC8"/>
        <w:rPr>
          <w:rFonts w:asciiTheme="minorHAnsi" w:eastAsiaTheme="minorEastAsia" w:hAnsiTheme="minorHAnsi" w:cstheme="minorBidi"/>
          <w:szCs w:val="22"/>
        </w:rPr>
      </w:pPr>
      <w:r>
        <w:t>7B.</w:t>
      </w:r>
      <w:r>
        <w:tab/>
        <w:t>Term used: permanent resident</w:t>
      </w:r>
      <w:r>
        <w:tab/>
      </w:r>
      <w:r>
        <w:fldChar w:fldCharType="begin"/>
      </w:r>
      <w:r>
        <w:instrText xml:space="preserve"> PAGEREF _Toc96086275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First home owner grant</w:t>
      </w:r>
    </w:p>
    <w:p>
      <w:pPr>
        <w:pStyle w:val="TOC4"/>
        <w:tabs>
          <w:tab w:val="right" w:leader="dot" w:pos="7077"/>
        </w:tabs>
        <w:rPr>
          <w:rFonts w:asciiTheme="minorHAnsi" w:eastAsiaTheme="minorEastAsia" w:hAnsiTheme="minorHAnsi" w:cstheme="minorBidi"/>
          <w:b w:val="0"/>
          <w:szCs w:val="22"/>
        </w:rPr>
      </w:pPr>
      <w:r>
        <w:t>Division 1 — Entitlement to grant</w:t>
      </w:r>
    </w:p>
    <w:p>
      <w:pPr>
        <w:pStyle w:val="TOC8"/>
        <w:rPr>
          <w:rFonts w:asciiTheme="minorHAnsi" w:eastAsiaTheme="minorEastAsia" w:hAnsiTheme="minorHAnsi" w:cstheme="minorBidi"/>
          <w:szCs w:val="22"/>
        </w:rPr>
      </w:pPr>
      <w:r>
        <w:t>8.</w:t>
      </w:r>
      <w:r>
        <w:tab/>
        <w:t>Entitlement to grant</w:t>
      </w:r>
      <w:r>
        <w:tab/>
      </w:r>
      <w:r>
        <w:fldChar w:fldCharType="begin"/>
      </w:r>
      <w:r>
        <w:instrText xml:space="preserve"> PAGEREF _Toc96086278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Eligibility criteria (applicants)</w:t>
      </w:r>
    </w:p>
    <w:p>
      <w:pPr>
        <w:pStyle w:val="TOC8"/>
        <w:rPr>
          <w:rFonts w:asciiTheme="minorHAnsi" w:eastAsiaTheme="minorEastAsia" w:hAnsiTheme="minorHAnsi" w:cstheme="minorBidi"/>
          <w:szCs w:val="22"/>
        </w:rPr>
      </w:pPr>
      <w:r>
        <w:t>9</w:t>
      </w:r>
      <w:r>
        <w:rPr>
          <w:snapToGrid w:val="0"/>
        </w:rPr>
        <w:t>.</w:t>
      </w:r>
      <w:r>
        <w:rPr>
          <w:snapToGrid w:val="0"/>
        </w:rPr>
        <w:tab/>
        <w:t>Criterion 1 — applicant to be a natural person</w:t>
      </w:r>
      <w:r>
        <w:tab/>
      </w:r>
      <w:r>
        <w:fldChar w:fldCharType="begin"/>
      </w:r>
      <w:r>
        <w:instrText xml:space="preserve"> PAGEREF _Toc96086280 \h </w:instrText>
      </w:r>
      <w:r>
        <w:fldChar w:fldCharType="separate"/>
      </w:r>
      <w:r>
        <w:t>11</w:t>
      </w:r>
      <w:r>
        <w:fldChar w:fldCharType="end"/>
      </w:r>
    </w:p>
    <w:p>
      <w:pPr>
        <w:pStyle w:val="TOC8"/>
        <w:rPr>
          <w:rFonts w:asciiTheme="minorHAnsi" w:eastAsiaTheme="minorEastAsia" w:hAnsiTheme="minorHAnsi" w:cstheme="minorBidi"/>
          <w:szCs w:val="22"/>
        </w:rPr>
      </w:pPr>
      <w:r>
        <w:t>9A.</w:t>
      </w:r>
      <w:r>
        <w:tab/>
        <w:t>Criterion 1A — applicant to be at least 18 years of age</w:t>
      </w:r>
      <w:r>
        <w:tab/>
      </w:r>
      <w:r>
        <w:fldChar w:fldCharType="begin"/>
      </w:r>
      <w:r>
        <w:instrText xml:space="preserve"> PAGEREF _Toc96086281 \h </w:instrText>
      </w:r>
      <w:r>
        <w:fldChar w:fldCharType="separate"/>
      </w:r>
      <w:r>
        <w:t>11</w:t>
      </w:r>
      <w:r>
        <w:fldChar w:fldCharType="end"/>
      </w:r>
    </w:p>
    <w:p>
      <w:pPr>
        <w:pStyle w:val="TOC8"/>
        <w:rPr>
          <w:rFonts w:asciiTheme="minorHAnsi" w:eastAsiaTheme="minorEastAsia" w:hAnsiTheme="minorHAnsi" w:cstheme="minorBidi"/>
          <w:szCs w:val="22"/>
        </w:rPr>
      </w:pPr>
      <w:r>
        <w:t>10.</w:t>
      </w:r>
      <w:r>
        <w:tab/>
        <w:t>Criterion 2 — applicant to be Australian citizen or permanent resident</w:t>
      </w:r>
      <w:r>
        <w:tab/>
      </w:r>
      <w:r>
        <w:fldChar w:fldCharType="begin"/>
      </w:r>
      <w:r>
        <w:instrText xml:space="preserve"> PAGEREF _Toc96086282 \h </w:instrText>
      </w:r>
      <w:r>
        <w:fldChar w:fldCharType="separate"/>
      </w:r>
      <w:r>
        <w:t>12</w:t>
      </w:r>
      <w:r>
        <w:fldChar w:fldCharType="end"/>
      </w:r>
    </w:p>
    <w:p>
      <w:pPr>
        <w:pStyle w:val="TOC8"/>
        <w:rPr>
          <w:rFonts w:asciiTheme="minorHAnsi" w:eastAsiaTheme="minorEastAsia" w:hAnsiTheme="minorHAnsi" w:cstheme="minorBidi"/>
          <w:szCs w:val="22"/>
        </w:rPr>
      </w:pPr>
      <w:r>
        <w:t>11.</w:t>
      </w:r>
      <w:r>
        <w:tab/>
        <w:t>Criterion 3 — except in certain circumstances, applicant or applicant’s spouse or de facto partner must not have received another grant</w:t>
      </w:r>
      <w:r>
        <w:tab/>
      </w:r>
      <w:r>
        <w:fldChar w:fldCharType="begin"/>
      </w:r>
      <w:r>
        <w:instrText xml:space="preserve"> PAGEREF _Toc96086283 \h </w:instrText>
      </w:r>
      <w:r>
        <w:fldChar w:fldCharType="separate"/>
      </w:r>
      <w:r>
        <w:t>12</w:t>
      </w:r>
      <w:r>
        <w:fldChar w:fldCharType="end"/>
      </w:r>
    </w:p>
    <w:p>
      <w:pPr>
        <w:pStyle w:val="TOC8"/>
        <w:rPr>
          <w:rFonts w:asciiTheme="minorHAnsi" w:eastAsiaTheme="minorEastAsia" w:hAnsiTheme="minorHAnsi" w:cstheme="minorBidi"/>
          <w:szCs w:val="22"/>
        </w:rPr>
      </w:pPr>
      <w:r>
        <w:t>12.</w:t>
      </w:r>
      <w:r>
        <w:tab/>
        <w:t>Criterion 4 — applicant or applicant’s spouse or de facto partner must not have had relevant interest in residential property</w:t>
      </w:r>
      <w:r>
        <w:tab/>
      </w:r>
      <w:r>
        <w:fldChar w:fldCharType="begin"/>
      </w:r>
      <w:r>
        <w:instrText xml:space="preserve"> PAGEREF _Toc96086284 \h </w:instrText>
      </w:r>
      <w:r>
        <w:fldChar w:fldCharType="separate"/>
      </w:r>
      <w:r>
        <w:t>13</w:t>
      </w:r>
      <w:r>
        <w:fldChar w:fldCharType="end"/>
      </w:r>
    </w:p>
    <w:p>
      <w:pPr>
        <w:pStyle w:val="TOC8"/>
        <w:rPr>
          <w:rFonts w:asciiTheme="minorHAnsi" w:eastAsiaTheme="minorEastAsia" w:hAnsiTheme="minorHAnsi" w:cstheme="minorBidi"/>
          <w:szCs w:val="22"/>
        </w:rPr>
      </w:pPr>
      <w:r>
        <w:t>13.</w:t>
      </w:r>
      <w:r>
        <w:tab/>
        <w:t>Criterion 5 — residence requirements</w:t>
      </w:r>
      <w:r>
        <w:tab/>
      </w:r>
      <w:r>
        <w:fldChar w:fldCharType="begin"/>
      </w:r>
      <w:r>
        <w:instrText xml:space="preserve"> PAGEREF _Toc96086285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13A.</w:t>
      </w:r>
      <w:r>
        <w:tab/>
        <w:t>Criterion 6 — applicant must not have been convicted of an offence under this Act</w:t>
      </w:r>
      <w:r>
        <w:tab/>
      </w:r>
      <w:r>
        <w:fldChar w:fldCharType="begin"/>
      </w:r>
      <w:r>
        <w:instrText xml:space="preserve"> PAGEREF _Toc96086286 \h </w:instrText>
      </w:r>
      <w:r>
        <w:fldChar w:fldCharType="separate"/>
      </w:r>
      <w:r>
        <w:t>16</w:t>
      </w:r>
      <w:r>
        <w:fldChar w:fldCharType="end"/>
      </w:r>
    </w:p>
    <w:p>
      <w:pPr>
        <w:pStyle w:val="TOC8"/>
        <w:rPr>
          <w:rFonts w:asciiTheme="minorHAnsi" w:eastAsiaTheme="minorEastAsia" w:hAnsiTheme="minorHAnsi" w:cstheme="minorBidi"/>
          <w:szCs w:val="22"/>
        </w:rPr>
      </w:pPr>
      <w:r>
        <w:t>13B.</w:t>
      </w:r>
      <w:r>
        <w:tab/>
        <w:t>Criterion 7 — applicant must not hold relevant interest as trustee</w:t>
      </w:r>
      <w:r>
        <w:tab/>
      </w:r>
      <w:r>
        <w:fldChar w:fldCharType="begin"/>
      </w:r>
      <w:r>
        <w:instrText xml:space="preserve"> PAGEREF _Toc96086287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Eligible transactions</w:t>
      </w:r>
    </w:p>
    <w:p>
      <w:pPr>
        <w:pStyle w:val="TOC6"/>
        <w:tabs>
          <w:tab w:val="right" w:leader="dot" w:pos="7077"/>
        </w:tabs>
        <w:rPr>
          <w:rFonts w:asciiTheme="minorHAnsi" w:eastAsiaTheme="minorEastAsia" w:hAnsiTheme="minorHAnsi" w:cstheme="minorBidi"/>
          <w:b w:val="0"/>
          <w:sz w:val="22"/>
          <w:szCs w:val="22"/>
        </w:rPr>
      </w:pPr>
      <w:r>
        <w:t>Subdivision 1 — Eligible transactions</w:t>
      </w:r>
    </w:p>
    <w:p>
      <w:pPr>
        <w:pStyle w:val="TOC8"/>
        <w:rPr>
          <w:rFonts w:asciiTheme="minorHAnsi" w:eastAsiaTheme="minorEastAsia" w:hAnsiTheme="minorHAnsi" w:cstheme="minorBidi"/>
          <w:szCs w:val="22"/>
        </w:rPr>
      </w:pPr>
      <w:r>
        <w:t>14.</w:t>
      </w:r>
      <w:r>
        <w:tab/>
        <w:t>Eligible transaction</w:t>
      </w:r>
      <w:r>
        <w:tab/>
      </w:r>
      <w:r>
        <w:fldChar w:fldCharType="begin"/>
      </w:r>
      <w:r>
        <w:instrText xml:space="preserve"> PAGEREF _Toc96086290 \h </w:instrText>
      </w:r>
      <w:r>
        <w:fldChar w:fldCharType="separate"/>
      </w:r>
      <w:r>
        <w:t>16</w:t>
      </w:r>
      <w:r>
        <w:fldChar w:fldCharType="end"/>
      </w:r>
    </w:p>
    <w:p>
      <w:pPr>
        <w:pStyle w:val="TOC8"/>
        <w:rPr>
          <w:rFonts w:asciiTheme="minorHAnsi" w:eastAsiaTheme="minorEastAsia" w:hAnsiTheme="minorHAnsi" w:cstheme="minorBidi"/>
          <w:szCs w:val="22"/>
        </w:rPr>
      </w:pPr>
      <w:r>
        <w:t>14AA.</w:t>
      </w:r>
      <w:r>
        <w:tab/>
        <w:t>Commencement and completion of transaction</w:t>
      </w:r>
      <w:r>
        <w:tab/>
      </w:r>
      <w:r>
        <w:fldChar w:fldCharType="begin"/>
      </w:r>
      <w:r>
        <w:instrText xml:space="preserve"> PAGEREF _Toc96086291 \h </w:instrText>
      </w:r>
      <w:r>
        <w:fldChar w:fldCharType="separate"/>
      </w:r>
      <w:r>
        <w:t>18</w:t>
      </w:r>
      <w:r>
        <w:fldChar w:fldCharType="end"/>
      </w:r>
    </w:p>
    <w:p>
      <w:pPr>
        <w:pStyle w:val="TOC8"/>
        <w:rPr>
          <w:rFonts w:asciiTheme="minorHAnsi" w:eastAsiaTheme="minorEastAsia" w:hAnsiTheme="minorHAnsi" w:cstheme="minorBidi"/>
          <w:szCs w:val="22"/>
        </w:rPr>
      </w:pPr>
      <w:r>
        <w:t>14AB.</w:t>
      </w:r>
      <w:r>
        <w:tab/>
        <w:t>Term used: consideration</w:t>
      </w:r>
      <w:r>
        <w:tab/>
      </w:r>
      <w:r>
        <w:fldChar w:fldCharType="begin"/>
      </w:r>
      <w:r>
        <w:instrText xml:space="preserve"> PAGEREF _Toc96086292 \h </w:instrText>
      </w:r>
      <w:r>
        <w:fldChar w:fldCharType="separate"/>
      </w:r>
      <w:r>
        <w:t>19</w:t>
      </w:r>
      <w:r>
        <w:fldChar w:fldCharType="end"/>
      </w:r>
    </w:p>
    <w:p>
      <w:pPr>
        <w:pStyle w:val="TOC8"/>
        <w:rPr>
          <w:rFonts w:asciiTheme="minorHAnsi" w:eastAsiaTheme="minorEastAsia" w:hAnsiTheme="minorHAnsi" w:cstheme="minorBidi"/>
          <w:szCs w:val="22"/>
        </w:rPr>
      </w:pPr>
      <w:r>
        <w:t>14AC.</w:t>
      </w:r>
      <w:r>
        <w:tab/>
        <w:t>Term used: total value</w:t>
      </w:r>
      <w:r>
        <w:tab/>
      </w:r>
      <w:r>
        <w:fldChar w:fldCharType="begin"/>
      </w:r>
      <w:r>
        <w:instrText xml:space="preserve"> PAGEREF _Toc96086293 \h </w:instrText>
      </w:r>
      <w:r>
        <w:fldChar w:fldCharType="separate"/>
      </w:r>
      <w:r>
        <w:t>19</w:t>
      </w:r>
      <w:r>
        <w:fldChar w:fldCharType="end"/>
      </w:r>
    </w:p>
    <w:p>
      <w:pPr>
        <w:pStyle w:val="TOC8"/>
        <w:rPr>
          <w:rFonts w:asciiTheme="minorHAnsi" w:eastAsiaTheme="minorEastAsia" w:hAnsiTheme="minorHAnsi" w:cstheme="minorBidi"/>
          <w:szCs w:val="22"/>
        </w:rPr>
      </w:pPr>
      <w:r>
        <w:t>14AD.</w:t>
      </w:r>
      <w:r>
        <w:tab/>
        <w:t>Term used: cap amount</w:t>
      </w:r>
      <w:r>
        <w:tab/>
      </w:r>
      <w:r>
        <w:fldChar w:fldCharType="begin"/>
      </w:r>
      <w:r>
        <w:instrText xml:space="preserve"> PAGEREF _Toc96086294 \h </w:instrText>
      </w:r>
      <w:r>
        <w:fldChar w:fldCharType="separate"/>
      </w:r>
      <w:r>
        <w:t>20</w:t>
      </w:r>
      <w:r>
        <w:fldChar w:fldCharType="end"/>
      </w:r>
    </w:p>
    <w:p>
      <w:pPr>
        <w:pStyle w:val="TOC8"/>
        <w:rPr>
          <w:rFonts w:asciiTheme="minorHAnsi" w:eastAsiaTheme="minorEastAsia" w:hAnsiTheme="minorHAnsi" w:cstheme="minorBidi"/>
          <w:szCs w:val="22"/>
        </w:rPr>
      </w:pPr>
      <w:r>
        <w:t>14AE.</w:t>
      </w:r>
      <w:r>
        <w:tab/>
        <w:t>Term used: unencumbered value</w:t>
      </w:r>
      <w:r>
        <w:tab/>
      </w:r>
      <w:r>
        <w:fldChar w:fldCharType="begin"/>
      </w:r>
      <w:r>
        <w:instrText xml:space="preserve"> PAGEREF _Toc96086295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Special eligible transactions</w:t>
      </w:r>
    </w:p>
    <w:p>
      <w:pPr>
        <w:pStyle w:val="TOC8"/>
        <w:rPr>
          <w:rFonts w:asciiTheme="minorHAnsi" w:eastAsiaTheme="minorEastAsia" w:hAnsiTheme="minorHAnsi" w:cstheme="minorBidi"/>
          <w:szCs w:val="22"/>
        </w:rPr>
      </w:pPr>
      <w:r>
        <w:t>14A.</w:t>
      </w:r>
      <w:r>
        <w:tab/>
        <w:t>Terms used</w:t>
      </w:r>
      <w:r>
        <w:tab/>
      </w:r>
      <w:r>
        <w:fldChar w:fldCharType="begin"/>
      </w:r>
      <w:r>
        <w:instrText xml:space="preserve"> PAGEREF _Toc96086297 \h </w:instrText>
      </w:r>
      <w:r>
        <w:fldChar w:fldCharType="separate"/>
      </w:r>
      <w:r>
        <w:t>21</w:t>
      </w:r>
      <w:r>
        <w:fldChar w:fldCharType="end"/>
      </w:r>
    </w:p>
    <w:p>
      <w:pPr>
        <w:pStyle w:val="TOC8"/>
        <w:rPr>
          <w:rFonts w:asciiTheme="minorHAnsi" w:eastAsiaTheme="minorEastAsia" w:hAnsiTheme="minorHAnsi" w:cstheme="minorBidi"/>
          <w:szCs w:val="22"/>
        </w:rPr>
      </w:pPr>
      <w:r>
        <w:t>14B.</w:t>
      </w:r>
      <w:r>
        <w:tab/>
        <w:t>Special eligible transactions</w:t>
      </w:r>
      <w:r>
        <w:tab/>
      </w:r>
      <w:r>
        <w:fldChar w:fldCharType="begin"/>
      </w:r>
      <w:r>
        <w:instrText xml:space="preserve"> PAGEREF _Toc96086298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Application for the grant</w:t>
      </w:r>
    </w:p>
    <w:p>
      <w:pPr>
        <w:pStyle w:val="TOC8"/>
        <w:rPr>
          <w:rFonts w:asciiTheme="minorHAnsi" w:eastAsiaTheme="minorEastAsia" w:hAnsiTheme="minorHAnsi" w:cstheme="minorBidi"/>
          <w:szCs w:val="22"/>
        </w:rPr>
      </w:pPr>
      <w:r>
        <w:t>15.</w:t>
      </w:r>
      <w:r>
        <w:tab/>
        <w:t>Application for grant</w:t>
      </w:r>
      <w:r>
        <w:tab/>
      </w:r>
      <w:r>
        <w:fldChar w:fldCharType="begin"/>
      </w:r>
      <w:r>
        <w:instrText xml:space="preserve"> PAGEREF _Toc96086300 \h </w:instrText>
      </w:r>
      <w:r>
        <w:fldChar w:fldCharType="separate"/>
      </w:r>
      <w:r>
        <w:t>28</w:t>
      </w:r>
      <w:r>
        <w:fldChar w:fldCharType="end"/>
      </w:r>
    </w:p>
    <w:p>
      <w:pPr>
        <w:pStyle w:val="TOC8"/>
        <w:rPr>
          <w:rFonts w:asciiTheme="minorHAnsi" w:eastAsiaTheme="minorEastAsia" w:hAnsiTheme="minorHAnsi" w:cstheme="minorBidi"/>
          <w:szCs w:val="22"/>
        </w:rPr>
      </w:pPr>
      <w:r>
        <w:t>16.</w:t>
      </w:r>
      <w:r>
        <w:tab/>
        <w:t>Interested persons</w:t>
      </w:r>
      <w:r>
        <w:tab/>
      </w:r>
      <w:r>
        <w:fldChar w:fldCharType="begin"/>
      </w:r>
      <w:r>
        <w:instrText xml:space="preserve"> PAGEREF _Toc96086301 \h </w:instrText>
      </w:r>
      <w:r>
        <w:fldChar w:fldCharType="separate"/>
      </w:r>
      <w:r>
        <w:t>28</w:t>
      </w:r>
      <w:r>
        <w:fldChar w:fldCharType="end"/>
      </w:r>
    </w:p>
    <w:p>
      <w:pPr>
        <w:pStyle w:val="TOC8"/>
        <w:rPr>
          <w:rFonts w:asciiTheme="minorHAnsi" w:eastAsiaTheme="minorEastAsia" w:hAnsiTheme="minorHAnsi" w:cstheme="minorBidi"/>
          <w:szCs w:val="22"/>
        </w:rPr>
      </w:pPr>
      <w:r>
        <w:t>17.</w:t>
      </w:r>
      <w:r>
        <w:tab/>
        <w:t>Application on behalf of person under legal disability</w:t>
      </w:r>
      <w:r>
        <w:tab/>
      </w:r>
      <w:r>
        <w:fldChar w:fldCharType="begin"/>
      </w:r>
      <w:r>
        <w:instrText xml:space="preserve"> PAGEREF _Toc96086302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 — Decision on application</w:t>
      </w:r>
    </w:p>
    <w:p>
      <w:pPr>
        <w:pStyle w:val="TOC8"/>
        <w:rPr>
          <w:rFonts w:asciiTheme="minorHAnsi" w:eastAsiaTheme="minorEastAsia" w:hAnsiTheme="minorHAnsi" w:cstheme="minorBidi"/>
          <w:szCs w:val="22"/>
        </w:rPr>
      </w:pPr>
      <w:r>
        <w:t>18.</w:t>
      </w:r>
      <w:r>
        <w:tab/>
        <w:t>Commissioner to authorise payment of grant</w:t>
      </w:r>
      <w:r>
        <w:tab/>
      </w:r>
      <w:r>
        <w:fldChar w:fldCharType="begin"/>
      </w:r>
      <w:r>
        <w:instrText xml:space="preserve"> PAGEREF _Toc96086304 \h </w:instrText>
      </w:r>
      <w:r>
        <w:fldChar w:fldCharType="separate"/>
      </w:r>
      <w:r>
        <w:t>29</w:t>
      </w:r>
      <w:r>
        <w:fldChar w:fldCharType="end"/>
      </w:r>
    </w:p>
    <w:p>
      <w:pPr>
        <w:pStyle w:val="TOC8"/>
        <w:rPr>
          <w:rFonts w:asciiTheme="minorHAnsi" w:eastAsiaTheme="minorEastAsia" w:hAnsiTheme="minorHAnsi" w:cstheme="minorBidi"/>
          <w:szCs w:val="22"/>
        </w:rPr>
      </w:pPr>
      <w:r>
        <w:t>19.</w:t>
      </w:r>
      <w:r>
        <w:tab/>
        <w:t>Amount of grant</w:t>
      </w:r>
      <w:r>
        <w:tab/>
      </w:r>
      <w:r>
        <w:fldChar w:fldCharType="begin"/>
      </w:r>
      <w:r>
        <w:instrText xml:space="preserve"> PAGEREF _Toc96086305 \h </w:instrText>
      </w:r>
      <w:r>
        <w:fldChar w:fldCharType="separate"/>
      </w:r>
      <w:r>
        <w:t>30</w:t>
      </w:r>
      <w:r>
        <w:fldChar w:fldCharType="end"/>
      </w:r>
    </w:p>
    <w:p>
      <w:pPr>
        <w:pStyle w:val="TOC8"/>
        <w:rPr>
          <w:rFonts w:asciiTheme="minorHAnsi" w:eastAsiaTheme="minorEastAsia" w:hAnsiTheme="minorHAnsi" w:cstheme="minorBidi"/>
          <w:szCs w:val="22"/>
        </w:rPr>
      </w:pPr>
      <w:r>
        <w:t>20.</w:t>
      </w:r>
      <w:r>
        <w:tab/>
        <w:t>Payment of grant</w:t>
      </w:r>
      <w:r>
        <w:tab/>
      </w:r>
      <w:r>
        <w:fldChar w:fldCharType="begin"/>
      </w:r>
      <w:r>
        <w:instrText xml:space="preserve"> PAGEREF _Toc96086306 \h </w:instrText>
      </w:r>
      <w:r>
        <w:fldChar w:fldCharType="separate"/>
      </w:r>
      <w:r>
        <w:t>33</w:t>
      </w:r>
      <w:r>
        <w:fldChar w:fldCharType="end"/>
      </w:r>
    </w:p>
    <w:p>
      <w:pPr>
        <w:pStyle w:val="TOC8"/>
        <w:rPr>
          <w:rFonts w:asciiTheme="minorHAnsi" w:eastAsiaTheme="minorEastAsia" w:hAnsiTheme="minorHAnsi" w:cstheme="minorBidi"/>
          <w:szCs w:val="22"/>
        </w:rPr>
      </w:pPr>
      <w:r>
        <w:t>21.</w:t>
      </w:r>
      <w:r>
        <w:tab/>
        <w:t>Payment in anticipation of compliance with residence requirement</w:t>
      </w:r>
      <w:r>
        <w:tab/>
      </w:r>
      <w:r>
        <w:fldChar w:fldCharType="begin"/>
      </w:r>
      <w:r>
        <w:instrText xml:space="preserve"> PAGEREF _Toc96086307 \h </w:instrText>
      </w:r>
      <w:r>
        <w:fldChar w:fldCharType="separate"/>
      </w:r>
      <w:r>
        <w:t>33</w:t>
      </w:r>
      <w:r>
        <w:fldChar w:fldCharType="end"/>
      </w:r>
    </w:p>
    <w:p>
      <w:pPr>
        <w:pStyle w:val="TOC8"/>
        <w:rPr>
          <w:rFonts w:asciiTheme="minorHAnsi" w:eastAsiaTheme="minorEastAsia" w:hAnsiTheme="minorHAnsi" w:cstheme="minorBidi"/>
          <w:szCs w:val="22"/>
        </w:rPr>
      </w:pPr>
      <w:r>
        <w:t>22.</w:t>
      </w:r>
      <w:r>
        <w:tab/>
        <w:t>Commissioner may impose conditions</w:t>
      </w:r>
      <w:r>
        <w:tab/>
      </w:r>
      <w:r>
        <w:fldChar w:fldCharType="begin"/>
      </w:r>
      <w:r>
        <w:instrText xml:space="preserve"> PAGEREF _Toc96086308 \h </w:instrText>
      </w:r>
      <w:r>
        <w:fldChar w:fldCharType="separate"/>
      </w:r>
      <w:r>
        <w:t>35</w:t>
      </w:r>
      <w:r>
        <w:fldChar w:fldCharType="end"/>
      </w:r>
    </w:p>
    <w:p>
      <w:pPr>
        <w:pStyle w:val="TOC8"/>
        <w:rPr>
          <w:rFonts w:asciiTheme="minorHAnsi" w:eastAsiaTheme="minorEastAsia" w:hAnsiTheme="minorHAnsi" w:cstheme="minorBidi"/>
          <w:szCs w:val="22"/>
        </w:rPr>
      </w:pPr>
      <w:r>
        <w:t>23.</w:t>
      </w:r>
      <w:r>
        <w:tab/>
        <w:t>Death of applicant</w:t>
      </w:r>
      <w:r>
        <w:tab/>
      </w:r>
      <w:r>
        <w:fldChar w:fldCharType="begin"/>
      </w:r>
      <w:r>
        <w:instrText xml:space="preserve"> PAGEREF _Toc96086309 \h </w:instrText>
      </w:r>
      <w:r>
        <w:fldChar w:fldCharType="separate"/>
      </w:r>
      <w:r>
        <w:t>36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to correct decision</w:t>
      </w:r>
      <w:r>
        <w:tab/>
      </w:r>
      <w:r>
        <w:fldChar w:fldCharType="begin"/>
      </w:r>
      <w:r>
        <w:instrText xml:space="preserve"> PAGEREF _Toc96086310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Notice of decision</w:t>
      </w:r>
      <w:r>
        <w:tab/>
      </w:r>
      <w:r>
        <w:fldChar w:fldCharType="begin"/>
      </w:r>
      <w:r>
        <w:instrText xml:space="preserve"> PAGEREF _Toc96086311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Objections and review</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_Toc96086314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Objections</w:t>
      </w:r>
    </w:p>
    <w:p>
      <w:pPr>
        <w:pStyle w:val="TOC8"/>
        <w:rPr>
          <w:rFonts w:asciiTheme="minorHAnsi" w:eastAsiaTheme="minorEastAsia" w:hAnsiTheme="minorHAnsi" w:cstheme="minorBidi"/>
          <w:szCs w:val="22"/>
        </w:rPr>
      </w:pPr>
      <w:r>
        <w:t>27.</w:t>
      </w:r>
      <w:r>
        <w:tab/>
        <w:t>Right to object and procedure for making objections</w:t>
      </w:r>
      <w:r>
        <w:tab/>
      </w:r>
      <w:r>
        <w:fldChar w:fldCharType="begin"/>
      </w:r>
      <w:r>
        <w:instrText xml:space="preserve"> PAGEREF _Toc96086316 \h </w:instrText>
      </w:r>
      <w:r>
        <w:fldChar w:fldCharType="separate"/>
      </w:r>
      <w:r>
        <w:t>38</w:t>
      </w:r>
      <w:r>
        <w:fldChar w:fldCharType="end"/>
      </w:r>
    </w:p>
    <w:p>
      <w:pPr>
        <w:pStyle w:val="TOC8"/>
        <w:rPr>
          <w:rFonts w:asciiTheme="minorHAnsi" w:eastAsiaTheme="minorEastAsia" w:hAnsiTheme="minorHAnsi" w:cstheme="minorBidi"/>
          <w:szCs w:val="22"/>
        </w:rPr>
      </w:pPr>
      <w:r>
        <w:t>28.</w:t>
      </w:r>
      <w:r>
        <w:tab/>
        <w:t>Time for lodging objection</w:t>
      </w:r>
      <w:r>
        <w:tab/>
      </w:r>
      <w:r>
        <w:fldChar w:fldCharType="begin"/>
      </w:r>
      <w:r>
        <w:instrText xml:space="preserve"> PAGEREF _Toc96086317 \h </w:instrText>
      </w:r>
      <w:r>
        <w:fldChar w:fldCharType="separate"/>
      </w:r>
      <w:r>
        <w:t>38</w:t>
      </w:r>
      <w:r>
        <w:fldChar w:fldCharType="end"/>
      </w:r>
    </w:p>
    <w:p>
      <w:pPr>
        <w:pStyle w:val="TOC8"/>
        <w:rPr>
          <w:rFonts w:asciiTheme="minorHAnsi" w:eastAsiaTheme="minorEastAsia" w:hAnsiTheme="minorHAnsi" w:cstheme="minorBidi"/>
          <w:szCs w:val="22"/>
        </w:rPr>
      </w:pPr>
      <w:r>
        <w:lastRenderedPageBreak/>
        <w:t>29A.</w:t>
      </w:r>
      <w:r>
        <w:tab/>
        <w:t xml:space="preserve">Relationship with </w:t>
      </w:r>
      <w:r>
        <w:rPr>
          <w:i/>
        </w:rPr>
        <w:t>Duties Act 2008</w:t>
      </w:r>
      <w:r>
        <w:t xml:space="preserve"> and </w:t>
      </w:r>
      <w:r>
        <w:rPr>
          <w:i/>
        </w:rPr>
        <w:t>Taxation Administration Act 2003</w:t>
      </w:r>
      <w:r>
        <w:tab/>
      </w:r>
      <w:r>
        <w:fldChar w:fldCharType="begin"/>
      </w:r>
      <w:r>
        <w:instrText xml:space="preserve"> PAGEREF _Toc96086318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Consideration of objection</w:t>
      </w:r>
      <w:r>
        <w:tab/>
      </w:r>
      <w:r>
        <w:fldChar w:fldCharType="begin"/>
      </w:r>
      <w:r>
        <w:instrText xml:space="preserve"> PAGEREF _Toc96086319 \h </w:instrText>
      </w:r>
      <w:r>
        <w:fldChar w:fldCharType="separate"/>
      </w:r>
      <w:r>
        <w:t>42</w:t>
      </w:r>
      <w:r>
        <w:fldChar w:fldCharType="end"/>
      </w:r>
    </w:p>
    <w:p>
      <w:pPr>
        <w:pStyle w:val="TOC8"/>
        <w:rPr>
          <w:rFonts w:asciiTheme="minorHAnsi" w:eastAsiaTheme="minorEastAsia" w:hAnsiTheme="minorHAnsi" w:cstheme="minorBidi"/>
          <w:szCs w:val="22"/>
        </w:rPr>
      </w:pPr>
      <w:r>
        <w:t>30A.</w:t>
      </w:r>
      <w:r>
        <w:tab/>
        <w:t>Time limit for making decision on objection</w:t>
      </w:r>
      <w:r>
        <w:tab/>
      </w:r>
      <w:r>
        <w:fldChar w:fldCharType="begin"/>
      </w:r>
      <w:r>
        <w:instrText xml:space="preserve"> PAGEREF _Toc96086320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Decision on objection</w:t>
      </w:r>
      <w:r>
        <w:tab/>
      </w:r>
      <w:r>
        <w:fldChar w:fldCharType="begin"/>
      </w:r>
      <w:r>
        <w:instrText xml:space="preserve"> PAGEREF _Toc96086321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3 — </w:t>
      </w:r>
      <w:r>
        <w:t>Review</w:t>
      </w:r>
    </w:p>
    <w:p>
      <w:pPr>
        <w:pStyle w:val="TOC8"/>
        <w:rPr>
          <w:rFonts w:asciiTheme="minorHAnsi" w:eastAsiaTheme="minorEastAsia" w:hAnsiTheme="minorHAnsi" w:cstheme="minorBidi"/>
          <w:szCs w:val="22"/>
        </w:rPr>
      </w:pPr>
      <w:r>
        <w:t>31.</w:t>
      </w:r>
      <w:r>
        <w:tab/>
        <w:t>Right of review</w:t>
      </w:r>
      <w:r>
        <w:tab/>
      </w:r>
      <w:r>
        <w:fldChar w:fldCharType="begin"/>
      </w:r>
      <w:r>
        <w:instrText xml:space="preserve"> PAGEREF _Toc96086323 \h </w:instrText>
      </w:r>
      <w:r>
        <w:fldChar w:fldCharType="separate"/>
      </w:r>
      <w:r>
        <w:t>46</w:t>
      </w:r>
      <w:r>
        <w:fldChar w:fldCharType="end"/>
      </w:r>
    </w:p>
    <w:p>
      <w:pPr>
        <w:pStyle w:val="TOC8"/>
        <w:rPr>
          <w:rFonts w:asciiTheme="minorHAnsi" w:eastAsiaTheme="minorEastAsia" w:hAnsiTheme="minorHAnsi" w:cstheme="minorBidi"/>
          <w:szCs w:val="22"/>
        </w:rPr>
      </w:pPr>
      <w:r>
        <w:t>32.</w:t>
      </w:r>
      <w:r>
        <w:tab/>
        <w:t>Payment following determination of review</w:t>
      </w:r>
      <w:r>
        <w:tab/>
      </w:r>
      <w:r>
        <w:fldChar w:fldCharType="begin"/>
      </w:r>
      <w:r>
        <w:instrText xml:space="preserve"> PAGEREF _Toc96086324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Administration generally</w:t>
      </w:r>
    </w:p>
    <w:p>
      <w:pPr>
        <w:pStyle w:val="TOC8"/>
        <w:rPr>
          <w:rFonts w:asciiTheme="minorHAnsi" w:eastAsiaTheme="minorEastAsia" w:hAnsiTheme="minorHAnsi" w:cstheme="minorBidi"/>
          <w:szCs w:val="22"/>
        </w:rPr>
      </w:pPr>
      <w:r>
        <w:t>34.</w:t>
      </w:r>
      <w:r>
        <w:tab/>
        <w:t>Administration of Act</w:t>
      </w:r>
      <w:r>
        <w:tab/>
      </w:r>
      <w:r>
        <w:fldChar w:fldCharType="begin"/>
      </w:r>
      <w:r>
        <w:instrText xml:space="preserve"> PAGEREF _Toc96086327 \h </w:instrText>
      </w:r>
      <w:r>
        <w:fldChar w:fldCharType="separate"/>
      </w:r>
      <w:r>
        <w:t>49</w:t>
      </w:r>
      <w:r>
        <w:fldChar w:fldCharType="end"/>
      </w:r>
    </w:p>
    <w:p>
      <w:pPr>
        <w:pStyle w:val="TOC8"/>
        <w:rPr>
          <w:rFonts w:asciiTheme="minorHAnsi" w:eastAsiaTheme="minorEastAsia" w:hAnsiTheme="minorHAnsi" w:cstheme="minorBidi"/>
          <w:szCs w:val="22"/>
        </w:rPr>
      </w:pPr>
      <w:r>
        <w:t>35.</w:t>
      </w:r>
      <w:r>
        <w:tab/>
        <w:t>Delegation</w:t>
      </w:r>
      <w:r>
        <w:tab/>
      </w:r>
      <w:r>
        <w:fldChar w:fldCharType="begin"/>
      </w:r>
      <w:r>
        <w:instrText xml:space="preserve"> PAGEREF _Toc96086328 \h </w:instrText>
      </w:r>
      <w:r>
        <w:fldChar w:fldCharType="separate"/>
      </w:r>
      <w:r>
        <w:t>49</w:t>
      </w:r>
      <w:r>
        <w:fldChar w:fldCharType="end"/>
      </w:r>
    </w:p>
    <w:p>
      <w:pPr>
        <w:pStyle w:val="TOC8"/>
        <w:rPr>
          <w:rFonts w:asciiTheme="minorHAnsi" w:eastAsiaTheme="minorEastAsia" w:hAnsiTheme="minorHAnsi" w:cstheme="minorBidi"/>
          <w:szCs w:val="22"/>
        </w:rPr>
      </w:pPr>
      <w:r>
        <w:t>36.</w:t>
      </w:r>
      <w:r>
        <w:tab/>
        <w:t>Authorised investigators</w:t>
      </w:r>
      <w:r>
        <w:tab/>
      </w:r>
      <w:r>
        <w:fldChar w:fldCharType="begin"/>
      </w:r>
      <w:r>
        <w:instrText xml:space="preserve"> PAGEREF _Toc96086329 \h </w:instrText>
      </w:r>
      <w:r>
        <w:fldChar w:fldCharType="separate"/>
      </w:r>
      <w:r>
        <w:t>50</w:t>
      </w:r>
      <w:r>
        <w:fldChar w:fldCharType="end"/>
      </w:r>
    </w:p>
    <w:p>
      <w:pPr>
        <w:pStyle w:val="TOC8"/>
        <w:rPr>
          <w:rFonts w:asciiTheme="minorHAnsi" w:eastAsiaTheme="minorEastAsia" w:hAnsiTheme="minorHAnsi" w:cstheme="minorBidi"/>
          <w:szCs w:val="22"/>
        </w:rPr>
      </w:pPr>
      <w:r>
        <w:t>37.</w:t>
      </w:r>
      <w:r>
        <w:tab/>
        <w:t>Administration agreements</w:t>
      </w:r>
      <w:r>
        <w:tab/>
      </w:r>
      <w:r>
        <w:fldChar w:fldCharType="begin"/>
      </w:r>
      <w:r>
        <w:instrText xml:space="preserve"> PAGEREF _Toc96086330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38.</w:t>
      </w:r>
      <w:r>
        <w:tab/>
        <w:t>Investigations</w:t>
      </w:r>
      <w:r>
        <w:tab/>
      </w:r>
      <w:r>
        <w:fldChar w:fldCharType="begin"/>
      </w:r>
      <w:r>
        <w:instrText xml:space="preserve"> PAGEREF _Toc96086332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Cross</w:t>
      </w:r>
      <w:r>
        <w:rPr>
          <w:snapToGrid w:val="0"/>
        </w:rPr>
        <w:noBreakHyphen/>
        <w:t>border investigations</w:t>
      </w:r>
      <w:r>
        <w:tab/>
      </w:r>
      <w:r>
        <w:fldChar w:fldCharType="begin"/>
      </w:r>
      <w:r>
        <w:instrText xml:space="preserve"> PAGEREF _Toc96086333 \h </w:instrText>
      </w:r>
      <w:r>
        <w:fldChar w:fldCharType="separate"/>
      </w:r>
      <w:r>
        <w:t>52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of investigation</w:t>
      </w:r>
      <w:r>
        <w:tab/>
      </w:r>
      <w:r>
        <w:fldChar w:fldCharType="begin"/>
      </w:r>
      <w:r>
        <w:instrText xml:space="preserve"> PAGEREF _Toc96086334 \h </w:instrText>
      </w:r>
      <w:r>
        <w:fldChar w:fldCharType="separate"/>
      </w:r>
      <w:r>
        <w:t>52</w:t>
      </w:r>
      <w:r>
        <w:fldChar w:fldCharType="end"/>
      </w:r>
    </w:p>
    <w:p>
      <w:pPr>
        <w:pStyle w:val="TOC8"/>
        <w:rPr>
          <w:rFonts w:asciiTheme="minorHAnsi" w:eastAsiaTheme="minorEastAsia" w:hAnsiTheme="minorHAnsi" w:cstheme="minorBidi"/>
          <w:szCs w:val="22"/>
        </w:rPr>
      </w:pPr>
      <w:r>
        <w:t>41A.</w:t>
      </w:r>
      <w:r>
        <w:tab/>
        <w:t>Power to have valuation made</w:t>
      </w:r>
      <w:r>
        <w:tab/>
      </w:r>
      <w:r>
        <w:fldChar w:fldCharType="begin"/>
      </w:r>
      <w:r>
        <w:instrText xml:space="preserve"> PAGEREF _Toc96086335 \h </w:instrText>
      </w:r>
      <w:r>
        <w:fldChar w:fldCharType="separate"/>
      </w:r>
      <w:r>
        <w:t>53</w:t>
      </w:r>
      <w:r>
        <w:fldChar w:fldCharType="end"/>
      </w:r>
    </w:p>
    <w:p>
      <w:pPr>
        <w:pStyle w:val="TOC8"/>
        <w:rPr>
          <w:rFonts w:asciiTheme="minorHAnsi" w:eastAsiaTheme="minorEastAsia" w:hAnsiTheme="minorHAnsi" w:cstheme="minorBidi"/>
          <w:szCs w:val="22"/>
        </w:rPr>
      </w:pPr>
      <w:r>
        <w:t>41.</w:t>
      </w:r>
      <w:r>
        <w:tab/>
        <w:t>Power to require person to attend for examination</w:t>
      </w:r>
      <w:r>
        <w:tab/>
      </w:r>
      <w:r>
        <w:fldChar w:fldCharType="begin"/>
      </w:r>
      <w:r>
        <w:instrText xml:space="preserve"> PAGEREF _Toc96086336 \h </w:instrText>
      </w:r>
      <w:r>
        <w:fldChar w:fldCharType="separate"/>
      </w:r>
      <w:r>
        <w:t>53</w:t>
      </w:r>
      <w:r>
        <w:fldChar w:fldCharType="end"/>
      </w:r>
    </w:p>
    <w:p>
      <w:pPr>
        <w:pStyle w:val="TOC8"/>
        <w:rPr>
          <w:rFonts w:asciiTheme="minorHAnsi" w:eastAsiaTheme="minorEastAsia" w:hAnsiTheme="minorHAnsi" w:cstheme="minorBidi"/>
          <w:szCs w:val="22"/>
        </w:rPr>
      </w:pPr>
      <w:r>
        <w:t>42.</w:t>
      </w:r>
      <w:r>
        <w:tab/>
        <w:t>Entry of premises</w:t>
      </w:r>
      <w:r>
        <w:tab/>
      </w:r>
      <w:r>
        <w:fldChar w:fldCharType="begin"/>
      </w:r>
      <w:r>
        <w:instrText xml:space="preserve"> PAGEREF _Toc96086337 \h </w:instrText>
      </w:r>
      <w:r>
        <w:fldChar w:fldCharType="separate"/>
      </w:r>
      <w:r>
        <w:t>54</w:t>
      </w:r>
      <w:r>
        <w:fldChar w:fldCharType="end"/>
      </w:r>
    </w:p>
    <w:p>
      <w:pPr>
        <w:pStyle w:val="TOC8"/>
        <w:rPr>
          <w:rFonts w:asciiTheme="minorHAnsi" w:eastAsiaTheme="minorEastAsia" w:hAnsiTheme="minorHAnsi" w:cstheme="minorBidi"/>
          <w:szCs w:val="22"/>
        </w:rPr>
      </w:pPr>
      <w:r>
        <w:t>43.</w:t>
      </w:r>
      <w:r>
        <w:tab/>
        <w:t>Powers of authorised investigator on entry of premises</w:t>
      </w:r>
      <w:r>
        <w:tab/>
      </w:r>
      <w:r>
        <w:fldChar w:fldCharType="begin"/>
      </w:r>
      <w:r>
        <w:instrText xml:space="preserve"> PAGEREF _Toc96086338 \h </w:instrText>
      </w:r>
      <w:r>
        <w:fldChar w:fldCharType="separate"/>
      </w:r>
      <w:r>
        <w:t>55</w:t>
      </w:r>
      <w:r>
        <w:fldChar w:fldCharType="end"/>
      </w:r>
    </w:p>
    <w:p>
      <w:pPr>
        <w:pStyle w:val="TOC8"/>
        <w:rPr>
          <w:rFonts w:asciiTheme="minorHAnsi" w:eastAsiaTheme="minorEastAsia" w:hAnsiTheme="minorHAnsi" w:cstheme="minorBidi"/>
          <w:szCs w:val="22"/>
        </w:rPr>
      </w:pPr>
      <w:r>
        <w:t>44.</w:t>
      </w:r>
      <w:r>
        <w:tab/>
        <w:t>Warrants</w:t>
      </w:r>
      <w:r>
        <w:tab/>
      </w:r>
      <w:r>
        <w:fldChar w:fldCharType="begin"/>
      </w:r>
      <w:r>
        <w:instrText xml:space="preserve"> PAGEREF _Toc96086339 \h </w:instrText>
      </w:r>
      <w:r>
        <w:fldChar w:fldCharType="separate"/>
      </w:r>
      <w:r>
        <w:t>57</w:t>
      </w:r>
      <w:r>
        <w:fldChar w:fldCharType="end"/>
      </w:r>
    </w:p>
    <w:p>
      <w:pPr>
        <w:pStyle w:val="TOC8"/>
        <w:rPr>
          <w:rFonts w:asciiTheme="minorHAnsi" w:eastAsiaTheme="minorEastAsia" w:hAnsiTheme="minorHAnsi" w:cstheme="minorBidi"/>
          <w:szCs w:val="22"/>
        </w:rPr>
      </w:pPr>
      <w:r>
        <w:t>45.</w:t>
      </w:r>
      <w:r>
        <w:tab/>
        <w:t>Use of force</w:t>
      </w:r>
      <w:r>
        <w:tab/>
      </w:r>
      <w:r>
        <w:fldChar w:fldCharType="begin"/>
      </w:r>
      <w:r>
        <w:instrText xml:space="preserve"> PAGEREF _Toc96086340 \h </w:instrText>
      </w:r>
      <w:r>
        <w:fldChar w:fldCharType="separate"/>
      </w:r>
      <w:r>
        <w:t>58</w:t>
      </w:r>
      <w:r>
        <w:fldChar w:fldCharType="end"/>
      </w:r>
    </w:p>
    <w:p>
      <w:pPr>
        <w:pStyle w:val="TOC8"/>
        <w:rPr>
          <w:rFonts w:asciiTheme="minorHAnsi" w:eastAsiaTheme="minorEastAsia" w:hAnsiTheme="minorHAnsi" w:cstheme="minorBidi"/>
          <w:szCs w:val="22"/>
        </w:rPr>
      </w:pPr>
      <w:r>
        <w:t>46.</w:t>
      </w:r>
      <w:r>
        <w:tab/>
        <w:t>Self incrimination</w:t>
      </w:r>
      <w:r>
        <w:tab/>
      </w:r>
      <w:r>
        <w:fldChar w:fldCharType="begin"/>
      </w:r>
      <w:r>
        <w:instrText xml:space="preserve"> PAGEREF _Toc96086341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47.</w:t>
      </w:r>
      <w:r>
        <w:tab/>
        <w:t>False or misleading information and documents</w:t>
      </w:r>
      <w:r>
        <w:tab/>
      </w:r>
      <w:r>
        <w:fldChar w:fldCharType="begin"/>
      </w:r>
      <w:r>
        <w:instrText xml:space="preserve"> PAGEREF _Toc96086344 \h </w:instrText>
      </w:r>
      <w:r>
        <w:fldChar w:fldCharType="separate"/>
      </w:r>
      <w:r>
        <w:t>60</w:t>
      </w:r>
      <w:r>
        <w:fldChar w:fldCharType="end"/>
      </w:r>
    </w:p>
    <w:p>
      <w:pPr>
        <w:pStyle w:val="TOC8"/>
        <w:rPr>
          <w:rFonts w:asciiTheme="minorHAnsi" w:eastAsiaTheme="minorEastAsia" w:hAnsiTheme="minorHAnsi" w:cstheme="minorBidi"/>
          <w:szCs w:val="22"/>
        </w:rPr>
      </w:pPr>
      <w:r>
        <w:t>48.</w:t>
      </w:r>
      <w:r>
        <w:tab/>
        <w:t>Obstructing or misleading Commissioner or authorised investigator</w:t>
      </w:r>
      <w:r>
        <w:tab/>
      </w:r>
      <w:r>
        <w:fldChar w:fldCharType="begin"/>
      </w:r>
      <w:r>
        <w:instrText xml:space="preserve"> PAGEREF _Toc96086345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49.</w:t>
      </w:r>
      <w:r>
        <w:tab/>
        <w:t>Evidence</w:t>
      </w:r>
      <w:r>
        <w:tab/>
      </w:r>
      <w:r>
        <w:fldChar w:fldCharType="begin"/>
      </w:r>
      <w:r>
        <w:instrText xml:space="preserve"> PAGEREF _Toc96086347 \h </w:instrText>
      </w:r>
      <w:r>
        <w:fldChar w:fldCharType="separate"/>
      </w:r>
      <w:r>
        <w:t>61</w:t>
      </w:r>
      <w:r>
        <w:fldChar w:fldCharType="end"/>
      </w:r>
    </w:p>
    <w:p>
      <w:pPr>
        <w:pStyle w:val="TOC8"/>
        <w:rPr>
          <w:rFonts w:asciiTheme="minorHAnsi" w:eastAsiaTheme="minorEastAsia" w:hAnsiTheme="minorHAnsi" w:cstheme="minorBidi"/>
          <w:szCs w:val="22"/>
        </w:rPr>
      </w:pPr>
      <w:r>
        <w:t>50.</w:t>
      </w:r>
      <w:r>
        <w:tab/>
        <w:t>Presumption of regularity</w:t>
      </w:r>
      <w:r>
        <w:tab/>
      </w:r>
      <w:r>
        <w:fldChar w:fldCharType="begin"/>
      </w:r>
      <w:r>
        <w:instrText xml:space="preserve"> PAGEREF _Toc96086348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Repayments and penalties</w:t>
      </w:r>
    </w:p>
    <w:p>
      <w:pPr>
        <w:pStyle w:val="TOC8"/>
        <w:rPr>
          <w:rFonts w:asciiTheme="minorHAnsi" w:eastAsiaTheme="minorEastAsia" w:hAnsiTheme="minorHAnsi" w:cstheme="minorBidi"/>
          <w:szCs w:val="22"/>
        </w:rPr>
      </w:pPr>
      <w:r>
        <w:t>51.</w:t>
      </w:r>
      <w:r>
        <w:tab/>
        <w:t>Commissioner may require repayment and impose penalty</w:t>
      </w:r>
      <w:r>
        <w:tab/>
      </w:r>
      <w:r>
        <w:fldChar w:fldCharType="begin"/>
      </w:r>
      <w:r>
        <w:instrText xml:space="preserve"> PAGEREF _Toc96086350 \h </w:instrText>
      </w:r>
      <w:r>
        <w:fldChar w:fldCharType="separate"/>
      </w:r>
      <w:r>
        <w:t>62</w:t>
      </w:r>
      <w:r>
        <w:fldChar w:fldCharType="end"/>
      </w:r>
    </w:p>
    <w:p>
      <w:pPr>
        <w:pStyle w:val="TOC8"/>
        <w:rPr>
          <w:rFonts w:asciiTheme="minorHAnsi" w:eastAsiaTheme="minorEastAsia" w:hAnsiTheme="minorHAnsi" w:cstheme="minorBidi"/>
          <w:szCs w:val="22"/>
        </w:rPr>
      </w:pPr>
      <w:r>
        <w:lastRenderedPageBreak/>
        <w:t>52.</w:t>
      </w:r>
      <w:r>
        <w:tab/>
        <w:t>Arrangements for instalments and extensions of time</w:t>
      </w:r>
      <w:r>
        <w:tab/>
      </w:r>
      <w:r>
        <w:fldChar w:fldCharType="begin"/>
      </w:r>
      <w:r>
        <w:instrText xml:space="preserve"> PAGEREF _Toc96086351 \h </w:instrText>
      </w:r>
      <w:r>
        <w:fldChar w:fldCharType="separate"/>
      </w:r>
      <w:r>
        <w:t>63</w:t>
      </w:r>
      <w:r>
        <w:fldChar w:fldCharType="end"/>
      </w:r>
    </w:p>
    <w:p>
      <w:pPr>
        <w:pStyle w:val="TOC8"/>
        <w:rPr>
          <w:rFonts w:asciiTheme="minorHAnsi" w:eastAsiaTheme="minorEastAsia" w:hAnsiTheme="minorHAnsi" w:cstheme="minorBidi"/>
          <w:szCs w:val="22"/>
        </w:rPr>
      </w:pPr>
      <w:r>
        <w:t>52A.</w:t>
      </w:r>
      <w:r>
        <w:tab/>
        <w:t>Commissioner may recover legal costs</w:t>
      </w:r>
      <w:r>
        <w:tab/>
      </w:r>
      <w:r>
        <w:fldChar w:fldCharType="begin"/>
      </w:r>
      <w:r>
        <w:instrText xml:space="preserve"> PAGEREF _Toc96086352 \h </w:instrText>
      </w:r>
      <w:r>
        <w:fldChar w:fldCharType="separate"/>
      </w:r>
      <w:r>
        <w:t>65</w:t>
      </w:r>
      <w:r>
        <w:fldChar w:fldCharType="end"/>
      </w:r>
    </w:p>
    <w:p>
      <w:pPr>
        <w:pStyle w:val="TOC8"/>
        <w:rPr>
          <w:rFonts w:asciiTheme="minorHAnsi" w:eastAsiaTheme="minorEastAsia" w:hAnsiTheme="minorHAnsi" w:cstheme="minorBidi"/>
          <w:szCs w:val="22"/>
        </w:rPr>
      </w:pPr>
      <w:r>
        <w:t>53.</w:t>
      </w:r>
      <w:r>
        <w:tab/>
        <w:t>Recovery of certain amounts</w:t>
      </w:r>
      <w:r>
        <w:tab/>
      </w:r>
      <w:r>
        <w:fldChar w:fldCharType="begin"/>
      </w:r>
      <w:r>
        <w:instrText xml:space="preserve"> PAGEREF _Toc96086353 \h </w:instrText>
      </w:r>
      <w:r>
        <w:fldChar w:fldCharType="separate"/>
      </w:r>
      <w:r>
        <w:t>66</w:t>
      </w:r>
      <w:r>
        <w:fldChar w:fldCharType="end"/>
      </w:r>
    </w:p>
    <w:p>
      <w:pPr>
        <w:pStyle w:val="TOC8"/>
        <w:rPr>
          <w:rFonts w:asciiTheme="minorHAnsi" w:eastAsiaTheme="minorEastAsia" w:hAnsiTheme="minorHAnsi" w:cstheme="minorBidi"/>
          <w:szCs w:val="22"/>
        </w:rPr>
      </w:pPr>
      <w:r>
        <w:t>54A.</w:t>
      </w:r>
      <w:r>
        <w:tab/>
        <w:t>Recovery from garnishee</w:t>
      </w:r>
      <w:r>
        <w:tab/>
      </w:r>
      <w:r>
        <w:fldChar w:fldCharType="begin"/>
      </w:r>
      <w:r>
        <w:instrText xml:space="preserve"> PAGEREF _Toc96086354 \h </w:instrText>
      </w:r>
      <w:r>
        <w:fldChar w:fldCharType="separate"/>
      </w:r>
      <w:r>
        <w:t>66</w:t>
      </w:r>
      <w:r>
        <w:fldChar w:fldCharType="end"/>
      </w:r>
    </w:p>
    <w:p>
      <w:pPr>
        <w:pStyle w:val="TOC8"/>
        <w:rPr>
          <w:rFonts w:asciiTheme="minorHAnsi" w:eastAsiaTheme="minorEastAsia" w:hAnsiTheme="minorHAnsi" w:cstheme="minorBidi"/>
          <w:szCs w:val="22"/>
        </w:rPr>
      </w:pPr>
      <w:r>
        <w:t>54.</w:t>
      </w:r>
      <w:r>
        <w:tab/>
        <w:t>Writing off liability</w:t>
      </w:r>
      <w:r>
        <w:tab/>
      </w:r>
      <w:r>
        <w:fldChar w:fldCharType="begin"/>
      </w:r>
      <w:r>
        <w:instrText xml:space="preserve"> PAGEREF _Toc96086355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Charge on interest in home</w:t>
      </w:r>
    </w:p>
    <w:p>
      <w:pPr>
        <w:pStyle w:val="TOC8"/>
        <w:rPr>
          <w:rFonts w:asciiTheme="minorHAnsi" w:eastAsiaTheme="minorEastAsia" w:hAnsiTheme="minorHAnsi" w:cstheme="minorBidi"/>
          <w:szCs w:val="22"/>
        </w:rPr>
      </w:pPr>
      <w:r>
        <w:t>55.</w:t>
      </w:r>
      <w:r>
        <w:tab/>
        <w:t>Lodgement of memorial and creation of charge</w:t>
      </w:r>
      <w:r>
        <w:tab/>
      </w:r>
      <w:r>
        <w:fldChar w:fldCharType="begin"/>
      </w:r>
      <w:r>
        <w:instrText xml:space="preserve"> PAGEREF _Toc96086357 \h </w:instrText>
      </w:r>
      <w:r>
        <w:fldChar w:fldCharType="separate"/>
      </w:r>
      <w:r>
        <w:t>68</w:t>
      </w:r>
      <w:r>
        <w:fldChar w:fldCharType="end"/>
      </w:r>
    </w:p>
    <w:p>
      <w:pPr>
        <w:pStyle w:val="TOC8"/>
        <w:rPr>
          <w:rFonts w:asciiTheme="minorHAnsi" w:eastAsiaTheme="minorEastAsia" w:hAnsiTheme="minorHAnsi" w:cstheme="minorBidi"/>
          <w:szCs w:val="22"/>
        </w:rPr>
      </w:pPr>
      <w:r>
        <w:t>56.</w:t>
      </w:r>
      <w:r>
        <w:tab/>
        <w:t>Priority of charge</w:t>
      </w:r>
      <w:r>
        <w:tab/>
      </w:r>
      <w:r>
        <w:fldChar w:fldCharType="begin"/>
      </w:r>
      <w:r>
        <w:instrText xml:space="preserve"> PAGEREF _Toc96086358 \h </w:instrText>
      </w:r>
      <w:r>
        <w:fldChar w:fldCharType="separate"/>
      </w:r>
      <w:r>
        <w:t>70</w:t>
      </w:r>
      <w:r>
        <w:fldChar w:fldCharType="end"/>
      </w:r>
    </w:p>
    <w:p>
      <w:pPr>
        <w:pStyle w:val="TOC8"/>
        <w:rPr>
          <w:rFonts w:asciiTheme="minorHAnsi" w:eastAsiaTheme="minorEastAsia" w:hAnsiTheme="minorHAnsi" w:cstheme="minorBidi"/>
          <w:szCs w:val="22"/>
        </w:rPr>
      </w:pPr>
      <w:r>
        <w:t>57.</w:t>
      </w:r>
      <w:r>
        <w:tab/>
        <w:t>Release of relevant interest from charge</w:t>
      </w:r>
      <w:r>
        <w:tab/>
      </w:r>
      <w:r>
        <w:fldChar w:fldCharType="begin"/>
      </w:r>
      <w:r>
        <w:instrText xml:space="preserve"> PAGEREF _Toc96086359 \h </w:instrText>
      </w:r>
      <w:r>
        <w:fldChar w:fldCharType="separate"/>
      </w:r>
      <w:r>
        <w:t>70</w:t>
      </w:r>
      <w:r>
        <w:fldChar w:fldCharType="end"/>
      </w:r>
    </w:p>
    <w:p>
      <w:pPr>
        <w:pStyle w:val="TOC8"/>
        <w:rPr>
          <w:rFonts w:asciiTheme="minorHAnsi" w:eastAsiaTheme="minorEastAsia" w:hAnsiTheme="minorHAnsi" w:cstheme="minorBidi"/>
          <w:szCs w:val="22"/>
        </w:rPr>
      </w:pPr>
      <w:r>
        <w:t>58.</w:t>
      </w:r>
      <w:r>
        <w:tab/>
        <w:t>Order for sale of relevant interest</w:t>
      </w:r>
      <w:r>
        <w:tab/>
      </w:r>
      <w:r>
        <w:fldChar w:fldCharType="begin"/>
      </w:r>
      <w:r>
        <w:instrText xml:space="preserve"> PAGEREF _Toc96086360 \h </w:instrText>
      </w:r>
      <w:r>
        <w:fldChar w:fldCharType="separate"/>
      </w:r>
      <w:r>
        <w:t>70</w:t>
      </w:r>
      <w:r>
        <w:fldChar w:fldCharType="end"/>
      </w:r>
    </w:p>
    <w:p>
      <w:pPr>
        <w:pStyle w:val="TOC8"/>
        <w:rPr>
          <w:rFonts w:asciiTheme="minorHAnsi" w:eastAsiaTheme="minorEastAsia" w:hAnsiTheme="minorHAnsi" w:cstheme="minorBidi"/>
          <w:szCs w:val="22"/>
        </w:rPr>
      </w:pPr>
      <w:r>
        <w:t>59.</w:t>
      </w:r>
      <w:r>
        <w:tab/>
        <w:t>Charge not to limit other means of enforcing payment</w:t>
      </w:r>
      <w:r>
        <w:tab/>
      </w:r>
      <w:r>
        <w:fldChar w:fldCharType="begin"/>
      </w:r>
      <w:r>
        <w:instrText xml:space="preserve"> PAGEREF _Toc96086361 \h </w:instrText>
      </w:r>
      <w:r>
        <w:fldChar w:fldCharType="separate"/>
      </w:r>
      <w:r>
        <w:t>72</w:t>
      </w:r>
      <w:r>
        <w:fldChar w:fldCharType="end"/>
      </w:r>
    </w:p>
    <w:p>
      <w:pPr>
        <w:pStyle w:val="TOC8"/>
        <w:rPr>
          <w:rFonts w:asciiTheme="minorHAnsi" w:eastAsiaTheme="minorEastAsia" w:hAnsiTheme="minorHAnsi" w:cstheme="minorBidi"/>
          <w:szCs w:val="22"/>
        </w:rPr>
      </w:pPr>
      <w:r>
        <w:t>60.</w:t>
      </w:r>
      <w:r>
        <w:tab/>
        <w:t>Commissioner may require fees to be reimbursed</w:t>
      </w:r>
      <w:r>
        <w:tab/>
      </w:r>
      <w:r>
        <w:fldChar w:fldCharType="begin"/>
      </w:r>
      <w:r>
        <w:instrText xml:space="preserve"> PAGEREF _Toc96086362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Service of documents</w:t>
      </w:r>
    </w:p>
    <w:p>
      <w:pPr>
        <w:pStyle w:val="TOC8"/>
        <w:rPr>
          <w:rFonts w:asciiTheme="minorHAnsi" w:eastAsiaTheme="minorEastAsia" w:hAnsiTheme="minorHAnsi" w:cstheme="minorBidi"/>
          <w:szCs w:val="22"/>
        </w:rPr>
      </w:pPr>
      <w:r>
        <w:t>61.</w:t>
      </w:r>
      <w:r>
        <w:tab/>
        <w:t>Service on joint applicants or agent or representative</w:t>
      </w:r>
      <w:r>
        <w:tab/>
      </w:r>
      <w:r>
        <w:fldChar w:fldCharType="begin"/>
      </w:r>
      <w:r>
        <w:instrText xml:space="preserve"> PAGEREF _Toc96086364 \h </w:instrText>
      </w:r>
      <w:r>
        <w:fldChar w:fldCharType="separate"/>
      </w:r>
      <w:r>
        <w:t>73</w:t>
      </w:r>
      <w:r>
        <w:fldChar w:fldCharType="end"/>
      </w:r>
    </w:p>
    <w:p>
      <w:pPr>
        <w:pStyle w:val="TOC8"/>
        <w:rPr>
          <w:rFonts w:asciiTheme="minorHAnsi" w:eastAsiaTheme="minorEastAsia" w:hAnsiTheme="minorHAnsi" w:cstheme="minorBidi"/>
          <w:szCs w:val="22"/>
        </w:rPr>
      </w:pPr>
      <w:r>
        <w:t>62.</w:t>
      </w:r>
      <w:r>
        <w:tab/>
        <w:t>Method of service by Commissioner</w:t>
      </w:r>
      <w:r>
        <w:tab/>
      </w:r>
      <w:r>
        <w:fldChar w:fldCharType="begin"/>
      </w:r>
      <w:r>
        <w:instrText xml:space="preserve"> PAGEREF _Toc96086365 \h </w:instrText>
      </w:r>
      <w:r>
        <w:fldChar w:fldCharType="separate"/>
      </w:r>
      <w:r>
        <w:t>73</w:t>
      </w:r>
      <w:r>
        <w:fldChar w:fldCharType="end"/>
      </w:r>
    </w:p>
    <w:p>
      <w:pPr>
        <w:pStyle w:val="TOC8"/>
        <w:rPr>
          <w:rFonts w:asciiTheme="minorHAnsi" w:eastAsiaTheme="minorEastAsia" w:hAnsiTheme="minorHAnsi" w:cstheme="minorBidi"/>
          <w:szCs w:val="22"/>
        </w:rPr>
      </w:pPr>
      <w:r>
        <w:t>63.</w:t>
      </w:r>
      <w:r>
        <w:tab/>
        <w:t>Service of court process</w:t>
      </w:r>
      <w:r>
        <w:tab/>
      </w:r>
      <w:r>
        <w:fldChar w:fldCharType="begin"/>
      </w:r>
      <w:r>
        <w:instrText xml:space="preserve"> PAGEREF _Toc96086366 \h </w:instrText>
      </w:r>
      <w:r>
        <w:fldChar w:fldCharType="separate"/>
      </w:r>
      <w:r>
        <w:t>74</w:t>
      </w:r>
      <w:r>
        <w:fldChar w:fldCharType="end"/>
      </w:r>
    </w:p>
    <w:p>
      <w:pPr>
        <w:pStyle w:val="TOC8"/>
        <w:rPr>
          <w:rFonts w:asciiTheme="minorHAnsi" w:eastAsiaTheme="minorEastAsia" w:hAnsiTheme="minorHAnsi" w:cstheme="minorBidi"/>
          <w:szCs w:val="22"/>
        </w:rPr>
      </w:pPr>
      <w:r>
        <w:t>64.</w:t>
      </w:r>
      <w:r>
        <w:tab/>
        <w:t>Other enactments not limited</w:t>
      </w:r>
      <w:r>
        <w:tab/>
      </w:r>
      <w:r>
        <w:fldChar w:fldCharType="begin"/>
      </w:r>
      <w:r>
        <w:instrText xml:space="preserve"> PAGEREF _Toc96086367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5A — Emergency grant relief measures</w:t>
      </w:r>
    </w:p>
    <w:p>
      <w:pPr>
        <w:pStyle w:val="TOC8"/>
        <w:rPr>
          <w:rFonts w:asciiTheme="minorHAnsi" w:eastAsiaTheme="minorEastAsia" w:hAnsiTheme="minorHAnsi" w:cstheme="minorBidi"/>
          <w:szCs w:val="22"/>
        </w:rPr>
      </w:pPr>
      <w:r>
        <w:t>64A.</w:t>
      </w:r>
      <w:r>
        <w:tab/>
        <w:t>Grant relief measures</w:t>
      </w:r>
      <w:r>
        <w:tab/>
      </w:r>
      <w:r>
        <w:fldChar w:fldCharType="begin"/>
      </w:r>
      <w:r>
        <w:instrText xml:space="preserve"> PAGEREF _Toc96086369 \h </w:instrText>
      </w:r>
      <w:r>
        <w:fldChar w:fldCharType="separate"/>
      </w:r>
      <w:r>
        <w:t>75</w:t>
      </w:r>
      <w:r>
        <w:fldChar w:fldCharType="end"/>
      </w:r>
    </w:p>
    <w:p>
      <w:pPr>
        <w:pStyle w:val="TOC8"/>
        <w:rPr>
          <w:rFonts w:asciiTheme="minorHAnsi" w:eastAsiaTheme="minorEastAsia" w:hAnsiTheme="minorHAnsi" w:cstheme="minorBidi"/>
          <w:szCs w:val="22"/>
        </w:rPr>
      </w:pPr>
      <w:r>
        <w:t>64B.</w:t>
      </w:r>
      <w:r>
        <w:tab/>
        <w:t>Treasurer may declare grant relief measure due to emergency</w:t>
      </w:r>
      <w:r>
        <w:tab/>
      </w:r>
      <w:r>
        <w:fldChar w:fldCharType="begin"/>
      </w:r>
      <w:r>
        <w:instrText xml:space="preserve"> PAGEREF _Toc96086370 \h </w:instrText>
      </w:r>
      <w:r>
        <w:fldChar w:fldCharType="separate"/>
      </w:r>
      <w:r>
        <w:t>75</w:t>
      </w:r>
      <w:r>
        <w:fldChar w:fldCharType="end"/>
      </w:r>
    </w:p>
    <w:p>
      <w:pPr>
        <w:pStyle w:val="TOC8"/>
        <w:rPr>
          <w:rFonts w:asciiTheme="minorHAnsi" w:eastAsiaTheme="minorEastAsia" w:hAnsiTheme="minorHAnsi" w:cstheme="minorBidi"/>
          <w:szCs w:val="22"/>
        </w:rPr>
      </w:pPr>
      <w:r>
        <w:t>64C.</w:t>
      </w:r>
      <w:r>
        <w:tab/>
        <w:t>Amendment and revocation of grant relief declaration</w:t>
      </w:r>
      <w:r>
        <w:tab/>
      </w:r>
      <w:r>
        <w:fldChar w:fldCharType="begin"/>
      </w:r>
      <w:r>
        <w:instrText xml:space="preserve"> PAGEREF _Toc96086371 \h </w:instrText>
      </w:r>
      <w:r>
        <w:fldChar w:fldCharType="separate"/>
      </w:r>
      <w:r>
        <w:t>77</w:t>
      </w:r>
      <w:r>
        <w:fldChar w:fldCharType="end"/>
      </w:r>
    </w:p>
    <w:p>
      <w:pPr>
        <w:pStyle w:val="TOC8"/>
        <w:rPr>
          <w:rFonts w:asciiTheme="minorHAnsi" w:eastAsiaTheme="minorEastAsia" w:hAnsiTheme="minorHAnsi" w:cstheme="minorBidi"/>
          <w:szCs w:val="22"/>
        </w:rPr>
      </w:pPr>
      <w:r>
        <w:t>64D.</w:t>
      </w:r>
      <w:r>
        <w:tab/>
        <w:t>Provisions about grant relief declarations and instruments of amendment or revocation</w:t>
      </w:r>
      <w:r>
        <w:tab/>
      </w:r>
      <w:r>
        <w:fldChar w:fldCharType="begin"/>
      </w:r>
      <w:r>
        <w:instrText xml:space="preserve"> PAGEREF _Toc96086372 \h </w:instrText>
      </w:r>
      <w:r>
        <w:fldChar w:fldCharType="separate"/>
      </w:r>
      <w:r>
        <w:t>77</w:t>
      </w:r>
      <w:r>
        <w:fldChar w:fldCharType="end"/>
      </w:r>
    </w:p>
    <w:p>
      <w:pPr>
        <w:pStyle w:val="TOC8"/>
        <w:rPr>
          <w:rFonts w:asciiTheme="minorHAnsi" w:eastAsiaTheme="minorEastAsia" w:hAnsiTheme="minorHAnsi" w:cstheme="minorBidi"/>
          <w:szCs w:val="22"/>
        </w:rPr>
      </w:pPr>
      <w:r>
        <w:t>64E.</w:t>
      </w:r>
      <w:r>
        <w:tab/>
        <w:t>Procedural requirements for declared grant relief measure</w:t>
      </w:r>
      <w:r>
        <w:tab/>
      </w:r>
      <w:r>
        <w:fldChar w:fldCharType="begin"/>
      </w:r>
      <w:r>
        <w:instrText xml:space="preserve"> PAGEREF _Toc96086373 \h </w:instrText>
      </w:r>
      <w:r>
        <w:fldChar w:fldCharType="separate"/>
      </w:r>
      <w:r>
        <w:t>78</w:t>
      </w:r>
      <w:r>
        <w:fldChar w:fldCharType="end"/>
      </w:r>
    </w:p>
    <w:p>
      <w:pPr>
        <w:pStyle w:val="TOC8"/>
        <w:rPr>
          <w:rFonts w:asciiTheme="minorHAnsi" w:eastAsiaTheme="minorEastAsia" w:hAnsiTheme="minorHAnsi" w:cstheme="minorBidi"/>
          <w:szCs w:val="22"/>
        </w:rPr>
      </w:pPr>
      <w:r>
        <w:t>64F.</w:t>
      </w:r>
      <w:r>
        <w:tab/>
        <w:t>Effect of grant relief declaration</w:t>
      </w:r>
      <w:r>
        <w:tab/>
      </w:r>
      <w:r>
        <w:fldChar w:fldCharType="begin"/>
      </w:r>
      <w:r>
        <w:instrText xml:space="preserve"> PAGEREF _Toc96086374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65.</w:t>
      </w:r>
      <w:r>
        <w:tab/>
        <w:t>Confidentiality</w:t>
      </w:r>
      <w:r>
        <w:tab/>
      </w:r>
      <w:r>
        <w:fldChar w:fldCharType="begin"/>
      </w:r>
      <w:r>
        <w:instrText xml:space="preserve"> PAGEREF _Toc96086376 \h </w:instrText>
      </w:r>
      <w:r>
        <w:fldChar w:fldCharType="separate"/>
      </w:r>
      <w:r>
        <w:t>79</w:t>
      </w:r>
      <w:r>
        <w:fldChar w:fldCharType="end"/>
      </w:r>
    </w:p>
    <w:p>
      <w:pPr>
        <w:pStyle w:val="TOC8"/>
        <w:rPr>
          <w:rFonts w:asciiTheme="minorHAnsi" w:eastAsiaTheme="minorEastAsia" w:hAnsiTheme="minorHAnsi" w:cstheme="minorBidi"/>
          <w:szCs w:val="22"/>
        </w:rPr>
      </w:pPr>
      <w:r>
        <w:t>66.</w:t>
      </w:r>
      <w:r>
        <w:tab/>
        <w:t>Time for commencing prosecutions</w:t>
      </w:r>
      <w:r>
        <w:tab/>
      </w:r>
      <w:r>
        <w:fldChar w:fldCharType="begin"/>
      </w:r>
      <w:r>
        <w:instrText xml:space="preserve"> PAGEREF _Toc96086377 \h </w:instrText>
      </w:r>
      <w:r>
        <w:fldChar w:fldCharType="separate"/>
      </w:r>
      <w:r>
        <w:t>82</w:t>
      </w:r>
      <w:r>
        <w:fldChar w:fldCharType="end"/>
      </w:r>
    </w:p>
    <w:p>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_Toc96086378 \h </w:instrText>
      </w:r>
      <w:r>
        <w:fldChar w:fldCharType="separate"/>
      </w:r>
      <w:r>
        <w:t>82</w:t>
      </w:r>
      <w:r>
        <w:fldChar w:fldCharType="end"/>
      </w:r>
    </w:p>
    <w:p>
      <w:pPr>
        <w:pStyle w:val="TOC8"/>
        <w:rPr>
          <w:rFonts w:asciiTheme="minorHAnsi" w:eastAsiaTheme="minorEastAsia" w:hAnsiTheme="minorHAnsi" w:cstheme="minorBidi"/>
          <w:szCs w:val="22"/>
        </w:rPr>
      </w:pPr>
      <w:r>
        <w:t>68.</w:t>
      </w:r>
      <w:r>
        <w:tab/>
        <w:t xml:space="preserve">Appropriation of </w:t>
      </w:r>
      <w:r>
        <w:rPr>
          <w:snapToGrid w:val="0"/>
        </w:rPr>
        <w:t>Consolidated Account</w:t>
      </w:r>
      <w:r>
        <w:tab/>
      </w:r>
      <w:r>
        <w:fldChar w:fldCharType="begin"/>
      </w:r>
      <w:r>
        <w:instrText xml:space="preserve"> PAGEREF _Toc96086379 \h </w:instrText>
      </w:r>
      <w:r>
        <w:fldChar w:fldCharType="separate"/>
      </w:r>
      <w:r>
        <w:t>82</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_Toc96086380 \h </w:instrText>
      </w:r>
      <w:r>
        <w:fldChar w:fldCharType="separate"/>
      </w:r>
      <w:r>
        <w:t>82</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_Toc96086381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Transitional provisions</w:t>
      </w:r>
    </w:p>
    <w:p>
      <w:pPr>
        <w:pStyle w:val="TOC8"/>
        <w:rPr>
          <w:rFonts w:asciiTheme="minorHAnsi" w:eastAsiaTheme="minorEastAsia" w:hAnsiTheme="minorHAnsi" w:cstheme="minorBidi"/>
          <w:szCs w:val="22"/>
        </w:rPr>
      </w:pPr>
      <w:r>
        <w:t>71.</w:t>
      </w:r>
      <w:r>
        <w:tab/>
        <w:t xml:space="preserve">Transitional provision for </w:t>
      </w:r>
      <w:r>
        <w:rPr>
          <w:i/>
        </w:rPr>
        <w:t>Finance Legislation Amendment (Emergency Relief) Act 2022</w:t>
      </w:r>
      <w:r>
        <w:tab/>
      </w:r>
      <w:r>
        <w:fldChar w:fldCharType="begin"/>
      </w:r>
      <w:r>
        <w:instrText xml:space="preserve"> PAGEREF _Toc96086383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_Toc96086385 \h </w:instrText>
      </w:r>
      <w:r>
        <w:fldChar w:fldCharType="separate"/>
      </w:r>
      <w:r>
        <w:t>85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_Toc96086386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3" w:name="_Toc96080672"/>
      <w:bookmarkStart w:id="4" w:name="_Toc96081456"/>
      <w:bookmarkStart w:id="5" w:name="_Toc9608626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96086267"/>
      <w:r>
        <w:rPr>
          <w:rStyle w:val="CharSectno"/>
        </w:rPr>
        <w:t>1</w:t>
      </w:r>
      <w:r>
        <w:rPr>
          <w:snapToGrid w:val="0"/>
        </w:rPr>
        <w:t>.</w:t>
      </w:r>
      <w:r>
        <w:rPr>
          <w:snapToGrid w:val="0"/>
        </w:rPr>
        <w:tab/>
        <w:t>Short title</w:t>
      </w:r>
      <w:bookmarkEnd w:id="6"/>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pPr>
        <w:pStyle w:val="Heading5"/>
        <w:rPr>
          <w:snapToGrid w:val="0"/>
        </w:rPr>
      </w:pPr>
      <w:bookmarkStart w:id="7" w:name="_Toc96086268"/>
      <w:r>
        <w:rPr>
          <w:rStyle w:val="CharSectno"/>
        </w:rPr>
        <w:t>2</w:t>
      </w:r>
      <w:r>
        <w:rPr>
          <w:snapToGrid w:val="0"/>
        </w:rPr>
        <w:t>.</w:t>
      </w:r>
      <w:r>
        <w:rPr>
          <w:snapToGrid w:val="0"/>
        </w:rPr>
        <w:tab/>
        <w:t>Commencement</w:t>
      </w:r>
      <w:bookmarkEnd w:id="7"/>
    </w:p>
    <w:p>
      <w:pPr>
        <w:pStyle w:val="Subsection"/>
      </w:pPr>
      <w:r>
        <w:tab/>
      </w:r>
      <w:r>
        <w:tab/>
        <w:t>This Act comes into operation on 1 July 2000.</w:t>
      </w:r>
    </w:p>
    <w:p>
      <w:pPr>
        <w:pStyle w:val="Heading5"/>
      </w:pPr>
      <w:bookmarkStart w:id="8" w:name="_Toc96086269"/>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lastRenderedPageBreak/>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grant relief declaration</w:t>
      </w:r>
      <w:r>
        <w:t xml:space="preserve"> has the meaning given in section 64B(2);</w:t>
      </w:r>
    </w:p>
    <w:p>
      <w:pPr>
        <w:pStyle w:val="Defstart"/>
      </w:pPr>
      <w:r>
        <w:tab/>
      </w:r>
      <w:r>
        <w:rPr>
          <w:rStyle w:val="CharDefText"/>
        </w:rPr>
        <w:t>grant relief measure</w:t>
      </w:r>
      <w:r>
        <w:t xml:space="preserve"> has the meaning given in section 64A(1);</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lastRenderedPageBreak/>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 or</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 or</w:t>
      </w:r>
    </w:p>
    <w:p>
      <w:pPr>
        <w:pStyle w:val="Defpara"/>
      </w:pPr>
      <w:r>
        <w:lastRenderedPageBreak/>
        <w:tab/>
        <w:t>(b)</w:t>
      </w:r>
      <w:r>
        <w:tab/>
        <w:t>whether an objection to a decision made under this Act or a corresponding law should be upheld; or</w:t>
      </w:r>
    </w:p>
    <w:p>
      <w:pPr>
        <w:pStyle w:val="Defpara"/>
      </w:pPr>
      <w:r>
        <w:tab/>
        <w:t>(c)</w:t>
      </w:r>
      <w:r>
        <w:tab/>
        <w:t>whether an applicant to whom, or for whose benefit, a first home owner grant has been paid under this Act or a corresponding law was eligible for the grant; or</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lastRenderedPageBreak/>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No. 61 of 2000 s. 7(1) and 8(1); No. 28 of 2003 s. 61; No. 52 of 2004 s. 4; No. 55 of 2004 s. 373; No. 27 of 2009 s. 8 and 15; No. 17 of 2010 s. 18; No. 10 of 2013 s. 41; No. 27 of 2015 s. 4; No. 1 of 2022 s. 10.]</w:t>
      </w:r>
    </w:p>
    <w:p>
      <w:pPr>
        <w:pStyle w:val="Heading5"/>
      </w:pPr>
      <w:bookmarkStart w:id="9" w:name="_Toc96086270"/>
      <w:r>
        <w:rPr>
          <w:rStyle w:val="CharSectno"/>
        </w:rPr>
        <w:t>4</w:t>
      </w:r>
      <w:r>
        <w:t>.</w:t>
      </w:r>
      <w:r>
        <w:tab/>
        <w:t>Term used: home</w:t>
      </w:r>
      <w:bookmarkEnd w:id="9"/>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10" w:name="_Toc96086271"/>
      <w:r>
        <w:rPr>
          <w:rStyle w:val="CharSectno"/>
        </w:rPr>
        <w:lastRenderedPageBreak/>
        <w:t>5</w:t>
      </w:r>
      <w:r>
        <w:t>.</w:t>
      </w:r>
      <w:r>
        <w:tab/>
        <w:t>Terms used: owner, home owner</w:t>
      </w:r>
      <w:bookmarkEnd w:id="10"/>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1" w:name="_Toc96086272"/>
      <w:r>
        <w:rPr>
          <w:rStyle w:val="CharSectno"/>
        </w:rPr>
        <w:t>6</w:t>
      </w:r>
      <w:r>
        <w:t>.</w:t>
      </w:r>
      <w:r>
        <w:tab/>
        <w:t>Term used: relevant interest</w:t>
      </w:r>
      <w:bookmarkEnd w:id="11"/>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r>
        <w:t xml:space="preserve"> or</w:t>
      </w:r>
    </w:p>
    <w:p>
      <w:pPr>
        <w:pStyle w:val="Indenta"/>
        <w:rPr>
          <w:snapToGrid w:val="0"/>
        </w:rPr>
      </w:pPr>
      <w:r>
        <w:rPr>
          <w:snapToGrid w:val="0"/>
        </w:rPr>
        <w:tab/>
        <w:t>(b)</w:t>
      </w:r>
      <w:r>
        <w:rPr>
          <w:snapToGrid w:val="0"/>
        </w:rPr>
        <w:tab/>
        <w:t>a life estate, approved by the Commissioner, in the land;</w:t>
      </w:r>
      <w:r>
        <w:t xml:space="preserve"> or</w:t>
      </w:r>
    </w:p>
    <w:p>
      <w:pPr>
        <w:pStyle w:val="Indenta"/>
      </w:pPr>
      <w:r>
        <w:tab/>
        <w:t>(ba)</w:t>
      </w:r>
      <w:r>
        <w:tab/>
        <w:t xml:space="preserve">a strata lease of the land, as defined in the </w:t>
      </w:r>
      <w:r>
        <w:rPr>
          <w:i/>
        </w:rPr>
        <w:t xml:space="preserve">Strata Titles Act 1985 </w:t>
      </w:r>
      <w:r>
        <w:t>section 3(1);</w:t>
      </w:r>
    </w:p>
    <w:p>
      <w:pPr>
        <w:pStyle w:val="Indenta"/>
        <w:rPr>
          <w:snapToGrid w:val="0"/>
        </w:rPr>
      </w:pPr>
      <w:r>
        <w:rPr>
          <w:snapToGrid w:val="0"/>
        </w:rPr>
        <w:tab/>
        <w:t>(c)</w:t>
      </w:r>
      <w:r>
        <w:rPr>
          <w:snapToGrid w:val="0"/>
        </w:rPr>
        <w:tab/>
        <w:t>a lease in perpetuity of the land granted by the Commonwealth or the State;</w:t>
      </w:r>
      <w:r>
        <w:t xml:space="preserve"> or</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lastRenderedPageBreak/>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No. 26 of 2005 s. 4; No. 16 of 2017 s. 4; No. 30 of 2018 s. 140.]</w:t>
      </w:r>
    </w:p>
    <w:p>
      <w:pPr>
        <w:pStyle w:val="Heading5"/>
      </w:pPr>
      <w:bookmarkStart w:id="12" w:name="_Toc96086273"/>
      <w:r>
        <w:rPr>
          <w:rStyle w:val="CharSectno"/>
        </w:rPr>
        <w:t>7</w:t>
      </w:r>
      <w:r>
        <w:t>.</w:t>
      </w:r>
      <w:r>
        <w:tab/>
        <w:t>Term used: spouse</w:t>
      </w:r>
      <w:bookmarkEnd w:id="12"/>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lastRenderedPageBreak/>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No. 61 of 2000 s. 4; No. 28 of 2003 s. 62; No. 27 of 2009 s. 15.]</w:t>
      </w:r>
    </w:p>
    <w:p>
      <w:pPr>
        <w:pStyle w:val="Heading5"/>
      </w:pPr>
      <w:bookmarkStart w:id="13" w:name="_Toc96086274"/>
      <w:r>
        <w:rPr>
          <w:rStyle w:val="CharSectno"/>
        </w:rPr>
        <w:t>7A</w:t>
      </w:r>
      <w:r>
        <w:t>.</w:t>
      </w:r>
      <w:r>
        <w:tab/>
        <w:t>Term used: Australian citizen</w:t>
      </w:r>
      <w:bookmarkEnd w:id="13"/>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No. 61 of 2000 s. 7(2); amended: No. 27 of 2009 s. 15; No. 32 of 2012 s. 27.]</w:t>
      </w:r>
    </w:p>
    <w:p>
      <w:pPr>
        <w:pStyle w:val="Heading5"/>
      </w:pPr>
      <w:bookmarkStart w:id="14" w:name="_Toc96086275"/>
      <w:r>
        <w:rPr>
          <w:rStyle w:val="CharSectno"/>
        </w:rPr>
        <w:t>7B</w:t>
      </w:r>
      <w:r>
        <w:t>.</w:t>
      </w:r>
      <w:r>
        <w:tab/>
        <w:t>Term used: permanent resident</w:t>
      </w:r>
      <w:bookmarkEnd w:id="14"/>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Subsection"/>
      </w:pPr>
      <w:r>
        <w:lastRenderedPageBreak/>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No. 61 of 2000 s. 8(2); amended: No. 27 of 2009 s. 15; No. 32 of 2012 s. 28.]</w:t>
      </w:r>
    </w:p>
    <w:p>
      <w:pPr>
        <w:pStyle w:val="Heading2"/>
      </w:pPr>
      <w:bookmarkStart w:id="15" w:name="_Toc96080682"/>
      <w:bookmarkStart w:id="16" w:name="_Toc96081466"/>
      <w:bookmarkStart w:id="17" w:name="_Toc96086276"/>
      <w:r>
        <w:rPr>
          <w:rStyle w:val="CharPartNo"/>
        </w:rPr>
        <w:lastRenderedPageBreak/>
        <w:t>Part 2</w:t>
      </w:r>
      <w:r>
        <w:t xml:space="preserve"> — </w:t>
      </w:r>
      <w:r>
        <w:rPr>
          <w:rStyle w:val="CharPartText"/>
        </w:rPr>
        <w:t>First home owner grant</w:t>
      </w:r>
      <w:bookmarkEnd w:id="15"/>
      <w:bookmarkEnd w:id="16"/>
      <w:bookmarkEnd w:id="17"/>
    </w:p>
    <w:p>
      <w:pPr>
        <w:pStyle w:val="Heading3"/>
        <w:spacing w:before="200"/>
      </w:pPr>
      <w:bookmarkStart w:id="18" w:name="_Toc96080683"/>
      <w:bookmarkStart w:id="19" w:name="_Toc96081467"/>
      <w:bookmarkStart w:id="20" w:name="_Toc96086277"/>
      <w:r>
        <w:rPr>
          <w:rStyle w:val="CharDivNo"/>
        </w:rPr>
        <w:t>Division 1</w:t>
      </w:r>
      <w:r>
        <w:t xml:space="preserve"> — </w:t>
      </w:r>
      <w:r>
        <w:rPr>
          <w:rStyle w:val="CharDivText"/>
        </w:rPr>
        <w:t>Entitlement to grant</w:t>
      </w:r>
      <w:bookmarkEnd w:id="18"/>
      <w:bookmarkEnd w:id="19"/>
      <w:bookmarkEnd w:id="20"/>
    </w:p>
    <w:p>
      <w:pPr>
        <w:pStyle w:val="Heading5"/>
        <w:spacing w:before="180"/>
      </w:pPr>
      <w:bookmarkStart w:id="21" w:name="_Toc96086278"/>
      <w:r>
        <w:rPr>
          <w:rStyle w:val="CharSectno"/>
        </w:rPr>
        <w:t>8</w:t>
      </w:r>
      <w:r>
        <w:t>.</w:t>
      </w:r>
      <w:r>
        <w:tab/>
        <w:t>Entitlement to grant</w:t>
      </w:r>
      <w:bookmarkEnd w:id="21"/>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No. 52 of 2004 s. 5.]</w:t>
      </w:r>
    </w:p>
    <w:p>
      <w:pPr>
        <w:pStyle w:val="Heading3"/>
      </w:pPr>
      <w:bookmarkStart w:id="22" w:name="_Toc96080685"/>
      <w:bookmarkStart w:id="23" w:name="_Toc96081469"/>
      <w:bookmarkStart w:id="24" w:name="_Toc96086279"/>
      <w:r>
        <w:rPr>
          <w:rStyle w:val="CharDivNo"/>
        </w:rPr>
        <w:t>Division 2</w:t>
      </w:r>
      <w:r>
        <w:rPr>
          <w:snapToGrid w:val="0"/>
        </w:rPr>
        <w:t xml:space="preserve"> — </w:t>
      </w:r>
      <w:r>
        <w:rPr>
          <w:rStyle w:val="CharDivText"/>
        </w:rPr>
        <w:t>Eligibility criteria (applicants)</w:t>
      </w:r>
      <w:bookmarkEnd w:id="22"/>
      <w:bookmarkEnd w:id="23"/>
      <w:bookmarkEnd w:id="24"/>
    </w:p>
    <w:p>
      <w:pPr>
        <w:pStyle w:val="Heading5"/>
        <w:spacing w:before="180"/>
      </w:pPr>
      <w:bookmarkStart w:id="25" w:name="_Toc96086280"/>
      <w:r>
        <w:rPr>
          <w:rStyle w:val="CharSectno"/>
        </w:rPr>
        <w:t>9</w:t>
      </w:r>
      <w:r>
        <w:rPr>
          <w:snapToGrid w:val="0"/>
        </w:rPr>
        <w:t>.</w:t>
      </w:r>
      <w:r>
        <w:rPr>
          <w:snapToGrid w:val="0"/>
        </w:rPr>
        <w:tab/>
        <w:t>Criterion 1 — applicant to be a natural person</w:t>
      </w:r>
      <w:bookmarkEnd w:id="25"/>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26" w:name="_Toc96086281"/>
      <w:r>
        <w:rPr>
          <w:rStyle w:val="CharSectno"/>
        </w:rPr>
        <w:t>9A</w:t>
      </w:r>
      <w:r>
        <w:t>.</w:t>
      </w:r>
      <w:r>
        <w:tab/>
        <w:t>Criterion 1A — applicant to be at least 18 years of age</w:t>
      </w:r>
      <w:bookmarkEnd w:id="26"/>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lastRenderedPageBreak/>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No. 52 of 2004 s. 6.]</w:t>
      </w:r>
    </w:p>
    <w:p>
      <w:pPr>
        <w:pStyle w:val="Heading5"/>
      </w:pPr>
      <w:bookmarkStart w:id="27" w:name="_Toc96086282"/>
      <w:r>
        <w:rPr>
          <w:rStyle w:val="CharSectno"/>
        </w:rPr>
        <w:t>10</w:t>
      </w:r>
      <w:r>
        <w:t>.</w:t>
      </w:r>
      <w:r>
        <w:tab/>
        <w:t>Criterion 2 — applicant to be Australian citizen or permanent resident</w:t>
      </w:r>
      <w:bookmarkEnd w:id="27"/>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28" w:name="_Toc96086283"/>
      <w:r>
        <w:rPr>
          <w:rStyle w:val="CharSectno"/>
        </w:rPr>
        <w:t>11</w:t>
      </w:r>
      <w:r>
        <w:t>.</w:t>
      </w:r>
      <w:r>
        <w:tab/>
        <w:t>Criterion 3 — except in certain circumstances, applicant or applicant’s spouse or de facto partner must not have received another grant</w:t>
      </w:r>
      <w:bookmarkEnd w:id="28"/>
    </w:p>
    <w:p>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pPr>
        <w:pStyle w:val="Subsection"/>
      </w:pPr>
      <w:r>
        <w:lastRenderedPageBreak/>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No. 52 of 2004 s. 7.]</w:t>
      </w:r>
    </w:p>
    <w:p>
      <w:pPr>
        <w:pStyle w:val="Heading5"/>
      </w:pPr>
      <w:bookmarkStart w:id="29" w:name="_Toc96086284"/>
      <w:r>
        <w:rPr>
          <w:rStyle w:val="CharSectno"/>
        </w:rPr>
        <w:t>12</w:t>
      </w:r>
      <w:r>
        <w:t>.</w:t>
      </w:r>
      <w:r>
        <w:tab/>
        <w:t>Criterion 4 — applicant or applicant’s spouse or de facto partner must not have had relevant interest in residential property</w:t>
      </w:r>
      <w:bookmarkEnd w:id="29"/>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 xml:space="preserve">To work out for the purposes of subsection (1) whether an applicant held a relevant interest (within the meaning of this Act or a corresponding law) in residential property at a particular </w:t>
      </w:r>
      <w:r>
        <w:rPr>
          <w:snapToGrid w:val="0"/>
        </w:rPr>
        <w:lastRenderedPageBreak/>
        <w:t>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No. 61 of 2000 s. 6; No. 13 of 2003 s. 4; No. 28 of 2003 s. 64; No. 52 of 2004 s. 8; No. 27 of 2009 s. 15; No. 16 of 2017 s. 5.]</w:t>
      </w:r>
    </w:p>
    <w:p>
      <w:pPr>
        <w:pStyle w:val="Heading5"/>
      </w:pPr>
      <w:bookmarkStart w:id="30" w:name="_Toc96086285"/>
      <w:r>
        <w:rPr>
          <w:rStyle w:val="CharSectno"/>
        </w:rPr>
        <w:t>13</w:t>
      </w:r>
      <w:r>
        <w:t>.</w:t>
      </w:r>
      <w:r>
        <w:tab/>
        <w:t>Criterion 5 — residence requirements</w:t>
      </w:r>
      <w:bookmarkEnd w:id="30"/>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keepNext/>
      </w:pPr>
      <w:r>
        <w:lastRenderedPageBreak/>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lastRenderedPageBreak/>
        <w:tab/>
        <w:t>(9)</w:t>
      </w:r>
      <w:r>
        <w:tab/>
        <w:t>If the Commissioner exercises a power under subsection (6), the applicant is taken always to have been exempt from the residence requirements.</w:t>
      </w:r>
    </w:p>
    <w:p>
      <w:pPr>
        <w:pStyle w:val="Footnotesection"/>
      </w:pPr>
      <w:r>
        <w:tab/>
        <w:t>[Section 13 inserted: No. 52 of 2004 s. 9; amended: No. 29 of 2012 s. 10.]</w:t>
      </w:r>
    </w:p>
    <w:p>
      <w:pPr>
        <w:pStyle w:val="Heading5"/>
      </w:pPr>
      <w:bookmarkStart w:id="31" w:name="_Toc96086286"/>
      <w:r>
        <w:rPr>
          <w:rStyle w:val="CharSectno"/>
        </w:rPr>
        <w:t>13A</w:t>
      </w:r>
      <w:r>
        <w:t>.</w:t>
      </w:r>
      <w:r>
        <w:tab/>
        <w:t>Criterion 6 — applicant must not have been convicted of an offence under this Act</w:t>
      </w:r>
      <w:bookmarkEnd w:id="31"/>
    </w:p>
    <w:p>
      <w:pPr>
        <w:pStyle w:val="Subsection"/>
      </w:pPr>
      <w:r>
        <w:tab/>
      </w:r>
      <w:r>
        <w:tab/>
        <w:t>An applicant is ineligible if the applicant has been convicted of an offence under this Act or a corresponding law.</w:t>
      </w:r>
    </w:p>
    <w:p>
      <w:pPr>
        <w:pStyle w:val="Footnotesection"/>
      </w:pPr>
      <w:r>
        <w:tab/>
        <w:t>[Section 13A inserted: No. 52 of 2004 s. 10.]</w:t>
      </w:r>
    </w:p>
    <w:p>
      <w:pPr>
        <w:pStyle w:val="Heading5"/>
      </w:pPr>
      <w:bookmarkStart w:id="32" w:name="_Toc96086287"/>
      <w:r>
        <w:rPr>
          <w:rStyle w:val="CharSectno"/>
        </w:rPr>
        <w:t>13B</w:t>
      </w:r>
      <w:r>
        <w:t>.</w:t>
      </w:r>
      <w:r>
        <w:tab/>
        <w:t>Criterion 7 — applicant must not hold relevant interest as trustee</w:t>
      </w:r>
      <w:bookmarkEnd w:id="32"/>
    </w:p>
    <w:p>
      <w:pPr>
        <w:pStyle w:val="Subsection"/>
      </w:pPr>
      <w:r>
        <w:tab/>
      </w:r>
      <w:r>
        <w:tab/>
        <w:t>An applicant is ineligible in relation to a transaction if the applicant owns or will, on completion of the transaction, own the home in circumstances where the applicant holds the relevant interest as a trustee.</w:t>
      </w:r>
    </w:p>
    <w:p>
      <w:pPr>
        <w:pStyle w:val="Footnotesection"/>
      </w:pPr>
      <w:r>
        <w:tab/>
        <w:t>[Section 13B inserted: No. 16 of 2017 s. 6.]</w:t>
      </w:r>
    </w:p>
    <w:p>
      <w:pPr>
        <w:pStyle w:val="Heading3"/>
      </w:pPr>
      <w:bookmarkStart w:id="33" w:name="_Toc96080694"/>
      <w:bookmarkStart w:id="34" w:name="_Toc96081478"/>
      <w:bookmarkStart w:id="35" w:name="_Toc96086288"/>
      <w:r>
        <w:rPr>
          <w:rStyle w:val="CharDivNo"/>
        </w:rPr>
        <w:t>Division 3</w:t>
      </w:r>
      <w:r>
        <w:t xml:space="preserve"> — </w:t>
      </w:r>
      <w:r>
        <w:rPr>
          <w:rStyle w:val="CharDivText"/>
        </w:rPr>
        <w:t>Eligible transactions</w:t>
      </w:r>
      <w:bookmarkEnd w:id="33"/>
      <w:bookmarkEnd w:id="34"/>
      <w:bookmarkEnd w:id="35"/>
    </w:p>
    <w:p>
      <w:pPr>
        <w:pStyle w:val="Heading4"/>
      </w:pPr>
      <w:bookmarkStart w:id="36" w:name="_Toc96080695"/>
      <w:bookmarkStart w:id="37" w:name="_Toc96081479"/>
      <w:bookmarkStart w:id="38" w:name="_Toc96086289"/>
      <w:r>
        <w:t>Subdivision 1 — Eligible transactions</w:t>
      </w:r>
      <w:bookmarkEnd w:id="36"/>
      <w:bookmarkEnd w:id="37"/>
      <w:bookmarkEnd w:id="38"/>
    </w:p>
    <w:p>
      <w:pPr>
        <w:pStyle w:val="Footnoteheading"/>
      </w:pPr>
      <w:r>
        <w:tab/>
        <w:t>[Heading inserted: No. 14 of 2001 s. 4.]</w:t>
      </w:r>
    </w:p>
    <w:p>
      <w:pPr>
        <w:pStyle w:val="Heading5"/>
      </w:pPr>
      <w:bookmarkStart w:id="39" w:name="_Toc96086290"/>
      <w:r>
        <w:rPr>
          <w:rStyle w:val="CharSectno"/>
        </w:rPr>
        <w:t>14</w:t>
      </w:r>
      <w:r>
        <w:t>.</w:t>
      </w:r>
      <w:r>
        <w:tab/>
        <w:t>Eligible transaction</w:t>
      </w:r>
      <w:bookmarkEnd w:id="39"/>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lastRenderedPageBreak/>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No. 27 of 2009 s. 9; No. 27 of 2015 s. 5.]</w:t>
      </w:r>
    </w:p>
    <w:p>
      <w:pPr>
        <w:pStyle w:val="Heading5"/>
      </w:pPr>
      <w:bookmarkStart w:id="40" w:name="_Toc96086291"/>
      <w:r>
        <w:rPr>
          <w:rStyle w:val="CharSectno"/>
        </w:rPr>
        <w:lastRenderedPageBreak/>
        <w:t>14AA</w:t>
      </w:r>
      <w:r>
        <w:t>.</w:t>
      </w:r>
      <w:r>
        <w:tab/>
        <w:t>Commencement and completion of transaction</w:t>
      </w:r>
      <w:bookmarkEnd w:id="40"/>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keepNext/>
        <w:keepLines/>
        <w:rPr>
          <w:snapToGrid w:val="0"/>
        </w:rPr>
      </w:pPr>
      <w:r>
        <w:rPr>
          <w:snapToGrid w:val="0"/>
        </w:rPr>
        <w:lastRenderedPageBreak/>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No. 27 of 2009 s. 10; amended: No. 27 of 2015 s. 6; No. 16 of 2017 s. 7.]</w:t>
      </w:r>
    </w:p>
    <w:p>
      <w:pPr>
        <w:pStyle w:val="Heading5"/>
        <w:keepNext w:val="0"/>
      </w:pPr>
      <w:bookmarkStart w:id="41" w:name="_Toc96086292"/>
      <w:r>
        <w:rPr>
          <w:rStyle w:val="CharSectno"/>
        </w:rPr>
        <w:t>14AB</w:t>
      </w:r>
      <w:r>
        <w:t>.</w:t>
      </w:r>
      <w:r>
        <w:tab/>
        <w:t>Term used: consideration</w:t>
      </w:r>
      <w:bookmarkEnd w:id="41"/>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No. 27 of 2009 s. 10.]</w:t>
      </w:r>
    </w:p>
    <w:p>
      <w:pPr>
        <w:pStyle w:val="Heading5"/>
        <w:keepNext w:val="0"/>
      </w:pPr>
      <w:bookmarkStart w:id="42" w:name="_Toc96086293"/>
      <w:r>
        <w:rPr>
          <w:rStyle w:val="CharSectno"/>
        </w:rPr>
        <w:t>14AC</w:t>
      </w:r>
      <w:r>
        <w:t>.</w:t>
      </w:r>
      <w:r>
        <w:tab/>
        <w:t>Term used: total value</w:t>
      </w:r>
      <w:bookmarkEnd w:id="42"/>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lastRenderedPageBreak/>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No. 27 of 2009 s. 10.]</w:t>
      </w:r>
    </w:p>
    <w:p>
      <w:pPr>
        <w:pStyle w:val="Heading5"/>
        <w:keepNext w:val="0"/>
      </w:pPr>
      <w:bookmarkStart w:id="43" w:name="_Toc96086294"/>
      <w:r>
        <w:rPr>
          <w:rStyle w:val="CharSectno"/>
        </w:rPr>
        <w:t>14AD</w:t>
      </w:r>
      <w:r>
        <w:t>.</w:t>
      </w:r>
      <w:r>
        <w:tab/>
        <w:t>Term used: cap amount</w:t>
      </w:r>
      <w:bookmarkEnd w:id="43"/>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No. 27 of 2009 s. 10.]</w:t>
      </w:r>
    </w:p>
    <w:p>
      <w:pPr>
        <w:pStyle w:val="Heading5"/>
      </w:pPr>
      <w:bookmarkStart w:id="44" w:name="_Toc96086295"/>
      <w:r>
        <w:rPr>
          <w:rStyle w:val="CharSectno"/>
        </w:rPr>
        <w:t>14AE</w:t>
      </w:r>
      <w:r>
        <w:t>.</w:t>
      </w:r>
      <w:r>
        <w:tab/>
        <w:t>Term used: unencumbered value</w:t>
      </w:r>
      <w:bookmarkEnd w:id="44"/>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lastRenderedPageBreak/>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keepNext/>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No. 27 of 2009 s. 10.]</w:t>
      </w:r>
    </w:p>
    <w:p>
      <w:pPr>
        <w:pStyle w:val="Heading4"/>
        <w:keepLines/>
      </w:pPr>
      <w:bookmarkStart w:id="45" w:name="_Toc96080702"/>
      <w:bookmarkStart w:id="46" w:name="_Toc96081486"/>
      <w:bookmarkStart w:id="47" w:name="_Toc96086296"/>
      <w:r>
        <w:t>Subdivision 2 — Special eligible transactions</w:t>
      </w:r>
      <w:bookmarkEnd w:id="45"/>
      <w:bookmarkEnd w:id="46"/>
      <w:bookmarkEnd w:id="47"/>
    </w:p>
    <w:p>
      <w:pPr>
        <w:pStyle w:val="Footnoteheading"/>
        <w:keepNext/>
        <w:keepLines/>
      </w:pPr>
      <w:r>
        <w:tab/>
        <w:t>[Heading inserted: No. 14 of 2001 s. 5.]</w:t>
      </w:r>
    </w:p>
    <w:p>
      <w:pPr>
        <w:pStyle w:val="Heading5"/>
      </w:pPr>
      <w:bookmarkStart w:id="48" w:name="_Toc96086297"/>
      <w:r>
        <w:rPr>
          <w:rStyle w:val="CharSectno"/>
        </w:rPr>
        <w:t>14A</w:t>
      </w:r>
      <w:r>
        <w:t>.</w:t>
      </w:r>
      <w:r>
        <w:tab/>
        <w:t>Terms used</w:t>
      </w:r>
      <w:bookmarkEnd w:id="48"/>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lastRenderedPageBreak/>
        <w:tab/>
        <w:t>(b)</w:t>
      </w:r>
      <w:r>
        <w:tab/>
        <w:t>such date, if any, as is prescribed for the purposes of this definition;</w:t>
      </w:r>
    </w:p>
    <w:p>
      <w:pPr>
        <w:pStyle w:val="Defstart"/>
        <w:keepNex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No. 27 of 2009 s. 4; amended: No. 10 of 2013 s. 42; No. 16 of 2017 s. 8.]</w:t>
      </w:r>
    </w:p>
    <w:p>
      <w:pPr>
        <w:pStyle w:val="Heading5"/>
        <w:spacing w:before="200"/>
      </w:pPr>
      <w:bookmarkStart w:id="49" w:name="_Toc96086298"/>
      <w:r>
        <w:rPr>
          <w:rStyle w:val="CharSectno"/>
        </w:rPr>
        <w:t>14B</w:t>
      </w:r>
      <w:r>
        <w:t>.</w:t>
      </w:r>
      <w:r>
        <w:tab/>
        <w:t>Special eligible transactions</w:t>
      </w:r>
      <w:bookmarkEnd w:id="49"/>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 xml:space="preserve">the building work begins within 16 weeks after the commencement date, or any longer period that the Commissioner allows for delay caused </w:t>
      </w:r>
      <w:r>
        <w:lastRenderedPageBreak/>
        <w:t>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lastRenderedPageBreak/>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lastRenderedPageBreak/>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lastRenderedPageBreak/>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lastRenderedPageBreak/>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for a community titles scheme or amendment of a community titles scheme under the </w:t>
      </w:r>
      <w:r>
        <w:rPr>
          <w:i/>
        </w:rPr>
        <w:t xml:space="preserve">Community Titles Act 2018 </w:t>
      </w:r>
      <w:r>
        <w:t xml:space="preserve">or for a strata titles scheme or amendment of a strata titles 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No. 14 of 2001 s. 5; amended: No. 13 of 2003 s. 5; No. 27 of 2009 s. 5; No. 16 of 2017 s. 9; No. 30 of 2018 s. 141; No. 32 of 2018 s. 212.]</w:t>
      </w:r>
    </w:p>
    <w:p>
      <w:pPr>
        <w:pStyle w:val="Heading3"/>
      </w:pPr>
      <w:bookmarkStart w:id="50" w:name="_Toc96080705"/>
      <w:bookmarkStart w:id="51" w:name="_Toc96081489"/>
      <w:bookmarkStart w:id="52" w:name="_Toc96086299"/>
      <w:r>
        <w:rPr>
          <w:rStyle w:val="CharDivNo"/>
        </w:rPr>
        <w:lastRenderedPageBreak/>
        <w:t>Division 4</w:t>
      </w:r>
      <w:r>
        <w:t xml:space="preserve"> — </w:t>
      </w:r>
      <w:r>
        <w:rPr>
          <w:rStyle w:val="CharDivText"/>
        </w:rPr>
        <w:t>Application for the grant</w:t>
      </w:r>
      <w:bookmarkEnd w:id="50"/>
      <w:bookmarkEnd w:id="51"/>
      <w:bookmarkEnd w:id="52"/>
    </w:p>
    <w:p>
      <w:pPr>
        <w:pStyle w:val="Heading5"/>
      </w:pPr>
      <w:bookmarkStart w:id="53" w:name="_Toc96086300"/>
      <w:r>
        <w:rPr>
          <w:rStyle w:val="CharSectno"/>
        </w:rPr>
        <w:t>15</w:t>
      </w:r>
      <w:r>
        <w:t>.</w:t>
      </w:r>
      <w:r>
        <w:tab/>
        <w:t>Application for grant</w:t>
      </w:r>
      <w:bookmarkEnd w:id="53"/>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keepNext/>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No. 27 of 2009 s. 15.]</w:t>
      </w:r>
    </w:p>
    <w:p>
      <w:pPr>
        <w:pStyle w:val="Heading5"/>
      </w:pPr>
      <w:bookmarkStart w:id="54" w:name="_Toc96086301"/>
      <w:r>
        <w:rPr>
          <w:rStyle w:val="CharSectno"/>
        </w:rPr>
        <w:t>16</w:t>
      </w:r>
      <w:r>
        <w:t>.</w:t>
      </w:r>
      <w:r>
        <w:tab/>
        <w:t>Interested persons</w:t>
      </w:r>
      <w:bookmarkEnd w:id="54"/>
    </w:p>
    <w:p>
      <w:pPr>
        <w:pStyle w:val="Subsection"/>
      </w:pPr>
      <w:r>
        <w:tab/>
        <w:t>(1)</w:t>
      </w:r>
      <w:r>
        <w:tab/>
        <w:t>All interested persons must be applicants, unless such a person is excluded from the operation of this subsection by the regulations.</w:t>
      </w:r>
    </w:p>
    <w:p>
      <w:pPr>
        <w:pStyle w:val="Subsection"/>
      </w:pPr>
      <w:r>
        <w:lastRenderedPageBreak/>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No. 27 of 2009 s. 15.]</w:t>
      </w:r>
    </w:p>
    <w:p>
      <w:pPr>
        <w:pStyle w:val="Heading5"/>
      </w:pPr>
      <w:bookmarkStart w:id="55" w:name="_Toc96086302"/>
      <w:r>
        <w:rPr>
          <w:rStyle w:val="CharSectno"/>
        </w:rPr>
        <w:t>17</w:t>
      </w:r>
      <w:r>
        <w:t>.</w:t>
      </w:r>
      <w:r>
        <w:tab/>
        <w:t>Application on behalf of person under legal disability</w:t>
      </w:r>
      <w:bookmarkEnd w:id="55"/>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56" w:name="_Toc96080709"/>
      <w:bookmarkStart w:id="57" w:name="_Toc96081493"/>
      <w:bookmarkStart w:id="58" w:name="_Toc96086303"/>
      <w:r>
        <w:rPr>
          <w:rStyle w:val="CharDivNo"/>
        </w:rPr>
        <w:t>Division 5</w:t>
      </w:r>
      <w:r>
        <w:t xml:space="preserve"> — </w:t>
      </w:r>
      <w:r>
        <w:rPr>
          <w:rStyle w:val="CharDivText"/>
        </w:rPr>
        <w:t>Decision on application</w:t>
      </w:r>
      <w:bookmarkEnd w:id="56"/>
      <w:bookmarkEnd w:id="57"/>
      <w:bookmarkEnd w:id="58"/>
    </w:p>
    <w:p>
      <w:pPr>
        <w:pStyle w:val="Heading5"/>
      </w:pPr>
      <w:bookmarkStart w:id="59" w:name="_Toc96086304"/>
      <w:r>
        <w:rPr>
          <w:rStyle w:val="CharSectno"/>
        </w:rPr>
        <w:t>18</w:t>
      </w:r>
      <w:r>
        <w:t>.</w:t>
      </w:r>
      <w:r>
        <w:tab/>
        <w:t>Commissioner to authorise payment of grant</w:t>
      </w:r>
      <w:bookmarkEnd w:id="59"/>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lastRenderedPageBreak/>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No. 27 of 2009 s. 11.]</w:t>
      </w:r>
    </w:p>
    <w:p>
      <w:pPr>
        <w:pStyle w:val="Heading5"/>
        <w:spacing w:before="180"/>
      </w:pPr>
      <w:bookmarkStart w:id="60" w:name="_Toc96086305"/>
      <w:r>
        <w:rPr>
          <w:rStyle w:val="CharSectno"/>
        </w:rPr>
        <w:t>19</w:t>
      </w:r>
      <w:r>
        <w:t>.</w:t>
      </w:r>
      <w:r>
        <w:tab/>
        <w:t>Amount of grant</w:t>
      </w:r>
      <w:bookmarkEnd w:id="60"/>
    </w:p>
    <w:p>
      <w:pPr>
        <w:pStyle w:val="Subsection"/>
      </w:pPr>
      <w:r>
        <w:tab/>
        <w:t>(1)</w:t>
      </w:r>
      <w:r>
        <w:tab/>
        <w:t xml:space="preserve">In this section — </w:t>
      </w:r>
    </w:p>
    <w:p>
      <w:pPr>
        <w:pStyle w:val="Defstar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lastRenderedPageBreak/>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keepNext/>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lastRenderedPageBreak/>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pPr>
      <w:r>
        <w:tab/>
        <w:t>(g)</w:t>
      </w:r>
      <w:r>
        <w:tab/>
        <w:t>in the case of a class 8 eligible transaction within the meaning of section 14B — $15 000.</w:t>
      </w:r>
    </w:p>
    <w:p>
      <w:pPr>
        <w:pStyle w:val="Footnotesection"/>
      </w:pPr>
      <w:r>
        <w:tab/>
        <w:t>[Section 19 amended: No. 14 of 2001 s. 6; No. 13 of 2003 s. 6; No. 27 of 2009 s. 6 and 15; No. 10 of 2013 s. 43; No. 27 of 2015 s. 7; No. 16 of 2017 s. 10.]</w:t>
      </w:r>
    </w:p>
    <w:p>
      <w:pPr>
        <w:pStyle w:val="Heading5"/>
        <w:spacing w:before="180"/>
      </w:pPr>
      <w:bookmarkStart w:id="61" w:name="_Toc96086306"/>
      <w:r>
        <w:rPr>
          <w:rStyle w:val="CharSectno"/>
        </w:rPr>
        <w:lastRenderedPageBreak/>
        <w:t>20</w:t>
      </w:r>
      <w:r>
        <w:t>.</w:t>
      </w:r>
      <w:r>
        <w:tab/>
        <w:t>Payment of grant</w:t>
      </w:r>
      <w:bookmarkEnd w:id="61"/>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62" w:name="_Toc96086307"/>
      <w:r>
        <w:rPr>
          <w:rStyle w:val="CharSectno"/>
        </w:rPr>
        <w:t>21</w:t>
      </w:r>
      <w:r>
        <w:t>.</w:t>
      </w:r>
      <w:r>
        <w:tab/>
        <w:t>Payment in anticipation of compliance with residence requirement</w:t>
      </w:r>
      <w:bookmarkEnd w:id="62"/>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does not comply with the requirement under section 13(4); or</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lastRenderedPageBreak/>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lastRenderedPageBreak/>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No. 13 of 2003 s. 7; No. 52 of 2004 s. 11.]</w:t>
      </w:r>
    </w:p>
    <w:p>
      <w:pPr>
        <w:pStyle w:val="Heading5"/>
      </w:pPr>
      <w:bookmarkStart w:id="63" w:name="_Toc96086308"/>
      <w:r>
        <w:rPr>
          <w:rStyle w:val="CharSectno"/>
        </w:rPr>
        <w:t>22</w:t>
      </w:r>
      <w:r>
        <w:t>.</w:t>
      </w:r>
      <w:r>
        <w:tab/>
        <w:t>Commissioner may impose conditions</w:t>
      </w:r>
      <w:bookmarkEnd w:id="63"/>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No. 16 of 2017 s. 11.]</w:t>
      </w:r>
    </w:p>
    <w:p>
      <w:pPr>
        <w:pStyle w:val="Heading5"/>
      </w:pPr>
      <w:bookmarkStart w:id="64" w:name="_Toc96086309"/>
      <w:r>
        <w:rPr>
          <w:rStyle w:val="CharSectno"/>
        </w:rPr>
        <w:lastRenderedPageBreak/>
        <w:t>23</w:t>
      </w:r>
      <w:r>
        <w:t>.</w:t>
      </w:r>
      <w:r>
        <w:tab/>
        <w:t>Death of applicant</w:t>
      </w:r>
      <w:bookmarkEnd w:id="64"/>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No. 52 of 2004 s. 12.]</w:t>
      </w:r>
    </w:p>
    <w:p>
      <w:pPr>
        <w:pStyle w:val="Heading5"/>
      </w:pPr>
      <w:bookmarkStart w:id="65" w:name="_Toc96086310"/>
      <w:r>
        <w:rPr>
          <w:rStyle w:val="CharSectno"/>
        </w:rPr>
        <w:t>24</w:t>
      </w:r>
      <w:r>
        <w:rPr>
          <w:snapToGrid w:val="0"/>
        </w:rPr>
        <w:t>.</w:t>
      </w:r>
      <w:r>
        <w:rPr>
          <w:snapToGrid w:val="0"/>
        </w:rPr>
        <w:tab/>
        <w:t>Power to correct decision</w:t>
      </w:r>
      <w:bookmarkEnd w:id="65"/>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lastRenderedPageBreak/>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66" w:name="_Toc96086311"/>
      <w:r>
        <w:rPr>
          <w:rStyle w:val="CharSectno"/>
        </w:rPr>
        <w:t>25</w:t>
      </w:r>
      <w:r>
        <w:rPr>
          <w:snapToGrid w:val="0"/>
        </w:rPr>
        <w:t>.</w:t>
      </w:r>
      <w:r>
        <w:rPr>
          <w:snapToGrid w:val="0"/>
        </w:rPr>
        <w:tab/>
        <w:t>Notice of decision</w:t>
      </w:r>
      <w:bookmarkEnd w:id="66"/>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67" w:name="_Toc96080718"/>
      <w:bookmarkStart w:id="68" w:name="_Toc96081502"/>
      <w:bookmarkStart w:id="69" w:name="_Toc96086312"/>
      <w:r>
        <w:rPr>
          <w:rStyle w:val="CharDivNo"/>
        </w:rPr>
        <w:t>Division 6</w:t>
      </w:r>
      <w:r>
        <w:t xml:space="preserve"> — </w:t>
      </w:r>
      <w:r>
        <w:rPr>
          <w:rStyle w:val="CharDivText"/>
        </w:rPr>
        <w:t>Objections and review</w:t>
      </w:r>
      <w:bookmarkEnd w:id="67"/>
      <w:bookmarkEnd w:id="68"/>
      <w:bookmarkEnd w:id="69"/>
    </w:p>
    <w:p>
      <w:pPr>
        <w:pStyle w:val="Footnoteheading"/>
      </w:pPr>
      <w:r>
        <w:tab/>
        <w:t>[Heading amended: No. 55 of 2004 s. 374.]</w:t>
      </w:r>
    </w:p>
    <w:p>
      <w:pPr>
        <w:pStyle w:val="Heading4"/>
      </w:pPr>
      <w:bookmarkStart w:id="70" w:name="_Toc96080719"/>
      <w:bookmarkStart w:id="71" w:name="_Toc96081503"/>
      <w:bookmarkStart w:id="72" w:name="_Toc96086313"/>
      <w:r>
        <w:t>Subdivision 1 — Definitions</w:t>
      </w:r>
      <w:bookmarkEnd w:id="70"/>
      <w:bookmarkEnd w:id="71"/>
      <w:bookmarkEnd w:id="72"/>
    </w:p>
    <w:p>
      <w:pPr>
        <w:pStyle w:val="Heading5"/>
      </w:pPr>
      <w:bookmarkStart w:id="73" w:name="_Toc96086314"/>
      <w:r>
        <w:rPr>
          <w:rStyle w:val="CharSectno"/>
        </w:rPr>
        <w:t>26</w:t>
      </w:r>
      <w:r>
        <w:t>.</w:t>
      </w:r>
      <w:r>
        <w:tab/>
        <w:t>Terms used</w:t>
      </w:r>
      <w:bookmarkEnd w:id="73"/>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lastRenderedPageBreak/>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keepNext/>
      </w:pPr>
      <w:r>
        <w:tab/>
      </w:r>
      <w:r>
        <w:rPr>
          <w:rStyle w:val="CharDefText"/>
        </w:rPr>
        <w:t>objector</w:t>
      </w:r>
      <w:r>
        <w:t xml:space="preserve"> means a person who makes an objection under section 27.</w:t>
      </w:r>
    </w:p>
    <w:p>
      <w:pPr>
        <w:pStyle w:val="Footnotesection"/>
      </w:pPr>
      <w:r>
        <w:tab/>
        <w:t>[Section 26 amended: No. 13 of 2003 s. 8; No. 27 of 2009 s. 12 and 16; No. 16 of 2017 s. 12.]</w:t>
      </w:r>
    </w:p>
    <w:p>
      <w:pPr>
        <w:pStyle w:val="Heading4"/>
      </w:pPr>
      <w:bookmarkStart w:id="74" w:name="_Toc96080721"/>
      <w:bookmarkStart w:id="75" w:name="_Toc96081505"/>
      <w:bookmarkStart w:id="76" w:name="_Toc96086315"/>
      <w:r>
        <w:t>Subdivision 2 — Objections</w:t>
      </w:r>
      <w:bookmarkEnd w:id="74"/>
      <w:bookmarkEnd w:id="75"/>
      <w:bookmarkEnd w:id="76"/>
    </w:p>
    <w:p>
      <w:pPr>
        <w:pStyle w:val="Heading5"/>
        <w:spacing w:before="180"/>
      </w:pPr>
      <w:bookmarkStart w:id="77" w:name="_Toc96086316"/>
      <w:r>
        <w:rPr>
          <w:rStyle w:val="CharSectno"/>
        </w:rPr>
        <w:t>27</w:t>
      </w:r>
      <w:r>
        <w:t>.</w:t>
      </w:r>
      <w:r>
        <w:tab/>
        <w:t>Right to object and procedure for making objections</w:t>
      </w:r>
      <w:bookmarkEnd w:id="77"/>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 and</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78" w:name="_Toc96086317"/>
      <w:r>
        <w:rPr>
          <w:rStyle w:val="CharSectno"/>
        </w:rPr>
        <w:t>28</w:t>
      </w:r>
      <w:r>
        <w:t>.</w:t>
      </w:r>
      <w:r>
        <w:tab/>
        <w:t>Time for lodging objection</w:t>
      </w:r>
      <w:bookmarkEnd w:id="78"/>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lastRenderedPageBreak/>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keepNext/>
      </w:pPr>
      <w:r>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 No. 27 of 2009 s. 7; No. 32 of 2012 s. 29; No. 16 of 2017 s. 13.]</w:t>
      </w:r>
    </w:p>
    <w:p>
      <w:pPr>
        <w:pStyle w:val="Heading5"/>
        <w:rPr>
          <w:highlight w:val="cyan"/>
        </w:rPr>
      </w:pPr>
      <w:bookmarkStart w:id="79" w:name="_Toc96086318"/>
      <w:r>
        <w:rPr>
          <w:rStyle w:val="CharSectno"/>
        </w:rPr>
        <w:t>29A</w:t>
      </w:r>
      <w:r>
        <w:t>.</w:t>
      </w:r>
      <w:r>
        <w:tab/>
        <w:t xml:space="preserve">Relationship with </w:t>
      </w:r>
      <w:r>
        <w:rPr>
          <w:i/>
        </w:rPr>
        <w:t>Duties Act 2008</w:t>
      </w:r>
      <w:r>
        <w:t xml:space="preserve"> and </w:t>
      </w:r>
      <w:r>
        <w:rPr>
          <w:i/>
        </w:rPr>
        <w:t>Taxation Administration Act 2003</w:t>
      </w:r>
      <w:bookmarkEnd w:id="79"/>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lastRenderedPageBreak/>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keepNext/>
      </w:pPr>
      <w:r>
        <w:lastRenderedPageBreak/>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 xml:space="preserve">the 90 day and 120 day periods referred to in section 30A are to be increased by the number of days in the period commencing on the day after the day on which the objection was lodged with </w:t>
      </w:r>
      <w:r>
        <w:lastRenderedPageBreak/>
        <w:t>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No. 32 of 2012 s. 30.]</w:t>
      </w:r>
    </w:p>
    <w:p>
      <w:pPr>
        <w:pStyle w:val="Heading5"/>
      </w:pPr>
      <w:bookmarkStart w:id="80" w:name="_Toc96086319"/>
      <w:r>
        <w:rPr>
          <w:rStyle w:val="CharSectno"/>
        </w:rPr>
        <w:t>29</w:t>
      </w:r>
      <w:r>
        <w:rPr>
          <w:snapToGrid w:val="0"/>
        </w:rPr>
        <w:t>.</w:t>
      </w:r>
      <w:r>
        <w:rPr>
          <w:snapToGrid w:val="0"/>
        </w:rPr>
        <w:tab/>
        <w:t>Consideration of objection</w:t>
      </w:r>
      <w:bookmarkEnd w:id="80"/>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81" w:name="_Toc96086320"/>
      <w:r>
        <w:rPr>
          <w:rStyle w:val="CharSectno"/>
        </w:rPr>
        <w:lastRenderedPageBreak/>
        <w:t>30A</w:t>
      </w:r>
      <w:r>
        <w:t>.</w:t>
      </w:r>
      <w:r>
        <w:tab/>
        <w:t>Time limit for making decision on objection</w:t>
      </w:r>
      <w:bookmarkEnd w:id="81"/>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lastRenderedPageBreak/>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No. 32 of 2012 s. 31.]</w:t>
      </w:r>
    </w:p>
    <w:p>
      <w:pPr>
        <w:pStyle w:val="Heading5"/>
        <w:spacing w:before="180"/>
      </w:pPr>
      <w:bookmarkStart w:id="82" w:name="_Toc96086321"/>
      <w:r>
        <w:rPr>
          <w:rStyle w:val="CharSectno"/>
        </w:rPr>
        <w:t>30</w:t>
      </w:r>
      <w:r>
        <w:rPr>
          <w:snapToGrid w:val="0"/>
        </w:rPr>
        <w:t>.</w:t>
      </w:r>
      <w:r>
        <w:rPr>
          <w:snapToGrid w:val="0"/>
        </w:rPr>
        <w:tab/>
        <w:t>Decision on objection</w:t>
      </w:r>
      <w:bookmarkEnd w:id="82"/>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lastRenderedPageBreak/>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 xml:space="preserve">interest at the prescribed rate on the amounts payable to the applicant under paragraphs (a) and (b) from the date </w:t>
      </w:r>
      <w:r>
        <w:lastRenderedPageBreak/>
        <w:t>the amount was paid by the applicant to the date approved for the repayment.</w:t>
      </w:r>
    </w:p>
    <w:p>
      <w:pPr>
        <w:pStyle w:val="Footnotesection"/>
      </w:pPr>
      <w:r>
        <w:tab/>
        <w:t>[Section 30 amended: No. 27 of 2009 s. 17; No. 16 of 2017 s. 14.]</w:t>
      </w:r>
    </w:p>
    <w:p>
      <w:pPr>
        <w:pStyle w:val="Heading4"/>
        <w:spacing w:before="200"/>
      </w:pPr>
      <w:bookmarkStart w:id="83" w:name="_Toc96080728"/>
      <w:bookmarkStart w:id="84" w:name="_Toc96081512"/>
      <w:bookmarkStart w:id="85" w:name="_Toc96086322"/>
      <w:r>
        <w:rPr>
          <w:snapToGrid w:val="0"/>
        </w:rPr>
        <w:t xml:space="preserve">Subdivision 3 — </w:t>
      </w:r>
      <w:r>
        <w:t>Review</w:t>
      </w:r>
      <w:bookmarkEnd w:id="83"/>
      <w:bookmarkEnd w:id="84"/>
      <w:bookmarkEnd w:id="85"/>
    </w:p>
    <w:p>
      <w:pPr>
        <w:pStyle w:val="Footnoteheading"/>
        <w:spacing w:before="100"/>
      </w:pPr>
      <w:r>
        <w:tab/>
        <w:t>[Heading amended: No. 55 of 2004 s. 375.]</w:t>
      </w:r>
    </w:p>
    <w:p>
      <w:pPr>
        <w:pStyle w:val="Heading5"/>
      </w:pPr>
      <w:bookmarkStart w:id="86" w:name="_Toc96086323"/>
      <w:r>
        <w:rPr>
          <w:rStyle w:val="CharSectno"/>
        </w:rPr>
        <w:t>31</w:t>
      </w:r>
      <w:r>
        <w:t>.</w:t>
      </w:r>
      <w:r>
        <w:tab/>
        <w:t>Right of review</w:t>
      </w:r>
      <w:bookmarkEnd w:id="86"/>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No. 55 of 2004 s. 376; No. 32 of 2012 s. 32.]</w:t>
      </w:r>
    </w:p>
    <w:p>
      <w:pPr>
        <w:pStyle w:val="Heading5"/>
      </w:pPr>
      <w:bookmarkStart w:id="87" w:name="_Toc96086324"/>
      <w:r>
        <w:rPr>
          <w:rStyle w:val="CharSectno"/>
        </w:rPr>
        <w:t>32</w:t>
      </w:r>
      <w:r>
        <w:t>.</w:t>
      </w:r>
      <w:r>
        <w:tab/>
        <w:t>Payment following determination of review</w:t>
      </w:r>
      <w:bookmarkEnd w:id="87"/>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lastRenderedPageBreak/>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keepNext/>
        <w:keepLines/>
      </w:pPr>
      <w:r>
        <w:lastRenderedPageBreak/>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No. 27 of 2009 s. 18; amended: No. 16 of 2017 s. 15.]</w:t>
      </w:r>
    </w:p>
    <w:p>
      <w:pPr>
        <w:pStyle w:val="Footnoteheading"/>
      </w:pPr>
      <w:r>
        <w:tab/>
        <w:t>[Heading deleted: No. 55 of 2004 s. 378.]</w:t>
      </w:r>
    </w:p>
    <w:p>
      <w:pPr>
        <w:pStyle w:val="Ednotesection"/>
      </w:pPr>
      <w:r>
        <w:t>[</w:t>
      </w:r>
      <w:r>
        <w:rPr>
          <w:b/>
        </w:rPr>
        <w:t>33.</w:t>
      </w:r>
      <w:r>
        <w:tab/>
        <w:t>Deleted: No. 55 of 2004 s. 379.]</w:t>
      </w:r>
    </w:p>
    <w:p>
      <w:pPr>
        <w:pStyle w:val="Heading2"/>
      </w:pPr>
      <w:bookmarkStart w:id="88" w:name="_Toc96080731"/>
      <w:bookmarkStart w:id="89" w:name="_Toc96081515"/>
      <w:bookmarkStart w:id="90" w:name="_Toc96086325"/>
      <w:r>
        <w:rPr>
          <w:rStyle w:val="CharPartNo"/>
        </w:rPr>
        <w:lastRenderedPageBreak/>
        <w:t>Part 3</w:t>
      </w:r>
      <w:r>
        <w:t xml:space="preserve"> — </w:t>
      </w:r>
      <w:r>
        <w:rPr>
          <w:rStyle w:val="CharPartText"/>
        </w:rPr>
        <w:t>Administration</w:t>
      </w:r>
      <w:bookmarkEnd w:id="88"/>
      <w:bookmarkEnd w:id="89"/>
      <w:bookmarkEnd w:id="90"/>
    </w:p>
    <w:p>
      <w:pPr>
        <w:pStyle w:val="Heading3"/>
      </w:pPr>
      <w:bookmarkStart w:id="91" w:name="_Toc96080732"/>
      <w:bookmarkStart w:id="92" w:name="_Toc96081516"/>
      <w:bookmarkStart w:id="93" w:name="_Toc96086326"/>
      <w:r>
        <w:rPr>
          <w:rStyle w:val="CharDivNo"/>
        </w:rPr>
        <w:t>Division 1</w:t>
      </w:r>
      <w:r>
        <w:t xml:space="preserve"> — </w:t>
      </w:r>
      <w:r>
        <w:rPr>
          <w:rStyle w:val="CharDivText"/>
        </w:rPr>
        <w:t>Administration generally</w:t>
      </w:r>
      <w:bookmarkEnd w:id="91"/>
      <w:bookmarkEnd w:id="92"/>
      <w:bookmarkEnd w:id="93"/>
    </w:p>
    <w:p>
      <w:pPr>
        <w:pStyle w:val="Heading5"/>
        <w:spacing w:before="180"/>
      </w:pPr>
      <w:bookmarkStart w:id="94" w:name="_Toc96086327"/>
      <w:r>
        <w:rPr>
          <w:rStyle w:val="CharSectno"/>
        </w:rPr>
        <w:t>34</w:t>
      </w:r>
      <w:r>
        <w:t>.</w:t>
      </w:r>
      <w:r>
        <w:tab/>
        <w:t>Administration of Act</w:t>
      </w:r>
      <w:bookmarkEnd w:id="94"/>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No. 31 of 2008 s. 33.]</w:t>
      </w:r>
    </w:p>
    <w:p>
      <w:pPr>
        <w:pStyle w:val="Heading5"/>
        <w:spacing w:before="180"/>
      </w:pPr>
      <w:bookmarkStart w:id="95" w:name="_Toc96086328"/>
      <w:r>
        <w:rPr>
          <w:rStyle w:val="CharSectno"/>
        </w:rPr>
        <w:t>35</w:t>
      </w:r>
      <w:r>
        <w:t>.</w:t>
      </w:r>
      <w:r>
        <w:tab/>
        <w:t>Delegation</w:t>
      </w:r>
      <w:bookmarkEnd w:id="95"/>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 or</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lastRenderedPageBreak/>
        <w:tab/>
        <w:t>(6)</w:t>
      </w:r>
      <w:r>
        <w:tab/>
        <w:t>Nothing in this section or section 37 limits the ability of the Commissioner to act through the Commissioner’s officers and agents in the normal course of business.</w:t>
      </w:r>
    </w:p>
    <w:p>
      <w:pPr>
        <w:pStyle w:val="Heading5"/>
      </w:pPr>
      <w:bookmarkStart w:id="96" w:name="_Toc96086329"/>
      <w:r>
        <w:rPr>
          <w:rStyle w:val="CharSectno"/>
        </w:rPr>
        <w:t>36</w:t>
      </w:r>
      <w:r>
        <w:t>.</w:t>
      </w:r>
      <w:r>
        <w:tab/>
        <w:t>Authorised investigators</w:t>
      </w:r>
      <w:bookmarkEnd w:id="96"/>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97" w:name="_Toc96086330"/>
      <w:r>
        <w:rPr>
          <w:rStyle w:val="CharSectno"/>
        </w:rPr>
        <w:t>37</w:t>
      </w:r>
      <w:r>
        <w:t>.</w:t>
      </w:r>
      <w:r>
        <w:tab/>
        <w:t>Administration agreements</w:t>
      </w:r>
      <w:bookmarkEnd w:id="97"/>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grant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lastRenderedPageBreak/>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Footnotesection"/>
      </w:pPr>
      <w:r>
        <w:tab/>
        <w:t>[Section 37 amended: No. 1 of 2022 s. 11.]</w:t>
      </w:r>
    </w:p>
    <w:p>
      <w:pPr>
        <w:pStyle w:val="Heading3"/>
      </w:pPr>
      <w:bookmarkStart w:id="98" w:name="_Toc96080737"/>
      <w:bookmarkStart w:id="99" w:name="_Toc96081521"/>
      <w:bookmarkStart w:id="100" w:name="_Toc96086331"/>
      <w:r>
        <w:rPr>
          <w:rStyle w:val="CharDivNo"/>
        </w:rPr>
        <w:t>Division 2</w:t>
      </w:r>
      <w:r>
        <w:t xml:space="preserve"> — </w:t>
      </w:r>
      <w:r>
        <w:rPr>
          <w:rStyle w:val="CharDivText"/>
        </w:rPr>
        <w:t>Investigations</w:t>
      </w:r>
      <w:bookmarkEnd w:id="98"/>
      <w:bookmarkEnd w:id="99"/>
      <w:bookmarkEnd w:id="100"/>
    </w:p>
    <w:p>
      <w:pPr>
        <w:pStyle w:val="Heading5"/>
      </w:pPr>
      <w:bookmarkStart w:id="101" w:name="_Toc96086332"/>
      <w:r>
        <w:rPr>
          <w:rStyle w:val="CharSectno"/>
        </w:rPr>
        <w:t>38</w:t>
      </w:r>
      <w:r>
        <w:t>.</w:t>
      </w:r>
      <w:r>
        <w:tab/>
        <w:t>Investigations</w:t>
      </w:r>
      <w:bookmarkEnd w:id="101"/>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r>
        <w:t xml:space="preserve"> or</w:t>
      </w:r>
    </w:p>
    <w:p>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102" w:name="_Toc96086333"/>
      <w:r>
        <w:rPr>
          <w:rStyle w:val="CharSectno"/>
        </w:rPr>
        <w:lastRenderedPageBreak/>
        <w:t>39</w:t>
      </w:r>
      <w:r>
        <w:rPr>
          <w:snapToGrid w:val="0"/>
        </w:rPr>
        <w:t>.</w:t>
      </w:r>
      <w:r>
        <w:rPr>
          <w:snapToGrid w:val="0"/>
        </w:rPr>
        <w:tab/>
        <w:t>Cross</w:t>
      </w:r>
      <w:r>
        <w:rPr>
          <w:snapToGrid w:val="0"/>
        </w:rPr>
        <w:noBreakHyphen/>
        <w:t>border investigations</w:t>
      </w:r>
      <w:bookmarkEnd w:id="102"/>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103" w:name="_Toc96086334"/>
      <w:r>
        <w:rPr>
          <w:rStyle w:val="CharSectno"/>
        </w:rPr>
        <w:t>40</w:t>
      </w:r>
      <w:r>
        <w:rPr>
          <w:snapToGrid w:val="0"/>
        </w:rPr>
        <w:t>.</w:t>
      </w:r>
      <w:r>
        <w:rPr>
          <w:snapToGrid w:val="0"/>
        </w:rPr>
        <w:tab/>
        <w:t>Power of investigation</w:t>
      </w:r>
      <w:bookmarkEnd w:id="103"/>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104" w:name="_Toc96086335"/>
      <w:r>
        <w:rPr>
          <w:rStyle w:val="CharSectno"/>
        </w:rPr>
        <w:lastRenderedPageBreak/>
        <w:t>41A.</w:t>
      </w:r>
      <w:r>
        <w:rPr>
          <w:rStyle w:val="CharSectno"/>
        </w:rPr>
        <w:tab/>
        <w:t>P</w:t>
      </w:r>
      <w:r>
        <w:t>ower to have valuation made</w:t>
      </w:r>
      <w:bookmarkEnd w:id="104"/>
    </w:p>
    <w:p>
      <w:pPr>
        <w:pStyle w:val="Subsection"/>
        <w:keepNext/>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No. 27 of 2009 s. 13.]</w:t>
      </w:r>
    </w:p>
    <w:p>
      <w:pPr>
        <w:pStyle w:val="Heading5"/>
      </w:pPr>
      <w:bookmarkStart w:id="105" w:name="_Toc96086336"/>
      <w:r>
        <w:rPr>
          <w:rStyle w:val="CharSectno"/>
        </w:rPr>
        <w:t>41</w:t>
      </w:r>
      <w:r>
        <w:t>.</w:t>
      </w:r>
      <w:r>
        <w:tab/>
        <w:t>Power to require person to attend for examination</w:t>
      </w:r>
      <w:bookmarkEnd w:id="105"/>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lastRenderedPageBreak/>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 and</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106" w:name="_Toc96086337"/>
      <w:r>
        <w:rPr>
          <w:rStyle w:val="CharSectno"/>
        </w:rPr>
        <w:t>42</w:t>
      </w:r>
      <w:r>
        <w:t>.</w:t>
      </w:r>
      <w:r>
        <w:tab/>
        <w:t>Entry of premises</w:t>
      </w:r>
      <w:bookmarkEnd w:id="106"/>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 or</w:t>
      </w:r>
    </w:p>
    <w:p>
      <w:pPr>
        <w:pStyle w:val="Indenta"/>
      </w:pPr>
      <w:r>
        <w:lastRenderedPageBreak/>
        <w:tab/>
        <w:t>(b)</w:t>
      </w:r>
      <w:r>
        <w:tab/>
        <w:t>in accordance with the authorisation conferred by a warrant; or</w:t>
      </w:r>
    </w:p>
    <w:p>
      <w:pPr>
        <w:pStyle w:val="Indenta"/>
        <w:keepNext/>
        <w:keepLines/>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107" w:name="_Toc96086338"/>
      <w:r>
        <w:rPr>
          <w:rStyle w:val="CharSectno"/>
        </w:rPr>
        <w:t>43</w:t>
      </w:r>
      <w:r>
        <w:t>.</w:t>
      </w:r>
      <w:r>
        <w:tab/>
        <w:t>Powers of authorised investigator on entry of premises</w:t>
      </w:r>
      <w:bookmarkEnd w:id="107"/>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for examining it, or examining and copying it, to determine its evidentiary value; or</w:t>
      </w:r>
    </w:p>
    <w:p>
      <w:pPr>
        <w:pStyle w:val="Indenti"/>
      </w:pPr>
      <w:r>
        <w:tab/>
        <w:t>(ii)</w:t>
      </w:r>
      <w:r>
        <w:tab/>
        <w:t xml:space="preserve">if it is relevant to an investigation of the eligibility for a first home owner grant of a person — </w:t>
      </w:r>
    </w:p>
    <w:p>
      <w:pPr>
        <w:pStyle w:val="IndentI0"/>
      </w:pPr>
      <w:r>
        <w:lastRenderedPageBreak/>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to state his or her full name and address; or</w:t>
      </w:r>
    </w:p>
    <w:p>
      <w:pPr>
        <w:pStyle w:val="Indenti"/>
      </w:pPr>
      <w:r>
        <w:tab/>
        <w:t>(ii)</w:t>
      </w:r>
      <w:r>
        <w:tab/>
        <w:t>to answer (orally or in writing) questions put by the authorised investigator relevant to the investigation; or</w:t>
      </w:r>
    </w:p>
    <w:p>
      <w:pPr>
        <w:pStyle w:val="Indenti"/>
      </w:pPr>
      <w:r>
        <w:tab/>
        <w:t>(iii)</w:t>
      </w:r>
      <w:r>
        <w:tab/>
        <w:t>to produce relevant material in the person’s possession or control; or</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lastRenderedPageBreak/>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108" w:name="_Toc96086339"/>
      <w:r>
        <w:rPr>
          <w:rStyle w:val="CharSectno"/>
        </w:rPr>
        <w:t>44</w:t>
      </w:r>
      <w:r>
        <w:t>.</w:t>
      </w:r>
      <w:r>
        <w:tab/>
        <w:t>Warrants</w:t>
      </w:r>
      <w:bookmarkEnd w:id="108"/>
    </w:p>
    <w:p>
      <w:pPr>
        <w:pStyle w:val="Subsection"/>
      </w:pPr>
      <w:r>
        <w:tab/>
        <w:t>(1)</w:t>
      </w:r>
      <w:r>
        <w:tab/>
        <w:t xml:space="preserve">If a justice is satisfied on an application supported by evidence on oath that it is reasonably necessary for an authorised investigator to enter premises for the purposes of an </w:t>
      </w:r>
      <w:r>
        <w:lastRenderedPageBreak/>
        <w:t>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No. 84 of 2004 s. 80.]</w:t>
      </w:r>
    </w:p>
    <w:p>
      <w:pPr>
        <w:pStyle w:val="Heading5"/>
      </w:pPr>
      <w:bookmarkStart w:id="109" w:name="_Toc96086340"/>
      <w:r>
        <w:rPr>
          <w:rStyle w:val="CharSectno"/>
        </w:rPr>
        <w:t>45</w:t>
      </w:r>
      <w:r>
        <w:t>.</w:t>
      </w:r>
      <w:r>
        <w:tab/>
        <w:t>Use of force</w:t>
      </w:r>
      <w:bookmarkEnd w:id="109"/>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110" w:name="_Toc96086341"/>
      <w:r>
        <w:rPr>
          <w:rStyle w:val="CharSectno"/>
        </w:rPr>
        <w:t>46</w:t>
      </w:r>
      <w:r>
        <w:t>.</w:t>
      </w:r>
      <w:r>
        <w:tab/>
        <w:t>Self incrimination</w:t>
      </w:r>
      <w:bookmarkEnd w:id="110"/>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lastRenderedPageBreak/>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111" w:name="_Toc96080748"/>
      <w:bookmarkStart w:id="112" w:name="_Toc96081532"/>
      <w:bookmarkStart w:id="113" w:name="_Toc96086342"/>
      <w:r>
        <w:rPr>
          <w:rStyle w:val="CharPartNo"/>
        </w:rPr>
        <w:lastRenderedPageBreak/>
        <w:t>Part 4</w:t>
      </w:r>
      <w:r>
        <w:t xml:space="preserve"> — </w:t>
      </w:r>
      <w:r>
        <w:rPr>
          <w:rStyle w:val="CharPartText"/>
        </w:rPr>
        <w:t>Miscellaneous</w:t>
      </w:r>
      <w:bookmarkEnd w:id="111"/>
      <w:bookmarkEnd w:id="112"/>
      <w:bookmarkEnd w:id="113"/>
    </w:p>
    <w:p>
      <w:pPr>
        <w:pStyle w:val="Heading3"/>
      </w:pPr>
      <w:bookmarkStart w:id="114" w:name="_Toc96080749"/>
      <w:bookmarkStart w:id="115" w:name="_Toc96081533"/>
      <w:bookmarkStart w:id="116" w:name="_Toc96086343"/>
      <w:r>
        <w:rPr>
          <w:rStyle w:val="CharDivNo"/>
        </w:rPr>
        <w:t>Division 1</w:t>
      </w:r>
      <w:r>
        <w:t xml:space="preserve"> — </w:t>
      </w:r>
      <w:r>
        <w:rPr>
          <w:rStyle w:val="CharDivText"/>
        </w:rPr>
        <w:t>Offences</w:t>
      </w:r>
      <w:bookmarkEnd w:id="114"/>
      <w:bookmarkEnd w:id="115"/>
      <w:bookmarkEnd w:id="116"/>
    </w:p>
    <w:p>
      <w:pPr>
        <w:pStyle w:val="Heading5"/>
        <w:spacing w:before="180"/>
      </w:pPr>
      <w:bookmarkStart w:id="117" w:name="_Toc96086344"/>
      <w:r>
        <w:rPr>
          <w:rStyle w:val="CharSectno"/>
        </w:rPr>
        <w:t>47</w:t>
      </w:r>
      <w:r>
        <w:t>.</w:t>
      </w:r>
      <w:r>
        <w:tab/>
        <w:t>False or misleading information and documents</w:t>
      </w:r>
      <w:bookmarkEnd w:id="117"/>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No. 52 of 2004 s. 13.]</w:t>
      </w:r>
    </w:p>
    <w:p>
      <w:pPr>
        <w:pStyle w:val="Heading5"/>
      </w:pPr>
      <w:bookmarkStart w:id="118" w:name="_Toc96086345"/>
      <w:r>
        <w:rPr>
          <w:rStyle w:val="CharSectno"/>
        </w:rPr>
        <w:lastRenderedPageBreak/>
        <w:t>48</w:t>
      </w:r>
      <w:r>
        <w:t>.</w:t>
      </w:r>
      <w:r>
        <w:tab/>
        <w:t>Obstructing or misleading Commissioner or authorised investigator</w:t>
      </w:r>
      <w:bookmarkEnd w:id="118"/>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119" w:name="_Toc96080752"/>
      <w:bookmarkStart w:id="120" w:name="_Toc96081536"/>
      <w:bookmarkStart w:id="121" w:name="_Toc96086346"/>
      <w:r>
        <w:rPr>
          <w:rStyle w:val="CharDivNo"/>
        </w:rPr>
        <w:t>Division 2</w:t>
      </w:r>
      <w:r>
        <w:t xml:space="preserve"> — </w:t>
      </w:r>
      <w:r>
        <w:rPr>
          <w:rStyle w:val="CharDivText"/>
        </w:rPr>
        <w:t>Evidentiary provisions</w:t>
      </w:r>
      <w:bookmarkEnd w:id="119"/>
      <w:bookmarkEnd w:id="120"/>
      <w:bookmarkEnd w:id="121"/>
    </w:p>
    <w:p>
      <w:pPr>
        <w:pStyle w:val="Heading5"/>
      </w:pPr>
      <w:bookmarkStart w:id="122" w:name="_Toc96086347"/>
      <w:r>
        <w:rPr>
          <w:rStyle w:val="CharSectno"/>
        </w:rPr>
        <w:t>49</w:t>
      </w:r>
      <w:r>
        <w:t>.</w:t>
      </w:r>
      <w:r>
        <w:tab/>
        <w:t>Evidence</w:t>
      </w:r>
      <w:bookmarkEnd w:id="122"/>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123" w:name="_Toc96086348"/>
      <w:r>
        <w:rPr>
          <w:rStyle w:val="CharSectno"/>
        </w:rPr>
        <w:t>50</w:t>
      </w:r>
      <w:r>
        <w:t>.</w:t>
      </w:r>
      <w:r>
        <w:tab/>
        <w:t>Presumption of regularity</w:t>
      </w:r>
      <w:bookmarkEnd w:id="123"/>
    </w:p>
    <w:p>
      <w:pPr>
        <w:pStyle w:val="Subsection"/>
      </w:pPr>
      <w:r>
        <w:tab/>
        <w:t>(1)</w:t>
      </w:r>
      <w:r>
        <w:tab/>
        <w:t xml:space="preserve">Proceedings for an offence against this Act that are taken in the name of the Commissioner are presumed, in the absence of </w:t>
      </w:r>
      <w:r>
        <w:lastRenderedPageBreak/>
        <w:t>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124" w:name="_Toc96080755"/>
      <w:bookmarkStart w:id="125" w:name="_Toc96081539"/>
      <w:bookmarkStart w:id="126" w:name="_Toc96086349"/>
      <w:r>
        <w:rPr>
          <w:rStyle w:val="CharDivNo"/>
        </w:rPr>
        <w:t>Division 3</w:t>
      </w:r>
      <w:r>
        <w:t xml:space="preserve"> — </w:t>
      </w:r>
      <w:r>
        <w:rPr>
          <w:rStyle w:val="CharDivText"/>
        </w:rPr>
        <w:t>Repayments and penalties</w:t>
      </w:r>
      <w:bookmarkEnd w:id="124"/>
      <w:bookmarkEnd w:id="125"/>
      <w:bookmarkEnd w:id="126"/>
    </w:p>
    <w:p>
      <w:pPr>
        <w:pStyle w:val="Heading5"/>
      </w:pPr>
      <w:bookmarkStart w:id="127" w:name="_Toc96086350"/>
      <w:r>
        <w:rPr>
          <w:rStyle w:val="CharSectno"/>
        </w:rPr>
        <w:t>51</w:t>
      </w:r>
      <w:r>
        <w:t>.</w:t>
      </w:r>
      <w:r>
        <w:tab/>
        <w:t>Commissioner may require repayment and impose penalty</w:t>
      </w:r>
      <w:bookmarkEnd w:id="127"/>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keepNext/>
      </w:pPr>
      <w:r>
        <w:lastRenderedPageBreak/>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No. 16 of 2017 s. 16.]</w:t>
      </w:r>
    </w:p>
    <w:p>
      <w:pPr>
        <w:pStyle w:val="Heading5"/>
      </w:pPr>
      <w:bookmarkStart w:id="128" w:name="_Toc96086351"/>
      <w:r>
        <w:rPr>
          <w:rStyle w:val="CharSectno"/>
        </w:rPr>
        <w:t>52</w:t>
      </w:r>
      <w:r>
        <w:t>.</w:t>
      </w:r>
      <w:r>
        <w:tab/>
        <w:t>Arrangements for instalments and extensions of time</w:t>
      </w:r>
      <w:bookmarkEnd w:id="128"/>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lastRenderedPageBreak/>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 xml:space="preserve">On the cancellation of a repayment arrangement, the whole of the required repayment outstanding under the arrangement, together with interest, becomes due and payable as from the date of the cancellation or the original due date for making the </w:t>
      </w:r>
      <w:r>
        <w:lastRenderedPageBreak/>
        <w:t>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No. 13 of 2003 s. 9; No. 27 of 2009 s. 14; No. 16 of 2017 s. 17.]</w:t>
      </w:r>
    </w:p>
    <w:p>
      <w:pPr>
        <w:pStyle w:val="Heading5"/>
      </w:pPr>
      <w:bookmarkStart w:id="129" w:name="_Toc96086352"/>
      <w:r>
        <w:rPr>
          <w:rStyle w:val="CharSectno"/>
        </w:rPr>
        <w:t>52A</w:t>
      </w:r>
      <w:r>
        <w:t>.</w:t>
      </w:r>
      <w:r>
        <w:tab/>
        <w:t>Commissioner may recover legal costs</w:t>
      </w:r>
      <w:bookmarkEnd w:id="129"/>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Legal Profession Act 2008</w:t>
      </w:r>
      <w:r>
        <w:t xml:space="preserve"> section 3 — </w:t>
      </w:r>
    </w:p>
    <w:p>
      <w:pPr>
        <w:pStyle w:val="Indenta"/>
      </w:pPr>
      <w:r>
        <w:tab/>
        <w:t>(a)</w:t>
      </w:r>
      <w:r>
        <w:tab/>
        <w:t xml:space="preserve">the notice must include or be accompanied by a written statement setting out the applicant’s right under the </w:t>
      </w:r>
      <w:r>
        <w:rPr>
          <w:i/>
        </w:rPr>
        <w:t>Legal Profession Act 2008</w:t>
      </w:r>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 No. 16 of 2017 s. 18.]</w:t>
      </w:r>
    </w:p>
    <w:p>
      <w:pPr>
        <w:pStyle w:val="Heading5"/>
        <w:pageBreakBefore/>
        <w:spacing w:before="0"/>
      </w:pPr>
      <w:bookmarkStart w:id="130" w:name="_Toc96086353"/>
      <w:r>
        <w:rPr>
          <w:rStyle w:val="CharSectno"/>
        </w:rPr>
        <w:lastRenderedPageBreak/>
        <w:t>53</w:t>
      </w:r>
      <w:r>
        <w:t>.</w:t>
      </w:r>
      <w:r>
        <w:tab/>
        <w:t>Recovery of certain amounts</w:t>
      </w:r>
      <w:bookmarkEnd w:id="130"/>
    </w:p>
    <w:p>
      <w:pPr>
        <w:pStyle w:val="Subsection"/>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 No. 16 of 2017 s. 19.]</w:t>
      </w:r>
    </w:p>
    <w:p>
      <w:pPr>
        <w:pStyle w:val="Heading5"/>
      </w:pPr>
      <w:bookmarkStart w:id="131" w:name="_Toc96086354"/>
      <w:r>
        <w:rPr>
          <w:rStyle w:val="CharSectno"/>
        </w:rPr>
        <w:t>54A</w:t>
      </w:r>
      <w:r>
        <w:t>.</w:t>
      </w:r>
      <w:r>
        <w:tab/>
        <w:t>Recovery from garnishee</w:t>
      </w:r>
      <w:bookmarkEnd w:id="131"/>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lastRenderedPageBreak/>
        <w:tab/>
        <w:t>(c)</w:t>
      </w:r>
      <w:r>
        <w:tab/>
        <w:t>has authority to pay money to a liable person.</w:t>
      </w:r>
    </w:p>
    <w:p>
      <w:pPr>
        <w:pStyle w:val="Subsection"/>
        <w:keepNext/>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lastRenderedPageBreak/>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No. 29 of 2012 s. 11.]</w:t>
      </w:r>
    </w:p>
    <w:p>
      <w:pPr>
        <w:pStyle w:val="Heading5"/>
      </w:pPr>
      <w:bookmarkStart w:id="132" w:name="_Toc96086355"/>
      <w:r>
        <w:rPr>
          <w:rStyle w:val="CharSectno"/>
        </w:rPr>
        <w:t>54</w:t>
      </w:r>
      <w:r>
        <w:t>.</w:t>
      </w:r>
      <w:r>
        <w:tab/>
        <w:t>Writing off liability</w:t>
      </w:r>
      <w:bookmarkEnd w:id="132"/>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No. 77 of 2006 Sch. 1 cl. 67.]</w:t>
      </w:r>
    </w:p>
    <w:p>
      <w:pPr>
        <w:pStyle w:val="Heading3"/>
      </w:pPr>
      <w:bookmarkStart w:id="133" w:name="_Toc96080762"/>
      <w:bookmarkStart w:id="134" w:name="_Toc96081546"/>
      <w:bookmarkStart w:id="135" w:name="_Toc96086356"/>
      <w:r>
        <w:rPr>
          <w:rStyle w:val="CharDivNo"/>
        </w:rPr>
        <w:t>Division 4</w:t>
      </w:r>
      <w:r>
        <w:t xml:space="preserve"> — </w:t>
      </w:r>
      <w:r>
        <w:rPr>
          <w:rStyle w:val="CharDivText"/>
        </w:rPr>
        <w:t>Charge on interest in home</w:t>
      </w:r>
      <w:bookmarkEnd w:id="133"/>
      <w:bookmarkEnd w:id="134"/>
      <w:bookmarkEnd w:id="135"/>
    </w:p>
    <w:p>
      <w:pPr>
        <w:pStyle w:val="Heading5"/>
      </w:pPr>
      <w:bookmarkStart w:id="136" w:name="_Toc96086357"/>
      <w:r>
        <w:rPr>
          <w:rStyle w:val="CharSectno"/>
        </w:rPr>
        <w:t>55</w:t>
      </w:r>
      <w:r>
        <w:t>.</w:t>
      </w:r>
      <w:r>
        <w:tab/>
        <w:t>Lodgement of memorial and creation of charge</w:t>
      </w:r>
      <w:bookmarkEnd w:id="136"/>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lastRenderedPageBreak/>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keepLines/>
      </w:pPr>
      <w:r>
        <w:lastRenderedPageBreak/>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No. 27 of 2009 s. 19.]</w:t>
      </w:r>
    </w:p>
    <w:p>
      <w:pPr>
        <w:pStyle w:val="Heading5"/>
      </w:pPr>
      <w:bookmarkStart w:id="137" w:name="_Toc96086358"/>
      <w:r>
        <w:rPr>
          <w:rStyle w:val="CharSectno"/>
        </w:rPr>
        <w:t>56</w:t>
      </w:r>
      <w:r>
        <w:t>.</w:t>
      </w:r>
      <w:r>
        <w:tab/>
        <w:t>Priority of charge</w:t>
      </w:r>
      <w:bookmarkEnd w:id="137"/>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138" w:name="_Toc96086359"/>
      <w:r>
        <w:rPr>
          <w:rStyle w:val="CharSectno"/>
        </w:rPr>
        <w:t>57</w:t>
      </w:r>
      <w:r>
        <w:t>.</w:t>
      </w:r>
      <w:r>
        <w:tab/>
        <w:t>Release of relevant interest from charge</w:t>
      </w:r>
      <w:bookmarkEnd w:id="138"/>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139" w:name="_Toc96086360"/>
      <w:r>
        <w:rPr>
          <w:rStyle w:val="CharSectno"/>
        </w:rPr>
        <w:t>58</w:t>
      </w:r>
      <w:r>
        <w:t>.</w:t>
      </w:r>
      <w:r>
        <w:tab/>
        <w:t>Order for sale of relevant interest</w:t>
      </w:r>
      <w:bookmarkEnd w:id="139"/>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lastRenderedPageBreak/>
        <w:tab/>
        <w:t>(ii)</w:t>
      </w:r>
      <w:r>
        <w:tab/>
        <w:t>holds a relevant interest in relation to the home for which the grant was sought;</w:t>
      </w:r>
    </w:p>
    <w:p>
      <w:pPr>
        <w:pStyle w:val="Indenta"/>
      </w:pPr>
      <w:r>
        <w:tab/>
      </w:r>
      <w:r>
        <w:tab/>
        <w:t>and</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 and</w:t>
      </w:r>
    </w:p>
    <w:p>
      <w:pPr>
        <w:pStyle w:val="Indenta"/>
      </w:pPr>
      <w:r>
        <w:lastRenderedPageBreak/>
        <w:tab/>
        <w:t>(b)</w:t>
      </w:r>
      <w:r>
        <w:tab/>
        <w:t>authorising an officer of the Court to execute documents, and to do anything else necessary, for the sale and conveyance of the relevant interest; and</w:t>
      </w:r>
    </w:p>
    <w:p>
      <w:pPr>
        <w:pStyle w:val="Indenta"/>
      </w:pPr>
      <w:r>
        <w:tab/>
        <w:t>(c)</w:t>
      </w:r>
      <w:r>
        <w:tab/>
        <w:t>authorising the Registrar to register a transfer to a purchaser without requiring the duplicate (if any) of the certificate of title or any other document; and</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140" w:name="_Toc96086361"/>
      <w:r>
        <w:rPr>
          <w:rStyle w:val="CharSectno"/>
        </w:rPr>
        <w:t>59</w:t>
      </w:r>
      <w:r>
        <w:t>.</w:t>
      </w:r>
      <w:r>
        <w:tab/>
        <w:t>Charge not to limit other means of enforcing payment</w:t>
      </w:r>
      <w:bookmarkEnd w:id="140"/>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141" w:name="_Toc96086362"/>
      <w:r>
        <w:rPr>
          <w:rStyle w:val="CharSectno"/>
        </w:rPr>
        <w:lastRenderedPageBreak/>
        <w:t>60</w:t>
      </w:r>
      <w:r>
        <w:t>.</w:t>
      </w:r>
      <w:r>
        <w:tab/>
        <w:t>Commissioner may require fees to be reimbursed</w:t>
      </w:r>
      <w:bookmarkEnd w:id="141"/>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142" w:name="_Toc96080769"/>
      <w:bookmarkStart w:id="143" w:name="_Toc96081553"/>
      <w:bookmarkStart w:id="144" w:name="_Toc96086363"/>
      <w:r>
        <w:rPr>
          <w:rStyle w:val="CharDivNo"/>
        </w:rPr>
        <w:t>Division 5</w:t>
      </w:r>
      <w:r>
        <w:t xml:space="preserve"> — </w:t>
      </w:r>
      <w:r>
        <w:rPr>
          <w:rStyle w:val="CharDivText"/>
        </w:rPr>
        <w:t>Service of documents</w:t>
      </w:r>
      <w:bookmarkEnd w:id="142"/>
      <w:bookmarkEnd w:id="143"/>
      <w:bookmarkEnd w:id="144"/>
    </w:p>
    <w:p>
      <w:pPr>
        <w:pStyle w:val="Heading5"/>
      </w:pPr>
      <w:bookmarkStart w:id="145" w:name="_Toc96086364"/>
      <w:r>
        <w:rPr>
          <w:rStyle w:val="CharSectno"/>
        </w:rPr>
        <w:t>61</w:t>
      </w:r>
      <w:r>
        <w:t>.</w:t>
      </w:r>
      <w:r>
        <w:tab/>
        <w:t>Service on joint applicants or agent or representative</w:t>
      </w:r>
      <w:bookmarkEnd w:id="145"/>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146" w:name="_Toc96086365"/>
      <w:r>
        <w:rPr>
          <w:rStyle w:val="CharSectno"/>
        </w:rPr>
        <w:t>62</w:t>
      </w:r>
      <w:r>
        <w:t>.</w:t>
      </w:r>
      <w:r>
        <w:tab/>
        <w:t>Method of service by Commissioner</w:t>
      </w:r>
      <w:bookmarkEnd w:id="146"/>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 or</w:t>
      </w:r>
    </w:p>
    <w:p>
      <w:pPr>
        <w:pStyle w:val="Indenta"/>
      </w:pPr>
      <w:r>
        <w:tab/>
        <w:t>(b)</w:t>
      </w:r>
      <w:r>
        <w:tab/>
        <w:t>left for the person at the person’s place of residence or business; or</w:t>
      </w:r>
    </w:p>
    <w:p>
      <w:pPr>
        <w:pStyle w:val="Indenta"/>
        <w:keepLines/>
      </w:pPr>
      <w:r>
        <w:lastRenderedPageBreak/>
        <w:tab/>
        <w:t>(c)</w:t>
      </w:r>
      <w:r>
        <w:tab/>
        <w:t>sent by prepaid post (including document exchange) addressed to the person at an address appearing on correspondence addressed by or on behalf of the person to the Commissioner or otherwise notified to the Commissioner; or</w:t>
      </w:r>
    </w:p>
    <w:p>
      <w:pPr>
        <w:pStyle w:val="Indenta"/>
      </w:pPr>
      <w:r>
        <w:tab/>
        <w:t>(d)</w:t>
      </w:r>
      <w:r>
        <w:tab/>
        <w:t>left for collection by the person, or that person’s agent, in a collection box maintained at the Commissioner’s office; or</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 No. 16 of 2017 s. 20.]</w:t>
      </w:r>
    </w:p>
    <w:p>
      <w:pPr>
        <w:pStyle w:val="Heading5"/>
      </w:pPr>
      <w:bookmarkStart w:id="147" w:name="_Toc96086366"/>
      <w:r>
        <w:rPr>
          <w:rStyle w:val="CharSectno"/>
        </w:rPr>
        <w:t>63</w:t>
      </w:r>
      <w:r>
        <w:t>.</w:t>
      </w:r>
      <w:r>
        <w:tab/>
        <w:t>Service of court process</w:t>
      </w:r>
      <w:bookmarkEnd w:id="147"/>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lastRenderedPageBreak/>
        <w:tab/>
        <w:t>(b)</w:t>
      </w:r>
      <w:r>
        <w:tab/>
        <w:t>if notice of the document is given in accordance with the court’s directions.</w:t>
      </w:r>
    </w:p>
    <w:p>
      <w:pPr>
        <w:pStyle w:val="Heading5"/>
      </w:pPr>
      <w:bookmarkStart w:id="148" w:name="_Toc96086367"/>
      <w:r>
        <w:rPr>
          <w:rStyle w:val="CharSectno"/>
        </w:rPr>
        <w:t>64</w:t>
      </w:r>
      <w:r>
        <w:t>.</w:t>
      </w:r>
      <w:r>
        <w:tab/>
        <w:t>Other enactments not limited</w:t>
      </w:r>
      <w:bookmarkEnd w:id="148"/>
    </w:p>
    <w:p>
      <w:pPr>
        <w:pStyle w:val="Subsection"/>
      </w:pPr>
      <w:r>
        <w:tab/>
      </w:r>
      <w:r>
        <w:tab/>
        <w:t>This Division does not limit any other enactment that provides for the service of documents.</w:t>
      </w:r>
    </w:p>
    <w:p>
      <w:pPr>
        <w:pStyle w:val="Heading3"/>
      </w:pPr>
      <w:bookmarkStart w:id="149" w:name="_Toc96081558"/>
      <w:bookmarkStart w:id="150" w:name="_Toc96086368"/>
      <w:bookmarkStart w:id="151" w:name="_Toc96080774"/>
      <w:r>
        <w:rPr>
          <w:rStyle w:val="CharDivNo"/>
        </w:rPr>
        <w:t>Division 5A</w:t>
      </w:r>
      <w:r>
        <w:t> — </w:t>
      </w:r>
      <w:r>
        <w:rPr>
          <w:rStyle w:val="CharDivText"/>
        </w:rPr>
        <w:t>Emergency grant relief measures</w:t>
      </w:r>
      <w:bookmarkEnd w:id="149"/>
      <w:bookmarkEnd w:id="150"/>
    </w:p>
    <w:p>
      <w:pPr>
        <w:pStyle w:val="Footnoteheading"/>
      </w:pPr>
      <w:r>
        <w:tab/>
        <w:t>[Header inserted: No. 1 of 2022 r. 12.]</w:t>
      </w:r>
    </w:p>
    <w:p>
      <w:pPr>
        <w:pStyle w:val="Heading5"/>
      </w:pPr>
      <w:bookmarkStart w:id="152" w:name="_Toc96086369"/>
      <w:r>
        <w:rPr>
          <w:rStyle w:val="CharSectno"/>
        </w:rPr>
        <w:t>64A</w:t>
      </w:r>
      <w:r>
        <w:t>.</w:t>
      </w:r>
      <w:r>
        <w:tab/>
        <w:t>Grant relief measures</w:t>
      </w:r>
      <w:bookmarkEnd w:id="152"/>
    </w:p>
    <w:p>
      <w:pPr>
        <w:pStyle w:val="Subsection"/>
      </w:pPr>
      <w:r>
        <w:tab/>
        <w:t>(1)</w:t>
      </w:r>
      <w:r>
        <w:tab/>
        <w:t xml:space="preserve">A </w:t>
      </w:r>
      <w:r>
        <w:rPr>
          <w:rStyle w:val="CharDefText"/>
        </w:rPr>
        <w:t>grant relief measure</w:t>
      </w:r>
      <w:r>
        <w:t xml:space="preserve"> is — </w:t>
      </w:r>
    </w:p>
    <w:p>
      <w:pPr>
        <w:pStyle w:val="Indenta"/>
      </w:pPr>
      <w:r>
        <w:tab/>
        <w:t>(a)</w:t>
      </w:r>
      <w:r>
        <w:tab/>
        <w:t>an increase in a grant amount; or</w:t>
      </w:r>
    </w:p>
    <w:p>
      <w:pPr>
        <w:pStyle w:val="Indenta"/>
      </w:pPr>
      <w:r>
        <w:tab/>
        <w:t>(b)</w:t>
      </w:r>
      <w:r>
        <w:tab/>
        <w:t>an increase in a cap amount.</w:t>
      </w:r>
    </w:p>
    <w:p>
      <w:pPr>
        <w:pStyle w:val="Subsection"/>
      </w:pPr>
      <w:r>
        <w:tab/>
        <w:t>(2)</w:t>
      </w:r>
      <w:r>
        <w:tab/>
        <w:t xml:space="preserve">For the purposes of subsection (1)(a), a </w:t>
      </w:r>
      <w:r>
        <w:rPr>
          <w:rStyle w:val="CharDefText"/>
        </w:rPr>
        <w:t>grant amount</w:t>
      </w:r>
      <w:r>
        <w:t xml:space="preserve"> is an amount that, under section 19, is the amount of a first home owner grant in relation to a transaction unless the consideration for the transaction is less than that amount.</w:t>
      </w:r>
    </w:p>
    <w:p>
      <w:pPr>
        <w:pStyle w:val="Footnotesection"/>
      </w:pPr>
      <w:r>
        <w:tab/>
        <w:t>[Section 64A inserted: No. 1 of 2022 s. 12.]</w:t>
      </w:r>
    </w:p>
    <w:p>
      <w:pPr>
        <w:pStyle w:val="Heading5"/>
      </w:pPr>
      <w:bookmarkStart w:id="153" w:name="_Toc96086370"/>
      <w:r>
        <w:rPr>
          <w:rStyle w:val="CharSectno"/>
        </w:rPr>
        <w:t>64B</w:t>
      </w:r>
      <w:r>
        <w:t>.</w:t>
      </w:r>
      <w:r>
        <w:tab/>
        <w:t>Treasurer may declare grant relief measure due to emergency</w:t>
      </w:r>
      <w:bookmarkEnd w:id="153"/>
    </w:p>
    <w:p>
      <w:pPr>
        <w:pStyle w:val="Subsection"/>
      </w:pPr>
      <w:r>
        <w:tab/>
        <w:t>(1)</w:t>
      </w:r>
      <w:r>
        <w:tab/>
        <w:t xml:space="preserve">The Treasurer may, by written instrument, declare 1 or more grant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lastRenderedPageBreak/>
        <w:tab/>
        <w:t>(b)</w:t>
      </w:r>
      <w:r>
        <w:tab/>
        <w:t>the Treasurer considers that the grant relief measure or measures are necessary to provide relief to persons eligible for the first home owner grant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64C, is a </w:t>
      </w:r>
      <w:r>
        <w:rPr>
          <w:rStyle w:val="CharDefText"/>
        </w:rPr>
        <w:t>grant relief declaration</w:t>
      </w:r>
      <w:r>
        <w:t>.</w:t>
      </w:r>
    </w:p>
    <w:p>
      <w:pPr>
        <w:pStyle w:val="Subsection"/>
      </w:pPr>
      <w:r>
        <w:tab/>
        <w:t>(3)</w:t>
      </w:r>
      <w:r>
        <w:tab/>
        <w:t xml:space="preserve">A grant relief declaration must specify the emergency declaration (the </w:t>
      </w:r>
      <w:r>
        <w:rPr>
          <w:rStyle w:val="CharDefText"/>
        </w:rPr>
        <w:t>relevant emergency declaration</w:t>
      </w:r>
      <w:r>
        <w:t>) in relation to which it is made.</w:t>
      </w:r>
    </w:p>
    <w:p>
      <w:pPr>
        <w:pStyle w:val="Subsection"/>
      </w:pPr>
      <w:r>
        <w:tab/>
        <w:t>(4)</w:t>
      </w:r>
      <w:r>
        <w:tab/>
        <w:t>A grant relief declaration must set out a description of each declared grant relief measure, including by specifying —</w:t>
      </w:r>
    </w:p>
    <w:p>
      <w:pPr>
        <w:pStyle w:val="Indenta"/>
      </w:pPr>
      <w:r>
        <w:tab/>
        <w:t>(a)</w:t>
      </w:r>
      <w:r>
        <w:tab/>
        <w:t>the transactions to which the measure applies, which may be all transactions or transactions that meet specified eligibility conditions for the measure; and</w:t>
      </w:r>
    </w:p>
    <w:p>
      <w:pPr>
        <w:pStyle w:val="Indenta"/>
      </w:pPr>
      <w:r>
        <w:tab/>
        <w:t>(b)</w:t>
      </w:r>
      <w:r>
        <w:tab/>
        <w:t>the period in which the commencement dates of those transactions occur; and</w:t>
      </w:r>
    </w:p>
    <w:p>
      <w:pPr>
        <w:pStyle w:val="Indenta"/>
      </w:pPr>
      <w:r>
        <w:tab/>
        <w:t>(c)</w:t>
      </w:r>
      <w:r>
        <w:tab/>
        <w:t>the persons to whom the measure applies, which may be all persons or persons who meet specified eligibility conditions for the measure.</w:t>
      </w:r>
    </w:p>
    <w:p>
      <w:pPr>
        <w:pStyle w:val="Subsection"/>
      </w:pPr>
      <w:r>
        <w:tab/>
        <w:t>(5)</w:t>
      </w:r>
      <w:r>
        <w:tab/>
        <w:t>The Treasurer cannot make a grant relief declaration more than 12 months after the day on which the relevant emergency declaration ceases to be in force.</w:t>
      </w:r>
    </w:p>
    <w:p>
      <w:pPr>
        <w:pStyle w:val="Subsection"/>
      </w:pPr>
      <w:r>
        <w:tab/>
        <w:t>(6)</w:t>
      </w:r>
      <w:r>
        <w:tab/>
        <w:t xml:space="preserve">A period specified under subsection (4)(b)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is not limited by reference to when the grant relief declaration is made; and</w:t>
      </w:r>
    </w:p>
    <w:p>
      <w:pPr>
        <w:pStyle w:val="Indenti"/>
        <w:keepNext/>
      </w:pPr>
      <w:r>
        <w:tab/>
        <w:t>(ii)</w:t>
      </w:r>
      <w:r>
        <w:tab/>
        <w:t xml:space="preserve">is not limited by reference to the period for which the relevant emergency declaration is in </w:t>
      </w:r>
      <w:r>
        <w:lastRenderedPageBreak/>
        <w:t>force, except that it must not be a period that is wholly before that period.</w:t>
      </w:r>
    </w:p>
    <w:p>
      <w:pPr>
        <w:pStyle w:val="Footnotesection"/>
      </w:pPr>
      <w:r>
        <w:tab/>
        <w:t>[Section 64B inserted: No. 1 of 2022 s. 12.]</w:t>
      </w:r>
    </w:p>
    <w:p>
      <w:pPr>
        <w:pStyle w:val="Heading5"/>
      </w:pPr>
      <w:bookmarkStart w:id="154" w:name="_Toc96086371"/>
      <w:r>
        <w:rPr>
          <w:rStyle w:val="CharSectno"/>
        </w:rPr>
        <w:t>64C</w:t>
      </w:r>
      <w:r>
        <w:t>.</w:t>
      </w:r>
      <w:r>
        <w:tab/>
        <w:t>Amendment and revocation of grant relief declaration</w:t>
      </w:r>
      <w:bookmarkEnd w:id="154"/>
    </w:p>
    <w:p>
      <w:pPr>
        <w:pStyle w:val="Subsection"/>
      </w:pPr>
      <w:r>
        <w:tab/>
        <w:t>(1)</w:t>
      </w:r>
      <w:r>
        <w:tab/>
        <w:t>The Treasurer may, by written instrument, amend a grant relief declaration.</w:t>
      </w:r>
    </w:p>
    <w:p>
      <w:pPr>
        <w:pStyle w:val="Subsection"/>
      </w:pPr>
      <w:r>
        <w:tab/>
        <w:t>(2)</w:t>
      </w:r>
      <w:r>
        <w:tab/>
        <w:t>A grant relief declaration cannot be amended under subsection (1) to add an additional grant relief measure.</w:t>
      </w:r>
    </w:p>
    <w:p>
      <w:pPr>
        <w:pStyle w:val="Subsection"/>
      </w:pPr>
      <w:r>
        <w:tab/>
        <w:t>(3)</w:t>
      </w:r>
      <w:r>
        <w:tab/>
        <w:t>A grant relief declaration cannot be amended under subsection (1) to extend a period specified in the declaration under section 64B(4)(b) if the extension would result in the period being longer than 2 years.</w:t>
      </w:r>
    </w:p>
    <w:p>
      <w:pPr>
        <w:pStyle w:val="Subsection"/>
      </w:pPr>
      <w:r>
        <w:tab/>
        <w:t>(4)</w:t>
      </w:r>
      <w:r>
        <w:tab/>
        <w:t>An instrument amending a grant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grant relief declaration if the Treasurer considers that the grant relief measure or measures set out in the declaration are no longer necessary for the purpose referred to in section 64B(1)(b).</w:t>
      </w:r>
    </w:p>
    <w:p>
      <w:pPr>
        <w:pStyle w:val="Footnotesection"/>
      </w:pPr>
      <w:r>
        <w:tab/>
        <w:t>[Section 64C inserted: No. 1 of 2022 s. 12.]</w:t>
      </w:r>
    </w:p>
    <w:p>
      <w:pPr>
        <w:pStyle w:val="Heading5"/>
      </w:pPr>
      <w:bookmarkStart w:id="155" w:name="_Toc96086372"/>
      <w:r>
        <w:rPr>
          <w:rStyle w:val="CharSectno"/>
        </w:rPr>
        <w:t>64D</w:t>
      </w:r>
      <w:r>
        <w:t>.</w:t>
      </w:r>
      <w:r>
        <w:tab/>
        <w:t>Provisions about grant relief declarations and instruments of amendment or revocation</w:t>
      </w:r>
      <w:bookmarkEnd w:id="155"/>
    </w:p>
    <w:p>
      <w:pPr>
        <w:pStyle w:val="Subsection"/>
      </w:pPr>
      <w:r>
        <w:tab/>
        <w:t>(1)</w:t>
      </w:r>
      <w:r>
        <w:tab/>
        <w:t>Before making a grant relief declaration or an instrument amending or revoking a grant relief declaration, the Treasurer must consult the Minister.</w:t>
      </w:r>
    </w:p>
    <w:p>
      <w:pPr>
        <w:pStyle w:val="Subsection"/>
      </w:pPr>
      <w:r>
        <w:tab/>
        <w:t>(2)</w:t>
      </w:r>
      <w:r>
        <w:tab/>
        <w:t xml:space="preserve">A grant relief declaration, or an instrument amending or revoking a grant relief declaration, is subsidiary legislation for the purposes of the </w:t>
      </w:r>
      <w:r>
        <w:rPr>
          <w:i/>
        </w:rPr>
        <w:t>Interpretation Act 1984</w:t>
      </w:r>
      <w:r>
        <w:t>.</w:t>
      </w:r>
    </w:p>
    <w:p>
      <w:pPr>
        <w:pStyle w:val="Footnotesection"/>
      </w:pPr>
      <w:r>
        <w:tab/>
        <w:t>[Section 64D inserted: No. 1 of 2022 s. 12.]</w:t>
      </w:r>
    </w:p>
    <w:p>
      <w:pPr>
        <w:pStyle w:val="Heading5"/>
      </w:pPr>
      <w:bookmarkStart w:id="156" w:name="_Toc96086373"/>
      <w:r>
        <w:rPr>
          <w:rStyle w:val="CharSectno"/>
        </w:rPr>
        <w:lastRenderedPageBreak/>
        <w:t>64E</w:t>
      </w:r>
      <w:r>
        <w:t>.</w:t>
      </w:r>
      <w:r>
        <w:tab/>
        <w:t>Procedural requirements for declared grant relief measure</w:t>
      </w:r>
      <w:bookmarkEnd w:id="156"/>
    </w:p>
    <w:p>
      <w:pPr>
        <w:pStyle w:val="Subsection"/>
      </w:pPr>
      <w:r>
        <w:tab/>
        <w:t>(1)</w:t>
      </w:r>
      <w:r>
        <w:tab/>
        <w:t>If a grant relief declaration is in operation, the Commissioner may approve any procedural requirements that the Commissioner considers are necessary to enable the proper administration of a grant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64E inserted: No. 1 of 2022 s. 12.]</w:t>
      </w:r>
    </w:p>
    <w:p>
      <w:pPr>
        <w:pStyle w:val="Heading5"/>
      </w:pPr>
      <w:bookmarkStart w:id="157" w:name="_Toc96086374"/>
      <w:r>
        <w:rPr>
          <w:rStyle w:val="CharSectno"/>
        </w:rPr>
        <w:t>64F</w:t>
      </w:r>
      <w:r>
        <w:t>.</w:t>
      </w:r>
      <w:r>
        <w:tab/>
        <w:t>Effect of grant relief declaration</w:t>
      </w:r>
      <w:bookmarkEnd w:id="157"/>
    </w:p>
    <w:p>
      <w:pPr>
        <w:pStyle w:val="Subsection"/>
      </w:pPr>
      <w:r>
        <w:tab/>
        <w:t>(1)</w:t>
      </w:r>
      <w:r>
        <w:tab/>
        <w:t xml:space="preserve">In this section — </w:t>
      </w:r>
    </w:p>
    <w:p>
      <w:pPr>
        <w:pStyle w:val="Defstart"/>
      </w:pPr>
      <w:r>
        <w:tab/>
      </w:r>
      <w:r>
        <w:rPr>
          <w:rStyle w:val="CharDefText"/>
        </w:rPr>
        <w:t>affected transaction</w:t>
      </w:r>
      <w:r>
        <w:t xml:space="preserve">, in relation to a grant relief measure that is set out in a grant relief declaration, means a transaction — </w:t>
      </w:r>
    </w:p>
    <w:p>
      <w:pPr>
        <w:pStyle w:val="Defpara"/>
      </w:pPr>
      <w:r>
        <w:tab/>
        <w:t>(a)</w:t>
      </w:r>
      <w:r>
        <w:tab/>
        <w:t>to which the measure applies as specified in the declaration under section 64B(4)(a); and</w:t>
      </w:r>
    </w:p>
    <w:p>
      <w:pPr>
        <w:pStyle w:val="Defpara"/>
      </w:pPr>
      <w:r>
        <w:tab/>
        <w:t>(b)</w:t>
      </w:r>
      <w:r>
        <w:tab/>
        <w:t>the commencement date of which occurs in the period specified in the declaration under section 64B(4)(b);</w:t>
      </w:r>
    </w:p>
    <w:p>
      <w:pPr>
        <w:pStyle w:val="Defstart"/>
      </w:pPr>
      <w:r>
        <w:tab/>
      </w:r>
      <w:r>
        <w:rPr>
          <w:rStyle w:val="CharDefText"/>
        </w:rPr>
        <w:t>eligible person</w:t>
      </w:r>
      <w:r>
        <w:t xml:space="preserve">, in relation to a grant relief measure that is set out in a grant relief declaration, means a person — </w:t>
      </w:r>
    </w:p>
    <w:p>
      <w:pPr>
        <w:pStyle w:val="Defpara"/>
      </w:pPr>
      <w:r>
        <w:tab/>
        <w:t>(a)</w:t>
      </w:r>
      <w:r>
        <w:tab/>
        <w:t>to whom the measure applies as specified in the declaration under section 64B(4)(c); and</w:t>
      </w:r>
    </w:p>
    <w:p>
      <w:pPr>
        <w:pStyle w:val="Defpara"/>
      </w:pPr>
      <w:r>
        <w:tab/>
        <w:t>(b)</w:t>
      </w:r>
      <w:r>
        <w:tab/>
        <w:t>who has complied with the procedural requirements (if any) approved for the grant relief measure under section 64E.</w:t>
      </w:r>
    </w:p>
    <w:p>
      <w:pPr>
        <w:pStyle w:val="Subsection"/>
      </w:pPr>
      <w:r>
        <w:tab/>
        <w:t>(2)</w:t>
      </w:r>
      <w:r>
        <w:tab/>
        <w:t>This section applies if a grant relief declaration setting out a grant relief measure is in operation.</w:t>
      </w:r>
    </w:p>
    <w:p>
      <w:pPr>
        <w:pStyle w:val="Subsection"/>
      </w:pPr>
      <w:r>
        <w:tab/>
        <w:t>(3)</w:t>
      </w:r>
      <w:r>
        <w:tab/>
        <w:t xml:space="preserve">Despite any other provision of this Act, the Commissioner must do everything necessary to give effect to the grant relief measure, including authorising the payment of any amount or </w:t>
      </w:r>
      <w:r>
        <w:lastRenderedPageBreak/>
        <w:t>additional amount to which a person is entitled as a result of the measure.</w:t>
      </w:r>
    </w:p>
    <w:p>
      <w:pPr>
        <w:pStyle w:val="Subsection"/>
      </w:pPr>
      <w:r>
        <w:tab/>
        <w:t>(4)</w:t>
      </w:r>
      <w:r>
        <w:tab/>
        <w:t xml:space="preserve">Without limiting subsection (3) — </w:t>
      </w:r>
    </w:p>
    <w:p>
      <w:pPr>
        <w:pStyle w:val="Indenta"/>
      </w:pPr>
      <w:r>
        <w:tab/>
        <w:t>(a)</w:t>
      </w:r>
      <w:r>
        <w:tab/>
        <w:t>if the grant relief measure is an increase in a grant amount — despite section 19, the amount of any first home owner grant payable in relation to an affected transaction on an application by an eligible person is, or is taken to have been, the amount determined in accordance with the increased grant amount set out in the declaration; and</w:t>
      </w:r>
    </w:p>
    <w:p>
      <w:pPr>
        <w:pStyle w:val="Indenta"/>
      </w:pPr>
      <w:r>
        <w:tab/>
        <w:t>(b)</w:t>
      </w:r>
      <w:r>
        <w:tab/>
        <w:t>if the grant relief measure is an increase in a cap amount — despite section 14AD and any regulations made for the purposes of that section, the cap amount that applies in relation to an affected transaction on an application by an eligible person is, or is taken to have been, the increased cap amount set out in the declaration.</w:t>
      </w:r>
    </w:p>
    <w:p>
      <w:pPr>
        <w:pStyle w:val="Subsection"/>
      </w:pPr>
      <w:r>
        <w:tab/>
        <w:t>(5)</w:t>
      </w:r>
      <w:r>
        <w:tab/>
        <w:t>The other provisions of this Act apply subject to the declaration and subsections (3) and (4) and, without limitation, all decisions, payments, objections, review proceedings, repayment proceedings and enforcement proceedings must be made or conducted accordingly.</w:t>
      </w:r>
    </w:p>
    <w:p>
      <w:pPr>
        <w:pStyle w:val="Footnotesection"/>
      </w:pPr>
      <w:r>
        <w:tab/>
        <w:t>[Section 64F inserted: No. 1 of 2022 s. 12.]</w:t>
      </w:r>
    </w:p>
    <w:p>
      <w:pPr>
        <w:pStyle w:val="Heading3"/>
      </w:pPr>
      <w:bookmarkStart w:id="158" w:name="_Toc96081565"/>
      <w:bookmarkStart w:id="159" w:name="_Toc96086375"/>
      <w:r>
        <w:rPr>
          <w:rStyle w:val="CharDivNo"/>
        </w:rPr>
        <w:t>Division 6</w:t>
      </w:r>
      <w:r>
        <w:t xml:space="preserve"> — </w:t>
      </w:r>
      <w:r>
        <w:rPr>
          <w:rStyle w:val="CharDivText"/>
        </w:rPr>
        <w:t>General</w:t>
      </w:r>
      <w:bookmarkEnd w:id="151"/>
      <w:bookmarkEnd w:id="158"/>
      <w:bookmarkEnd w:id="159"/>
    </w:p>
    <w:p>
      <w:pPr>
        <w:pStyle w:val="Heading5"/>
      </w:pPr>
      <w:bookmarkStart w:id="160" w:name="_Toc96086376"/>
      <w:r>
        <w:rPr>
          <w:rStyle w:val="CharSectno"/>
        </w:rPr>
        <w:t>65</w:t>
      </w:r>
      <w:r>
        <w:t>.</w:t>
      </w:r>
      <w:r>
        <w:tab/>
        <w:t>Confidentiality</w:t>
      </w:r>
      <w:bookmarkEnd w:id="160"/>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lastRenderedPageBreak/>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this Act or a corresponding law; or</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r>
      <w:r>
        <w:tab/>
        <w:t>or</w:t>
      </w:r>
    </w:p>
    <w:p>
      <w:pPr>
        <w:pStyle w:val="Indenta"/>
      </w:pPr>
      <w:r>
        <w:tab/>
        <w:t>(b)</w:t>
      </w:r>
      <w:r>
        <w:tab/>
        <w:t>with the written consent of the person to whom the information relates; or</w:t>
      </w:r>
    </w:p>
    <w:p>
      <w:pPr>
        <w:pStyle w:val="Indenta"/>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Investments Commission; or</w:t>
      </w:r>
    </w:p>
    <w:p>
      <w:pPr>
        <w:pStyle w:val="Indenti"/>
      </w:pPr>
      <w:r>
        <w:lastRenderedPageBreak/>
        <w:tab/>
        <w:t>(iv)</w:t>
      </w:r>
      <w:r>
        <w:tab/>
        <w:t>an officer of another law enforcement agency established under a law of a State or the Commonwealth that is authorised by the regulations to receive confidential information under this paragraph;</w:t>
      </w:r>
    </w:p>
    <w:p>
      <w:pPr>
        <w:pStyle w:val="Indenta"/>
      </w:pPr>
      <w:r>
        <w:tab/>
      </w:r>
      <w:r>
        <w:tab/>
        <w:t>or</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keepNext/>
      </w:pPr>
      <w:r>
        <w:lastRenderedPageBreak/>
        <w:tab/>
      </w:r>
      <w:r>
        <w:rPr>
          <w:rStyle w:val="CharDefText"/>
        </w:rPr>
        <w:t>State</w:t>
      </w:r>
      <w:r>
        <w:t xml:space="preserve"> includes Territory.</w:t>
      </w:r>
    </w:p>
    <w:p>
      <w:pPr>
        <w:pStyle w:val="Footnotesection"/>
      </w:pPr>
      <w:r>
        <w:tab/>
        <w:t>[Section 65 amended: No. 28 of 2003 s. 65; No. 52 of 2004 s. 14; No. 17 of 2010 s. 19.]</w:t>
      </w:r>
    </w:p>
    <w:p>
      <w:pPr>
        <w:pStyle w:val="Heading5"/>
      </w:pPr>
      <w:bookmarkStart w:id="161" w:name="_Toc96086377"/>
      <w:r>
        <w:rPr>
          <w:rStyle w:val="CharSectno"/>
        </w:rPr>
        <w:t>66</w:t>
      </w:r>
      <w:r>
        <w:t>.</w:t>
      </w:r>
      <w:r>
        <w:tab/>
        <w:t>Time for commencing prosecutions</w:t>
      </w:r>
      <w:bookmarkEnd w:id="161"/>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162" w:name="_Toc96086378"/>
      <w:r>
        <w:rPr>
          <w:rStyle w:val="CharSectno"/>
        </w:rPr>
        <w:t>67</w:t>
      </w:r>
      <w:r>
        <w:t>.</w:t>
      </w:r>
      <w:r>
        <w:tab/>
        <w:t>Protection from liability for wrongdoing</w:t>
      </w:r>
      <w:bookmarkEnd w:id="162"/>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63" w:name="_Toc96086379"/>
      <w:r>
        <w:rPr>
          <w:rStyle w:val="CharSectno"/>
        </w:rPr>
        <w:t>68</w:t>
      </w:r>
      <w:r>
        <w:t>.</w:t>
      </w:r>
      <w:r>
        <w:tab/>
        <w:t xml:space="preserve">Appropriation of </w:t>
      </w:r>
      <w:r>
        <w:rPr>
          <w:snapToGrid w:val="0"/>
        </w:rPr>
        <w:t>Consolidated Account</w:t>
      </w:r>
      <w:bookmarkEnd w:id="163"/>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No. 77 of 2006 s. 4 and 5(1).]</w:t>
      </w:r>
    </w:p>
    <w:p>
      <w:pPr>
        <w:pStyle w:val="Heading5"/>
      </w:pPr>
      <w:bookmarkStart w:id="164" w:name="_Toc96086380"/>
      <w:r>
        <w:rPr>
          <w:rStyle w:val="CharSectno"/>
        </w:rPr>
        <w:t>69</w:t>
      </w:r>
      <w:r>
        <w:t>.</w:t>
      </w:r>
      <w:r>
        <w:tab/>
        <w:t>Regulations</w:t>
      </w:r>
      <w:bookmarkEnd w:id="16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lastRenderedPageBreak/>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 No. 16 of 2017 s. 21.]</w:t>
      </w:r>
    </w:p>
    <w:p>
      <w:pPr>
        <w:pStyle w:val="Heading5"/>
      </w:pPr>
      <w:bookmarkStart w:id="165" w:name="_Toc96086381"/>
      <w:r>
        <w:rPr>
          <w:rStyle w:val="CharSectno"/>
        </w:rPr>
        <w:t>70</w:t>
      </w:r>
      <w:r>
        <w:t>.</w:t>
      </w:r>
      <w:r>
        <w:tab/>
        <w:t>Review of Act</w:t>
      </w:r>
      <w:bookmarkEnd w:id="165"/>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166" w:name="_Toc96081572"/>
      <w:bookmarkStart w:id="167" w:name="_Toc96086382"/>
      <w:r>
        <w:rPr>
          <w:rStyle w:val="CharPartNo"/>
        </w:rPr>
        <w:lastRenderedPageBreak/>
        <w:t>Part 5</w:t>
      </w:r>
      <w:r>
        <w:rPr>
          <w:rStyle w:val="CharDivNo"/>
        </w:rPr>
        <w:t> </w:t>
      </w:r>
      <w:r>
        <w:t>—</w:t>
      </w:r>
      <w:r>
        <w:rPr>
          <w:rStyle w:val="CharDivText"/>
        </w:rPr>
        <w:t> </w:t>
      </w:r>
      <w:r>
        <w:rPr>
          <w:rStyle w:val="CharPartText"/>
        </w:rPr>
        <w:t>Transitional provisions</w:t>
      </w:r>
      <w:bookmarkEnd w:id="166"/>
      <w:bookmarkEnd w:id="167"/>
    </w:p>
    <w:p>
      <w:pPr>
        <w:pStyle w:val="Footnoteheading"/>
      </w:pPr>
      <w:r>
        <w:tab/>
        <w:t>[Heading inserted: No. 1 of 2022 s. 13.]</w:t>
      </w:r>
    </w:p>
    <w:p>
      <w:pPr>
        <w:pStyle w:val="Heading5"/>
      </w:pPr>
      <w:bookmarkStart w:id="168" w:name="_Toc96086383"/>
      <w:r>
        <w:rPr>
          <w:rStyle w:val="CharSectno"/>
        </w:rPr>
        <w:t>71</w:t>
      </w:r>
      <w:r>
        <w:t>.</w:t>
      </w:r>
      <w:r>
        <w:tab/>
        <w:t xml:space="preserve">Transitional provision for </w:t>
      </w:r>
      <w:r>
        <w:rPr>
          <w:i/>
        </w:rPr>
        <w:t>Finance Legislation Amendment (Emergency Relief) Act 2022</w:t>
      </w:r>
      <w:bookmarkEnd w:id="16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3 comes into operation.</w:t>
      </w:r>
    </w:p>
    <w:p>
      <w:pPr>
        <w:pStyle w:val="Subsection"/>
      </w:pPr>
      <w:r>
        <w:tab/>
        <w:t>(2)</w:t>
      </w:r>
      <w:r>
        <w:tab/>
        <w:t>A grant relief declaration can be made in relation to an emergency declaration (as defined in section 64B(1)) only if the emergency declaration is in force on commencement day or is made on or after commencement day.</w:t>
      </w:r>
    </w:p>
    <w:p>
      <w:pPr>
        <w:pStyle w:val="Footnotesection"/>
      </w:pPr>
      <w:r>
        <w:tab/>
        <w:t>[Section 71 inserted: No. 1 of 2022 s. 13.]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69" w:name="_Toc96080781"/>
      <w:bookmarkStart w:id="170" w:name="_Toc96081574"/>
      <w:bookmarkStart w:id="171" w:name="_Toc96086384"/>
      <w:r>
        <w:lastRenderedPageBreak/>
        <w:t>Notes</w:t>
      </w:r>
      <w:bookmarkEnd w:id="169"/>
      <w:bookmarkEnd w:id="170"/>
      <w:bookmarkEnd w:id="171"/>
    </w:p>
    <w:p>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xml:space="preserve">. For provisions that have come into operation, and for information about any reprints, see the compilation table. </w:t>
      </w:r>
    </w:p>
    <w:p>
      <w:pPr>
        <w:pStyle w:val="nHeading3"/>
      </w:pPr>
      <w:bookmarkStart w:id="172" w:name="_Toc96086385"/>
      <w:r>
        <w:t>Compilation table</w:t>
      </w:r>
      <w:bookmarkEnd w:id="17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 xml:space="preserve">First Home Owner Grant Act 2000 </w:t>
            </w:r>
          </w:p>
        </w:tc>
        <w:tc>
          <w:tcPr>
            <w:tcW w:w="1134" w:type="dxa"/>
            <w:tcBorders>
              <w:top w:val="single" w:sz="8" w:space="0" w:color="auto"/>
            </w:tcBorders>
          </w:tcPr>
          <w:p>
            <w:pPr>
              <w:pStyle w:val="nTable"/>
              <w:spacing w:after="40"/>
            </w:pPr>
            <w:r>
              <w:t xml:space="preserve">16 of 2000 </w:t>
            </w:r>
          </w:p>
        </w:tc>
        <w:tc>
          <w:tcPr>
            <w:tcW w:w="1134" w:type="dxa"/>
            <w:tcBorders>
              <w:top w:val="single" w:sz="8" w:space="0" w:color="auto"/>
            </w:tcBorders>
          </w:tcPr>
          <w:p>
            <w:pPr>
              <w:pStyle w:val="nTable"/>
              <w:spacing w:after="40"/>
            </w:pPr>
            <w:r>
              <w:t xml:space="preserve">9 Jun 2000 </w:t>
            </w:r>
          </w:p>
        </w:tc>
        <w:tc>
          <w:tcPr>
            <w:tcW w:w="2552" w:type="dxa"/>
            <w:tcBorders>
              <w:top w:val="single" w:sz="8" w:space="0" w:color="auto"/>
            </w:tcBorders>
          </w:tcPr>
          <w:p>
            <w:pPr>
              <w:pStyle w:val="nTable"/>
              <w:spacing w:after="40"/>
            </w:pPr>
            <w:r>
              <w:t>1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2000</w:t>
            </w:r>
          </w:p>
        </w:tc>
        <w:tc>
          <w:tcPr>
            <w:tcW w:w="1134" w:type="dxa"/>
          </w:tcPr>
          <w:p>
            <w:pPr>
              <w:pStyle w:val="nTable"/>
              <w:spacing w:after="40"/>
            </w:pPr>
            <w:r>
              <w:t>61 of 2000</w:t>
            </w:r>
          </w:p>
        </w:tc>
        <w:tc>
          <w:tcPr>
            <w:tcW w:w="1134" w:type="dxa"/>
          </w:tcPr>
          <w:p>
            <w:pPr>
              <w:pStyle w:val="nTable"/>
              <w:spacing w:after="40"/>
            </w:pPr>
            <w:r>
              <w:t>7 Dec 2000</w:t>
            </w:r>
          </w:p>
        </w:tc>
        <w:tc>
          <w:tcPr>
            <w:tcW w:w="2552" w:type="dxa"/>
          </w:tcPr>
          <w:p>
            <w:pPr>
              <w:pStyle w:val="nTable"/>
              <w:spacing w:after="40"/>
            </w:pPr>
            <w:r>
              <w:t>s. 8: 1 Jul 2000 (see s. 2(2));</w:t>
            </w:r>
            <w:r>
              <w:br/>
              <w:t>Act other than s. 8: 7 Dec 2000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2001</w:t>
            </w:r>
            <w:r>
              <w:rPr>
                <w:vertAlign w:val="superscript"/>
              </w:rPr>
              <w:t> 2</w:t>
            </w:r>
          </w:p>
        </w:tc>
        <w:tc>
          <w:tcPr>
            <w:tcW w:w="1134" w:type="dxa"/>
          </w:tcPr>
          <w:p>
            <w:pPr>
              <w:pStyle w:val="nTable"/>
              <w:spacing w:after="40"/>
            </w:pPr>
            <w:r>
              <w:t>14 of 2001</w:t>
            </w:r>
          </w:p>
        </w:tc>
        <w:tc>
          <w:tcPr>
            <w:tcW w:w="1134" w:type="dxa"/>
          </w:tcPr>
          <w:p>
            <w:pPr>
              <w:pStyle w:val="nTable"/>
              <w:spacing w:after="40"/>
            </w:pPr>
            <w:r>
              <w:t>14 Aug 2001</w:t>
            </w:r>
          </w:p>
        </w:tc>
        <w:tc>
          <w:tcPr>
            <w:tcW w:w="2552" w:type="dxa"/>
          </w:tcPr>
          <w:p>
            <w:pPr>
              <w:pStyle w:val="nTable"/>
              <w:spacing w:after="40"/>
            </w:pPr>
            <w:r>
              <w:t>9 Mar 2001 (see s. 2)</w:t>
            </w:r>
          </w:p>
        </w:tc>
      </w:tr>
      <w:tr>
        <w:tblPrEx>
          <w:tblBorders>
            <w:top w:val="none" w:sz="0" w:space="0" w:color="auto"/>
            <w:bottom w:val="none" w:sz="0" w:space="0" w:color="auto"/>
            <w:insideH w:val="none" w:sz="0" w:space="0" w:color="auto"/>
          </w:tblBorders>
        </w:tblPrEx>
        <w:tc>
          <w:tcPr>
            <w:tcW w:w="2268" w:type="dxa"/>
          </w:tcPr>
          <w:p>
            <w:pPr>
              <w:pStyle w:val="nTable"/>
              <w:tabs>
                <w:tab w:val="left" w:pos="1957"/>
              </w:tabs>
              <w:spacing w:after="40"/>
            </w:pPr>
            <w:r>
              <w:rPr>
                <w:i/>
              </w:rPr>
              <w:t>First Home Owner Grant Amendment Act 2003</w:t>
            </w:r>
            <w:r>
              <w:rPr>
                <w:vertAlign w:val="superscript"/>
              </w:rPr>
              <w:t> 3</w:t>
            </w:r>
          </w:p>
        </w:tc>
        <w:tc>
          <w:tcPr>
            <w:tcW w:w="1134" w:type="dxa"/>
          </w:tcPr>
          <w:p>
            <w:pPr>
              <w:pStyle w:val="nTable"/>
              <w:spacing w:after="40"/>
            </w:pPr>
            <w:r>
              <w:t>13 of 2003</w:t>
            </w:r>
          </w:p>
        </w:tc>
        <w:tc>
          <w:tcPr>
            <w:tcW w:w="1134" w:type="dxa"/>
          </w:tcPr>
          <w:p>
            <w:pPr>
              <w:pStyle w:val="nTable"/>
              <w:spacing w:after="40"/>
            </w:pPr>
            <w:r>
              <w:t>17 Apr 2003</w:t>
            </w:r>
          </w:p>
        </w:tc>
        <w:tc>
          <w:tcPr>
            <w:tcW w:w="2552" w:type="dxa"/>
          </w:tcPr>
          <w:p>
            <w:pPr>
              <w:pStyle w:val="nTable"/>
              <w:spacing w:after="40"/>
            </w:pPr>
            <w:r>
              <w:t>s. 5(5): 9 Mar 2001 (see s. 2(3));</w:t>
            </w:r>
            <w:r>
              <w:br/>
              <w:t>s. 5 (except s. 5(5)) and 6: 9 Oct 2001 (see s. 2(2));</w:t>
            </w:r>
            <w:r>
              <w:br/>
              <w:t>Act other than s. 5 and 6: 17 Apr 2003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22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First Home Owner Grant Amendment Act 2004</w:t>
            </w:r>
            <w:r>
              <w:rPr>
                <w:vertAlign w:val="superscript"/>
              </w:rPr>
              <w:t> 4</w:t>
            </w:r>
          </w:p>
        </w:tc>
        <w:tc>
          <w:tcPr>
            <w:tcW w:w="1134" w:type="dxa"/>
          </w:tcPr>
          <w:p>
            <w:pPr>
              <w:pStyle w:val="nTable"/>
              <w:spacing w:after="40"/>
            </w:pPr>
            <w:r>
              <w:t>52 of 2004</w:t>
            </w:r>
          </w:p>
        </w:tc>
        <w:tc>
          <w:tcPr>
            <w:tcW w:w="1134" w:type="dxa"/>
          </w:tcPr>
          <w:p>
            <w:pPr>
              <w:pStyle w:val="nTable"/>
              <w:spacing w:after="40"/>
            </w:pPr>
            <w:r>
              <w:t>18 Nov 2004</w:t>
            </w:r>
          </w:p>
        </w:tc>
        <w:tc>
          <w:tcPr>
            <w:tcW w:w="2552" w:type="dxa"/>
          </w:tcPr>
          <w:p>
            <w:pPr>
              <w:pStyle w:val="nTable"/>
              <w:spacing w:after="40"/>
            </w:pPr>
            <w:r>
              <w:t>Pt. 2 and 3: 1 Jul 2004 (see s. 2(2));</w:t>
            </w:r>
            <w:r>
              <w:br/>
              <w:t>Pt. 1: 18 Nov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iCs/>
              </w:rPr>
              <w:lastRenderedPageBreak/>
              <w:t>First Home Owner Grant Amendment Act 2005</w:t>
            </w:r>
            <w:r>
              <w:rPr>
                <w:iCs/>
                <w:vertAlign w:val="superscript"/>
              </w:rPr>
              <w:t> 6</w:t>
            </w:r>
          </w:p>
        </w:tc>
        <w:tc>
          <w:tcPr>
            <w:tcW w:w="1134" w:type="dxa"/>
          </w:tcPr>
          <w:p>
            <w:pPr>
              <w:pStyle w:val="nTable"/>
              <w:keepNext/>
              <w:keepLines/>
              <w:spacing w:after="40"/>
            </w:pPr>
            <w:r>
              <w:t>26 of 2005</w:t>
            </w:r>
          </w:p>
        </w:tc>
        <w:tc>
          <w:tcPr>
            <w:tcW w:w="1134" w:type="dxa"/>
          </w:tcPr>
          <w:p>
            <w:pPr>
              <w:pStyle w:val="nTable"/>
              <w:keepNext/>
              <w:keepLines/>
              <w:spacing w:after="40"/>
            </w:pPr>
            <w:r>
              <w:t>12 Dec 2005</w:t>
            </w:r>
          </w:p>
        </w:tc>
        <w:tc>
          <w:tcPr>
            <w:tcW w:w="2552" w:type="dxa"/>
          </w:tcPr>
          <w:p>
            <w:pPr>
              <w:pStyle w:val="nTable"/>
              <w:keepNext/>
              <w:keepLines/>
              <w:spacing w:after="40"/>
            </w:pPr>
            <w:r>
              <w:t>s. 4: 1 Jul 2000 (see s. 2(2));</w:t>
            </w:r>
            <w:r>
              <w:br/>
              <w:t>Act other than s. 4: 12 Dec 2005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s. 33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First Home Owner Grant Amendment Act 2009</w:t>
            </w:r>
          </w:p>
        </w:tc>
        <w:tc>
          <w:tcPr>
            <w:tcW w:w="1134" w:type="dxa"/>
          </w:tcPr>
          <w:p>
            <w:pPr>
              <w:pStyle w:val="nTable"/>
              <w:spacing w:after="40"/>
              <w:rPr>
                <w:snapToGrid w:val="0"/>
              </w:rPr>
            </w:pPr>
            <w:r>
              <w:rPr>
                <w:snapToGrid w:val="0"/>
              </w:rPr>
              <w:t>27 of 2009</w:t>
            </w:r>
          </w:p>
        </w:tc>
        <w:tc>
          <w:tcPr>
            <w:tcW w:w="1134" w:type="dxa"/>
          </w:tcPr>
          <w:p>
            <w:pPr>
              <w:pStyle w:val="nTable"/>
              <w:spacing w:after="40"/>
              <w:rPr>
                <w:snapToGrid w:val="0"/>
              </w:rPr>
            </w:pPr>
            <w:r>
              <w:t>17 Nov 2009</w:t>
            </w:r>
          </w:p>
        </w:tc>
        <w:tc>
          <w:tcPr>
            <w:tcW w:w="2552"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and Repeal Act 2010</w:t>
            </w:r>
            <w:r>
              <w:rPr>
                <w:iCs/>
                <w:snapToGrid w:val="0"/>
              </w:rPr>
              <w:t xml:space="preserve"> Pt. 3</w:t>
            </w:r>
          </w:p>
        </w:tc>
        <w:tc>
          <w:tcPr>
            <w:tcW w:w="1134" w:type="dxa"/>
          </w:tcPr>
          <w:p>
            <w:pPr>
              <w:pStyle w:val="nTable"/>
              <w:spacing w:after="40"/>
              <w:rPr>
                <w:snapToGrid w:val="0"/>
              </w:rPr>
            </w:pPr>
            <w:r>
              <w:rPr>
                <w:snapToGrid w:val="0"/>
              </w:rP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26 Jun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2012</w:t>
            </w:r>
            <w:r>
              <w:rPr>
                <w:iCs/>
                <w:snapToGrid w:val="0"/>
              </w:rPr>
              <w:t xml:space="preserve"> Pt. 3</w:t>
            </w:r>
          </w:p>
        </w:tc>
        <w:tc>
          <w:tcPr>
            <w:tcW w:w="1134" w:type="dxa"/>
          </w:tcPr>
          <w:p>
            <w:pPr>
              <w:pStyle w:val="nTable"/>
              <w:spacing w:after="40"/>
              <w:rPr>
                <w:snapToGrid w:val="0"/>
              </w:rPr>
            </w:pPr>
            <w:r>
              <w:rPr>
                <w:snapToGrid w:val="0"/>
              </w:rPr>
              <w:t>29 of 2012</w:t>
            </w:r>
          </w:p>
        </w:tc>
        <w:tc>
          <w:tcPr>
            <w:tcW w:w="1134" w:type="dxa"/>
          </w:tcPr>
          <w:p>
            <w:pPr>
              <w:pStyle w:val="nTable"/>
              <w:spacing w:after="40"/>
            </w:pPr>
            <w:r>
              <w:t>3 Sep 2012</w:t>
            </w:r>
          </w:p>
        </w:tc>
        <w:tc>
          <w:tcPr>
            <w:tcW w:w="2552" w:type="dxa"/>
          </w:tcPr>
          <w:p>
            <w:pPr>
              <w:pStyle w:val="nTable"/>
              <w:spacing w:after="40"/>
              <w:rPr>
                <w:snapToGrid w:val="0"/>
              </w:rPr>
            </w:pPr>
            <w:r>
              <w:rPr>
                <w:snapToGrid w:val="0"/>
              </w:rPr>
              <w:t>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(No. 2) 2012</w:t>
            </w:r>
            <w:r>
              <w:rPr>
                <w:iCs/>
                <w:snapToGrid w:val="0"/>
              </w:rPr>
              <w:t xml:space="preserve"> Pt. 3</w:t>
            </w:r>
          </w:p>
        </w:tc>
        <w:tc>
          <w:tcPr>
            <w:tcW w:w="1134" w:type="dxa"/>
          </w:tcPr>
          <w:p>
            <w:pPr>
              <w:pStyle w:val="nTable"/>
              <w:spacing w:after="40"/>
              <w:rPr>
                <w:snapToGrid w:val="0"/>
              </w:rPr>
            </w:pPr>
            <w:r>
              <w:rPr>
                <w:snapToGrid w:val="0"/>
              </w:rP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Revenue Laws Amendment Act 2013</w:t>
            </w:r>
            <w:r>
              <w:rPr>
                <w:snapToGrid w:val="0"/>
              </w:rPr>
              <w:t xml:space="preserve"> Pt. 4</w:t>
            </w:r>
          </w:p>
        </w:tc>
        <w:tc>
          <w:tcPr>
            <w:tcW w:w="1134" w:type="dxa"/>
          </w:tcPr>
          <w:p>
            <w:pPr>
              <w:pStyle w:val="nTable"/>
              <w:spacing w:after="40"/>
              <w:rPr>
                <w:snapToGrid w:val="0"/>
              </w:rPr>
            </w:pPr>
            <w:r>
              <w:rPr>
                <w:snapToGrid w:val="0"/>
              </w:rPr>
              <w:t>10 of 2013</w:t>
            </w:r>
          </w:p>
        </w:tc>
        <w:tc>
          <w:tcPr>
            <w:tcW w:w="1134" w:type="dxa"/>
          </w:tcPr>
          <w:p>
            <w:pPr>
              <w:pStyle w:val="nTable"/>
              <w:spacing w:after="40"/>
            </w:pPr>
            <w:r>
              <w:t>24 Sep 2013</w:t>
            </w:r>
          </w:p>
        </w:tc>
        <w:tc>
          <w:tcPr>
            <w:tcW w:w="2552" w:type="dxa"/>
          </w:tcPr>
          <w:p>
            <w:pPr>
              <w:pStyle w:val="nTable"/>
              <w:spacing w:after="40"/>
              <w:rPr>
                <w:snapToGrid w:val="0"/>
              </w:rPr>
            </w:pPr>
            <w:r>
              <w:rPr>
                <w:snapToGrid w:val="0"/>
              </w:rPr>
              <w:t>25 Sep 2013 (see s. 2(c)(ii))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2015</w:t>
            </w:r>
            <w:r>
              <w:rPr>
                <w:snapToGrid w:val="0"/>
              </w:rPr>
              <w:t xml:space="preserve"> Pt. 2 Div. 1</w:t>
            </w:r>
          </w:p>
        </w:tc>
        <w:tc>
          <w:tcPr>
            <w:tcW w:w="1134" w:type="dxa"/>
          </w:tcPr>
          <w:p>
            <w:pPr>
              <w:pStyle w:val="nTable"/>
              <w:spacing w:after="40"/>
              <w:rPr>
                <w:snapToGrid w:val="0"/>
              </w:rPr>
            </w:pPr>
            <w:r>
              <w:rPr>
                <w:snapToGrid w:val="0"/>
              </w:rPr>
              <w:t>27 of 2015</w:t>
            </w:r>
          </w:p>
        </w:tc>
        <w:tc>
          <w:tcPr>
            <w:tcW w:w="1134" w:type="dxa"/>
          </w:tcPr>
          <w:p>
            <w:pPr>
              <w:pStyle w:val="nTable"/>
              <w:spacing w:after="40"/>
            </w:pPr>
            <w:r>
              <w:t>2 Oct 2015</w:t>
            </w:r>
          </w:p>
        </w:tc>
        <w:tc>
          <w:tcPr>
            <w:tcW w:w="2552" w:type="dxa"/>
          </w:tcPr>
          <w:p>
            <w:pPr>
              <w:pStyle w:val="nTable"/>
              <w:spacing w:after="40"/>
              <w:rPr>
                <w:snapToGrid w:val="0"/>
              </w:rPr>
            </w:pPr>
            <w:r>
              <w:rPr>
                <w:snapToGrid w:val="0"/>
              </w:rPr>
              <w:t>3 Oct 2015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First Home Owner Grant Amendment Act 2017</w:t>
            </w:r>
          </w:p>
        </w:tc>
        <w:tc>
          <w:tcPr>
            <w:tcW w:w="1134" w:type="dxa"/>
          </w:tcPr>
          <w:p>
            <w:pPr>
              <w:pStyle w:val="nTable"/>
              <w:spacing w:after="40"/>
              <w:rPr>
                <w:snapToGrid w:val="0"/>
              </w:rPr>
            </w:pPr>
            <w:r>
              <w:rPr>
                <w:snapToGrid w:val="0"/>
              </w:rPr>
              <w:t>16 of 2017</w:t>
            </w:r>
          </w:p>
        </w:tc>
        <w:tc>
          <w:tcPr>
            <w:tcW w:w="1134" w:type="dxa"/>
          </w:tcPr>
          <w:p>
            <w:pPr>
              <w:pStyle w:val="nTable"/>
              <w:spacing w:after="40"/>
            </w:pPr>
            <w:r>
              <w:t>5 Dec 2017</w:t>
            </w:r>
          </w:p>
        </w:tc>
        <w:tc>
          <w:tcPr>
            <w:tcW w:w="2552" w:type="dxa"/>
          </w:tcPr>
          <w:p>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trPr>
          <w:cantSplit/>
        </w:trPr>
        <w:tc>
          <w:tcPr>
            <w:tcW w:w="2268" w:type="dxa"/>
            <w:tcBorders>
              <w:top w:val="nil"/>
              <w:bottom w:val="nil"/>
            </w:tcBorders>
          </w:tcPr>
          <w:p>
            <w:pPr>
              <w:pStyle w:val="nTable"/>
              <w:spacing w:after="40"/>
            </w:pPr>
            <w:r>
              <w:rPr>
                <w:i/>
              </w:rPr>
              <w:t>Strata Titles Amendment Act 2018</w:t>
            </w:r>
            <w:r>
              <w:t xml:space="preserve"> Pt. 3 Div. 7</w:t>
            </w:r>
          </w:p>
        </w:tc>
        <w:tc>
          <w:tcPr>
            <w:tcW w:w="1134" w:type="dxa"/>
            <w:tcBorders>
              <w:top w:val="nil"/>
              <w:bottom w:val="nil"/>
            </w:tcBorders>
          </w:tcPr>
          <w:p>
            <w:pPr>
              <w:pStyle w:val="nTable"/>
              <w:spacing w:after="40"/>
              <w:rPr>
                <w:snapToGrid w:val="0"/>
              </w:rPr>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rPr>
          <w:cantSplit/>
        </w:trPr>
        <w:tc>
          <w:tcPr>
            <w:tcW w:w="2268" w:type="dxa"/>
            <w:tcBorders>
              <w:top w:val="nil"/>
              <w:bottom w:val="nil"/>
            </w:tcBorders>
          </w:tcPr>
          <w:p>
            <w:pPr>
              <w:pStyle w:val="nTable"/>
              <w:spacing w:after="40"/>
              <w:rPr>
                <w:i/>
              </w:rPr>
            </w:pPr>
            <w:r>
              <w:rPr>
                <w:i/>
              </w:rPr>
              <w:lastRenderedPageBreak/>
              <w:t>Community Titles Act 2018</w:t>
            </w:r>
            <w:r>
              <w:t xml:space="preserve"> Pt. 14 Div. 9</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rPr>
          <w:cantSplit/>
        </w:trPr>
        <w:tc>
          <w:tcPr>
            <w:tcW w:w="2268" w:type="dxa"/>
            <w:tcBorders>
              <w:top w:val="nil"/>
              <w:bottom w:val="single" w:sz="4" w:space="0" w:color="auto"/>
            </w:tcBorders>
          </w:tcPr>
          <w:p>
            <w:pPr>
              <w:pStyle w:val="nTable"/>
              <w:spacing w:after="40"/>
            </w:pPr>
            <w:r>
              <w:rPr>
                <w:i/>
              </w:rPr>
              <w:t>Finance Legislation Amendment (Emergency Relief) Act 2022</w:t>
            </w:r>
            <w:r>
              <w:t xml:space="preserve"> Pt. 3</w:t>
            </w:r>
          </w:p>
        </w:tc>
        <w:tc>
          <w:tcPr>
            <w:tcW w:w="1134" w:type="dxa"/>
            <w:tcBorders>
              <w:top w:val="nil"/>
              <w:bottom w:val="single" w:sz="4" w:space="0" w:color="auto"/>
            </w:tcBorders>
          </w:tcPr>
          <w:p>
            <w:pPr>
              <w:pStyle w:val="nTable"/>
              <w:spacing w:after="40"/>
            </w:pPr>
            <w:r>
              <w:t>1 of 2022</w:t>
            </w:r>
          </w:p>
        </w:tc>
        <w:tc>
          <w:tcPr>
            <w:tcW w:w="1134" w:type="dxa"/>
            <w:tcBorders>
              <w:top w:val="nil"/>
              <w:bottom w:val="single" w:sz="4" w:space="0" w:color="auto"/>
            </w:tcBorders>
          </w:tcPr>
          <w:p>
            <w:pPr>
              <w:pStyle w:val="nTable"/>
              <w:spacing w:after="40"/>
            </w:pPr>
            <w:r>
              <w:t>21 Feb 2022</w:t>
            </w:r>
          </w:p>
        </w:tc>
        <w:tc>
          <w:tcPr>
            <w:tcW w:w="2552" w:type="dxa"/>
            <w:tcBorders>
              <w:top w:val="nil"/>
              <w:bottom w:val="single" w:sz="4" w:space="0" w:color="auto"/>
            </w:tcBorders>
          </w:tcPr>
          <w:p>
            <w:pPr>
              <w:pStyle w:val="nTable"/>
              <w:spacing w:after="40"/>
            </w:pPr>
            <w:r>
              <w:t>22 Feb 2022 (see s. 2(b))</w:t>
            </w:r>
          </w:p>
        </w:tc>
      </w:tr>
    </w:tbl>
    <w:p>
      <w:pPr>
        <w:pStyle w:val="nHeading3"/>
      </w:pPr>
      <w:bookmarkStart w:id="173" w:name="_Toc96086386"/>
      <w:r>
        <w:t>Other notes</w:t>
      </w:r>
      <w:bookmarkEnd w:id="173"/>
    </w:p>
    <w:p>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Note"/>
      </w:pPr>
      <w:r>
        <w:rPr>
          <w:vertAlign w:val="superscript"/>
        </w:rPr>
        <w:t>3</w:t>
      </w:r>
      <w:r>
        <w:tab/>
        <w:t xml:space="preserve">The </w:t>
      </w:r>
      <w:r>
        <w:rPr>
          <w:i/>
        </w:rPr>
        <w:t>First Home Owner Grant Amendment Act 2003</w:t>
      </w:r>
      <w:r>
        <w:t xml:space="preserve"> s. 10 is a savings provision of no further effect.</w:t>
      </w:r>
    </w:p>
    <w:p>
      <w:pPr>
        <w:pStyle w:val="nNote"/>
      </w:pPr>
      <w:r>
        <w:rPr>
          <w:vertAlign w:val="superscript"/>
        </w:rPr>
        <w:t>4</w:t>
      </w:r>
      <w:r>
        <w:tab/>
        <w:t xml:space="preserve">The </w:t>
      </w:r>
      <w:r>
        <w:rPr>
          <w:i/>
        </w:rPr>
        <w:t>First Home Owner Grant Amendment Act 2004</w:t>
      </w:r>
      <w:r>
        <w:t xml:space="preserve"> Pt. 3 is a transitional provision of no further effect.</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iCs/>
        </w:rPr>
        <w:t>First Home Owner Grant Amendment Act 2005</w:t>
      </w:r>
      <w:r>
        <w:t xml:space="preserve"> Pt. 3 reads as follows:</w:t>
      </w:r>
    </w:p>
    <w:p>
      <w:pPr>
        <w:pStyle w:val="BlankOpen"/>
      </w:pPr>
    </w:p>
    <w:p>
      <w:pPr>
        <w:pStyle w:val="nzHeading2"/>
      </w:pPr>
      <w:r>
        <w:t>Part 3 — 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lastRenderedPageBreak/>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lastRenderedPageBreak/>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175" w:name="_Toc96086387"/>
      <w:r>
        <w:rPr>
          <w:sz w:val="28"/>
        </w:rPr>
        <w:lastRenderedPageBreak/>
        <w:t>Defined terms</w:t>
      </w:r>
      <w:bookmarkEnd w:id="1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 agreement</w:t>
      </w:r>
      <w:r>
        <w:tab/>
        <w:t>37(1)</w:t>
      </w:r>
    </w:p>
    <w:p>
      <w:pPr>
        <w:pStyle w:val="DefinedTerms"/>
      </w:pPr>
      <w:r>
        <w:t>affected transaction</w:t>
      </w:r>
      <w:r>
        <w:tab/>
        <w:t>64F(1)</w:t>
      </w:r>
    </w:p>
    <w:p>
      <w:pPr>
        <w:pStyle w:val="DefinedTerms"/>
      </w:pPr>
      <w:r>
        <w:t>amendment day</w:t>
      </w:r>
      <w:r>
        <w:tab/>
        <w:t>19(1)</w:t>
      </w:r>
    </w:p>
    <w:p>
      <w:pPr>
        <w:pStyle w:val="DefinedTerms"/>
      </w:pPr>
      <w:r>
        <w:t>applicant,</w:t>
      </w:r>
      <w:r>
        <w:tab/>
        <w:t>41A(1)</w:t>
      </w:r>
    </w:p>
    <w:p>
      <w:pPr>
        <w:pStyle w:val="DefinedTerms"/>
      </w:pPr>
      <w:r>
        <w:t>application</w:t>
      </w:r>
      <w:r>
        <w:tab/>
        <w:t>3(1)</w:t>
      </w:r>
    </w:p>
    <w:p>
      <w:pPr>
        <w:pStyle w:val="DefinedTerms"/>
      </w:pPr>
      <w:r>
        <w:t>approved</w:t>
      </w:r>
      <w:r>
        <w:tab/>
        <w:t>30(1A), 32(1)</w:t>
      </w:r>
    </w:p>
    <w:p>
      <w:pPr>
        <w:pStyle w:val="DefinedTerms"/>
      </w:pPr>
      <w:r>
        <w:t>Australian citizen</w:t>
      </w:r>
      <w:r>
        <w:tab/>
        <w:t>3(1), 7A(1)</w:t>
      </w:r>
    </w:p>
    <w:p>
      <w:pPr>
        <w:pStyle w:val="DefinedTerms"/>
      </w:pPr>
      <w:r>
        <w:t>authorised investigator</w:t>
      </w:r>
      <w:r>
        <w:tab/>
        <w:t>3(1), 48(3)</w:t>
      </w:r>
    </w:p>
    <w:p>
      <w:pPr>
        <w:pStyle w:val="DefinedTerms"/>
      </w:pPr>
      <w:r>
        <w:t>building</w:t>
      </w:r>
      <w:r>
        <w:tab/>
        <w:t>3(1)</w:t>
      </w:r>
    </w:p>
    <w:p>
      <w:pPr>
        <w:pStyle w:val="DefinedTerms"/>
      </w:pPr>
      <w:r>
        <w:t>cap amount</w:t>
      </w:r>
      <w:r>
        <w:tab/>
        <w:t>3, 14AD</w:t>
      </w:r>
    </w:p>
    <w:p>
      <w:pPr>
        <w:pStyle w:val="DefinedTerms"/>
      </w:pPr>
      <w:r>
        <w:t>class 1 eligible transaction</w:t>
      </w:r>
      <w:r>
        <w:tab/>
        <w:t>14B(1)</w:t>
      </w:r>
    </w:p>
    <w:p>
      <w:pPr>
        <w:pStyle w:val="DefinedTerms"/>
      </w:pPr>
      <w:r>
        <w:t>class 2 eligible transaction</w:t>
      </w:r>
      <w:r>
        <w:tab/>
        <w:t>14B(1a)</w:t>
      </w:r>
    </w:p>
    <w:p>
      <w:pPr>
        <w:pStyle w:val="DefinedTerms"/>
      </w:pPr>
      <w:r>
        <w:t>class 3 eligible transaction</w:t>
      </w:r>
      <w:r>
        <w:tab/>
        <w:t>14B(1b)</w:t>
      </w:r>
    </w:p>
    <w:p>
      <w:pPr>
        <w:pStyle w:val="DefinedTerms"/>
      </w:pPr>
      <w:r>
        <w:t>class 4 eligible transaction</w:t>
      </w:r>
      <w:r>
        <w:tab/>
        <w:t>14B(2)</w:t>
      </w:r>
    </w:p>
    <w:p>
      <w:pPr>
        <w:pStyle w:val="DefinedTerms"/>
      </w:pPr>
      <w:r>
        <w:t>class 5 eligible transaction</w:t>
      </w:r>
      <w:r>
        <w:tab/>
        <w:t>14B(3)</w:t>
      </w:r>
    </w:p>
    <w:p>
      <w:pPr>
        <w:pStyle w:val="DefinedTerms"/>
      </w:pPr>
      <w:r>
        <w:t>class 6 eligible transaction</w:t>
      </w:r>
      <w:r>
        <w:tab/>
        <w:t>14B(4A)</w:t>
      </w:r>
    </w:p>
    <w:p>
      <w:pPr>
        <w:pStyle w:val="DefinedTerms"/>
      </w:pPr>
      <w:r>
        <w:t>class 7 eligible transaction</w:t>
      </w:r>
      <w:r>
        <w:tab/>
        <w:t>14B(4B)</w:t>
      </w:r>
    </w:p>
    <w:p>
      <w:pPr>
        <w:pStyle w:val="DefinedTerms"/>
      </w:pPr>
      <w:r>
        <w:t>class 8 eligible transaction</w:t>
      </w:r>
      <w:r>
        <w:tab/>
        <w:t>14B(4C)</w:t>
      </w:r>
    </w:p>
    <w:p>
      <w:pPr>
        <w:pStyle w:val="DefinedTerms"/>
      </w:pPr>
      <w:r>
        <w:t>commencement date</w:t>
      </w:r>
      <w:r>
        <w:tab/>
        <w:t>3(1), 14AA(1)</w:t>
      </w:r>
    </w:p>
    <w:p>
      <w:pPr>
        <w:pStyle w:val="DefinedTerms"/>
      </w:pPr>
      <w:r>
        <w:t>commencement day</w:t>
      </w:r>
      <w:r>
        <w:tab/>
        <w:t>71(1)</w:t>
      </w:r>
    </w:p>
    <w:p>
      <w:pPr>
        <w:pStyle w:val="DefinedTerms"/>
      </w:pPr>
      <w:r>
        <w:t>Commissioner</w:t>
      </w:r>
      <w:r>
        <w:tab/>
        <w:t>3(1)</w:t>
      </w:r>
    </w:p>
    <w:p>
      <w:pPr>
        <w:pStyle w:val="DefinedTerms"/>
      </w:pPr>
      <w:r>
        <w:t>Commissioner’s website</w:t>
      </w:r>
      <w:r>
        <w:tab/>
        <w:t>3(1)</w:t>
      </w:r>
    </w:p>
    <w:p>
      <w:pPr>
        <w:pStyle w:val="DefinedTerms"/>
      </w:pPr>
      <w:r>
        <w:t>completed</w:t>
      </w:r>
      <w:r>
        <w:tab/>
        <w:t>3(1), 14AA(2)</w:t>
      </w:r>
    </w:p>
    <w:p>
      <w:pPr>
        <w:pStyle w:val="DefinedTerms"/>
      </w:pPr>
      <w:r>
        <w:t>comprehensive home building contract</w:t>
      </w:r>
      <w:r>
        <w:tab/>
        <w:t>3(1)</w:t>
      </w:r>
    </w:p>
    <w:p>
      <w:pPr>
        <w:pStyle w:val="DefinedTerms"/>
      </w:pPr>
      <w:r>
        <w:t>confidential information</w:t>
      </w:r>
      <w:r>
        <w:tab/>
        <w:t>65(7)</w:t>
      </w:r>
    </w:p>
    <w:p>
      <w:pPr>
        <w:pStyle w:val="DefinedTerms"/>
      </w:pPr>
      <w:r>
        <w:t>consideration</w:t>
      </w:r>
      <w:r>
        <w:tab/>
        <w:t>3(1), 14AB</w:t>
      </w:r>
    </w:p>
    <w:p>
      <w:pPr>
        <w:pStyle w:val="DefinedTerms"/>
      </w:pPr>
      <w:r>
        <w:t>corresponding Commissioner</w:t>
      </w:r>
      <w:r>
        <w:tab/>
        <w:t>3(1)</w:t>
      </w:r>
    </w:p>
    <w:p>
      <w:pPr>
        <w:pStyle w:val="DefinedTerms"/>
      </w:pPr>
      <w:r>
        <w:t>corresponding law</w:t>
      </w:r>
      <w:r>
        <w:tab/>
        <w:t>3(1)</w:t>
      </w:r>
    </w:p>
    <w:p>
      <w:pPr>
        <w:pStyle w:val="DefinedTerms"/>
      </w:pPr>
      <w:r>
        <w:t>cut-off date</w:t>
      </w:r>
      <w:r>
        <w:tab/>
        <w:t>14A</w:t>
      </w:r>
    </w:p>
    <w:p>
      <w:pPr>
        <w:pStyle w:val="DefinedTerms"/>
      </w:pPr>
      <w:r>
        <w:t>decision on the application</w:t>
      </w:r>
      <w:r>
        <w:tab/>
        <w:t>26</w:t>
      </w:r>
    </w:p>
    <w:p>
      <w:pPr>
        <w:pStyle w:val="DefinedTerms"/>
      </w:pPr>
      <w:r>
        <w:t>de facto partner</w:t>
      </w:r>
      <w:r>
        <w:tab/>
        <w:t>3(1)</w:t>
      </w:r>
    </w:p>
    <w:p>
      <w:pPr>
        <w:pStyle w:val="DefinedTerms"/>
      </w:pPr>
      <w:r>
        <w:t>document</w:t>
      </w:r>
      <w:r>
        <w:tab/>
        <w:t>47(3)</w:t>
      </w:r>
    </w:p>
    <w:p>
      <w:pPr>
        <w:pStyle w:val="DefinedTerms"/>
      </w:pPr>
      <w:r>
        <w:t>eligibility criteria</w:t>
      </w:r>
      <w:r>
        <w:tab/>
        <w:t>3(1)</w:t>
      </w:r>
    </w:p>
    <w:p>
      <w:pPr>
        <w:pStyle w:val="DefinedTerms"/>
      </w:pPr>
      <w:r>
        <w:t>eligible person</w:t>
      </w:r>
      <w:r>
        <w:tab/>
        <w:t>64F(1)</w:t>
      </w:r>
    </w:p>
    <w:p>
      <w:pPr>
        <w:pStyle w:val="DefinedTerms"/>
      </w:pPr>
      <w:r>
        <w:t>eligible transaction</w:t>
      </w:r>
      <w:r>
        <w:tab/>
        <w:t>3(1), 14(1)</w:t>
      </w:r>
    </w:p>
    <w:p>
      <w:pPr>
        <w:pStyle w:val="DefinedTerms"/>
      </w:pPr>
      <w:r>
        <w:t>emergency declaration</w:t>
      </w:r>
      <w:r>
        <w:tab/>
        <w:t>64B(1)</w:t>
      </w:r>
    </w:p>
    <w:p>
      <w:pPr>
        <w:pStyle w:val="DefinedTerms"/>
      </w:pPr>
      <w:r>
        <w:t>established home</w:t>
      </w:r>
      <w:r>
        <w:tab/>
        <w:t>3(1)</w:t>
      </w:r>
    </w:p>
    <w:p>
      <w:pPr>
        <w:pStyle w:val="DefinedTerms"/>
      </w:pPr>
      <w:r>
        <w:t>first home owner grant</w:t>
      </w:r>
      <w:r>
        <w:tab/>
        <w:t>3(1)</w:t>
      </w:r>
    </w:p>
    <w:p>
      <w:pPr>
        <w:pStyle w:val="DefinedTerms"/>
      </w:pPr>
      <w:r>
        <w:t>first home owner grant scheme</w:t>
      </w:r>
      <w:r>
        <w:tab/>
        <w:t>3(1)</w:t>
      </w:r>
    </w:p>
    <w:p>
      <w:pPr>
        <w:pStyle w:val="DefinedTerms"/>
      </w:pPr>
      <w:r>
        <w:t>garnishee</w:t>
      </w:r>
      <w:r>
        <w:tab/>
        <w:t>54A(2)</w:t>
      </w:r>
    </w:p>
    <w:p>
      <w:pPr>
        <w:pStyle w:val="DefinedTerms"/>
      </w:pPr>
      <w:r>
        <w:lastRenderedPageBreak/>
        <w:t>grant amount</w:t>
      </w:r>
      <w:r>
        <w:tab/>
        <w:t>64A(2)</w:t>
      </w:r>
    </w:p>
    <w:p>
      <w:pPr>
        <w:pStyle w:val="DefinedTerms"/>
      </w:pPr>
      <w:r>
        <w:t>grant relief declaration</w:t>
      </w:r>
      <w:r>
        <w:tab/>
        <w:t>3(1), 64B(2)</w:t>
      </w:r>
    </w:p>
    <w:p>
      <w:pPr>
        <w:pStyle w:val="DefinedTerms"/>
      </w:pPr>
      <w:r>
        <w:t>grant relief measure</w:t>
      </w:r>
      <w:r>
        <w:tab/>
        <w:t>3(1), 64A(1)</w:t>
      </w:r>
    </w:p>
    <w:p>
      <w:pPr>
        <w:pStyle w:val="DefinedTerms"/>
      </w:pPr>
      <w:r>
        <w:t>guardian</w:t>
      </w:r>
      <w:r>
        <w:tab/>
        <w:t>3(1)</w:t>
      </w:r>
    </w:p>
    <w:p>
      <w:pPr>
        <w:pStyle w:val="DefinedTerms"/>
      </w:pPr>
      <w:r>
        <w:t>home</w:t>
      </w:r>
      <w:r>
        <w:tab/>
        <w:t>3(1), 4</w:t>
      </w:r>
    </w:p>
    <w:p>
      <w:pPr>
        <w:pStyle w:val="DefinedTerms"/>
      </w:pPr>
      <w:r>
        <w:t>home owner</w:t>
      </w:r>
      <w:r>
        <w:tab/>
        <w:t>5</w:t>
      </w:r>
    </w:p>
    <w:p>
      <w:pPr>
        <w:pStyle w:val="DefinedTerms"/>
      </w:pPr>
      <w:r>
        <w:t>identity card</w:t>
      </w:r>
      <w:r>
        <w:tab/>
        <w:t>3(1)</w:t>
      </w:r>
    </w:p>
    <w:p>
      <w:pPr>
        <w:pStyle w:val="DefinedTerms"/>
      </w:pPr>
      <w:r>
        <w:t>interested person</w:t>
      </w:r>
      <w:r>
        <w:tab/>
        <w:t>16(3)</w:t>
      </w:r>
    </w:p>
    <w:p>
      <w:pPr>
        <w:pStyle w:val="DefinedTerms"/>
      </w:pPr>
      <w:r>
        <w:t>liable person</w:t>
      </w:r>
      <w:r>
        <w:tab/>
        <w:t>54A(1)</w:t>
      </w:r>
    </w:p>
    <w:p>
      <w:pPr>
        <w:pStyle w:val="DefinedTerms"/>
      </w:pPr>
      <w:r>
        <w:t>licensed valuer</w:t>
      </w:r>
      <w:r>
        <w:tab/>
        <w:t>41A(1)</w:t>
      </w:r>
    </w:p>
    <w:p>
      <w:pPr>
        <w:pStyle w:val="DefinedTerms"/>
      </w:pPr>
      <w:r>
        <w:t>new home</w:t>
      </w:r>
      <w:r>
        <w:tab/>
        <w:t>3(1)</w:t>
      </w:r>
    </w:p>
    <w:p>
      <w:pPr>
        <w:pStyle w:val="DefinedTerms"/>
      </w:pPr>
      <w:r>
        <w:t>non-conforming interest</w:t>
      </w:r>
      <w:r>
        <w:tab/>
        <w:t>6(3)</w:t>
      </w:r>
    </w:p>
    <w:p>
      <w:pPr>
        <w:pStyle w:val="DefinedTerms"/>
      </w:pPr>
      <w:r>
        <w:t>objector</w:t>
      </w:r>
      <w:r>
        <w:tab/>
        <w:t>26</w:t>
      </w:r>
    </w:p>
    <w:p>
      <w:pPr>
        <w:pStyle w:val="DefinedTerms"/>
      </w:pPr>
      <w:r>
        <w:t>option to purchase</w:t>
      </w:r>
      <w:r>
        <w:tab/>
        <w:t>3(1)</w:t>
      </w:r>
    </w:p>
    <w:p>
      <w:pPr>
        <w:pStyle w:val="DefinedTerms"/>
      </w:pPr>
      <w:r>
        <w:t>outstanding amount</w:t>
      </w:r>
      <w:r>
        <w:tab/>
        <w:t>58(1)</w:t>
      </w:r>
    </w:p>
    <w:p>
      <w:pPr>
        <w:pStyle w:val="DefinedTerms"/>
      </w:pPr>
      <w:r>
        <w:t>owner</w:t>
      </w:r>
      <w:r>
        <w:tab/>
        <w:t>3(1), 5</w:t>
      </w:r>
    </w:p>
    <w:p>
      <w:pPr>
        <w:pStyle w:val="DefinedTerms"/>
      </w:pPr>
      <w:r>
        <w:t>owner builder</w:t>
      </w:r>
      <w:r>
        <w:tab/>
        <w:t>3(1)</w:t>
      </w:r>
    </w:p>
    <w:p>
      <w:pPr>
        <w:pStyle w:val="DefinedTerms"/>
      </w:pPr>
      <w:r>
        <w:t>permanent resident</w:t>
      </w:r>
      <w:r>
        <w:tab/>
        <w:t>2(1), 7B(1)</w:t>
      </w:r>
    </w:p>
    <w:p>
      <w:pPr>
        <w:pStyle w:val="DefinedTerms"/>
      </w:pPr>
      <w:r>
        <w:t>premises</w:t>
      </w:r>
      <w:r>
        <w:tab/>
        <w:t>3(1)</w:t>
      </w:r>
    </w:p>
    <w:p>
      <w:pPr>
        <w:pStyle w:val="DefinedTerms"/>
      </w:pPr>
      <w:r>
        <w:t>property</w:t>
      </w:r>
      <w:r>
        <w:tab/>
        <w:t>3(1)</w:t>
      </w:r>
    </w:p>
    <w:p>
      <w:pPr>
        <w:pStyle w:val="DefinedTerms"/>
      </w:pPr>
      <w:r>
        <w:t>registered</w:t>
      </w:r>
      <w:r>
        <w:tab/>
        <w:t>55(6)</w:t>
      </w:r>
    </w:p>
    <w:p>
      <w:pPr>
        <w:pStyle w:val="DefinedTerms"/>
      </w:pPr>
      <w:r>
        <w:t>Registrar</w:t>
      </w:r>
      <w:r>
        <w:tab/>
        <w:t>3(1)</w:t>
      </w:r>
    </w:p>
    <w:p>
      <w:pPr>
        <w:pStyle w:val="DefinedTerms"/>
      </w:pPr>
      <w:r>
        <w:t>relevant amount</w:t>
      </w:r>
      <w:r>
        <w:tab/>
        <w:t>19(3)</w:t>
      </w:r>
    </w:p>
    <w:p>
      <w:pPr>
        <w:pStyle w:val="DefinedTerms"/>
      </w:pPr>
      <w:r>
        <w:t>relevant date</w:t>
      </w:r>
      <w:r>
        <w:tab/>
        <w:t>14A</w:t>
      </w:r>
    </w:p>
    <w:p>
      <w:pPr>
        <w:pStyle w:val="DefinedTerms"/>
      </w:pPr>
      <w:r>
        <w:t>relevant day</w:t>
      </w:r>
      <w:r>
        <w:tab/>
        <w:t>21(3)</w:t>
      </w:r>
    </w:p>
    <w:p>
      <w:pPr>
        <w:pStyle w:val="DefinedTerms"/>
      </w:pPr>
      <w:r>
        <w:t>relevant emergency declaration</w:t>
      </w:r>
      <w:r>
        <w:tab/>
        <w:t>64B(3)</w:t>
      </w:r>
    </w:p>
    <w:p>
      <w:pPr>
        <w:pStyle w:val="DefinedTerms"/>
      </w:pPr>
      <w:r>
        <w:t>relevant interest</w:t>
      </w:r>
      <w:r>
        <w:tab/>
        <w:t>3(1), 6(1)</w:t>
      </w:r>
    </w:p>
    <w:p>
      <w:pPr>
        <w:pStyle w:val="DefinedTerms"/>
      </w:pPr>
      <w:r>
        <w:t>relevant material</w:t>
      </w:r>
      <w:r>
        <w:tab/>
        <w:t>3(1)</w:t>
      </w:r>
    </w:p>
    <w:p>
      <w:pPr>
        <w:pStyle w:val="DefinedTerms"/>
      </w:pPr>
      <w:r>
        <w:t>repayment arrangement</w:t>
      </w:r>
      <w:r>
        <w:tab/>
        <w:t>3(1)</w:t>
      </w:r>
    </w:p>
    <w:p>
      <w:pPr>
        <w:pStyle w:val="DefinedTerms"/>
      </w:pPr>
      <w:r>
        <w:t>required repayment</w:t>
      </w:r>
      <w:r>
        <w:tab/>
        <w:t>52(1A)</w:t>
      </w:r>
    </w:p>
    <w:p>
      <w:pPr>
        <w:pStyle w:val="DefinedTerms"/>
      </w:pPr>
      <w:r>
        <w:t>required residence period</w:t>
      </w:r>
      <w:r>
        <w:tab/>
        <w:t>3(1), 13(2)</w:t>
      </w:r>
    </w:p>
    <w:p>
      <w:pPr>
        <w:pStyle w:val="DefinedTerms"/>
      </w:pPr>
      <w:r>
        <w:t>residence requirements</w:t>
      </w:r>
      <w:r>
        <w:tab/>
        <w:t>3(1)</w:t>
      </w:r>
    </w:p>
    <w:p>
      <w:pPr>
        <w:pStyle w:val="DefinedTerms"/>
      </w:pPr>
      <w:r>
        <w:t>residential property</w:t>
      </w:r>
      <w:r>
        <w:tab/>
        <w:t>3(1), 3(2)</w:t>
      </w:r>
    </w:p>
    <w:p>
      <w:pPr>
        <w:pStyle w:val="DefinedTerms"/>
      </w:pPr>
      <w:r>
        <w:t>second amendment day</w:t>
      </w:r>
      <w:r>
        <w:tab/>
        <w:t>19(1)</w:t>
      </w:r>
    </w:p>
    <w:p>
      <w:pPr>
        <w:pStyle w:val="DefinedTerms"/>
      </w:pPr>
      <w:r>
        <w:t>special eligible transaction</w:t>
      </w:r>
      <w:r>
        <w:tab/>
        <w:t>14A</w:t>
      </w:r>
    </w:p>
    <w:p>
      <w:pPr>
        <w:pStyle w:val="DefinedTerms"/>
      </w:pPr>
      <w:r>
        <w:t>spouse</w:t>
      </w:r>
      <w:r>
        <w:tab/>
        <w:t>3(1), 7(1)</w:t>
      </w:r>
    </w:p>
    <w:p>
      <w:pPr>
        <w:pStyle w:val="DefinedTerms"/>
      </w:pPr>
      <w:r>
        <w:t>standard grant amount</w:t>
      </w:r>
      <w:r>
        <w:tab/>
        <w:t>51(1B)</w:t>
      </w:r>
    </w:p>
    <w:p>
      <w:pPr>
        <w:pStyle w:val="DefinedTerms"/>
      </w:pPr>
      <w:r>
        <w:t>State</w:t>
      </w:r>
      <w:r>
        <w:tab/>
        <w:t>65(7)</w:t>
      </w:r>
    </w:p>
    <w:p>
      <w:pPr>
        <w:pStyle w:val="DefinedTerms"/>
      </w:pPr>
      <w:r>
        <w:t>substantially renovated home</w:t>
      </w:r>
      <w:r>
        <w:tab/>
        <w:t>3(1)</w:t>
      </w:r>
    </w:p>
    <w:p>
      <w:pPr>
        <w:pStyle w:val="DefinedTerms"/>
      </w:pPr>
      <w:r>
        <w:t>take-up period</w:t>
      </w:r>
      <w:r>
        <w:tab/>
        <w:t>3(1), 13(5)</w:t>
      </w:r>
    </w:p>
    <w:p>
      <w:pPr>
        <w:pStyle w:val="DefinedTerms"/>
      </w:pPr>
      <w:r>
        <w:t>taxation law</w:t>
      </w:r>
      <w:r>
        <w:tab/>
        <w:t>3(1)</w:t>
      </w:r>
    </w:p>
    <w:p>
      <w:pPr>
        <w:pStyle w:val="DefinedTerms"/>
      </w:pPr>
      <w:r>
        <w:t>the applicant</w:t>
      </w:r>
      <w:r>
        <w:tab/>
        <w:t>11(1)</w:t>
      </w:r>
    </w:p>
    <w:p>
      <w:pPr>
        <w:pStyle w:val="DefinedTerms"/>
      </w:pPr>
      <w:r>
        <w:t>the home</w:t>
      </w:r>
      <w:r>
        <w:tab/>
        <w:t>3(1)</w:t>
      </w:r>
    </w:p>
    <w:p>
      <w:pPr>
        <w:pStyle w:val="DefinedTerms"/>
      </w:pPr>
      <w:r>
        <w:t>the other grant</w:t>
      </w:r>
      <w:r>
        <w:tab/>
        <w:t>11(1)</w:t>
      </w:r>
    </w:p>
    <w:p>
      <w:pPr>
        <w:pStyle w:val="DefinedTerms"/>
      </w:pPr>
      <w:r>
        <w:t>total value</w:t>
      </w:r>
      <w:r>
        <w:tab/>
        <w:t>3(1), 14AC(1)</w:t>
      </w:r>
    </w:p>
    <w:p>
      <w:pPr>
        <w:pStyle w:val="DefinedTerms"/>
      </w:pPr>
      <w:r>
        <w:lastRenderedPageBreak/>
        <w:t>transaction</w:t>
      </w:r>
      <w:r>
        <w:tab/>
        <w:t>3(1)</w:t>
      </w:r>
    </w:p>
    <w:p>
      <w:pPr>
        <w:pStyle w:val="DefinedTerms"/>
      </w:pPr>
      <w:r>
        <w:t>unencumbered value</w:t>
      </w:r>
      <w:r>
        <w:tab/>
        <w:t>3(1), 14AE(1)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4" w:name="Compilation"/>
    <w:bookmarkEnd w:id="1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6" w:name="DefinedTerms"/>
    <w:bookmarkEnd w:id="17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7" w:name="Coversheet"/>
    <w:bookmarkEnd w:id="1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18124222"/>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 w:name="WAFER_20210623103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38_GUID" w:val="d4fac422-8b37-4792-83ea-41b324bca40b"/>
    <w:docVar w:name="WAFER_2022021812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8124222_GUID" w:val="3e2ca8af-e1bf-4119-8709-03463e0816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23251</Words>
  <Characters>111376</Characters>
  <Application>Microsoft Office Word</Application>
  <DocSecurity>0</DocSecurity>
  <Lines>3093</Lines>
  <Paragraphs>1795</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132832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2000 - 03-e0-00</dc:title>
  <dc:subject/>
  <dc:creator/>
  <cp:keywords/>
  <dc:description/>
  <cp:lastModifiedBy>Master Repository Process</cp:lastModifiedBy>
  <cp:revision>4</cp:revision>
  <cp:lastPrinted>2018-11-21T03:28:00Z</cp:lastPrinted>
  <dcterms:created xsi:type="dcterms:W3CDTF">2022-02-22T07:24:00Z</dcterms:created>
  <dcterms:modified xsi:type="dcterms:W3CDTF">2022-02-22T07:25:00Z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AsAtDate">
    <vt:lpwstr>22 Feb 2022</vt:lpwstr>
  </property>
  <property fmtid="{D5CDD505-2E9C-101B-9397-08002B2CF9AE}" pid="8" name="Suffix">
    <vt:lpwstr>03-e0-00</vt:lpwstr>
  </property>
  <property fmtid="{D5CDD505-2E9C-101B-9397-08002B2CF9AE}" pid="9" name="CommencementDate">
    <vt:lpwstr>20220222</vt:lpwstr>
  </property>
</Properties>
</file>