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Freedom of Information Act 1992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Freedom of Information Regulations 1993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Regulations 1993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_Toc97641198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_Toc97641199 \h </w:instrText>
      </w:r>
      <w:r>
        <w:fldChar w:fldCharType="separate"/>
      </w:r>
      <w:r>
        <w:t>1</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Term used: non-personal information</w:t>
      </w:r>
      <w:r>
        <w:tab/>
      </w:r>
      <w:r>
        <w:fldChar w:fldCharType="begin"/>
      </w:r>
      <w:r>
        <w:instrText xml:space="preserve"> PAGEREF _Toc97641200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General provisions relating to charges</w:t>
      </w:r>
      <w:r>
        <w:tab/>
      </w:r>
      <w:r>
        <w:fldChar w:fldCharType="begin"/>
      </w:r>
      <w:r>
        <w:instrText xml:space="preserve"> PAGEREF _Toc97641201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fee (section 12(1)(e))</w:t>
      </w:r>
      <w:r>
        <w:tab/>
      </w:r>
      <w:r>
        <w:fldChar w:fldCharType="begin"/>
      </w:r>
      <w:r>
        <w:instrText xml:space="preserve"> PAGEREF _Toc97641202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Charges (section 16(1))</w:t>
      </w:r>
      <w:r>
        <w:tab/>
      </w:r>
      <w:r>
        <w:fldChar w:fldCharType="begin"/>
      </w:r>
      <w:r>
        <w:instrText xml:space="preserve"> PAGEREF _Toc97641203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Advance deposits (section 18(1) and (4))</w:t>
      </w:r>
      <w:r>
        <w:tab/>
      </w:r>
      <w:r>
        <w:fldChar w:fldCharType="begin"/>
      </w:r>
      <w:r>
        <w:instrText xml:space="preserve"> PAGEREF _Toc97641204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used: suitably qualified person (section 28)</w:t>
      </w:r>
      <w:r>
        <w:tab/>
      </w:r>
      <w:r>
        <w:fldChar w:fldCharType="begin"/>
      </w:r>
      <w:r>
        <w:instrText xml:space="preserve"> PAGEREF _Toc97641205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Information or details to be included in complaint (section 66(1)(d))</w:t>
      </w:r>
      <w:r>
        <w:tab/>
      </w:r>
      <w:r>
        <w:fldChar w:fldCharType="begin"/>
      </w:r>
      <w:r>
        <w:instrText xml:space="preserve"> PAGEREF _Toc97641206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Prescribed personal details (Act Schedule 1 clause 3)</w:t>
      </w:r>
      <w:r>
        <w:tab/>
      </w:r>
      <w:r>
        <w:fldChar w:fldCharType="begin"/>
      </w:r>
      <w:r>
        <w:instrText xml:space="preserve"> PAGEREF _Toc97641207 \h </w:instrText>
      </w:r>
      <w:r>
        <w:fldChar w:fldCharType="separate"/>
      </w:r>
      <w:r>
        <w:t>3</w:t>
      </w:r>
      <w:r>
        <w:fldChar w:fldCharType="end"/>
      </w:r>
    </w:p>
    <w:p>
      <w:pPr>
        <w:pStyle w:val="TOC8"/>
        <w:rPr>
          <w:rFonts w:asciiTheme="minorHAnsi" w:eastAsiaTheme="minorEastAsia" w:hAnsiTheme="minorHAnsi" w:cstheme="minorBidi"/>
          <w:szCs w:val="22"/>
        </w:rPr>
      </w:pPr>
      <w:r>
        <w:t>9A.</w:t>
      </w:r>
      <w:r>
        <w:tab/>
        <w:t>Principal officer of health service provider</w:t>
      </w:r>
      <w:r>
        <w:tab/>
      </w:r>
      <w:r>
        <w:fldChar w:fldCharType="begin"/>
      </w:r>
      <w:r>
        <w:instrText xml:space="preserve"> PAGEREF _Toc97641208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Specified bodies etc. to be regarded as part of other agencies</w:t>
      </w:r>
      <w:r>
        <w:tab/>
      </w:r>
      <w:r>
        <w:fldChar w:fldCharType="begin"/>
      </w:r>
      <w:r>
        <w:instrText xml:space="preserve"> PAGEREF _Toc97641209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 — Offices and bodies to be regarded as part of other agencies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_Toc97641213 \h </w:instrText>
      </w:r>
      <w:r>
        <w:fldChar w:fldCharType="separate"/>
      </w:r>
      <w:r>
        <w:t>19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_Toc97641214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Freedom of Information Act 1992</w:t>
      </w:r>
    </w:p>
    <w:p>
      <w:pPr>
        <w:pStyle w:val="NameofActReg"/>
      </w:pPr>
      <w:r>
        <w:t>Freedom of Information Regulations 1993</w:t>
      </w:r>
    </w:p>
    <w:p>
      <w:pPr>
        <w:pStyle w:val="Heading5"/>
        <w:rPr>
          <w:snapToGrid w:val="0"/>
        </w:rPr>
      </w:pPr>
      <w:bookmarkStart w:id="3" w:name="_Toc97641198"/>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Freedom of Information Regulations 1993</w:t>
      </w:r>
      <w:r>
        <w:rPr>
          <w:snapToGrid w:val="0"/>
        </w:rPr>
        <w:t>.</w:t>
      </w:r>
    </w:p>
    <w:p>
      <w:pPr>
        <w:pStyle w:val="Heading5"/>
        <w:rPr>
          <w:snapToGrid w:val="0"/>
        </w:rPr>
      </w:pPr>
      <w:bookmarkStart w:id="4" w:name="_Toc97641199"/>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section 10 of the </w:t>
      </w:r>
      <w:r>
        <w:rPr>
          <w:i/>
          <w:snapToGrid w:val="0"/>
        </w:rPr>
        <w:t>Freedom of Information Act 1992</w:t>
      </w:r>
      <w:r>
        <w:rPr>
          <w:snapToGrid w:val="0"/>
        </w:rPr>
        <w:t xml:space="preserve"> comes into operation.</w:t>
      </w:r>
    </w:p>
    <w:p>
      <w:pPr>
        <w:pStyle w:val="Heading5"/>
        <w:rPr>
          <w:snapToGrid w:val="0"/>
        </w:rPr>
      </w:pPr>
      <w:bookmarkStart w:id="5" w:name="_Toc97641200"/>
      <w:r>
        <w:rPr>
          <w:rStyle w:val="CharSectno"/>
        </w:rPr>
        <w:t>2A</w:t>
      </w:r>
      <w:r>
        <w:rPr>
          <w:snapToGrid w:val="0"/>
        </w:rPr>
        <w:t>.</w:t>
      </w:r>
      <w:r>
        <w:rPr>
          <w:snapToGrid w:val="0"/>
        </w:rPr>
        <w:tab/>
        <w:t>Term used: non-personal information</w:t>
      </w:r>
      <w:bookmarkEnd w:id="5"/>
    </w:p>
    <w:p>
      <w:pPr>
        <w:pStyle w:val="Subsection"/>
        <w:rPr>
          <w:snapToGrid w:val="0"/>
        </w:rPr>
      </w:pPr>
      <w:r>
        <w:rPr>
          <w:snapToGrid w:val="0"/>
        </w:rPr>
        <w:tab/>
      </w:r>
      <w:r>
        <w:rPr>
          <w:snapToGrid w:val="0"/>
        </w:rPr>
        <w:tab/>
        <w:t>In these regulations —</w:t>
      </w:r>
    </w:p>
    <w:p>
      <w:pPr>
        <w:pStyle w:val="Defstart"/>
      </w:pPr>
      <w:r>
        <w:rPr>
          <w:b/>
        </w:rPr>
        <w:tab/>
      </w:r>
      <w:r>
        <w:rPr>
          <w:rStyle w:val="CharDefText"/>
        </w:rPr>
        <w:t>non</w:t>
      </w:r>
      <w:r>
        <w:rPr>
          <w:rStyle w:val="CharDefText"/>
        </w:rPr>
        <w:noBreakHyphen/>
        <w:t>personal information</w:t>
      </w:r>
      <w:r>
        <w:t xml:space="preserve"> means information that is not personal information about the applicant.</w:t>
      </w:r>
    </w:p>
    <w:p>
      <w:pPr>
        <w:pStyle w:val="Footnotesection"/>
      </w:pPr>
      <w:r>
        <w:tab/>
        <w:t>[Regulation 2A inserted: Gazette 30 Sep 1994 p. 4983.]</w:t>
      </w:r>
    </w:p>
    <w:p>
      <w:pPr>
        <w:pStyle w:val="Heading5"/>
        <w:rPr>
          <w:snapToGrid w:val="0"/>
        </w:rPr>
      </w:pPr>
      <w:bookmarkStart w:id="6" w:name="_Toc97641201"/>
      <w:r>
        <w:rPr>
          <w:rStyle w:val="CharSectno"/>
        </w:rPr>
        <w:t>3</w:t>
      </w:r>
      <w:r>
        <w:rPr>
          <w:snapToGrid w:val="0"/>
        </w:rPr>
        <w:t>.</w:t>
      </w:r>
      <w:r>
        <w:rPr>
          <w:snapToGrid w:val="0"/>
        </w:rPr>
        <w:tab/>
        <w:t>General provisions relating to charges</w:t>
      </w:r>
      <w:bookmarkEnd w:id="6"/>
    </w:p>
    <w:p>
      <w:pPr>
        <w:pStyle w:val="Subsection"/>
        <w:rPr>
          <w:snapToGrid w:val="0"/>
        </w:rPr>
      </w:pPr>
      <w:r>
        <w:rPr>
          <w:snapToGrid w:val="0"/>
        </w:rPr>
        <w:tab/>
      </w:r>
      <w:r>
        <w:rPr>
          <w:snapToGrid w:val="0"/>
        </w:rPr>
        <w:tab/>
        <w:t>For an applicant who is —</w:t>
      </w:r>
    </w:p>
    <w:p>
      <w:pPr>
        <w:pStyle w:val="Indenta"/>
        <w:rPr>
          <w:snapToGrid w:val="0"/>
        </w:rPr>
      </w:pPr>
      <w:r>
        <w:rPr>
          <w:snapToGrid w:val="0"/>
        </w:rPr>
        <w:tab/>
        <w:t>(a)</w:t>
      </w:r>
      <w:r>
        <w:rPr>
          <w:snapToGrid w:val="0"/>
        </w:rPr>
        <w:tab/>
        <w:t>impecunious, in the opinion of the agency to whom the application is made; or</w:t>
      </w:r>
    </w:p>
    <w:p>
      <w:pPr>
        <w:pStyle w:val="Indenta"/>
        <w:rPr>
          <w:snapToGrid w:val="0"/>
        </w:rPr>
      </w:pPr>
      <w:r>
        <w:rPr>
          <w:snapToGrid w:val="0"/>
        </w:rPr>
        <w:tab/>
        <w:t>(b)</w:t>
      </w:r>
      <w:r>
        <w:rPr>
          <w:snapToGrid w:val="0"/>
        </w:rPr>
        <w:tab/>
        <w:t xml:space="preserve">the holder of a currently valid pensioner concession card issued on behalf of the Commonwealth to that person, or any other card which may be prescribed as being a pensioner concession card under the </w:t>
      </w:r>
      <w:r>
        <w:rPr>
          <w:i/>
          <w:snapToGrid w:val="0"/>
        </w:rPr>
        <w:t>Rates and Charges (Rebates and Deferments) Act 1992</w:t>
      </w:r>
      <w:r>
        <w:rPr>
          <w:snapToGrid w:val="0"/>
        </w:rPr>
        <w:t>,</w:t>
      </w:r>
    </w:p>
    <w:p>
      <w:pPr>
        <w:pStyle w:val="Subsection"/>
        <w:rPr>
          <w:snapToGrid w:val="0"/>
        </w:rPr>
      </w:pPr>
      <w:r>
        <w:rPr>
          <w:snapToGrid w:val="0"/>
        </w:rPr>
        <w:tab/>
      </w:r>
      <w:r>
        <w:rPr>
          <w:snapToGrid w:val="0"/>
        </w:rPr>
        <w:tab/>
        <w:t>the charge payable under regulation 5 is reduced by 25%.</w:t>
      </w:r>
    </w:p>
    <w:p>
      <w:pPr>
        <w:pStyle w:val="Heading5"/>
        <w:rPr>
          <w:snapToGrid w:val="0"/>
        </w:rPr>
      </w:pPr>
      <w:bookmarkStart w:id="7" w:name="_Toc97641202"/>
      <w:r>
        <w:rPr>
          <w:rStyle w:val="CharSectno"/>
        </w:rPr>
        <w:lastRenderedPageBreak/>
        <w:t>4</w:t>
      </w:r>
      <w:r>
        <w:rPr>
          <w:snapToGrid w:val="0"/>
        </w:rPr>
        <w:t>.</w:t>
      </w:r>
      <w:r>
        <w:rPr>
          <w:snapToGrid w:val="0"/>
        </w:rPr>
        <w:tab/>
        <w:t>Application fee (section 12(1)(e))</w:t>
      </w:r>
      <w:bookmarkEnd w:id="7"/>
    </w:p>
    <w:p>
      <w:pPr>
        <w:pStyle w:val="Subsection"/>
        <w:rPr>
          <w:snapToGrid w:val="0"/>
        </w:rPr>
      </w:pPr>
      <w:r>
        <w:rPr>
          <w:snapToGrid w:val="0"/>
        </w:rPr>
        <w:tab/>
      </w:r>
      <w:r>
        <w:rPr>
          <w:snapToGrid w:val="0"/>
        </w:rPr>
        <w:tab/>
        <w:t>The fee in column 2 of item 1 of Schedule 1 is prescribed as the application fee payable under section 12(1)(e) of the Act, for an application for non</w:t>
      </w:r>
      <w:r>
        <w:rPr>
          <w:snapToGrid w:val="0"/>
        </w:rPr>
        <w:noBreakHyphen/>
        <w:t>personal information.</w:t>
      </w:r>
    </w:p>
    <w:p>
      <w:pPr>
        <w:pStyle w:val="Footnotesection"/>
      </w:pPr>
      <w:r>
        <w:tab/>
        <w:t>[Regulation 4 amended: Gazette 12 Nov 1993 p. 6202; 30 Sep 1994 p. 4983.]</w:t>
      </w:r>
    </w:p>
    <w:p>
      <w:pPr>
        <w:pStyle w:val="Heading5"/>
        <w:rPr>
          <w:snapToGrid w:val="0"/>
        </w:rPr>
      </w:pPr>
      <w:bookmarkStart w:id="8" w:name="_Toc97641203"/>
      <w:r>
        <w:rPr>
          <w:rStyle w:val="CharSectno"/>
        </w:rPr>
        <w:t>5</w:t>
      </w:r>
      <w:r>
        <w:rPr>
          <w:snapToGrid w:val="0"/>
        </w:rPr>
        <w:t>.</w:t>
      </w:r>
      <w:r>
        <w:rPr>
          <w:snapToGrid w:val="0"/>
        </w:rPr>
        <w:tab/>
        <w:t>Charges (section 16(1))</w:t>
      </w:r>
      <w:bookmarkEnd w:id="8"/>
    </w:p>
    <w:p>
      <w:pPr>
        <w:pStyle w:val="Subsection"/>
        <w:rPr>
          <w:snapToGrid w:val="0"/>
        </w:rPr>
      </w:pPr>
      <w:r>
        <w:rPr>
          <w:snapToGrid w:val="0"/>
        </w:rPr>
        <w:tab/>
      </w:r>
      <w:r>
        <w:rPr>
          <w:snapToGrid w:val="0"/>
        </w:rPr>
        <w:tab/>
        <w:t>The charges set out in column 2 of item 2 of Schedule 1 are prescribed as payable under section 16(1) of the Act for the purposes set out opposite those charges in column 1 of that item.</w:t>
      </w:r>
    </w:p>
    <w:p>
      <w:pPr>
        <w:pStyle w:val="Footnotesection"/>
      </w:pPr>
      <w:r>
        <w:tab/>
        <w:t>[Regulation 5 amended: Gazette 30 Sep 1994 p. 4983.]</w:t>
      </w:r>
    </w:p>
    <w:p>
      <w:pPr>
        <w:pStyle w:val="Heading5"/>
        <w:rPr>
          <w:snapToGrid w:val="0"/>
        </w:rPr>
      </w:pPr>
      <w:bookmarkStart w:id="9" w:name="_Toc97641204"/>
      <w:r>
        <w:rPr>
          <w:rStyle w:val="CharSectno"/>
        </w:rPr>
        <w:t>6</w:t>
      </w:r>
      <w:r>
        <w:rPr>
          <w:snapToGrid w:val="0"/>
        </w:rPr>
        <w:t>.</w:t>
      </w:r>
      <w:r>
        <w:rPr>
          <w:snapToGrid w:val="0"/>
        </w:rPr>
        <w:tab/>
        <w:t>Advance deposits (section 18(1) and (4))</w:t>
      </w:r>
      <w:bookmarkEnd w:id="9"/>
    </w:p>
    <w:p>
      <w:pPr>
        <w:pStyle w:val="Subsection"/>
        <w:rPr>
          <w:snapToGrid w:val="0"/>
        </w:rPr>
      </w:pPr>
      <w:r>
        <w:rPr>
          <w:snapToGrid w:val="0"/>
        </w:rPr>
        <w:tab/>
      </w:r>
      <w:r>
        <w:rPr>
          <w:snapToGrid w:val="0"/>
        </w:rPr>
        <w:tab/>
        <w:t>The amount or rate set out in column 2 of item 3 of Schedule 1 is prescribed as the amount or rate of an advanced deposit which may be payable under section 18 of the Act in the circumstances set out opposite those amounts or rates in column 1 of that item.</w:t>
      </w:r>
    </w:p>
    <w:p>
      <w:pPr>
        <w:pStyle w:val="Footnotesection"/>
      </w:pPr>
      <w:r>
        <w:tab/>
        <w:t>[Regulation 6 amended: Gazette 30 Sep 1994 p. 4983.]</w:t>
      </w:r>
    </w:p>
    <w:p>
      <w:pPr>
        <w:pStyle w:val="Heading5"/>
        <w:rPr>
          <w:snapToGrid w:val="0"/>
        </w:rPr>
      </w:pPr>
      <w:bookmarkStart w:id="10" w:name="_Toc97641205"/>
      <w:r>
        <w:rPr>
          <w:rStyle w:val="CharSectno"/>
        </w:rPr>
        <w:t>7</w:t>
      </w:r>
      <w:r>
        <w:rPr>
          <w:snapToGrid w:val="0"/>
        </w:rPr>
        <w:t>.</w:t>
      </w:r>
      <w:r>
        <w:rPr>
          <w:snapToGrid w:val="0"/>
        </w:rPr>
        <w:tab/>
        <w:t>Term used: suitably qualified person (section 28)</w:t>
      </w:r>
      <w:bookmarkEnd w:id="10"/>
    </w:p>
    <w:p>
      <w:pPr>
        <w:pStyle w:val="Subsection"/>
        <w:rPr>
          <w:snapToGrid w:val="0"/>
        </w:rPr>
      </w:pPr>
      <w:r>
        <w:rPr>
          <w:snapToGrid w:val="0"/>
        </w:rPr>
        <w:tab/>
      </w:r>
      <w:r>
        <w:rPr>
          <w:snapToGrid w:val="0"/>
        </w:rPr>
        <w:tab/>
        <w:t>For the purposes of section 28 of the Act —</w:t>
      </w:r>
    </w:p>
    <w:p>
      <w:pPr>
        <w:pStyle w:val="Defstart"/>
      </w:pPr>
      <w:r>
        <w:rPr>
          <w:bCs/>
        </w:rPr>
        <w:tab/>
      </w:r>
      <w:r>
        <w:rPr>
          <w:rStyle w:val="CharDefText"/>
        </w:rPr>
        <w:t>suitably qualified person</w:t>
      </w:r>
      <w:r>
        <w:t xml:space="preserve"> means a person registered under the </w:t>
      </w:r>
      <w:r>
        <w:rPr>
          <w:i/>
        </w:rPr>
        <w:t>Health Practitioner Regulation National Law (Western Australia)</w:t>
      </w:r>
      <w:r>
        <w:t xml:space="preserve"> in the medical profession.</w:t>
      </w:r>
    </w:p>
    <w:p>
      <w:pPr>
        <w:pStyle w:val="Footnotesection"/>
        <w:spacing w:before="80"/>
        <w:ind w:left="890" w:hanging="890"/>
      </w:pPr>
      <w:r>
        <w:tab/>
        <w:t>[Regulation 7 amended: Gazette 6 Mar 2012 p. 893.]</w:t>
      </w:r>
    </w:p>
    <w:p>
      <w:pPr>
        <w:pStyle w:val="Heading5"/>
        <w:rPr>
          <w:snapToGrid w:val="0"/>
        </w:rPr>
      </w:pPr>
      <w:bookmarkStart w:id="11" w:name="_Toc97641206"/>
      <w:r>
        <w:rPr>
          <w:rStyle w:val="CharSectno"/>
        </w:rPr>
        <w:t>8</w:t>
      </w:r>
      <w:r>
        <w:rPr>
          <w:snapToGrid w:val="0"/>
        </w:rPr>
        <w:t>.</w:t>
      </w:r>
      <w:r>
        <w:rPr>
          <w:snapToGrid w:val="0"/>
        </w:rPr>
        <w:tab/>
        <w:t>Information or details to be included in complaint (section 66(1)(d))</w:t>
      </w:r>
      <w:bookmarkEnd w:id="11"/>
    </w:p>
    <w:p>
      <w:pPr>
        <w:pStyle w:val="Subsection"/>
        <w:rPr>
          <w:snapToGrid w:val="0"/>
        </w:rPr>
      </w:pPr>
      <w:r>
        <w:rPr>
          <w:snapToGrid w:val="0"/>
        </w:rPr>
        <w:tab/>
      </w:r>
      <w:r>
        <w:rPr>
          <w:snapToGrid w:val="0"/>
        </w:rPr>
        <w:tab/>
        <w:t xml:space="preserve">For the purposes of section 66(1)(d) of the Act, a complaint made against an agency’s decision under section 65(1) of the Act is to be accompanied by a copy of the agency’s notice of </w:t>
      </w:r>
      <w:r>
        <w:t>its</w:t>
      </w:r>
      <w:r>
        <w:rPr>
          <w:snapToGrid w:val="0"/>
        </w:rPr>
        <w:t xml:space="preserve"> </w:t>
      </w:r>
      <w:r>
        <w:rPr>
          <w:snapToGrid w:val="0"/>
        </w:rPr>
        <w:lastRenderedPageBreak/>
        <w:t>decision, unless the decision complained of is the result of the non</w:t>
      </w:r>
      <w:r>
        <w:rPr>
          <w:snapToGrid w:val="0"/>
        </w:rPr>
        <w:noBreakHyphen/>
        <w:t>receipt of a decision under section 13(2) of the Act.</w:t>
      </w:r>
    </w:p>
    <w:p>
      <w:pPr>
        <w:pStyle w:val="Footnotesection"/>
      </w:pPr>
      <w:r>
        <w:tab/>
        <w:t>[Regulation 8 amended: Gazette 26 Jul 2019 p. 2955.]</w:t>
      </w:r>
    </w:p>
    <w:p>
      <w:pPr>
        <w:pStyle w:val="Heading5"/>
        <w:rPr>
          <w:snapToGrid w:val="0"/>
        </w:rPr>
      </w:pPr>
      <w:bookmarkStart w:id="12" w:name="_Toc97641207"/>
      <w:r>
        <w:rPr>
          <w:rStyle w:val="CharSectno"/>
        </w:rPr>
        <w:t>9</w:t>
      </w:r>
      <w:r>
        <w:rPr>
          <w:snapToGrid w:val="0"/>
        </w:rPr>
        <w:t>.</w:t>
      </w:r>
      <w:r>
        <w:rPr>
          <w:snapToGrid w:val="0"/>
        </w:rPr>
        <w:tab/>
        <w:t>Prescribed personal details (Act Schedule 1 clause 3)</w:t>
      </w:r>
      <w:bookmarkEnd w:id="12"/>
    </w:p>
    <w:p>
      <w:pPr>
        <w:pStyle w:val="Subsection"/>
        <w:rPr>
          <w:snapToGrid w:val="0"/>
        </w:rPr>
      </w:pPr>
      <w:r>
        <w:rPr>
          <w:snapToGrid w:val="0"/>
        </w:rPr>
        <w:tab/>
        <w:t>(1)</w:t>
      </w:r>
      <w:r>
        <w:rPr>
          <w:snapToGrid w:val="0"/>
        </w:rPr>
        <w:tab/>
        <w:t>In relation to a person who is or has been an officer of an agency,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in the agency; or</w:t>
      </w:r>
    </w:p>
    <w:p>
      <w:pPr>
        <w:pStyle w:val="Indenta"/>
        <w:rPr>
          <w:snapToGrid w:val="0"/>
        </w:rPr>
      </w:pPr>
      <w:r>
        <w:rPr>
          <w:snapToGrid w:val="0"/>
        </w:rPr>
        <w:tab/>
        <w:t>(c)</w:t>
      </w:r>
      <w:r>
        <w:rPr>
          <w:snapToGrid w:val="0"/>
        </w:rPr>
        <w:tab/>
        <w:t>the position held by the person in the agency; or</w:t>
      </w:r>
    </w:p>
    <w:p>
      <w:pPr>
        <w:pStyle w:val="Indenta"/>
        <w:rPr>
          <w:snapToGrid w:val="0"/>
        </w:rPr>
      </w:pPr>
      <w:r>
        <w:rPr>
          <w:snapToGrid w:val="0"/>
        </w:rPr>
        <w:tab/>
        <w:t>(d)</w:t>
      </w:r>
      <w:r>
        <w:rPr>
          <w:snapToGrid w:val="0"/>
        </w:rPr>
        <w:tab/>
        <w:t>the functions and duties of the person, as described in any job description document for the position held by the person; or</w:t>
      </w:r>
    </w:p>
    <w:p>
      <w:pPr>
        <w:pStyle w:val="Indenta"/>
        <w:rPr>
          <w:snapToGrid w:val="0"/>
        </w:rPr>
      </w:pPr>
      <w:r>
        <w:rPr>
          <w:snapToGrid w:val="0"/>
        </w:rPr>
        <w:tab/>
        <w:t>(e)</w:t>
      </w:r>
      <w:r>
        <w:rPr>
          <w:snapToGrid w:val="0"/>
        </w:rPr>
        <w:tab/>
        <w:t>anything done by the person in the course of performing or purporting to perform the person’s functions or duties as an officer as described in any job description document for the position held by the person,</w:t>
      </w:r>
    </w:p>
    <w:p>
      <w:pPr>
        <w:pStyle w:val="Subsection"/>
        <w:rPr>
          <w:snapToGrid w:val="0"/>
        </w:rPr>
      </w:pPr>
      <w:r>
        <w:rPr>
          <w:snapToGrid w:val="0"/>
        </w:rPr>
        <w:tab/>
      </w:r>
      <w:r>
        <w:rPr>
          <w:snapToGrid w:val="0"/>
        </w:rPr>
        <w:tab/>
        <w:t>are prescribed details for the purposes of Schedule 1, clause 3(3) of the Act.</w:t>
      </w:r>
    </w:p>
    <w:p>
      <w:pPr>
        <w:pStyle w:val="Subsection"/>
        <w:rPr>
          <w:snapToGrid w:val="0"/>
        </w:rPr>
      </w:pPr>
      <w:r>
        <w:rPr>
          <w:snapToGrid w:val="0"/>
        </w:rPr>
        <w:tab/>
        <w:t>(2)</w:t>
      </w:r>
      <w:r>
        <w:rPr>
          <w:snapToGrid w:val="0"/>
        </w:rPr>
        <w:tab/>
        <w:t>In relation to a person who performs or has performed services for an agency under a contract for services,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or the services provided or to be provided pursuant to the contract; or</w:t>
      </w:r>
    </w:p>
    <w:p>
      <w:pPr>
        <w:pStyle w:val="Indenta"/>
        <w:rPr>
          <w:snapToGrid w:val="0"/>
        </w:rPr>
      </w:pPr>
      <w:r>
        <w:rPr>
          <w:snapToGrid w:val="0"/>
        </w:rPr>
        <w:tab/>
        <w:t>(c)</w:t>
      </w:r>
      <w:r>
        <w:rPr>
          <w:snapToGrid w:val="0"/>
        </w:rPr>
        <w:tab/>
        <w:t>the title of the position set out in the contract; or</w:t>
      </w:r>
    </w:p>
    <w:p>
      <w:pPr>
        <w:pStyle w:val="Indenta"/>
        <w:rPr>
          <w:snapToGrid w:val="0"/>
        </w:rPr>
      </w:pPr>
      <w:r>
        <w:rPr>
          <w:snapToGrid w:val="0"/>
        </w:rPr>
        <w:tab/>
        <w:t>(d)</w:t>
      </w:r>
      <w:r>
        <w:rPr>
          <w:snapToGrid w:val="0"/>
        </w:rPr>
        <w:tab/>
        <w:t>the nature of services to be provided and described in the contract; or</w:t>
      </w:r>
    </w:p>
    <w:p>
      <w:pPr>
        <w:pStyle w:val="Indenta"/>
        <w:rPr>
          <w:snapToGrid w:val="0"/>
        </w:rPr>
      </w:pPr>
      <w:r>
        <w:rPr>
          <w:snapToGrid w:val="0"/>
        </w:rPr>
        <w:tab/>
        <w:t>(e)</w:t>
      </w:r>
      <w:r>
        <w:rPr>
          <w:snapToGrid w:val="0"/>
        </w:rPr>
        <w:tab/>
        <w:t xml:space="preserve">the functions and duties of the position or the details of the services to be provided under the contract, as </w:t>
      </w:r>
      <w:r>
        <w:rPr>
          <w:snapToGrid w:val="0"/>
        </w:rPr>
        <w:lastRenderedPageBreak/>
        <w:t>described in the contract or otherwise conveyed to the person pursuant to the contract; or</w:t>
      </w:r>
    </w:p>
    <w:p>
      <w:pPr>
        <w:pStyle w:val="Indenta"/>
        <w:rPr>
          <w:snapToGrid w:val="0"/>
        </w:rPr>
      </w:pPr>
      <w:r>
        <w:rPr>
          <w:snapToGrid w:val="0"/>
        </w:rPr>
        <w:tab/>
        <w:t>(f)</w:t>
      </w:r>
      <w:r>
        <w:rPr>
          <w:snapToGrid w:val="0"/>
        </w:rPr>
        <w:tab/>
        <w:t>anything done by the person in the course of performing or purporting to perform the person’s functions or duties or services, as described in the contract or otherwise conveyed to the person pursuant to the contract,</w:t>
      </w:r>
    </w:p>
    <w:p>
      <w:pPr>
        <w:pStyle w:val="Subsection"/>
        <w:rPr>
          <w:snapToGrid w:val="0"/>
        </w:rPr>
      </w:pPr>
      <w:r>
        <w:rPr>
          <w:snapToGrid w:val="0"/>
        </w:rPr>
        <w:tab/>
      </w:r>
      <w:r>
        <w:rPr>
          <w:snapToGrid w:val="0"/>
        </w:rPr>
        <w:tab/>
        <w:t>are prescribed details for the purposes of Schedule 1, clause 3(4) of the Act.</w:t>
      </w:r>
    </w:p>
    <w:p>
      <w:pPr>
        <w:pStyle w:val="Footnotesection"/>
      </w:pPr>
      <w:r>
        <w:tab/>
        <w:t>[Regulation 9 inserted: Gazette 30 Sep 1994 p. 4983</w:t>
      </w:r>
      <w:r>
        <w:noBreakHyphen/>
        <w:t>4.]</w:t>
      </w:r>
    </w:p>
    <w:p>
      <w:pPr>
        <w:pStyle w:val="Heading5"/>
      </w:pPr>
      <w:bookmarkStart w:id="13" w:name="_Toc97641208"/>
      <w:r>
        <w:rPr>
          <w:rStyle w:val="CharSectno"/>
        </w:rPr>
        <w:t>9A</w:t>
      </w:r>
      <w:r>
        <w:t>.</w:t>
      </w:r>
      <w:r>
        <w:tab/>
        <w:t>Principal officer of health service provider</w:t>
      </w:r>
      <w:bookmarkEnd w:id="13"/>
    </w:p>
    <w:p>
      <w:pPr>
        <w:pStyle w:val="Subsection"/>
      </w:pPr>
      <w:r>
        <w:tab/>
        <w:t>(1)</w:t>
      </w:r>
      <w:r>
        <w:tab/>
        <w:t xml:space="preserve">For the purposes of paragraph (f) of the definition of </w:t>
      </w:r>
      <w:r>
        <w:rPr>
          <w:b/>
          <w:i/>
        </w:rPr>
        <w:t>principal officer</w:t>
      </w:r>
      <w:r>
        <w:t xml:space="preserve"> in clause 1 of the Glossary to the Act, it is declared that the principal officer of a health service provider established under the </w:t>
      </w:r>
      <w:r>
        <w:rPr>
          <w:i/>
        </w:rPr>
        <w:t>Health Services Act 2016</w:t>
      </w:r>
      <w:r>
        <w:t xml:space="preserve"> section 32(1)(b) is the chief executive of that health service provider, as defined in section 6 of that Act.</w:t>
      </w:r>
    </w:p>
    <w:p>
      <w:pPr>
        <w:pStyle w:val="Subsection"/>
      </w:pPr>
      <w:r>
        <w:tab/>
        <w:t>(2)</w:t>
      </w:r>
      <w:r>
        <w:tab/>
        <w:t xml:space="preserve">Subregulation (1) applies whether the health service provider is specified under the </w:t>
      </w:r>
      <w:r>
        <w:rPr>
          <w:i/>
        </w:rPr>
        <w:t>Health Services Act 2016</w:t>
      </w:r>
      <w:r>
        <w:t xml:space="preserve"> section 32(1)(d) to be a board governed provider or a chief executive governed provider.</w:t>
      </w:r>
    </w:p>
    <w:p>
      <w:pPr>
        <w:pStyle w:val="Footnotesection"/>
      </w:pPr>
      <w:r>
        <w:tab/>
        <w:t>[Regulation 9A inserted: SL 2021/9 r. 4.]</w:t>
      </w:r>
    </w:p>
    <w:p>
      <w:pPr>
        <w:pStyle w:val="Heading5"/>
        <w:rPr>
          <w:snapToGrid w:val="0"/>
        </w:rPr>
      </w:pPr>
      <w:bookmarkStart w:id="14" w:name="_Toc97641209"/>
      <w:r>
        <w:rPr>
          <w:rStyle w:val="CharSectno"/>
        </w:rPr>
        <w:t>10</w:t>
      </w:r>
      <w:r>
        <w:rPr>
          <w:snapToGrid w:val="0"/>
        </w:rPr>
        <w:t>.</w:t>
      </w:r>
      <w:r>
        <w:rPr>
          <w:snapToGrid w:val="0"/>
        </w:rPr>
        <w:tab/>
        <w:t>Specified bodies etc. to be regarded as part of other agencies</w:t>
      </w:r>
      <w:bookmarkEnd w:id="14"/>
    </w:p>
    <w:p>
      <w:pPr>
        <w:pStyle w:val="Subsection"/>
        <w:rPr>
          <w:snapToGrid w:val="0"/>
        </w:rPr>
      </w:pPr>
      <w:r>
        <w:rPr>
          <w:snapToGrid w:val="0"/>
        </w:rPr>
        <w:tab/>
      </w:r>
      <w:r>
        <w:rPr>
          <w:snapToGrid w:val="0"/>
        </w:rPr>
        <w:tab/>
        <w:t xml:space="preserve">Under </w:t>
      </w:r>
      <w:r>
        <w:t xml:space="preserve">clause 2(4) of the Glossary to the Act, </w:t>
      </w:r>
      <w:r>
        <w:rPr>
          <w:snapToGrid w:val="0"/>
        </w:rPr>
        <w:t>it is declared that the office or body set out in column 2 of Schedule 2 to these regulations is not to be regarded as a separate agency, but is to be regarded as a part of the agency set out opposite that office or body in column 1 of Schedule 2 to these regulations.</w:t>
      </w:r>
    </w:p>
    <w:p>
      <w:pPr>
        <w:pStyle w:val="Footnotesection"/>
      </w:pPr>
      <w:r>
        <w:tab/>
        <w:t>[Regulation 10 inserted: Gazette 30 Sep 1994 p. 4984; amended: Gazette 26 Jul 2019 p. 2956.]</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5" w:name="_Toc97630906"/>
      <w:bookmarkStart w:id="16" w:name="_Toc97631740"/>
      <w:bookmarkStart w:id="17" w:name="_Toc97641210"/>
      <w:r>
        <w:rPr>
          <w:rStyle w:val="CharSchNo"/>
        </w:rPr>
        <w:lastRenderedPageBreak/>
        <w:t>Schedule 1</w:t>
      </w:r>
      <w:bookmarkEnd w:id="15"/>
      <w:bookmarkEnd w:id="16"/>
      <w:bookmarkEnd w:id="17"/>
    </w:p>
    <w:p>
      <w:pPr>
        <w:pStyle w:val="yFootnoteheading"/>
        <w:rPr>
          <w:snapToGrid w:val="0"/>
        </w:rPr>
      </w:pPr>
      <w:r>
        <w:rPr>
          <w:snapToGrid w:val="0"/>
        </w:rPr>
        <w:tab/>
        <w:t>[Heading amended: Gazette 30 Sep 1994 p. 4984.]</w:t>
      </w:r>
    </w:p>
    <w:p>
      <w:pPr>
        <w:pStyle w:val="yShoulderClause"/>
        <w:spacing w:after="120"/>
        <w:rPr>
          <w:snapToGrid w:val="0"/>
        </w:rPr>
      </w:pPr>
      <w:r>
        <w:rPr>
          <w:snapToGrid w:val="0"/>
        </w:rPr>
        <w:t>[regulation 4, 5 and 6]</w:t>
      </w:r>
    </w:p>
    <w:tbl>
      <w:tblPr>
        <w:tblW w:w="0" w:type="auto"/>
        <w:tblLayout w:type="fixed"/>
        <w:tblLook w:val="0000" w:firstRow="0" w:lastRow="0" w:firstColumn="0" w:lastColumn="0" w:noHBand="0" w:noVBand="0"/>
      </w:tblPr>
      <w:tblGrid>
        <w:gridCol w:w="7196"/>
      </w:tblGrid>
      <w:tr>
        <w:trPr>
          <w:tblHeader/>
        </w:trPr>
        <w:tc>
          <w:tcPr>
            <w:tcW w:w="7196" w:type="dxa"/>
            <w:tcBorders>
              <w:top w:val="single" w:sz="4" w:space="0" w:color="auto"/>
              <w:bottom w:val="single" w:sz="4" w:space="0" w:color="auto"/>
            </w:tcBorders>
          </w:tcPr>
          <w:p>
            <w:pPr>
              <w:pStyle w:val="yTable"/>
              <w:tabs>
                <w:tab w:val="left" w:pos="5670"/>
              </w:tabs>
              <w:rPr>
                <w:b/>
                <w:bCs/>
              </w:rPr>
            </w:pPr>
            <w:r>
              <w:rPr>
                <w:b/>
                <w:bCs/>
              </w:rPr>
              <w:t>Column 1</w:t>
            </w:r>
            <w:r>
              <w:rPr>
                <w:b/>
                <w:bCs/>
              </w:rPr>
              <w:tab/>
              <w:t>Column 2</w:t>
            </w:r>
          </w:p>
        </w:tc>
      </w:tr>
      <w:tr>
        <w:tc>
          <w:tcPr>
            <w:tcW w:w="7196" w:type="dxa"/>
          </w:tcPr>
          <w:p>
            <w:pPr>
              <w:pStyle w:val="yTable"/>
              <w:tabs>
                <w:tab w:val="left" w:pos="567"/>
                <w:tab w:val="left" w:pos="5954"/>
              </w:tabs>
              <w:spacing w:before="120"/>
            </w:pPr>
            <w:r>
              <w:rPr>
                <w:b/>
                <w:bCs/>
              </w:rPr>
              <w:t>1.</w:t>
            </w:r>
            <w:r>
              <w:tab/>
            </w:r>
            <w:r>
              <w:rPr>
                <w:u w:val="single"/>
              </w:rPr>
              <w:t>Type of Fee</w:t>
            </w:r>
            <w:r>
              <w:tab/>
            </w:r>
            <w:r>
              <w:rPr>
                <w:b/>
                <w:bCs/>
              </w:rPr>
              <w:t>$</w:t>
            </w:r>
          </w:p>
        </w:tc>
      </w:tr>
      <w:tr>
        <w:tc>
          <w:tcPr>
            <w:tcW w:w="7196" w:type="dxa"/>
          </w:tcPr>
          <w:p>
            <w:pPr>
              <w:pStyle w:val="yTable"/>
              <w:tabs>
                <w:tab w:val="left" w:pos="5760"/>
                <w:tab w:val="left" w:pos="5954"/>
              </w:tabs>
              <w:ind w:left="567"/>
            </w:pPr>
            <w:r>
              <w:t>Application fee under section 12(1)(e) of the Act (for an</w:t>
            </w:r>
          </w:p>
          <w:p>
            <w:pPr>
              <w:pStyle w:val="yTable"/>
              <w:tabs>
                <w:tab w:val="left" w:pos="5954"/>
              </w:tabs>
              <w:spacing w:before="0"/>
              <w:ind w:left="567"/>
            </w:pPr>
            <w:r>
              <w:t>application for non</w:t>
            </w:r>
            <w:r>
              <w:noBreakHyphen/>
              <w:t>personal information)...........................</w:t>
            </w:r>
            <w:r>
              <w:tab/>
              <w:t>30</w:t>
            </w:r>
          </w:p>
        </w:tc>
      </w:tr>
      <w:tr>
        <w:tc>
          <w:tcPr>
            <w:tcW w:w="7196" w:type="dxa"/>
          </w:tcPr>
          <w:p>
            <w:pPr>
              <w:pStyle w:val="yTable"/>
              <w:tabs>
                <w:tab w:val="left" w:pos="567"/>
                <w:tab w:val="left" w:pos="5954"/>
              </w:tabs>
              <w:spacing w:before="120"/>
            </w:pPr>
            <w:r>
              <w:rPr>
                <w:b/>
                <w:bCs/>
              </w:rPr>
              <w:t>2.</w:t>
            </w:r>
            <w:r>
              <w:tab/>
            </w:r>
            <w:r>
              <w:rPr>
                <w:u w:val="single"/>
              </w:rPr>
              <w:t>Type of Charge</w:t>
            </w:r>
            <w:r>
              <w:tab/>
            </w:r>
            <w:r>
              <w:rPr>
                <w:b/>
                <w:bCs/>
              </w:rPr>
              <w:t>$</w:t>
            </w:r>
          </w:p>
        </w:tc>
      </w:tr>
      <w:tr>
        <w:tc>
          <w:tcPr>
            <w:tcW w:w="7196" w:type="dxa"/>
          </w:tcPr>
          <w:p>
            <w:pPr>
              <w:pStyle w:val="yTable"/>
              <w:tabs>
                <w:tab w:val="left" w:pos="5954"/>
              </w:tabs>
              <w:ind w:left="1134" w:hanging="567"/>
            </w:pPr>
            <w:r>
              <w:t>(a)</w:t>
            </w:r>
            <w:r>
              <w:tab/>
              <w:t xml:space="preserve">Charge for time taken by staff dealing with the </w:t>
            </w:r>
            <w:r>
              <w:br/>
              <w:t xml:space="preserve">application (per hour, or </w:t>
            </w:r>
            <w:r>
              <w:rPr>
                <w:i/>
              </w:rPr>
              <w:t>pro rata</w:t>
            </w:r>
            <w:r>
              <w:t xml:space="preserve"> for a part of an hour)...........................................................................</w:t>
            </w:r>
            <w:r>
              <w:tab/>
              <w:t>30</w:t>
            </w:r>
          </w:p>
        </w:tc>
      </w:tr>
      <w:tr>
        <w:tc>
          <w:tcPr>
            <w:tcW w:w="7196" w:type="dxa"/>
          </w:tcPr>
          <w:p>
            <w:pPr>
              <w:pStyle w:val="yTable"/>
              <w:tabs>
                <w:tab w:val="left" w:pos="5954"/>
              </w:tabs>
              <w:ind w:left="1134" w:hanging="567"/>
            </w:pPr>
            <w:r>
              <w:t>(b)</w:t>
            </w:r>
            <w:r>
              <w:tab/>
              <w:t xml:space="preserve">Charge for access time supervised by staff (per </w:t>
            </w:r>
            <w:r>
              <w:br/>
              <w:t xml:space="preserve">hour, or </w:t>
            </w:r>
            <w:r>
              <w:rPr>
                <w:i/>
              </w:rPr>
              <w:t>pro rata</w:t>
            </w:r>
            <w:r>
              <w:t xml:space="preserve"> for a part of an hour)......................</w:t>
            </w:r>
            <w:r>
              <w:tab/>
              <w:t>30</w:t>
            </w:r>
          </w:p>
        </w:tc>
      </w:tr>
      <w:tr>
        <w:tc>
          <w:tcPr>
            <w:tcW w:w="7196" w:type="dxa"/>
          </w:tcPr>
          <w:p>
            <w:pPr>
              <w:pStyle w:val="yTable"/>
              <w:ind w:left="1701"/>
            </w:pPr>
            <w:r>
              <w:t>plus the actual additional cost to the agency</w:t>
            </w:r>
            <w:r>
              <w:br/>
              <w:t xml:space="preserve">of any special arrangements (eg. hire of </w:t>
            </w:r>
            <w:r>
              <w:br/>
              <w:t>facilities or equipment).</w:t>
            </w:r>
          </w:p>
        </w:tc>
      </w:tr>
      <w:tr>
        <w:tc>
          <w:tcPr>
            <w:tcW w:w="7196" w:type="dxa"/>
          </w:tcPr>
          <w:p>
            <w:pPr>
              <w:pStyle w:val="yTable"/>
              <w:tabs>
                <w:tab w:val="left" w:pos="5954"/>
              </w:tabs>
              <w:ind w:left="1134" w:hanging="567"/>
            </w:pPr>
            <w:r>
              <w:t>(c)</w:t>
            </w:r>
            <w:r>
              <w:tab/>
              <w:t>Charges for photocopying — </w:t>
            </w:r>
          </w:p>
        </w:tc>
      </w:tr>
      <w:tr>
        <w:tc>
          <w:tcPr>
            <w:tcW w:w="7196" w:type="dxa"/>
          </w:tcPr>
          <w:p>
            <w:pPr>
              <w:pStyle w:val="yTable"/>
              <w:tabs>
                <w:tab w:val="left" w:pos="5954"/>
              </w:tabs>
              <w:ind w:left="1701" w:hanging="567"/>
            </w:pPr>
            <w:r>
              <w:t>(i)</w:t>
            </w:r>
            <w:r>
              <w:tab/>
              <w:t xml:space="preserve">per hour, or </w:t>
            </w:r>
            <w:r>
              <w:rPr>
                <w:i/>
              </w:rPr>
              <w:t>pro rata</w:t>
            </w:r>
            <w:r>
              <w:t xml:space="preserve"> for a part of an hour of </w:t>
            </w:r>
            <w:r>
              <w:br/>
              <w:t>staff time;.........................................................</w:t>
            </w:r>
            <w:r>
              <w:tab/>
              <w:t>30</w:t>
            </w:r>
          </w:p>
        </w:tc>
      </w:tr>
      <w:tr>
        <w:tc>
          <w:tcPr>
            <w:tcW w:w="7196" w:type="dxa"/>
          </w:tcPr>
          <w:p>
            <w:pPr>
              <w:pStyle w:val="yTable"/>
              <w:tabs>
                <w:tab w:val="left" w:pos="5954"/>
              </w:tabs>
              <w:ind w:left="1701"/>
            </w:pPr>
            <w:r>
              <w:t>and</w:t>
            </w:r>
          </w:p>
        </w:tc>
      </w:tr>
      <w:tr>
        <w:tc>
          <w:tcPr>
            <w:tcW w:w="7196" w:type="dxa"/>
          </w:tcPr>
          <w:p>
            <w:pPr>
              <w:pStyle w:val="yTable"/>
              <w:tabs>
                <w:tab w:val="left" w:pos="5954"/>
              </w:tabs>
              <w:ind w:left="1701" w:hanging="567"/>
            </w:pPr>
            <w:r>
              <w:t>(ii)</w:t>
            </w:r>
            <w:r>
              <w:tab/>
              <w:t>per copy ..........................................................</w:t>
            </w:r>
            <w:r>
              <w:tab/>
              <w:t>0.20</w:t>
            </w:r>
          </w:p>
        </w:tc>
      </w:tr>
      <w:tr>
        <w:tc>
          <w:tcPr>
            <w:tcW w:w="7196" w:type="dxa"/>
          </w:tcPr>
          <w:p>
            <w:pPr>
              <w:pStyle w:val="yTable"/>
              <w:tabs>
                <w:tab w:val="left" w:pos="5954"/>
              </w:tabs>
              <w:ind w:left="1134" w:hanging="567"/>
            </w:pPr>
            <w:r>
              <w:t>(d)</w:t>
            </w:r>
            <w:r>
              <w:tab/>
              <w:t>Charge for time taken by staff transcribing</w:t>
            </w:r>
            <w:r>
              <w:br/>
              <w:t>information from a tape or other device (per hour,</w:t>
            </w:r>
            <w:r>
              <w:br/>
              <w:t xml:space="preserve">or </w:t>
            </w:r>
            <w:r>
              <w:rPr>
                <w:i/>
              </w:rPr>
              <w:t>pro rata</w:t>
            </w:r>
            <w:r>
              <w:t xml:space="preserve"> for a part of an hour) ..............................</w:t>
            </w:r>
            <w:r>
              <w:tab/>
              <w:t>30</w:t>
            </w:r>
          </w:p>
        </w:tc>
      </w:tr>
      <w:tr>
        <w:tc>
          <w:tcPr>
            <w:tcW w:w="7196" w:type="dxa"/>
          </w:tcPr>
          <w:p>
            <w:pPr>
              <w:pStyle w:val="yTable"/>
              <w:tabs>
                <w:tab w:val="left" w:pos="5880"/>
              </w:tabs>
              <w:ind w:left="1134" w:hanging="567"/>
            </w:pPr>
            <w:r>
              <w:t>(e)</w:t>
            </w:r>
            <w:r>
              <w:tab/>
              <w:t xml:space="preserve">Charge for duplicating a tape, film or computer </w:t>
            </w:r>
            <w:r>
              <w:br/>
              <w:t>information................................................................</w:t>
            </w:r>
            <w:r>
              <w:tab/>
              <w:t>Actual Cost</w:t>
            </w:r>
          </w:p>
        </w:tc>
      </w:tr>
      <w:tr>
        <w:tc>
          <w:tcPr>
            <w:tcW w:w="7196" w:type="dxa"/>
          </w:tcPr>
          <w:p>
            <w:pPr>
              <w:pStyle w:val="yTable"/>
              <w:tabs>
                <w:tab w:val="left" w:pos="5880"/>
              </w:tabs>
              <w:ind w:left="1134" w:hanging="567"/>
            </w:pPr>
            <w:r>
              <w:t>(f)</w:t>
            </w:r>
            <w:r>
              <w:tab/>
              <w:t>Charge for delivery, packaging and postage.............</w:t>
            </w:r>
            <w:r>
              <w:tab/>
              <w:t>Actual Cost</w:t>
            </w:r>
          </w:p>
        </w:tc>
      </w:tr>
      <w:tr>
        <w:tc>
          <w:tcPr>
            <w:tcW w:w="7196" w:type="dxa"/>
          </w:tcPr>
          <w:p>
            <w:pPr>
              <w:pStyle w:val="yTable"/>
              <w:tabs>
                <w:tab w:val="left" w:pos="567"/>
                <w:tab w:val="left" w:pos="5954"/>
              </w:tabs>
              <w:spacing w:before="120"/>
            </w:pPr>
            <w:r>
              <w:rPr>
                <w:b/>
                <w:bCs/>
              </w:rPr>
              <w:t>3.</w:t>
            </w:r>
            <w:r>
              <w:tab/>
            </w:r>
            <w:r>
              <w:rPr>
                <w:u w:val="single"/>
              </w:rPr>
              <w:t>Advance Deposits</w:t>
            </w:r>
          </w:p>
        </w:tc>
      </w:tr>
      <w:tr>
        <w:tc>
          <w:tcPr>
            <w:tcW w:w="7196" w:type="dxa"/>
          </w:tcPr>
          <w:p>
            <w:pPr>
              <w:pStyle w:val="yTable"/>
              <w:tabs>
                <w:tab w:val="left" w:pos="5954"/>
              </w:tabs>
              <w:ind w:left="1134" w:hanging="567"/>
            </w:pPr>
            <w:r>
              <w:t>(a)</w:t>
            </w:r>
            <w:r>
              <w:tab/>
              <w:t xml:space="preserve">Advance deposit which may be required by an </w:t>
            </w:r>
            <w:r>
              <w:br/>
              <w:t xml:space="preserve">agency under section 18(1) of the Act, expressed </w:t>
            </w:r>
            <w:r>
              <w:br/>
              <w:t xml:space="preserve">as a percentage of the estimated charges which </w:t>
            </w:r>
            <w:r>
              <w:br/>
              <w:t>will be payable in excess of the application fee........</w:t>
            </w:r>
            <w:r>
              <w:tab/>
              <w:t>25%</w:t>
            </w:r>
          </w:p>
        </w:tc>
      </w:tr>
      <w:tr>
        <w:tc>
          <w:tcPr>
            <w:tcW w:w="7196" w:type="dxa"/>
            <w:tcBorders>
              <w:bottom w:val="single" w:sz="4" w:space="0" w:color="auto"/>
            </w:tcBorders>
          </w:tcPr>
          <w:p>
            <w:pPr>
              <w:pStyle w:val="yTable"/>
              <w:keepNext/>
              <w:keepLines/>
              <w:tabs>
                <w:tab w:val="left" w:pos="5954"/>
              </w:tabs>
              <w:ind w:left="1134" w:hanging="567"/>
            </w:pPr>
            <w:r>
              <w:lastRenderedPageBreak/>
              <w:t>(b)</w:t>
            </w:r>
            <w:r>
              <w:tab/>
              <w:t xml:space="preserve">Further advance deposit which may be required </w:t>
            </w:r>
            <w:r>
              <w:br/>
              <w:t xml:space="preserve">by an agency under section 18(4) of the Act, </w:t>
            </w:r>
            <w:r>
              <w:br/>
              <w:t xml:space="preserve">expressed as a percentage of the estimated </w:t>
            </w:r>
            <w:r>
              <w:br/>
              <w:t xml:space="preserve">charges which will be payable in excess of the </w:t>
            </w:r>
            <w:r>
              <w:br/>
              <w:t>application fee............................................................</w:t>
            </w:r>
            <w:r>
              <w:tab/>
              <w:t>75%</w:t>
            </w:r>
          </w:p>
        </w:tc>
      </w:tr>
    </w:tbl>
    <w:p>
      <w:pPr>
        <w:pStyle w:val="yFootnotesection"/>
      </w:pPr>
      <w:r>
        <w:tab/>
        <w:t>[Schedule 1, formerly Schedule, amended: Gazette 12 Nov 1993 p. 6202; 30 Sep 1994 p. 4984.]</w:t>
      </w:r>
    </w:p>
    <w:p>
      <w:pPr>
        <w:pStyle w:val="yScheduleHeading"/>
      </w:pPr>
      <w:bookmarkStart w:id="18" w:name="_Toc97630907"/>
      <w:bookmarkStart w:id="19" w:name="_Toc97631741"/>
      <w:bookmarkStart w:id="20" w:name="_Toc97641211"/>
      <w:r>
        <w:rPr>
          <w:rStyle w:val="CharSchNo"/>
        </w:rPr>
        <w:lastRenderedPageBreak/>
        <w:t>Schedule 2</w:t>
      </w:r>
      <w:r>
        <w:t> — </w:t>
      </w:r>
      <w:r>
        <w:rPr>
          <w:rStyle w:val="CharSchText"/>
        </w:rPr>
        <w:t>Offices and bodies to be regarded as part of other agencies</w:t>
      </w:r>
      <w:bookmarkEnd w:id="18"/>
      <w:bookmarkEnd w:id="19"/>
      <w:bookmarkEnd w:id="20"/>
    </w:p>
    <w:p>
      <w:pPr>
        <w:pStyle w:val="yShoulderClause"/>
      </w:pPr>
      <w:r>
        <w:t>[r. 10]</w:t>
      </w:r>
    </w:p>
    <w:p>
      <w:pPr>
        <w:pStyle w:val="yFootnoteheading"/>
        <w:spacing w:after="80"/>
      </w:pPr>
      <w:r>
        <w:rPr>
          <w:snapToGrid w:val="0"/>
        </w:rPr>
        <w:tab/>
        <w:t>[Heading inserted: Gazette 28 Dec 2007 p. 6415.]</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894"/>
        <w:gridCol w:w="5194"/>
      </w:tblGrid>
      <w:tr>
        <w:trPr>
          <w:tblHeader/>
        </w:trPr>
        <w:tc>
          <w:tcPr>
            <w:tcW w:w="1894"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894" w:type="dxa"/>
            <w:vMerge w:val="restart"/>
            <w:tcBorders>
              <w:top w:val="single" w:sz="4" w:space="0" w:color="auto"/>
            </w:tcBorders>
          </w:tcPr>
          <w:p>
            <w:pPr>
              <w:pStyle w:val="yTable"/>
              <w:rPr>
                <w:rFonts w:eastAsia="Arial Unicode MS"/>
              </w:rPr>
            </w:pPr>
            <w:r>
              <w:rPr>
                <w:sz w:val="20"/>
              </w:rPr>
              <w:t>Department for Child Protection</w:t>
            </w:r>
            <w:r>
              <w:rPr>
                <w:sz w:val="20"/>
                <w:vertAlign w:val="superscript"/>
              </w:rPr>
              <w:t> 2</w:t>
            </w:r>
          </w:p>
        </w:tc>
        <w:tc>
          <w:tcPr>
            <w:tcW w:w="5194" w:type="dxa"/>
            <w:tcBorders>
              <w:top w:val="single" w:sz="4" w:space="0" w:color="auto"/>
            </w:tcBorders>
          </w:tcPr>
          <w:p>
            <w:pPr>
              <w:pStyle w:val="yTable"/>
              <w:ind w:left="209" w:hanging="209"/>
              <w:rPr>
                <w:rFonts w:eastAsia="Arial Unicode MS"/>
              </w:rPr>
            </w:pPr>
            <w:r>
              <w:rPr>
                <w:sz w:val="20"/>
              </w:rPr>
              <w:t>Adoption Applications Committee</w:t>
            </w:r>
          </w:p>
        </w:tc>
      </w:tr>
      <w:tr>
        <w:trPr>
          <w:cantSplit/>
        </w:trPr>
        <w:tc>
          <w:tcPr>
            <w:tcW w:w="1894" w:type="dxa"/>
            <w:vMerge/>
          </w:tcPr>
          <w:p>
            <w:pPr>
              <w:pStyle w:val="zytable"/>
              <w:keepNext/>
              <w:keepLines/>
              <w:ind w:left="0" w:right="0"/>
              <w:rPr>
                <w:sz w:val="20"/>
              </w:rPr>
            </w:pPr>
          </w:p>
        </w:tc>
        <w:tc>
          <w:tcPr>
            <w:tcW w:w="5194" w:type="dxa"/>
          </w:tcPr>
          <w:p>
            <w:pPr>
              <w:pStyle w:val="yTable"/>
              <w:ind w:left="209" w:hanging="209"/>
              <w:rPr>
                <w:rFonts w:eastAsia="Arial Unicode MS"/>
              </w:rPr>
            </w:pPr>
            <w:r>
              <w:rPr>
                <w:sz w:val="20"/>
              </w:rPr>
              <w:t>Case Review Panel</w:t>
            </w:r>
          </w:p>
        </w:tc>
      </w:tr>
      <w:tr>
        <w:trPr>
          <w:cantSplit/>
        </w:trPr>
        <w:tc>
          <w:tcPr>
            <w:tcW w:w="1894" w:type="dxa"/>
            <w:vMerge w:val="restart"/>
          </w:tcPr>
          <w:p>
            <w:pPr>
              <w:pStyle w:val="yTable"/>
            </w:pPr>
            <w:r>
              <w:rPr>
                <w:sz w:val="20"/>
              </w:rPr>
              <w:t>Department for Communities</w:t>
            </w:r>
            <w:r>
              <w:rPr>
                <w:sz w:val="20"/>
                <w:vertAlign w:val="superscript"/>
              </w:rPr>
              <w:t> 3</w:t>
            </w:r>
          </w:p>
        </w:tc>
        <w:tc>
          <w:tcPr>
            <w:tcW w:w="5194" w:type="dxa"/>
          </w:tcPr>
          <w:p>
            <w:pPr>
              <w:pStyle w:val="yTable"/>
              <w:ind w:left="209" w:hanging="209"/>
            </w:pPr>
            <w:r>
              <w:rPr>
                <w:sz w:val="20"/>
              </w:rPr>
              <w:t>Care for Children and Young People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Office for Children and Youth</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Multicultural Interests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for Seniors Interests and Volunteering</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Office for Women’s Policy </w:t>
            </w:r>
          </w:p>
        </w:tc>
      </w:tr>
      <w:tr>
        <w:trPr>
          <w:cantSplit/>
        </w:trPr>
        <w:tc>
          <w:tcPr>
            <w:tcW w:w="1894" w:type="dxa"/>
            <w:vMerge w:val="restart"/>
          </w:tcPr>
          <w:p>
            <w:pPr>
              <w:pStyle w:val="yTable"/>
              <w:rPr>
                <w:rFonts w:eastAsia="Arial Unicode MS"/>
              </w:rPr>
            </w:pPr>
            <w:r>
              <w:rPr>
                <w:sz w:val="20"/>
              </w:rPr>
              <w:t>Department for Planning and Infrastructure</w:t>
            </w:r>
            <w:r>
              <w:rPr>
                <w:sz w:val="20"/>
                <w:vertAlign w:val="superscript"/>
              </w:rPr>
              <w:t> 4</w:t>
            </w:r>
          </w:p>
        </w:tc>
        <w:tc>
          <w:tcPr>
            <w:tcW w:w="5194" w:type="dxa"/>
          </w:tcPr>
          <w:p>
            <w:pPr>
              <w:pStyle w:val="yTable"/>
              <w:ind w:left="210" w:hanging="210"/>
              <w:rPr>
                <w:rFonts w:eastAsia="Arial Unicode MS"/>
              </w:rPr>
            </w:pPr>
            <w:r>
              <w:rPr>
                <w:sz w:val="20"/>
              </w:rPr>
              <w:t>Araluen Botanic Park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Government Domain Reserve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Pastoral Lands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Swan Valley Strategic Leadership Group</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 Bicycle Committee (WABC)</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Walking WA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Coastal Shipping Commission (Stateships)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Marine Act Manning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Mercantile Marine Disciplinary Appeal Tribunal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Planning Commission</w:t>
            </w:r>
          </w:p>
        </w:tc>
      </w:tr>
      <w:tr>
        <w:trPr>
          <w:cantSplit/>
        </w:trPr>
        <w:tc>
          <w:tcPr>
            <w:tcW w:w="1894" w:type="dxa"/>
            <w:vMerge w:val="restart"/>
          </w:tcPr>
          <w:p>
            <w:pPr>
              <w:pStyle w:val="yTable"/>
              <w:rPr>
                <w:rFonts w:eastAsia="Arial Unicode MS"/>
              </w:rPr>
            </w:pPr>
            <w:r>
              <w:rPr>
                <w:sz w:val="20"/>
              </w:rPr>
              <w:t>Department of Agriculture and Food</w:t>
            </w:r>
          </w:p>
        </w:tc>
        <w:tc>
          <w:tcPr>
            <w:tcW w:w="5194" w:type="dxa"/>
          </w:tcPr>
          <w:p>
            <w:pPr>
              <w:pStyle w:val="yTable"/>
              <w:ind w:left="209" w:hanging="209"/>
              <w:rPr>
                <w:rFonts w:eastAsia="Arial Unicode MS"/>
              </w:rPr>
            </w:pPr>
            <w:r>
              <w:rPr>
                <w:sz w:val="20"/>
              </w:rPr>
              <w:t>Agricultural Produce Commission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Albany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Ashburton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Beverley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Binnu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Boyup Brook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Bridgetown </w:t>
            </w:r>
            <w:r>
              <w:rPr>
                <w:sz w:val="20"/>
              </w:rPr>
              <w:noBreakHyphen/>
              <w:t xml:space="preserve"> Greenbushes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Brookton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Broome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Broomehill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Bruce Rock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Bunbury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Buntine West Wubin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Burakin </w:t>
            </w:r>
            <w:r>
              <w:rPr>
                <w:sz w:val="20"/>
              </w:rPr>
              <w:noBreakHyphen/>
              <w:t xml:space="preserve"> Bunketch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Cadoux/Manmanning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Capel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Carlecatup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Carnamah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Carnarvon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Carnarvon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Chapman Valley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Chicken Meat Industry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Chittering Valley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Collie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Coolup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Cuballing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Cue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Cunderdin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Dardanup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Denmark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Dowerin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Dumbleyung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Ballidu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Gillingarra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Pilbara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Yornaning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Esperance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Esperance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Frankland Below Gordon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Fruit Growing Industry Trust Fund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Gascoyne Ashburton Head Waters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Gascoyne/Wooramel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Geraldton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Gingin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Gnowangerup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Goomalling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Grain Licensing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Halls Creek </w:t>
            </w:r>
            <w:r>
              <w:rPr>
                <w:sz w:val="20"/>
              </w:rPr>
              <w:noBreakHyphen/>
              <w:t xml:space="preserve"> East Kimberley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Hay River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Irwin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Jerramungup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Jerramungup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Kalannie/Goodlands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Kalgan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Kalgoorlie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Kalgoorlie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Katanning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Katanning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Kellerberrin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Kent River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Kimberley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Kojonup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Koorda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Kulin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Lake Grace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Lower Blackwood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Lyndon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Manjimup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Manjimup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Manypeaks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Meekatharra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Meekatharra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Merredin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Merredin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Midland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Mingenew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Minyulo/Dandaragan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Mobrup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Mogumber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Moora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Morawa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Mount Magnet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Mount Marshall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Mukinbudin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Mullewa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Murchison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Napier River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Narembeen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Narrogin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Narrogin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Newdegate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Ninan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 Eastern Goldfields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 Kimberley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 Stirlings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Northam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Northam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Nugadong West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Nullarbor/Eyre Highway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Nungarin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Nyabing/Pingrup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Perenjori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Piawaning </w:t>
            </w:r>
            <w:r>
              <w:rPr>
                <w:sz w:val="20"/>
              </w:rPr>
              <w:noBreakHyphen/>
              <w:t xml:space="preserve"> Yerecoin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Pilbara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Pingaring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Pingelly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Pithara </w:t>
            </w:r>
            <w:r>
              <w:rPr>
                <w:sz w:val="20"/>
              </w:rPr>
              <w:noBreakHyphen/>
              <w:t xml:space="preserve"> Dalwallinu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Quairading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Quairading Soil Conservation District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Ravensthorpe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Roebourne </w:t>
            </w:r>
            <w:r>
              <w:rPr>
                <w:sz w:val="20"/>
              </w:rPr>
              <w:noBreakHyphen/>
              <w:t xml:space="preserve"> Port Hedland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Rural Business Development Corporation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Sandstone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Serpentine/Jarrahdale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Shark Bay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South Mogumber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Stirling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Sussex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Tambellup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Tammin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Three Springs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Three Springs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Toodyay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Trayning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Tunney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Upper Gascoyne Land Conservation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Vasse </w:t>
            </w:r>
            <w:r>
              <w:rPr>
                <w:sz w:val="20"/>
              </w:rPr>
              <w:noBreakHyphen/>
              <w:t xml:space="preserve"> Wonnerup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Veterinary Surgeons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Waddi Forest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Wagin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Walpole </w:t>
            </w:r>
            <w:r>
              <w:rPr>
                <w:sz w:val="20"/>
              </w:rPr>
              <w:noBreakHyphen/>
              <w:t xml:space="preserve"> Tingledale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Waroona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Watheroo </w:t>
            </w:r>
            <w:r>
              <w:rPr>
                <w:sz w:val="20"/>
              </w:rPr>
              <w:noBreakHyphen/>
              <w:t xml:space="preserve"> Coomberdale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Wellesley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Wellstead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Arthur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Ballidu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Kimberley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Koojan Gillingarra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Maya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Mount Barker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Meat Industry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Westonia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Wickepin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Wiluna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Woodanilling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Wooroloo Land Conservation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Wyalkatchem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Yalgoo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Yallingup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Yilgarn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York Land Conservation District Committee</w:t>
            </w:r>
          </w:p>
        </w:tc>
      </w:tr>
      <w:tr>
        <w:trPr>
          <w:cantSplit/>
        </w:trPr>
        <w:tc>
          <w:tcPr>
            <w:tcW w:w="1894" w:type="dxa"/>
            <w:vMerge w:val="restart"/>
          </w:tcPr>
          <w:p>
            <w:pPr>
              <w:pStyle w:val="yTable"/>
              <w:rPr>
                <w:sz w:val="20"/>
              </w:rPr>
            </w:pPr>
            <w:r>
              <w:rPr>
                <w:sz w:val="20"/>
              </w:rPr>
              <w:t>Department of Consumer and Employment Protection</w:t>
            </w:r>
            <w:r>
              <w:rPr>
                <w:sz w:val="20"/>
                <w:vertAlign w:val="superscript"/>
              </w:rPr>
              <w:t> 5</w:t>
            </w:r>
          </w:p>
        </w:tc>
        <w:tc>
          <w:tcPr>
            <w:tcW w:w="5194" w:type="dxa"/>
          </w:tcPr>
          <w:p>
            <w:pPr>
              <w:pStyle w:val="yTable"/>
              <w:ind w:left="209" w:hanging="209"/>
              <w:rPr>
                <w:sz w:val="20"/>
              </w:rPr>
            </w:pPr>
            <w:r>
              <w:rPr>
                <w:sz w:val="20"/>
              </w:rPr>
              <w:t>Board of Examiners (Coal Mining)</w:t>
            </w:r>
          </w:p>
        </w:tc>
      </w:tr>
      <w:tr>
        <w:trPr>
          <w:cantSplit/>
        </w:trPr>
        <w:tc>
          <w:tcPr>
            <w:tcW w:w="1894" w:type="dxa"/>
            <w:vMerge/>
          </w:tcPr>
          <w:p>
            <w:pPr>
              <w:pStyle w:val="yTable"/>
              <w:rPr>
                <w:sz w:val="20"/>
              </w:rPr>
            </w:pPr>
          </w:p>
        </w:tc>
        <w:tc>
          <w:tcPr>
            <w:tcW w:w="5194" w:type="dxa"/>
          </w:tcPr>
          <w:p>
            <w:pPr>
              <w:pStyle w:val="yTable"/>
              <w:ind w:left="209" w:hanging="209"/>
              <w:rPr>
                <w:sz w:val="20"/>
              </w:rPr>
            </w:pPr>
            <w:r>
              <w:rPr>
                <w:sz w:val="20"/>
              </w:rPr>
              <w:t>Board of Examiners (Mine Managers and Underground Supervisors)</w:t>
            </w:r>
          </w:p>
        </w:tc>
      </w:tr>
      <w:tr>
        <w:trPr>
          <w:cantSplit/>
        </w:trPr>
        <w:tc>
          <w:tcPr>
            <w:tcW w:w="1894" w:type="dxa"/>
            <w:vMerge/>
          </w:tcPr>
          <w:p>
            <w:pPr>
              <w:pStyle w:val="yTable"/>
            </w:pPr>
          </w:p>
        </w:tc>
        <w:tc>
          <w:tcPr>
            <w:tcW w:w="5194" w:type="dxa"/>
          </w:tcPr>
          <w:p>
            <w:pPr>
              <w:pStyle w:val="yTable"/>
              <w:ind w:left="209" w:hanging="209"/>
            </w:pPr>
            <w:r>
              <w:rPr>
                <w:sz w:val="20"/>
              </w:rPr>
              <w:t>Board of Examiners (Quarry Managers)</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Charitable Collections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Coal Industry Tribunal of Western Australia</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Commission for Occupational Safety and Health</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Consumer Products Safety Committee</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Electrical Licensing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Land Valuers Licensing Board</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Mines Survey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Mining Industry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Motor Vehicle Industry Board</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Plumbers Licensing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Retail Shops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WorkSafe</w:t>
            </w:r>
          </w:p>
        </w:tc>
      </w:tr>
      <w:tr>
        <w:tc>
          <w:tcPr>
            <w:tcW w:w="1894" w:type="dxa"/>
          </w:tcPr>
          <w:p>
            <w:pPr>
              <w:pStyle w:val="yTable"/>
              <w:rPr>
                <w:rFonts w:eastAsia="Arial Unicode MS"/>
              </w:rPr>
            </w:pPr>
            <w:r>
              <w:rPr>
                <w:sz w:val="20"/>
              </w:rPr>
              <w:t>Department of Corrective Services</w:t>
            </w:r>
          </w:p>
        </w:tc>
        <w:tc>
          <w:tcPr>
            <w:tcW w:w="5194" w:type="dxa"/>
          </w:tcPr>
          <w:p>
            <w:pPr>
              <w:pStyle w:val="yTable"/>
              <w:ind w:left="209" w:hanging="209"/>
              <w:rPr>
                <w:rFonts w:eastAsia="Arial Unicode MS"/>
              </w:rPr>
            </w:pPr>
            <w:r>
              <w:rPr>
                <w:sz w:val="20"/>
              </w:rPr>
              <w:t>Prison Officers Appeal Tribunal</w:t>
            </w:r>
          </w:p>
        </w:tc>
      </w:tr>
      <w:tr>
        <w:trPr>
          <w:cantSplit/>
        </w:trPr>
        <w:tc>
          <w:tcPr>
            <w:tcW w:w="1894" w:type="dxa"/>
            <w:vMerge w:val="restart"/>
          </w:tcPr>
          <w:p>
            <w:pPr>
              <w:pStyle w:val="yTable"/>
            </w:pPr>
            <w:r>
              <w:rPr>
                <w:sz w:val="20"/>
              </w:rPr>
              <w:t>Department of Culture and the Arts</w:t>
            </w:r>
          </w:p>
        </w:tc>
        <w:tc>
          <w:tcPr>
            <w:tcW w:w="5194" w:type="dxa"/>
          </w:tcPr>
          <w:p>
            <w:pPr>
              <w:pStyle w:val="yTable"/>
              <w:ind w:left="209" w:hanging="209"/>
              <w:rPr>
                <w:rFonts w:eastAsia="Arial Unicode MS"/>
              </w:rPr>
            </w:pPr>
            <w:r>
              <w:rPr>
                <w:sz w:val="20"/>
              </w:rPr>
              <w:t xml:space="preserve">Art Gallery Board of Western Australia </w:t>
            </w:r>
          </w:p>
        </w:tc>
      </w:tr>
      <w:tr>
        <w:trPr>
          <w:cantSplit/>
        </w:trPr>
        <w:tc>
          <w:tcPr>
            <w:tcW w:w="1894" w:type="dxa"/>
            <w:vMerge/>
          </w:tcPr>
          <w:p>
            <w:pPr>
              <w:pStyle w:val="zytable"/>
              <w:ind w:left="0" w:right="0"/>
              <w:rPr>
                <w:sz w:val="20"/>
              </w:rPr>
            </w:pPr>
          </w:p>
        </w:tc>
        <w:tc>
          <w:tcPr>
            <w:tcW w:w="5194" w:type="dxa"/>
          </w:tcPr>
          <w:p>
            <w:pPr>
              <w:pStyle w:val="yTable"/>
              <w:ind w:left="209" w:hanging="209"/>
              <w:rPr>
                <w:sz w:val="20"/>
              </w:rPr>
            </w:pPr>
            <w:r>
              <w:rPr>
                <w:sz w:val="20"/>
              </w:rPr>
              <w:t>Art Gallery Foundation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 Gallery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 – Designer Fashion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Arts Development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Contemporary Music</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Indigenous Arts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Young People and the Arts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Community Cultural and Arts Facilities Fund Assessment Panel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Library Board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Perth Theatre Trust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Perth Theatre Trust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Screen West</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Screen West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Library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Records Advisory Committee (SRAC)</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Records Commission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Records Office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Swan Bells Foundation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Museum</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Museum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Museum Foundation</w:t>
            </w:r>
          </w:p>
        </w:tc>
      </w:tr>
      <w:tr>
        <w:trPr>
          <w:cantSplit/>
        </w:trPr>
        <w:tc>
          <w:tcPr>
            <w:tcW w:w="1894" w:type="dxa"/>
            <w:vMerge w:val="restart"/>
          </w:tcPr>
          <w:p>
            <w:pPr>
              <w:pStyle w:val="yTableNAm"/>
              <w:keepLines/>
              <w:widowControl w:val="0"/>
              <w:spacing w:before="60"/>
              <w:rPr>
                <w:sz w:val="20"/>
              </w:rPr>
            </w:pPr>
            <w:r>
              <w:rPr>
                <w:sz w:val="20"/>
              </w:rPr>
              <w:t>Department of Education</w:t>
            </w:r>
          </w:p>
        </w:tc>
        <w:tc>
          <w:tcPr>
            <w:tcW w:w="5194" w:type="dxa"/>
          </w:tcPr>
          <w:p>
            <w:pPr>
              <w:pStyle w:val="yTableNAm"/>
              <w:keepLines/>
              <w:widowControl w:val="0"/>
              <w:spacing w:before="60"/>
              <w:rPr>
                <w:snapToGrid w:val="0"/>
                <w:sz w:val="20"/>
              </w:rPr>
            </w:pPr>
            <w:r>
              <w:rPr>
                <w:snapToGrid w:val="0"/>
                <w:sz w:val="20"/>
              </w:rPr>
              <w:t>Country High School Hostels Authority</w:t>
            </w:r>
          </w:p>
        </w:tc>
      </w:tr>
      <w:tr>
        <w:trPr>
          <w:cantSplit/>
        </w:trPr>
        <w:tc>
          <w:tcPr>
            <w:tcW w:w="1894" w:type="dxa"/>
            <w:vMerge/>
          </w:tcPr>
          <w:p>
            <w:pPr>
              <w:pStyle w:val="yTableNAm"/>
              <w:keepLines/>
              <w:widowControl w:val="0"/>
              <w:spacing w:before="60"/>
            </w:pPr>
          </w:p>
        </w:tc>
        <w:tc>
          <w:tcPr>
            <w:tcW w:w="5194" w:type="dxa"/>
          </w:tcPr>
          <w:p>
            <w:pPr>
              <w:pStyle w:val="yTableNAm"/>
              <w:keepLines/>
              <w:widowControl w:val="0"/>
              <w:spacing w:before="60"/>
              <w:rPr>
                <w:rFonts w:eastAsia="Arial Unicode MS"/>
                <w:i/>
              </w:rPr>
            </w:pPr>
            <w:r>
              <w:rPr>
                <w:snapToGrid w:val="0"/>
                <w:sz w:val="20"/>
              </w:rPr>
              <w:t>Trustees of Public Education Endowment</w:t>
            </w:r>
          </w:p>
        </w:tc>
      </w:tr>
      <w:tr>
        <w:trPr>
          <w:cantSplit/>
        </w:trPr>
        <w:tc>
          <w:tcPr>
            <w:tcW w:w="1894" w:type="dxa"/>
            <w:vMerge w:val="restart"/>
          </w:tcPr>
          <w:p>
            <w:pPr>
              <w:pStyle w:val="yTableNAm"/>
              <w:keepNext/>
              <w:keepLines/>
              <w:spacing w:before="60"/>
              <w:rPr>
                <w:sz w:val="20"/>
              </w:rPr>
            </w:pPr>
            <w:r>
              <w:rPr>
                <w:sz w:val="20"/>
              </w:rPr>
              <w:lastRenderedPageBreak/>
              <w:t>Department of Education Services</w:t>
            </w:r>
          </w:p>
        </w:tc>
        <w:tc>
          <w:tcPr>
            <w:tcW w:w="5194" w:type="dxa"/>
          </w:tcPr>
          <w:p>
            <w:pPr>
              <w:pStyle w:val="yTableNAm"/>
              <w:keepNext/>
              <w:keepLines/>
              <w:spacing w:before="60"/>
              <w:rPr>
                <w:sz w:val="20"/>
              </w:rPr>
            </w:pPr>
            <w:r>
              <w:rPr>
                <w:sz w:val="20"/>
              </w:rPr>
              <w:t>Aboriginal Education and Training Council</w:t>
            </w:r>
          </w:p>
        </w:tc>
      </w:tr>
      <w:tr>
        <w:trPr>
          <w:cantSplit/>
        </w:trPr>
        <w:tc>
          <w:tcPr>
            <w:tcW w:w="1894" w:type="dxa"/>
            <w:vMerge/>
          </w:tcPr>
          <w:p>
            <w:pPr>
              <w:pStyle w:val="yTableNAm"/>
              <w:spacing w:before="60"/>
            </w:pPr>
          </w:p>
        </w:tc>
        <w:tc>
          <w:tcPr>
            <w:tcW w:w="5194" w:type="dxa"/>
          </w:tcPr>
          <w:p>
            <w:pPr>
              <w:pStyle w:val="yTableNAm"/>
              <w:spacing w:before="60"/>
            </w:pPr>
            <w:r>
              <w:rPr>
                <w:sz w:val="20"/>
              </w:rPr>
              <w:t>Non</w:t>
            </w:r>
            <w:r>
              <w:rPr>
                <w:sz w:val="20"/>
              </w:rPr>
              <w:noBreakHyphen/>
              <w:t>Government Schools Planning Advisory Committee</w:t>
            </w:r>
          </w:p>
        </w:tc>
      </w:tr>
      <w:tr>
        <w:trPr>
          <w:cantSplit/>
        </w:trPr>
        <w:tc>
          <w:tcPr>
            <w:tcW w:w="1894" w:type="dxa"/>
            <w:vMerge/>
          </w:tcPr>
          <w:p>
            <w:pPr>
              <w:pStyle w:val="zyTableNAm"/>
              <w:spacing w:before="60"/>
              <w:rPr>
                <w:sz w:val="20"/>
              </w:rPr>
            </w:pPr>
          </w:p>
        </w:tc>
        <w:tc>
          <w:tcPr>
            <w:tcW w:w="5194" w:type="dxa"/>
          </w:tcPr>
          <w:p>
            <w:pPr>
              <w:pStyle w:val="yTableNAm"/>
              <w:spacing w:before="60"/>
            </w:pPr>
            <w:r>
              <w:rPr>
                <w:sz w:val="20"/>
              </w:rPr>
              <w:t>Rural and Remote Education Advisory Council</w:t>
            </w:r>
          </w:p>
        </w:tc>
      </w:tr>
      <w:tr>
        <w:trPr>
          <w:cantSplit/>
        </w:trPr>
        <w:tc>
          <w:tcPr>
            <w:tcW w:w="1894" w:type="dxa"/>
            <w:vMerge/>
          </w:tcPr>
          <w:p>
            <w:pPr>
              <w:pStyle w:val="zyTableNAm"/>
              <w:spacing w:before="60"/>
              <w:rPr>
                <w:sz w:val="20"/>
              </w:rPr>
            </w:pPr>
          </w:p>
        </w:tc>
        <w:tc>
          <w:tcPr>
            <w:tcW w:w="5194" w:type="dxa"/>
          </w:tcPr>
          <w:p>
            <w:pPr>
              <w:pStyle w:val="yTableNAm"/>
              <w:spacing w:before="60"/>
            </w:pPr>
            <w:r>
              <w:rPr>
                <w:sz w:val="20"/>
              </w:rPr>
              <w:t>Teacher Registration Board of Western Australia</w:t>
            </w:r>
          </w:p>
        </w:tc>
      </w:tr>
      <w:tr>
        <w:trPr>
          <w:cantSplit/>
        </w:trPr>
        <w:tc>
          <w:tcPr>
            <w:tcW w:w="1894" w:type="dxa"/>
            <w:vMerge/>
          </w:tcPr>
          <w:p>
            <w:pPr>
              <w:pStyle w:val="zyTableNAm"/>
              <w:spacing w:before="60"/>
              <w:rPr>
                <w:sz w:val="20"/>
              </w:rPr>
            </w:pPr>
          </w:p>
        </w:tc>
        <w:tc>
          <w:tcPr>
            <w:tcW w:w="5194" w:type="dxa"/>
          </w:tcPr>
          <w:p>
            <w:pPr>
              <w:pStyle w:val="yTableNAm"/>
              <w:spacing w:before="60"/>
              <w:rPr>
                <w:sz w:val="20"/>
              </w:rPr>
            </w:pPr>
            <w:r>
              <w:rPr>
                <w:sz w:val="20"/>
              </w:rPr>
              <w:t>Training Accreditation Council</w:t>
            </w:r>
          </w:p>
        </w:tc>
      </w:tr>
      <w:tr>
        <w:trPr>
          <w:cantSplit/>
        </w:trPr>
        <w:tc>
          <w:tcPr>
            <w:tcW w:w="1894" w:type="dxa"/>
            <w:vMerge/>
          </w:tcPr>
          <w:p>
            <w:pPr>
              <w:pStyle w:val="zyTableNAm"/>
              <w:spacing w:before="60"/>
              <w:rPr>
                <w:sz w:val="20"/>
              </w:rPr>
            </w:pPr>
          </w:p>
        </w:tc>
        <w:tc>
          <w:tcPr>
            <w:tcW w:w="5194" w:type="dxa"/>
          </w:tcPr>
          <w:p>
            <w:pPr>
              <w:pStyle w:val="yTableNAm"/>
              <w:spacing w:before="60"/>
            </w:pPr>
            <w:r>
              <w:rPr>
                <w:sz w:val="20"/>
              </w:rPr>
              <w:t>Western Australian Higher Education Council</w:t>
            </w:r>
          </w:p>
        </w:tc>
      </w:tr>
      <w:tr>
        <w:trPr>
          <w:cantSplit/>
        </w:trPr>
        <w:tc>
          <w:tcPr>
            <w:tcW w:w="1894" w:type="dxa"/>
            <w:vMerge w:val="restart"/>
          </w:tcPr>
          <w:p>
            <w:pPr>
              <w:pStyle w:val="yTable"/>
              <w:rPr>
                <w:sz w:val="20"/>
              </w:rPr>
            </w:pPr>
            <w:r>
              <w:rPr>
                <w:sz w:val="20"/>
              </w:rPr>
              <w:t>Department of Environment Regulation</w:t>
            </w:r>
          </w:p>
        </w:tc>
        <w:tc>
          <w:tcPr>
            <w:tcW w:w="5194" w:type="dxa"/>
          </w:tcPr>
          <w:p>
            <w:pPr>
              <w:pStyle w:val="yTable"/>
              <w:tabs>
                <w:tab w:val="right" w:pos="2765"/>
                <w:tab w:val="left" w:pos="3053"/>
              </w:tabs>
              <w:ind w:left="209" w:hanging="209"/>
              <w:rPr>
                <w:sz w:val="20"/>
              </w:rPr>
            </w:pPr>
            <w:r>
              <w:rPr>
                <w:sz w:val="20"/>
              </w:rPr>
              <w:t>Cockburn Sound Management Council</w:t>
            </w:r>
          </w:p>
        </w:tc>
      </w:tr>
      <w:tr>
        <w:trPr>
          <w:cantSplit/>
        </w:trPr>
        <w:tc>
          <w:tcPr>
            <w:tcW w:w="1894" w:type="dxa"/>
            <w:vMerge/>
          </w:tcPr>
          <w:p>
            <w:pPr>
              <w:pStyle w:val="zytable"/>
              <w:ind w:left="0" w:right="0"/>
              <w:rPr>
                <w:sz w:val="20"/>
              </w:rPr>
            </w:pPr>
          </w:p>
        </w:tc>
        <w:tc>
          <w:tcPr>
            <w:tcW w:w="5194" w:type="dxa"/>
          </w:tcPr>
          <w:p>
            <w:pPr>
              <w:pStyle w:val="yTable"/>
              <w:tabs>
                <w:tab w:val="right" w:pos="2765"/>
                <w:tab w:val="left" w:pos="3053"/>
              </w:tabs>
              <w:ind w:left="209" w:hanging="209"/>
              <w:rPr>
                <w:sz w:val="20"/>
              </w:rPr>
            </w:pPr>
            <w:r>
              <w:rPr>
                <w:sz w:val="20"/>
              </w:rPr>
              <w:t>Contaminated Sites Committee</w:t>
            </w:r>
          </w:p>
        </w:tc>
      </w:tr>
      <w:tr>
        <w:trPr>
          <w:cantSplit/>
        </w:trPr>
        <w:tc>
          <w:tcPr>
            <w:tcW w:w="1894" w:type="dxa"/>
            <w:vMerge/>
          </w:tcPr>
          <w:p>
            <w:pPr>
              <w:pStyle w:val="zytable"/>
              <w:ind w:left="0" w:right="0"/>
              <w:rPr>
                <w:sz w:val="20"/>
              </w:rPr>
            </w:pPr>
          </w:p>
        </w:tc>
        <w:tc>
          <w:tcPr>
            <w:tcW w:w="5194" w:type="dxa"/>
          </w:tcPr>
          <w:p>
            <w:pPr>
              <w:pStyle w:val="yTable"/>
              <w:tabs>
                <w:tab w:val="right" w:pos="2765"/>
                <w:tab w:val="left" w:pos="3053"/>
              </w:tabs>
              <w:ind w:left="209" w:hanging="209"/>
              <w:rPr>
                <w:sz w:val="20"/>
              </w:rPr>
            </w:pPr>
            <w:r>
              <w:rPr>
                <w:sz w:val="20"/>
              </w:rPr>
              <w:t>Keep Australia Beautiful Council</w:t>
            </w:r>
          </w:p>
        </w:tc>
      </w:tr>
      <w:tr>
        <w:trPr>
          <w:cantSplit/>
        </w:trPr>
        <w:tc>
          <w:tcPr>
            <w:tcW w:w="1894" w:type="dxa"/>
            <w:vMerge/>
          </w:tcPr>
          <w:p>
            <w:pPr>
              <w:pStyle w:val="zytable"/>
              <w:ind w:left="0" w:right="0"/>
              <w:rPr>
                <w:sz w:val="20"/>
              </w:rPr>
            </w:pPr>
          </w:p>
        </w:tc>
        <w:tc>
          <w:tcPr>
            <w:tcW w:w="5194" w:type="dxa"/>
          </w:tcPr>
          <w:p>
            <w:pPr>
              <w:pStyle w:val="yTable"/>
              <w:tabs>
                <w:tab w:val="right" w:pos="2765"/>
                <w:tab w:val="left" w:pos="3053"/>
              </w:tabs>
              <w:ind w:left="209" w:hanging="209"/>
              <w:rPr>
                <w:sz w:val="20"/>
              </w:rPr>
            </w:pPr>
            <w:r>
              <w:rPr>
                <w:sz w:val="20"/>
              </w:rPr>
              <w:t>Waste Authority</w:t>
            </w:r>
          </w:p>
        </w:tc>
      </w:tr>
      <w:tr>
        <w:trPr>
          <w:cantSplit/>
        </w:trPr>
        <w:tc>
          <w:tcPr>
            <w:tcW w:w="1894" w:type="dxa"/>
            <w:vMerge w:val="restart"/>
          </w:tcPr>
          <w:p>
            <w:pPr>
              <w:pStyle w:val="yTable"/>
              <w:rPr>
                <w:sz w:val="20"/>
              </w:rPr>
            </w:pPr>
            <w:r>
              <w:rPr>
                <w:sz w:val="20"/>
              </w:rPr>
              <w:t xml:space="preserve">Department of Fisheries </w:t>
            </w:r>
          </w:p>
        </w:tc>
        <w:tc>
          <w:tcPr>
            <w:tcW w:w="5194" w:type="dxa"/>
          </w:tcPr>
          <w:p>
            <w:pPr>
              <w:pStyle w:val="yTable"/>
              <w:ind w:left="209" w:hanging="209"/>
              <w:rPr>
                <w:sz w:val="20"/>
              </w:rPr>
            </w:pPr>
            <w:r>
              <w:rPr>
                <w:sz w:val="20"/>
              </w:rPr>
              <w:t>Abrolhos Islands Management Advisory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Aquaculture Development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Pearling Industry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Recreational Fishing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Rock Lobster Industry Advisory Committee</w:t>
            </w:r>
          </w:p>
        </w:tc>
      </w:tr>
      <w:tr>
        <w:trPr>
          <w:cantSplit/>
        </w:trPr>
        <w:tc>
          <w:tcPr>
            <w:tcW w:w="1894" w:type="dxa"/>
            <w:vMerge w:val="restart"/>
          </w:tcPr>
          <w:p>
            <w:pPr>
              <w:pStyle w:val="yTable"/>
              <w:rPr>
                <w:sz w:val="20"/>
              </w:rPr>
            </w:pPr>
            <w:r>
              <w:rPr>
                <w:sz w:val="20"/>
              </w:rPr>
              <w:t>Department of Health</w:t>
            </w:r>
          </w:p>
        </w:tc>
        <w:tc>
          <w:tcPr>
            <w:tcW w:w="5194" w:type="dxa"/>
          </w:tcPr>
          <w:p>
            <w:pPr>
              <w:pStyle w:val="yTable"/>
              <w:ind w:left="209" w:hanging="209"/>
              <w:rPr>
                <w:sz w:val="20"/>
              </w:rPr>
            </w:pPr>
            <w:r>
              <w:rPr>
                <w:sz w:val="20"/>
              </w:rPr>
              <w:t>Aged Care Advisory Panel</w:t>
            </w:r>
          </w:p>
        </w:tc>
      </w:tr>
      <w:tr>
        <w:trPr>
          <w:cantSplit/>
        </w:trPr>
        <w:tc>
          <w:tcPr>
            <w:tcW w:w="1894" w:type="dxa"/>
            <w:vMerge/>
          </w:tcPr>
          <w:p>
            <w:pPr>
              <w:pStyle w:val="yTable"/>
              <w:rPr>
                <w:rFonts w:eastAsia="Arial Unicode MS"/>
              </w:rPr>
            </w:pPr>
          </w:p>
        </w:tc>
        <w:tc>
          <w:tcPr>
            <w:tcW w:w="5194" w:type="dxa"/>
          </w:tcPr>
          <w:p>
            <w:pPr>
              <w:pStyle w:val="yTable"/>
              <w:ind w:left="209" w:hanging="209"/>
              <w:rPr>
                <w:rFonts w:eastAsia="Arial Unicode MS"/>
              </w:rPr>
            </w:pPr>
            <w:r>
              <w:rPr>
                <w:sz w:val="20"/>
              </w:rPr>
              <w:t>Anaesthetic Morality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Fluoridation of Public Water Supplies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Food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Local Health Authorities Analytical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Maternal Mortality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Perinatal and Infant Mortality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Pesticides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Reproductive Technology Foundation</w:t>
            </w:r>
          </w:p>
        </w:tc>
      </w:tr>
      <w:tr>
        <w:trPr>
          <w:cantSplit/>
        </w:trPr>
        <w:tc>
          <w:tcPr>
            <w:tcW w:w="1894" w:type="dxa"/>
            <w:vMerge w:val="restart"/>
          </w:tcPr>
          <w:p>
            <w:pPr>
              <w:pStyle w:val="yTable"/>
              <w:keepNext/>
              <w:keepLines/>
              <w:rPr>
                <w:sz w:val="20"/>
              </w:rPr>
            </w:pPr>
            <w:r>
              <w:rPr>
                <w:sz w:val="20"/>
              </w:rPr>
              <w:t>Department of Housing and Works </w:t>
            </w:r>
            <w:r>
              <w:rPr>
                <w:sz w:val="20"/>
                <w:vertAlign w:val="superscript"/>
              </w:rPr>
              <w:t>7</w:t>
            </w:r>
          </w:p>
        </w:tc>
        <w:tc>
          <w:tcPr>
            <w:tcW w:w="5194" w:type="dxa"/>
          </w:tcPr>
          <w:p>
            <w:pPr>
              <w:pStyle w:val="yTable"/>
              <w:keepNext/>
              <w:keepLines/>
              <w:ind w:left="209" w:hanging="209"/>
              <w:rPr>
                <w:sz w:val="20"/>
              </w:rPr>
            </w:pPr>
            <w:r>
              <w:rPr>
                <w:sz w:val="20"/>
              </w:rPr>
              <w:t>Aboriginal Housing and Infrastructure Council</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Architects Board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Building and Construction Advisory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Building Regulations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Country Housing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Keystart Board of Directors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Municipal Building Surveyors Qualifications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Public Housing Review Panel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Regional Appeals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Building Management Authority</w:t>
            </w:r>
          </w:p>
        </w:tc>
      </w:tr>
      <w:tr>
        <w:trPr>
          <w:cantSplit/>
        </w:trPr>
        <w:tc>
          <w:tcPr>
            <w:tcW w:w="1894" w:type="dxa"/>
            <w:vMerge w:val="restart"/>
          </w:tcPr>
          <w:p>
            <w:pPr>
              <w:pStyle w:val="yTable"/>
              <w:rPr>
                <w:sz w:val="20"/>
              </w:rPr>
            </w:pPr>
            <w:r>
              <w:rPr>
                <w:sz w:val="20"/>
              </w:rPr>
              <w:t>Department of Indigenous Affairs</w:t>
            </w:r>
            <w:r>
              <w:rPr>
                <w:sz w:val="20"/>
                <w:vertAlign w:val="superscript"/>
              </w:rPr>
              <w:t> 8</w:t>
            </w:r>
          </w:p>
        </w:tc>
        <w:tc>
          <w:tcPr>
            <w:tcW w:w="5194" w:type="dxa"/>
          </w:tcPr>
          <w:p>
            <w:pPr>
              <w:pStyle w:val="yTable"/>
              <w:ind w:left="209" w:hanging="209"/>
              <w:rPr>
                <w:sz w:val="20"/>
              </w:rPr>
            </w:pPr>
            <w:r>
              <w:rPr>
                <w:sz w:val="20"/>
              </w:rPr>
              <w:t>Aboriginal Cultural Material Committee</w:t>
            </w:r>
          </w:p>
        </w:tc>
      </w:tr>
      <w:tr>
        <w:trPr>
          <w:cantSplit/>
        </w:trPr>
        <w:tc>
          <w:tcPr>
            <w:tcW w:w="1894" w:type="dxa"/>
            <w:vMerge/>
          </w:tcPr>
          <w:p>
            <w:pPr>
              <w:pStyle w:val="yTable"/>
              <w:rPr>
                <w:rFonts w:eastAsia="Arial Unicode MS"/>
              </w:rPr>
            </w:pPr>
          </w:p>
        </w:tc>
        <w:tc>
          <w:tcPr>
            <w:tcW w:w="5194" w:type="dxa"/>
          </w:tcPr>
          <w:p>
            <w:pPr>
              <w:pStyle w:val="yTable"/>
              <w:ind w:left="209" w:hanging="209"/>
              <w:rPr>
                <w:rFonts w:eastAsia="Arial Unicode MS"/>
              </w:rPr>
            </w:pPr>
            <w:r>
              <w:rPr>
                <w:sz w:val="20"/>
              </w:rPr>
              <w:t>Aboriginal Lands Trust</w:t>
            </w:r>
          </w:p>
        </w:tc>
      </w:tr>
      <w:tr>
        <w:trPr>
          <w:cantSplit/>
        </w:trPr>
        <w:tc>
          <w:tcPr>
            <w:tcW w:w="1894" w:type="dxa"/>
            <w:vMerge w:val="restart"/>
          </w:tcPr>
          <w:p>
            <w:pPr>
              <w:pStyle w:val="yTable"/>
              <w:rPr>
                <w:i/>
                <w:sz w:val="20"/>
              </w:rPr>
            </w:pPr>
            <w:r>
              <w:rPr>
                <w:sz w:val="20"/>
              </w:rPr>
              <w:t>Department of Industry and Resources</w:t>
            </w:r>
            <w:r>
              <w:rPr>
                <w:sz w:val="20"/>
                <w:vertAlign w:val="superscript"/>
              </w:rPr>
              <w:t> 9</w:t>
            </w:r>
          </w:p>
        </w:tc>
        <w:tc>
          <w:tcPr>
            <w:tcW w:w="5194" w:type="dxa"/>
          </w:tcPr>
          <w:p>
            <w:pPr>
              <w:pStyle w:val="yTable"/>
              <w:ind w:left="209" w:hanging="209"/>
              <w:rPr>
                <w:sz w:val="20"/>
              </w:rPr>
            </w:pPr>
            <w:r>
              <w:rPr>
                <w:sz w:val="20"/>
              </w:rPr>
              <w:t>Centre of Excellence State Funding Advisory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Coal Miners Accident Relief Fund Trust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Coal Miners Welfare Board</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Miners Phthisis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Science, Technology and Innovation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Oil and Gas Industry Advisory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Manufacturing Industry Council</w:t>
            </w:r>
          </w:p>
        </w:tc>
      </w:tr>
      <w:tr>
        <w:trPr>
          <w:cantSplit/>
        </w:trPr>
        <w:tc>
          <w:tcPr>
            <w:tcW w:w="1894" w:type="dxa"/>
            <w:vMerge w:val="restart"/>
          </w:tcPr>
          <w:p>
            <w:pPr>
              <w:pStyle w:val="yTable"/>
              <w:rPr>
                <w:sz w:val="20"/>
              </w:rPr>
            </w:pPr>
            <w:r>
              <w:rPr>
                <w:sz w:val="20"/>
              </w:rPr>
              <w:t>Department of Local Government and Regional Development</w:t>
            </w:r>
            <w:r>
              <w:rPr>
                <w:sz w:val="20"/>
                <w:vertAlign w:val="superscript"/>
              </w:rPr>
              <w:t> 10</w:t>
            </w:r>
          </w:p>
        </w:tc>
        <w:tc>
          <w:tcPr>
            <w:tcW w:w="5194" w:type="dxa"/>
          </w:tcPr>
          <w:p>
            <w:pPr>
              <w:pStyle w:val="yTable"/>
              <w:ind w:left="209" w:hanging="209"/>
              <w:rPr>
                <w:sz w:val="20"/>
              </w:rPr>
            </w:pPr>
            <w:r>
              <w:rPr>
                <w:sz w:val="20"/>
              </w:rPr>
              <w:t>Caravan Parks and Camping Grounds Advisory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Control of Vehicles (Off</w:t>
            </w:r>
            <w:r>
              <w:rPr>
                <w:sz w:val="20"/>
              </w:rPr>
              <w:noBreakHyphen/>
              <w:t>road Areas) Act Advisory Committee</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Local Government Advisory Board</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Regional Development Council</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Rural, Remote and Regional Women’s Network</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WA Local Government Grants Commission</w:t>
            </w:r>
          </w:p>
        </w:tc>
      </w:tr>
      <w:tr>
        <w:trPr>
          <w:cantSplit/>
        </w:trPr>
        <w:tc>
          <w:tcPr>
            <w:tcW w:w="1894" w:type="dxa"/>
            <w:vMerge/>
          </w:tcPr>
          <w:p>
            <w:pPr>
              <w:pStyle w:val="zytable"/>
              <w:ind w:left="0" w:right="0"/>
              <w:rPr>
                <w:rFonts w:eastAsia="Arial Unicode MS"/>
                <w:sz w:val="20"/>
              </w:rPr>
            </w:pPr>
          </w:p>
        </w:tc>
        <w:tc>
          <w:tcPr>
            <w:tcW w:w="5194" w:type="dxa"/>
          </w:tcPr>
          <w:p>
            <w:pPr>
              <w:pStyle w:val="yTable"/>
              <w:ind w:left="210" w:hanging="210"/>
              <w:rPr>
                <w:rFonts w:eastAsia="Arial Unicode MS"/>
              </w:rPr>
            </w:pPr>
            <w:r>
              <w:rPr>
                <w:sz w:val="20"/>
              </w:rPr>
              <w:t>WA Telecentre Advisory Board</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Western Australian Local Government Grants Commission</w:t>
            </w:r>
          </w:p>
        </w:tc>
      </w:tr>
      <w:tr>
        <w:trPr>
          <w:cantSplit/>
        </w:trPr>
        <w:tc>
          <w:tcPr>
            <w:tcW w:w="1894" w:type="dxa"/>
            <w:vMerge w:val="restart"/>
          </w:tcPr>
          <w:p>
            <w:pPr>
              <w:pStyle w:val="yTable"/>
              <w:rPr>
                <w:i/>
                <w:sz w:val="20"/>
              </w:rPr>
            </w:pPr>
            <w:r>
              <w:rPr>
                <w:sz w:val="20"/>
              </w:rPr>
              <w:t>Department of Parks and Wildlife</w:t>
            </w:r>
          </w:p>
        </w:tc>
        <w:tc>
          <w:tcPr>
            <w:tcW w:w="5194" w:type="dxa"/>
          </w:tcPr>
          <w:p>
            <w:pPr>
              <w:pStyle w:val="yTable"/>
              <w:rPr>
                <w:i/>
                <w:sz w:val="20"/>
              </w:rPr>
            </w:pPr>
            <w:r>
              <w:rPr>
                <w:sz w:val="20"/>
              </w:rPr>
              <w:t>Conservation Commission of Western Australia</w:t>
            </w:r>
          </w:p>
        </w:tc>
      </w:tr>
      <w:tr>
        <w:trPr>
          <w:cantSplit/>
        </w:trPr>
        <w:tc>
          <w:tcPr>
            <w:tcW w:w="1894" w:type="dxa"/>
            <w:vMerge/>
          </w:tcPr>
          <w:p>
            <w:pPr>
              <w:pStyle w:val="zytable"/>
              <w:ind w:left="0" w:right="0"/>
              <w:rPr>
                <w:sz w:val="20"/>
              </w:rPr>
            </w:pPr>
          </w:p>
        </w:tc>
        <w:tc>
          <w:tcPr>
            <w:tcW w:w="5194" w:type="dxa"/>
          </w:tcPr>
          <w:p>
            <w:pPr>
              <w:pStyle w:val="yTable"/>
              <w:rPr>
                <w:i/>
                <w:sz w:val="20"/>
              </w:rPr>
            </w:pPr>
            <w:r>
              <w:rPr>
                <w:sz w:val="20"/>
              </w:rPr>
              <w:t>Marine Parks and Reserves Authority</w:t>
            </w:r>
          </w:p>
        </w:tc>
      </w:tr>
      <w:tr>
        <w:trPr>
          <w:cantSplit/>
        </w:trPr>
        <w:tc>
          <w:tcPr>
            <w:tcW w:w="1894" w:type="dxa"/>
            <w:vMerge/>
          </w:tcPr>
          <w:p>
            <w:pPr>
              <w:pStyle w:val="zytable"/>
              <w:ind w:left="0" w:right="0"/>
              <w:rPr>
                <w:sz w:val="20"/>
              </w:rPr>
            </w:pPr>
          </w:p>
        </w:tc>
        <w:tc>
          <w:tcPr>
            <w:tcW w:w="5194" w:type="dxa"/>
          </w:tcPr>
          <w:p>
            <w:pPr>
              <w:pStyle w:val="yTable"/>
              <w:rPr>
                <w:i/>
                <w:sz w:val="20"/>
              </w:rPr>
            </w:pPr>
            <w:r>
              <w:rPr>
                <w:sz w:val="20"/>
              </w:rPr>
              <w:t>Marine Parks and Reserves Scientific Advisory Committee</w:t>
            </w:r>
          </w:p>
        </w:tc>
      </w:tr>
      <w:tr>
        <w:trPr>
          <w:cantSplit/>
        </w:trPr>
        <w:tc>
          <w:tcPr>
            <w:tcW w:w="1894" w:type="dxa"/>
            <w:vMerge/>
          </w:tcPr>
          <w:p>
            <w:pPr>
              <w:pStyle w:val="zytable"/>
              <w:ind w:left="0" w:right="0"/>
              <w:rPr>
                <w:sz w:val="20"/>
              </w:rPr>
            </w:pPr>
          </w:p>
        </w:tc>
        <w:tc>
          <w:tcPr>
            <w:tcW w:w="5194" w:type="dxa"/>
          </w:tcPr>
          <w:p>
            <w:pPr>
              <w:pStyle w:val="yTable"/>
              <w:rPr>
                <w:i/>
                <w:sz w:val="20"/>
              </w:rPr>
            </w:pPr>
            <w:r>
              <w:rPr>
                <w:sz w:val="20"/>
              </w:rPr>
              <w:t>Swan River Trust</w:t>
            </w:r>
          </w:p>
        </w:tc>
      </w:tr>
      <w:tr>
        <w:trPr>
          <w:cantSplit/>
        </w:trPr>
        <w:tc>
          <w:tcPr>
            <w:tcW w:w="1894" w:type="dxa"/>
            <w:vMerge w:val="restart"/>
          </w:tcPr>
          <w:p>
            <w:pPr>
              <w:pStyle w:val="yTable"/>
              <w:rPr>
                <w:sz w:val="20"/>
              </w:rPr>
            </w:pPr>
            <w:r>
              <w:rPr>
                <w:sz w:val="20"/>
              </w:rPr>
              <w:t>Department of Racing, Gaming and Liquor</w:t>
            </w:r>
          </w:p>
        </w:tc>
        <w:tc>
          <w:tcPr>
            <w:tcW w:w="5194" w:type="dxa"/>
          </w:tcPr>
          <w:p>
            <w:pPr>
              <w:pStyle w:val="yTable"/>
              <w:rPr>
                <w:i/>
                <w:sz w:val="20"/>
              </w:rPr>
            </w:pPr>
            <w:r>
              <w:rPr>
                <w:sz w:val="20"/>
              </w:rPr>
              <w:t>Gaming and Wagering Commission of Western Australia</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Gaming Community Trust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Problem Gambling Support Services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Racing Penalties Appeal Tribunal</w:t>
            </w:r>
          </w:p>
        </w:tc>
      </w:tr>
      <w:tr>
        <w:trPr>
          <w:cantSplit/>
        </w:trPr>
        <w:tc>
          <w:tcPr>
            <w:tcW w:w="1894" w:type="dxa"/>
          </w:tcPr>
          <w:p>
            <w:pPr>
              <w:pStyle w:val="zytable"/>
              <w:ind w:left="0" w:right="0"/>
              <w:rPr>
                <w:rFonts w:eastAsia="Arial Unicode MS"/>
                <w:sz w:val="20"/>
              </w:rPr>
            </w:pPr>
            <w:r>
              <w:rPr>
                <w:rFonts w:eastAsia="Arial Unicode MS"/>
                <w:sz w:val="20"/>
              </w:rPr>
              <w:t>Department of Sport &amp; Recreation</w:t>
            </w:r>
          </w:p>
        </w:tc>
        <w:tc>
          <w:tcPr>
            <w:tcW w:w="5194" w:type="dxa"/>
          </w:tcPr>
          <w:p>
            <w:pPr>
              <w:pStyle w:val="yTable"/>
              <w:ind w:left="209" w:hanging="209"/>
              <w:rPr>
                <w:sz w:val="20"/>
              </w:rPr>
            </w:pPr>
            <w:r>
              <w:rPr>
                <w:sz w:val="20"/>
              </w:rPr>
              <w:t>Premier’s Physical Activity Taskforce</w:t>
            </w:r>
          </w:p>
        </w:tc>
      </w:tr>
      <w:tr>
        <w:tc>
          <w:tcPr>
            <w:tcW w:w="1894" w:type="dxa"/>
            <w:vMerge w:val="restart"/>
          </w:tcPr>
          <w:p>
            <w:pPr>
              <w:pStyle w:val="yTable"/>
              <w:rPr>
                <w:rFonts w:eastAsia="Arial Unicode MS"/>
              </w:rPr>
            </w:pPr>
            <w:r>
              <w:rPr>
                <w:sz w:val="20"/>
              </w:rPr>
              <w:t>Department of the Attorney General</w:t>
            </w:r>
          </w:p>
        </w:tc>
        <w:tc>
          <w:tcPr>
            <w:tcW w:w="5194" w:type="dxa"/>
          </w:tcPr>
          <w:p>
            <w:pPr>
              <w:pStyle w:val="yTable"/>
              <w:ind w:left="209" w:hanging="209"/>
              <w:rPr>
                <w:rFonts w:eastAsia="Arial Unicode MS"/>
              </w:rPr>
            </w:pPr>
            <w:r>
              <w:rPr>
                <w:sz w:val="20"/>
              </w:rPr>
              <w:t>Appeals Costs Board</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 xml:space="preserve">Chief Assessor and Assessors under the </w:t>
            </w:r>
            <w:r>
              <w:rPr>
                <w:i/>
                <w:iCs/>
                <w:sz w:val="20"/>
              </w:rPr>
              <w:t>Criminal Injuries Compensation Act 1985</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Children’s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Coroner’s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Family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Gender Reassignment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Law Reporting Advisory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Magistrates Court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Mentally Impaired Accused Review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Professional Standards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Supreme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The District Court of Western Australia</w:t>
            </w:r>
          </w:p>
        </w:tc>
      </w:tr>
      <w:tr>
        <w:trPr>
          <w:cantSplit/>
        </w:trPr>
        <w:tc>
          <w:tcPr>
            <w:tcW w:w="1894" w:type="dxa"/>
            <w:vMerge w:val="restart"/>
          </w:tcPr>
          <w:p>
            <w:pPr>
              <w:pStyle w:val="yTable"/>
              <w:rPr>
                <w:sz w:val="20"/>
              </w:rPr>
            </w:pPr>
            <w:r>
              <w:rPr>
                <w:sz w:val="20"/>
              </w:rPr>
              <w:t>Department of the Premier and Cabinet</w:t>
            </w:r>
          </w:p>
        </w:tc>
        <w:tc>
          <w:tcPr>
            <w:tcW w:w="5194" w:type="dxa"/>
          </w:tcPr>
          <w:p>
            <w:pPr>
              <w:pStyle w:val="yTable"/>
              <w:ind w:left="209" w:hanging="209"/>
              <w:rPr>
                <w:sz w:val="20"/>
              </w:rPr>
            </w:pPr>
            <w:r>
              <w:rPr>
                <w:sz w:val="20"/>
              </w:rPr>
              <w:t>Completed Royal Commissions</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Constitutional Centre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Constitutional Centre of Western Australia Advisory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European, North Asia and Middle East Offices</w:t>
            </w:r>
          </w:p>
        </w:tc>
      </w:tr>
      <w:tr>
        <w:trPr>
          <w:cantSplit/>
        </w:trPr>
        <w:tc>
          <w:tcPr>
            <w:tcW w:w="1894" w:type="dxa"/>
            <w:vMerge/>
          </w:tcPr>
          <w:p>
            <w:pPr>
              <w:pStyle w:val="zytable"/>
              <w:ind w:left="0" w:right="0"/>
              <w:rPr>
                <w:sz w:val="20"/>
              </w:rPr>
            </w:pPr>
          </w:p>
        </w:tc>
        <w:tc>
          <w:tcPr>
            <w:tcW w:w="5194" w:type="dxa"/>
          </w:tcPr>
          <w:p>
            <w:pPr>
              <w:pStyle w:val="yTable"/>
              <w:ind w:left="209" w:hanging="209"/>
              <w:rPr>
                <w:sz w:val="20"/>
              </w:rPr>
            </w:pPr>
            <w:r>
              <w:rPr>
                <w:sz w:val="20"/>
              </w:rPr>
              <w:t>Infrastructure WA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e</w:t>
            </w:r>
            <w:r>
              <w:rPr>
                <w:sz w:val="20"/>
              </w:rPr>
              <w:noBreakHyphen/>
              <w:t>Government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Road Safety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the Premier</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Law Publisher</w:t>
            </w:r>
          </w:p>
        </w:tc>
      </w:tr>
      <w:tr>
        <w:trPr>
          <w:cantSplit/>
        </w:trPr>
        <w:tc>
          <w:tcPr>
            <w:tcW w:w="1894" w:type="dxa"/>
            <w:vMerge w:val="restart"/>
          </w:tcPr>
          <w:p>
            <w:pPr>
              <w:pStyle w:val="yTableNAm"/>
              <w:spacing w:before="60"/>
            </w:pPr>
            <w:r>
              <w:rPr>
                <w:sz w:val="20"/>
              </w:rPr>
              <w:t>Department of Training and Workforce Development</w:t>
            </w:r>
          </w:p>
        </w:tc>
        <w:tc>
          <w:tcPr>
            <w:tcW w:w="5194" w:type="dxa"/>
          </w:tcPr>
          <w:p>
            <w:pPr>
              <w:pStyle w:val="yTableNAm"/>
              <w:spacing w:before="60"/>
              <w:rPr>
                <w:rFonts w:eastAsia="Arial Unicode MS"/>
              </w:rPr>
            </w:pPr>
            <w:r>
              <w:rPr>
                <w:sz w:val="20"/>
              </w:rPr>
              <w:t>Division of Industrial Training</w:t>
            </w:r>
          </w:p>
        </w:tc>
      </w:tr>
      <w:tr>
        <w:trPr>
          <w:cantSplit/>
        </w:trPr>
        <w:tc>
          <w:tcPr>
            <w:tcW w:w="1894" w:type="dxa"/>
            <w:vMerge/>
          </w:tcPr>
          <w:p>
            <w:pPr>
              <w:pStyle w:val="zyTableNAm"/>
              <w:spacing w:before="60"/>
              <w:rPr>
                <w:sz w:val="20"/>
              </w:rPr>
            </w:pPr>
          </w:p>
        </w:tc>
        <w:tc>
          <w:tcPr>
            <w:tcW w:w="5194" w:type="dxa"/>
          </w:tcPr>
          <w:p>
            <w:pPr>
              <w:pStyle w:val="yTableNAm"/>
              <w:spacing w:before="60"/>
              <w:rPr>
                <w:rFonts w:eastAsia="Arial Unicode MS"/>
              </w:rPr>
            </w:pPr>
            <w:r>
              <w:rPr>
                <w:sz w:val="20"/>
              </w:rPr>
              <w:t>State Training Board</w:t>
            </w:r>
          </w:p>
        </w:tc>
      </w:tr>
      <w:tr>
        <w:trPr>
          <w:cantSplit/>
        </w:trPr>
        <w:tc>
          <w:tcPr>
            <w:tcW w:w="1894" w:type="dxa"/>
            <w:vMerge w:val="restart"/>
          </w:tcPr>
          <w:p>
            <w:pPr>
              <w:pStyle w:val="yTable"/>
              <w:rPr>
                <w:sz w:val="20"/>
                <w:highlight w:val="yellow"/>
              </w:rPr>
            </w:pPr>
            <w:r>
              <w:rPr>
                <w:sz w:val="20"/>
              </w:rPr>
              <w:t>Department of Treasury and Finance</w:t>
            </w:r>
            <w:r>
              <w:rPr>
                <w:sz w:val="20"/>
                <w:vertAlign w:val="superscript"/>
              </w:rPr>
              <w:t> 11</w:t>
            </w:r>
          </w:p>
        </w:tc>
        <w:tc>
          <w:tcPr>
            <w:tcW w:w="5194" w:type="dxa"/>
          </w:tcPr>
          <w:p>
            <w:pPr>
              <w:pStyle w:val="yTable"/>
              <w:ind w:left="209" w:hanging="209"/>
              <w:rPr>
                <w:sz w:val="20"/>
              </w:rPr>
            </w:pPr>
            <w:r>
              <w:rPr>
                <w:sz w:val="20"/>
              </w:rPr>
              <w:t>Anzac Day Trust</w:t>
            </w:r>
          </w:p>
        </w:tc>
      </w:tr>
      <w:tr>
        <w:trPr>
          <w:cantSplit/>
        </w:trPr>
        <w:tc>
          <w:tcPr>
            <w:tcW w:w="1894" w:type="dxa"/>
            <w:vMerge/>
          </w:tcPr>
          <w:p>
            <w:pPr>
              <w:pStyle w:val="yTable"/>
              <w:rPr>
                <w:rFonts w:eastAsia="Arial Unicode MS"/>
              </w:rPr>
            </w:pPr>
          </w:p>
        </w:tc>
        <w:tc>
          <w:tcPr>
            <w:tcW w:w="5194" w:type="dxa"/>
          </w:tcPr>
          <w:p>
            <w:pPr>
              <w:pStyle w:val="yTable"/>
              <w:ind w:left="209" w:hanging="209"/>
              <w:rPr>
                <w:rFonts w:eastAsia="Arial Unicode MS"/>
              </w:rPr>
            </w:pPr>
            <w:r>
              <w:rPr>
                <w:sz w:val="20"/>
              </w:rPr>
              <w:t>Office of Shared Services</w:t>
            </w:r>
          </w:p>
        </w:tc>
      </w:tr>
      <w:tr>
        <w:trPr>
          <w:cantSplit/>
        </w:trPr>
        <w:tc>
          <w:tcPr>
            <w:tcW w:w="1894" w:type="dxa"/>
            <w:vMerge w:val="restart"/>
          </w:tcPr>
          <w:p>
            <w:pPr>
              <w:pStyle w:val="yTable"/>
              <w:rPr>
                <w:sz w:val="20"/>
              </w:rPr>
            </w:pPr>
            <w:r>
              <w:rPr>
                <w:sz w:val="20"/>
              </w:rPr>
              <w:t>Department of Water</w:t>
            </w:r>
          </w:p>
        </w:tc>
        <w:tc>
          <w:tcPr>
            <w:tcW w:w="5194" w:type="dxa"/>
          </w:tcPr>
          <w:p>
            <w:pPr>
              <w:pStyle w:val="yTable"/>
              <w:ind w:left="209" w:hanging="209"/>
              <w:rPr>
                <w:sz w:val="20"/>
              </w:rPr>
            </w:pPr>
            <w:r>
              <w:rPr>
                <w:sz w:val="20"/>
              </w:rPr>
              <w:t>Avon Waterways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Broome Groundwater Advisory Committee</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Canning – Wungong – Southern River Irrigation Advisory Committee</w:t>
            </w:r>
          </w:p>
        </w:tc>
      </w:tr>
      <w:tr>
        <w:trPr>
          <w:cantSplit/>
        </w:trPr>
        <w:tc>
          <w:tcPr>
            <w:tcW w:w="1894" w:type="dxa"/>
            <w:vMerge/>
          </w:tcPr>
          <w:p>
            <w:pPr>
              <w:pStyle w:val="zytable"/>
              <w:ind w:left="0" w:right="0"/>
              <w:rPr>
                <w:sz w:val="20"/>
              </w:rPr>
            </w:pPr>
          </w:p>
        </w:tc>
        <w:tc>
          <w:tcPr>
            <w:tcW w:w="5194" w:type="dxa"/>
          </w:tcPr>
          <w:p>
            <w:pPr>
              <w:pStyle w:val="yTable"/>
              <w:keepNext/>
              <w:keepLines/>
              <w:ind w:left="209" w:hanging="209"/>
              <w:rPr>
                <w:rFonts w:eastAsia="Arial Unicode MS"/>
              </w:rPr>
            </w:pPr>
            <w:r>
              <w:rPr>
                <w:sz w:val="20"/>
              </w:rPr>
              <w:t>Carnarvon Water Allocation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Cockburn Sound Management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Collie Salinity Catchment Recovery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Engineering Evaluation Initiative Steering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Flood Warning Consultative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Flood Warning Operations Group</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Geographe Bay Catchment Council (GeoCatch)</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Gingin Water Resources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Gnangara Coordinating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Kent Recovery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Leschenault Catchment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Peel Inlet Management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Premier’s Water Foundation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South West Coastal Groundwater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South West Water Forum</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Swan Groundwater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Wanneroo Groundwater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Warren Salinity Catchment Recovery Team</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Warren Water Management Area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Water Resource Allocation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Whicher Water Resource Management Group</w:t>
            </w:r>
          </w:p>
        </w:tc>
      </w:tr>
      <w:tr>
        <w:trPr>
          <w:trHeight w:val="172"/>
        </w:trPr>
        <w:tc>
          <w:tcPr>
            <w:tcW w:w="1894" w:type="dxa"/>
          </w:tcPr>
          <w:p>
            <w:pPr>
              <w:pStyle w:val="yTable"/>
              <w:rPr>
                <w:rFonts w:eastAsia="Arial Unicode MS"/>
                <w:sz w:val="20"/>
              </w:rPr>
            </w:pPr>
            <w:r>
              <w:rPr>
                <w:sz w:val="20"/>
              </w:rPr>
              <w:t>Disability Services Commission</w:t>
            </w:r>
          </w:p>
        </w:tc>
        <w:tc>
          <w:tcPr>
            <w:tcW w:w="5194" w:type="dxa"/>
          </w:tcPr>
          <w:p>
            <w:pPr>
              <w:pStyle w:val="yTable"/>
              <w:ind w:left="209" w:hanging="209"/>
              <w:rPr>
                <w:rFonts w:eastAsia="Arial Unicode MS"/>
                <w:sz w:val="20"/>
              </w:rPr>
            </w:pPr>
            <w:r>
              <w:rPr>
                <w:sz w:val="20"/>
              </w:rPr>
              <w:t xml:space="preserve">Advisory Council for Disability Services </w:t>
            </w:r>
          </w:p>
        </w:tc>
      </w:tr>
      <w:tr>
        <w:tc>
          <w:tcPr>
            <w:tcW w:w="1894" w:type="dxa"/>
          </w:tcPr>
          <w:p>
            <w:pPr>
              <w:pStyle w:val="yTable"/>
              <w:rPr>
                <w:rFonts w:eastAsia="Arial Unicode MS"/>
                <w:sz w:val="20"/>
              </w:rPr>
            </w:pPr>
            <w:r>
              <w:rPr>
                <w:sz w:val="20"/>
              </w:rPr>
              <w:t xml:space="preserve">Minister for the Environment </w:t>
            </w:r>
          </w:p>
        </w:tc>
        <w:tc>
          <w:tcPr>
            <w:tcW w:w="5194" w:type="dxa"/>
          </w:tcPr>
          <w:p>
            <w:pPr>
              <w:pStyle w:val="yTable"/>
              <w:ind w:left="209" w:hanging="209"/>
              <w:rPr>
                <w:rFonts w:eastAsia="Arial Unicode MS"/>
                <w:sz w:val="20"/>
              </w:rPr>
            </w:pPr>
            <w:r>
              <w:rPr>
                <w:rFonts w:eastAsia="Arial Unicode MS"/>
                <w:sz w:val="20"/>
              </w:rPr>
              <w:t xml:space="preserve">Appeals Convenor for the </w:t>
            </w:r>
            <w:r>
              <w:rPr>
                <w:rFonts w:eastAsia="Arial Unicode MS"/>
                <w:i/>
                <w:sz w:val="20"/>
              </w:rPr>
              <w:t>Environmental Protection Act 1986</w:t>
            </w:r>
          </w:p>
        </w:tc>
      </w:tr>
      <w:tr>
        <w:tc>
          <w:tcPr>
            <w:tcW w:w="1894" w:type="dxa"/>
          </w:tcPr>
          <w:p>
            <w:pPr>
              <w:pStyle w:val="yTable"/>
              <w:keepNext/>
              <w:keepLines/>
              <w:rPr>
                <w:i/>
                <w:sz w:val="20"/>
              </w:rPr>
            </w:pPr>
            <w:r>
              <w:rPr>
                <w:sz w:val="20"/>
              </w:rPr>
              <w:t>Office of the Environmental Protection Authority</w:t>
            </w:r>
          </w:p>
        </w:tc>
        <w:tc>
          <w:tcPr>
            <w:tcW w:w="5194" w:type="dxa"/>
          </w:tcPr>
          <w:p>
            <w:pPr>
              <w:pStyle w:val="yTable"/>
              <w:keepNext/>
              <w:keepLines/>
              <w:ind w:left="209" w:hanging="209"/>
              <w:rPr>
                <w:rFonts w:eastAsia="Arial Unicode MS"/>
                <w:i/>
                <w:sz w:val="20"/>
              </w:rPr>
            </w:pPr>
            <w:r>
              <w:rPr>
                <w:rFonts w:eastAsia="Arial Unicode MS"/>
                <w:sz w:val="20"/>
              </w:rPr>
              <w:t>Environmental Protection Authority</w:t>
            </w:r>
          </w:p>
        </w:tc>
      </w:tr>
      <w:tr>
        <w:trPr>
          <w:cantSplit/>
        </w:trPr>
        <w:tc>
          <w:tcPr>
            <w:tcW w:w="1894" w:type="dxa"/>
            <w:vMerge w:val="restart"/>
          </w:tcPr>
          <w:p>
            <w:pPr>
              <w:pStyle w:val="yTable"/>
              <w:rPr>
                <w:sz w:val="20"/>
              </w:rPr>
            </w:pPr>
            <w:r>
              <w:rPr>
                <w:sz w:val="20"/>
              </w:rPr>
              <w:t>Office of Energy</w:t>
            </w:r>
            <w:r>
              <w:rPr>
                <w:sz w:val="20"/>
                <w:vertAlign w:val="superscript"/>
              </w:rPr>
              <w:t> 12</w:t>
            </w:r>
          </w:p>
        </w:tc>
        <w:tc>
          <w:tcPr>
            <w:tcW w:w="5194" w:type="dxa"/>
          </w:tcPr>
          <w:p>
            <w:pPr>
              <w:pStyle w:val="yTable"/>
              <w:ind w:left="209" w:hanging="209"/>
              <w:rPr>
                <w:sz w:val="20"/>
              </w:rPr>
            </w:pPr>
            <w:r>
              <w:rPr>
                <w:sz w:val="20"/>
              </w:rPr>
              <w:t>Aboriginal and Remote Communities Power Supply Steering Committee</w:t>
            </w:r>
          </w:p>
        </w:tc>
      </w:tr>
      <w:tr>
        <w:trPr>
          <w:cantSplit/>
        </w:trPr>
        <w:tc>
          <w:tcPr>
            <w:tcW w:w="1894" w:type="dxa"/>
            <w:vMerge/>
          </w:tcPr>
          <w:p>
            <w:pPr>
              <w:pStyle w:val="yTable"/>
              <w:rPr>
                <w:rFonts w:eastAsia="Arial Unicode MS"/>
                <w:sz w:val="20"/>
              </w:rPr>
            </w:pPr>
          </w:p>
        </w:tc>
        <w:tc>
          <w:tcPr>
            <w:tcW w:w="5194" w:type="dxa"/>
          </w:tcPr>
          <w:p>
            <w:pPr>
              <w:pStyle w:val="yTable"/>
              <w:ind w:left="209" w:hanging="209"/>
              <w:rPr>
                <w:rFonts w:eastAsia="Arial Unicode MS"/>
                <w:sz w:val="20"/>
              </w:rPr>
            </w:pPr>
            <w:r>
              <w:rPr>
                <w:sz w:val="20"/>
              </w:rPr>
              <w:t>Advisory Committee for Wind</w:t>
            </w:r>
            <w:r>
              <w:rPr>
                <w:sz w:val="20"/>
              </w:rPr>
              <w:noBreakHyphen/>
              <w:t>up of the Perth International Centre for the Application of Solar Energy</w:t>
            </w:r>
          </w:p>
        </w:tc>
      </w:tr>
      <w:tr>
        <w:trPr>
          <w:cantSplit/>
        </w:trPr>
        <w:tc>
          <w:tcPr>
            <w:tcW w:w="1894" w:type="dxa"/>
            <w:vMerge/>
          </w:tcPr>
          <w:p>
            <w:pPr>
              <w:pStyle w:val="zytable"/>
              <w:ind w:left="0" w:right="0"/>
              <w:rPr>
                <w:sz w:val="20"/>
                <w:highlight w:val="yellow"/>
              </w:rPr>
            </w:pPr>
          </w:p>
        </w:tc>
        <w:tc>
          <w:tcPr>
            <w:tcW w:w="5194" w:type="dxa"/>
          </w:tcPr>
          <w:p>
            <w:pPr>
              <w:pStyle w:val="yTable"/>
              <w:ind w:left="209" w:hanging="209"/>
              <w:rPr>
                <w:rFonts w:eastAsia="Arial Unicode MS"/>
                <w:sz w:val="20"/>
              </w:rPr>
            </w:pPr>
            <w:r>
              <w:rPr>
                <w:sz w:val="20"/>
              </w:rPr>
              <w:t>Ministerial Advisory Committee on Electricity Supply</w:t>
            </w:r>
          </w:p>
        </w:tc>
      </w:tr>
      <w:tr>
        <w:trPr>
          <w:cantSplit/>
        </w:trPr>
        <w:tc>
          <w:tcPr>
            <w:tcW w:w="1894" w:type="dxa"/>
            <w:vMerge/>
          </w:tcPr>
          <w:p>
            <w:pPr>
              <w:pStyle w:val="zytable"/>
              <w:ind w:left="0" w:right="0"/>
              <w:rPr>
                <w:sz w:val="20"/>
                <w:highlight w:val="yellow"/>
              </w:rPr>
            </w:pPr>
          </w:p>
        </w:tc>
        <w:tc>
          <w:tcPr>
            <w:tcW w:w="5194" w:type="dxa"/>
          </w:tcPr>
          <w:p>
            <w:pPr>
              <w:pStyle w:val="yTable"/>
              <w:ind w:left="209" w:hanging="209"/>
              <w:rPr>
                <w:rFonts w:eastAsia="Arial Unicode MS"/>
                <w:sz w:val="20"/>
              </w:rPr>
            </w:pPr>
            <w:r>
              <w:rPr>
                <w:sz w:val="20"/>
              </w:rPr>
              <w:t>Perth International Centre for Application of Solar Energy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State Underground Power Steering Committee</w:t>
            </w:r>
          </w:p>
        </w:tc>
      </w:tr>
      <w:tr>
        <w:tc>
          <w:tcPr>
            <w:tcW w:w="1894" w:type="dxa"/>
          </w:tcPr>
          <w:p>
            <w:pPr>
              <w:pStyle w:val="yTable"/>
              <w:rPr>
                <w:rFonts w:eastAsia="Arial Unicode MS"/>
                <w:sz w:val="20"/>
              </w:rPr>
            </w:pPr>
            <w:r>
              <w:rPr>
                <w:sz w:val="20"/>
              </w:rPr>
              <w:t>Public Transport Authority of Western Australia</w:t>
            </w:r>
          </w:p>
        </w:tc>
        <w:tc>
          <w:tcPr>
            <w:tcW w:w="5194" w:type="dxa"/>
          </w:tcPr>
          <w:p>
            <w:pPr>
              <w:pStyle w:val="yTable"/>
              <w:keepNext/>
              <w:ind w:left="209" w:hanging="209"/>
              <w:rPr>
                <w:rFonts w:eastAsia="Arial Unicode MS"/>
                <w:sz w:val="20"/>
              </w:rPr>
            </w:pPr>
            <w:r>
              <w:rPr>
                <w:sz w:val="20"/>
              </w:rPr>
              <w:t xml:space="preserve">Railway Appeal Board </w:t>
            </w:r>
          </w:p>
        </w:tc>
      </w:tr>
      <w:tr>
        <w:tc>
          <w:tcPr>
            <w:tcW w:w="1894" w:type="dxa"/>
            <w:vMerge w:val="restart"/>
          </w:tcPr>
          <w:p>
            <w:pPr>
              <w:pStyle w:val="yTable"/>
              <w:keepNext/>
              <w:keepLines/>
              <w:rPr>
                <w:sz w:val="20"/>
              </w:rPr>
            </w:pPr>
            <w:r>
              <w:rPr>
                <w:sz w:val="20"/>
              </w:rPr>
              <w:lastRenderedPageBreak/>
              <w:t>Western Australia Industrial Relations Commission</w:t>
            </w:r>
          </w:p>
        </w:tc>
        <w:tc>
          <w:tcPr>
            <w:tcW w:w="5194" w:type="dxa"/>
          </w:tcPr>
          <w:p>
            <w:pPr>
              <w:pStyle w:val="yTable"/>
              <w:keepNext/>
              <w:keepLines/>
              <w:ind w:left="209" w:hanging="209"/>
              <w:rPr>
                <w:sz w:val="20"/>
              </w:rPr>
            </w:pPr>
            <w:r>
              <w:rPr>
                <w:sz w:val="20"/>
              </w:rPr>
              <w:t>Board of Reference (</w:t>
            </w:r>
            <w:r>
              <w:rPr>
                <w:i/>
                <w:sz w:val="20"/>
              </w:rPr>
              <w:t>Construction Industry Portable Paid Long Service Leave Act 1985</w:t>
            </w:r>
            <w:r>
              <w:rPr>
                <w:sz w:val="20"/>
              </w:rPr>
              <w:t>)</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Board of Reference (</w:t>
            </w:r>
            <w:r>
              <w:rPr>
                <w:i/>
                <w:iCs/>
                <w:sz w:val="20"/>
              </w:rPr>
              <w:t>Industrial Relations Act 1979</w:t>
            </w:r>
            <w:r>
              <w:rPr>
                <w:sz w:val="20"/>
              </w:rPr>
              <w: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Board of Reference (</w:t>
            </w:r>
            <w:r>
              <w:rPr>
                <w:i/>
                <w:iCs/>
                <w:sz w:val="20"/>
              </w:rPr>
              <w:t>Long Service Leave Act 1958</w:t>
            </w:r>
            <w:r>
              <w:rPr>
                <w:sz w:val="20"/>
              </w:rPr>
              <w: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Department of the Registrar, Western Australian Industrial Relations Commission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Industrial Magistrates Court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Occupational Safety and Health Tribunal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Public Service Appeal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Public Service Arbitrator</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sz w:val="20"/>
              </w:rPr>
            </w:pPr>
            <w:r>
              <w:rPr>
                <w:sz w:val="20"/>
              </w:rPr>
              <w:t>Railways Classification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Special Board of Reference (Long Service Leave Standard Provisions)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WA Industrial Appeal Court</w:t>
            </w:r>
          </w:p>
        </w:tc>
      </w:tr>
      <w:tr>
        <w:trPr>
          <w:cantSplit/>
        </w:trPr>
        <w:tc>
          <w:tcPr>
            <w:tcW w:w="1894" w:type="dxa"/>
            <w:vMerge w:val="restart"/>
          </w:tcPr>
          <w:p>
            <w:pPr>
              <w:pStyle w:val="yTable"/>
              <w:rPr>
                <w:sz w:val="20"/>
              </w:rPr>
            </w:pPr>
            <w:r>
              <w:rPr>
                <w:sz w:val="20"/>
              </w:rPr>
              <w:t>Western Australia Police</w:t>
            </w:r>
          </w:p>
        </w:tc>
        <w:tc>
          <w:tcPr>
            <w:tcW w:w="5194" w:type="dxa"/>
          </w:tcPr>
          <w:p>
            <w:pPr>
              <w:pStyle w:val="yTable"/>
              <w:ind w:left="209" w:hanging="209"/>
              <w:rPr>
                <w:sz w:val="20"/>
              </w:rPr>
            </w:pPr>
            <w:r>
              <w:rPr>
                <w:sz w:val="20"/>
              </w:rPr>
              <w:t>Community Safety and Crime Prevention Council</w:t>
            </w:r>
          </w:p>
        </w:tc>
      </w:tr>
      <w:tr>
        <w:trPr>
          <w:cantSplit/>
        </w:trPr>
        <w:tc>
          <w:tcPr>
            <w:tcW w:w="1894" w:type="dxa"/>
            <w:vMerge/>
          </w:tcPr>
          <w:p>
            <w:pPr>
              <w:pStyle w:val="yTable"/>
              <w:rPr>
                <w:sz w:val="20"/>
              </w:rPr>
            </w:pPr>
          </w:p>
        </w:tc>
        <w:tc>
          <w:tcPr>
            <w:tcW w:w="5194" w:type="dxa"/>
          </w:tcPr>
          <w:p>
            <w:pPr>
              <w:pStyle w:val="yTable"/>
              <w:ind w:left="209" w:hanging="209"/>
              <w:rPr>
                <w:rFonts w:eastAsia="Arial Unicode MS"/>
                <w:sz w:val="20"/>
              </w:rPr>
            </w:pPr>
            <w:r>
              <w:rPr>
                <w:sz w:val="20"/>
              </w:rPr>
              <w:t>Police Appeal Board</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sz w:val="20"/>
              </w:rPr>
            </w:pPr>
            <w:r>
              <w:rPr>
                <w:sz w:val="20"/>
              </w:rPr>
              <w:t>Western Australian Police Historical Society</w:t>
            </w:r>
          </w:p>
        </w:tc>
      </w:tr>
      <w:tr>
        <w:trPr>
          <w:cantSplit/>
        </w:trPr>
        <w:tc>
          <w:tcPr>
            <w:tcW w:w="1894" w:type="dxa"/>
            <w:vMerge w:val="restart"/>
          </w:tcPr>
          <w:p>
            <w:pPr>
              <w:pStyle w:val="yTable"/>
              <w:rPr>
                <w:sz w:val="20"/>
              </w:rPr>
            </w:pPr>
            <w:r>
              <w:rPr>
                <w:sz w:val="20"/>
              </w:rPr>
              <w:t>Western Australian Land Information Authority (Landgate)</w:t>
            </w:r>
          </w:p>
        </w:tc>
        <w:tc>
          <w:tcPr>
            <w:tcW w:w="5194" w:type="dxa"/>
          </w:tcPr>
          <w:p>
            <w:pPr>
              <w:pStyle w:val="yTable"/>
              <w:ind w:left="209" w:hanging="209"/>
              <w:rPr>
                <w:rFonts w:eastAsia="Arial Unicode MS"/>
                <w:sz w:val="20"/>
              </w:rPr>
            </w:pPr>
            <w:r>
              <w:rPr>
                <w:rFonts w:eastAsia="Arial Unicode MS"/>
                <w:sz w:val="20"/>
              </w:rPr>
              <w:t>Geographic Names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Land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Land Surveyors Development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Land Surveyors Licensing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Pastoral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Valuer General’s Office</w:t>
            </w:r>
          </w:p>
        </w:tc>
      </w:tr>
      <w:tr>
        <w:tc>
          <w:tcPr>
            <w:tcW w:w="1894" w:type="dxa"/>
          </w:tcPr>
          <w:p>
            <w:pPr>
              <w:pStyle w:val="yTable"/>
              <w:rPr>
                <w:rFonts w:eastAsia="Arial Unicode MS"/>
                <w:sz w:val="20"/>
              </w:rPr>
            </w:pPr>
            <w:r>
              <w:rPr>
                <w:sz w:val="20"/>
              </w:rPr>
              <w:t>WorkCover Western Australia Authority (Workcover WA)</w:t>
            </w:r>
          </w:p>
        </w:tc>
        <w:tc>
          <w:tcPr>
            <w:tcW w:w="5194" w:type="dxa"/>
          </w:tcPr>
          <w:p>
            <w:pPr>
              <w:pStyle w:val="yTable"/>
              <w:tabs>
                <w:tab w:val="right" w:pos="2765"/>
                <w:tab w:val="left" w:pos="3053"/>
              </w:tabs>
              <w:ind w:left="209" w:hanging="209"/>
              <w:rPr>
                <w:rFonts w:eastAsia="Arial Unicode MS"/>
                <w:sz w:val="20"/>
              </w:rPr>
            </w:pPr>
            <w:r>
              <w:rPr>
                <w:rFonts w:eastAsia="Arial Unicode MS"/>
                <w:sz w:val="20"/>
              </w:rPr>
              <w:t>Dispute Resolution Directorate</w:t>
            </w:r>
          </w:p>
        </w:tc>
      </w:tr>
    </w:tbl>
    <w:p>
      <w:pPr>
        <w:pStyle w:val="yFootnotesection"/>
      </w:pPr>
      <w:r>
        <w:tab/>
        <w:t>[Schedule 2 inserted: Gazette 28 Dec 2007 p. 6415</w:t>
      </w:r>
      <w:r>
        <w:noBreakHyphen/>
        <w:t>23; amended: Gazette 6 Mar 2012 p. 893 and 896; 7 Dec 2012 p. 5993; 5 Feb 2013 p. 837; 24 Sep 2013 p. 4388-9; 26 Jul 2019 p. 2956; SL 2021/61 r. 4; SL 2021/127 r. 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2" w:name="_Toc97630908"/>
      <w:bookmarkStart w:id="23" w:name="_Toc97631742"/>
      <w:bookmarkStart w:id="24" w:name="_Toc97641212"/>
      <w:r>
        <w:lastRenderedPageBreak/>
        <w:t>Notes</w:t>
      </w:r>
      <w:bookmarkEnd w:id="22"/>
      <w:bookmarkEnd w:id="23"/>
      <w:bookmarkEnd w:id="24"/>
    </w:p>
    <w:p>
      <w:pPr>
        <w:pStyle w:val="nStatement"/>
      </w:pPr>
      <w:r>
        <w:t xml:space="preserve">This is a compilation of the </w:t>
      </w:r>
      <w:r>
        <w:rPr>
          <w:i/>
          <w:noProof/>
        </w:rPr>
        <w:t>Freedom of Information Regulations 1993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5" w:name="_Toc97641213"/>
      <w:r>
        <w:t>Compilation table</w:t>
      </w:r>
      <w:bookmarkEnd w:id="2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Freedom of Information Regulations 1993</w:t>
            </w:r>
          </w:p>
        </w:tc>
        <w:tc>
          <w:tcPr>
            <w:tcW w:w="1276" w:type="dxa"/>
          </w:tcPr>
          <w:p>
            <w:pPr>
              <w:pStyle w:val="nTable"/>
              <w:spacing w:after="40"/>
            </w:pPr>
            <w:r>
              <w:t>22 Oct 1993 p. 5800</w:t>
            </w:r>
            <w:r>
              <w:noBreakHyphen/>
              <w:t>2</w:t>
            </w:r>
          </w:p>
        </w:tc>
        <w:tc>
          <w:tcPr>
            <w:tcW w:w="2693" w:type="dxa"/>
          </w:tcPr>
          <w:p>
            <w:pPr>
              <w:pStyle w:val="nTable"/>
              <w:spacing w:after="40"/>
            </w:pPr>
            <w:r>
              <w:t>1 Nov 1993 (see r. 2 and </w:t>
            </w:r>
            <w:r>
              <w:rPr>
                <w:i/>
              </w:rPr>
              <w:t>Gazette</w:t>
            </w:r>
            <w:r>
              <w:t xml:space="preserve"> 29 Oct 1993 p. 5881)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1993</w:t>
            </w:r>
          </w:p>
        </w:tc>
        <w:tc>
          <w:tcPr>
            <w:tcW w:w="1276" w:type="dxa"/>
          </w:tcPr>
          <w:p>
            <w:pPr>
              <w:pStyle w:val="nTable"/>
              <w:spacing w:after="40"/>
            </w:pPr>
            <w:r>
              <w:t>12 Nov 1993 p. 6202</w:t>
            </w:r>
          </w:p>
        </w:tc>
        <w:tc>
          <w:tcPr>
            <w:tcW w:w="2693" w:type="dxa"/>
          </w:tcPr>
          <w:p>
            <w:pPr>
              <w:pStyle w:val="nTable"/>
              <w:spacing w:after="40"/>
            </w:pPr>
            <w:r>
              <w:t>12 Nov 1993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1994</w:t>
            </w:r>
          </w:p>
        </w:tc>
        <w:tc>
          <w:tcPr>
            <w:tcW w:w="1276" w:type="dxa"/>
          </w:tcPr>
          <w:p>
            <w:pPr>
              <w:pStyle w:val="nTable"/>
              <w:spacing w:after="40"/>
            </w:pPr>
            <w:r>
              <w:t>30 Sep 1994 p. 4982-94</w:t>
            </w:r>
          </w:p>
        </w:tc>
        <w:tc>
          <w:tcPr>
            <w:tcW w:w="2693" w:type="dxa"/>
          </w:tcPr>
          <w:p>
            <w:pPr>
              <w:pStyle w:val="nTable"/>
              <w:spacing w:after="40"/>
            </w:pPr>
            <w:r>
              <w:t>30 Sep 1994</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1996</w:t>
            </w:r>
          </w:p>
        </w:tc>
        <w:tc>
          <w:tcPr>
            <w:tcW w:w="1276" w:type="dxa"/>
          </w:tcPr>
          <w:p>
            <w:pPr>
              <w:pStyle w:val="nTable"/>
              <w:spacing w:after="40"/>
            </w:pPr>
            <w:r>
              <w:t>27 Sep 1996 p. 4790</w:t>
            </w:r>
            <w:r>
              <w:noBreakHyphen/>
              <w:t>1</w:t>
            </w:r>
          </w:p>
        </w:tc>
        <w:tc>
          <w:tcPr>
            <w:tcW w:w="2693" w:type="dxa"/>
          </w:tcPr>
          <w:p>
            <w:pPr>
              <w:pStyle w:val="nTable"/>
              <w:spacing w:after="40"/>
            </w:pPr>
            <w:r>
              <w:t>27 Sep 1996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1997</w:t>
            </w:r>
          </w:p>
        </w:tc>
        <w:tc>
          <w:tcPr>
            <w:tcW w:w="1276" w:type="dxa"/>
          </w:tcPr>
          <w:p>
            <w:pPr>
              <w:pStyle w:val="nTable"/>
              <w:spacing w:after="40"/>
            </w:pPr>
            <w:r>
              <w:t>2 Sep 1997 p. 4976 7</w:t>
            </w:r>
          </w:p>
        </w:tc>
        <w:tc>
          <w:tcPr>
            <w:tcW w:w="2693" w:type="dxa"/>
          </w:tcPr>
          <w:p>
            <w:pPr>
              <w:pStyle w:val="nTable"/>
              <w:spacing w:after="40"/>
            </w:pPr>
            <w:r>
              <w:t>2 Sep 1997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2006</w:t>
            </w:r>
          </w:p>
        </w:tc>
        <w:tc>
          <w:tcPr>
            <w:tcW w:w="1276" w:type="dxa"/>
          </w:tcPr>
          <w:p>
            <w:pPr>
              <w:pStyle w:val="nTable"/>
              <w:spacing w:after="40"/>
            </w:pPr>
            <w:r>
              <w:t>22 Dec 2006 p. 5805-6</w:t>
            </w:r>
          </w:p>
        </w:tc>
        <w:tc>
          <w:tcPr>
            <w:tcW w:w="2693" w:type="dxa"/>
          </w:tcPr>
          <w:p>
            <w:pPr>
              <w:pStyle w:val="nTable"/>
              <w:spacing w:after="40"/>
            </w:pPr>
            <w:r>
              <w:t xml:space="preserve">1 Jan 2007 (see r. 2 and </w:t>
            </w:r>
            <w:r>
              <w:rPr>
                <w:i/>
              </w:rPr>
              <w:t>Gazette</w:t>
            </w:r>
            <w:r>
              <w:t xml:space="preserve"> 8 Dec 2006 p. 5369)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2007</w:t>
            </w:r>
          </w:p>
        </w:tc>
        <w:tc>
          <w:tcPr>
            <w:tcW w:w="1276" w:type="dxa"/>
          </w:tcPr>
          <w:p>
            <w:pPr>
              <w:pStyle w:val="nTable"/>
              <w:spacing w:after="40"/>
            </w:pPr>
            <w:r>
              <w:t>28 Dec 2007 p. 6414-23</w:t>
            </w:r>
          </w:p>
        </w:tc>
        <w:tc>
          <w:tcPr>
            <w:tcW w:w="2693" w:type="dxa"/>
          </w:tcPr>
          <w:p>
            <w:pPr>
              <w:pStyle w:val="nTable"/>
              <w:spacing w:after="40"/>
            </w:pPr>
            <w:r>
              <w:t>28 Dec 2007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tabs>
                <w:tab w:val="right" w:pos="2765"/>
                <w:tab w:val="left" w:pos="3053"/>
              </w:tabs>
              <w:spacing w:after="40"/>
              <w:ind w:left="3050" w:hanging="3050"/>
              <w:rPr>
                <w:b/>
                <w:bCs/>
                <w:i/>
              </w:rPr>
            </w:pPr>
            <w:r>
              <w:rPr>
                <w:b/>
                <w:bCs/>
              </w:rPr>
              <w:t xml:space="preserve">Reprint 1: The </w:t>
            </w:r>
            <w:r>
              <w:rPr>
                <w:b/>
                <w:bCs/>
                <w:i/>
              </w:rPr>
              <w:t>Freedom of Information Regulations 1993</w:t>
            </w:r>
            <w:r>
              <w:rPr>
                <w:b/>
                <w:bCs/>
              </w:rPr>
              <w:t xml:space="preserve"> as at 14 Mar 2008</w:t>
            </w:r>
          </w:p>
          <w:p>
            <w:pPr>
              <w:pStyle w:val="nTable"/>
              <w:tabs>
                <w:tab w:val="right" w:pos="2765"/>
                <w:tab w:val="left" w:pos="3053"/>
              </w:tabs>
              <w:spacing w:after="40"/>
              <w:ind w:left="3050" w:hanging="3050"/>
            </w:pPr>
            <w: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(No. 2) 2012</w:t>
            </w:r>
          </w:p>
        </w:tc>
        <w:tc>
          <w:tcPr>
            <w:tcW w:w="1276" w:type="dxa"/>
          </w:tcPr>
          <w:p>
            <w:pPr>
              <w:pStyle w:val="nTable"/>
              <w:spacing w:after="40"/>
            </w:pPr>
            <w:r>
              <w:t>6 Mar 2012 p. 892-3</w:t>
            </w:r>
          </w:p>
        </w:tc>
        <w:tc>
          <w:tcPr>
            <w:tcW w:w="2693" w:type="dxa"/>
          </w:tcPr>
          <w:p>
            <w:pPr>
              <w:pStyle w:val="nTable"/>
              <w:spacing w:after="40"/>
              <w:rPr>
                <w:snapToGrid w:val="0"/>
              </w:rPr>
            </w:pPr>
            <w:r>
              <w:rPr>
                <w:snapToGrid w:val="0"/>
              </w:rPr>
              <w:t>r. 1 and 2: 6 Mar 2012 (see r. 2(a));</w:t>
            </w:r>
            <w:r>
              <w:rPr>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2012</w:t>
            </w:r>
          </w:p>
        </w:tc>
        <w:tc>
          <w:tcPr>
            <w:tcW w:w="1276" w:type="dxa"/>
          </w:tcPr>
          <w:p>
            <w:pPr>
              <w:pStyle w:val="nTable"/>
              <w:spacing w:after="40"/>
            </w:pPr>
            <w:r>
              <w:t>6 Mar 2012 p. 896</w:t>
            </w:r>
          </w:p>
        </w:tc>
        <w:tc>
          <w:tcPr>
            <w:tcW w:w="2693" w:type="dxa"/>
          </w:tcPr>
          <w:p>
            <w:pPr>
              <w:pStyle w:val="nTable"/>
              <w:spacing w:after="40"/>
              <w:rPr>
                <w:snapToGrid w:val="0"/>
              </w:rPr>
            </w:pPr>
            <w:r>
              <w:rPr>
                <w:snapToGrid w:val="0"/>
              </w:rPr>
              <w:t>r. 1 and 2: 6 Mar 2012</w:t>
            </w:r>
            <w:r>
              <w:rPr>
                <w:snapToGrid w:val="0"/>
              </w:rPr>
              <w:br/>
              <w:t>(see r. 2(a));</w:t>
            </w:r>
            <w:r>
              <w:rPr>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(No. 3) 2012</w:t>
            </w:r>
          </w:p>
        </w:tc>
        <w:tc>
          <w:tcPr>
            <w:tcW w:w="1276" w:type="dxa"/>
          </w:tcPr>
          <w:p>
            <w:pPr>
              <w:pStyle w:val="nTable"/>
              <w:spacing w:after="40"/>
            </w:pPr>
            <w:r>
              <w:t>7 Dec 2012 p. 5993</w:t>
            </w:r>
          </w:p>
        </w:tc>
        <w:tc>
          <w:tcPr>
            <w:tcW w:w="2693" w:type="dxa"/>
          </w:tcPr>
          <w:p>
            <w:pPr>
              <w:pStyle w:val="nTable"/>
              <w:spacing w:after="40"/>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highlight w:val="green"/>
              </w:rPr>
            </w:pPr>
            <w:bookmarkStart w:id="26" w:name="RuleErr_8"/>
            <w:r>
              <w:rPr>
                <w:i/>
              </w:rPr>
              <w:lastRenderedPageBreak/>
              <w:t>Freedom of Information Amendment Regulations 2013</w:t>
            </w:r>
            <w:bookmarkEnd w:id="26"/>
          </w:p>
        </w:tc>
        <w:tc>
          <w:tcPr>
            <w:tcW w:w="1276" w:type="dxa"/>
          </w:tcPr>
          <w:p>
            <w:pPr>
              <w:pStyle w:val="nTable"/>
              <w:keepNext/>
              <w:spacing w:after="40"/>
            </w:pPr>
            <w:r>
              <w:t>5 Feb 2013 p. 836</w:t>
            </w:r>
            <w:r>
              <w:noBreakHyphen/>
              <w:t>7</w:t>
            </w:r>
          </w:p>
        </w:tc>
        <w:tc>
          <w:tcPr>
            <w:tcW w:w="2693" w:type="dxa"/>
          </w:tcPr>
          <w:p>
            <w:pPr>
              <w:pStyle w:val="nTable"/>
              <w:keepNext/>
              <w:spacing w:after="40"/>
              <w:rPr>
                <w:i/>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rPr>
                <w:snapToGrid w:val="0"/>
              </w:rPr>
            </w:pPr>
            <w:r>
              <w:rPr>
                <w:b/>
                <w:snapToGrid w:val="0"/>
              </w:rPr>
              <w:t xml:space="preserve">Reprint 2:  The </w:t>
            </w:r>
            <w:r>
              <w:rPr>
                <w:b/>
                <w:i/>
                <w:snapToGrid w:val="0"/>
              </w:rPr>
              <w:t>Freedom of Information Regulations 1993</w:t>
            </w:r>
            <w:r>
              <w:rPr>
                <w:b/>
                <w:snapToGrid w:val="0"/>
              </w:rPr>
              <w:t xml:space="preserve"> as at 12 Jul 2013</w:t>
            </w:r>
            <w:r>
              <w:rPr>
                <w:snapToGrid w:val="0"/>
              </w:rPr>
              <w:t xml:space="preserve"> </w:t>
            </w:r>
            <w:r>
              <w:rPr>
                <w:snapToGrid w:val="0"/>
              </w:rPr>
              <w:b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highlight w:val="green"/>
              </w:rPr>
            </w:pPr>
            <w:r>
              <w:rPr>
                <w:i/>
              </w:rPr>
              <w:t>Freedom of Information Amendment Regulations (No. 2) 2013</w:t>
            </w:r>
          </w:p>
        </w:tc>
        <w:tc>
          <w:tcPr>
            <w:tcW w:w="1276" w:type="dxa"/>
          </w:tcPr>
          <w:p>
            <w:pPr>
              <w:pStyle w:val="nTable"/>
              <w:keepNext/>
              <w:spacing w:after="40"/>
              <w:rPr>
                <w:i/>
              </w:rPr>
            </w:pPr>
            <w:r>
              <w:t>24 Sep 2013 p. 4388-9</w:t>
            </w:r>
          </w:p>
        </w:tc>
        <w:tc>
          <w:tcPr>
            <w:tcW w:w="2693" w:type="dxa"/>
          </w:tcPr>
          <w:p>
            <w:pPr>
              <w:pStyle w:val="nTable"/>
              <w:keepNext/>
              <w:spacing w:after="40"/>
              <w:rPr>
                <w:i/>
                <w:snapToGrid w:val="0"/>
              </w:rPr>
            </w:pPr>
            <w:r>
              <w:rPr>
                <w:snapToGrid w:val="0"/>
              </w:rPr>
              <w:t>r. 1 and 2: 24 Sep 2013 (see r. 2(a));</w:t>
            </w:r>
            <w:r>
              <w:rPr>
                <w:snapToGrid w:val="0"/>
              </w:rPr>
              <w:br/>
              <w:t>Regulations other than r. 1 and 2: 25 Sep </w:t>
            </w:r>
            <w:r>
              <w:t>2013 (see r. 2(b))</w:t>
            </w:r>
          </w:p>
        </w:tc>
      </w:tr>
      <w:tr>
        <w:trPr>
          <w:cantSplit/>
        </w:trPr>
        <w:tc>
          <w:tcPr>
            <w:tcW w:w="3118" w:type="dxa"/>
            <w:tcBorders>
              <w:top w:val="nil"/>
              <w:bottom w:val="nil"/>
            </w:tcBorders>
          </w:tcPr>
          <w:p>
            <w:pPr>
              <w:pStyle w:val="nTable"/>
              <w:spacing w:after="40"/>
              <w:rPr>
                <w:i/>
              </w:rPr>
            </w:pPr>
            <w:r>
              <w:rPr>
                <w:i/>
              </w:rPr>
              <w:t>Freedom of Information Amendment Regulations 2019</w:t>
            </w:r>
          </w:p>
        </w:tc>
        <w:tc>
          <w:tcPr>
            <w:tcW w:w="1276" w:type="dxa"/>
            <w:tcBorders>
              <w:top w:val="nil"/>
              <w:bottom w:val="nil"/>
            </w:tcBorders>
          </w:tcPr>
          <w:p>
            <w:pPr>
              <w:pStyle w:val="nTable"/>
              <w:keepNext/>
              <w:spacing w:after="40"/>
            </w:pPr>
            <w:r>
              <w:t>26 Jul 2019 p. 2955-6</w:t>
            </w:r>
          </w:p>
        </w:tc>
        <w:tc>
          <w:tcPr>
            <w:tcW w:w="2693" w:type="dxa"/>
            <w:tcBorders>
              <w:top w:val="nil"/>
              <w:bottom w:val="nil"/>
            </w:tcBorders>
          </w:tcPr>
          <w:p>
            <w:pPr>
              <w:pStyle w:val="nTable"/>
              <w:keepNext/>
              <w:spacing w:after="40"/>
              <w:rPr>
                <w:snapToGrid w:val="0"/>
              </w:rPr>
            </w:pPr>
            <w:r>
              <w:rPr>
                <w:snapToGrid w:val="0"/>
              </w:rPr>
              <w:t>r. 1 and 2: 26 Jul 2019 (see r. 2(a));</w:t>
            </w:r>
            <w:r>
              <w:rPr>
                <w:snapToGrid w:val="0"/>
              </w:rPr>
              <w:br/>
              <w:t>Regulations other than r. 1 and 2: 27 Jul 2019</w:t>
            </w:r>
            <w:r>
              <w:t xml:space="preserve"> (see r. 2(b)(ii))</w:t>
            </w:r>
          </w:p>
        </w:tc>
      </w:tr>
      <w:tr>
        <w:trPr>
          <w:cantSplit/>
        </w:trPr>
        <w:tc>
          <w:tcPr>
            <w:tcW w:w="3118" w:type="dxa"/>
            <w:tcBorders>
              <w:top w:val="nil"/>
              <w:bottom w:val="nil"/>
            </w:tcBorders>
          </w:tcPr>
          <w:p>
            <w:pPr>
              <w:pStyle w:val="nTable"/>
              <w:spacing w:after="40"/>
              <w:rPr>
                <w:i/>
              </w:rPr>
            </w:pPr>
            <w:r>
              <w:rPr>
                <w:i/>
              </w:rPr>
              <w:t>Freedom of Information Amendment Regulations 2021</w:t>
            </w:r>
          </w:p>
        </w:tc>
        <w:tc>
          <w:tcPr>
            <w:tcW w:w="1276" w:type="dxa"/>
            <w:tcBorders>
              <w:top w:val="nil"/>
              <w:bottom w:val="nil"/>
            </w:tcBorders>
          </w:tcPr>
          <w:p>
            <w:pPr>
              <w:pStyle w:val="nTable"/>
              <w:keepNext/>
              <w:spacing w:after="40"/>
            </w:pPr>
            <w:r>
              <w:t>SL 2021/9</w:t>
            </w:r>
            <w:r>
              <w:br/>
              <w:t>29 Jan 2021</w:t>
            </w:r>
          </w:p>
        </w:tc>
        <w:tc>
          <w:tcPr>
            <w:tcW w:w="2693" w:type="dxa"/>
            <w:tcBorders>
              <w:top w:val="nil"/>
              <w:bottom w:val="nil"/>
            </w:tcBorders>
          </w:tcPr>
          <w:p>
            <w:pPr>
              <w:pStyle w:val="nTable"/>
              <w:keepNext/>
              <w:spacing w:after="40"/>
              <w:rPr>
                <w:snapToGrid w:val="0"/>
              </w:rPr>
            </w:pPr>
            <w:r>
              <w:rPr>
                <w:snapToGrid w:val="0"/>
              </w:rPr>
              <w:t xml:space="preserve">r. 1 and 2: </w:t>
            </w:r>
            <w:r>
              <w:t>29 Jan 2021</w:t>
            </w:r>
            <w:r>
              <w:rPr>
                <w:snapToGrid w:val="0"/>
              </w:rPr>
              <w:t xml:space="preserve"> (see r. 2(a));</w:t>
            </w:r>
            <w:r>
              <w:rPr>
                <w:snapToGrid w:val="0"/>
              </w:rPr>
              <w:br/>
              <w:t xml:space="preserve">Regulations other than r. 1 and 2: </w:t>
            </w:r>
            <w:r>
              <w:t>30 Jan 2021 (see r. 2(b))</w:t>
            </w:r>
          </w:p>
        </w:tc>
      </w:tr>
      <w:tr>
        <w:trPr>
          <w:cantSplit/>
        </w:trPr>
        <w:tc>
          <w:tcPr>
            <w:tcW w:w="3118" w:type="dxa"/>
            <w:tcBorders>
              <w:top w:val="nil"/>
              <w:bottom w:val="nil"/>
            </w:tcBorders>
          </w:tcPr>
          <w:p>
            <w:pPr>
              <w:pStyle w:val="nTable"/>
              <w:spacing w:after="40"/>
              <w:rPr>
                <w:i/>
              </w:rPr>
            </w:pPr>
            <w:r>
              <w:rPr>
                <w:i/>
              </w:rPr>
              <w:t>Freedom of Information Amendment Regulations (No. 2) 2021</w:t>
            </w:r>
          </w:p>
        </w:tc>
        <w:tc>
          <w:tcPr>
            <w:tcW w:w="1276" w:type="dxa"/>
            <w:tcBorders>
              <w:top w:val="nil"/>
              <w:bottom w:val="nil"/>
            </w:tcBorders>
          </w:tcPr>
          <w:p>
            <w:pPr>
              <w:pStyle w:val="nTable"/>
              <w:keepNext/>
              <w:spacing w:after="40"/>
            </w:pPr>
            <w:r>
              <w:t>SL 2021/61</w:t>
            </w:r>
            <w:r>
              <w:br/>
              <w:t>21 May 2021</w:t>
            </w:r>
          </w:p>
        </w:tc>
        <w:tc>
          <w:tcPr>
            <w:tcW w:w="2693" w:type="dxa"/>
            <w:tcBorders>
              <w:top w:val="nil"/>
              <w:bottom w:val="nil"/>
            </w:tcBorders>
          </w:tcPr>
          <w:p>
            <w:pPr>
              <w:pStyle w:val="nTable"/>
              <w:keepNext/>
              <w:spacing w:after="40"/>
              <w:rPr>
                <w:snapToGrid w:val="0"/>
              </w:rPr>
            </w:pPr>
            <w:r>
              <w:rPr>
                <w:snapToGrid w:val="0"/>
              </w:rPr>
              <w:t>r. 1 and 2: 21 May 2021 (see r. 2(a));</w:t>
            </w:r>
            <w:r>
              <w:rPr>
                <w:snapToGrid w:val="0"/>
              </w:rPr>
              <w:br/>
              <w:t>Regulations other than r. 1 and 2: 22 May 2021 (see r. 2(b) and SL 2021/60 cl. 2)</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rPr>
                <w:i/>
              </w:rPr>
            </w:pPr>
            <w:r>
              <w:rPr>
                <w:i/>
              </w:rPr>
              <w:t>Attorney General Regulations Amendment (Swan Valley Planning Scheme) Regulations 2021</w:t>
            </w:r>
            <w:r>
              <w:t xml:space="preserve"> Pt. 2</w:t>
            </w:r>
          </w:p>
        </w:tc>
        <w:tc>
          <w:tcPr>
            <w:tcW w:w="1276" w:type="dxa"/>
            <w:tcBorders>
              <w:bottom w:val="single" w:sz="4" w:space="0" w:color="auto"/>
            </w:tcBorders>
          </w:tcPr>
          <w:p>
            <w:pPr>
              <w:pStyle w:val="nTable"/>
              <w:keepNext/>
              <w:spacing w:after="40"/>
            </w:pPr>
            <w:r>
              <w:t>SL 2021/127</w:t>
            </w:r>
            <w:r>
              <w:br/>
              <w:t>16 Jul 2021</w:t>
            </w:r>
          </w:p>
        </w:tc>
        <w:tc>
          <w:tcPr>
            <w:tcW w:w="2693" w:type="dxa"/>
            <w:tcBorders>
              <w:bottom w:val="single" w:sz="4" w:space="0" w:color="auto"/>
            </w:tcBorders>
          </w:tcPr>
          <w:p>
            <w:pPr>
              <w:pStyle w:val="nTable"/>
              <w:keepNext/>
              <w:spacing w:after="40"/>
              <w:rPr>
                <w:snapToGrid w:val="0"/>
              </w:rPr>
            </w:pPr>
            <w:r>
              <w:t>1 Aug 2021 (see r. 2(b) and SL 2021/124 cl. 2)</w:t>
            </w:r>
          </w:p>
        </w:tc>
      </w:tr>
    </w:tbl>
    <w:p>
      <w:pPr>
        <w:pStyle w:val="nHeading3"/>
      </w:pPr>
      <w:bookmarkStart w:id="27" w:name="_Toc97641214"/>
      <w:r>
        <w:t>Uncommenced provisions table</w:t>
      </w:r>
      <w:bookmarkEnd w:id="2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 xml:space="preserve">Freedom of Information Amendment Regulations 2022 </w:t>
            </w:r>
            <w:r>
              <w:t>r. 3 and  4</w:t>
            </w:r>
          </w:p>
        </w:tc>
        <w:tc>
          <w:tcPr>
            <w:tcW w:w="1276" w:type="dxa"/>
            <w:tcBorders>
              <w:bottom w:val="nil"/>
            </w:tcBorders>
          </w:tcPr>
          <w:p>
            <w:pPr>
              <w:pStyle w:val="nTable"/>
              <w:spacing w:after="40"/>
            </w:pPr>
            <w:r>
              <w:t>SL 2022/5 18 Jan 2022</w:t>
            </w:r>
          </w:p>
        </w:tc>
        <w:tc>
          <w:tcPr>
            <w:tcW w:w="2693" w:type="dxa"/>
            <w:tcBorders>
              <w:bottom w:val="nil"/>
            </w:tcBorders>
          </w:tcPr>
          <w:p>
            <w:pPr>
              <w:pStyle w:val="nTable"/>
              <w:spacing w:after="40"/>
            </w:pPr>
            <w:r>
              <w:t xml:space="preserve">Operative on commencement of </w:t>
            </w:r>
            <w:r>
              <w:rPr>
                <w:i/>
              </w:rPr>
              <w:t xml:space="preserve">Arts and Culture Trust Act 2021 </w:t>
            </w:r>
            <w:r>
              <w:t>s. 73(1) (see r. 2(b))</w:t>
            </w:r>
          </w:p>
        </w:tc>
      </w:tr>
      <w:tr>
        <w:tc>
          <w:tcPr>
            <w:tcW w:w="3118" w:type="dxa"/>
            <w:tcBorders>
              <w:top w:val="nil"/>
            </w:tcBorders>
          </w:tcPr>
          <w:p>
            <w:pPr>
              <w:pStyle w:val="nTable"/>
              <w:spacing w:after="40"/>
              <w:rPr>
                <w:i/>
              </w:rPr>
            </w:pPr>
            <w:r>
              <w:rPr>
                <w:i/>
              </w:rPr>
              <w:t>Attorney General Regulations Amendment (Work Health and Safety) Regulations 2022</w:t>
            </w:r>
            <w:r>
              <w:t xml:space="preserve"> Pt. 3</w:t>
            </w:r>
          </w:p>
        </w:tc>
        <w:tc>
          <w:tcPr>
            <w:tcW w:w="1276" w:type="dxa"/>
            <w:tcBorders>
              <w:top w:val="nil"/>
            </w:tcBorders>
          </w:tcPr>
          <w:p>
            <w:pPr>
              <w:pStyle w:val="nTable"/>
              <w:spacing w:after="40"/>
            </w:pPr>
            <w:r>
              <w:t>SL 2022/27 11 Mar 2022</w:t>
            </w:r>
          </w:p>
        </w:tc>
        <w:tc>
          <w:tcPr>
            <w:tcW w:w="2693" w:type="dxa"/>
            <w:tcBorders>
              <w:top w:val="nil"/>
            </w:tcBorders>
          </w:tcPr>
          <w:p>
            <w:pPr>
              <w:pStyle w:val="nTable"/>
              <w:spacing w:after="40"/>
            </w:pPr>
            <w:r>
              <w:t>31 Mar 2022 (see r. 2(b) and SL 2022/18 cl. 2)</w:t>
            </w:r>
          </w:p>
        </w:tc>
      </w:tr>
    </w:tbl>
    <w:p>
      <w:pPr>
        <w:pStyle w:val="nNote"/>
        <w:spacing w:before="160"/>
        <w:rPr>
          <w:snapToGrid w:val="0"/>
        </w:rPr>
      </w:pPr>
      <w:r>
        <w:rPr>
          <w:vertAlign w:val="superscript"/>
        </w:rPr>
        <w:t>1</w:t>
      </w:r>
      <w:r>
        <w:rPr>
          <w:vertAlign w:val="superscript"/>
        </w:rPr>
        <w:tab/>
      </w:r>
      <w:r>
        <w:rPr>
          <w:snapToGrid w:val="0"/>
        </w:rPr>
        <w:t>Footnote no longer applicable.</w:t>
      </w:r>
    </w:p>
    <w:p>
      <w:pPr>
        <w:pStyle w:val="nNote"/>
        <w:spacing w:before="160"/>
      </w:pPr>
      <w:r>
        <w:rPr>
          <w:vertAlign w:val="superscript"/>
        </w:rPr>
        <w:lastRenderedPageBreak/>
        <w:t>2</w:t>
      </w:r>
      <w:r>
        <w:rPr>
          <w:vertAlign w:val="superscript"/>
        </w:rPr>
        <w:tab/>
      </w:r>
      <w:r>
        <w:rPr>
          <w:snapToGrid w:val="0"/>
        </w:rPr>
        <w:t xml:space="preserve">Under the </w:t>
      </w:r>
      <w:r>
        <w:rPr>
          <w:i/>
          <w:iCs/>
          <w:snapToGrid w:val="0"/>
        </w:rPr>
        <w:t xml:space="preserve">Public Sector Management Act 1994 </w:t>
      </w:r>
      <w:r>
        <w:rPr>
          <w:snapToGrid w:val="0"/>
        </w:rPr>
        <w:t xml:space="preserve">the designations of departments can be altered.  </w:t>
      </w:r>
      <w:r>
        <w:t>At the time of this compilation the designation of the Department for Child Protection has been altered to the Department for Child Protection and Family Support.</w:t>
      </w:r>
    </w:p>
    <w:p>
      <w:pPr>
        <w:pStyle w:val="nNote"/>
      </w:pPr>
      <w:r>
        <w:rPr>
          <w:vertAlign w:val="superscript"/>
        </w:rPr>
        <w:t>3</w:t>
      </w:r>
      <w:r>
        <w:rPr>
          <w:vertAlign w:val="superscript"/>
        </w:rPr>
        <w:tab/>
      </w:r>
      <w:r>
        <w:t xml:space="preserve">Under the </w:t>
      </w:r>
      <w:r>
        <w:rPr>
          <w:i/>
        </w:rPr>
        <w:t>Alteration of Statutory Designations Order (No. 4) 2013</w:t>
      </w:r>
      <w:r>
        <w:t xml:space="preserve"> a reference in any law to the Department for Communities is to be read and construed as a reference to the Department of Local Government and Communities unless the context of the reference requires otherwise. </w:t>
      </w:r>
    </w:p>
    <w:p>
      <w:pPr>
        <w:pStyle w:val="nNote"/>
      </w:pPr>
      <w:r>
        <w:rPr>
          <w:vertAlign w:val="superscript"/>
        </w:rPr>
        <w:t>4</w:t>
      </w:r>
      <w:r>
        <w:rPr>
          <w:vertAlign w:val="superscript"/>
        </w:rPr>
        <w:tab/>
      </w:r>
      <w:r>
        <w:t xml:space="preserve">Under the </w:t>
      </w:r>
      <w:r>
        <w:rPr>
          <w:i/>
        </w:rPr>
        <w:t>Alteration of Statutory Designations (DPI) Order 2009</w:t>
      </w:r>
      <w:r>
        <w:t xml:space="preserve"> (as amended by the </w:t>
      </w:r>
      <w:r>
        <w:rPr>
          <w:i/>
        </w:rPr>
        <w:t>Alteration of Statutory Designations Order (No. 3) 2013</w:t>
      </w:r>
      <w:r>
        <w:t xml:space="preserve">) a reference in any law to the Department for Planning and Infrastructure is to be read and construed, according to the function, office or other matter to which the reference relates, as a reference to the Department of Planning, Department of Transport, Department of Lands or Department of Regional Development, unless the context of the reference requires otherwise. </w:t>
      </w:r>
    </w:p>
    <w:p>
      <w:pPr>
        <w:pStyle w:val="nNote"/>
      </w:pPr>
      <w:r>
        <w:rPr>
          <w:snapToGrid w:val="0"/>
          <w:vertAlign w:val="superscript"/>
        </w:rPr>
        <w:t>5</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compilation the designation of the Department of Consumer and Employment Protection has been altered to the Department of Commerce (see </w:t>
      </w:r>
      <w:r>
        <w:rPr>
          <w:i/>
          <w:iCs/>
        </w:rPr>
        <w:t>Gazette</w:t>
      </w:r>
      <w:r>
        <w:t xml:space="preserve"> 2 Jan 2009 p. 8).</w:t>
      </w:r>
    </w:p>
    <w:p>
      <w:pPr>
        <w:pStyle w:val="nNote"/>
        <w:rPr>
          <w:snapToGrid w:val="0"/>
        </w:rPr>
      </w:pPr>
      <w:r>
        <w:rPr>
          <w:vertAlign w:val="superscript"/>
        </w:rPr>
        <w:t>6</w:t>
      </w:r>
      <w:r>
        <w:rPr>
          <w:vertAlign w:val="superscript"/>
        </w:rPr>
        <w:tab/>
      </w:r>
      <w:r>
        <w:rPr>
          <w:snapToGrid w:val="0"/>
        </w:rPr>
        <w:t>Footnote no longer applicable.</w:t>
      </w:r>
    </w:p>
    <w:p>
      <w:pPr>
        <w:pStyle w:val="nNote"/>
        <w:rPr>
          <w:snapToGrid w:val="0"/>
        </w:rPr>
      </w:pPr>
      <w:r>
        <w:rPr>
          <w:snapToGrid w:val="0"/>
          <w:vertAlign w:val="superscript"/>
        </w:rPr>
        <w:t>7</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compilation the designation of the Department of Housing and Works has been altered to the Department of Housing.</w:t>
      </w:r>
    </w:p>
    <w:p>
      <w:pPr>
        <w:pStyle w:val="nNote"/>
        <w:rPr>
          <w:snapToGrid w:val="0"/>
        </w:rPr>
      </w:pPr>
      <w:r>
        <w:rPr>
          <w:snapToGrid w:val="0"/>
          <w:vertAlign w:val="superscript"/>
        </w:rPr>
        <w:t>8</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compilation the designation of the Department of Indigenous Affairs has been altered to the Department of Aboriginal Affairs.</w:t>
      </w:r>
    </w:p>
    <w:p>
      <w:pPr>
        <w:pStyle w:val="nNote"/>
      </w:pPr>
      <w:r>
        <w:rPr>
          <w:snapToGrid w:val="0"/>
          <w:vertAlign w:val="superscript"/>
        </w:rPr>
        <w:t>9</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compilation the designation of the Department of Industry and Resources has been altered to the Department of Mines and Petroleum (see </w:t>
      </w:r>
      <w:r>
        <w:rPr>
          <w:i/>
          <w:iCs/>
        </w:rPr>
        <w:t xml:space="preserve">Gazette </w:t>
      </w:r>
      <w:r>
        <w:t>2 Jan 2009 p. 8).</w:t>
      </w:r>
    </w:p>
    <w:p>
      <w:pPr>
        <w:pStyle w:val="nNote"/>
        <w:keepLines/>
      </w:pPr>
      <w:r>
        <w:rPr>
          <w:vertAlign w:val="superscript"/>
        </w:rPr>
        <w:t>10</w:t>
      </w:r>
      <w:r>
        <w:rPr>
          <w:vertAlign w:val="superscript"/>
        </w:rPr>
        <w:tab/>
      </w:r>
      <w:r>
        <w:t xml:space="preserve">Under the </w:t>
      </w:r>
      <w:r>
        <w:rPr>
          <w:i/>
        </w:rPr>
        <w:t xml:space="preserve">Alteration of Statutory Designations Order (No. 4) 2013 </w:t>
      </w:r>
      <w:r>
        <w:t>a reference in any law to the Department of Local Government and Regional Development is to be read and construed as a reference to the Department of Local Government and Communities unless the context of the reference requires otherwise.</w:t>
      </w:r>
    </w:p>
    <w:p>
      <w:pPr>
        <w:pStyle w:val="nNote"/>
      </w:pPr>
      <w:r>
        <w:rPr>
          <w:snapToGrid w:val="0"/>
          <w:vertAlign w:val="superscript"/>
        </w:rPr>
        <w:t>11</w:t>
      </w:r>
      <w:r>
        <w:rPr>
          <w:snapToGrid w:val="0"/>
        </w:rPr>
        <w:tab/>
        <w:t xml:space="preserve">Under the </w:t>
      </w:r>
      <w:r>
        <w:rPr>
          <w:i/>
          <w:iCs/>
          <w:snapToGrid w:val="0"/>
        </w:rPr>
        <w:t xml:space="preserve">Public Sector Management Act 1994 </w:t>
      </w:r>
      <w:r>
        <w:rPr>
          <w:snapToGrid w:val="0"/>
        </w:rPr>
        <w:t xml:space="preserve">the designations of departments can be altered.  The </w:t>
      </w:r>
      <w:r>
        <w:t xml:space="preserve">designation of the Department of Treasury and Finance was altered to the Department of the Treasury with effect from 1 Jul 2011. The Department of Finance was established with effect from 1 Jul 2011 (see </w:t>
      </w:r>
      <w:r>
        <w:rPr>
          <w:i/>
        </w:rPr>
        <w:t>Gazette</w:t>
      </w:r>
      <w:r>
        <w:t xml:space="preserve"> 25 Mar 2011 p. 1110).</w:t>
      </w:r>
    </w:p>
    <w:p>
      <w:pPr>
        <w:pStyle w:val="nNote"/>
      </w:pPr>
      <w:r>
        <w:rPr>
          <w:vertAlign w:val="superscript"/>
        </w:rPr>
        <w:lastRenderedPageBreak/>
        <w:t>12</w:t>
      </w:r>
      <w:r>
        <w:rPr>
          <w:vertAlign w:val="superscript"/>
        </w:rPr>
        <w:tab/>
      </w:r>
      <w:r>
        <w:t xml:space="preserve">Under the </w:t>
      </w:r>
      <w:r>
        <w:rPr>
          <w:i/>
        </w:rPr>
        <w:t xml:space="preserve">Alteration of Statutory Designations Order 2012 </w:t>
      </w:r>
      <w:r>
        <w:t>a reference in any law to the Office of Energy is to be read and construed as a reference to the Department of Finance unless the context of the reference requires otherwise.</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29" w:name="_Toc97630911"/>
      <w:bookmarkStart w:id="30" w:name="_Toc97631745"/>
      <w:bookmarkStart w:id="31" w:name="_Toc97641215"/>
      <w:r>
        <w:rPr>
          <w:sz w:val="28"/>
        </w:rPr>
        <w:lastRenderedPageBreak/>
        <w:t>Defined terms</w:t>
      </w:r>
      <w:bookmarkEnd w:id="29"/>
      <w:bookmarkEnd w:id="30"/>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non</w:t>
      </w:r>
      <w:r>
        <w:noBreakHyphen/>
        <w:t>personal information</w:t>
      </w:r>
      <w:r>
        <w:tab/>
        <w:t>2A</w:t>
      </w:r>
    </w:p>
    <w:p>
      <w:pPr>
        <w:pStyle w:val="DefinedTerms"/>
      </w:pPr>
      <w:r>
        <w:t>suitably qualified person</w:t>
      </w:r>
      <w:r>
        <w:tab/>
        <w:t>7</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 w:name="Schedule"/>
    <w:bookmarkEnd w:id="2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 w:name="DefinedTerms"/>
    <w:bookmarkEnd w:id="3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 w:name="Coversheet"/>
    <w:bookmarkEnd w:id="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072DC6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312C4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B22587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E362B6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520751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CCDF8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634C7B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142A51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A4D4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06C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382659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8111529"/>
    <w:docVar w:name="WAFER_20140115113035" w:val="RemoveTocBookmarks,RemoveUnusedBookmarks,RemoveLanguageTags,UsedStyles,ResetPageSize,UpdateArrangement"/>
    <w:docVar w:name="WAFER_20140115113035_GUID" w:val="9c1405d8-5f2d-4904-84f5-f23fa4384a95"/>
    <w:docVar w:name="WAFER_20140115113504" w:val="RemoveTocBookmarks,RunningHeaders"/>
    <w:docVar w:name="WAFER_20140115113504_GUID" w:val="e671ca5b-3d41-4247-b8bc-630ea424c635"/>
    <w:docVar w:name="WAFER_20150506114255" w:val="ResetPageSize,UpdateArrangement,UpdateNTable"/>
    <w:docVar w:name="WAFER_20150506114255_GUID" w:val="dc24ee1a-0410-4afe-88a8-873567b88af7"/>
    <w:docVar w:name="WAFER_20151105105039" w:val="UpdateStyles,UsedStyles"/>
    <w:docVar w:name="WAFER_20151105105039_GUID" w:val="1ec01ee4-6f9e-46f0-bc54-54bf80ef9080"/>
    <w:docVar w:name="WAFER_20190726091954" w:val="RemoveTocBookmarks,RemoveUnusedBookmarks,RemoveLanguageTags,ResetPageSize,RunningHeaders,UpdateStyles,UsedStyles"/>
    <w:docVar w:name="WAFER_20190726091954_GUID" w:val="f4067e6c-d1a4-48a4-87a6-4b3f4a630d14"/>
    <w:docVar w:name="WAFER_20210125163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5163013_GUID" w:val="3ccda24d-8dad-4e1e-9689-5781a0bfbb86"/>
    <w:docVar w:name="WAFER_202105181645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64526_GUID" w:val="e4d45e5e-6ad9-43ad-a435-5bc336747808"/>
    <w:docVar w:name="WAFER_20210714104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04739_GUID" w:val="5671d575-f378-4039-88c9-bf749515cbdf"/>
    <w:docVar w:name="WAFER_202107261414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41407_GUID" w:val="7dc1305e-6653-4652-9e82-29e3d9027f65"/>
    <w:docVar w:name="WAFER_202110050941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094102_GUID" w:val="724803ac-2037-4a1b-b2f6-05bf6b1bf048"/>
    <w:docVar w:name="WAFER_202201111158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1115843_GUID" w:val="3d957553-2c21-4441-9d7e-d000fbc44e04"/>
    <w:docVar w:name="WAFER_202203021555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2155522_GUID" w:val="68c7226c-f0af-4f1a-96b2-01cc713dd457"/>
    <w:docVar w:name="WAFER_202203081115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1529_GUID" w:val="32c12d55-8459-40ae-a60d-16be379c5a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54BE641-D796-4060-81A2-7539C1A4C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C6755B-57C3-412E-B47E-DC489D20F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4691</Words>
  <Characters>27725</Characters>
  <Application>Microsoft Office Word</Application>
  <DocSecurity>0</DocSecurity>
  <Lines>1260</Lines>
  <Paragraphs>704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Regulations 1993 - 02-i0-00</dc:title>
  <dc:subject/>
  <dc:creator/>
  <cp:keywords/>
  <dc:description/>
  <cp:lastModifiedBy>Master Repository Process</cp:lastModifiedBy>
  <cp:revision>4</cp:revision>
  <cp:lastPrinted>2021-07-27T01:34:00Z</cp:lastPrinted>
  <dcterms:created xsi:type="dcterms:W3CDTF">2022-03-11T05:13:00Z</dcterms:created>
  <dcterms:modified xsi:type="dcterms:W3CDTF">2022-03-11T05:13:00Z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October 1993 pp.5800-2</vt:lpwstr>
  </property>
  <property fmtid="{D5CDD505-2E9C-101B-9397-08002B2CF9AE}" pid="3" name="DocumentType">
    <vt:lpwstr>Reg</vt:lpwstr>
  </property>
  <property fmtid="{D5CDD505-2E9C-101B-9397-08002B2CF9AE}" pid="4" name="OwlsUID">
    <vt:i4>4455</vt:i4>
  </property>
  <property fmtid="{D5CDD505-2E9C-101B-9397-08002B2CF9AE}" pid="5" name="ReprintNo">
    <vt:lpwstr>2</vt:lpwstr>
  </property>
  <property fmtid="{D5CDD505-2E9C-101B-9397-08002B2CF9AE}" pid="6" name="ReprintedAsAt">
    <vt:filetime>2013-07-11T16:00:00Z</vt:filetime>
  </property>
  <property fmtid="{D5CDD505-2E9C-101B-9397-08002B2CF9AE}" pid="7" name="AsAtDate">
    <vt:lpwstr>11 Mar 2022</vt:lpwstr>
  </property>
  <property fmtid="{D5CDD505-2E9C-101B-9397-08002B2CF9AE}" pid="8" name="Suffix">
    <vt:lpwstr>02-i0-00</vt:lpwstr>
  </property>
  <property fmtid="{D5CDD505-2E9C-101B-9397-08002B2CF9AE}" pid="9" name="CommencementDate">
    <vt:lpwstr>20220311</vt:lpwstr>
  </property>
</Properties>
</file>