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(Ngalingkadji Restricted Area)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(Ngalingkadji Restricted Area)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_Toc98853832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_Toc98853833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Ngalingkadji Aboriginal Community</w:t>
      </w:r>
      <w:r>
        <w:tab/>
      </w:r>
      <w:r>
        <w:fldChar w:fldCharType="begin"/>
      </w:r>
      <w:r>
        <w:instrText xml:space="preserve"> PAGEREF _Toc98853834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_Toc98853835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_Toc98853836 \h </w:instrText>
      </w:r>
      <w:r>
        <w:fldChar w:fldCharType="separate"/>
      </w:r>
      <w:r>
        <w:t>1</w:t>
      </w:r>
      <w:r>
        <w:fldChar w:fldCharType="end"/>
      </w:r>
    </w:p>
    <w:p>
      <w:pPr>
        <w:pStyle w:val="TOC8"/>
        <w:rPr>
          <w:rFonts w:asciiTheme="minorHAnsi" w:eastAsiaTheme="minorEastAsia" w:hAnsiTheme="minorHAnsi" w:cstheme="minorBidi"/>
          <w:szCs w:val="22"/>
        </w:rPr>
      </w:pPr>
      <w:r>
        <w:t>7.</w:t>
      </w:r>
      <w:r>
        <w:tab/>
        <w:t>Prohibitions as to liquor in the Ngalingkadji Aboriginal Community</w:t>
      </w:r>
      <w:r>
        <w:tab/>
      </w:r>
      <w:r>
        <w:fldChar w:fldCharType="begin"/>
      </w:r>
      <w:r>
        <w:instrText xml:space="preserve"> PAGEREF _Toc98853837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_Toc98853838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_Toc98853839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_Toc98853841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_Toc98853842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(Ngalingkadji Restricted Area) Regulations 2016</w:t>
      </w:r>
    </w:p>
    <w:p>
      <w:pPr>
        <w:pStyle w:val="Heading5"/>
      </w:pPr>
      <w:bookmarkStart w:id="3" w:name="_Toc98853832"/>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Liquor Control (Ngalingkadji Restricted Area) Regulations 2016</w:t>
      </w:r>
      <w:r>
        <w:t>.</w:t>
      </w:r>
    </w:p>
    <w:p>
      <w:pPr>
        <w:pStyle w:val="Heading5"/>
        <w:rPr>
          <w:spacing w:val="-2"/>
        </w:rPr>
      </w:pPr>
      <w:bookmarkStart w:id="5" w:name="_Toc9885383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98853834"/>
      <w:r>
        <w:rPr>
          <w:rStyle w:val="CharSectno"/>
        </w:rPr>
        <w:t>3</w:t>
      </w:r>
      <w:r>
        <w:t>.</w:t>
      </w:r>
      <w:r>
        <w:tab/>
        <w:t>Term used: Ngalingkadji Aboriginal Community</w:t>
      </w:r>
      <w:bookmarkEnd w:id="6"/>
    </w:p>
    <w:p>
      <w:pPr>
        <w:pStyle w:val="Subsection"/>
      </w:pPr>
      <w:r>
        <w:tab/>
      </w:r>
      <w:r>
        <w:tab/>
        <w:t xml:space="preserve">In these regulations — </w:t>
      </w:r>
    </w:p>
    <w:p>
      <w:pPr>
        <w:pStyle w:val="Defstart"/>
      </w:pPr>
      <w:r>
        <w:tab/>
      </w:r>
      <w:r>
        <w:rPr>
          <w:rStyle w:val="CharDefText"/>
        </w:rPr>
        <w:t>Ngalingkadji Aboriginal Community</w:t>
      </w:r>
      <w:r>
        <w:t xml:space="preserve"> means the area of land described as Lot 40 on Deposited Plan 188547 being the whole of the land in Record of Qualified Certificate of Crown Land Title Volume LR3028 Folio 233.</w:t>
      </w:r>
    </w:p>
    <w:p>
      <w:pPr>
        <w:pStyle w:val="Ednotesection"/>
      </w:pPr>
      <w:r>
        <w:t>[</w:t>
      </w:r>
      <w:r>
        <w:rPr>
          <w:b/>
        </w:rPr>
        <w:t>4.</w:t>
      </w:r>
      <w:r>
        <w:tab/>
        <w:t>Deleted: SL 2022/38 r. 4.]</w:t>
      </w:r>
    </w:p>
    <w:p>
      <w:pPr>
        <w:pStyle w:val="Heading5"/>
      </w:pPr>
      <w:bookmarkStart w:id="7" w:name="_Toc98853835"/>
      <w:r>
        <w:rPr>
          <w:rStyle w:val="CharSectno"/>
        </w:rPr>
        <w:t>5</w:t>
      </w:r>
      <w:r>
        <w:t>.</w:t>
      </w:r>
      <w:r>
        <w:tab/>
        <w:t>Declaration of restricted area</w:t>
      </w:r>
      <w:bookmarkEnd w:id="7"/>
    </w:p>
    <w:p>
      <w:pPr>
        <w:pStyle w:val="Subsection"/>
      </w:pPr>
      <w:r>
        <w:tab/>
      </w:r>
      <w:r>
        <w:tab/>
        <w:t>The Ngalingkadji Aboriginal Community is declared to be a restricted area for the purposes of section 175(1a) of the Act.</w:t>
      </w:r>
    </w:p>
    <w:p>
      <w:pPr>
        <w:pStyle w:val="Heading5"/>
      </w:pPr>
      <w:bookmarkStart w:id="8" w:name="_Toc98853836"/>
      <w:r>
        <w:rPr>
          <w:rStyle w:val="CharSectno"/>
        </w:rPr>
        <w:t>6</w:t>
      </w:r>
      <w:r>
        <w:t>.</w:t>
      </w:r>
      <w:r>
        <w:tab/>
        <w:t>Notice of restricted area</w:t>
      </w:r>
      <w:bookmarkEnd w:id="8"/>
    </w:p>
    <w:p>
      <w:pPr>
        <w:pStyle w:val="Subsection"/>
        <w:keepNext/>
      </w:pPr>
      <w:r>
        <w:tab/>
        <w:t>(1)</w:t>
      </w:r>
      <w:r>
        <w:tab/>
        <w:t xml:space="preserve">The Director of Liquor Licensing must take all reasonable steps to cause to be posted, and while the Ngalingkadji Aboriginal </w:t>
      </w:r>
      <w:r>
        <w:lastRenderedPageBreak/>
        <w:t>Community continues to be a restricted area by operation of regulation 5 to be kept posted, at each place where a customary access route enters the Ngalingkadji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98853837"/>
      <w:r>
        <w:rPr>
          <w:rStyle w:val="CharSectno"/>
        </w:rPr>
        <w:t>7</w:t>
      </w:r>
      <w:r>
        <w:t>.</w:t>
      </w:r>
      <w:r>
        <w:tab/>
        <w:t>Prohibitions as to liquor in the Ngalingkadji Aboriginal Community</w:t>
      </w:r>
      <w:bookmarkEnd w:id="9"/>
    </w:p>
    <w:p>
      <w:pPr>
        <w:pStyle w:val="Subsection"/>
      </w:pPr>
      <w:r>
        <w:tab/>
        <w:t>(1)</w:t>
      </w:r>
      <w:r>
        <w:tab/>
        <w:t>A person must not —</w:t>
      </w:r>
    </w:p>
    <w:p>
      <w:pPr>
        <w:pStyle w:val="Indenta"/>
      </w:pPr>
      <w:r>
        <w:tab/>
        <w:t>(a)</w:t>
      </w:r>
      <w:r>
        <w:tab/>
        <w:t>bring liquor into, or cause liquor to be brought into, the Ngalingkadji Aboriginal Community; or</w:t>
      </w:r>
    </w:p>
    <w:p>
      <w:pPr>
        <w:pStyle w:val="Indenta"/>
      </w:pPr>
      <w:r>
        <w:tab/>
        <w:t>(b)</w:t>
      </w:r>
      <w:r>
        <w:tab/>
        <w:t>be in possession of liquor in the Ngalingkadji Aboriginal Community.</w:t>
      </w:r>
    </w:p>
    <w:p>
      <w:pPr>
        <w:pStyle w:val="Penstart"/>
      </w:pPr>
      <w:r>
        <w:tab/>
        <w:t xml:space="preserve">Penalty for this subregulation: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98853838"/>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98853839"/>
      <w:r>
        <w:rPr>
          <w:rStyle w:val="CharSectno"/>
        </w:rPr>
        <w:lastRenderedPageBreak/>
        <w:t>9</w:t>
      </w:r>
      <w:r>
        <w:t>.</w:t>
      </w:r>
      <w:r>
        <w:tab/>
        <w:t>Period during which these regulations have effect</w:t>
      </w:r>
      <w:bookmarkEnd w:id="11"/>
    </w:p>
    <w:p>
      <w:pPr>
        <w:pStyle w:val="Subsection"/>
        <w:keepNext/>
      </w:pPr>
      <w:r>
        <w:tab/>
      </w:r>
      <w:r>
        <w:tab/>
        <w:t>Unless sooner repealed, these regulations have effect for the period that ends at the close of 1 April 2023.</w:t>
      </w:r>
    </w:p>
    <w:p>
      <w:pPr>
        <w:pStyle w:val="Footnotesection"/>
      </w:pPr>
      <w:r>
        <w:tab/>
        <w:t>[Regulation 9 amended: Gazette 22 Mar 2019 p. 859; SL 2022/38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28" w:gutter="0"/>
          <w:pgNumType w:start="1"/>
          <w:cols w:space="720"/>
          <w:noEndnote/>
          <w:titlePg/>
        </w:sectPr>
      </w:pPr>
    </w:p>
    <w:p>
      <w:pPr>
        <w:pStyle w:val="nHeading2"/>
      </w:pPr>
      <w:bookmarkStart w:id="12" w:name="_Toc98850619"/>
      <w:bookmarkStart w:id="13" w:name="_Toc98853840"/>
      <w:bookmarkStart w:id="14" w:name="_Toc98849973"/>
      <w:r>
        <w:lastRenderedPageBreak/>
        <w:t>Notes</w:t>
      </w:r>
      <w:bookmarkEnd w:id="12"/>
      <w:bookmarkEnd w:id="13"/>
    </w:p>
    <w:p>
      <w:pPr>
        <w:pStyle w:val="nStatement"/>
      </w:pPr>
      <w:r>
        <w:t xml:space="preserve">This is a compilation of the </w:t>
      </w:r>
      <w:r>
        <w:rPr>
          <w:i/>
          <w:noProof/>
        </w:rPr>
        <w:t>Liquor Control (Ngalingkadji Restricted Area) Regulations 2016</w:t>
      </w:r>
      <w:r>
        <w:t xml:space="preserve"> and includes amendments made by other written laws. For provisions that have come into operation see the compilation table.</w:t>
      </w:r>
    </w:p>
    <w:p>
      <w:pPr>
        <w:pStyle w:val="nHeading3"/>
      </w:pPr>
      <w:bookmarkStart w:id="15" w:name="_Toc98853841"/>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(Ngalingkadji Restricted Area) Regulations 2016</w:t>
            </w:r>
            <w:r>
              <w:rPr>
                <w:noProof/>
                <w:vertAlign w:val="superscript"/>
              </w:rPr>
              <w:t> 1</w:t>
            </w:r>
          </w:p>
        </w:tc>
        <w:tc>
          <w:tcPr>
            <w:tcW w:w="1276" w:type="dxa"/>
            <w:tcBorders>
              <w:bottom w:val="nil"/>
            </w:tcBorders>
          </w:tcPr>
          <w:p>
            <w:pPr>
              <w:pStyle w:val="nTable"/>
              <w:spacing w:after="40"/>
            </w:pPr>
            <w:r>
              <w:t>8 Apr 2016 p. 1099</w:t>
            </w:r>
            <w:r>
              <w:noBreakHyphen/>
              <w:t>1100</w:t>
            </w:r>
          </w:p>
        </w:tc>
        <w:tc>
          <w:tcPr>
            <w:tcW w:w="2693" w:type="dxa"/>
            <w:tcBorders>
              <w:bottom w:val="nil"/>
            </w:tcBorders>
          </w:tcPr>
          <w:p>
            <w:pPr>
              <w:pStyle w:val="nTable"/>
              <w:spacing w:after="40"/>
            </w:pPr>
            <w:r>
              <w:rPr>
                <w:bCs/>
                <w:snapToGrid w:val="0"/>
                <w:spacing w:val="-2"/>
              </w:rPr>
              <w:t>r. 1 and 2: 8 Apr 2016 (see r. 2(a));</w:t>
            </w:r>
            <w:r>
              <w:rPr>
                <w:bCs/>
                <w:snapToGrid w:val="0"/>
                <w:spacing w:val="-2"/>
              </w:rPr>
              <w:br/>
              <w:t>Regulations other than r. 1 and 2: 9 Apr 2016 (see r. 2(b))</w:t>
            </w:r>
          </w:p>
        </w:tc>
      </w:tr>
      <w:tr>
        <w:tc>
          <w:tcPr>
            <w:tcW w:w="3118" w:type="dxa"/>
            <w:tcBorders>
              <w:top w:val="nil"/>
              <w:bottom w:val="nil"/>
            </w:tcBorders>
          </w:tcPr>
          <w:p>
            <w:pPr>
              <w:pStyle w:val="nTable"/>
              <w:spacing w:after="40"/>
              <w:rPr>
                <w:i/>
                <w:noProof/>
              </w:rPr>
            </w:pPr>
            <w:r>
              <w:rPr>
                <w:i/>
              </w:rPr>
              <w:t xml:space="preserve">Racing and Gaming Regulations Amendment (Liquor Control) Regulations 2019 </w:t>
            </w:r>
            <w:r>
              <w:t>Pt. 2</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bCs/>
                <w:snapToGrid w:val="0"/>
                <w:spacing w:val="-2"/>
              </w:rPr>
            </w:pPr>
            <w:r>
              <w:rPr>
                <w:bCs/>
                <w:snapToGrid w:val="0"/>
                <w:spacing w:val="-2"/>
              </w:rPr>
              <w:t>23 Mar 2019 (see r. 2(b))</w:t>
            </w:r>
          </w:p>
        </w:tc>
      </w:tr>
      <w:tr>
        <w:tc>
          <w:tcPr>
            <w:tcW w:w="3118" w:type="dxa"/>
            <w:tcBorders>
              <w:top w:val="nil"/>
              <w:bottom w:val="single" w:sz="4" w:space="0" w:color="auto"/>
            </w:tcBorders>
          </w:tcPr>
          <w:p>
            <w:pPr>
              <w:pStyle w:val="nTable"/>
              <w:spacing w:after="40"/>
            </w:pPr>
            <w:r>
              <w:rPr>
                <w:i/>
              </w:rPr>
              <w:t>Racing and Gaming Regulations Amendment (Liquor Control) Regulations 2022</w:t>
            </w:r>
            <w:r>
              <w:t xml:space="preserve"> Pt 2</w:t>
            </w:r>
          </w:p>
        </w:tc>
        <w:tc>
          <w:tcPr>
            <w:tcW w:w="1276" w:type="dxa"/>
            <w:tcBorders>
              <w:top w:val="nil"/>
              <w:bottom w:val="single" w:sz="4" w:space="0" w:color="auto"/>
            </w:tcBorders>
          </w:tcPr>
          <w:p>
            <w:pPr>
              <w:pStyle w:val="nTable"/>
              <w:spacing w:after="40"/>
            </w:pPr>
            <w:r>
              <w:t>SL 2022/38 25 Mar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26 Mar 2022 (see r. 2(b))</w:t>
            </w:r>
          </w:p>
        </w:tc>
      </w:tr>
    </w:tbl>
    <w:p>
      <w:pPr>
        <w:pStyle w:val="nHeading3"/>
      </w:pPr>
      <w:bookmarkStart w:id="16" w:name="_Toc98853842"/>
      <w:r>
        <w:t>Other notes</w:t>
      </w:r>
      <w:bookmarkEnd w:id="16"/>
    </w:p>
    <w:p>
      <w:pPr>
        <w:pStyle w:val="nNote"/>
      </w:pPr>
      <w:r>
        <w:rPr>
          <w:vertAlign w:val="superscript"/>
        </w:rPr>
        <w:t>1</w:t>
      </w:r>
      <w:r>
        <w:tab/>
        <w:t>These regulations expire at the close of 1 Apr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8" w:name="_Toc98850622"/>
      <w:bookmarkStart w:id="19" w:name="_Toc98853843"/>
      <w:r>
        <w:rPr>
          <w:sz w:val="28"/>
        </w:rPr>
        <w:lastRenderedPageBreak/>
        <w:t>Defined terms</w:t>
      </w:r>
      <w:bookmarkEnd w:id="14"/>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Ngalingkadji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356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2103300" w:val="RemoveTocBookmarks,RemoveUnusedBookmarks,RemoveLanguageTags,UsedStyles,ResetPageSize"/>
    <w:docVar w:name="WAFER_20160122103300_GUID" w:val="e80fc34d-af3a-436d-b527-5d9a40778d35"/>
    <w:docVar w:name="WAFER_20160229120539" w:val="RemoveTocBookmarks,RemoveUnusedBookmarks,RemoveLanguageTags,UsedStyles,ResetPageSize"/>
    <w:docVar w:name="WAFER_20160229120539_GUID" w:val="fd36ed1c-e09e-4407-a613-9bae956f623f"/>
    <w:docVar w:name="WAFER_20170209160553" w:val="UsedStyles"/>
    <w:docVar w:name="WAFER_20170209160553_GUID" w:val="eb0fbe48-7311-4a68-b04d-a113a58eef97"/>
    <w:docVar w:name="WAFER_20190321111519" w:val="RemoveTocBookmarks,RemoveUnusedBookmarks,RemoveLanguageTags,ResetPageSize,RunningHeaders,UpdateStyles,UsedStyles"/>
    <w:docVar w:name="WAFER_20190321111519_GUID" w:val="6a9ea7ad-88ec-4a17-af9b-7dacecefdbfc"/>
    <w:docVar w:name="WAFER_202203221356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40_GUID" w:val="2a96bf98-8a92-485e-9faa-c692654571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75D34-3A1C-49B7-9688-59463216B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791</Words>
  <Characters>4063</Characters>
  <Application>Microsoft Office Word</Application>
  <DocSecurity>0</DocSecurity>
  <Lines>145</Lines>
  <Paragraphs>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(Ngalingkadji Restricted Area) Regulations 2016 - 00-c0-00</dc:title>
  <dc:subject/>
  <dc:creator/>
  <cp:keywords/>
  <dc:description/>
  <cp:lastModifiedBy>Master Repository Process</cp:lastModifiedBy>
  <cp:revision>4</cp:revision>
  <cp:lastPrinted>2019-03-21T04:49:00Z</cp:lastPrinted>
  <dcterms:created xsi:type="dcterms:W3CDTF">2022-03-24T08:21:00Z</dcterms:created>
  <dcterms:modified xsi:type="dcterms:W3CDTF">2022-03-24T08:21:00Z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8 Apr 2016 p 1099-1100</vt:lpwstr>
  </property>
  <property fmtid="{D5CDD505-2E9C-101B-9397-08002B2CF9AE}" pid="4" name="RegID">
    <vt:lpwstr>47927</vt:lpwstr>
  </property>
  <property fmtid="{D5CDD505-2E9C-101B-9397-08002B2CF9AE}" pid="5" name="AsAtDate">
    <vt:lpwstr>26 Mar 2022</vt:lpwstr>
  </property>
  <property fmtid="{D5CDD505-2E9C-101B-9397-08002B2CF9AE}" pid="6" name="Suffix">
    <vt:lpwstr>00-c0-00</vt:lpwstr>
  </property>
  <property fmtid="{D5CDD505-2E9C-101B-9397-08002B2CF9AE}" pid="7" name="CommencementDate">
    <vt:lpwstr>20220326</vt:lpwstr>
  </property>
</Properties>
</file>