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(Wangkatjungka Restricted Area)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_Toc98855304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_Toc98855305 \h </w:instrText>
      </w:r>
      <w:r>
        <w:fldChar w:fldCharType="separate"/>
      </w:r>
      <w:r>
        <w:t>1</w:t>
      </w:r>
      <w:r>
        <w:fldChar w:fldCharType="end"/>
      </w:r>
    </w:p>
    <w:p>
      <w:pPr>
        <w:pStyle w:val="TOC8"/>
        <w:rPr>
          <w:rFonts w:asciiTheme="minorHAnsi" w:eastAsiaTheme="minorEastAsia" w:hAnsiTheme="minorHAnsi" w:cstheme="minorBidi"/>
          <w:szCs w:val="22"/>
        </w:rPr>
      </w:pPr>
      <w:r>
        <w:t>3.</w:t>
      </w:r>
      <w:r>
        <w:tab/>
        <w:t>Meaning of “Wangkatjungka Aboriginal Community” in these regulations</w:t>
      </w:r>
      <w:r>
        <w:tab/>
      </w:r>
      <w:r>
        <w:fldChar w:fldCharType="begin"/>
      </w:r>
      <w:r>
        <w:instrText xml:space="preserve"> PAGEREF _Toc98855306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_Toc98855307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_Toc98855308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Wangkatjungka Aboriginal Community</w:t>
      </w:r>
      <w:r>
        <w:tab/>
      </w:r>
      <w:r>
        <w:fldChar w:fldCharType="begin"/>
      </w:r>
      <w:r>
        <w:instrText xml:space="preserve"> PAGEREF _Toc98855309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_Toc98855310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_Toc98855311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_Toc98855313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_Toc98855314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3" w:name="_Toc98855304"/>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5" w:name="_Toc9885530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98855306"/>
      <w:r>
        <w:rPr>
          <w:rStyle w:val="CharSectno"/>
        </w:rPr>
        <w:t>3</w:t>
      </w:r>
      <w:r>
        <w:t>.</w:t>
      </w:r>
      <w:r>
        <w:tab/>
        <w:t>Meaning of “Wangkatjungka Aboriginal Community” in these regulations</w:t>
      </w:r>
      <w:bookmarkEnd w:id="6"/>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Aboriginal Lands Trust Certificate Number 35196 (Lots 11 and 99); and</w:t>
      </w:r>
    </w:p>
    <w:p>
      <w:pPr>
        <w:pStyle w:val="Defpara"/>
      </w:pPr>
      <w:r>
        <w:tab/>
        <w:t>(b)</w:t>
      </w:r>
      <w:r>
        <w:tab/>
        <w:t>Crown Reserve 26889 (Lots 6, 10 and 44).</w:t>
      </w:r>
    </w:p>
    <w:p>
      <w:pPr>
        <w:pStyle w:val="Ednotesection"/>
        <w:tabs>
          <w:tab w:val="clear" w:pos="605"/>
        </w:tabs>
      </w:pPr>
      <w:r>
        <w:t>[</w:t>
      </w:r>
      <w:r>
        <w:rPr>
          <w:b/>
        </w:rPr>
        <w:t>4.</w:t>
      </w:r>
      <w:r>
        <w:tab/>
        <w:t>Deleted: SL 2022/38 r. 7.]</w:t>
      </w:r>
    </w:p>
    <w:p>
      <w:pPr>
        <w:pStyle w:val="Heading5"/>
      </w:pPr>
      <w:bookmarkStart w:id="7" w:name="_Toc98855307"/>
      <w:r>
        <w:rPr>
          <w:rStyle w:val="CharSectno"/>
        </w:rPr>
        <w:lastRenderedPageBreak/>
        <w:t>5</w:t>
      </w:r>
      <w:r>
        <w:t>.</w:t>
      </w:r>
      <w:r>
        <w:tab/>
        <w:t>Declaration of restricted area</w:t>
      </w:r>
      <w:bookmarkEnd w:id="7"/>
    </w:p>
    <w:p>
      <w:pPr>
        <w:pStyle w:val="Subsection"/>
      </w:pPr>
      <w:r>
        <w:tab/>
      </w:r>
      <w:r>
        <w:tab/>
        <w:t>The Wangkatjungka Aboriginal Community is declared to be a restricted area for the purposes of section 175(1a) of the Act.</w:t>
      </w:r>
    </w:p>
    <w:p>
      <w:pPr>
        <w:pStyle w:val="Heading5"/>
      </w:pPr>
      <w:bookmarkStart w:id="8" w:name="_Toc98855308"/>
      <w:r>
        <w:rPr>
          <w:rStyle w:val="CharSectno"/>
        </w:rPr>
        <w:t>6</w:t>
      </w:r>
      <w:r>
        <w:t>.</w:t>
      </w:r>
      <w:r>
        <w:tab/>
        <w:t>Notice of restricted area</w:t>
      </w:r>
      <w:bookmarkEnd w:id="8"/>
    </w:p>
    <w:p>
      <w:pPr>
        <w:pStyle w:val="Subsection"/>
        <w:keepNext/>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98855309"/>
      <w:r>
        <w:rPr>
          <w:rStyle w:val="CharSectno"/>
        </w:rPr>
        <w:t>7</w:t>
      </w:r>
      <w:r>
        <w:t>.</w:t>
      </w:r>
      <w:r>
        <w:tab/>
        <w:t>Prohibitions as to liquor in Wangkatjungka Aboriginal Community</w:t>
      </w:r>
      <w:bookmarkEnd w:id="9"/>
    </w:p>
    <w:p>
      <w:pPr>
        <w:pStyle w:val="Subsection"/>
      </w:pPr>
      <w:r>
        <w:tab/>
        <w:t>(1)</w:t>
      </w:r>
      <w:r>
        <w:tab/>
        <w:t xml:space="preserve">A person who — </w:t>
      </w:r>
    </w:p>
    <w:p>
      <w:pPr>
        <w:pStyle w:val="Indenta"/>
      </w:pPr>
      <w:r>
        <w:tab/>
        <w:t>(a)</w:t>
      </w:r>
      <w:r>
        <w:tab/>
        <w:t>brings liquor into, or causes liquor to be brought into, the Wangkatjungka Aboriginal Community; or</w:t>
      </w:r>
    </w:p>
    <w:p>
      <w:pPr>
        <w:pStyle w:val="Indenta"/>
      </w:pPr>
      <w:r>
        <w:tab/>
        <w:t>(b)</w:t>
      </w:r>
      <w:r>
        <w:tab/>
        <w:t>has liquor in his or her possession in the Wangkatjungka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98855310"/>
      <w:r>
        <w:rPr>
          <w:rStyle w:val="CharSectno"/>
        </w:rPr>
        <w:lastRenderedPageBreak/>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98855311"/>
      <w:r>
        <w:rPr>
          <w:rStyle w:val="CharSectno"/>
        </w:rPr>
        <w:t>9</w:t>
      </w:r>
      <w:r>
        <w:t>.</w:t>
      </w:r>
      <w:r>
        <w:tab/>
        <w:t>Period during which these regulations have effect</w:t>
      </w:r>
      <w:bookmarkEnd w:id="11"/>
    </w:p>
    <w:p>
      <w:pPr>
        <w:pStyle w:val="Subsection"/>
        <w:keepNext/>
      </w:pPr>
      <w:r>
        <w:tab/>
      </w:r>
      <w:r>
        <w:tab/>
        <w:t>Unless sooner repealed, these regulations have effect for the period that ends at the close of 22 April 2023.</w:t>
      </w:r>
    </w:p>
    <w:p>
      <w:pPr>
        <w:pStyle w:val="Footnotesection"/>
      </w:pPr>
      <w:r>
        <w:tab/>
        <w:t>[Regulation 9 amended: Gazette 21 Apr 2009 p. 1370; 20 Apr 2010 p. 1513; 19 Apr 2013 p. 1569; 4 Mar 2016 p. 629; 22 Mar 2019 p. 860; SL 2022/38 r.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98851287"/>
      <w:bookmarkStart w:id="13" w:name="_Toc98855312"/>
      <w:bookmarkStart w:id="14" w:name="_Toc98850758"/>
      <w:r>
        <w:lastRenderedPageBreak/>
        <w:t>Notes</w:t>
      </w:r>
      <w:bookmarkEnd w:id="12"/>
      <w:bookmarkEnd w:id="13"/>
    </w:p>
    <w:p>
      <w:pPr>
        <w:pStyle w:val="nStatement"/>
      </w:pPr>
      <w:r>
        <w:t xml:space="preserve">This is a compilation of the </w:t>
      </w:r>
      <w:r>
        <w:rPr>
          <w:i/>
          <w:noProof/>
        </w:rPr>
        <w:t>Liquor Control (Wangkatjungka Restricted Area) Regulations 2008</w:t>
      </w:r>
      <w:r>
        <w:t xml:space="preserve"> and includes amendments made by other written laws. For provisions that have come into operation see the compilation table.</w:t>
      </w:r>
    </w:p>
    <w:p>
      <w:pPr>
        <w:pStyle w:val="nHeading3"/>
      </w:pPr>
      <w:bookmarkStart w:id="15" w:name="_Toc98855313"/>
      <w:r>
        <w:t>Compilation table</w:t>
      </w:r>
      <w:bookmarkEnd w:id="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(Wangkatjungka Restricted Area) Regulations 2008</w:t>
            </w:r>
            <w:r>
              <w:rPr>
                <w:noProof/>
                <w:snapToGrid w:val="0"/>
                <w:vertAlign w:val="superscript"/>
              </w:rPr>
              <w:t> 1</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pPr>
              <w:pStyle w:val="nTable"/>
              <w:spacing w:after="40"/>
            </w:pPr>
            <w:r>
              <w:t>19 Apr 2013 p. 1569</w:t>
            </w:r>
          </w:p>
        </w:tc>
        <w:tc>
          <w:tcPr>
            <w:tcW w:w="2693" w:type="dxa"/>
            <w:tcBorders>
              <w:top w:val="nil"/>
              <w:bottom w:val="nil"/>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nil"/>
            </w:tcBorders>
          </w:tcPr>
          <w:p>
            <w:pPr>
              <w:pStyle w:val="nTable"/>
              <w:spacing w:after="40"/>
            </w:pPr>
            <w:r>
              <w:t>4 Mar 2016 p. 629</w:t>
            </w:r>
          </w:p>
        </w:tc>
        <w:tc>
          <w:tcPr>
            <w:tcW w:w="2693" w:type="dxa"/>
            <w:tcBorders>
              <w:top w:val="nil"/>
              <w:bottom w:val="nil"/>
            </w:tcBorders>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tcPr>
          <w:p>
            <w:pPr>
              <w:pStyle w:val="nTable"/>
              <w:spacing w:after="40"/>
              <w:rPr>
                <w:i/>
                <w:noProof/>
                <w:snapToGrid w:val="0"/>
              </w:rPr>
            </w:pPr>
            <w:r>
              <w:rPr>
                <w:i/>
              </w:rPr>
              <w:t xml:space="preserve">Racing and Gaming Regulations Amendment (Liquor Control) Regulations 2019 </w:t>
            </w:r>
            <w:r>
              <w:t>Pt. 3</w:t>
            </w:r>
          </w:p>
        </w:tc>
        <w:tc>
          <w:tcPr>
            <w:tcW w:w="1276" w:type="dxa"/>
            <w:tcBorders>
              <w:top w:val="nil"/>
              <w:bottom w:val="nil"/>
            </w:tcBorders>
          </w:tcPr>
          <w:p>
            <w:pPr>
              <w:pStyle w:val="nTable"/>
              <w:spacing w:after="40"/>
            </w:pPr>
            <w:r>
              <w:t>22 Mar 2019 p. 859</w:t>
            </w:r>
            <w:r>
              <w:noBreakHyphen/>
              <w:t>60</w:t>
            </w:r>
          </w:p>
        </w:tc>
        <w:tc>
          <w:tcPr>
            <w:tcW w:w="2693" w:type="dxa"/>
            <w:tcBorders>
              <w:top w:val="nil"/>
              <w:bottom w:val="nil"/>
            </w:tcBorders>
          </w:tcPr>
          <w:p>
            <w:pPr>
              <w:pStyle w:val="nTable"/>
              <w:spacing w:after="40"/>
              <w:rPr>
                <w:snapToGrid w:val="0"/>
                <w:spacing w:val="-2"/>
              </w:rPr>
            </w:pPr>
            <w:r>
              <w:rPr>
                <w:bCs/>
                <w:snapToGrid w:val="0"/>
                <w:spacing w:val="-2"/>
              </w:rPr>
              <w:t>23 Mar 2019 (see r. 2(b))</w:t>
            </w:r>
          </w:p>
        </w:tc>
      </w:tr>
      <w:tr>
        <w:tc>
          <w:tcPr>
            <w:tcW w:w="3118" w:type="dxa"/>
            <w:tcBorders>
              <w:top w:val="nil"/>
              <w:bottom w:val="single" w:sz="4" w:space="0" w:color="auto"/>
            </w:tcBorders>
          </w:tcPr>
          <w:p>
            <w:pPr>
              <w:pStyle w:val="nTable"/>
              <w:spacing w:after="40"/>
              <w:rPr>
                <w:i/>
              </w:rPr>
            </w:pPr>
            <w:r>
              <w:rPr>
                <w:i/>
              </w:rPr>
              <w:t xml:space="preserve">Racing and Gaming Regulations Amendment (Liquor Control) Regulations 2022 </w:t>
            </w:r>
            <w:r>
              <w:t>Pt. 3</w:t>
            </w:r>
          </w:p>
        </w:tc>
        <w:tc>
          <w:tcPr>
            <w:tcW w:w="1276" w:type="dxa"/>
            <w:tcBorders>
              <w:top w:val="nil"/>
              <w:bottom w:val="single" w:sz="4" w:space="0" w:color="auto"/>
            </w:tcBorders>
          </w:tcPr>
          <w:p>
            <w:pPr>
              <w:pStyle w:val="nTable"/>
              <w:spacing w:after="40"/>
            </w:pPr>
            <w:r>
              <w:t>SL 2022/38 25 Mar 2022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26 Mar 2022 (see r. 2(b))</w:t>
            </w:r>
          </w:p>
        </w:tc>
      </w:tr>
    </w:tbl>
    <w:p>
      <w:pPr>
        <w:pStyle w:val="nHeading3"/>
      </w:pPr>
      <w:bookmarkStart w:id="16" w:name="_Toc98855314"/>
      <w:r>
        <w:t>Other notes</w:t>
      </w:r>
      <w:bookmarkEnd w:id="16"/>
    </w:p>
    <w:p>
      <w:pPr>
        <w:pStyle w:val="nNote"/>
      </w:pPr>
      <w:r>
        <w:rPr>
          <w:vertAlign w:val="superscript"/>
        </w:rPr>
        <w:t>1</w:t>
      </w:r>
      <w:r>
        <w:tab/>
        <w:t>These regulations expire 22 Apr 2023 (see r. 9).</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8" w:name="_Toc98851290"/>
      <w:bookmarkStart w:id="19" w:name="_Toc98855315"/>
      <w:r>
        <w:rPr>
          <w:sz w:val="28"/>
        </w:rPr>
        <w:lastRenderedPageBreak/>
        <w:t>Defined terms</w:t>
      </w:r>
      <w:bookmarkEnd w:id="14"/>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Wangkatjungka Aboriginal Community</w:t>
      </w:r>
      <w:r>
        <w:tab/>
        <w:t>3</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35652"/>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 w:name="WAFER_20190321111538" w:val="RemoveTocBookmarks,RemoveUnusedBookmarks,RemoveLanguageTags,ResetPageSize,RunningHeaders,UpdateStyles,UsedStyles"/>
    <w:docVar w:name="WAFER_20190321111538_GUID" w:val="cc9926d2-b98d-4e7d-88ed-6702d7afe061"/>
    <w:docVar w:name="WAFER_20220322135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52_GUID" w:val="5c9ef484-3793-4cad-8259-18734a8ed1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961</Words>
  <Characters>4809</Characters>
  <Application>Microsoft Office Word</Application>
  <DocSecurity>0</DocSecurity>
  <Lines>192</Lines>
  <Paragraphs>120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2008 - 00-g0-00</dc:title>
  <dc:subject/>
  <dc:creator/>
  <cp:keywords/>
  <dc:description/>
  <cp:lastModifiedBy>Master Repository Process</cp:lastModifiedBy>
  <cp:revision>4</cp:revision>
  <cp:lastPrinted>2019-03-21T05:03:00Z</cp:lastPrinted>
  <dcterms:created xsi:type="dcterms:W3CDTF">2022-03-24T08:22:00Z</dcterms:created>
  <dcterms:modified xsi:type="dcterms:W3CDTF">2022-03-24T08:22:00Z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AsAtDate">
    <vt:lpwstr>26 Mar 2022</vt:lpwstr>
  </property>
  <property fmtid="{D5CDD505-2E9C-101B-9397-08002B2CF9AE}" pid="6" name="Suffix">
    <vt:lpwstr>00-g0-00</vt:lpwstr>
  </property>
  <property fmtid="{D5CDD505-2E9C-101B-9397-08002B2CF9AE}" pid="7" name="CommencementDate">
    <vt:lpwstr>20220326</vt:lpwstr>
  </property>
</Properties>
</file>