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Administration Act 1903</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 and construction</w:t>
      </w:r>
      <w:r>
        <w:tab/>
      </w:r>
      <w:r>
        <w:fldChar w:fldCharType="begin"/>
      </w:r>
      <w:r>
        <w:instrText xml:space="preserve"> PAGEREF _Toc99367190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_Toc99367191 \h </w:instrText>
      </w:r>
      <w:r>
        <w:fldChar w:fldCharType="separate"/>
      </w:r>
      <w:r>
        <w:t>2</w:t>
      </w:r>
      <w:r>
        <w:fldChar w:fldCharType="end"/>
      </w:r>
    </w:p>
    <w:p>
      <w:pPr>
        <w:pStyle w:val="TOC8"/>
        <w:rPr>
          <w:rFonts w:asciiTheme="minorHAnsi" w:eastAsiaTheme="minorEastAsia" w:hAnsiTheme="minorHAnsi" w:cstheme="minorBidi"/>
          <w:szCs w:val="22"/>
        </w:rPr>
      </w:pPr>
      <w:r>
        <w:t>3A.</w:t>
      </w:r>
      <w:r>
        <w:tab/>
      </w:r>
      <w:r>
        <w:rPr>
          <w:i/>
        </w:rPr>
        <w:t>Courts and Tribunals (Electronic Processes Facilitation) Act 2013</w:t>
      </w:r>
      <w:r>
        <w:t xml:space="preserve"> Pt. 2 applies</w:t>
      </w:r>
      <w:r>
        <w:tab/>
      </w:r>
      <w:r>
        <w:fldChar w:fldCharType="begin"/>
      </w:r>
      <w:r>
        <w:instrText xml:space="preserve"> PAGEREF _Toc99367192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II — Probate and administration</w:t>
      </w:r>
    </w:p>
    <w:p>
      <w:pPr>
        <w:pStyle w:val="TOC8"/>
        <w:rPr>
          <w:rFonts w:asciiTheme="minorHAnsi" w:eastAsiaTheme="minorEastAsia" w:hAnsiTheme="minorHAnsi" w:cstheme="minorBidi"/>
          <w:szCs w:val="22"/>
        </w:rPr>
      </w:pPr>
      <w:r>
        <w:t>4</w:t>
      </w:r>
      <w:r>
        <w:rPr>
          <w:snapToGrid w:val="0"/>
        </w:rPr>
        <w:t>.</w:t>
      </w:r>
      <w:r>
        <w:rPr>
          <w:snapToGrid w:val="0"/>
        </w:rPr>
        <w:tab/>
        <w:t>Jurisdiction of Court as heretofore</w:t>
      </w:r>
      <w:r>
        <w:tab/>
      </w:r>
      <w:r>
        <w:fldChar w:fldCharType="begin"/>
      </w:r>
      <w:r>
        <w:instrText xml:space="preserve"> PAGEREF _Toc99367194 \h </w:instrText>
      </w:r>
      <w:r>
        <w:fldChar w:fldCharType="separate"/>
      </w:r>
      <w:r>
        <w:t>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Duties of Principal Registrar</w:t>
      </w:r>
      <w:r>
        <w:tab/>
      </w:r>
      <w:r>
        <w:fldChar w:fldCharType="begin"/>
      </w:r>
      <w:r>
        <w:instrText xml:space="preserve"> PAGEREF _Toc99367195 \h </w:instrText>
      </w:r>
      <w:r>
        <w:fldChar w:fldCharType="separate"/>
      </w:r>
      <w:r>
        <w:t>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Power to grant probate and administration</w:t>
      </w:r>
      <w:r>
        <w:tab/>
      </w:r>
      <w:r>
        <w:fldChar w:fldCharType="begin"/>
      </w:r>
      <w:r>
        <w:instrText xml:space="preserve"> PAGEREF _Toc99367196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Probate may be granted to one or more executors</w:t>
      </w:r>
      <w:r>
        <w:tab/>
      </w:r>
      <w:r>
        <w:fldChar w:fldCharType="begin"/>
      </w:r>
      <w:r>
        <w:instrText xml:space="preserve"> PAGEREF _Toc99367197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Upon grant of probate or administration real and personal estate to vest in executor or administrator</w:t>
      </w:r>
      <w:r>
        <w:tab/>
      </w:r>
      <w:r>
        <w:fldChar w:fldCharType="begin"/>
      </w:r>
      <w:r>
        <w:instrText xml:space="preserve"> PAGEREF _Toc99367198 \h </w:instrText>
      </w:r>
      <w:r>
        <w:fldChar w:fldCharType="separate"/>
      </w:r>
      <w:r>
        <w:t>4</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Real estate to vest subject to trusts</w:t>
      </w:r>
      <w:r>
        <w:tab/>
      </w:r>
      <w:r>
        <w:fldChar w:fldCharType="begin"/>
      </w:r>
      <w:r>
        <w:instrText xml:space="preserve"> PAGEREF _Toc99367199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Real and personal estate to be assets</w:t>
      </w:r>
      <w:r>
        <w:tab/>
      </w:r>
      <w:r>
        <w:fldChar w:fldCharType="begin"/>
      </w:r>
      <w:r>
        <w:instrText xml:space="preserve"> PAGEREF _Toc99367200 \h </w:instrText>
      </w:r>
      <w:r>
        <w:fldChar w:fldCharType="separate"/>
      </w:r>
      <w:r>
        <w:t>5</w:t>
      </w:r>
      <w:r>
        <w:fldChar w:fldCharType="end"/>
      </w:r>
    </w:p>
    <w:p>
      <w:pPr>
        <w:pStyle w:val="TOC8"/>
        <w:rPr>
          <w:rFonts w:asciiTheme="minorHAnsi" w:eastAsiaTheme="minorEastAsia" w:hAnsiTheme="minorHAnsi" w:cstheme="minorBidi"/>
          <w:szCs w:val="22"/>
        </w:rPr>
      </w:pPr>
      <w:r>
        <w:t>10A</w:t>
      </w:r>
      <w:r>
        <w:rPr>
          <w:snapToGrid w:val="0"/>
        </w:rPr>
        <w:t xml:space="preserve">. </w:t>
      </w:r>
      <w:r>
        <w:rPr>
          <w:snapToGrid w:val="0"/>
        </w:rPr>
        <w:tab/>
        <w:t>Insolvent estates</w:t>
      </w:r>
      <w:r>
        <w:tab/>
      </w:r>
      <w:r>
        <w:fldChar w:fldCharType="begin"/>
      </w:r>
      <w:r>
        <w:instrText xml:space="preserve"> PAGEREF _Toc99367201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Subject as aforesaid real estate to vest according to will</w:t>
      </w:r>
      <w:r>
        <w:tab/>
      </w:r>
      <w:r>
        <w:fldChar w:fldCharType="begin"/>
      </w:r>
      <w:r>
        <w:instrText xml:space="preserve"> PAGEREF _Toc99367202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Executor to have same rights and duties as to real estate as heretofore as to personal estate</w:t>
      </w:r>
      <w:r>
        <w:tab/>
      </w:r>
      <w:r>
        <w:fldChar w:fldCharType="begin"/>
      </w:r>
      <w:r>
        <w:instrText xml:space="preserve"> PAGEREF _Toc99367203 \h </w:instrText>
      </w:r>
      <w:r>
        <w:fldChar w:fldCharType="separate"/>
      </w:r>
      <w:r>
        <w:t>6</w:t>
      </w:r>
      <w:r>
        <w:fldChar w:fldCharType="end"/>
      </w:r>
    </w:p>
    <w:p>
      <w:pPr>
        <w:pStyle w:val="TOC8"/>
        <w:rPr>
          <w:rFonts w:asciiTheme="minorHAnsi" w:eastAsiaTheme="minorEastAsia" w:hAnsiTheme="minorHAnsi" w:cstheme="minorBidi"/>
          <w:szCs w:val="22"/>
        </w:rPr>
      </w:pPr>
      <w:r>
        <w:t>12A</w:t>
      </w:r>
      <w:r>
        <w:rPr>
          <w:snapToGrid w:val="0"/>
        </w:rPr>
        <w:t xml:space="preserve">. </w:t>
      </w:r>
      <w:r>
        <w:rPr>
          <w:snapToGrid w:val="0"/>
        </w:rPr>
        <w:tab/>
        <w:t>Entitlement to participation in distribution of intestate estates</w:t>
      </w:r>
      <w:r>
        <w:tab/>
      </w:r>
      <w:r>
        <w:fldChar w:fldCharType="begin"/>
      </w:r>
      <w:r>
        <w:instrText xml:space="preserve"> PAGEREF _Toc99367204 \h </w:instrText>
      </w:r>
      <w:r>
        <w:fldChar w:fldCharType="separate"/>
      </w:r>
      <w:r>
        <w:t>7</w:t>
      </w:r>
      <w:r>
        <w:fldChar w:fldCharType="end"/>
      </w:r>
    </w:p>
    <w:p>
      <w:pPr>
        <w:pStyle w:val="TOC8"/>
        <w:rPr>
          <w:rFonts w:asciiTheme="minorHAnsi" w:eastAsiaTheme="minorEastAsia" w:hAnsiTheme="minorHAnsi" w:cstheme="minorBidi"/>
          <w:szCs w:val="22"/>
        </w:rPr>
      </w:pPr>
      <w:r>
        <w:t>12B</w:t>
      </w:r>
      <w:r>
        <w:rPr>
          <w:snapToGrid w:val="0"/>
        </w:rPr>
        <w:t xml:space="preserve">. </w:t>
      </w:r>
      <w:r>
        <w:rPr>
          <w:snapToGrid w:val="0"/>
        </w:rPr>
        <w:tab/>
        <w:t>Relationships of whole and half blood</w:t>
      </w:r>
      <w:r>
        <w:tab/>
      </w:r>
      <w:r>
        <w:fldChar w:fldCharType="begin"/>
      </w:r>
      <w:r>
        <w:instrText xml:space="preserve"> PAGEREF _Toc99367205 \h </w:instrText>
      </w:r>
      <w:r>
        <w:fldChar w:fldCharType="separate"/>
      </w:r>
      <w:r>
        <w:t>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Real and personal estate in case of intestacy</w:t>
      </w:r>
      <w:r>
        <w:tab/>
      </w:r>
      <w:r>
        <w:fldChar w:fldCharType="begin"/>
      </w:r>
      <w:r>
        <w:instrText xml:space="preserve"> PAGEREF _Toc99367206 \h </w:instrText>
      </w:r>
      <w:r>
        <w:fldChar w:fldCharType="separate"/>
      </w:r>
      <w:r>
        <w:t>8</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Entitlements on intestacy</w:t>
      </w:r>
      <w:r>
        <w:tab/>
      </w:r>
      <w:r>
        <w:fldChar w:fldCharType="begin"/>
      </w:r>
      <w:r>
        <w:instrText xml:space="preserve"> PAGEREF _Toc99367207 \h </w:instrText>
      </w:r>
      <w:r>
        <w:fldChar w:fldCharType="separate"/>
      </w:r>
      <w:r>
        <w:t>9</w:t>
      </w:r>
      <w:r>
        <w:fldChar w:fldCharType="end"/>
      </w:r>
    </w:p>
    <w:p>
      <w:pPr>
        <w:pStyle w:val="TOC8"/>
        <w:rPr>
          <w:rFonts w:asciiTheme="minorHAnsi" w:eastAsiaTheme="minorEastAsia" w:hAnsiTheme="minorHAnsi" w:cstheme="minorBidi"/>
          <w:szCs w:val="22"/>
        </w:rPr>
      </w:pPr>
      <w:r>
        <w:t>14A.</w:t>
      </w:r>
      <w:r>
        <w:tab/>
        <w:t>Order declaring sum that is to apply for specified item</w:t>
      </w:r>
      <w:r>
        <w:tab/>
      </w:r>
      <w:r>
        <w:fldChar w:fldCharType="begin"/>
      </w:r>
      <w:r>
        <w:instrText xml:space="preserve"> PAGEREF _Toc99367208 \h </w:instrText>
      </w:r>
      <w:r>
        <w:fldChar w:fldCharType="separate"/>
      </w:r>
      <w:r>
        <w:t>18</w:t>
      </w:r>
      <w:r>
        <w:fldChar w:fldCharType="end"/>
      </w:r>
    </w:p>
    <w:p>
      <w:pPr>
        <w:pStyle w:val="TOC8"/>
        <w:rPr>
          <w:rFonts w:asciiTheme="minorHAnsi" w:eastAsiaTheme="minorEastAsia" w:hAnsiTheme="minorHAnsi" w:cstheme="minorBidi"/>
          <w:szCs w:val="22"/>
        </w:rPr>
      </w:pPr>
      <w:r>
        <w:lastRenderedPageBreak/>
        <w:t>14B.</w:t>
      </w:r>
      <w:r>
        <w:tab/>
        <w:t>Minister must review sums for specified items</w:t>
      </w:r>
      <w:r>
        <w:tab/>
      </w:r>
      <w:r>
        <w:fldChar w:fldCharType="begin"/>
      </w:r>
      <w:r>
        <w:instrText xml:space="preserve"> PAGEREF _Toc99367209 \h </w:instrText>
      </w:r>
      <w:r>
        <w:fldChar w:fldCharType="separate"/>
      </w:r>
      <w:r>
        <w:t>19</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De facto partners and distribution on intestacy</w:t>
      </w:r>
      <w:r>
        <w:tab/>
      </w:r>
      <w:r>
        <w:fldChar w:fldCharType="begin"/>
      </w:r>
      <w:r>
        <w:instrText xml:space="preserve"> PAGEREF _Toc99367210 \h </w:instrText>
      </w:r>
      <w:r>
        <w:fldChar w:fldCharType="separate"/>
      </w:r>
      <w:r>
        <w:t>19</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Courtesy and dower abolished</w:t>
      </w:r>
      <w:r>
        <w:tab/>
      </w:r>
      <w:r>
        <w:fldChar w:fldCharType="begin"/>
      </w:r>
      <w:r>
        <w:instrText xml:space="preserve"> PAGEREF _Toc99367211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Court may deal with interest of infants in certain cases</w:t>
      </w:r>
      <w:r>
        <w:tab/>
      </w:r>
      <w:r>
        <w:fldChar w:fldCharType="begin"/>
      </w:r>
      <w:r>
        <w:instrText xml:space="preserve"> PAGEREF _Toc99367212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Power to appoint trustees of infant’s property</w:t>
      </w:r>
      <w:r>
        <w:tab/>
      </w:r>
      <w:r>
        <w:fldChar w:fldCharType="begin"/>
      </w:r>
      <w:r>
        <w:instrText xml:space="preserve"> PAGEREF _Toc99367213 \h </w:instrText>
      </w:r>
      <w:r>
        <w:fldChar w:fldCharType="separate"/>
      </w:r>
      <w:r>
        <w:t>22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Court may direct partition of real estate</w:t>
      </w:r>
      <w:r>
        <w:tab/>
      </w:r>
      <w:r>
        <w:fldChar w:fldCharType="begin"/>
      </w:r>
      <w:r>
        <w:instrText xml:space="preserve"> PAGEREF _Toc99367214 \h </w:instrText>
      </w:r>
      <w:r>
        <w:fldChar w:fldCharType="separate"/>
      </w:r>
      <w:r>
        <w:t>23</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Personal representative may relinquish trust</w:t>
      </w:r>
      <w:r>
        <w:tab/>
      </w:r>
      <w:r>
        <w:fldChar w:fldCharType="begin"/>
      </w:r>
      <w:r>
        <w:instrText xml:space="preserve"> PAGEREF _Toc99367215 \h </w:instrText>
      </w:r>
      <w:r>
        <w:fldChar w:fldCharType="separate"/>
      </w:r>
      <w:r>
        <w:t>24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Executor or administrator to represent real estate</w:t>
      </w:r>
      <w:r>
        <w:tab/>
      </w:r>
      <w:r>
        <w:fldChar w:fldCharType="begin"/>
      </w:r>
      <w:r>
        <w:instrText xml:space="preserve"> PAGEREF _Toc99367216 \h </w:instrText>
      </w:r>
      <w:r>
        <w:fldChar w:fldCharType="separate"/>
      </w:r>
      <w:r>
        <w:t>24</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All creditors to stand in equal degree</w:t>
      </w:r>
      <w:r>
        <w:tab/>
      </w:r>
      <w:r>
        <w:fldChar w:fldCharType="begin"/>
      </w:r>
      <w:r>
        <w:instrText xml:space="preserve"> PAGEREF _Toc99367217 \h </w:instrText>
      </w:r>
      <w:r>
        <w:fldChar w:fldCharType="separate"/>
      </w:r>
      <w:r>
        <w:t>24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Administration in case of intestacy</w:t>
      </w:r>
      <w:r>
        <w:tab/>
      </w:r>
      <w:r>
        <w:fldChar w:fldCharType="begin"/>
      </w:r>
      <w:r>
        <w:instrText xml:space="preserve"> PAGEREF _Toc99367218 \h </w:instrText>
      </w:r>
      <w:r>
        <w:fldChar w:fldCharType="separate"/>
      </w:r>
      <w:r>
        <w:t>25</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Persons entitled to administration</w:t>
      </w:r>
      <w:r>
        <w:tab/>
      </w:r>
      <w:r>
        <w:fldChar w:fldCharType="begin"/>
      </w:r>
      <w:r>
        <w:instrText xml:space="preserve"> PAGEREF _Toc99367219 \h </w:instrText>
      </w:r>
      <w:r>
        <w:fldChar w:fldCharType="separate"/>
      </w:r>
      <w:r>
        <w:t>25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Power to require administrator to produce sureties</w:t>
      </w:r>
      <w:r>
        <w:tab/>
      </w:r>
      <w:r>
        <w:fldChar w:fldCharType="begin"/>
      </w:r>
      <w:r>
        <w:instrText xml:space="preserve"> PAGEREF _Toc99367220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Court may revoke grant of administration</w:t>
      </w:r>
      <w:r>
        <w:tab/>
      </w:r>
      <w:r>
        <w:fldChar w:fldCharType="begin"/>
      </w:r>
      <w:r>
        <w:instrText xml:space="preserve"> PAGEREF _Toc99367221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In case of renunciation or failure to take probate, right of executor gone</w:t>
      </w:r>
      <w:r>
        <w:tab/>
      </w:r>
      <w:r>
        <w:fldChar w:fldCharType="begin"/>
      </w:r>
      <w:r>
        <w:instrText xml:space="preserve"> PAGEREF _Toc99367222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Where infant is executor etc.</w:t>
      </w:r>
      <w:r>
        <w:tab/>
      </w:r>
      <w:r>
        <w:fldChar w:fldCharType="begin"/>
      </w:r>
      <w:r>
        <w:instrText xml:space="preserve"> PAGEREF _Toc99367223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Where person entitled to probate or administration is out of the jurisdiction</w:t>
      </w:r>
      <w:r>
        <w:tab/>
      </w:r>
      <w:r>
        <w:fldChar w:fldCharType="begin"/>
      </w:r>
      <w:r>
        <w:instrText xml:space="preserve"> PAGEREF _Toc99367224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Court may appoint manager and receiver pending litigation</w:t>
      </w:r>
      <w:r>
        <w:tab/>
      </w:r>
      <w:r>
        <w:fldChar w:fldCharType="begin"/>
      </w:r>
      <w:r>
        <w:instrText xml:space="preserve"> PAGEREF _Toc99367225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Administration with will annexed</w:t>
      </w:r>
      <w:r>
        <w:tab/>
      </w:r>
      <w:r>
        <w:fldChar w:fldCharType="begin"/>
      </w:r>
      <w:r>
        <w:instrText xml:space="preserve"> PAGEREF _Toc99367226 \h </w:instrText>
      </w:r>
      <w:r>
        <w:fldChar w:fldCharType="separate"/>
      </w:r>
      <w:r>
        <w:t>29</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Probate or administration if executor etc. absent or neglects to obtain probate etc.</w:t>
      </w:r>
      <w:r>
        <w:tab/>
      </w:r>
      <w:r>
        <w:fldChar w:fldCharType="begin"/>
      </w:r>
      <w:r>
        <w:instrText xml:space="preserve"> PAGEREF _Toc99367227 \h </w:instrText>
      </w:r>
      <w:r>
        <w:fldChar w:fldCharType="separate"/>
      </w:r>
      <w:r>
        <w:t>29</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Special letters of administration if executor or administrator not within jurisdiction</w:t>
      </w:r>
      <w:r>
        <w:tab/>
      </w:r>
      <w:r>
        <w:fldChar w:fldCharType="begin"/>
      </w:r>
      <w:r>
        <w:instrText xml:space="preserve"> PAGEREF _Toc99367228 \h </w:instrText>
      </w:r>
      <w:r>
        <w:fldChar w:fldCharType="separate"/>
      </w:r>
      <w:r>
        <w:t>29</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On return of executor or administrator, special administration may be revoked</w:t>
      </w:r>
      <w:r>
        <w:tab/>
      </w:r>
      <w:r>
        <w:fldChar w:fldCharType="begin"/>
      </w:r>
      <w:r>
        <w:instrText xml:space="preserve"> PAGEREF _Toc99367229 \h </w:instrText>
      </w:r>
      <w:r>
        <w:fldChar w:fldCharType="separate"/>
      </w:r>
      <w:r>
        <w:t>30</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Absent executor liable to account</w:t>
      </w:r>
      <w:r>
        <w:tab/>
      </w:r>
      <w:r>
        <w:fldChar w:fldCharType="begin"/>
      </w:r>
      <w:r>
        <w:instrText xml:space="preserve"> PAGEREF _Toc99367230 \h </w:instrText>
      </w:r>
      <w:r>
        <w:fldChar w:fldCharType="separate"/>
      </w:r>
      <w:r>
        <w:t>30</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Revocation pending litigation not to abate proceedings</w:t>
      </w:r>
      <w:r>
        <w:tab/>
      </w:r>
      <w:r>
        <w:fldChar w:fldCharType="begin"/>
      </w:r>
      <w:r>
        <w:instrText xml:space="preserve"> PAGEREF _Toc99367231 \h </w:instrText>
      </w:r>
      <w:r>
        <w:fldChar w:fldCharType="separate"/>
      </w:r>
      <w:r>
        <w:t>30</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Devisee or legatee may apply to Court in certain cases</w:t>
      </w:r>
      <w:r>
        <w:tab/>
      </w:r>
      <w:r>
        <w:fldChar w:fldCharType="begin"/>
      </w:r>
      <w:r>
        <w:instrText xml:space="preserve"> PAGEREF _Toc99367232 \h </w:instrText>
      </w:r>
      <w:r>
        <w:fldChar w:fldCharType="separate"/>
      </w:r>
      <w:r>
        <w:t>31</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Inventory and accounts</w:t>
      </w:r>
      <w:r>
        <w:tab/>
      </w:r>
      <w:r>
        <w:fldChar w:fldCharType="begin"/>
      </w:r>
      <w:r>
        <w:instrText xml:space="preserve"> PAGEREF _Toc99367233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If accounts not filed Principal Registrar to give notice etc.</w:t>
      </w:r>
      <w:r>
        <w:tab/>
      </w:r>
      <w:r>
        <w:fldChar w:fldCharType="begin"/>
      </w:r>
      <w:r>
        <w:instrText xml:space="preserve"> PAGEREF _Toc99367234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Court may settle all questions arising in administration</w:t>
      </w:r>
      <w:r>
        <w:tab/>
      </w:r>
      <w:r>
        <w:fldChar w:fldCharType="begin"/>
      </w:r>
      <w:r>
        <w:instrText xml:space="preserve"> PAGEREF _Toc99367235 \h </w:instrText>
      </w:r>
      <w:r>
        <w:fldChar w:fldCharType="separate"/>
      </w:r>
      <w:r>
        <w:t>32</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Payments made before revocation to be valid</w:t>
      </w:r>
      <w:r>
        <w:tab/>
      </w:r>
      <w:r>
        <w:fldChar w:fldCharType="begin"/>
      </w:r>
      <w:r>
        <w:instrText xml:space="preserve"> PAGEREF _Toc99367236 \h </w:instrText>
      </w:r>
      <w:r>
        <w:fldChar w:fldCharType="separate"/>
      </w:r>
      <w:r>
        <w:t>32</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Payments etc. to be valid notwithstanding defect</w:t>
      </w:r>
      <w:r>
        <w:tab/>
      </w:r>
      <w:r>
        <w:fldChar w:fldCharType="begin"/>
      </w:r>
      <w:r>
        <w:instrText xml:space="preserve"> PAGEREF _Toc99367237 \h </w:instrText>
      </w:r>
      <w:r>
        <w:fldChar w:fldCharType="separate"/>
      </w:r>
      <w:r>
        <w:t>33</w:t>
      </w:r>
      <w:r>
        <w:fldChar w:fldCharType="end"/>
      </w:r>
    </w:p>
    <w:p>
      <w:pPr>
        <w:pStyle w:val="TOC8"/>
        <w:rPr>
          <w:rFonts w:asciiTheme="minorHAnsi" w:eastAsiaTheme="minorEastAsia" w:hAnsiTheme="minorHAnsi" w:cstheme="minorBidi"/>
          <w:szCs w:val="22"/>
        </w:rPr>
      </w:pPr>
      <w:r>
        <w:lastRenderedPageBreak/>
        <w:t>47A</w:t>
      </w:r>
      <w:r>
        <w:rPr>
          <w:snapToGrid w:val="0"/>
        </w:rPr>
        <w:t xml:space="preserve">. </w:t>
      </w:r>
      <w:r>
        <w:rPr>
          <w:snapToGrid w:val="0"/>
        </w:rPr>
        <w:tab/>
        <w:t>Protection of executors, administrators and trustees</w:t>
      </w:r>
      <w:r>
        <w:tab/>
      </w:r>
      <w:r>
        <w:fldChar w:fldCharType="begin"/>
      </w:r>
      <w:r>
        <w:instrText xml:space="preserve"> PAGEREF _Toc99367238 \h </w:instrText>
      </w:r>
      <w:r>
        <w:fldChar w:fldCharType="separate"/>
      </w:r>
      <w:r>
        <w:t>33</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Executor deemed to be resident in State</w:t>
      </w:r>
      <w:r>
        <w:tab/>
      </w:r>
      <w:r>
        <w:fldChar w:fldCharType="begin"/>
      </w:r>
      <w:r>
        <w:instrText xml:space="preserve"> PAGEREF _Toc99367239 \h </w:instrText>
      </w:r>
      <w:r>
        <w:fldChar w:fldCharType="separate"/>
      </w:r>
      <w:r>
        <w:t>34</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Court may appoint district agents</w:t>
      </w:r>
      <w:r>
        <w:tab/>
      </w:r>
      <w:r>
        <w:fldChar w:fldCharType="begin"/>
      </w:r>
      <w:r>
        <w:instrText xml:space="preserve"> PAGEREF _Toc99367240 \h </w:instrText>
      </w:r>
      <w:r>
        <w:fldChar w:fldCharType="separate"/>
      </w:r>
      <w:r>
        <w:t>34</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Where estate does not exceed $10 000 the Principal Registrar or district agent may act</w:t>
      </w:r>
      <w:r>
        <w:tab/>
      </w:r>
      <w:r>
        <w:fldChar w:fldCharType="begin"/>
      </w:r>
      <w:r>
        <w:instrText xml:space="preserve"> PAGEREF _Toc99367241 \h </w:instrText>
      </w:r>
      <w:r>
        <w:fldChar w:fldCharType="separate"/>
      </w:r>
      <w:r>
        <w:t>35</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Information to be furnished by Principal Registrar or agent</w:t>
      </w:r>
      <w:r>
        <w:tab/>
      </w:r>
      <w:r>
        <w:fldChar w:fldCharType="begin"/>
      </w:r>
      <w:r>
        <w:instrText xml:space="preserve"> PAGEREF _Toc99367242 \h </w:instrText>
      </w:r>
      <w:r>
        <w:fldChar w:fldCharType="separate"/>
      </w:r>
      <w:r>
        <w:t>35</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Applications to be transmitted by agent to Principal Registrar</w:t>
      </w:r>
      <w:r>
        <w:tab/>
      </w:r>
      <w:r>
        <w:fldChar w:fldCharType="begin"/>
      </w:r>
      <w:r>
        <w:instrText xml:space="preserve"> PAGEREF _Toc99367243 \h </w:instrText>
      </w:r>
      <w:r>
        <w:fldChar w:fldCharType="separate"/>
      </w:r>
      <w:r>
        <w:t>35</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Principal Registrar to refer matter back to agent if not satisfied</w:t>
      </w:r>
      <w:r>
        <w:tab/>
      </w:r>
      <w:r>
        <w:fldChar w:fldCharType="begin"/>
      </w:r>
      <w:r>
        <w:instrText xml:space="preserve"> PAGEREF _Toc99367244 \h </w:instrText>
      </w:r>
      <w:r>
        <w:fldChar w:fldCharType="separate"/>
      </w:r>
      <w:r>
        <w:t>36</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Principal Registrar may refer to Court</w:t>
      </w:r>
      <w:r>
        <w:tab/>
      </w:r>
      <w:r>
        <w:fldChar w:fldCharType="begin"/>
      </w:r>
      <w:r>
        <w:instrText xml:space="preserve"> PAGEREF _Toc99367245 \h </w:instrText>
      </w:r>
      <w:r>
        <w:fldChar w:fldCharType="separate"/>
      </w:r>
      <w:r>
        <w:t>36</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 xml:space="preserve">Application of </w:t>
      </w:r>
      <w:r>
        <w:rPr>
          <w:i/>
          <w:snapToGrid w:val="0"/>
        </w:rPr>
        <w:t>Family Provision Act 1972</w:t>
      </w:r>
      <w:r>
        <w:tab/>
      </w:r>
      <w:r>
        <w:fldChar w:fldCharType="begin"/>
      </w:r>
      <w:r>
        <w:instrText xml:space="preserve"> PAGEREF _Toc99367246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III — Foreign probates and administration</w:t>
      </w:r>
    </w:p>
    <w:p>
      <w:pPr>
        <w:pStyle w:val="TOC8"/>
        <w:rPr>
          <w:rFonts w:asciiTheme="minorHAnsi" w:eastAsiaTheme="minorEastAsia" w:hAnsiTheme="minorHAnsi" w:cstheme="minorBidi"/>
          <w:szCs w:val="22"/>
        </w:rPr>
      </w:pPr>
      <w:r>
        <w:t>61</w:t>
      </w:r>
      <w:r>
        <w:rPr>
          <w:snapToGrid w:val="0"/>
        </w:rPr>
        <w:t>.</w:t>
      </w:r>
      <w:r>
        <w:rPr>
          <w:snapToGrid w:val="0"/>
        </w:rPr>
        <w:tab/>
        <w:t>Foreign probates etc. may be sealed</w:t>
      </w:r>
      <w:r>
        <w:tab/>
      </w:r>
      <w:r>
        <w:fldChar w:fldCharType="begin"/>
      </w:r>
      <w:r>
        <w:instrText xml:space="preserve"> PAGEREF _Toc99367248 \h </w:instrText>
      </w:r>
      <w:r>
        <w:fldChar w:fldCharType="separate"/>
      </w:r>
      <w:r>
        <w:t>38</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Power to require sureties to be provided before foreign administration sealed</w:t>
      </w:r>
      <w:r>
        <w:tab/>
      </w:r>
      <w:r>
        <w:fldChar w:fldCharType="begin"/>
      </w:r>
      <w:r>
        <w:instrText xml:space="preserve"> PAGEREF _Toc99367249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Caveats</w:t>
      </w:r>
      <w:r>
        <w:rPr>
          <w:vertAlign w:val="superscript"/>
        </w:rPr>
        <w:t xml:space="preserve"> </w:t>
      </w:r>
    </w:p>
    <w:p>
      <w:pPr>
        <w:pStyle w:val="TOC8"/>
        <w:rPr>
          <w:rFonts w:asciiTheme="minorHAnsi" w:eastAsiaTheme="minorEastAsia" w:hAnsiTheme="minorHAnsi" w:cstheme="minorBidi"/>
          <w:szCs w:val="22"/>
        </w:rPr>
      </w:pPr>
      <w:r>
        <w:t>63</w:t>
      </w:r>
      <w:r>
        <w:rPr>
          <w:snapToGrid w:val="0"/>
        </w:rPr>
        <w:t>.</w:t>
      </w:r>
      <w:r>
        <w:rPr>
          <w:snapToGrid w:val="0"/>
        </w:rPr>
        <w:tab/>
        <w:t>Caveat</w:t>
      </w:r>
      <w:r>
        <w:tab/>
      </w:r>
      <w:r>
        <w:fldChar w:fldCharType="begin"/>
      </w:r>
      <w:r>
        <w:instrText xml:space="preserve"> PAGEREF _Toc99367251 \h </w:instrText>
      </w:r>
      <w:r>
        <w:fldChar w:fldCharType="separate"/>
      </w:r>
      <w:r>
        <w:t>40</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Court may remove caveat</w:t>
      </w:r>
      <w:r>
        <w:tab/>
      </w:r>
      <w:r>
        <w:fldChar w:fldCharType="begin"/>
      </w:r>
      <w:r>
        <w:instrText xml:space="preserve"> PAGEREF _Toc99367252 \h </w:instrText>
      </w:r>
      <w:r>
        <w:fldChar w:fldCharType="separate"/>
      </w:r>
      <w:r>
        <w:t>40</w:t>
      </w:r>
      <w:r>
        <w:fldChar w:fldCharType="end"/>
      </w:r>
    </w:p>
    <w:p>
      <w:pPr>
        <w:pStyle w:val="TOC2"/>
        <w:tabs>
          <w:tab w:val="right" w:leader="dot" w:pos="7077"/>
        </w:tabs>
        <w:rPr>
          <w:rFonts w:asciiTheme="minorHAnsi" w:eastAsiaTheme="minorEastAsia" w:hAnsiTheme="minorHAnsi" w:cstheme="minorBidi"/>
          <w:b w:val="0"/>
          <w:sz w:val="22"/>
          <w:szCs w:val="22"/>
        </w:rPr>
      </w:pPr>
      <w:r>
        <w:t>Part V — Duties on deceased persons’ estates and succession duties</w:t>
      </w:r>
      <w:r>
        <w:rPr>
          <w:vertAlign w:val="superscript"/>
        </w:rPr>
        <w:t xml:space="preserve"> </w:t>
      </w:r>
    </w:p>
    <w:p>
      <w:pPr>
        <w:pStyle w:val="TOC8"/>
        <w:rPr>
          <w:rFonts w:asciiTheme="minorHAnsi" w:eastAsiaTheme="minorEastAsia" w:hAnsiTheme="minorHAnsi" w:cstheme="minorBidi"/>
          <w:szCs w:val="22"/>
        </w:rPr>
      </w:pPr>
      <w:r>
        <w:t>71</w:t>
      </w:r>
      <w:r>
        <w:rPr>
          <w:snapToGrid w:val="0"/>
        </w:rPr>
        <w:t>.</w:t>
      </w:r>
      <w:r>
        <w:rPr>
          <w:snapToGrid w:val="0"/>
        </w:rPr>
        <w:tab/>
        <w:t>No will to be registered or admissible in evidence until proved</w:t>
      </w:r>
      <w:r>
        <w:tab/>
      </w:r>
      <w:r>
        <w:fldChar w:fldCharType="begin"/>
      </w:r>
      <w:r>
        <w:instrText xml:space="preserve"> PAGEREF _Toc99367254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VI — Miscellaneous</w:t>
      </w:r>
    </w:p>
    <w:p>
      <w:pPr>
        <w:pStyle w:val="TOC8"/>
        <w:rPr>
          <w:rFonts w:asciiTheme="minorHAnsi" w:eastAsiaTheme="minorEastAsia" w:hAnsiTheme="minorHAnsi" w:cstheme="minorBidi"/>
          <w:szCs w:val="22"/>
        </w:rPr>
      </w:pPr>
      <w:r>
        <w:t>139</w:t>
      </w:r>
      <w:r>
        <w:rPr>
          <w:snapToGrid w:val="0"/>
        </w:rPr>
        <w:t>.</w:t>
      </w:r>
      <w:r>
        <w:rPr>
          <w:snapToGrid w:val="0"/>
        </w:rPr>
        <w:tab/>
        <w:t>Deposits not exceeding prescribed amount in any ADI may be paid to widow or next of kin without probate or administration</w:t>
      </w:r>
      <w:r>
        <w:tab/>
      </w:r>
      <w:r>
        <w:fldChar w:fldCharType="begin"/>
      </w:r>
      <w:r>
        <w:instrText xml:space="preserve"> PAGEREF _Toc99367256 \h </w:instrText>
      </w:r>
      <w:r>
        <w:fldChar w:fldCharType="separate"/>
      </w:r>
      <w:r>
        <w:t>42</w:t>
      </w:r>
      <w:r>
        <w:fldChar w:fldCharType="end"/>
      </w:r>
    </w:p>
    <w:p>
      <w:pPr>
        <w:pStyle w:val="TOC8"/>
        <w:rPr>
          <w:rFonts w:asciiTheme="minorHAnsi" w:eastAsiaTheme="minorEastAsia" w:hAnsiTheme="minorHAnsi" w:cstheme="minorBidi"/>
          <w:szCs w:val="22"/>
        </w:rPr>
      </w:pPr>
      <w:r>
        <w:t>140</w:t>
      </w:r>
      <w:r>
        <w:rPr>
          <w:snapToGrid w:val="0"/>
        </w:rPr>
        <w:t>.</w:t>
      </w:r>
      <w:r>
        <w:rPr>
          <w:snapToGrid w:val="0"/>
        </w:rPr>
        <w:tab/>
        <w:t>Records of grants etc.</w:t>
      </w:r>
      <w:r>
        <w:tab/>
      </w:r>
      <w:r>
        <w:fldChar w:fldCharType="begin"/>
      </w:r>
      <w:r>
        <w:instrText xml:space="preserve"> PAGEREF _Toc99367257 \h </w:instrText>
      </w:r>
      <w:r>
        <w:fldChar w:fldCharType="separate"/>
      </w:r>
      <w:r>
        <w:t>43</w:t>
      </w:r>
      <w:r>
        <w:fldChar w:fldCharType="end"/>
      </w:r>
    </w:p>
    <w:p>
      <w:pPr>
        <w:pStyle w:val="TOC8"/>
        <w:rPr>
          <w:rFonts w:asciiTheme="minorHAnsi" w:eastAsiaTheme="minorEastAsia" w:hAnsiTheme="minorHAnsi" w:cstheme="minorBidi"/>
          <w:szCs w:val="22"/>
        </w:rPr>
      </w:pPr>
      <w:r>
        <w:t>141</w:t>
      </w:r>
      <w:r>
        <w:rPr>
          <w:snapToGrid w:val="0"/>
        </w:rPr>
        <w:t>.</w:t>
      </w:r>
      <w:r>
        <w:rPr>
          <w:snapToGrid w:val="0"/>
        </w:rPr>
        <w:tab/>
        <w:t>Court may appoint attorney for absent executor</w:t>
      </w:r>
      <w:r>
        <w:tab/>
      </w:r>
      <w:r>
        <w:fldChar w:fldCharType="begin"/>
      </w:r>
      <w:r>
        <w:instrText xml:space="preserve"> PAGEREF _Toc99367258 \h </w:instrText>
      </w:r>
      <w:r>
        <w:fldChar w:fldCharType="separate"/>
      </w:r>
      <w:r>
        <w:t>43</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 xml:space="preserve">Payment of balance of estate to Curator or Public Trustee of State or Colony where deceased was </w:t>
      </w:r>
      <w:r>
        <w:rPr>
          <w:snapToGrid w:val="0"/>
        </w:rPr>
        <w:lastRenderedPageBreak/>
        <w:t>domiciled. Public Trustee may receive any part of estate from outside the State</w:t>
      </w:r>
      <w:r>
        <w:tab/>
      </w:r>
      <w:r>
        <w:fldChar w:fldCharType="begin"/>
      </w:r>
      <w:r>
        <w:instrText xml:space="preserve"> PAGEREF _Toc99367259 \h </w:instrText>
      </w:r>
      <w:r>
        <w:fldChar w:fldCharType="separate"/>
      </w:r>
      <w:r>
        <w:t>44</w:t>
      </w:r>
      <w:r>
        <w:fldChar w:fldCharType="end"/>
      </w:r>
    </w:p>
    <w:p>
      <w:pPr>
        <w:pStyle w:val="TOC8"/>
        <w:rPr>
          <w:rFonts w:asciiTheme="minorHAnsi" w:eastAsiaTheme="minorEastAsia" w:hAnsiTheme="minorHAnsi" w:cstheme="minorBidi"/>
          <w:szCs w:val="22"/>
        </w:rPr>
      </w:pPr>
      <w:r>
        <w:t>143A</w:t>
      </w:r>
      <w:r>
        <w:rPr>
          <w:snapToGrid w:val="0"/>
        </w:rPr>
        <w:t xml:space="preserve">. </w:t>
      </w:r>
      <w:r>
        <w:rPr>
          <w:snapToGrid w:val="0"/>
        </w:rPr>
        <w:tab/>
        <w:t>Rate of interest payable on legacies</w:t>
      </w:r>
      <w:r>
        <w:tab/>
      </w:r>
      <w:r>
        <w:fldChar w:fldCharType="begin"/>
      </w:r>
      <w:r>
        <w:instrText xml:space="preserve"> PAGEREF _Toc99367260 \h </w:instrText>
      </w:r>
      <w:r>
        <w:fldChar w:fldCharType="separate"/>
      </w:r>
      <w:r>
        <w:t>45</w:t>
      </w:r>
      <w:r>
        <w:fldChar w:fldCharType="end"/>
      </w:r>
    </w:p>
    <w:p>
      <w:pPr>
        <w:pStyle w:val="TOC8"/>
        <w:rPr>
          <w:rFonts w:asciiTheme="minorHAnsi" w:eastAsiaTheme="minorEastAsia" w:hAnsiTheme="minorHAnsi" w:cstheme="minorBidi"/>
          <w:szCs w:val="22"/>
        </w:rPr>
      </w:pPr>
      <w:r>
        <w:t>143B</w:t>
      </w:r>
      <w:r>
        <w:rPr>
          <w:snapToGrid w:val="0"/>
        </w:rPr>
        <w:t xml:space="preserve">. </w:t>
      </w:r>
      <w:r>
        <w:rPr>
          <w:snapToGrid w:val="0"/>
        </w:rPr>
        <w:tab/>
        <w:t>Saving provision as to bonds</w:t>
      </w:r>
      <w:r>
        <w:tab/>
      </w:r>
      <w:r>
        <w:fldChar w:fldCharType="begin"/>
      </w:r>
      <w:r>
        <w:instrText xml:space="preserve"> PAGEREF _Toc99367261 \h </w:instrText>
      </w:r>
      <w:r>
        <w:fldChar w:fldCharType="separate"/>
      </w:r>
      <w:r>
        <w:t>45</w:t>
      </w:r>
      <w:r>
        <w:fldChar w:fldCharType="end"/>
      </w:r>
    </w:p>
    <w:p>
      <w:pPr>
        <w:pStyle w:val="TOC8"/>
        <w:rPr>
          <w:rFonts w:asciiTheme="minorHAnsi" w:eastAsiaTheme="minorEastAsia" w:hAnsiTheme="minorHAnsi" w:cstheme="minorBidi"/>
          <w:szCs w:val="22"/>
        </w:rPr>
      </w:pPr>
      <w:r>
        <w:t>144</w:t>
      </w:r>
      <w:r>
        <w:rPr>
          <w:snapToGrid w:val="0"/>
        </w:rPr>
        <w:t>.</w:t>
      </w:r>
      <w:r>
        <w:rPr>
          <w:snapToGrid w:val="0"/>
        </w:rPr>
        <w:tab/>
        <w:t>Rules of Court</w:t>
      </w:r>
      <w:r>
        <w:tab/>
      </w:r>
      <w:r>
        <w:fldChar w:fldCharType="begin"/>
      </w:r>
      <w:r>
        <w:instrText xml:space="preserve"> PAGEREF _Toc99367262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Fourth Schedule — Rights in respect of dwelling houses</w:t>
      </w:r>
    </w:p>
    <w:p>
      <w:pPr>
        <w:pStyle w:val="TOC8"/>
        <w:rPr>
          <w:rFonts w:asciiTheme="minorHAnsi" w:eastAsiaTheme="minorEastAsia" w:hAnsiTheme="minorHAnsi" w:cstheme="minorBidi"/>
          <w:szCs w:val="22"/>
        </w:rPr>
      </w:pPr>
      <w:r>
        <w:t>1</w:t>
      </w:r>
      <w:r>
        <w:rPr>
          <w:snapToGrid w:val="0"/>
        </w:rPr>
        <w:t>.</w:t>
      </w:r>
      <w:r>
        <w:rPr>
          <w:snapToGrid w:val="0"/>
        </w:rPr>
        <w:tab/>
        <w:t>Rights of surviving spouse if dwelling house is residence</w:t>
      </w:r>
      <w:r>
        <w:tab/>
      </w:r>
      <w:r>
        <w:fldChar w:fldCharType="begin"/>
      </w:r>
      <w:r>
        <w:instrText xml:space="preserve"> PAGEREF _Toc99367264 \h </w:instrText>
      </w:r>
      <w:r>
        <w:fldChar w:fldCharType="separate"/>
      </w:r>
      <w:r>
        <w:t>47</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Court order required in certain cases</w:t>
      </w:r>
      <w:r>
        <w:tab/>
      </w:r>
      <w:r>
        <w:fldChar w:fldCharType="begin"/>
      </w:r>
      <w:r>
        <w:instrText xml:space="preserve"> PAGEREF _Toc99367265 \h </w:instrText>
      </w:r>
      <w:r>
        <w:fldChar w:fldCharType="separate"/>
      </w:r>
      <w:r>
        <w:t>48</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Time limit for exercising right under par. 1</w:t>
      </w:r>
      <w:r>
        <w:tab/>
      </w:r>
      <w:r>
        <w:fldChar w:fldCharType="begin"/>
      </w:r>
      <w:r>
        <w:instrText xml:space="preserve"> PAGEREF _Toc99367266 \h </w:instrText>
      </w:r>
      <w:r>
        <w:fldChar w:fldCharType="separate"/>
      </w:r>
      <w:r>
        <w:t>48</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Mode of exercising right under par. 1</w:t>
      </w:r>
      <w:r>
        <w:tab/>
      </w:r>
      <w:r>
        <w:fldChar w:fldCharType="begin"/>
      </w:r>
      <w:r>
        <w:instrText xml:space="preserve"> PAGEREF _Toc99367267 \h </w:instrText>
      </w:r>
      <w:r>
        <w:fldChar w:fldCharType="separate"/>
      </w:r>
      <w:r>
        <w:t>49</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Determination of value</w:t>
      </w:r>
      <w:r>
        <w:tab/>
      </w:r>
      <w:r>
        <w:fldChar w:fldCharType="begin"/>
      </w:r>
      <w:r>
        <w:instrText xml:space="preserve"> PAGEREF _Toc99367268 \h </w:instrText>
      </w:r>
      <w:r>
        <w:fldChar w:fldCharType="separate"/>
      </w:r>
      <w:r>
        <w:t>49</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Restriction on sale during election period</w:t>
      </w:r>
      <w:r>
        <w:tab/>
      </w:r>
      <w:r>
        <w:fldChar w:fldCharType="begin"/>
      </w:r>
      <w:r>
        <w:instrText xml:space="preserve"> PAGEREF _Toc99367269 \h </w:instrText>
      </w:r>
      <w:r>
        <w:fldChar w:fldCharType="separate"/>
      </w:r>
      <w:r>
        <w:t>49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Surviving spouse as sole personal representative</w:t>
      </w:r>
      <w:r>
        <w:tab/>
      </w:r>
      <w:r>
        <w:fldChar w:fldCharType="begin"/>
      </w:r>
      <w:r>
        <w:instrText xml:space="preserve"> PAGEREF _Toc99367270 \h </w:instrText>
      </w:r>
      <w:r>
        <w:fldChar w:fldCharType="separate"/>
      </w:r>
      <w:r>
        <w:t>50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Surviving spouse not of full mental capacity</w:t>
      </w:r>
      <w:r>
        <w:tab/>
      </w:r>
      <w:r>
        <w:fldChar w:fldCharType="begin"/>
      </w:r>
      <w:r>
        <w:instrText xml:space="preserve"> PAGEREF _Toc99367271 \h </w:instrText>
      </w:r>
      <w:r>
        <w:fldChar w:fldCharType="separate"/>
      </w:r>
      <w:r>
        <w:t>51</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Terms used</w:t>
      </w:r>
      <w:r>
        <w:tab/>
      </w:r>
      <w:r>
        <w:fldChar w:fldCharType="begin"/>
      </w:r>
      <w:r>
        <w:instrText xml:space="preserve"> PAGEREF _Toc99367272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Fifth Schedule — Rules as to payment of debts and liabilities of insolvent estates</w:t>
      </w:r>
    </w:p>
    <w:p>
      <w:pPr>
        <w:pStyle w:val="TOC8"/>
        <w:rPr>
          <w:rFonts w:asciiTheme="minorHAnsi" w:eastAsiaTheme="minorEastAsia" w:hAnsiTheme="minorHAnsi" w:cstheme="minorBidi"/>
          <w:szCs w:val="22"/>
        </w:rPr>
      </w:pPr>
      <w:r>
        <w:t>1.</w:t>
      </w:r>
      <w:r>
        <w:tab/>
        <w:t>Expenses having priority</w:t>
      </w:r>
      <w:r>
        <w:tab/>
      </w:r>
      <w:r>
        <w:fldChar w:fldCharType="begin"/>
      </w:r>
      <w:r>
        <w:instrText xml:space="preserve"> PAGEREF _Toc99367274 \h </w:instrText>
      </w:r>
      <w:r>
        <w:fldChar w:fldCharType="separate"/>
      </w:r>
      <w:r>
        <w:t>52</w:t>
      </w:r>
      <w:r>
        <w:fldChar w:fldCharType="end"/>
      </w:r>
    </w:p>
    <w:p>
      <w:pPr>
        <w:pStyle w:val="TOC8"/>
        <w:rPr>
          <w:rFonts w:asciiTheme="minorHAnsi" w:eastAsiaTheme="minorEastAsia" w:hAnsiTheme="minorHAnsi" w:cstheme="minorBidi"/>
          <w:szCs w:val="22"/>
        </w:rPr>
      </w:pPr>
      <w:r>
        <w:t>2.</w:t>
      </w:r>
      <w:r>
        <w:tab/>
        <w:t>Demand for unliquidated damages</w:t>
      </w:r>
      <w:r>
        <w:tab/>
      </w:r>
      <w:r>
        <w:fldChar w:fldCharType="begin"/>
      </w:r>
      <w:r>
        <w:instrText xml:space="preserve"> PAGEREF _Toc99367275 \h </w:instrText>
      </w:r>
      <w:r>
        <w:fldChar w:fldCharType="separate"/>
      </w:r>
      <w:r>
        <w:t>52</w:t>
      </w:r>
      <w:r>
        <w:fldChar w:fldCharType="end"/>
      </w:r>
    </w:p>
    <w:p>
      <w:pPr>
        <w:pStyle w:val="TOC8"/>
        <w:rPr>
          <w:rFonts w:asciiTheme="minorHAnsi" w:eastAsiaTheme="minorEastAsia" w:hAnsiTheme="minorHAnsi" w:cstheme="minorBidi"/>
          <w:szCs w:val="22"/>
        </w:rPr>
      </w:pPr>
      <w:r>
        <w:t>3.</w:t>
      </w:r>
      <w:r>
        <w:tab/>
        <w:t>Rules of bankruptcy apply</w:t>
      </w:r>
      <w:r>
        <w:tab/>
      </w:r>
      <w:r>
        <w:fldChar w:fldCharType="begin"/>
      </w:r>
      <w:r>
        <w:instrText xml:space="preserve"> PAGEREF _Toc99367276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_Toc99367278 \h </w:instrText>
      </w:r>
      <w:r>
        <w:fldChar w:fldCharType="separate"/>
      </w:r>
      <w:r>
        <w:t>53</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_Toc99367279 \h </w:instrText>
      </w:r>
      <w:r>
        <w:fldChar w:fldCharType="separate"/>
      </w:r>
      <w:r>
        <w:t>58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2" w:name="_Toc99359902"/>
      <w:bookmarkStart w:id="3" w:name="_Toc99361229"/>
      <w:bookmarkStart w:id="4" w:name="_Toc99367189"/>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r>
        <w:rPr>
          <w:rStyle w:val="CharPartText"/>
        </w:rPr>
        <w:t xml:space="preserve"> </w:t>
      </w:r>
    </w:p>
    <w:p>
      <w:pPr>
        <w:pStyle w:val="Heading5"/>
        <w:rPr>
          <w:snapToGrid w:val="0"/>
        </w:rPr>
      </w:pPr>
      <w:bookmarkStart w:id="5" w:name="_Toc99367190"/>
      <w:r>
        <w:rPr>
          <w:rStyle w:val="CharSectno"/>
        </w:rPr>
        <w:t>1</w:t>
      </w:r>
      <w:r>
        <w:rPr>
          <w:snapToGrid w:val="0"/>
        </w:rPr>
        <w:t>.</w:t>
      </w:r>
      <w:r>
        <w:rPr>
          <w:snapToGrid w:val="0"/>
        </w:rPr>
        <w:tab/>
        <w:t>Short title and construction</w:t>
      </w:r>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No. 57 of 1984 s. 2.] </w:t>
      </w:r>
    </w:p>
    <w:p>
      <w:pPr>
        <w:pStyle w:val="Ednotesection"/>
      </w:pPr>
      <w:r>
        <w:t>[</w:t>
      </w:r>
      <w:r>
        <w:rPr>
          <w:b/>
          <w:bCs/>
        </w:rPr>
        <w:t>2.</w:t>
      </w:r>
      <w:r>
        <w:tab/>
        <w:t>Omitted under Reprints Act 1984 s. 7(4)(f).]</w:t>
      </w:r>
    </w:p>
    <w:p>
      <w:pPr>
        <w:pStyle w:val="Heading5"/>
        <w:rPr>
          <w:snapToGrid w:val="0"/>
        </w:rPr>
      </w:pPr>
      <w:bookmarkStart w:id="6" w:name="_Toc99367191"/>
      <w:r>
        <w:rPr>
          <w:rStyle w:val="CharSectno"/>
        </w:rPr>
        <w:t>3</w:t>
      </w:r>
      <w:r>
        <w:rPr>
          <w:snapToGrid w:val="0"/>
        </w:rPr>
        <w:t>.</w:t>
      </w:r>
      <w:r>
        <w:rPr>
          <w:snapToGrid w:val="0"/>
        </w:rPr>
        <w:tab/>
        <w:t>Terms used</w:t>
      </w:r>
      <w:bookmarkEnd w:id="6"/>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w:t>
      </w:r>
      <w:r>
        <w:rPr>
          <w:vertAlign w:val="superscript"/>
        </w:rPr>
        <w:t> 1</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lastRenderedPageBreak/>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No. 62 of 1955 s. 2; No. 67 of 1979 s. 42; No. 72 of 1984 s. 3.] </w:t>
      </w:r>
    </w:p>
    <w:p>
      <w:pPr>
        <w:pStyle w:val="Heading5"/>
      </w:pPr>
      <w:bookmarkStart w:id="7" w:name="_Toc99367192"/>
      <w:r>
        <w:rPr>
          <w:rStyle w:val="CharSectno"/>
        </w:rPr>
        <w:t>3A</w:t>
      </w:r>
      <w:r>
        <w:t>.</w:t>
      </w:r>
      <w:r>
        <w:tab/>
      </w:r>
      <w:r>
        <w:rPr>
          <w:i/>
        </w:rPr>
        <w:t>Courts and Tribunals (Electronic Processes Facilitation) Act 2013</w:t>
      </w:r>
      <w:r>
        <w:t xml:space="preserve"> Pt. 2 applies</w:t>
      </w:r>
      <w:bookmarkEnd w:id="7"/>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3A inserted: No. 34 of 2020 s. 53</w:t>
      </w:r>
    </w:p>
    <w:p>
      <w:pPr>
        <w:pStyle w:val="Heading2"/>
      </w:pPr>
      <w:bookmarkStart w:id="8" w:name="_Toc99359906"/>
      <w:bookmarkStart w:id="9" w:name="_Toc99361233"/>
      <w:bookmarkStart w:id="10" w:name="_Toc99367193"/>
      <w:r>
        <w:rPr>
          <w:rStyle w:val="CharPartNo"/>
        </w:rPr>
        <w:lastRenderedPageBreak/>
        <w:t>Part II</w:t>
      </w:r>
      <w:r>
        <w:rPr>
          <w:rStyle w:val="CharDivNo"/>
        </w:rPr>
        <w:t> </w:t>
      </w:r>
      <w:r>
        <w:t>—</w:t>
      </w:r>
      <w:r>
        <w:rPr>
          <w:rStyle w:val="CharDivText"/>
        </w:rPr>
        <w:t> </w:t>
      </w:r>
      <w:r>
        <w:rPr>
          <w:rStyle w:val="CharPartText"/>
        </w:rPr>
        <w:t>Probate and administration</w:t>
      </w:r>
      <w:bookmarkEnd w:id="8"/>
      <w:bookmarkEnd w:id="9"/>
      <w:bookmarkEnd w:id="10"/>
      <w:r>
        <w:rPr>
          <w:rStyle w:val="CharPartText"/>
        </w:rPr>
        <w:t xml:space="preserve"> </w:t>
      </w:r>
    </w:p>
    <w:p>
      <w:pPr>
        <w:pStyle w:val="Heading5"/>
        <w:rPr>
          <w:snapToGrid w:val="0"/>
        </w:rPr>
      </w:pPr>
      <w:bookmarkStart w:id="11" w:name="_Toc99367194"/>
      <w:r>
        <w:rPr>
          <w:rStyle w:val="CharSectno"/>
        </w:rPr>
        <w:t>4</w:t>
      </w:r>
      <w:r>
        <w:rPr>
          <w:snapToGrid w:val="0"/>
        </w:rPr>
        <w:t>.</w:t>
      </w:r>
      <w:r>
        <w:rPr>
          <w:snapToGrid w:val="0"/>
        </w:rPr>
        <w:tab/>
        <w:t>Jurisdiction of Court as heretofore</w:t>
      </w:r>
      <w:bookmarkEnd w:id="11"/>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12" w:name="_Toc99367195"/>
      <w:r>
        <w:rPr>
          <w:rStyle w:val="CharSectno"/>
        </w:rPr>
        <w:t>5</w:t>
      </w:r>
      <w:r>
        <w:rPr>
          <w:snapToGrid w:val="0"/>
        </w:rPr>
        <w:t>.</w:t>
      </w:r>
      <w:r>
        <w:rPr>
          <w:snapToGrid w:val="0"/>
        </w:rPr>
        <w:tab/>
        <w:t>Duties of Principal Registrar</w:t>
      </w:r>
      <w:bookmarkEnd w:id="12"/>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No. 67 of 1979 s. 43.] </w:t>
      </w:r>
    </w:p>
    <w:p>
      <w:pPr>
        <w:pStyle w:val="Heading5"/>
        <w:rPr>
          <w:snapToGrid w:val="0"/>
        </w:rPr>
      </w:pPr>
      <w:bookmarkStart w:id="13" w:name="_Toc99367196"/>
      <w:r>
        <w:rPr>
          <w:rStyle w:val="CharSectno"/>
        </w:rPr>
        <w:t>6</w:t>
      </w:r>
      <w:r>
        <w:rPr>
          <w:snapToGrid w:val="0"/>
        </w:rPr>
        <w:t>.</w:t>
      </w:r>
      <w:r>
        <w:rPr>
          <w:snapToGrid w:val="0"/>
        </w:rPr>
        <w:tab/>
        <w:t>Power to grant probate and administration</w:t>
      </w:r>
      <w:bookmarkEnd w:id="13"/>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14" w:name="_Toc99367197"/>
      <w:r>
        <w:rPr>
          <w:rStyle w:val="CharSectno"/>
        </w:rPr>
        <w:t>7</w:t>
      </w:r>
      <w:r>
        <w:rPr>
          <w:snapToGrid w:val="0"/>
        </w:rPr>
        <w:t>.</w:t>
      </w:r>
      <w:r>
        <w:rPr>
          <w:snapToGrid w:val="0"/>
        </w:rPr>
        <w:tab/>
        <w:t>Probate may be granted to one or more executors</w:t>
      </w:r>
      <w:bookmarkEnd w:id="14"/>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15" w:name="_Toc99367198"/>
      <w:r>
        <w:rPr>
          <w:rStyle w:val="CharSectno"/>
        </w:rPr>
        <w:t>8</w:t>
      </w:r>
      <w:r>
        <w:rPr>
          <w:snapToGrid w:val="0"/>
        </w:rPr>
        <w:t>.</w:t>
      </w:r>
      <w:r>
        <w:rPr>
          <w:snapToGrid w:val="0"/>
        </w:rPr>
        <w:tab/>
        <w:t>Upon grant of probate or administration real and personal estate to vest in executor or administrator</w:t>
      </w:r>
      <w:bookmarkEnd w:id="15"/>
      <w:r>
        <w:rPr>
          <w:snapToGrid w:val="0"/>
        </w:rPr>
        <w:t xml:space="preserve"> </w:t>
      </w:r>
    </w:p>
    <w:p>
      <w:pPr>
        <w:pStyle w:val="Subsection"/>
        <w:rPr>
          <w:snapToGrid w:val="0"/>
        </w:rPr>
      </w:pPr>
      <w:r>
        <w:rPr>
          <w:snapToGrid w:val="0"/>
        </w:rPr>
        <w:tab/>
      </w:r>
      <w:r>
        <w:rPr>
          <w:snapToGrid w:val="0"/>
        </w:rPr>
        <w:tab/>
        <w:t xml:space="preserve">Upon the grant of probate or administration, all real and personal estate which a deceased person dies seised, possessed of, or entitled to in Western Australia shall, as from the death of such person, pass to and become vested in the executor to whom </w:t>
      </w:r>
      <w:r>
        <w:rPr>
          <w:snapToGrid w:val="0"/>
        </w:rPr>
        <w:lastRenderedPageBreak/>
        <w:t>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16" w:name="_Toc99367199"/>
      <w:r>
        <w:rPr>
          <w:rStyle w:val="CharSectno"/>
        </w:rPr>
        <w:t>9</w:t>
      </w:r>
      <w:r>
        <w:rPr>
          <w:snapToGrid w:val="0"/>
        </w:rPr>
        <w:t>.</w:t>
      </w:r>
      <w:r>
        <w:rPr>
          <w:snapToGrid w:val="0"/>
        </w:rPr>
        <w:tab/>
        <w:t>Real estate to vest subject to trusts</w:t>
      </w:r>
      <w:bookmarkEnd w:id="16"/>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17" w:name="_Toc99367200"/>
      <w:r>
        <w:rPr>
          <w:rStyle w:val="CharSectno"/>
        </w:rPr>
        <w:t>10</w:t>
      </w:r>
      <w:r>
        <w:rPr>
          <w:snapToGrid w:val="0"/>
        </w:rPr>
        <w:t>.</w:t>
      </w:r>
      <w:r>
        <w:rPr>
          <w:snapToGrid w:val="0"/>
        </w:rPr>
        <w:tab/>
        <w:t>Real and personal estate to be assets</w:t>
      </w:r>
      <w:bookmarkEnd w:id="17"/>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 xml:space="preserve">in good faith and at a time when he has no reason to believe that the estate of the deceased is insolvent, pays </w:t>
      </w:r>
      <w:r>
        <w:rPr>
          <w:snapToGrid w:val="0"/>
        </w:rPr>
        <w:lastRenderedPageBreak/>
        <w:t>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No. 62 of 1955 s. 3; No. 72 of 1984 s. 4.] </w:t>
      </w:r>
    </w:p>
    <w:p>
      <w:pPr>
        <w:pStyle w:val="Heading5"/>
        <w:rPr>
          <w:snapToGrid w:val="0"/>
        </w:rPr>
      </w:pPr>
      <w:bookmarkStart w:id="18" w:name="_Toc99367201"/>
      <w:r>
        <w:rPr>
          <w:rStyle w:val="CharSectno"/>
        </w:rPr>
        <w:t>10A</w:t>
      </w:r>
      <w:r>
        <w:rPr>
          <w:snapToGrid w:val="0"/>
        </w:rPr>
        <w:t xml:space="preserve">. </w:t>
      </w:r>
      <w:r>
        <w:rPr>
          <w:snapToGrid w:val="0"/>
        </w:rPr>
        <w:tab/>
        <w:t>Insolvent estates</w:t>
      </w:r>
      <w:bookmarkEnd w:id="18"/>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No. 72 of 1984 s. 5.] </w:t>
      </w:r>
    </w:p>
    <w:p>
      <w:pPr>
        <w:pStyle w:val="Heading5"/>
        <w:rPr>
          <w:snapToGrid w:val="0"/>
        </w:rPr>
      </w:pPr>
      <w:bookmarkStart w:id="19" w:name="_Toc99367202"/>
      <w:r>
        <w:rPr>
          <w:rStyle w:val="CharSectno"/>
        </w:rPr>
        <w:t>11</w:t>
      </w:r>
      <w:r>
        <w:rPr>
          <w:snapToGrid w:val="0"/>
        </w:rPr>
        <w:t>.</w:t>
      </w:r>
      <w:r>
        <w:rPr>
          <w:snapToGrid w:val="0"/>
        </w:rPr>
        <w:tab/>
        <w:t>Subject as aforesaid real estate to vest according to will</w:t>
      </w:r>
      <w:bookmarkEnd w:id="19"/>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20" w:name="_Toc99367203"/>
      <w:r>
        <w:rPr>
          <w:rStyle w:val="CharSectno"/>
        </w:rPr>
        <w:t>12</w:t>
      </w:r>
      <w:r>
        <w:rPr>
          <w:snapToGrid w:val="0"/>
        </w:rPr>
        <w:t>.</w:t>
      </w:r>
      <w:r>
        <w:rPr>
          <w:snapToGrid w:val="0"/>
        </w:rPr>
        <w:tab/>
        <w:t>Executor to have same rights and duties as to real estate as heretofore as to personal estate</w:t>
      </w:r>
      <w:bookmarkEnd w:id="20"/>
      <w:r>
        <w:rPr>
          <w:snapToGrid w:val="0"/>
        </w:rPr>
        <w:t xml:space="preserve"> </w:t>
      </w:r>
    </w:p>
    <w:p>
      <w:pPr>
        <w:pStyle w:val="Subsection"/>
        <w:rPr>
          <w:snapToGrid w:val="0"/>
        </w:rPr>
      </w:pPr>
      <w:r>
        <w:rPr>
          <w:snapToGrid w:val="0"/>
        </w:rPr>
        <w:tab/>
      </w:r>
      <w:r>
        <w:rPr>
          <w:snapToGrid w:val="0"/>
        </w:rPr>
        <w:tab/>
        <w:t xml:space="preserve">The executor to whom probate has been granted, or administrator, shall have the same rights and be subject to the same duties with respect to the real estate of the deceased that </w:t>
      </w:r>
      <w:r>
        <w:rPr>
          <w:snapToGrid w:val="0"/>
        </w:rPr>
        <w:lastRenderedPageBreak/>
        <w:t>executors or administrators respectively heretofore have had or been subject to with reference to personal assets.</w:t>
      </w:r>
    </w:p>
    <w:p>
      <w:pPr>
        <w:pStyle w:val="Heading5"/>
        <w:rPr>
          <w:snapToGrid w:val="0"/>
        </w:rPr>
      </w:pPr>
      <w:bookmarkStart w:id="21" w:name="_Toc99367204"/>
      <w:r>
        <w:rPr>
          <w:rStyle w:val="CharSectno"/>
        </w:rPr>
        <w:t>12A</w:t>
      </w:r>
      <w:r>
        <w:rPr>
          <w:snapToGrid w:val="0"/>
        </w:rPr>
        <w:t xml:space="preserve">. </w:t>
      </w:r>
      <w:r>
        <w:rPr>
          <w:snapToGrid w:val="0"/>
        </w:rPr>
        <w:tab/>
        <w:t>Entitlement to participation in distribution of intestate estates</w:t>
      </w:r>
      <w:bookmarkEnd w:id="21"/>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shall be </w:t>
      </w:r>
      <w:r>
        <w:rPr>
          <w:snapToGrid w:val="0"/>
        </w:rPr>
        <w:lastRenderedPageBreak/>
        <w:t>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pPr>
        <w:pStyle w:val="Footnotesection"/>
      </w:pPr>
      <w:r>
        <w:tab/>
        <w:t>[Section 12A inserted: No. 18 of 1971 s. 3; amended: No. 14 of 1985 s. 8; No. 3 of 2002 s. 4.]</w:t>
      </w:r>
    </w:p>
    <w:p>
      <w:pPr>
        <w:pStyle w:val="Heading5"/>
        <w:rPr>
          <w:snapToGrid w:val="0"/>
        </w:rPr>
      </w:pPr>
      <w:bookmarkStart w:id="22" w:name="_Toc99367205"/>
      <w:r>
        <w:rPr>
          <w:rStyle w:val="CharSectno"/>
        </w:rPr>
        <w:t>12B</w:t>
      </w:r>
      <w:r>
        <w:rPr>
          <w:snapToGrid w:val="0"/>
        </w:rPr>
        <w:t xml:space="preserve">. </w:t>
      </w:r>
      <w:r>
        <w:rPr>
          <w:snapToGrid w:val="0"/>
        </w:rPr>
        <w:tab/>
        <w:t>Relationships of whole and half blood</w:t>
      </w:r>
      <w:bookmarkEnd w:id="22"/>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No. 57 of 1984 s. 3.] </w:t>
      </w:r>
    </w:p>
    <w:p>
      <w:pPr>
        <w:pStyle w:val="Heading5"/>
        <w:rPr>
          <w:snapToGrid w:val="0"/>
        </w:rPr>
      </w:pPr>
      <w:bookmarkStart w:id="23" w:name="_Toc99367206"/>
      <w:r>
        <w:rPr>
          <w:rStyle w:val="CharSectno"/>
        </w:rPr>
        <w:t>13</w:t>
      </w:r>
      <w:r>
        <w:rPr>
          <w:snapToGrid w:val="0"/>
        </w:rPr>
        <w:t>.</w:t>
      </w:r>
      <w:r>
        <w:rPr>
          <w:snapToGrid w:val="0"/>
        </w:rPr>
        <w:tab/>
        <w:t>Real and personal estate in case of intestacy</w:t>
      </w:r>
      <w:bookmarkEnd w:id="23"/>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w:t>
      </w:r>
      <w:r>
        <w:rPr>
          <w:snapToGrid w:val="0"/>
        </w:rPr>
        <w:lastRenderedPageBreak/>
        <w:t xml:space="preserve">section 4 of the </w:t>
      </w:r>
      <w:r>
        <w:rPr>
          <w:i/>
          <w:snapToGrid w:val="0"/>
        </w:rPr>
        <w:t>Administration Act Amendment Act 1976</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No. 28 of 1934 s. 77(3)(b) and (4); No. 138 of 1976 s. 3; No. 72 of 1984 s. 6; No. 25 of 2002 s. 52.] </w:t>
      </w:r>
    </w:p>
    <w:p>
      <w:pPr>
        <w:pStyle w:val="Heading5"/>
        <w:rPr>
          <w:snapToGrid w:val="0"/>
        </w:rPr>
      </w:pPr>
      <w:bookmarkStart w:id="24" w:name="_Toc99367207"/>
      <w:r>
        <w:rPr>
          <w:rStyle w:val="CharSectno"/>
        </w:rPr>
        <w:t>14</w:t>
      </w:r>
      <w:r>
        <w:rPr>
          <w:snapToGrid w:val="0"/>
        </w:rPr>
        <w:t>.</w:t>
      </w:r>
      <w:r>
        <w:rPr>
          <w:snapToGrid w:val="0"/>
        </w:rPr>
        <w:tab/>
        <w:t>Entitlements on intestacy</w:t>
      </w:r>
      <w:bookmarkEnd w:id="24"/>
      <w:r>
        <w:rPr>
          <w:snapToGrid w:val="0"/>
        </w:rPr>
        <w:t xml:space="preserve"> </w:t>
      </w:r>
    </w:p>
    <w:p>
      <w:pPr>
        <w:pStyle w:val="Subsection"/>
      </w:pPr>
      <w:r>
        <w:tab/>
        <w:t>(1A)</w:t>
      </w:r>
      <w:r>
        <w:tab/>
        <w:t>In this section —</w:t>
      </w:r>
    </w:p>
    <w:p>
      <w:pPr>
        <w:pStyle w:val="Defstart"/>
      </w:pPr>
      <w:r>
        <w:tab/>
      </w:r>
      <w:r>
        <w:rPr>
          <w:rStyle w:val="CharDefText"/>
        </w:rPr>
        <w:t>declared sum</w:t>
      </w:r>
      <w:r>
        <w:t>, for a specified item, means the sum that applies for that item under an order;</w:t>
      </w:r>
    </w:p>
    <w:p>
      <w:pPr>
        <w:pStyle w:val="Defstart"/>
      </w:pPr>
      <w:r>
        <w:tab/>
      </w:r>
      <w:r>
        <w:rPr>
          <w:rStyle w:val="CharDefText"/>
        </w:rPr>
        <w:t>order</w:t>
      </w:r>
      <w:r>
        <w:t xml:space="preserve"> means an order made by the Minister under section 14A(2) </w:t>
      </w:r>
      <w:r>
        <w:rPr>
          <w:vertAlign w:val="superscript"/>
        </w:rPr>
        <w:t>8</w:t>
      </w:r>
      <w:r>
        <w:t>;</w:t>
      </w:r>
    </w:p>
    <w:p>
      <w:pPr>
        <w:pStyle w:val="Defstart"/>
      </w:pPr>
      <w:r>
        <w:tab/>
      </w:r>
      <w:r>
        <w:rPr>
          <w:rStyle w:val="CharDefText"/>
        </w:rPr>
        <w:t>specified item</w:t>
      </w:r>
      <w:r>
        <w:t xml:space="preserve"> means any of the following items in the Table —</w:t>
      </w:r>
    </w:p>
    <w:p>
      <w:pPr>
        <w:pStyle w:val="Defpara"/>
      </w:pPr>
      <w:r>
        <w:tab/>
        <w:t>(a)</w:t>
      </w:r>
      <w:r>
        <w:tab/>
        <w:t>item 2;</w:t>
      </w:r>
    </w:p>
    <w:p>
      <w:pPr>
        <w:pStyle w:val="Defpara"/>
      </w:pPr>
      <w:r>
        <w:tab/>
        <w:t>(b)</w:t>
      </w:r>
      <w:r>
        <w:tab/>
        <w:t>item 3(a) and (b);</w:t>
      </w:r>
    </w:p>
    <w:p>
      <w:pPr>
        <w:pStyle w:val="Defpara"/>
      </w:pPr>
      <w:r>
        <w:tab/>
        <w:t>(c)</w:t>
      </w:r>
      <w:r>
        <w:tab/>
        <w:t>item 3(b)(i);</w:t>
      </w:r>
    </w:p>
    <w:p>
      <w:pPr>
        <w:pStyle w:val="Defpara"/>
      </w:pPr>
      <w:r>
        <w:tab/>
        <w:t>(d)</w:t>
      </w:r>
      <w:r>
        <w:tab/>
        <w:t>item 6;</w:t>
      </w:r>
    </w:p>
    <w:p>
      <w:pPr>
        <w:pStyle w:val="Defstart"/>
      </w:pPr>
      <w:r>
        <w:tab/>
      </w:r>
      <w:r>
        <w:rPr>
          <w:rStyle w:val="CharDefText"/>
        </w:rPr>
        <w:t>Table</w:t>
      </w:r>
      <w:r>
        <w:t xml:space="preserve"> means the Table to subsection (1).</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xml:space="preserve">) dies intestate as to all or any of </w:t>
      </w:r>
      <w:r>
        <w:t>their property, the property as to which they die intestate</w:t>
      </w:r>
      <w:r>
        <w:rPr>
          <w:snapToGrid w:val="0"/>
        </w:rPr>
        <w:t xml:space="preserve"> (in this section called the</w:t>
      </w:r>
      <w:r>
        <w:t xml:space="preserve"> </w:t>
      </w:r>
      <w:r>
        <w:rPr>
          <w:rStyle w:val="CharDefText"/>
        </w:rPr>
        <w:t>intestate property</w:t>
      </w:r>
      <w:r>
        <w:rPr>
          <w:snapToGrid w:val="0"/>
        </w:rPr>
        <w:t xml:space="preserve">) shall be distributed according to the entitlements set out </w:t>
      </w:r>
      <w:r>
        <w:t>in the Table —</w:t>
      </w:r>
    </w:p>
    <w:p>
      <w:pPr>
        <w:pStyle w:val="MiscellaneousHeading"/>
        <w:rPr>
          <w:b/>
          <w:snapToGrid w:val="0"/>
        </w:rPr>
      </w:pPr>
      <w:r>
        <w:rPr>
          <w:b/>
          <w:snapToGrid w:val="0"/>
        </w:rPr>
        <w:lastRenderedPageBreak/>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$472 000 (or, if there is a declared sum for item 2 applicable to the intestate, that sum)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$472 000 (or, if there is a declared sum for item 2 applicable to the intestate, that sum) — the surviving husband or wife shall (in addition to the household chattels) be entitled to the sum of $472 000 (or, if there is a declared sum for item 2 applicable to the intestate, that sum),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$705 000 (or, if there is a declared sum for item 3(a) and (b) applicable to the intestate, that sum) — the surviving husband or wife shall be entitled to the whole of the intestate property;</w:t>
            </w:r>
          </w:p>
        </w:tc>
      </w:tr>
      <w:tr>
        <w:tc>
          <w:tcPr>
            <w:tcW w:w="3261" w:type="dxa"/>
            <w:tcBorders>
              <w:bottom w:val="nil"/>
            </w:tcBorders>
          </w:tcPr>
          <w:p>
            <w:pPr>
              <w:pStyle w:val="Table"/>
              <w:keepLines/>
              <w:tabs>
                <w:tab w:val="left" w:pos="213"/>
              </w:tabs>
              <w:spacing w:before="120" w:line="240" w:lineRule="auto"/>
              <w:rPr>
                <w:sz w:val="20"/>
              </w:rPr>
            </w:pPr>
          </w:p>
        </w:tc>
        <w:tc>
          <w:tcPr>
            <w:tcW w:w="3827" w:type="dxa"/>
            <w:tcBorders>
              <w:bottom w:val="nil"/>
            </w:tcBorders>
          </w:tcPr>
          <w:p>
            <w:pPr>
              <w:pStyle w:val="Table"/>
              <w:keepLines/>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$705 000 (or, if there is a declared sum for item 3(a) and (b) applicable to the intestate, that sum) — the surviving husband or wife shall (in addition to the household chattels) be entitled to the sum of $705 000 (or, if there is a declared sum for item 3(a) and (b) applicable to the intestate, that sum), absolutely, together with interest on that sum in accordance with subsection (4), and, of the residue, the surviving husband or wife shall be entitled to one</w:t>
            </w:r>
            <w:r>
              <w:rPr>
                <w:sz w:val="20"/>
              </w:rPr>
              <w:noBreakHyphen/>
              <w:t>half and, as to the other half — </w:t>
            </w:r>
          </w:p>
          <w:p>
            <w:pPr>
              <w:pStyle w:val="Table"/>
              <w:keepLines/>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keepLines/>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$56 500 (or, if there is a declared sum for item 3(b)(i) applicable to the intestate, that sum)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779"/>
                <w:tab w:val="left" w:pos="1204"/>
              </w:tabs>
              <w:spacing w:before="120"/>
              <w:ind w:left="1204" w:hanging="1204"/>
              <w:rPr>
                <w:sz w:val="20"/>
              </w:rPr>
            </w:pPr>
            <w:r>
              <w:rPr>
                <w:sz w:val="20"/>
              </w:rPr>
              <w:tab/>
              <w:t>(B)</w:t>
            </w:r>
            <w:r>
              <w:rPr>
                <w:sz w:val="20"/>
              </w:rPr>
              <w:tab/>
              <w:t xml:space="preserve">in any other case — the parent or parents shall be entitled (in equal shares where both survive the intestate) to the sum of $56 500 (or, if there is a declared sum for item 3(b)(i) applicable to the intestate, that sum), absolutely, and of the remainder, the parent or parents shall be entitled (in equal shares where both survive the intestate) to </w:t>
            </w:r>
            <w:r>
              <w:rPr>
                <w:sz w:val="20"/>
              </w:rPr>
              <w:lastRenderedPageBreak/>
              <w:t>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$56 500 (or, if there is a declared sum for item 6 applicable to the intestate, that sum) — the parent or parents shall be entitled (in equal shares where both survive the intestate) to the whole of the intestate property;</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 xml:space="preserve">where the net value of the intestate property exceeds the sum of $56 500 (or, if there is a declared sum for item 6 applicable to the intestate, that sum) — the parent or parents shall be entitled (in equal shares where both survive the intestate) to the sum of $56 500 (or, if there is a declared sum for item 6 applicable to the intestate, that sum), absolutely, and of the residue, the parent or parents shall be entitled (in equal shares where both survive the intestate) to one half and the brothers and sisters of the intestate and the children of deceased </w:t>
            </w:r>
            <w:r>
              <w:rPr>
                <w:sz w:val="20"/>
              </w:rPr>
              <w:lastRenderedPageBreak/>
              <w:t>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lastRenderedPageBreak/>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pPr>
      <w:r>
        <w:tab/>
        <w:t>(1B)</w:t>
      </w:r>
      <w:r>
        <w:tab/>
        <w:t xml:space="preserve">In this section, the declared sum for a specified item applicable to an intestate is the declared sum for that specified item under the order that has effect at the time the intestate dies (even if that order later ceases to have effect, including if the order ceases to have effect under the </w:t>
      </w:r>
      <w:r>
        <w:rPr>
          <w:i/>
        </w:rPr>
        <w:t xml:space="preserve">Interpretation Act 1984 </w:t>
      </w:r>
      <w:r>
        <w:t>section 42(2) as applied by section 14A(5)).</w:t>
      </w:r>
    </w:p>
    <w:p>
      <w:pPr>
        <w:pStyle w:val="Subsection"/>
        <w:keepNext/>
        <w:spacing w:before="200"/>
        <w:rPr>
          <w:snapToGrid w:val="0"/>
        </w:rPr>
      </w:pPr>
      <w:r>
        <w:rPr>
          <w:snapToGrid w:val="0"/>
        </w:rPr>
        <w:lastRenderedPageBreak/>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t xml:space="preserve"> </w:t>
      </w:r>
      <w:r>
        <w:rPr>
          <w:rStyle w:val="CharDefText"/>
        </w:rPr>
        <w:t>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lastRenderedPageBreak/>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 xml:space="preserve">where any brother or sister did not survive the intestate but left a child or children who so survived, that child </w:t>
      </w:r>
      <w:r>
        <w:rPr>
          <w:snapToGrid w:val="0"/>
        </w:rPr>
        <w:lastRenderedPageBreak/>
        <w:t>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w:t>
      </w:r>
      <w:r>
        <w:t>$472 000 (or, if there is a declared sum for item 2 applicable to the intestate, that sum) mentioned in item 2(b) of the Table; or</w:t>
      </w:r>
    </w:p>
    <w:p>
      <w:pPr>
        <w:pStyle w:val="Indenta"/>
        <w:spacing w:before="120"/>
        <w:rPr>
          <w:snapToGrid w:val="0"/>
        </w:rPr>
      </w:pPr>
      <w:r>
        <w:rPr>
          <w:snapToGrid w:val="0"/>
        </w:rPr>
        <w:tab/>
        <w:t>(b)</w:t>
      </w:r>
      <w:r>
        <w:rPr>
          <w:snapToGrid w:val="0"/>
        </w:rPr>
        <w:tab/>
        <w:t xml:space="preserve">the sum of </w:t>
      </w:r>
      <w:r>
        <w:t>$705 000 (or, if there is a declared sum for item 3(a) and (b) applicable to the intestate, that sum) mentioned in item 3(b) of the Table,</w:t>
      </w:r>
      <w:r>
        <w:rPr>
          <w:snapToGrid w:val="0"/>
        </w:rPr>
        <w:t xml:space="preserve"> </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lastRenderedPageBreak/>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 xml:space="preserve">Subject to </w:t>
      </w:r>
      <w:r>
        <w:t>subsections (9), (10) and (11),</w:t>
      </w:r>
      <w:r>
        <w:rPr>
          <w:snapToGrid w:val="0"/>
        </w:rPr>
        <w:t xml:space="preserve">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shall be distributed in accordance with the enactments and rules of law which would have applied to them if that Act had not been passed.</w:t>
      </w:r>
    </w:p>
    <w:p>
      <w:pPr>
        <w:pStyle w:val="Subsection"/>
      </w:pPr>
      <w:r>
        <w:tab/>
        <w:t>(11)</w:t>
      </w:r>
      <w:r>
        <w:tab/>
        <w:t xml:space="preserve">The estate of a person who dies intestate as to all or any of their property before the day on which the </w:t>
      </w:r>
      <w:r>
        <w:rPr>
          <w:i/>
        </w:rPr>
        <w:t>Administration Amendment Act 2022</w:t>
      </w:r>
      <w:r>
        <w:t xml:space="preserve"> section 4 comes into operation is to be distributed as if that section had not come into operation.</w:t>
      </w:r>
    </w:p>
    <w:p>
      <w:pPr>
        <w:pStyle w:val="Footnotesection"/>
        <w:keepLines w:val="0"/>
        <w:spacing w:before="60"/>
        <w:ind w:left="890" w:hanging="890"/>
      </w:pPr>
      <w:r>
        <w:tab/>
        <w:t>[Section 14 inserted: No. 138 of 1976 s. 4; amended: No. 103 of 1979 s. 3; No. 48 of 1982 s. 3; No. 57 of 1984 s. 4; No. 57 of 1997 s. 16(1); No. 25 of 2002 s. 52; No. 5 of 2022 s. 4.]</w:t>
      </w:r>
    </w:p>
    <w:p>
      <w:pPr>
        <w:pStyle w:val="Heading5"/>
      </w:pPr>
      <w:bookmarkStart w:id="25" w:name="_Toc98944111"/>
      <w:bookmarkStart w:id="26" w:name="_Toc99359269"/>
      <w:bookmarkStart w:id="27" w:name="_Toc99367208"/>
      <w:r>
        <w:rPr>
          <w:rStyle w:val="CharSectno"/>
        </w:rPr>
        <w:lastRenderedPageBreak/>
        <w:t>14A</w:t>
      </w:r>
      <w:r>
        <w:t>.</w:t>
      </w:r>
      <w:r>
        <w:tab/>
        <w:t>Order declaring sum that is to apply for specified item</w:t>
      </w:r>
      <w:bookmarkEnd w:id="25"/>
      <w:bookmarkEnd w:id="26"/>
      <w:bookmarkEnd w:id="27"/>
    </w:p>
    <w:p>
      <w:pPr>
        <w:pStyle w:val="Subsection"/>
      </w:pPr>
      <w:r>
        <w:tab/>
        <w:t>(1)</w:t>
      </w:r>
      <w:r>
        <w:tab/>
        <w:t xml:space="preserve">In this section — </w:t>
      </w:r>
    </w:p>
    <w:p>
      <w:pPr>
        <w:pStyle w:val="Defstart"/>
      </w:pPr>
      <w:r>
        <w:tab/>
      </w:r>
      <w:r>
        <w:rPr>
          <w:rStyle w:val="CharDefText"/>
        </w:rPr>
        <w:t>original sum</w:t>
      </w:r>
      <w:r>
        <w:t xml:space="preserve">, for a specified item, means — </w:t>
      </w:r>
    </w:p>
    <w:p>
      <w:pPr>
        <w:pStyle w:val="Defpara"/>
      </w:pPr>
      <w:r>
        <w:tab/>
        <w:t>(a)</w:t>
      </w:r>
      <w:r>
        <w:tab/>
        <w:t>in the case of item 2 — $472 000;</w:t>
      </w:r>
    </w:p>
    <w:p>
      <w:pPr>
        <w:pStyle w:val="Defpara"/>
      </w:pPr>
      <w:r>
        <w:tab/>
        <w:t>(b)</w:t>
      </w:r>
      <w:r>
        <w:tab/>
        <w:t>in the case of item 3(a) and (b) — $705 000;</w:t>
      </w:r>
    </w:p>
    <w:p>
      <w:pPr>
        <w:pStyle w:val="Defpara"/>
      </w:pPr>
      <w:r>
        <w:tab/>
        <w:t>(c)</w:t>
      </w:r>
      <w:r>
        <w:tab/>
        <w:t>in the case of item 3(b)(i) — $56 500;</w:t>
      </w:r>
    </w:p>
    <w:p>
      <w:pPr>
        <w:pStyle w:val="Defpara"/>
      </w:pPr>
      <w:r>
        <w:tab/>
        <w:t>(d)</w:t>
      </w:r>
      <w:r>
        <w:tab/>
        <w:t>in the case of item 6 — $56 500;</w:t>
      </w:r>
    </w:p>
    <w:p>
      <w:pPr>
        <w:pStyle w:val="Defstart"/>
      </w:pPr>
      <w:r>
        <w:tab/>
      </w:r>
      <w:r>
        <w:rPr>
          <w:rStyle w:val="CharDefText"/>
        </w:rPr>
        <w:t>specified item</w:t>
      </w:r>
      <w:r>
        <w:t xml:space="preserve"> has the meaning given in section 14(1A).</w:t>
      </w:r>
    </w:p>
    <w:p>
      <w:pPr>
        <w:pStyle w:val="Subsection"/>
      </w:pPr>
      <w:r>
        <w:tab/>
        <w:t>(2)</w:t>
      </w:r>
      <w:r>
        <w:tab/>
        <w:t>The Minister may make an order </w:t>
      </w:r>
      <w:r>
        <w:rPr>
          <w:vertAlign w:val="superscript"/>
        </w:rPr>
        <w:t>8</w:t>
      </w:r>
      <w:r>
        <w:t xml:space="preserve"> declaring, for each specified item, the sum that is to apply for that item. </w:t>
      </w:r>
    </w:p>
    <w:p>
      <w:pPr>
        <w:pStyle w:val="Subsection"/>
      </w:pPr>
      <w:r>
        <w:tab/>
        <w:t>(3)</w:t>
      </w:r>
      <w:r>
        <w:tab/>
        <w:t xml:space="preserve">A sum declared by the Minister in an order must be the amount in dollars determined by the following formula, rounded up to the nearest $500 — </w:t>
      </w:r>
    </w:p>
    <w:p>
      <w:pPr>
        <w:pStyle w:val="Equation"/>
        <w:spacing w:before="240"/>
        <w:ind w:left="851" w:hanging="590"/>
      </w:pPr>
      <m:oMathPara>
        <m:oMathParaPr>
          <m:jc m:val="left"/>
        </m:oMathParaPr>
        <m:oMath>
          <m:r>
            <m:rPr>
              <m:sty m:val="p"/>
            </m:rPr>
            <w:rPr>
              <w:rFonts w:ascii="Cambria Math" w:hAnsi="Cambria Math"/>
            </w:rPr>
            <m:t>S=T×</m:t>
          </m:r>
          <m:f>
            <m:fPr>
              <m:ctrlPr>
                <w:rPr>
                  <w:rFonts w:ascii="Cambria Math" w:hAnsi="Cambria Math"/>
                </w:rPr>
              </m:ctrlPr>
            </m:fPr>
            <m:num>
              <m:r>
                <m:rPr>
                  <m:sty m:val="p"/>
                </m:rPr>
                <w:rPr>
                  <w:rFonts w:ascii="Cambria Math" w:hAnsi="Cambria Math"/>
                </w:rPr>
                <m:t>E</m:t>
              </m:r>
            </m:num>
            <m:den>
              <m:r>
                <m:rPr>
                  <m:sty m:val="p"/>
                </m:rPr>
                <w:rPr>
                  <w:rFonts w:ascii="Cambria Math" w:hAnsi="Cambria Math"/>
                </w:rPr>
                <m:t>1 769.90</m:t>
              </m:r>
            </m:den>
          </m:f>
        </m:oMath>
      </m:oMathPara>
    </w:p>
    <w:p>
      <w:pPr>
        <w:pStyle w:val="MiscellaneousBody"/>
        <w:tabs>
          <w:tab w:val="left" w:pos="851"/>
        </w:tabs>
      </w:pPr>
      <w:r>
        <w:tab/>
        <w:t xml:space="preserve">where — </w:t>
      </w:r>
    </w:p>
    <w:p>
      <w:pPr>
        <w:pStyle w:val="MiscellaneousBody"/>
        <w:tabs>
          <w:tab w:val="left" w:pos="851"/>
        </w:tabs>
        <w:ind w:left="1440" w:hanging="1440"/>
      </w:pPr>
      <w:r>
        <w:tab/>
        <w:t>S</w:t>
      </w:r>
      <w:r>
        <w:tab/>
        <w:t>is the sum that is to apply for a specified item, before rounding up to the nearest $500;</w:t>
      </w:r>
    </w:p>
    <w:p>
      <w:pPr>
        <w:pStyle w:val="MiscellaneousBody"/>
        <w:tabs>
          <w:tab w:val="left" w:pos="851"/>
        </w:tabs>
      </w:pPr>
      <w:r>
        <w:tab/>
        <w:t>T</w:t>
      </w:r>
      <w:r>
        <w:tab/>
        <w:t>is the original sum for that specified item;</w:t>
      </w:r>
    </w:p>
    <w:p>
      <w:pPr>
        <w:pStyle w:val="MiscellaneousBody"/>
        <w:tabs>
          <w:tab w:val="left" w:pos="851"/>
        </w:tabs>
        <w:ind w:left="1440" w:hanging="1440"/>
      </w:pPr>
      <w:r>
        <w:tab/>
        <w:t>E</w:t>
      </w:r>
      <w:r>
        <w:tab/>
        <w:t>is the estimate of the average weekly total earnings of full</w:t>
      </w:r>
      <w:r>
        <w:noBreakHyphen/>
        <w:t>time adult employees in Australia most recently published by the Australian Statistician as an original estimate.</w:t>
      </w:r>
    </w:p>
    <w:p>
      <w:pPr>
        <w:pStyle w:val="PermNoteHeading"/>
      </w:pPr>
      <w:r>
        <w:tab/>
        <w:t>Note for this subsection:</w:t>
      </w:r>
    </w:p>
    <w:p>
      <w:pPr>
        <w:pStyle w:val="PermNoteText"/>
      </w:pPr>
      <w:r>
        <w:tab/>
      </w:r>
      <w:r>
        <w:tab/>
        <w:t>$1 769.90 is the estimate of the average weekly total earnings of full</w:t>
      </w:r>
      <w:r>
        <w:noBreakHyphen/>
        <w:t>time adult employees in Australia published by the Australian Statistician for November 2020 as an original estimate.</w:t>
      </w:r>
    </w:p>
    <w:p>
      <w:pPr>
        <w:pStyle w:val="Subsection"/>
      </w:pPr>
      <w:r>
        <w:tab/>
        <w:t>(4)</w:t>
      </w:r>
      <w:r>
        <w:tab/>
        <w:t xml:space="preserve">An order is subsidiary legislation for the purposes of the </w:t>
      </w:r>
      <w:r>
        <w:rPr>
          <w:i/>
        </w:rPr>
        <w:t>Interpretation Act 1984</w:t>
      </w:r>
      <w:r>
        <w:t>.</w:t>
      </w:r>
    </w:p>
    <w:p>
      <w:pPr>
        <w:pStyle w:val="Subsection"/>
      </w:pPr>
      <w:r>
        <w:lastRenderedPageBreak/>
        <w:tab/>
        <w:t>(5)</w:t>
      </w:r>
      <w:r>
        <w:tab/>
        <w:t xml:space="preserve">The </w:t>
      </w:r>
      <w:r>
        <w:rPr>
          <w:i/>
        </w:rPr>
        <w:t>Interpretation Act 1984</w:t>
      </w:r>
      <w:r>
        <w:t xml:space="preserve"> section 42 applies to an order as if the order were regulations.</w:t>
      </w:r>
    </w:p>
    <w:p>
      <w:pPr>
        <w:pStyle w:val="Footnotesection"/>
        <w:keepLines w:val="0"/>
        <w:spacing w:before="60"/>
        <w:ind w:left="890" w:hanging="890"/>
      </w:pPr>
      <w:bookmarkStart w:id="28" w:name="_Toc98944112"/>
      <w:bookmarkStart w:id="29" w:name="_Toc99359270"/>
      <w:r>
        <w:tab/>
        <w:t>[Section 14A inserted: No. 5 of 2022 s. 5.]</w:t>
      </w:r>
    </w:p>
    <w:p>
      <w:pPr>
        <w:pStyle w:val="Heading5"/>
      </w:pPr>
      <w:bookmarkStart w:id="30" w:name="_Toc99367209"/>
      <w:r>
        <w:rPr>
          <w:rStyle w:val="CharSectno"/>
        </w:rPr>
        <w:t>14B</w:t>
      </w:r>
      <w:r>
        <w:t>.</w:t>
      </w:r>
      <w:r>
        <w:tab/>
        <w:t>Minister must review sums for specified items</w:t>
      </w:r>
      <w:bookmarkEnd w:id="28"/>
      <w:bookmarkEnd w:id="29"/>
      <w:bookmarkEnd w:id="30"/>
    </w:p>
    <w:p>
      <w:pPr>
        <w:pStyle w:val="Subsection"/>
      </w:pPr>
      <w:r>
        <w:tab/>
        <w:t>(1)</w:t>
      </w:r>
      <w:r>
        <w:tab/>
        <w:t xml:space="preserve">In this section — </w:t>
      </w:r>
    </w:p>
    <w:p>
      <w:pPr>
        <w:pStyle w:val="Defstart"/>
      </w:pPr>
      <w:r>
        <w:tab/>
      </w:r>
      <w:r>
        <w:rPr>
          <w:rStyle w:val="CharDefText"/>
        </w:rPr>
        <w:t>relevant sums</w:t>
      </w:r>
      <w:r>
        <w:t xml:space="preserve"> means — </w:t>
      </w:r>
    </w:p>
    <w:p>
      <w:pPr>
        <w:pStyle w:val="Defpara"/>
      </w:pPr>
      <w:r>
        <w:tab/>
        <w:t>(a)</w:t>
      </w:r>
      <w:r>
        <w:tab/>
        <w:t>the original sum for each specified item (as those terms are defined in section 14A(1)); or</w:t>
      </w:r>
    </w:p>
    <w:p>
      <w:pPr>
        <w:pStyle w:val="Defpara"/>
      </w:pPr>
      <w:r>
        <w:tab/>
        <w:t>(b)</w:t>
      </w:r>
      <w:r>
        <w:tab/>
        <w:t>if an order under section 14A(2) is in effect — the sums declared by that order.</w:t>
      </w:r>
    </w:p>
    <w:p>
      <w:pPr>
        <w:pStyle w:val="Subsection"/>
      </w:pPr>
      <w:r>
        <w:tab/>
        <w:t>(2)</w:t>
      </w:r>
      <w:r>
        <w:tab/>
        <w:t xml:space="preserve">The Minister must review the relevant sums and decide whether or not it is appropriate to make an order under section 14A(2) — </w:t>
      </w:r>
    </w:p>
    <w:p>
      <w:pPr>
        <w:pStyle w:val="Indenta"/>
      </w:pPr>
      <w:r>
        <w:tab/>
        <w:t>(a)</w:t>
      </w:r>
      <w:r>
        <w:tab/>
        <w:t>on or before 30 June 2023; and</w:t>
      </w:r>
    </w:p>
    <w:p>
      <w:pPr>
        <w:pStyle w:val="Indenta"/>
      </w:pPr>
      <w:r>
        <w:tab/>
        <w:t>(b)</w:t>
      </w:r>
      <w:r>
        <w:tab/>
        <w:t>on or before 30 June in every 2</w:t>
      </w:r>
      <w:r>
        <w:rPr>
          <w:vertAlign w:val="superscript"/>
        </w:rPr>
        <w:t>nd</w:t>
      </w:r>
      <w:r>
        <w:t> year after that.</w:t>
      </w:r>
    </w:p>
    <w:p>
      <w:pPr>
        <w:pStyle w:val="Subsection"/>
        <w:keepNext/>
      </w:pPr>
      <w:r>
        <w:tab/>
        <w:t>(3)</w:t>
      </w:r>
      <w:r>
        <w:tab/>
        <w:t xml:space="preserve">As soon as practicable after completing the review, the Minister must — </w:t>
      </w:r>
    </w:p>
    <w:p>
      <w:pPr>
        <w:pStyle w:val="Indenta"/>
      </w:pPr>
      <w:r>
        <w:tab/>
        <w:t>(a)</w:t>
      </w:r>
      <w:r>
        <w:tab/>
        <w:t xml:space="preserve">prepare a report based on the review; and </w:t>
      </w:r>
    </w:p>
    <w:p>
      <w:pPr>
        <w:pStyle w:val="Indenta"/>
        <w:rPr>
          <w:rStyle w:val="DraftersNotes"/>
          <w:b w:val="0"/>
          <w:i w:val="0"/>
        </w:rPr>
      </w:pPr>
      <w:r>
        <w:tab/>
        <w:t>(b)</w:t>
      </w:r>
      <w:r>
        <w:tab/>
        <w:t>cause the report to be laid before each House of Parliament.</w:t>
      </w:r>
    </w:p>
    <w:p>
      <w:pPr>
        <w:pStyle w:val="Subsection"/>
      </w:pPr>
      <w:r>
        <w:tab/>
        <w:t>(4)</w:t>
      </w:r>
      <w:r>
        <w:tab/>
        <w:t>Subsection (2) does not limit the times at which the Minister may make an order under section 14A(2).</w:t>
      </w:r>
    </w:p>
    <w:p>
      <w:pPr>
        <w:pStyle w:val="Footnotesection"/>
        <w:keepLines w:val="0"/>
        <w:spacing w:before="60"/>
        <w:ind w:left="890" w:hanging="890"/>
      </w:pPr>
      <w:r>
        <w:tab/>
        <w:t xml:space="preserve">[Section 14B inserted: No. 5 of 2022 s. 5.] </w:t>
      </w:r>
    </w:p>
    <w:p>
      <w:pPr>
        <w:pStyle w:val="Heading5"/>
        <w:rPr>
          <w:snapToGrid w:val="0"/>
        </w:rPr>
      </w:pPr>
      <w:bookmarkStart w:id="31" w:name="_Toc99367210"/>
      <w:r>
        <w:rPr>
          <w:rStyle w:val="CharSectno"/>
        </w:rPr>
        <w:t>15</w:t>
      </w:r>
      <w:r>
        <w:rPr>
          <w:snapToGrid w:val="0"/>
        </w:rPr>
        <w:t>.</w:t>
      </w:r>
      <w:r>
        <w:rPr>
          <w:snapToGrid w:val="0"/>
        </w:rPr>
        <w:tab/>
        <w:t>De facto partners and distribution on intestacy</w:t>
      </w:r>
      <w:bookmarkEnd w:id="31"/>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lastRenderedPageBreak/>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lastRenderedPageBreak/>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No. 25 of 2002 s. 52.]</w:t>
      </w:r>
    </w:p>
    <w:p>
      <w:pPr>
        <w:pStyle w:val="Ednotesection"/>
        <w:spacing w:before="180"/>
      </w:pPr>
      <w:r>
        <w:t>[</w:t>
      </w:r>
      <w:r>
        <w:rPr>
          <w:b/>
        </w:rPr>
        <w:t>15A</w:t>
      </w:r>
      <w:r>
        <w:t>.</w:t>
      </w:r>
      <w:r>
        <w:tab/>
        <w:t xml:space="preserve">Deleted: No. 138 of 1976 s. 4.] </w:t>
      </w:r>
    </w:p>
    <w:p>
      <w:pPr>
        <w:pStyle w:val="Heading5"/>
        <w:spacing w:before="180"/>
        <w:rPr>
          <w:snapToGrid w:val="0"/>
        </w:rPr>
      </w:pPr>
      <w:bookmarkStart w:id="32" w:name="_Toc99367211"/>
      <w:r>
        <w:rPr>
          <w:rStyle w:val="CharSectno"/>
        </w:rPr>
        <w:t>16</w:t>
      </w:r>
      <w:r>
        <w:rPr>
          <w:snapToGrid w:val="0"/>
        </w:rPr>
        <w:t>.</w:t>
      </w:r>
      <w:r>
        <w:rPr>
          <w:snapToGrid w:val="0"/>
        </w:rPr>
        <w:tab/>
        <w:t>Courtesy and dower abolished</w:t>
      </w:r>
      <w:bookmarkEnd w:id="32"/>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33" w:name="_Toc99367212"/>
      <w:r>
        <w:rPr>
          <w:rStyle w:val="CharSectno"/>
        </w:rPr>
        <w:t>17</w:t>
      </w:r>
      <w:r>
        <w:rPr>
          <w:snapToGrid w:val="0"/>
        </w:rPr>
        <w:t>.</w:t>
      </w:r>
      <w:r>
        <w:rPr>
          <w:snapToGrid w:val="0"/>
        </w:rPr>
        <w:tab/>
        <w:t>Court may deal with interest of infants in certain cases</w:t>
      </w:r>
      <w:bookmarkEnd w:id="33"/>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 xml:space="preserve">The power or authority that the Court may confer under this section on an executor or administrator is in addition to any other power or authority, statutory or otherwise, that the executor or administrator may have to pay or apply capital </w:t>
      </w:r>
      <w:r>
        <w:rPr>
          <w:snapToGrid w:val="0"/>
        </w:rPr>
        <w:lastRenderedPageBreak/>
        <w:t>money or assets, or the income thereof, to or on behalf of an infant.</w:t>
      </w:r>
    </w:p>
    <w:p>
      <w:pPr>
        <w:pStyle w:val="Footnotesection"/>
      </w:pPr>
      <w:r>
        <w:tab/>
        <w:t xml:space="preserve">[Section 17 amended: No. 62 of 1955 s. 5; No. 80 of 1962 s. 3; No. 113 of 1965 s. 8.] </w:t>
      </w:r>
    </w:p>
    <w:p>
      <w:pPr>
        <w:pStyle w:val="Heading5"/>
        <w:rPr>
          <w:snapToGrid w:val="0"/>
        </w:rPr>
      </w:pPr>
      <w:bookmarkStart w:id="34" w:name="_Toc99367213"/>
      <w:r>
        <w:rPr>
          <w:rStyle w:val="CharSectno"/>
        </w:rPr>
        <w:t>17A</w:t>
      </w:r>
      <w:r>
        <w:rPr>
          <w:snapToGrid w:val="0"/>
        </w:rPr>
        <w:t>.</w:t>
      </w:r>
      <w:r>
        <w:rPr>
          <w:snapToGrid w:val="0"/>
        </w:rPr>
        <w:tab/>
        <w:t>Power to appoint trustees of infant’s property</w:t>
      </w:r>
      <w:bookmarkEnd w:id="34"/>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 xml:space="preserve">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w:t>
      </w:r>
      <w:r>
        <w:rPr>
          <w:snapToGrid w:val="0"/>
        </w:rPr>
        <w:lastRenderedPageBreak/>
        <w:t>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No. 80 of 1962 s. 4; amended: No. 1 of 1997 s. 18.] </w:t>
      </w:r>
    </w:p>
    <w:p>
      <w:pPr>
        <w:pStyle w:val="Ednotesection"/>
        <w:spacing w:before="180"/>
      </w:pPr>
      <w:r>
        <w:t>[</w:t>
      </w:r>
      <w:r>
        <w:rPr>
          <w:b/>
        </w:rPr>
        <w:t>18.</w:t>
      </w:r>
      <w:r>
        <w:tab/>
        <w:t xml:space="preserve">Deleted: No. 80 of 1962 s. 5.] </w:t>
      </w:r>
    </w:p>
    <w:p>
      <w:pPr>
        <w:pStyle w:val="Heading5"/>
        <w:spacing w:before="180"/>
        <w:rPr>
          <w:snapToGrid w:val="0"/>
        </w:rPr>
      </w:pPr>
      <w:bookmarkStart w:id="35" w:name="_Toc99367214"/>
      <w:r>
        <w:rPr>
          <w:rStyle w:val="CharSectno"/>
        </w:rPr>
        <w:t>19</w:t>
      </w:r>
      <w:r>
        <w:rPr>
          <w:snapToGrid w:val="0"/>
        </w:rPr>
        <w:t>.</w:t>
      </w:r>
      <w:r>
        <w:rPr>
          <w:snapToGrid w:val="0"/>
        </w:rPr>
        <w:tab/>
        <w:t>Court may direct partition of real estate</w:t>
      </w:r>
      <w:bookmarkEnd w:id="35"/>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 xml:space="preserve">Transfer of Land </w:t>
      </w:r>
      <w:r>
        <w:rPr>
          <w:i/>
          <w:snapToGrid w:val="0"/>
        </w:rPr>
        <w:lastRenderedPageBreak/>
        <w:t>Act 1893</w:t>
      </w:r>
      <w:r>
        <w:rPr>
          <w:snapToGrid w:val="0"/>
        </w:rPr>
        <w:t>, the certificate of title shall be created and registered subject to such charge.</w:t>
      </w:r>
    </w:p>
    <w:p>
      <w:pPr>
        <w:pStyle w:val="Footnotesection"/>
        <w:ind w:left="890" w:hanging="890"/>
      </w:pPr>
      <w:r>
        <w:tab/>
        <w:t xml:space="preserve">[Section 19 amended: No. 67 of 1979 s. 44; No. 81 of 1996 s. 153(1); No. 60 of 2006 s. 120.] </w:t>
      </w:r>
    </w:p>
    <w:p>
      <w:pPr>
        <w:pStyle w:val="Heading5"/>
        <w:rPr>
          <w:snapToGrid w:val="0"/>
        </w:rPr>
      </w:pPr>
      <w:bookmarkStart w:id="36" w:name="_Toc99367215"/>
      <w:r>
        <w:rPr>
          <w:rStyle w:val="CharSectno"/>
        </w:rPr>
        <w:t>20</w:t>
      </w:r>
      <w:r>
        <w:rPr>
          <w:snapToGrid w:val="0"/>
        </w:rPr>
        <w:t>.</w:t>
      </w:r>
      <w:r>
        <w:rPr>
          <w:snapToGrid w:val="0"/>
        </w:rPr>
        <w:tab/>
        <w:t>Personal representative may relinquish trust</w:t>
      </w:r>
      <w:bookmarkEnd w:id="36"/>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37" w:name="_Toc99367216"/>
      <w:r>
        <w:rPr>
          <w:rStyle w:val="CharSectno"/>
        </w:rPr>
        <w:t>21</w:t>
      </w:r>
      <w:r>
        <w:rPr>
          <w:snapToGrid w:val="0"/>
        </w:rPr>
        <w:t>.</w:t>
      </w:r>
      <w:r>
        <w:rPr>
          <w:snapToGrid w:val="0"/>
        </w:rPr>
        <w:tab/>
        <w:t>Executor or administrator to represent real estate</w:t>
      </w:r>
      <w:bookmarkEnd w:id="37"/>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No. 26 of 1941 s. 3.]</w:t>
      </w:r>
    </w:p>
    <w:p>
      <w:pPr>
        <w:pStyle w:val="Heading5"/>
        <w:spacing w:before="200"/>
        <w:rPr>
          <w:snapToGrid w:val="0"/>
        </w:rPr>
      </w:pPr>
      <w:bookmarkStart w:id="38" w:name="_Toc99367217"/>
      <w:r>
        <w:rPr>
          <w:rStyle w:val="CharSectno"/>
        </w:rPr>
        <w:t>23</w:t>
      </w:r>
      <w:r>
        <w:rPr>
          <w:snapToGrid w:val="0"/>
        </w:rPr>
        <w:t>.</w:t>
      </w:r>
      <w:r>
        <w:rPr>
          <w:snapToGrid w:val="0"/>
        </w:rPr>
        <w:tab/>
        <w:t>All creditors to stand in equal degree</w:t>
      </w:r>
      <w:bookmarkEnd w:id="38"/>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No. 72 of 1984 s. 7.] </w:t>
      </w:r>
    </w:p>
    <w:p>
      <w:pPr>
        <w:pStyle w:val="Heading5"/>
        <w:spacing w:before="200"/>
        <w:rPr>
          <w:snapToGrid w:val="0"/>
        </w:rPr>
      </w:pPr>
      <w:bookmarkStart w:id="39" w:name="_Toc99367218"/>
      <w:r>
        <w:rPr>
          <w:rStyle w:val="CharSectno"/>
        </w:rPr>
        <w:lastRenderedPageBreak/>
        <w:t>24</w:t>
      </w:r>
      <w:r>
        <w:rPr>
          <w:snapToGrid w:val="0"/>
        </w:rPr>
        <w:t>.</w:t>
      </w:r>
      <w:r>
        <w:rPr>
          <w:snapToGrid w:val="0"/>
        </w:rPr>
        <w:tab/>
        <w:t>Administration in case of intestacy</w:t>
      </w:r>
      <w:bookmarkEnd w:id="39"/>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40" w:name="_Toc99367219"/>
      <w:r>
        <w:rPr>
          <w:rStyle w:val="CharSectno"/>
        </w:rPr>
        <w:t>25</w:t>
      </w:r>
      <w:r>
        <w:rPr>
          <w:snapToGrid w:val="0"/>
        </w:rPr>
        <w:t>.</w:t>
      </w:r>
      <w:r>
        <w:rPr>
          <w:snapToGrid w:val="0"/>
        </w:rPr>
        <w:tab/>
        <w:t>Persons entitled to administration</w:t>
      </w:r>
      <w:bookmarkEnd w:id="40"/>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No. 46 of 1972 s. 6(2); No. 57 of 1984 s. 5; No. 21 of 1986 s. 4.] </w:t>
      </w:r>
    </w:p>
    <w:p>
      <w:pPr>
        <w:pStyle w:val="Heading5"/>
        <w:spacing w:before="180"/>
        <w:rPr>
          <w:snapToGrid w:val="0"/>
        </w:rPr>
      </w:pPr>
      <w:bookmarkStart w:id="41" w:name="_Toc99367220"/>
      <w:r>
        <w:rPr>
          <w:rStyle w:val="CharSectno"/>
        </w:rPr>
        <w:t>26</w:t>
      </w:r>
      <w:r>
        <w:rPr>
          <w:snapToGrid w:val="0"/>
        </w:rPr>
        <w:t>.</w:t>
      </w:r>
      <w:r>
        <w:rPr>
          <w:snapToGrid w:val="0"/>
        </w:rPr>
        <w:tab/>
        <w:t>Power to require administrator to produce sureties</w:t>
      </w:r>
      <w:bookmarkEnd w:id="41"/>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lastRenderedPageBreak/>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lastRenderedPageBreak/>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No. 138 of 1976 s. 5; amended: No. 67 of 1979 s. 44.] </w:t>
      </w:r>
    </w:p>
    <w:p>
      <w:pPr>
        <w:pStyle w:val="Ednotesection"/>
      </w:pPr>
      <w:r>
        <w:t>[</w:t>
      </w:r>
      <w:r>
        <w:rPr>
          <w:b/>
        </w:rPr>
        <w:t>27</w:t>
      </w:r>
      <w:r>
        <w:rPr>
          <w:b/>
        </w:rPr>
        <w:noBreakHyphen/>
        <w:t>28.</w:t>
      </w:r>
      <w:r>
        <w:tab/>
        <w:t xml:space="preserve">Deleted: No. 138 of 1976 s. 6.] </w:t>
      </w:r>
    </w:p>
    <w:p>
      <w:pPr>
        <w:pStyle w:val="Heading5"/>
        <w:rPr>
          <w:snapToGrid w:val="0"/>
        </w:rPr>
      </w:pPr>
      <w:bookmarkStart w:id="42" w:name="_Toc99367221"/>
      <w:r>
        <w:rPr>
          <w:rStyle w:val="CharSectno"/>
        </w:rPr>
        <w:t>29</w:t>
      </w:r>
      <w:r>
        <w:rPr>
          <w:snapToGrid w:val="0"/>
        </w:rPr>
        <w:t>.</w:t>
      </w:r>
      <w:r>
        <w:rPr>
          <w:snapToGrid w:val="0"/>
        </w:rPr>
        <w:tab/>
        <w:t>Court may revoke grant of administration</w:t>
      </w:r>
      <w:bookmarkEnd w:id="42"/>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No. 138 of 1976 s. 7; amended: No. 67 of 1979 s. 44; No. 103 of 1979 s. 4; No. 57 of 1997 s. 16(2).] </w:t>
      </w:r>
    </w:p>
    <w:p>
      <w:pPr>
        <w:pStyle w:val="Ednotesection"/>
        <w:spacing w:before="180"/>
        <w:ind w:left="890" w:hanging="890"/>
      </w:pPr>
      <w:r>
        <w:t>[</w:t>
      </w:r>
      <w:r>
        <w:rPr>
          <w:b/>
        </w:rPr>
        <w:t>30</w:t>
      </w:r>
      <w:r>
        <w:rPr>
          <w:b/>
        </w:rPr>
        <w:noBreakHyphen/>
        <w:t>31.</w:t>
      </w:r>
      <w:r>
        <w:tab/>
        <w:t xml:space="preserve">Deleted: No. 138 of 1976 s. 8.] </w:t>
      </w:r>
    </w:p>
    <w:p>
      <w:pPr>
        <w:pStyle w:val="Heading5"/>
        <w:rPr>
          <w:snapToGrid w:val="0"/>
        </w:rPr>
      </w:pPr>
      <w:bookmarkStart w:id="43" w:name="_Toc99367222"/>
      <w:r>
        <w:rPr>
          <w:rStyle w:val="CharSectno"/>
        </w:rPr>
        <w:t>32</w:t>
      </w:r>
      <w:r>
        <w:rPr>
          <w:snapToGrid w:val="0"/>
        </w:rPr>
        <w:t>.</w:t>
      </w:r>
      <w:r>
        <w:rPr>
          <w:snapToGrid w:val="0"/>
        </w:rPr>
        <w:tab/>
        <w:t>In case of renunciation or failure to take probate, right of executor gone</w:t>
      </w:r>
      <w:bookmarkEnd w:id="43"/>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44" w:name="_Toc99367223"/>
      <w:r>
        <w:rPr>
          <w:rStyle w:val="CharSectno"/>
        </w:rPr>
        <w:lastRenderedPageBreak/>
        <w:t>33</w:t>
      </w:r>
      <w:r>
        <w:rPr>
          <w:snapToGrid w:val="0"/>
        </w:rPr>
        <w:t>.</w:t>
      </w:r>
      <w:r>
        <w:rPr>
          <w:snapToGrid w:val="0"/>
        </w:rPr>
        <w:tab/>
        <w:t>Where infant is executor etc.</w:t>
      </w:r>
      <w:bookmarkEnd w:id="44"/>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No. 46 of 1972 s. 6(2).] </w:t>
      </w:r>
    </w:p>
    <w:p>
      <w:pPr>
        <w:pStyle w:val="Heading5"/>
        <w:rPr>
          <w:snapToGrid w:val="0"/>
        </w:rPr>
      </w:pPr>
      <w:bookmarkStart w:id="45" w:name="_Toc99367224"/>
      <w:r>
        <w:rPr>
          <w:rStyle w:val="CharSectno"/>
        </w:rPr>
        <w:t>34</w:t>
      </w:r>
      <w:r>
        <w:rPr>
          <w:snapToGrid w:val="0"/>
        </w:rPr>
        <w:t>.</w:t>
      </w:r>
      <w:r>
        <w:rPr>
          <w:snapToGrid w:val="0"/>
        </w:rPr>
        <w:tab/>
        <w:t>Where person entitled to probate or administration is out of the jurisdiction</w:t>
      </w:r>
      <w:bookmarkEnd w:id="45"/>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No. 21 of 1942 s. 2.] </w:t>
      </w:r>
    </w:p>
    <w:p>
      <w:pPr>
        <w:pStyle w:val="Heading5"/>
        <w:rPr>
          <w:snapToGrid w:val="0"/>
        </w:rPr>
      </w:pPr>
      <w:bookmarkStart w:id="46" w:name="_Toc99367225"/>
      <w:r>
        <w:rPr>
          <w:rStyle w:val="CharSectno"/>
        </w:rPr>
        <w:t>35</w:t>
      </w:r>
      <w:r>
        <w:rPr>
          <w:snapToGrid w:val="0"/>
        </w:rPr>
        <w:t>.</w:t>
      </w:r>
      <w:r>
        <w:rPr>
          <w:snapToGrid w:val="0"/>
        </w:rPr>
        <w:tab/>
        <w:t>Court may appoint manager and receiver pending litigation</w:t>
      </w:r>
      <w:bookmarkEnd w:id="46"/>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No. 138 of 1976 s. 9.] </w:t>
      </w:r>
    </w:p>
    <w:p>
      <w:pPr>
        <w:pStyle w:val="Heading5"/>
        <w:spacing w:before="180"/>
        <w:rPr>
          <w:snapToGrid w:val="0"/>
        </w:rPr>
      </w:pPr>
      <w:bookmarkStart w:id="47" w:name="_Toc99367226"/>
      <w:r>
        <w:rPr>
          <w:rStyle w:val="CharSectno"/>
        </w:rPr>
        <w:lastRenderedPageBreak/>
        <w:t>36</w:t>
      </w:r>
      <w:r>
        <w:rPr>
          <w:snapToGrid w:val="0"/>
        </w:rPr>
        <w:t>.</w:t>
      </w:r>
      <w:r>
        <w:rPr>
          <w:snapToGrid w:val="0"/>
        </w:rPr>
        <w:tab/>
        <w:t>Administration with will annexed</w:t>
      </w:r>
      <w:bookmarkEnd w:id="47"/>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No. 138 of 1976 s. 10.] </w:t>
      </w:r>
    </w:p>
    <w:p>
      <w:pPr>
        <w:pStyle w:val="Heading5"/>
        <w:rPr>
          <w:snapToGrid w:val="0"/>
        </w:rPr>
      </w:pPr>
      <w:bookmarkStart w:id="48" w:name="_Toc99367227"/>
      <w:r>
        <w:rPr>
          <w:rStyle w:val="CharSectno"/>
        </w:rPr>
        <w:t>37</w:t>
      </w:r>
      <w:r>
        <w:rPr>
          <w:snapToGrid w:val="0"/>
        </w:rPr>
        <w:t>.</w:t>
      </w:r>
      <w:r>
        <w:rPr>
          <w:snapToGrid w:val="0"/>
        </w:rPr>
        <w:tab/>
        <w:t>Probate or administration if executor etc. absent or neglects to obtain probate etc.</w:t>
      </w:r>
      <w:bookmarkEnd w:id="48"/>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No. 46 of 1972 s. 6(2).] </w:t>
      </w:r>
    </w:p>
    <w:p>
      <w:pPr>
        <w:pStyle w:val="Heading5"/>
        <w:keepNext w:val="0"/>
        <w:keepLines w:val="0"/>
        <w:spacing w:before="160"/>
        <w:rPr>
          <w:snapToGrid w:val="0"/>
        </w:rPr>
      </w:pPr>
      <w:bookmarkStart w:id="49" w:name="_Toc99367228"/>
      <w:r>
        <w:rPr>
          <w:rStyle w:val="CharSectno"/>
        </w:rPr>
        <w:t>38</w:t>
      </w:r>
      <w:r>
        <w:rPr>
          <w:snapToGrid w:val="0"/>
        </w:rPr>
        <w:t>.</w:t>
      </w:r>
      <w:r>
        <w:rPr>
          <w:snapToGrid w:val="0"/>
        </w:rPr>
        <w:tab/>
        <w:t>Special letters of administration if executor or administrator not within jurisdiction</w:t>
      </w:r>
      <w:bookmarkEnd w:id="49"/>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 xml:space="preserve">The applicant shall satisfy the Court that the executor or administrator is resident out of the jurisdiction, and that the applicant is thereby delayed in recovering or obtaining payment of moneys, or the possession of goods and chattels, or real estate </w:t>
      </w:r>
      <w:r>
        <w:rPr>
          <w:snapToGrid w:val="0"/>
        </w:rPr>
        <w:lastRenderedPageBreak/>
        <w:t>to which he is by law entitled, or that the estate is liable to loss or waste.</w:t>
      </w:r>
    </w:p>
    <w:p>
      <w:pPr>
        <w:pStyle w:val="Heading5"/>
        <w:rPr>
          <w:snapToGrid w:val="0"/>
        </w:rPr>
      </w:pPr>
      <w:bookmarkStart w:id="50" w:name="_Toc99367229"/>
      <w:r>
        <w:rPr>
          <w:rStyle w:val="CharSectno"/>
        </w:rPr>
        <w:t>39</w:t>
      </w:r>
      <w:r>
        <w:rPr>
          <w:snapToGrid w:val="0"/>
        </w:rPr>
        <w:t>.</w:t>
      </w:r>
      <w:r>
        <w:rPr>
          <w:snapToGrid w:val="0"/>
        </w:rPr>
        <w:tab/>
        <w:t>On return of executor or administrator, special administration may be revoked</w:t>
      </w:r>
      <w:bookmarkEnd w:id="50"/>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51" w:name="_Toc99367230"/>
      <w:r>
        <w:rPr>
          <w:rStyle w:val="CharSectno"/>
        </w:rPr>
        <w:t>40</w:t>
      </w:r>
      <w:r>
        <w:rPr>
          <w:snapToGrid w:val="0"/>
        </w:rPr>
        <w:t>.</w:t>
      </w:r>
      <w:r>
        <w:rPr>
          <w:snapToGrid w:val="0"/>
        </w:rPr>
        <w:tab/>
        <w:t>Absent executor liable to account</w:t>
      </w:r>
      <w:bookmarkEnd w:id="51"/>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52" w:name="_Toc99367231"/>
      <w:r>
        <w:rPr>
          <w:rStyle w:val="CharSectno"/>
        </w:rPr>
        <w:t>41</w:t>
      </w:r>
      <w:r>
        <w:rPr>
          <w:snapToGrid w:val="0"/>
        </w:rPr>
        <w:t>.</w:t>
      </w:r>
      <w:r>
        <w:rPr>
          <w:snapToGrid w:val="0"/>
        </w:rPr>
        <w:tab/>
        <w:t>Revocation pending litigation not to abate proceedings</w:t>
      </w:r>
      <w:bookmarkEnd w:id="52"/>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53" w:name="_Toc99367232"/>
      <w:r>
        <w:rPr>
          <w:rStyle w:val="CharSectno"/>
        </w:rPr>
        <w:lastRenderedPageBreak/>
        <w:t>42</w:t>
      </w:r>
      <w:r>
        <w:rPr>
          <w:snapToGrid w:val="0"/>
        </w:rPr>
        <w:t>.</w:t>
      </w:r>
      <w:r>
        <w:rPr>
          <w:snapToGrid w:val="0"/>
        </w:rPr>
        <w:tab/>
        <w:t>Devisee or legatee may apply to Court in certain cases</w:t>
      </w:r>
      <w:bookmarkEnd w:id="53"/>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54" w:name="_Toc99367233"/>
      <w:r>
        <w:rPr>
          <w:rStyle w:val="CharSectno"/>
        </w:rPr>
        <w:t>43</w:t>
      </w:r>
      <w:r>
        <w:rPr>
          <w:snapToGrid w:val="0"/>
        </w:rPr>
        <w:t>.</w:t>
      </w:r>
      <w:r>
        <w:rPr>
          <w:snapToGrid w:val="0"/>
        </w:rPr>
        <w:tab/>
        <w:t>Inventory and accounts</w:t>
      </w:r>
      <w:bookmarkEnd w:id="54"/>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No. 138 of 1976 s. 11.] </w:t>
      </w:r>
    </w:p>
    <w:p>
      <w:pPr>
        <w:pStyle w:val="Heading5"/>
        <w:rPr>
          <w:snapToGrid w:val="0"/>
        </w:rPr>
      </w:pPr>
      <w:bookmarkStart w:id="55" w:name="_Toc99367234"/>
      <w:r>
        <w:rPr>
          <w:rStyle w:val="CharSectno"/>
        </w:rPr>
        <w:lastRenderedPageBreak/>
        <w:t>44</w:t>
      </w:r>
      <w:r>
        <w:rPr>
          <w:snapToGrid w:val="0"/>
        </w:rPr>
        <w:t>.</w:t>
      </w:r>
      <w:r>
        <w:rPr>
          <w:snapToGrid w:val="0"/>
        </w:rPr>
        <w:tab/>
        <w:t>If accounts not filed Principal Registrar to give notice etc.</w:t>
      </w:r>
      <w:bookmarkEnd w:id="55"/>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No. 138 of 1976 s. 12; No. 67 of 1979 s. 44.] </w:t>
      </w:r>
    </w:p>
    <w:p>
      <w:pPr>
        <w:pStyle w:val="Heading5"/>
        <w:rPr>
          <w:snapToGrid w:val="0"/>
        </w:rPr>
      </w:pPr>
      <w:bookmarkStart w:id="56" w:name="_Toc99367235"/>
      <w:r>
        <w:rPr>
          <w:rStyle w:val="CharSectno"/>
        </w:rPr>
        <w:t>45</w:t>
      </w:r>
      <w:r>
        <w:rPr>
          <w:snapToGrid w:val="0"/>
        </w:rPr>
        <w:t>.</w:t>
      </w:r>
      <w:r>
        <w:rPr>
          <w:snapToGrid w:val="0"/>
        </w:rPr>
        <w:tab/>
        <w:t>Court may settle all questions arising in administration</w:t>
      </w:r>
      <w:bookmarkEnd w:id="56"/>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No. 62 of 1955 s. 8.] </w:t>
      </w:r>
    </w:p>
    <w:p>
      <w:pPr>
        <w:pStyle w:val="Heading5"/>
        <w:rPr>
          <w:snapToGrid w:val="0"/>
        </w:rPr>
      </w:pPr>
      <w:bookmarkStart w:id="57" w:name="_Toc99367236"/>
      <w:r>
        <w:rPr>
          <w:rStyle w:val="CharSectno"/>
        </w:rPr>
        <w:t>46</w:t>
      </w:r>
      <w:r>
        <w:rPr>
          <w:snapToGrid w:val="0"/>
        </w:rPr>
        <w:t>.</w:t>
      </w:r>
      <w:r>
        <w:rPr>
          <w:snapToGrid w:val="0"/>
        </w:rPr>
        <w:tab/>
        <w:t>Payments made before revocation to be valid</w:t>
      </w:r>
      <w:bookmarkEnd w:id="57"/>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lastRenderedPageBreak/>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58" w:name="_Toc99367237"/>
      <w:r>
        <w:rPr>
          <w:rStyle w:val="CharSectno"/>
        </w:rPr>
        <w:t>47</w:t>
      </w:r>
      <w:r>
        <w:rPr>
          <w:snapToGrid w:val="0"/>
        </w:rPr>
        <w:t>.</w:t>
      </w:r>
      <w:r>
        <w:rPr>
          <w:snapToGrid w:val="0"/>
        </w:rPr>
        <w:tab/>
        <w:t>Payments etc. to be valid notwithstanding defect</w:t>
      </w:r>
      <w:bookmarkEnd w:id="58"/>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59" w:name="_Toc99367238"/>
      <w:r>
        <w:rPr>
          <w:rStyle w:val="CharSectno"/>
        </w:rPr>
        <w:t>47A</w:t>
      </w:r>
      <w:r>
        <w:rPr>
          <w:snapToGrid w:val="0"/>
        </w:rPr>
        <w:t xml:space="preserve">. </w:t>
      </w:r>
      <w:r>
        <w:rPr>
          <w:snapToGrid w:val="0"/>
        </w:rPr>
        <w:tab/>
        <w:t>Protection of executors, administrators and trustees</w:t>
      </w:r>
      <w:bookmarkEnd w:id="59"/>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lastRenderedPageBreak/>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No. 18 of 1971 s. 4.] </w:t>
      </w:r>
    </w:p>
    <w:p>
      <w:pPr>
        <w:pStyle w:val="Ednotesection"/>
        <w:spacing w:before="200"/>
        <w:ind w:left="890" w:hanging="890"/>
      </w:pPr>
      <w:r>
        <w:t>[</w:t>
      </w:r>
      <w:r>
        <w:rPr>
          <w:b/>
        </w:rPr>
        <w:t>48</w:t>
      </w:r>
      <w:r>
        <w:rPr>
          <w:b/>
        </w:rPr>
        <w:noBreakHyphen/>
        <w:t>52.</w:t>
      </w:r>
      <w:r>
        <w:tab/>
        <w:t xml:space="preserve">Deleted: No. 80 of 1962 s. 5.] </w:t>
      </w:r>
    </w:p>
    <w:p>
      <w:pPr>
        <w:pStyle w:val="Heading5"/>
        <w:rPr>
          <w:snapToGrid w:val="0"/>
        </w:rPr>
      </w:pPr>
      <w:bookmarkStart w:id="60" w:name="_Toc99367239"/>
      <w:r>
        <w:rPr>
          <w:rStyle w:val="CharSectno"/>
        </w:rPr>
        <w:t>53</w:t>
      </w:r>
      <w:r>
        <w:rPr>
          <w:snapToGrid w:val="0"/>
        </w:rPr>
        <w:t>.</w:t>
      </w:r>
      <w:r>
        <w:rPr>
          <w:snapToGrid w:val="0"/>
        </w:rPr>
        <w:tab/>
        <w:t>Executor deemed to be resident in State</w:t>
      </w:r>
      <w:bookmarkEnd w:id="60"/>
      <w:r>
        <w:rPr>
          <w:snapToGrid w:val="0"/>
        </w:rPr>
        <w:t xml:space="preserve"> </w:t>
      </w:r>
    </w:p>
    <w:p>
      <w:pPr>
        <w:pStyle w:val="Subsection"/>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No. 67 of 1979 s. 44; No. 14 of 1980 s. 3.] </w:t>
      </w:r>
    </w:p>
    <w:p>
      <w:pPr>
        <w:pStyle w:val="Heading5"/>
        <w:spacing w:before="200"/>
        <w:rPr>
          <w:snapToGrid w:val="0"/>
        </w:rPr>
      </w:pPr>
      <w:bookmarkStart w:id="61" w:name="_Toc99367240"/>
      <w:r>
        <w:rPr>
          <w:rStyle w:val="CharSectno"/>
        </w:rPr>
        <w:t>54</w:t>
      </w:r>
      <w:r>
        <w:rPr>
          <w:snapToGrid w:val="0"/>
        </w:rPr>
        <w:t>.</w:t>
      </w:r>
      <w:r>
        <w:rPr>
          <w:snapToGrid w:val="0"/>
        </w:rPr>
        <w:tab/>
        <w:t>Court may appoint district agents</w:t>
      </w:r>
      <w:bookmarkEnd w:id="61"/>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km from Perth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No. 55 of 1941 s. 5; No. 94 of 1972 s. 4 (as amended: No. 19 of 1973); No. 67 of 1979 s. 44; No. 59 of 2004 s. 141; No. 24 of 2005 s. 63.] </w:t>
      </w:r>
    </w:p>
    <w:p>
      <w:pPr>
        <w:pStyle w:val="Heading5"/>
        <w:rPr>
          <w:snapToGrid w:val="0"/>
        </w:rPr>
      </w:pPr>
      <w:bookmarkStart w:id="62" w:name="_Toc99367241"/>
      <w:r>
        <w:rPr>
          <w:rStyle w:val="CharSectno"/>
        </w:rPr>
        <w:lastRenderedPageBreak/>
        <w:t>55</w:t>
      </w:r>
      <w:r>
        <w:rPr>
          <w:snapToGrid w:val="0"/>
        </w:rPr>
        <w:t>.</w:t>
      </w:r>
      <w:r>
        <w:rPr>
          <w:snapToGrid w:val="0"/>
        </w:rPr>
        <w:tab/>
        <w:t>Where estate does not exceed $10 000 the Principal Registrar or district agent may act</w:t>
      </w:r>
      <w:bookmarkEnd w:id="62"/>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No. 66 of 1963 s. 2; amended: No. 113 of 1965 s. 8; No. 94 of 1972 s. 4 (as amended: No. 19 of 1973); No. 37 of 1977 s. 3; No. 67 of 1979 s. 44; No. 14 of 1980 s. 4.] </w:t>
      </w:r>
    </w:p>
    <w:p>
      <w:pPr>
        <w:pStyle w:val="Heading5"/>
        <w:spacing w:before="180"/>
        <w:rPr>
          <w:snapToGrid w:val="0"/>
        </w:rPr>
      </w:pPr>
      <w:bookmarkStart w:id="63" w:name="_Toc99367242"/>
      <w:r>
        <w:rPr>
          <w:rStyle w:val="CharSectno"/>
        </w:rPr>
        <w:t>56</w:t>
      </w:r>
      <w:r>
        <w:rPr>
          <w:snapToGrid w:val="0"/>
        </w:rPr>
        <w:t>.</w:t>
      </w:r>
      <w:r>
        <w:rPr>
          <w:snapToGrid w:val="0"/>
        </w:rPr>
        <w:tab/>
        <w:t>Information to be furnished by Principal Registrar or agent</w:t>
      </w:r>
      <w:bookmarkEnd w:id="63"/>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No. 67 of 1979 s. 44.] </w:t>
      </w:r>
    </w:p>
    <w:p>
      <w:pPr>
        <w:pStyle w:val="Heading5"/>
        <w:keepNext w:val="0"/>
        <w:keepLines w:val="0"/>
        <w:spacing w:before="180"/>
        <w:rPr>
          <w:snapToGrid w:val="0"/>
        </w:rPr>
      </w:pPr>
      <w:bookmarkStart w:id="64" w:name="_Toc99367243"/>
      <w:r>
        <w:rPr>
          <w:rStyle w:val="CharSectno"/>
        </w:rPr>
        <w:t>57</w:t>
      </w:r>
      <w:r>
        <w:rPr>
          <w:snapToGrid w:val="0"/>
        </w:rPr>
        <w:t>.</w:t>
      </w:r>
      <w:r>
        <w:rPr>
          <w:snapToGrid w:val="0"/>
        </w:rPr>
        <w:tab/>
        <w:t>Applications to be transmitted by agent to Principal Registrar</w:t>
      </w:r>
      <w:bookmarkEnd w:id="64"/>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 xml:space="preserve">The Principal Registrar shall, upon being satisfied with the sufficiency of the evidence in support of the application, and that the estate does not exceed $10 000 in value, and that no caveat has been entered against the application and that the fees </w:t>
      </w:r>
      <w:r>
        <w:rPr>
          <w:snapToGrid w:val="0"/>
        </w:rPr>
        <w:lastRenderedPageBreak/>
        <w:t>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No. 55 of 1950 s. 4; No. 66 of 1963 s. 3; No. 113 of 1965 s. 8; No. 37 of 1977 s. 3; No. 67 of 1979 s. 44.] </w:t>
      </w:r>
    </w:p>
    <w:p>
      <w:pPr>
        <w:pStyle w:val="Heading5"/>
        <w:rPr>
          <w:snapToGrid w:val="0"/>
        </w:rPr>
      </w:pPr>
      <w:bookmarkStart w:id="65" w:name="_Toc99367244"/>
      <w:r>
        <w:rPr>
          <w:rStyle w:val="CharSectno"/>
        </w:rPr>
        <w:t>58</w:t>
      </w:r>
      <w:r>
        <w:rPr>
          <w:snapToGrid w:val="0"/>
        </w:rPr>
        <w:t>.</w:t>
      </w:r>
      <w:r>
        <w:rPr>
          <w:snapToGrid w:val="0"/>
        </w:rPr>
        <w:tab/>
        <w:t>Principal Registrar to refer matter back to agent if not satisfied</w:t>
      </w:r>
      <w:bookmarkEnd w:id="65"/>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No. 67 of 1979 s. 44.] </w:t>
      </w:r>
    </w:p>
    <w:p>
      <w:pPr>
        <w:pStyle w:val="Ednotesection"/>
      </w:pPr>
      <w:r>
        <w:t>[</w:t>
      </w:r>
      <w:r>
        <w:rPr>
          <w:b/>
        </w:rPr>
        <w:t>59.</w:t>
      </w:r>
      <w:r>
        <w:tab/>
        <w:t>Deleted: No. 14 of 1980 s. 5.]</w:t>
      </w:r>
    </w:p>
    <w:p>
      <w:pPr>
        <w:pStyle w:val="Heading5"/>
        <w:rPr>
          <w:snapToGrid w:val="0"/>
        </w:rPr>
      </w:pPr>
      <w:bookmarkStart w:id="66" w:name="_Toc99367245"/>
      <w:r>
        <w:rPr>
          <w:rStyle w:val="CharSectno"/>
        </w:rPr>
        <w:t>60</w:t>
      </w:r>
      <w:r>
        <w:rPr>
          <w:snapToGrid w:val="0"/>
        </w:rPr>
        <w:t>.</w:t>
      </w:r>
      <w:r>
        <w:rPr>
          <w:snapToGrid w:val="0"/>
        </w:rPr>
        <w:tab/>
        <w:t>Principal Registrar may refer to Court</w:t>
      </w:r>
      <w:bookmarkEnd w:id="66"/>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No. 67 of 1979 s. 44.]</w:t>
      </w:r>
    </w:p>
    <w:p>
      <w:pPr>
        <w:pStyle w:val="Heading5"/>
        <w:rPr>
          <w:snapToGrid w:val="0"/>
        </w:rPr>
      </w:pPr>
      <w:bookmarkStart w:id="67" w:name="_Toc99367246"/>
      <w:r>
        <w:rPr>
          <w:rStyle w:val="CharSectno"/>
        </w:rPr>
        <w:lastRenderedPageBreak/>
        <w:t>60A</w:t>
      </w:r>
      <w:r>
        <w:rPr>
          <w:snapToGrid w:val="0"/>
        </w:rPr>
        <w:t>.</w:t>
      </w:r>
      <w:r>
        <w:rPr>
          <w:snapToGrid w:val="0"/>
        </w:rPr>
        <w:tab/>
        <w:t xml:space="preserve">Application of </w:t>
      </w:r>
      <w:r>
        <w:rPr>
          <w:i/>
          <w:snapToGrid w:val="0"/>
        </w:rPr>
        <w:t>Family Provision Act 1972</w:t>
      </w:r>
      <w:bookmarkEnd w:id="67"/>
    </w:p>
    <w:p>
      <w:pPr>
        <w:pStyle w:val="Subsection"/>
        <w:keepNext/>
        <w:rPr>
          <w:snapToGrid w:val="0"/>
        </w:rPr>
      </w:pPr>
      <w:r>
        <w:rPr>
          <w:snapToGrid w:val="0"/>
        </w:rPr>
        <w:tab/>
      </w:r>
      <w:r>
        <w:rPr>
          <w:snapToGrid w:val="0"/>
        </w:rPr>
        <w:tab/>
        <w:t xml:space="preserve">Nothing in this Part shall effect or derogate from the provisions of the </w:t>
      </w:r>
      <w:r>
        <w:rPr>
          <w:i/>
        </w:rPr>
        <w:t>Family Provision Act 1972</w:t>
      </w:r>
      <w:r>
        <w:t xml:space="preserve"> section 6.</w:t>
      </w:r>
    </w:p>
    <w:p>
      <w:pPr>
        <w:pStyle w:val="Footnotesection"/>
      </w:pPr>
      <w:r>
        <w:tab/>
        <w:t>[Section 60A inserted: No. 57 of 1972 s. 3(2); amended: No. 48 of 2011 s. 14; No. 6 of 2017 s. 3(2).]</w:t>
      </w:r>
    </w:p>
    <w:p>
      <w:pPr>
        <w:pStyle w:val="Heading2"/>
      </w:pPr>
      <w:bookmarkStart w:id="68" w:name="_Toc99359958"/>
      <w:bookmarkStart w:id="69" w:name="_Toc99361287"/>
      <w:bookmarkStart w:id="70" w:name="_Toc99367247"/>
      <w:r>
        <w:rPr>
          <w:rStyle w:val="CharPartNo"/>
        </w:rPr>
        <w:lastRenderedPageBreak/>
        <w:t>Part III</w:t>
      </w:r>
      <w:r>
        <w:rPr>
          <w:rStyle w:val="CharDivNo"/>
        </w:rPr>
        <w:t> </w:t>
      </w:r>
      <w:r>
        <w:t>—</w:t>
      </w:r>
      <w:r>
        <w:rPr>
          <w:rStyle w:val="CharDivText"/>
        </w:rPr>
        <w:t> </w:t>
      </w:r>
      <w:r>
        <w:rPr>
          <w:rStyle w:val="CharPartText"/>
        </w:rPr>
        <w:t>Foreign probates and administration</w:t>
      </w:r>
      <w:bookmarkEnd w:id="68"/>
      <w:bookmarkEnd w:id="69"/>
      <w:bookmarkEnd w:id="70"/>
      <w:r>
        <w:rPr>
          <w:rStyle w:val="CharPartText"/>
        </w:rPr>
        <w:t xml:space="preserve"> </w:t>
      </w:r>
    </w:p>
    <w:p>
      <w:pPr>
        <w:pStyle w:val="Heading5"/>
        <w:rPr>
          <w:snapToGrid w:val="0"/>
        </w:rPr>
      </w:pPr>
      <w:bookmarkStart w:id="71" w:name="_Toc99367248"/>
      <w:r>
        <w:rPr>
          <w:rStyle w:val="CharSectno"/>
        </w:rPr>
        <w:t>61</w:t>
      </w:r>
      <w:r>
        <w:rPr>
          <w:snapToGrid w:val="0"/>
        </w:rPr>
        <w:t>.</w:t>
      </w:r>
      <w:r>
        <w:rPr>
          <w:snapToGrid w:val="0"/>
        </w:rPr>
        <w:tab/>
        <w:t>Foreign probates etc. may be sealed</w:t>
      </w:r>
      <w:bookmarkEnd w:id="71"/>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No. 138 of 1976 s. 13; No. 67 of 1979 s. 44.] </w:t>
      </w:r>
    </w:p>
    <w:p>
      <w:pPr>
        <w:pStyle w:val="Heading5"/>
        <w:rPr>
          <w:snapToGrid w:val="0"/>
        </w:rPr>
      </w:pPr>
      <w:bookmarkStart w:id="72" w:name="_Toc99367249"/>
      <w:r>
        <w:rPr>
          <w:rStyle w:val="CharSectno"/>
        </w:rPr>
        <w:t>62</w:t>
      </w:r>
      <w:r>
        <w:rPr>
          <w:snapToGrid w:val="0"/>
        </w:rPr>
        <w:t>.</w:t>
      </w:r>
      <w:r>
        <w:rPr>
          <w:snapToGrid w:val="0"/>
        </w:rPr>
        <w:tab/>
        <w:t>Power to require sureties to be provided before foreign administration sealed</w:t>
      </w:r>
      <w:bookmarkEnd w:id="72"/>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 xml:space="preserve">A guarantee given as required by subsection (1) shall enure for the benefit of every person interested in the administration of the estate in this State as if contained in a deed to which the surety or sureties and every such person are parties and, where </w:t>
      </w:r>
      <w:r>
        <w:rPr>
          <w:snapToGrid w:val="0"/>
        </w:rPr>
        <w:lastRenderedPageBreak/>
        <w:t>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No. 138 of 1976 s. 14.] </w:t>
      </w:r>
    </w:p>
    <w:p>
      <w:pPr>
        <w:pStyle w:val="Heading2"/>
      </w:pPr>
      <w:bookmarkStart w:id="73" w:name="_Toc99359961"/>
      <w:bookmarkStart w:id="74" w:name="_Toc99361290"/>
      <w:bookmarkStart w:id="75" w:name="_Toc99367250"/>
      <w:r>
        <w:rPr>
          <w:rStyle w:val="CharPartNo"/>
        </w:rPr>
        <w:lastRenderedPageBreak/>
        <w:t>Part IV</w:t>
      </w:r>
      <w:r>
        <w:t> — </w:t>
      </w:r>
      <w:r>
        <w:rPr>
          <w:rStyle w:val="CharPartText"/>
        </w:rPr>
        <w:t>Caveats</w:t>
      </w:r>
      <w:r>
        <w:rPr>
          <w:vertAlign w:val="superscript"/>
        </w:rPr>
        <w:t xml:space="preserve"> 2</w:t>
      </w:r>
      <w:bookmarkEnd w:id="73"/>
      <w:bookmarkEnd w:id="74"/>
      <w:bookmarkEnd w:id="75"/>
      <w:r>
        <w:t xml:space="preserve"> </w:t>
      </w:r>
    </w:p>
    <w:p>
      <w:pPr>
        <w:pStyle w:val="Heading5"/>
        <w:rPr>
          <w:snapToGrid w:val="0"/>
        </w:rPr>
      </w:pPr>
      <w:bookmarkStart w:id="76" w:name="_Toc99367251"/>
      <w:r>
        <w:rPr>
          <w:rStyle w:val="CharSectno"/>
        </w:rPr>
        <w:t>63</w:t>
      </w:r>
      <w:r>
        <w:rPr>
          <w:snapToGrid w:val="0"/>
        </w:rPr>
        <w:t>.</w:t>
      </w:r>
      <w:r>
        <w:rPr>
          <w:snapToGrid w:val="0"/>
        </w:rPr>
        <w:tab/>
        <w:t>Caveat</w:t>
      </w:r>
      <w:bookmarkEnd w:id="76"/>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No. 67 of 1979 s. 44; No. 14 of 1980 s. 6.] </w:t>
      </w:r>
    </w:p>
    <w:p>
      <w:pPr>
        <w:pStyle w:val="Heading5"/>
        <w:rPr>
          <w:snapToGrid w:val="0"/>
        </w:rPr>
      </w:pPr>
      <w:bookmarkStart w:id="77" w:name="_Toc99367252"/>
      <w:r>
        <w:rPr>
          <w:rStyle w:val="CharSectno"/>
        </w:rPr>
        <w:t>64</w:t>
      </w:r>
      <w:r>
        <w:rPr>
          <w:snapToGrid w:val="0"/>
        </w:rPr>
        <w:t>.</w:t>
      </w:r>
      <w:r>
        <w:rPr>
          <w:snapToGrid w:val="0"/>
        </w:rPr>
        <w:tab/>
        <w:t>Court may remove caveat</w:t>
      </w:r>
      <w:bookmarkEnd w:id="77"/>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78" w:name="_Toc99359964"/>
      <w:bookmarkStart w:id="79" w:name="_Toc99361293"/>
      <w:bookmarkStart w:id="80" w:name="_Toc99367253"/>
      <w:r>
        <w:rPr>
          <w:rStyle w:val="CharPartNo"/>
        </w:rPr>
        <w:lastRenderedPageBreak/>
        <w:t>Part V</w:t>
      </w:r>
      <w:r>
        <w:rPr>
          <w:rStyle w:val="CharDivNo"/>
        </w:rPr>
        <w:t> </w:t>
      </w:r>
      <w:r>
        <w:t>—</w:t>
      </w:r>
      <w:r>
        <w:rPr>
          <w:rStyle w:val="CharDivText"/>
        </w:rPr>
        <w:t> </w:t>
      </w:r>
      <w:r>
        <w:rPr>
          <w:rStyle w:val="CharPartText"/>
        </w:rPr>
        <w:t>Duties on deceased persons’ estates and succession duties</w:t>
      </w:r>
      <w:r>
        <w:rPr>
          <w:rStyle w:val="CharPartText"/>
          <w:vertAlign w:val="superscript"/>
        </w:rPr>
        <w:t xml:space="preserve"> 3</w:t>
      </w:r>
      <w:bookmarkEnd w:id="78"/>
      <w:bookmarkEnd w:id="79"/>
      <w:bookmarkEnd w:id="80"/>
    </w:p>
    <w:p>
      <w:pPr>
        <w:pStyle w:val="Ednotesection"/>
      </w:pPr>
      <w:r>
        <w:t>[</w:t>
      </w:r>
      <w:r>
        <w:rPr>
          <w:b/>
        </w:rPr>
        <w:t>65</w:t>
      </w:r>
      <w:r>
        <w:rPr>
          <w:b/>
        </w:rPr>
        <w:noBreakHyphen/>
        <w:t>70A.</w:t>
      </w:r>
      <w:r>
        <w:rPr>
          <w:b/>
        </w:rPr>
        <w:tab/>
        <w:t xml:space="preserve"> </w:t>
      </w:r>
      <w:r>
        <w:t>Deleted: No. 80 of 1973 s. 3.]</w:t>
      </w:r>
    </w:p>
    <w:p>
      <w:pPr>
        <w:pStyle w:val="Heading5"/>
        <w:rPr>
          <w:snapToGrid w:val="0"/>
        </w:rPr>
      </w:pPr>
      <w:bookmarkStart w:id="81" w:name="_Toc99367254"/>
      <w:r>
        <w:rPr>
          <w:rStyle w:val="CharSectno"/>
        </w:rPr>
        <w:t>71</w:t>
      </w:r>
      <w:r>
        <w:rPr>
          <w:snapToGrid w:val="0"/>
        </w:rPr>
        <w:t>.</w:t>
      </w:r>
      <w:r>
        <w:rPr>
          <w:snapToGrid w:val="0"/>
        </w:rPr>
        <w:tab/>
        <w:t>No will to be registered or admissible in evidence until proved</w:t>
      </w:r>
      <w:bookmarkEnd w:id="81"/>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No. 57 of 1964 s. 7; No. 107 of 1970 s. 11.] </w:t>
      </w:r>
    </w:p>
    <w:p>
      <w:pPr>
        <w:pStyle w:val="Ednotesection"/>
      </w:pPr>
      <w:r>
        <w:t>[</w:t>
      </w:r>
      <w:r>
        <w:rPr>
          <w:b/>
        </w:rPr>
        <w:t>72</w:t>
      </w:r>
      <w:r>
        <w:rPr>
          <w:b/>
        </w:rPr>
        <w:noBreakHyphen/>
        <w:t>137.</w:t>
      </w:r>
      <w:r>
        <w:rPr>
          <w:b/>
        </w:rPr>
        <w:tab/>
      </w:r>
      <w:r>
        <w:t>Deleted: No. 80 of 1973 s. 3.]</w:t>
      </w:r>
    </w:p>
    <w:p>
      <w:pPr>
        <w:pStyle w:val="Heading2"/>
      </w:pPr>
      <w:bookmarkStart w:id="82" w:name="_Toc99359966"/>
      <w:bookmarkStart w:id="83" w:name="_Toc99361295"/>
      <w:bookmarkStart w:id="84" w:name="_Toc99367255"/>
      <w:r>
        <w:rPr>
          <w:rStyle w:val="CharPartNo"/>
        </w:rPr>
        <w:lastRenderedPageBreak/>
        <w:t>Part VI</w:t>
      </w:r>
      <w:r>
        <w:rPr>
          <w:rStyle w:val="CharDivNo"/>
        </w:rPr>
        <w:t> </w:t>
      </w:r>
      <w:r>
        <w:t>—</w:t>
      </w:r>
      <w:r>
        <w:rPr>
          <w:rStyle w:val="CharDivText"/>
        </w:rPr>
        <w:t> </w:t>
      </w:r>
      <w:r>
        <w:rPr>
          <w:rStyle w:val="CharPartText"/>
        </w:rPr>
        <w:t>Miscellaneous</w:t>
      </w:r>
      <w:bookmarkEnd w:id="82"/>
      <w:bookmarkEnd w:id="83"/>
      <w:bookmarkEnd w:id="84"/>
      <w:r>
        <w:rPr>
          <w:rStyle w:val="CharPartText"/>
        </w:rPr>
        <w:t xml:space="preserve"> </w:t>
      </w:r>
    </w:p>
    <w:p>
      <w:pPr>
        <w:pStyle w:val="Ednotesection"/>
        <w:spacing w:before="180"/>
        <w:ind w:left="890" w:hanging="890"/>
      </w:pPr>
      <w:r>
        <w:t>[</w:t>
      </w:r>
      <w:r>
        <w:rPr>
          <w:b/>
        </w:rPr>
        <w:t>138.</w:t>
      </w:r>
      <w:r>
        <w:tab/>
        <w:t xml:space="preserve">Deleted: No. 40 of 1971 s. 2.] </w:t>
      </w:r>
    </w:p>
    <w:p>
      <w:pPr>
        <w:pStyle w:val="Heading5"/>
        <w:spacing w:before="180"/>
        <w:rPr>
          <w:snapToGrid w:val="0"/>
        </w:rPr>
      </w:pPr>
      <w:bookmarkStart w:id="85" w:name="_Toc99367256"/>
      <w:r>
        <w:rPr>
          <w:rStyle w:val="CharSectno"/>
        </w:rPr>
        <w:t>139</w:t>
      </w:r>
      <w:r>
        <w:rPr>
          <w:snapToGrid w:val="0"/>
        </w:rPr>
        <w:t>.</w:t>
      </w:r>
      <w:r>
        <w:rPr>
          <w:snapToGrid w:val="0"/>
        </w:rPr>
        <w:tab/>
        <w:t>Deposits not exceeding prescribed amount in any ADI may be paid to widow or next of kin without probate or administration</w:t>
      </w:r>
      <w:bookmarkEnd w:id="85"/>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4</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No. 62 of 1955 s. 15; No. 57 of 1964 s. 11; No. 78 of 1965 s. 4; No. 113 of 1965 s. 8; No. 80 of 1973 s. 3; No. 26 of 1999 s. 59; No. 25 of 2002 s. 52.] </w:t>
      </w:r>
    </w:p>
    <w:p>
      <w:pPr>
        <w:pStyle w:val="Heading5"/>
        <w:rPr>
          <w:snapToGrid w:val="0"/>
        </w:rPr>
      </w:pPr>
      <w:bookmarkStart w:id="86" w:name="_Toc99367257"/>
      <w:r>
        <w:rPr>
          <w:rStyle w:val="CharSectno"/>
        </w:rPr>
        <w:lastRenderedPageBreak/>
        <w:t>140</w:t>
      </w:r>
      <w:r>
        <w:rPr>
          <w:snapToGrid w:val="0"/>
        </w:rPr>
        <w:t>.</w:t>
      </w:r>
      <w:r>
        <w:rPr>
          <w:snapToGrid w:val="0"/>
        </w:rPr>
        <w:tab/>
        <w:t>Records of grants etc.</w:t>
      </w:r>
      <w:bookmarkEnd w:id="86"/>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No. 57 of 1964 s. 12; No. 107 of 1970 s. 16; No. 67 of 1979 s. 44.] </w:t>
      </w:r>
    </w:p>
    <w:p>
      <w:pPr>
        <w:pStyle w:val="Heading5"/>
        <w:spacing w:before="180"/>
        <w:rPr>
          <w:snapToGrid w:val="0"/>
        </w:rPr>
      </w:pPr>
      <w:bookmarkStart w:id="87" w:name="_Toc99367258"/>
      <w:r>
        <w:rPr>
          <w:rStyle w:val="CharSectno"/>
        </w:rPr>
        <w:t>141</w:t>
      </w:r>
      <w:r>
        <w:rPr>
          <w:snapToGrid w:val="0"/>
        </w:rPr>
        <w:t>.</w:t>
      </w:r>
      <w:r>
        <w:rPr>
          <w:snapToGrid w:val="0"/>
        </w:rPr>
        <w:tab/>
        <w:t>Court may appoint attorney for absent executor</w:t>
      </w:r>
      <w:bookmarkEnd w:id="87"/>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 xml:space="preserve">Where any such executor or administrator is a member of Her Majesty’s naval, military, or air force (including a member of any medical corps nursing service attached to any of the forces </w:t>
      </w:r>
      <w:r>
        <w:rPr>
          <w:snapToGrid w:val="0"/>
        </w:rPr>
        <w:lastRenderedPageBreak/>
        <w:t>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No. 21 of 1942 s. 4; No. 80 of 1962 s. 8; No. 57 of 1984 s. 6.] </w:t>
      </w:r>
    </w:p>
    <w:p>
      <w:pPr>
        <w:pStyle w:val="Heading5"/>
        <w:rPr>
          <w:snapToGrid w:val="0"/>
        </w:rPr>
      </w:pPr>
      <w:bookmarkStart w:id="88" w:name="_Toc99367259"/>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88"/>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p>
    <w:p>
      <w:pPr>
        <w:pStyle w:val="Footnotesection"/>
      </w:pPr>
      <w:r>
        <w:tab/>
        <w:t xml:space="preserve">[Section 142 amended: No. 62 of 1955 s. 16.] </w:t>
      </w:r>
    </w:p>
    <w:p>
      <w:pPr>
        <w:pStyle w:val="Ednotesection"/>
      </w:pPr>
      <w:r>
        <w:t>[</w:t>
      </w:r>
      <w:r>
        <w:rPr>
          <w:b/>
        </w:rPr>
        <w:t>143.</w:t>
      </w:r>
      <w:r>
        <w:tab/>
        <w:t xml:space="preserve">Deleted: No. 80 of 1962 s. 8.] </w:t>
      </w:r>
    </w:p>
    <w:p>
      <w:pPr>
        <w:pStyle w:val="Heading5"/>
        <w:rPr>
          <w:snapToGrid w:val="0"/>
        </w:rPr>
      </w:pPr>
      <w:bookmarkStart w:id="89" w:name="_Toc99367260"/>
      <w:r>
        <w:rPr>
          <w:rStyle w:val="CharSectno"/>
        </w:rPr>
        <w:lastRenderedPageBreak/>
        <w:t>143A</w:t>
      </w:r>
      <w:r>
        <w:rPr>
          <w:snapToGrid w:val="0"/>
        </w:rPr>
        <w:t xml:space="preserve">. </w:t>
      </w:r>
      <w:r>
        <w:rPr>
          <w:snapToGrid w:val="0"/>
        </w:rPr>
        <w:tab/>
        <w:t>Rate of interest payable on legacies</w:t>
      </w:r>
      <w:bookmarkEnd w:id="89"/>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No. 39 of 1945 s. 2; amended: No 113 of 1965 s. 8.] </w:t>
      </w:r>
    </w:p>
    <w:p>
      <w:pPr>
        <w:pStyle w:val="Heading5"/>
        <w:rPr>
          <w:snapToGrid w:val="0"/>
        </w:rPr>
      </w:pPr>
      <w:bookmarkStart w:id="90" w:name="_Toc99367261"/>
      <w:r>
        <w:rPr>
          <w:rStyle w:val="CharSectno"/>
        </w:rPr>
        <w:t>143B</w:t>
      </w:r>
      <w:r>
        <w:rPr>
          <w:snapToGrid w:val="0"/>
        </w:rPr>
        <w:t xml:space="preserve">. </w:t>
      </w:r>
      <w:r>
        <w:rPr>
          <w:snapToGrid w:val="0"/>
        </w:rPr>
        <w:tab/>
        <w:t>Saving provision as to bonds</w:t>
      </w:r>
      <w:bookmarkEnd w:id="90"/>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may be enforced and assigned as if that Act had not been passed.</w:t>
      </w:r>
    </w:p>
    <w:p>
      <w:pPr>
        <w:pStyle w:val="Footnotesection"/>
      </w:pPr>
      <w:r>
        <w:tab/>
        <w:t xml:space="preserve">[Section 143B inserted: No. 138 of 1976 s. 15.] </w:t>
      </w:r>
    </w:p>
    <w:p>
      <w:pPr>
        <w:pStyle w:val="Heading5"/>
        <w:rPr>
          <w:snapToGrid w:val="0"/>
        </w:rPr>
      </w:pPr>
      <w:bookmarkStart w:id="91" w:name="_Toc99367262"/>
      <w:r>
        <w:rPr>
          <w:rStyle w:val="CharSectno"/>
        </w:rPr>
        <w:t>144</w:t>
      </w:r>
      <w:r>
        <w:rPr>
          <w:snapToGrid w:val="0"/>
        </w:rPr>
        <w:t>.</w:t>
      </w:r>
      <w:r>
        <w:rPr>
          <w:snapToGrid w:val="0"/>
        </w:rPr>
        <w:tab/>
        <w:t>Rules of Court</w:t>
      </w:r>
      <w:bookmarkEnd w:id="91"/>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w:t>
      </w:r>
    </w:p>
    <w:p>
      <w:pPr>
        <w:pStyle w:val="Indenta"/>
        <w:rPr>
          <w:snapToGrid w:val="0"/>
        </w:rPr>
      </w:pPr>
      <w:r>
        <w:rPr>
          <w:snapToGrid w:val="0"/>
        </w:rPr>
        <w:lastRenderedPageBreak/>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No. 30 of 1954 s. 5; No. 57 of 1964 s. 13; No. 67 1979 s. 45.] </w:t>
      </w:r>
    </w:p>
    <w:p>
      <w:pPr>
        <w:pStyle w:val="Ednotesection"/>
      </w:pPr>
      <w:r>
        <w:t>[</w:t>
      </w:r>
      <w:r>
        <w:rPr>
          <w:b/>
        </w:rPr>
        <w:t>145</w:t>
      </w:r>
      <w:r>
        <w:rPr>
          <w:b/>
        </w:rPr>
        <w:noBreakHyphen/>
        <w:t>148.</w:t>
      </w:r>
      <w:r>
        <w:tab/>
        <w:t xml:space="preserve">Deleted: No. 80 of 1973 s. 3.] </w:t>
      </w:r>
    </w:p>
    <w:p>
      <w:pPr>
        <w:pStyle w:val="yEdnoteschedule"/>
      </w:pPr>
      <w:r>
        <w:t>[First Schedule omitted under the Reprints Act 1984 s. 7(4)(f).]</w:t>
      </w:r>
    </w:p>
    <w:p>
      <w:pPr>
        <w:pStyle w:val="yEdnoteschedule"/>
      </w:pPr>
      <w:r>
        <w:t>[Second Schedule deleted: No. 80 of 1973 s. 3.]</w:t>
      </w:r>
    </w:p>
    <w:p>
      <w:pPr>
        <w:pStyle w:val="yEdnoteschedule"/>
      </w:pPr>
      <w:r>
        <w:t>[Third Schedule deleted: No. 19 of 2010 s. 6(2).]</w:t>
      </w:r>
    </w:p>
    <w:p>
      <w:pPr>
        <w:rPr>
          <w:rStyle w:val="CharDivText"/>
        </w:r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yScheduleHeading"/>
      </w:pPr>
      <w:bookmarkStart w:id="92" w:name="_Toc99359974"/>
      <w:bookmarkStart w:id="93" w:name="_Toc99361303"/>
      <w:bookmarkStart w:id="94" w:name="_Toc99367263"/>
      <w:r>
        <w:rPr>
          <w:rStyle w:val="CharSchNo"/>
        </w:rPr>
        <w:lastRenderedPageBreak/>
        <w:t>Fourth Schedule</w:t>
      </w:r>
      <w:r>
        <w:rPr>
          <w:rStyle w:val="CharSDivNo"/>
        </w:rPr>
        <w:t> </w:t>
      </w:r>
      <w:r>
        <w:t>—</w:t>
      </w:r>
      <w:r>
        <w:rPr>
          <w:rStyle w:val="CharSDivText"/>
        </w:rPr>
        <w:t> </w:t>
      </w:r>
      <w:r>
        <w:rPr>
          <w:rStyle w:val="CharSchText"/>
        </w:rPr>
        <w:t>Rights in respect of dwelling houses</w:t>
      </w:r>
      <w:bookmarkEnd w:id="92"/>
      <w:bookmarkEnd w:id="93"/>
      <w:bookmarkEnd w:id="94"/>
    </w:p>
    <w:p>
      <w:pPr>
        <w:pStyle w:val="yShoulderClause"/>
      </w:pPr>
      <w:r>
        <w:t>[s. 14]</w:t>
      </w:r>
    </w:p>
    <w:p>
      <w:pPr>
        <w:pStyle w:val="yFootnoteheading"/>
      </w:pPr>
      <w:r>
        <w:tab/>
        <w:t>[Heading inserted: No. 138 of 1976 s. 16; amended: No. 25 of 2002 s. 52; No. 19 of 2010 s. 6(3).]</w:t>
      </w:r>
    </w:p>
    <w:p>
      <w:pPr>
        <w:pStyle w:val="yHeading5"/>
        <w:spacing w:before="240"/>
        <w:rPr>
          <w:snapToGrid w:val="0"/>
        </w:rPr>
      </w:pPr>
      <w:bookmarkStart w:id="95" w:name="_Toc99367264"/>
      <w:r>
        <w:rPr>
          <w:rStyle w:val="CharSClsNo"/>
        </w:rPr>
        <w:t>1</w:t>
      </w:r>
      <w:r>
        <w:rPr>
          <w:snapToGrid w:val="0"/>
        </w:rPr>
        <w:t>.</w:t>
      </w:r>
      <w:r>
        <w:rPr>
          <w:snapToGrid w:val="0"/>
        </w:rPr>
        <w:tab/>
        <w:t>Rights of surviving spouse if dwelling house is residence</w:t>
      </w:r>
      <w:bookmarkEnd w:id="95"/>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rStyle w:val="CharDefText"/>
        </w:rPr>
        <w:t>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 xml:space="preserve">Except where the context otherwise requires, references in this Schedule to a dwelling house include references to any garden or portion of ground attached to and usually occupied with the dwelling </w:t>
      </w:r>
      <w:r>
        <w:rPr>
          <w:snapToGrid w:val="0"/>
        </w:rPr>
        <w:lastRenderedPageBreak/>
        <w:t>house or otherwise required for the amenity or convenience of the dwelling house.</w:t>
      </w:r>
    </w:p>
    <w:p>
      <w:pPr>
        <w:pStyle w:val="yFootnotesection"/>
      </w:pPr>
      <w:r>
        <w:tab/>
        <w:t>[Clause 1 amended: No. 19 of 2010 s. 51.]</w:t>
      </w:r>
    </w:p>
    <w:p>
      <w:pPr>
        <w:pStyle w:val="yHeading5"/>
        <w:rPr>
          <w:snapToGrid w:val="0"/>
        </w:rPr>
      </w:pPr>
      <w:bookmarkStart w:id="96" w:name="_Toc99367265"/>
      <w:r>
        <w:rPr>
          <w:rStyle w:val="CharSClsNo"/>
        </w:rPr>
        <w:t>2</w:t>
      </w:r>
      <w:r>
        <w:rPr>
          <w:snapToGrid w:val="0"/>
        </w:rPr>
        <w:t>.</w:t>
      </w:r>
      <w:r>
        <w:rPr>
          <w:snapToGrid w:val="0"/>
        </w:rPr>
        <w:tab/>
        <w:t>Court order required in certain cases</w:t>
      </w:r>
      <w:bookmarkEnd w:id="96"/>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No. 19 of 2010 s. 51.]</w:t>
      </w:r>
    </w:p>
    <w:p>
      <w:pPr>
        <w:pStyle w:val="yHeading5"/>
        <w:rPr>
          <w:snapToGrid w:val="0"/>
        </w:rPr>
      </w:pPr>
      <w:bookmarkStart w:id="97" w:name="_Toc99367266"/>
      <w:r>
        <w:rPr>
          <w:rStyle w:val="CharSClsNo"/>
        </w:rPr>
        <w:t>3</w:t>
      </w:r>
      <w:r>
        <w:rPr>
          <w:snapToGrid w:val="0"/>
        </w:rPr>
        <w:t>.</w:t>
      </w:r>
      <w:r>
        <w:rPr>
          <w:snapToGrid w:val="0"/>
        </w:rPr>
        <w:tab/>
        <w:t>Time limit for exercising right under par. 1</w:t>
      </w:r>
      <w:bookmarkEnd w:id="97"/>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No. 19 of 2010 s. 51.]</w:t>
      </w:r>
    </w:p>
    <w:p>
      <w:pPr>
        <w:pStyle w:val="yHeading5"/>
        <w:rPr>
          <w:snapToGrid w:val="0"/>
        </w:rPr>
      </w:pPr>
      <w:bookmarkStart w:id="98" w:name="_Toc99367267"/>
      <w:r>
        <w:rPr>
          <w:rStyle w:val="CharSClsNo"/>
        </w:rPr>
        <w:lastRenderedPageBreak/>
        <w:t>4</w:t>
      </w:r>
      <w:r>
        <w:rPr>
          <w:snapToGrid w:val="0"/>
        </w:rPr>
        <w:t>.</w:t>
      </w:r>
      <w:r>
        <w:rPr>
          <w:snapToGrid w:val="0"/>
        </w:rPr>
        <w:tab/>
        <w:t>Mode of exercising right under par. 1</w:t>
      </w:r>
      <w:bookmarkEnd w:id="98"/>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No. 19 of 2010 s. 51.]</w:t>
      </w:r>
    </w:p>
    <w:p>
      <w:pPr>
        <w:pStyle w:val="yHeading5"/>
        <w:rPr>
          <w:snapToGrid w:val="0"/>
        </w:rPr>
      </w:pPr>
      <w:bookmarkStart w:id="99" w:name="_Toc99367268"/>
      <w:r>
        <w:rPr>
          <w:rStyle w:val="CharSClsNo"/>
        </w:rPr>
        <w:t>5</w:t>
      </w:r>
      <w:r>
        <w:rPr>
          <w:snapToGrid w:val="0"/>
        </w:rPr>
        <w:t>.</w:t>
      </w:r>
      <w:r>
        <w:rPr>
          <w:snapToGrid w:val="0"/>
        </w:rPr>
        <w:tab/>
        <w:t>Determination of value</w:t>
      </w:r>
      <w:bookmarkEnd w:id="99"/>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No. 19 of 2010 s. 51.]</w:t>
      </w:r>
    </w:p>
    <w:p>
      <w:pPr>
        <w:pStyle w:val="yHeading5"/>
        <w:rPr>
          <w:snapToGrid w:val="0"/>
        </w:rPr>
      </w:pPr>
      <w:bookmarkStart w:id="100" w:name="_Toc99367269"/>
      <w:r>
        <w:rPr>
          <w:rStyle w:val="CharSClsNo"/>
        </w:rPr>
        <w:t>6</w:t>
      </w:r>
      <w:r>
        <w:rPr>
          <w:snapToGrid w:val="0"/>
        </w:rPr>
        <w:t>.</w:t>
      </w:r>
      <w:r>
        <w:rPr>
          <w:snapToGrid w:val="0"/>
        </w:rPr>
        <w:tab/>
        <w:t>Restriction on sale during election period</w:t>
      </w:r>
      <w:bookmarkEnd w:id="100"/>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lastRenderedPageBreak/>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No. 19 of 2010 s. 51.]</w:t>
      </w:r>
    </w:p>
    <w:p>
      <w:pPr>
        <w:pStyle w:val="yHeading5"/>
        <w:rPr>
          <w:snapToGrid w:val="0"/>
        </w:rPr>
      </w:pPr>
      <w:bookmarkStart w:id="101" w:name="_Toc99367270"/>
      <w:r>
        <w:rPr>
          <w:rStyle w:val="CharSClsNo"/>
        </w:rPr>
        <w:t>7</w:t>
      </w:r>
      <w:r>
        <w:rPr>
          <w:snapToGrid w:val="0"/>
        </w:rPr>
        <w:t>.</w:t>
      </w:r>
      <w:r>
        <w:rPr>
          <w:snapToGrid w:val="0"/>
        </w:rPr>
        <w:tab/>
        <w:t>Surviving spouse as sole personal representative</w:t>
      </w:r>
      <w:bookmarkEnd w:id="101"/>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No. 19 of 2010 s. 51.]</w:t>
      </w:r>
    </w:p>
    <w:p>
      <w:pPr>
        <w:pStyle w:val="yHeading5"/>
        <w:rPr>
          <w:snapToGrid w:val="0"/>
        </w:rPr>
      </w:pPr>
      <w:bookmarkStart w:id="102" w:name="_Toc99367271"/>
      <w:r>
        <w:rPr>
          <w:rStyle w:val="CharSClsNo"/>
        </w:rPr>
        <w:lastRenderedPageBreak/>
        <w:t>8</w:t>
      </w:r>
      <w:r>
        <w:rPr>
          <w:snapToGrid w:val="0"/>
        </w:rPr>
        <w:t>.</w:t>
      </w:r>
      <w:r>
        <w:rPr>
          <w:snapToGrid w:val="0"/>
        </w:rPr>
        <w:tab/>
        <w:t>Surviving spouse not of full mental capacity</w:t>
      </w:r>
      <w:bookmarkEnd w:id="102"/>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No. 19 of 2010 s. 51.]</w:t>
      </w:r>
    </w:p>
    <w:p>
      <w:pPr>
        <w:pStyle w:val="yHeading5"/>
        <w:rPr>
          <w:snapToGrid w:val="0"/>
        </w:rPr>
      </w:pPr>
      <w:bookmarkStart w:id="103" w:name="_Toc99367272"/>
      <w:r>
        <w:rPr>
          <w:rStyle w:val="CharSClsNo"/>
        </w:rPr>
        <w:t>9</w:t>
      </w:r>
      <w:r>
        <w:rPr>
          <w:snapToGrid w:val="0"/>
        </w:rPr>
        <w:t>.</w:t>
      </w:r>
      <w:r>
        <w:rPr>
          <w:snapToGrid w:val="0"/>
        </w:rPr>
        <w:tab/>
        <w:t>Terms used</w:t>
      </w:r>
      <w:bookmarkEnd w:id="103"/>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No. 19 of 2010 s. 51.]</w:t>
      </w:r>
    </w:p>
    <w:p>
      <w:pPr>
        <w:pStyle w:val="yFootnotesection"/>
      </w:pPr>
      <w:r>
        <w:tab/>
        <w:t xml:space="preserve">[Fourth Schedule inserted: No. 138 of 1976 s. 16; amended: No. 67 of 1979 s. 44(z); No. 25 of 2002 s. 52; No. 19 of 2010 s. 51.] </w:t>
      </w:r>
    </w:p>
    <w:p>
      <w:pPr>
        <w:pStyle w:val="yScheduleHeading"/>
      </w:pPr>
      <w:bookmarkStart w:id="104" w:name="_Toc99359984"/>
      <w:bookmarkStart w:id="105" w:name="_Toc99361313"/>
      <w:bookmarkStart w:id="106" w:name="_Toc99367273"/>
      <w:r>
        <w:rPr>
          <w:rStyle w:val="CharSchNo"/>
        </w:rPr>
        <w:lastRenderedPageBreak/>
        <w:t>Fifth Schedule</w:t>
      </w:r>
      <w:r>
        <w:rPr>
          <w:rStyle w:val="CharSDivNo"/>
        </w:rPr>
        <w:t> </w:t>
      </w:r>
      <w:r>
        <w:t>—</w:t>
      </w:r>
      <w:r>
        <w:rPr>
          <w:rStyle w:val="CharSDivText"/>
        </w:rPr>
        <w:t> </w:t>
      </w:r>
      <w:r>
        <w:rPr>
          <w:rStyle w:val="CharSchText"/>
        </w:rPr>
        <w:t>Rules as to payment of debts and liabilities of insolvent estates</w:t>
      </w:r>
      <w:bookmarkEnd w:id="104"/>
      <w:bookmarkEnd w:id="105"/>
      <w:bookmarkEnd w:id="106"/>
    </w:p>
    <w:p>
      <w:pPr>
        <w:pStyle w:val="yShoulderClause"/>
      </w:pPr>
      <w:r>
        <w:t>[s. 10A]</w:t>
      </w:r>
    </w:p>
    <w:p>
      <w:pPr>
        <w:pStyle w:val="yFootnoteheading"/>
        <w:rPr>
          <w:snapToGrid w:val="0"/>
        </w:rPr>
      </w:pPr>
      <w:r>
        <w:rPr>
          <w:snapToGrid w:val="0"/>
        </w:rPr>
        <w:tab/>
        <w:t>[Heading amended: No. 19 of 2010 s. 6(3).]</w:t>
      </w:r>
    </w:p>
    <w:p>
      <w:pPr>
        <w:pStyle w:val="yHeading5"/>
      </w:pPr>
      <w:bookmarkStart w:id="107" w:name="_Toc99367274"/>
      <w:r>
        <w:rPr>
          <w:rStyle w:val="CharSClsNo"/>
        </w:rPr>
        <w:t>1</w:t>
      </w:r>
      <w:r>
        <w:t>.</w:t>
      </w:r>
      <w:r>
        <w:tab/>
        <w:t>Expenses having priority</w:t>
      </w:r>
      <w:bookmarkEnd w:id="107"/>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No. 19 of 2010 s. 51.]</w:t>
      </w:r>
    </w:p>
    <w:p>
      <w:pPr>
        <w:pStyle w:val="yHeading5"/>
      </w:pPr>
      <w:bookmarkStart w:id="108" w:name="_Toc99367275"/>
      <w:r>
        <w:rPr>
          <w:rStyle w:val="CharSClsNo"/>
        </w:rPr>
        <w:t>2</w:t>
      </w:r>
      <w:r>
        <w:t>.</w:t>
      </w:r>
      <w:r>
        <w:tab/>
        <w:t>Demand for unliquidated damages</w:t>
      </w:r>
      <w:bookmarkEnd w:id="108"/>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No. 19 of 2010 s. 51.]</w:t>
      </w:r>
    </w:p>
    <w:p>
      <w:pPr>
        <w:pStyle w:val="yHeading5"/>
      </w:pPr>
      <w:bookmarkStart w:id="109" w:name="_Toc99367276"/>
      <w:r>
        <w:rPr>
          <w:rStyle w:val="CharSClsNo"/>
        </w:rPr>
        <w:t>3</w:t>
      </w:r>
      <w:r>
        <w:t>.</w:t>
      </w:r>
      <w:r>
        <w:tab/>
        <w:t>Rules of bankruptcy apply</w:t>
      </w:r>
      <w:bookmarkEnd w:id="109"/>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No. 19 of 2010 s. 51.]</w:t>
      </w:r>
    </w:p>
    <w:p>
      <w:pPr>
        <w:pStyle w:val="yFootnotesection"/>
      </w:pPr>
      <w:r>
        <w:tab/>
        <w:t xml:space="preserve">[Fifth Schedule inserted: No. 72 of 1984 s. 8; amended: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5"/>
          <w:headerReference w:type="default" r:id="rId26"/>
          <w:pgSz w:w="11907" w:h="16840" w:code="9"/>
          <w:pgMar w:top="2376" w:right="2405" w:bottom="3542" w:left="2405" w:header="706" w:footer="3380" w:gutter="0"/>
          <w:cols w:space="720"/>
          <w:noEndnote/>
          <w:docGrid w:linePitch="326"/>
        </w:sectPr>
      </w:pPr>
    </w:p>
    <w:p>
      <w:pPr>
        <w:pStyle w:val="nHeading2"/>
      </w:pPr>
      <w:bookmarkStart w:id="111" w:name="_Toc99359988"/>
      <w:bookmarkStart w:id="112" w:name="_Toc99361317"/>
      <w:bookmarkStart w:id="113" w:name="_Toc99367277"/>
      <w:r>
        <w:lastRenderedPageBreak/>
        <w:t>Notes</w:t>
      </w:r>
      <w:bookmarkEnd w:id="111"/>
      <w:bookmarkEnd w:id="112"/>
      <w:bookmarkEnd w:id="113"/>
    </w:p>
    <w:p>
      <w:pPr>
        <w:pStyle w:val="nStatement"/>
      </w:pPr>
      <w:r>
        <w:t xml:space="preserve">This is a compilation of the </w:t>
      </w:r>
      <w:r>
        <w:rPr>
          <w:i/>
          <w:noProof/>
        </w:rPr>
        <w:t>Administration Act 1903</w:t>
      </w:r>
      <w:r>
        <w:t xml:space="preserve"> and includes amendments made by other written laws. For provisions that have come into operation, and for information about any reprints, see the compilation table.</w:t>
      </w:r>
    </w:p>
    <w:p>
      <w:pPr>
        <w:pStyle w:val="nHeading3"/>
      </w:pPr>
      <w:bookmarkStart w:id="114" w:name="_Toc99367278"/>
      <w:r>
        <w:t>Compilation table</w:t>
      </w:r>
      <w:bookmarkEnd w:id="114"/>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6"/>
        <w:gridCol w:w="8"/>
      </w:tblGrid>
      <w:tr>
        <w:trPr>
          <w:gridAfter w:val="1"/>
          <w:wAfter w:w="8"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2" w:type="dxa"/>
            <w:gridSpan w:val="2"/>
            <w:tcBorders>
              <w:top w:val="single" w:sz="8" w:space="0" w:color="auto"/>
            </w:tcBorders>
          </w:tcPr>
          <w:p>
            <w:pPr>
              <w:pStyle w:val="nTable"/>
              <w:spacing w:after="40"/>
            </w:pPr>
            <w:r>
              <w:t>1 Jan 1904 (see s. 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2" w:type="dxa"/>
            <w:gridSpan w:val="2"/>
          </w:tcPr>
          <w:p>
            <w:pPr>
              <w:pStyle w:val="nTable"/>
              <w:spacing w:after="40"/>
            </w:pPr>
            <w:r>
              <w:t>20 Nov 1909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2" w:type="dxa"/>
            <w:gridSpan w:val="2"/>
          </w:tcPr>
          <w:p>
            <w:pPr>
              <w:pStyle w:val="nTable"/>
              <w:spacing w:after="40"/>
            </w:pPr>
            <w:r>
              <w:t xml:space="preserve">1 Jul 1918 (see s. 1 and </w:t>
            </w:r>
            <w:r>
              <w:rPr>
                <w:i/>
              </w:rPr>
              <w:t>Gazette</w:t>
            </w:r>
            <w:r>
              <w:t xml:space="preserve"> 7 Jun 1918 p. 813)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2" w:type="dxa"/>
            <w:gridSpan w:val="2"/>
          </w:tcPr>
          <w:p>
            <w:pPr>
              <w:pStyle w:val="nTable"/>
              <w:spacing w:after="40"/>
            </w:pPr>
            <w:r>
              <w:t>15 Nov 1921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2" w:type="dxa"/>
            <w:gridSpan w:val="2"/>
          </w:tcPr>
          <w:p>
            <w:pPr>
              <w:pStyle w:val="nTable"/>
              <w:spacing w:after="40"/>
            </w:pPr>
            <w:r>
              <w:t>7 Dec 1922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3</w:t>
            </w:r>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2" w:type="dxa"/>
            <w:gridSpan w:val="2"/>
          </w:tcPr>
          <w:p>
            <w:pPr>
              <w:pStyle w:val="nTable"/>
              <w:spacing w:after="40"/>
            </w:pPr>
            <w:r>
              <w:t xml:space="preserve">1 Jan 1935 (see s. 1 and </w:t>
            </w:r>
            <w:r>
              <w:rPr>
                <w:i/>
              </w:rPr>
              <w:t>Gazette</w:t>
            </w:r>
            <w:r>
              <w:t xml:space="preserve"> 28 Dec 1934 p. 1983)</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2" w:type="dxa"/>
            <w:gridSpan w:val="2"/>
          </w:tcPr>
          <w:p>
            <w:pPr>
              <w:pStyle w:val="nTable"/>
              <w:spacing w:after="40"/>
            </w:pPr>
            <w:r>
              <w:t>22 Nov 1939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2" w:type="dxa"/>
            <w:gridSpan w:val="2"/>
          </w:tcPr>
          <w:p>
            <w:pPr>
              <w:pStyle w:val="nTable"/>
              <w:spacing w:after="40"/>
            </w:pPr>
            <w:r>
              <w:t xml:space="preserve">1 Jul 1942 (see s. 1(2) and </w:t>
            </w:r>
            <w:r>
              <w:rPr>
                <w:i/>
              </w:rPr>
              <w:t>Gazette</w:t>
            </w:r>
            <w:r>
              <w:t xml:space="preserve"> 26 Jun 1942 p. 689)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2" w:type="dxa"/>
            <w:gridSpan w:val="2"/>
          </w:tcPr>
          <w:p>
            <w:pPr>
              <w:pStyle w:val="nTable"/>
              <w:spacing w:after="40"/>
            </w:pPr>
            <w:r>
              <w:t>15 Jan 1942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lastRenderedPageBreak/>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2" w:type="dxa"/>
            <w:gridSpan w:val="2"/>
          </w:tcPr>
          <w:p>
            <w:pPr>
              <w:pStyle w:val="nTable"/>
              <w:spacing w:after="40"/>
            </w:pPr>
            <w:r>
              <w:t>1 Jul 1942 (see s. 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2" w:type="dxa"/>
            <w:gridSpan w:val="2"/>
          </w:tcPr>
          <w:p>
            <w:pPr>
              <w:pStyle w:val="nTable"/>
              <w:spacing w:after="40"/>
            </w:pPr>
            <w:r>
              <w:t>9 Dec 1942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2" w:type="dxa"/>
            <w:gridSpan w:val="2"/>
          </w:tcPr>
          <w:p>
            <w:pPr>
              <w:pStyle w:val="nTable"/>
              <w:spacing w:after="40"/>
            </w:pPr>
            <w:r>
              <w:t>30 Jan 1946</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2" w:type="dxa"/>
            <w:gridSpan w:val="2"/>
          </w:tcPr>
          <w:p>
            <w:pPr>
              <w:pStyle w:val="nTable"/>
              <w:spacing w:after="40"/>
            </w:pPr>
            <w:r>
              <w:t>14 Sep 1949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2" w:type="dxa"/>
            <w:gridSpan w:val="2"/>
          </w:tcPr>
          <w:p>
            <w:pPr>
              <w:pStyle w:val="nTable"/>
              <w:spacing w:after="40"/>
            </w:pPr>
            <w:r>
              <w:t>18 Dec 1950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2" w:type="dxa"/>
            <w:gridSpan w:val="2"/>
          </w:tcPr>
          <w:p>
            <w:pPr>
              <w:pStyle w:val="nTable"/>
              <w:spacing w:after="40"/>
            </w:pPr>
            <w:r>
              <w:t>9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2" w:type="dxa"/>
            <w:gridSpan w:val="2"/>
          </w:tcPr>
          <w:p>
            <w:pPr>
              <w:pStyle w:val="nTable"/>
              <w:spacing w:after="40"/>
            </w:pPr>
            <w:r>
              <w:t>18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2" w:type="dxa"/>
            <w:gridSpan w:val="2"/>
          </w:tcPr>
          <w:p>
            <w:pPr>
              <w:pStyle w:val="nTable"/>
              <w:spacing w:after="40"/>
            </w:pPr>
            <w:r>
              <w:t>8 Nov 1954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2" w:type="dxa"/>
            <w:gridSpan w:val="2"/>
          </w:tcPr>
          <w:p>
            <w:pPr>
              <w:pStyle w:val="nTable"/>
              <w:spacing w:after="40"/>
            </w:pPr>
            <w:r>
              <w:t>19 Dec 1955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2" w:type="dxa"/>
            <w:gridSpan w:val="2"/>
          </w:tcPr>
          <w:p>
            <w:pPr>
              <w:pStyle w:val="nTable"/>
              <w:spacing w:after="40"/>
            </w:pPr>
            <w:r>
              <w:t xml:space="preserve">1 Feb 1957 (see s. 2 and </w:t>
            </w:r>
            <w:r>
              <w:rPr>
                <w:i/>
              </w:rPr>
              <w:t>Gazette</w:t>
            </w:r>
            <w:r>
              <w:t xml:space="preserve"> 1 Feb 1957 p. 161)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lastRenderedPageBreak/>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2" w:type="dxa"/>
            <w:gridSpan w:val="2"/>
          </w:tcPr>
          <w:p>
            <w:pPr>
              <w:pStyle w:val="nTable"/>
              <w:spacing w:after="40"/>
            </w:pPr>
            <w:r>
              <w:t>25 Nov 1959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2" w:type="dxa"/>
            <w:gridSpan w:val="2"/>
          </w:tcPr>
          <w:p>
            <w:pPr>
              <w:pStyle w:val="nTable"/>
              <w:spacing w:after="40"/>
            </w:pPr>
            <w:r>
              <w:t xml:space="preserve">25 Nov 1960 (see s. 2 and </w:t>
            </w:r>
            <w:r>
              <w:rPr>
                <w:i/>
              </w:rPr>
              <w:t>Gazette</w:t>
            </w:r>
            <w:r>
              <w:t xml:space="preserve"> 25 Nov 1960 p. 3779)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2" w:type="dxa"/>
            <w:gridSpan w:val="2"/>
          </w:tcPr>
          <w:p>
            <w:pPr>
              <w:pStyle w:val="nTable"/>
              <w:spacing w:after="40"/>
            </w:pPr>
            <w:r>
              <w:t>28 Nov 1961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2" w:type="dxa"/>
            <w:gridSpan w:val="2"/>
          </w:tcPr>
          <w:p>
            <w:pPr>
              <w:pStyle w:val="nTable"/>
              <w:spacing w:after="40"/>
            </w:pPr>
            <w:r>
              <w:t>1 Jan 1963 (see s. 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2" w:type="dxa"/>
            <w:gridSpan w:val="2"/>
          </w:tcPr>
          <w:p>
            <w:pPr>
              <w:pStyle w:val="nTable"/>
              <w:spacing w:after="40"/>
            </w:pPr>
            <w:r>
              <w:t>18 Dec 1963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2" w:type="dxa"/>
            <w:gridSpan w:val="2"/>
          </w:tcPr>
          <w:p>
            <w:pPr>
              <w:pStyle w:val="nTable"/>
              <w:spacing w:after="40"/>
            </w:pPr>
            <w:r>
              <w:t>30 Nov 1964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2" w:type="dxa"/>
            <w:gridSpan w:val="2"/>
          </w:tcPr>
          <w:p>
            <w:pPr>
              <w:pStyle w:val="nTable"/>
              <w:spacing w:after="40"/>
            </w:pPr>
            <w:r>
              <w:t>7 Dec 1965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2" w:type="dxa"/>
            <w:gridSpan w:val="2"/>
          </w:tcPr>
          <w:p>
            <w:pPr>
              <w:pStyle w:val="nTable"/>
              <w:spacing w:after="40"/>
            </w:pPr>
            <w:r>
              <w:t>Act other than s. 4-9: 21 Dec 1965 (see s. 2(1));</w:t>
            </w:r>
            <w:r>
              <w:br/>
              <w:t>s. 4-9: 14 Feb 1966 (see s. 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2" w:type="dxa"/>
            <w:gridSpan w:val="2"/>
          </w:tcPr>
          <w:p>
            <w:pPr>
              <w:pStyle w:val="nTable"/>
              <w:keepNext/>
              <w:keepLines/>
              <w:spacing w:after="40"/>
            </w:pPr>
            <w:r>
              <w:t>12 Dec 1966</w:t>
            </w:r>
          </w:p>
        </w:tc>
      </w:tr>
      <w:tr>
        <w:tblPrEx>
          <w:tblBorders>
            <w:top w:val="none" w:sz="0" w:space="0" w:color="auto"/>
            <w:bottom w:val="none" w:sz="0" w:space="0" w:color="auto"/>
            <w:insideH w:val="none" w:sz="0" w:space="0" w:color="auto"/>
          </w:tblBorders>
        </w:tblPrEx>
        <w:trPr>
          <w:gridAfter w:val="1"/>
          <w:wAfter w:w="8" w:type="dxa"/>
          <w:cantSplit/>
        </w:trPr>
        <w:tc>
          <w:tcPr>
            <w:tcW w:w="4536" w:type="dxa"/>
            <w:gridSpan w:val="6"/>
          </w:tcPr>
          <w:p>
            <w:pPr>
              <w:pStyle w:val="nTable"/>
              <w:spacing w:after="40"/>
            </w:pPr>
            <w:r>
              <w:t xml:space="preserve">Rules (3rd Schedule) Revoked: </w:t>
            </w:r>
            <w:r>
              <w:rPr>
                <w:i/>
                <w:iCs/>
              </w:rPr>
              <w:t>Gazette</w:t>
            </w:r>
            <w:r>
              <w:t xml:space="preserve"> 11 Sep 1967 p. 2249-64</w:t>
            </w:r>
          </w:p>
        </w:tc>
        <w:tc>
          <w:tcPr>
            <w:tcW w:w="2552" w:type="dxa"/>
            <w:gridSpan w:val="2"/>
          </w:tcPr>
          <w:p>
            <w:pPr>
              <w:pStyle w:val="nTable"/>
              <w:spacing w:after="40"/>
            </w:pPr>
            <w:r>
              <w:t>11 Sep 1967</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2" w:type="dxa"/>
            <w:gridSpan w:val="2"/>
          </w:tcPr>
          <w:p>
            <w:pPr>
              <w:pStyle w:val="nTable"/>
              <w:spacing w:after="40"/>
            </w:pPr>
            <w:r>
              <w:t>21 Apr 1969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2" w:type="dxa"/>
            <w:gridSpan w:val="2"/>
          </w:tcPr>
          <w:p>
            <w:pPr>
              <w:pStyle w:val="nTable"/>
              <w:spacing w:after="40"/>
            </w:pPr>
            <w:r>
              <w:t xml:space="preserve">1 Jul 1970 (see s. 2 and </w:t>
            </w:r>
            <w:r>
              <w:rPr>
                <w:i/>
              </w:rPr>
              <w:t>Gazette</w:t>
            </w:r>
            <w:r>
              <w:t xml:space="preserve"> 26 Jun 1970 p. 1831)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Cs/>
              </w:rPr>
            </w:pPr>
            <w:r>
              <w:rPr>
                <w:i/>
              </w:rPr>
              <w:t>Administration Act Amendment Act 1970</w:t>
            </w:r>
            <w:r>
              <w:rPr>
                <w:iCs/>
                <w:vertAlign w:val="superscript"/>
              </w:rPr>
              <w:t> 5</w:t>
            </w:r>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2" w:type="dxa"/>
            <w:gridSpan w:val="2"/>
          </w:tcPr>
          <w:p>
            <w:pPr>
              <w:pStyle w:val="nTable"/>
              <w:spacing w:after="40"/>
            </w:pPr>
            <w:r>
              <w:t>Act other than s. 3, 4 and 11: 8 Dec 1970 (see s. 2(1));</w:t>
            </w:r>
            <w:r>
              <w:br/>
              <w:t>s. 3, 4 and 11: 1 Jan 1971 (see s. 2(1))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lastRenderedPageBreak/>
              <w:t xml:space="preserve">Reprint of the </w:t>
            </w:r>
            <w:r>
              <w:rPr>
                <w:b/>
                <w:bCs/>
                <w:i/>
              </w:rPr>
              <w:t>Administration Act 1903</w:t>
            </w:r>
            <w:r>
              <w:rPr>
                <w:b/>
                <w:bCs/>
              </w:rPr>
              <w:t xml:space="preserve"> approved 23 Jun 1971</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2" w:type="dxa"/>
            <w:gridSpan w:val="2"/>
          </w:tcPr>
          <w:p>
            <w:pPr>
              <w:pStyle w:val="nTable"/>
              <w:spacing w:after="40"/>
            </w:pPr>
            <w:r>
              <w:t xml:space="preserve">21 Jan 1972 (see s. 2 and </w:t>
            </w:r>
            <w:r>
              <w:rPr>
                <w:i/>
              </w:rPr>
              <w:t>Gazette</w:t>
            </w:r>
            <w:r>
              <w:t xml:space="preserve"> 21 Jan 1972 p. 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2" w:type="dxa"/>
            <w:gridSpan w:val="2"/>
          </w:tcPr>
          <w:p>
            <w:pPr>
              <w:pStyle w:val="nTable"/>
              <w:spacing w:after="40"/>
            </w:pPr>
            <w:r>
              <w:t>10 Dec 1971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2" w:type="dxa"/>
            <w:gridSpan w:val="2"/>
          </w:tcPr>
          <w:p>
            <w:pPr>
              <w:pStyle w:val="nTable"/>
              <w:spacing w:after="40"/>
            </w:pPr>
            <w:r>
              <w:t xml:space="preserve">1 Nov 1972 (see s. 2 and </w:t>
            </w:r>
            <w:r>
              <w:rPr>
                <w:i/>
              </w:rPr>
              <w:t>Gazette</w:t>
            </w:r>
            <w:r>
              <w:t xml:space="preserve"> 13 Oct 1972 p. 4069)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2" w:type="dxa"/>
            <w:gridSpan w:val="2"/>
          </w:tcPr>
          <w:p>
            <w:pPr>
              <w:pStyle w:val="nTable"/>
              <w:spacing w:after="40"/>
            </w:pPr>
            <w:r>
              <w:t>1 Jan 1973 (see s. 2 and </w:t>
            </w:r>
            <w:r>
              <w:rPr>
                <w:i/>
              </w:rPr>
              <w:t>Gazette</w:t>
            </w:r>
            <w:r>
              <w:t xml:space="preserve"> 17 Nov 1972 p. 4379)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2" w:type="dxa"/>
            <w:gridSpan w:val="2"/>
          </w:tcPr>
          <w:p>
            <w:pPr>
              <w:pStyle w:val="nTable"/>
              <w:spacing w:after="40"/>
            </w:pPr>
            <w:r>
              <w:t>Relevant amendments (see Second Sch.</w:t>
            </w:r>
            <w:r>
              <w:rPr>
                <w:vertAlign w:val="superscript"/>
              </w:rPr>
              <w:t> 6</w:t>
            </w:r>
            <w:r>
              <w:t xml:space="preserve">) took effect on 1 Jan 1974 (see s. 4(2) and </w:t>
            </w:r>
            <w:r>
              <w:rPr>
                <w:i/>
              </w:rPr>
              <w:t>Gazette</w:t>
            </w:r>
            <w:r>
              <w:t xml:space="preserve"> 2 Nov 1973 p. 4108)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Death Duty Assessment Act 1973</w:t>
            </w:r>
            <w:r>
              <w:t xml:space="preserve"> s. 3</w:t>
            </w:r>
            <w:r>
              <w:rPr>
                <w:vertAlign w:val="superscript"/>
              </w:rPr>
              <w:t> 7</w:t>
            </w:r>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2" w:type="dxa"/>
            <w:gridSpan w:val="2"/>
          </w:tcPr>
          <w:p>
            <w:pPr>
              <w:pStyle w:val="nTable"/>
              <w:spacing w:after="40"/>
            </w:pPr>
            <w:r>
              <w:t>1 Jan 1974 (see s. 2 and </w:t>
            </w:r>
            <w:r>
              <w:rPr>
                <w:i/>
              </w:rPr>
              <w:t>Gazette</w:t>
            </w:r>
            <w:r>
              <w:t xml:space="preserve"> 28 Dec 1973 p. 4725)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2"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2" w:type="dxa"/>
            <w:gridSpan w:val="2"/>
          </w:tcPr>
          <w:p>
            <w:pPr>
              <w:pStyle w:val="nTable"/>
              <w:spacing w:after="40"/>
            </w:pPr>
            <w:r>
              <w:t xml:space="preserve">1 Dec 1977 (see s. 2 and </w:t>
            </w:r>
            <w:r>
              <w:rPr>
                <w:i/>
              </w:rPr>
              <w:t>Gazette</w:t>
            </w:r>
            <w:r>
              <w:t xml:space="preserve"> 25 Nov 1977 p. 4345)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2" w:type="dxa"/>
            <w:gridSpan w:val="2"/>
          </w:tcPr>
          <w:p>
            <w:pPr>
              <w:pStyle w:val="nTable"/>
              <w:spacing w:after="40"/>
            </w:pPr>
            <w:r>
              <w:t xml:space="preserve">11 Feb 1980 (see s. 2 and </w:t>
            </w:r>
            <w:r>
              <w:rPr>
                <w:i/>
              </w:rPr>
              <w:t>Gazette</w:t>
            </w:r>
            <w:r>
              <w:t xml:space="preserve"> 8 Feb 1980 p. 383)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2" w:type="dxa"/>
            <w:gridSpan w:val="2"/>
          </w:tcPr>
          <w:p>
            <w:pPr>
              <w:pStyle w:val="nTable"/>
              <w:spacing w:after="40"/>
            </w:pPr>
            <w:r>
              <w:t xml:space="preserve">24 Apr 1980 (see s. 2 and </w:t>
            </w:r>
            <w:r>
              <w:rPr>
                <w:i/>
              </w:rPr>
              <w:t>Gazette</w:t>
            </w:r>
            <w:r>
              <w:t xml:space="preserve"> 24 Apr 1980 p. 1179)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2" w:type="dxa"/>
            <w:gridSpan w:val="2"/>
          </w:tcPr>
          <w:p>
            <w:pPr>
              <w:pStyle w:val="nTable"/>
              <w:spacing w:after="40"/>
            </w:pPr>
            <w:r>
              <w:t>12 Nov 1980 (see s. 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lastRenderedPageBreak/>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2" w:type="dxa"/>
            <w:gridSpan w:val="2"/>
          </w:tcPr>
          <w:p>
            <w:pPr>
              <w:pStyle w:val="nTable"/>
              <w:spacing w:after="40"/>
            </w:pPr>
            <w:r>
              <w:t xml:space="preserve">1 Mar 1983 (see s. 2 and </w:t>
            </w:r>
            <w:r>
              <w:rPr>
                <w:i/>
              </w:rPr>
              <w:t>Gazette</w:t>
            </w:r>
            <w:r>
              <w:t xml:space="preserve"> 25 Feb 1983 p. 637)</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2" w:type="dxa"/>
            <w:gridSpan w:val="2"/>
          </w:tcPr>
          <w:p>
            <w:pPr>
              <w:pStyle w:val="nTable"/>
              <w:spacing w:after="40"/>
            </w:pPr>
            <w:r>
              <w:t>21 Nov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2" w:type="dxa"/>
            <w:gridSpan w:val="2"/>
          </w:tcPr>
          <w:p>
            <w:pPr>
              <w:pStyle w:val="nTable"/>
              <w:spacing w:after="40"/>
            </w:pPr>
            <w:r>
              <w:t>24 Dec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2" w:type="dxa"/>
            <w:gridSpan w:val="2"/>
          </w:tcPr>
          <w:p>
            <w:pPr>
              <w:pStyle w:val="nTable"/>
              <w:spacing w:after="40"/>
            </w:pPr>
            <w:r>
              <w:t xml:space="preserve">1 Jul 1985 (see s. 2 and </w:t>
            </w:r>
            <w:r>
              <w:rPr>
                <w:i/>
              </w:rPr>
              <w:t>Gazette</w:t>
            </w:r>
            <w:r>
              <w:t xml:space="preserve"> 28 Jun 1985 p. 2291)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2"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2" w:type="dxa"/>
            <w:gridSpan w:val="2"/>
          </w:tcPr>
          <w:p>
            <w:pPr>
              <w:pStyle w:val="nTable"/>
              <w:spacing w:after="40"/>
            </w:pPr>
            <w:r>
              <w:t xml:space="preserve">16 Jun 1997 (see s. 2 and </w:t>
            </w:r>
            <w:r>
              <w:rPr>
                <w:i/>
              </w:rPr>
              <w:t>Gazette</w:t>
            </w:r>
            <w:r>
              <w:t xml:space="preserve"> 10 Jun 1997 p. 2661)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2" w:type="dxa"/>
            <w:gridSpan w:val="2"/>
          </w:tcPr>
          <w:p>
            <w:pPr>
              <w:pStyle w:val="nTable"/>
              <w:spacing w:after="40"/>
            </w:pPr>
            <w:r>
              <w:t>15 Dec 1997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2" w:type="dxa"/>
            <w:gridSpan w:val="2"/>
          </w:tcPr>
          <w:p>
            <w:pPr>
              <w:pStyle w:val="nTable"/>
              <w:spacing w:after="40"/>
            </w:pPr>
            <w:r>
              <w:t xml:space="preserve">1 Jul 1999 (see s. 2 and </w:t>
            </w:r>
            <w:r>
              <w:rPr>
                <w:i/>
              </w:rPr>
              <w:t>Gazette</w:t>
            </w:r>
            <w:r>
              <w:t xml:space="preserve"> 30 Jun 1999 p. 2905)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2" w:type="dxa"/>
            <w:gridSpan w:val="2"/>
          </w:tcPr>
          <w:p>
            <w:pPr>
              <w:pStyle w:val="nTable"/>
              <w:spacing w:after="40"/>
            </w:pPr>
            <w:r>
              <w:t xml:space="preserve">21 Sep 2002 (see s. 2 and </w:t>
            </w:r>
            <w:r>
              <w:rPr>
                <w:i/>
              </w:rPr>
              <w:t>Gazette</w:t>
            </w:r>
            <w:r>
              <w:t xml:space="preserve"> 20 Sep 2002 p. 4693)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2" w:type="dxa"/>
            <w:gridSpan w:val="2"/>
          </w:tcPr>
          <w:p>
            <w:pPr>
              <w:pStyle w:val="nTable"/>
              <w:spacing w:after="40"/>
            </w:pPr>
            <w:r>
              <w:t xml:space="preserve">1 Dec 2002 (see s. 2 and </w:t>
            </w:r>
            <w:r>
              <w:rPr>
                <w:i/>
              </w:rPr>
              <w:t>Gazette</w:t>
            </w:r>
            <w:r>
              <w:t xml:space="preserve"> 29 Nov 2002 p. 5651)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May 2005 (see s. 2 and </w:t>
            </w:r>
            <w:r>
              <w:rPr>
                <w:i/>
                <w:iCs/>
              </w:rPr>
              <w:t>Gazette</w:t>
            </w:r>
            <w:r>
              <w:t xml:space="preserve"> 31 Dec 2004 p. 7128)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rPr>
              <w:lastRenderedPageBreak/>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2" w:type="dxa"/>
            <w:gridSpan w:val="2"/>
          </w:tcPr>
          <w:p>
            <w:pPr>
              <w:pStyle w:val="nTable"/>
              <w:spacing w:after="40"/>
            </w:pPr>
            <w:r>
              <w:t xml:space="preserve">1 Jan 2006 (see s. 2 and </w:t>
            </w:r>
            <w:r>
              <w:rPr>
                <w:i/>
                <w:iCs/>
              </w:rPr>
              <w:t>Gazette</w:t>
            </w:r>
            <w:r>
              <w:t xml:space="preserve"> 23 Dec 2005 p. 6244)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snapToGrid w:val="0"/>
              </w:rPr>
              <w:t>Land Information Authority Act 2006</w:t>
            </w:r>
            <w:r>
              <w:rPr>
                <w:iCs/>
                <w:snapToGrid w:val="0"/>
              </w:rPr>
              <w:t xml:space="preserve"> s. 120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2"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4"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4"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blPrEx>
          <w:tblBorders>
            <w:top w:val="none" w:sz="0" w:space="0" w:color="auto"/>
            <w:bottom w:val="none" w:sz="0" w:space="0" w:color="auto"/>
            <w:insideH w:val="none" w:sz="0" w:space="0" w:color="auto"/>
          </w:tblBorders>
        </w:tblPrEx>
        <w:trPr>
          <w:gridBefore w:val="1"/>
          <w:wBefore w:w="6" w:type="dxa"/>
          <w:cantSplit/>
        </w:trPr>
        <w:tc>
          <w:tcPr>
            <w:tcW w:w="7090"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Statutes (Minor Amendments) Act 2017</w:t>
            </w:r>
            <w:r>
              <w:rPr>
                <w:snapToGrid w:val="0"/>
              </w:rPr>
              <w:t xml:space="preserve"> s. 3</w:t>
            </w:r>
          </w:p>
        </w:tc>
        <w:tc>
          <w:tcPr>
            <w:tcW w:w="1134" w:type="dxa"/>
            <w:gridSpan w:val="2"/>
            <w:tcBorders>
              <w:top w:val="nil"/>
              <w:bottom w:val="nil"/>
            </w:tcBorders>
          </w:tcPr>
          <w:p>
            <w:pPr>
              <w:pStyle w:val="nTable"/>
              <w:spacing w:after="40"/>
              <w:rPr>
                <w:snapToGrid w:val="0"/>
              </w:rPr>
            </w:pPr>
            <w:r>
              <w:rPr>
                <w:snapToGrid w:val="0"/>
              </w:rPr>
              <w:t>6 of 2017</w:t>
            </w:r>
          </w:p>
        </w:tc>
        <w:tc>
          <w:tcPr>
            <w:tcW w:w="1134" w:type="dxa"/>
            <w:gridSpan w:val="2"/>
            <w:tcBorders>
              <w:top w:val="nil"/>
              <w:bottom w:val="nil"/>
            </w:tcBorders>
          </w:tcPr>
          <w:p>
            <w:pPr>
              <w:pStyle w:val="nTable"/>
              <w:spacing w:after="40"/>
              <w:rPr>
                <w:snapToGrid w:val="0"/>
              </w:rPr>
            </w:pPr>
            <w:r>
              <w:rPr>
                <w:snapToGrid w:val="0"/>
              </w:rPr>
              <w:t>12 Sep 2017</w:t>
            </w:r>
          </w:p>
        </w:tc>
        <w:tc>
          <w:tcPr>
            <w:tcW w:w="2554" w:type="dxa"/>
            <w:gridSpan w:val="2"/>
            <w:tcBorders>
              <w:top w:val="nil"/>
              <w:bottom w:val="nil"/>
            </w:tcBorders>
          </w:tcPr>
          <w:p>
            <w:pPr>
              <w:pStyle w:val="nTable"/>
              <w:spacing w:after="40"/>
              <w:rPr>
                <w:snapToGrid w:val="0"/>
              </w:rPr>
            </w:pPr>
            <w:r>
              <w:rPr>
                <w:snapToGrid w:val="0"/>
              </w:rPr>
              <w:t>13 Sep 2017 (see s. 2(b))</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COVID-19 Response and Economic Recovery Omnibus Act 2020</w:t>
            </w:r>
            <w:r>
              <w:rPr>
                <w:snapToGrid w:val="0"/>
              </w:rPr>
              <w:t xml:space="preserve"> s. 53</w:t>
            </w:r>
          </w:p>
        </w:tc>
        <w:tc>
          <w:tcPr>
            <w:tcW w:w="1134" w:type="dxa"/>
            <w:gridSpan w:val="2"/>
            <w:tcBorders>
              <w:top w:val="nil"/>
              <w:bottom w:val="nil"/>
            </w:tcBorders>
          </w:tcPr>
          <w:p>
            <w:pPr>
              <w:pStyle w:val="nTable"/>
              <w:spacing w:after="40"/>
              <w:rPr>
                <w:snapToGrid w:val="0"/>
              </w:rPr>
            </w:pPr>
            <w:r>
              <w:rPr>
                <w:snapToGrid w:val="0"/>
              </w:rPr>
              <w:t>34 of 2020</w:t>
            </w:r>
          </w:p>
        </w:tc>
        <w:tc>
          <w:tcPr>
            <w:tcW w:w="1134" w:type="dxa"/>
            <w:gridSpan w:val="2"/>
            <w:tcBorders>
              <w:top w:val="nil"/>
              <w:bottom w:val="nil"/>
            </w:tcBorders>
          </w:tcPr>
          <w:p>
            <w:pPr>
              <w:pStyle w:val="nTable"/>
              <w:spacing w:after="40"/>
              <w:rPr>
                <w:snapToGrid w:val="0"/>
              </w:rPr>
            </w:pPr>
            <w:r>
              <w:rPr>
                <w:snapToGrid w:val="0"/>
              </w:rPr>
              <w:t>11 Sep 2020</w:t>
            </w:r>
          </w:p>
        </w:tc>
        <w:tc>
          <w:tcPr>
            <w:tcW w:w="2554" w:type="dxa"/>
            <w:gridSpan w:val="2"/>
            <w:tcBorders>
              <w:top w:val="nil"/>
              <w:bottom w:val="nil"/>
            </w:tcBorders>
          </w:tcPr>
          <w:p>
            <w:pPr>
              <w:pStyle w:val="nTable"/>
              <w:spacing w:after="40"/>
              <w:rPr>
                <w:snapToGrid w:val="0"/>
              </w:rPr>
            </w:pPr>
            <w:r>
              <w:rPr>
                <w:snapToGrid w:val="0"/>
              </w:rPr>
              <w:t>12 Sep 2020 (see s. 2(b))</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Borders>
              <w:bottom w:val="single" w:sz="4" w:space="0" w:color="auto"/>
            </w:tcBorders>
          </w:tcPr>
          <w:p>
            <w:pPr>
              <w:pStyle w:val="nTable"/>
              <w:spacing w:after="40"/>
              <w:ind w:right="113"/>
              <w:rPr>
                <w:i/>
                <w:snapToGrid w:val="0"/>
              </w:rPr>
            </w:pPr>
            <w:r>
              <w:rPr>
                <w:i/>
              </w:rPr>
              <w:t>Administration Amendment Act 2022</w:t>
            </w:r>
          </w:p>
        </w:tc>
        <w:tc>
          <w:tcPr>
            <w:tcW w:w="1134" w:type="dxa"/>
            <w:gridSpan w:val="2"/>
            <w:tcBorders>
              <w:bottom w:val="single" w:sz="4" w:space="0" w:color="auto"/>
            </w:tcBorders>
          </w:tcPr>
          <w:p>
            <w:pPr>
              <w:pStyle w:val="nTable"/>
              <w:spacing w:after="40"/>
              <w:rPr>
                <w:snapToGrid w:val="0"/>
              </w:rPr>
            </w:pPr>
            <w:r>
              <w:t>5 of 2022</w:t>
            </w:r>
          </w:p>
        </w:tc>
        <w:tc>
          <w:tcPr>
            <w:tcW w:w="1134" w:type="dxa"/>
            <w:gridSpan w:val="2"/>
            <w:tcBorders>
              <w:bottom w:val="single" w:sz="4" w:space="0" w:color="auto"/>
            </w:tcBorders>
          </w:tcPr>
          <w:p>
            <w:pPr>
              <w:pStyle w:val="nTable"/>
              <w:spacing w:after="40"/>
              <w:rPr>
                <w:snapToGrid w:val="0"/>
              </w:rPr>
            </w:pPr>
            <w:r>
              <w:t>29 Mar 2022</w:t>
            </w:r>
          </w:p>
        </w:tc>
        <w:tc>
          <w:tcPr>
            <w:tcW w:w="2554" w:type="dxa"/>
            <w:gridSpan w:val="2"/>
            <w:tcBorders>
              <w:bottom w:val="single" w:sz="4" w:space="0" w:color="auto"/>
            </w:tcBorders>
          </w:tcPr>
          <w:p>
            <w:pPr>
              <w:pStyle w:val="nTable"/>
              <w:spacing w:after="40"/>
              <w:rPr>
                <w:snapToGrid w:val="0"/>
              </w:rPr>
            </w:pPr>
            <w:r>
              <w:t>s. 1 and 2: 29 Mar 2022 (see s. 2(a));</w:t>
            </w:r>
            <w:r>
              <w:br/>
              <w:t>Act other than s. 1 and 2: 30 Mar 2022 (see s. 2(b))</w:t>
            </w:r>
          </w:p>
        </w:tc>
      </w:tr>
    </w:tbl>
    <w:p>
      <w:pPr>
        <w:pStyle w:val="nHeading3"/>
      </w:pPr>
      <w:bookmarkStart w:id="115" w:name="_Toc99367279"/>
      <w:r>
        <w:t>Other notes</w:t>
      </w:r>
      <w:bookmarkEnd w:id="115"/>
    </w:p>
    <w:p>
      <w:pPr>
        <w:pStyle w:val="nNote"/>
        <w:spacing w:before="160"/>
        <w:rPr>
          <w:snapToGrid w:val="0"/>
        </w:rPr>
      </w:pPr>
      <w:r>
        <w:rPr>
          <w:snapToGrid w:val="0"/>
          <w:vertAlign w:val="superscript"/>
        </w:rPr>
        <w:t>1</w:t>
      </w:r>
      <w:r>
        <w:rPr>
          <w:snapToGrid w:val="0"/>
        </w:rPr>
        <w:tab/>
        <w:t>Repealed by section 2 of this Act.</w:t>
      </w:r>
    </w:p>
    <w:p>
      <w:pPr>
        <w:pStyle w:val="nNote"/>
        <w:rPr>
          <w:snapToGrid w:val="0"/>
        </w:rPr>
      </w:pPr>
      <w:r>
        <w:rPr>
          <w:snapToGrid w:val="0"/>
          <w:vertAlign w:val="superscript"/>
        </w:rPr>
        <w:t>2</w:t>
      </w:r>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Note"/>
        <w:spacing w:before="60"/>
        <w:rPr>
          <w:rFonts w:eastAsiaTheme="minorHAnsi"/>
          <w:szCs w:val="24"/>
        </w:rPr>
      </w:pPr>
      <w:r>
        <w:rPr>
          <w:snapToGrid w:val="0"/>
          <w:vertAlign w:val="superscript"/>
        </w:rPr>
        <w:t>3</w:t>
      </w:r>
      <w:r>
        <w:rPr>
          <w:i/>
        </w:rPr>
        <w:tab/>
      </w:r>
      <w:r>
        <w:rPr>
          <w:rFonts w:eastAsiaTheme="minorHAnsi"/>
          <w:snapToGrid w:val="0"/>
          <w:szCs w:val="24"/>
        </w:rPr>
        <w:t xml:space="preserve">This Part was originally enacted as Part II of the </w:t>
      </w:r>
      <w:r>
        <w:rPr>
          <w:rFonts w:eastAsiaTheme="minorHAnsi"/>
          <w:i/>
          <w:snapToGrid w:val="0"/>
          <w:szCs w:val="24"/>
        </w:rPr>
        <w:t>Administration Act (Estate and Succession Duties) Amendment Act 1934</w:t>
      </w:r>
      <w:r>
        <w:rPr>
          <w:rFonts w:eastAsiaTheme="minorHAnsi"/>
          <w:snapToGrid w:val="0"/>
          <w:szCs w:val="24"/>
        </w:rPr>
        <w:t xml:space="preserve"> (No. 28 of 1934).  </w:t>
      </w:r>
      <w:r>
        <w:rPr>
          <w:rFonts w:eastAsiaTheme="minorHAnsi"/>
          <w:szCs w:val="24"/>
        </w:rPr>
        <w:t xml:space="preserve">It was inserted as Part VI in the 1934 reprint of this Act (see the </w:t>
      </w:r>
      <w:r>
        <w:rPr>
          <w:i/>
        </w:rPr>
        <w:t xml:space="preserve">Administration Act (Estate and Succession Duties) Amendment Act 1934 </w:t>
      </w:r>
      <w:r>
        <w:rPr>
          <w:rFonts w:eastAsiaTheme="minorHAnsi"/>
          <w:szCs w:val="24"/>
        </w:rPr>
        <w:t>s. 77</w:t>
      </w:r>
      <w:r>
        <w:rPr>
          <w:rFonts w:eastAsiaTheme="minorHAnsi"/>
          <w:snapToGrid w:val="0"/>
          <w:szCs w:val="24"/>
        </w:rPr>
        <w:t xml:space="preserve">) and </w:t>
      </w:r>
      <w:r>
        <w:rPr>
          <w:rFonts w:eastAsiaTheme="minorHAnsi"/>
          <w:szCs w:val="24"/>
        </w:rPr>
        <w:t>renumbered as Part V in the 1943 reprint.</w:t>
      </w:r>
    </w:p>
    <w:p>
      <w:pPr>
        <w:pStyle w:val="nNote"/>
        <w:keepNext/>
        <w:spacing w:before="60"/>
        <w:rPr>
          <w:rFonts w:eastAsiaTheme="minorHAnsi"/>
          <w:i/>
          <w:szCs w:val="24"/>
        </w:rPr>
      </w:pPr>
      <w:r>
        <w:rPr>
          <w:rFonts w:eastAsiaTheme="minorHAnsi"/>
          <w:snapToGrid w:val="0"/>
          <w:szCs w:val="24"/>
        </w:rPr>
        <w:lastRenderedPageBreak/>
        <w:tab/>
        <w:t xml:space="preserve">The </w:t>
      </w:r>
      <w:r>
        <w:rPr>
          <w:i/>
        </w:rPr>
        <w:t>Administration Act (Estate and Succession Duties) Amendment Act 1934</w:t>
      </w:r>
      <w:r>
        <w:t xml:space="preserve"> s. 3</w:t>
      </w:r>
      <w:r>
        <w:rPr>
          <w:rFonts w:eastAsiaTheme="minorHAnsi"/>
          <w:snapToGrid w:val="0"/>
          <w:szCs w:val="24"/>
        </w:rPr>
        <w:t xml:space="preserve"> </w:t>
      </w:r>
      <w:r>
        <w:rPr>
          <w:rFonts w:eastAsiaTheme="minorHAnsi"/>
          <w:szCs w:val="24"/>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Note"/>
        <w:rPr>
          <w:snapToGrid w:val="0"/>
        </w:rPr>
      </w:pPr>
      <w:r>
        <w:rPr>
          <w:snapToGrid w:val="0"/>
          <w:vertAlign w:val="superscript"/>
        </w:rPr>
        <w:t>4</w:t>
      </w:r>
      <w:r>
        <w:rPr>
          <w:snapToGrid w:val="0"/>
        </w:rPr>
        <w:tab/>
        <w:t xml:space="preserve">This amount is now declared to be $50 000; see proclamation in </w:t>
      </w:r>
      <w:r>
        <w:rPr>
          <w:i/>
          <w:snapToGrid w:val="0"/>
        </w:rPr>
        <w:t>Gazette</w:t>
      </w:r>
      <w:r>
        <w:rPr>
          <w:snapToGrid w:val="0"/>
        </w:rPr>
        <w:t xml:space="preserve"> 6 February 2009 p. 243.</w:t>
      </w:r>
    </w:p>
    <w:p>
      <w:pPr>
        <w:pStyle w:val="nNote"/>
        <w:rPr>
          <w:snapToGrid w:val="0"/>
        </w:rPr>
      </w:pPr>
      <w:r>
        <w:rPr>
          <w:snapToGrid w:val="0"/>
          <w:vertAlign w:val="superscript"/>
        </w:rPr>
        <w:t>5</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Note"/>
        <w:rPr>
          <w:snapToGrid w:val="0"/>
        </w:rPr>
      </w:pPr>
      <w:r>
        <w:rPr>
          <w:vertAlign w:val="superscript"/>
        </w:rPr>
        <w:t>6</w:t>
      </w:r>
      <w:r>
        <w:tab/>
        <w:t xml:space="preserve">The </w:t>
      </w:r>
      <w:r>
        <w:rPr>
          <w:i/>
        </w:rPr>
        <w:t>Metric Conversion Act 1972</w:t>
      </w:r>
      <w:r>
        <w:t xml:space="preserve"> Second Schedule was inserted by the </w:t>
      </w:r>
      <w:r>
        <w:rPr>
          <w:i/>
        </w:rPr>
        <w:t>Metric Conversion Act Amendment Act 1973</w:t>
      </w:r>
      <w:r>
        <w:t xml:space="preserve"> s. 4.</w:t>
      </w:r>
    </w:p>
    <w:p>
      <w:pPr>
        <w:pStyle w:val="nNote"/>
        <w:rPr>
          <w:snapToGrid w:val="0"/>
        </w:rPr>
      </w:pPr>
      <w:r>
        <w:rPr>
          <w:snapToGrid w:val="0"/>
          <w:vertAlign w:val="superscript"/>
        </w:rPr>
        <w:t>7</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Note"/>
        <w:rPr>
          <w:snapToGrid w:val="0"/>
        </w:rPr>
      </w:pPr>
      <w:r>
        <w:rPr>
          <w:vertAlign w:val="superscript"/>
        </w:rPr>
        <w:t>8</w:t>
      </w:r>
      <w:r>
        <w:rPr>
          <w:snapToGrid w:val="0"/>
        </w:rPr>
        <w:tab/>
        <w:t xml:space="preserve">Under s. 14A of the Act, the Minister makes the following orders declaring, for each specified item, the sum that is to apply for that item. </w:t>
      </w:r>
    </w:p>
    <w:p>
      <w:pPr>
        <w:pStyle w:val="nNote"/>
        <w:spacing w:after="80"/>
        <w:jc w:val="center"/>
        <w:rPr>
          <w:b/>
          <w:bCs/>
          <w:iCs/>
        </w:rPr>
      </w:pPr>
      <w:r>
        <w:rPr>
          <w:b/>
          <w:bCs/>
        </w:rPr>
        <w:t>Table of published orders</w:t>
      </w:r>
    </w:p>
    <w:tbl>
      <w:tblPr>
        <w:tblStyle w:val="TableGrid"/>
        <w:tblW w:w="0" w:type="auto"/>
        <w:tblInd w:w="454" w:type="dxa"/>
        <w:tblLook w:val="04A0" w:firstRow="1" w:lastRow="0" w:firstColumn="1" w:lastColumn="0" w:noHBand="0" w:noVBand="1"/>
      </w:tblPr>
      <w:tblGrid>
        <w:gridCol w:w="3794"/>
        <w:gridCol w:w="2126"/>
      </w:tblGrid>
      <w:tr>
        <w:tc>
          <w:tcPr>
            <w:tcW w:w="3794" w:type="dxa"/>
          </w:tcPr>
          <w:p>
            <w:pPr>
              <w:pStyle w:val="nNote"/>
              <w:ind w:left="0" w:firstLine="0"/>
              <w:rPr>
                <w:b/>
                <w:bCs/>
                <w:sz w:val="18"/>
                <w:szCs w:val="18"/>
              </w:rPr>
            </w:pPr>
            <w:r>
              <w:rPr>
                <w:b/>
                <w:bCs/>
                <w:sz w:val="18"/>
                <w:szCs w:val="18"/>
              </w:rPr>
              <w:t>Name</w:t>
            </w:r>
          </w:p>
        </w:tc>
        <w:tc>
          <w:tcPr>
            <w:tcW w:w="2126" w:type="dxa"/>
          </w:tcPr>
          <w:p>
            <w:pPr>
              <w:pStyle w:val="nNote"/>
              <w:ind w:left="0" w:firstLine="0"/>
              <w:rPr>
                <w:b/>
                <w:bCs/>
                <w:sz w:val="18"/>
                <w:szCs w:val="18"/>
              </w:rPr>
            </w:pPr>
            <w:r>
              <w:rPr>
                <w:b/>
                <w:bCs/>
                <w:sz w:val="18"/>
                <w:szCs w:val="18"/>
              </w:rPr>
              <w:t>Published in </w:t>
            </w:r>
            <w:r>
              <w:rPr>
                <w:b/>
                <w:bCs/>
                <w:i/>
                <w:iCs/>
                <w:sz w:val="18"/>
                <w:szCs w:val="18"/>
              </w:rPr>
              <w:t>Gazette</w:t>
            </w:r>
          </w:p>
        </w:tc>
      </w:tr>
      <w:tr>
        <w:tc>
          <w:tcPr>
            <w:tcW w:w="3794" w:type="dxa"/>
          </w:tcPr>
          <w:p>
            <w:pPr>
              <w:pStyle w:val="nNote"/>
              <w:ind w:left="0" w:firstLine="0"/>
              <w:rPr>
                <w:sz w:val="18"/>
                <w:szCs w:val="18"/>
              </w:rPr>
            </w:pPr>
            <w:hyperlink r:id="rId27" w:anchor="page=3" w:history="1">
              <w:r>
                <w:rPr>
                  <w:rStyle w:val="Hyperlink"/>
                  <w:i/>
                  <w:iCs/>
                  <w:snapToGrid w:val="0"/>
                  <w:sz w:val="20"/>
                </w:rPr>
                <w:t>Administration (Intestacy Legacy Amounts) Order 2023</w:t>
              </w:r>
            </w:hyperlink>
          </w:p>
        </w:tc>
        <w:tc>
          <w:tcPr>
            <w:tcW w:w="2126" w:type="dxa"/>
          </w:tcPr>
          <w:p>
            <w:pPr>
              <w:pStyle w:val="nNote"/>
              <w:ind w:left="0" w:firstLine="0"/>
              <w:rPr>
                <w:iCs/>
                <w:sz w:val="18"/>
                <w:szCs w:val="18"/>
              </w:rPr>
            </w:pPr>
            <w:r>
              <w:rPr>
                <w:iCs/>
                <w:sz w:val="18"/>
                <w:szCs w:val="18"/>
              </w:rPr>
              <w:t>1 Aug 2023 p. 2691-2</w:t>
            </w:r>
          </w:p>
        </w:tc>
      </w:tr>
      <w:tr>
        <w:tc>
          <w:tcPr>
            <w:tcW w:w="3794" w:type="dxa"/>
          </w:tcPr>
          <w:p>
            <w:pPr>
              <w:pStyle w:val="nNote"/>
              <w:ind w:left="0" w:firstLine="0"/>
              <w:rPr>
                <w:i/>
                <w:iCs/>
                <w:snapToGrid w:val="0"/>
              </w:rPr>
            </w:pPr>
            <w:hyperlink r:id="rId28" w:anchor="page=4" w:history="1">
              <w:r>
                <w:rPr>
                  <w:rStyle w:val="Hyperlink"/>
                  <w:i/>
                  <w:iCs/>
                  <w:snapToGrid w:val="0"/>
                  <w:sz w:val="20"/>
                </w:rPr>
                <w:t>Administration (Intestacy Legacy Amounts) Order 2025</w:t>
              </w:r>
            </w:hyperlink>
          </w:p>
        </w:tc>
        <w:tc>
          <w:tcPr>
            <w:tcW w:w="2126" w:type="dxa"/>
          </w:tcPr>
          <w:p>
            <w:pPr>
              <w:pStyle w:val="nNote"/>
              <w:ind w:left="0" w:firstLine="0"/>
              <w:rPr>
                <w:iCs/>
                <w:sz w:val="18"/>
                <w:szCs w:val="18"/>
              </w:rPr>
            </w:pPr>
            <w:r>
              <w:rPr>
                <w:iCs/>
                <w:sz w:val="18"/>
                <w:szCs w:val="18"/>
              </w:rPr>
              <w:t>4 Jul 2025 p. 1114</w:t>
            </w:r>
          </w:p>
        </w:tc>
      </w:tr>
    </w:tbl>
    <w:p>
      <w:pPr>
        <w:pStyle w:val="nNote"/>
        <w:rPr>
          <w:snapToGrid w:val="0"/>
        </w:rPr>
      </w:pPr>
    </w:p>
    <w:p/>
    <w:p>
      <w:pPr>
        <w:sectPr>
          <w:headerReference w:type="even" r:id="rId29"/>
          <w:headerReference w:type="default" r:id="rId30"/>
          <w:pgSz w:w="11907" w:h="16840" w:code="9"/>
          <w:pgMar w:top="2376" w:right="2405" w:bottom="3542" w:left="2405" w:header="706" w:footer="3380" w:gutter="0"/>
          <w:cols w:space="720"/>
          <w:noEndnote/>
          <w:docGrid w:linePitch="326"/>
        </w:sectPr>
      </w:pPr>
    </w:p>
    <w:p>
      <w:pPr>
        <w:pStyle w:val="nHeading2"/>
        <w:rPr>
          <w:sz w:val="28"/>
        </w:rPr>
      </w:pPr>
      <w:r>
        <w:rPr>
          <w:sz w:val="28"/>
        </w:rPr>
        <w:lastRenderedPageBreak/>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139(2)</w:t>
      </w:r>
    </w:p>
    <w:p>
      <w:pPr>
        <w:pStyle w:val="DefinedTerms"/>
      </w:pPr>
      <w:r>
        <w:t>administration</w:t>
      </w:r>
      <w:r>
        <w:tab/>
        <w:t>3</w:t>
      </w:r>
    </w:p>
    <w:p>
      <w:pPr>
        <w:pStyle w:val="DefinedTerms"/>
      </w:pPr>
      <w:r>
        <w:t>administrator</w:t>
      </w:r>
      <w:r>
        <w:tab/>
        <w:t>3</w:t>
      </w:r>
    </w:p>
    <w:p>
      <w:pPr>
        <w:pStyle w:val="DefinedTerms"/>
      </w:pPr>
      <w:r>
        <w:t>Court</w:t>
      </w:r>
      <w:r>
        <w:tab/>
        <w:t>3</w:t>
      </w:r>
    </w:p>
    <w:p>
      <w:pPr>
        <w:pStyle w:val="DefinedTerms"/>
      </w:pPr>
      <w:r>
        <w:t>deceased</w:t>
      </w:r>
      <w:r>
        <w:tab/>
        <w:t>17A(1)</w:t>
      </w:r>
    </w:p>
    <w:p>
      <w:pPr>
        <w:pStyle w:val="DefinedTerms"/>
      </w:pPr>
      <w:r>
        <w:t>declared sum</w:t>
      </w:r>
      <w:r>
        <w:tab/>
        <w:t>14(1A)</w:t>
      </w:r>
    </w:p>
    <w:p>
      <w:pPr>
        <w:pStyle w:val="DefinedTerms"/>
      </w:pPr>
      <w:r>
        <w:t>election period</w:t>
      </w:r>
      <w:r>
        <w:tab/>
        <w:t>Fourth Sch. cl. 6(1)</w:t>
      </w:r>
    </w:p>
    <w:p>
      <w:pPr>
        <w:pStyle w:val="DefinedTerms"/>
      </w:pPr>
      <w:r>
        <w:t>exemplification of probate</w:t>
      </w:r>
      <w:r>
        <w:tab/>
        <w:t>3</w:t>
      </w:r>
    </w:p>
    <w:p>
      <w:pPr>
        <w:pStyle w:val="DefinedTerms"/>
      </w:pPr>
      <w:r>
        <w:t>household chattels</w:t>
      </w:r>
      <w:r>
        <w:tab/>
        <w:t>14(2)</w:t>
      </w:r>
    </w:p>
    <w:p>
      <w:pPr>
        <w:pStyle w:val="DefinedTerms"/>
      </w:pPr>
      <w:r>
        <w:t>insolvent</w:t>
      </w:r>
      <w:r>
        <w:tab/>
        <w:t>3</w:t>
      </w:r>
    </w:p>
    <w:p>
      <w:pPr>
        <w:pStyle w:val="DefinedTerms"/>
      </w:pPr>
      <w:r>
        <w:t>interest</w:t>
      </w:r>
      <w:r>
        <w:tab/>
        <w:t>Fourth Sch. cl. 1(1)</w:t>
      </w:r>
    </w:p>
    <w:p>
      <w:pPr>
        <w:pStyle w:val="DefinedTerms"/>
      </w:pPr>
      <w:r>
        <w:t>intestate</w:t>
      </w:r>
      <w:r>
        <w:tab/>
        <w:t>14(1), 15(6)</w:t>
      </w:r>
    </w:p>
    <w:p>
      <w:pPr>
        <w:pStyle w:val="DefinedTerms"/>
      </w:pPr>
      <w:r>
        <w:t>intestate property</w:t>
      </w:r>
      <w:r>
        <w:tab/>
        <w:t>14(1), 15(6)</w:t>
      </w:r>
    </w:p>
    <w:p>
      <w:pPr>
        <w:pStyle w:val="DefinedTerms"/>
      </w:pPr>
      <w:r>
        <w:t>order</w:t>
      </w:r>
      <w:r>
        <w:tab/>
        <w:t>14(1A)</w:t>
      </w:r>
    </w:p>
    <w:p>
      <w:pPr>
        <w:pStyle w:val="DefinedTerms"/>
      </w:pPr>
      <w:r>
        <w:t>original sum</w:t>
      </w:r>
      <w:r>
        <w:tab/>
        <w:t>14A(1)</w:t>
      </w:r>
    </w:p>
    <w:p>
      <w:pPr>
        <w:pStyle w:val="DefinedTerms"/>
      </w:pPr>
      <w:r>
        <w:t>personal estate</w:t>
      </w:r>
      <w:r>
        <w:tab/>
        <w:t>3</w:t>
      </w:r>
    </w:p>
    <w:p>
      <w:pPr>
        <w:pStyle w:val="DefinedTerms"/>
      </w:pPr>
      <w:r>
        <w:t>prescribed</w:t>
      </w:r>
      <w:r>
        <w:tab/>
        <w:t>3</w:t>
      </w:r>
    </w:p>
    <w:p>
      <w:pPr>
        <w:pStyle w:val="DefinedTerms"/>
      </w:pPr>
      <w:r>
        <w:t>Principal Registrar</w:t>
      </w:r>
      <w:r>
        <w:tab/>
        <w:t>3</w:t>
      </w:r>
    </w:p>
    <w:p>
      <w:pPr>
        <w:pStyle w:val="DefinedTerms"/>
      </w:pPr>
      <w:r>
        <w:t>probate</w:t>
      </w:r>
      <w:r>
        <w:tab/>
        <w:t>3</w:t>
      </w:r>
    </w:p>
    <w:p>
      <w:pPr>
        <w:pStyle w:val="DefinedTerms"/>
      </w:pPr>
      <w:r>
        <w:t>Public Trustee</w:t>
      </w:r>
      <w:r>
        <w:tab/>
        <w:t>3</w:t>
      </w:r>
    </w:p>
    <w:p>
      <w:pPr>
        <w:pStyle w:val="DefinedTerms"/>
      </w:pPr>
      <w:r>
        <w:t>real estate</w:t>
      </w:r>
      <w:r>
        <w:tab/>
        <w:t>3</w:t>
      </w:r>
    </w:p>
    <w:p>
      <w:pPr>
        <w:pStyle w:val="DefinedTerms"/>
      </w:pPr>
      <w:r>
        <w:t>registrar</w:t>
      </w:r>
      <w:r>
        <w:tab/>
        <w:t>3</w:t>
      </w:r>
    </w:p>
    <w:p>
      <w:pPr>
        <w:pStyle w:val="DefinedTerms"/>
      </w:pPr>
      <w:r>
        <w:t>relevant property</w:t>
      </w:r>
      <w:r>
        <w:tab/>
        <w:t>14(2b) and (3a)</w:t>
      </w:r>
    </w:p>
    <w:p>
      <w:pPr>
        <w:pStyle w:val="DefinedTerms"/>
      </w:pPr>
      <w:r>
        <w:t>relevant sums</w:t>
      </w:r>
      <w:r>
        <w:tab/>
        <w:t>14B(1)</w:t>
      </w:r>
    </w:p>
    <w:p>
      <w:pPr>
        <w:pStyle w:val="DefinedTerms"/>
      </w:pPr>
      <w:r>
        <w:t>specified item</w:t>
      </w:r>
      <w:r>
        <w:tab/>
        <w:t>14(1A), 14A(1)</w:t>
      </w:r>
    </w:p>
    <w:p>
      <w:pPr>
        <w:pStyle w:val="DefinedTerms"/>
      </w:pPr>
      <w:r>
        <w:t>Table</w:t>
      </w:r>
      <w:r>
        <w:tab/>
        <w:t>14(1A)</w:t>
      </w:r>
    </w:p>
    <w:p>
      <w:pPr>
        <w:pStyle w:val="DefinedTerms"/>
      </w:pPr>
      <w:r>
        <w:t>will</w:t>
      </w:r>
      <w:r>
        <w:tab/>
        <w:t>3</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Mar 2022</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12-d0-01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Mar 2022</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12-d0-01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Mar 2022</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12-d0-01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lx</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Mar 2022</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12-d0-01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Mar 2022</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lix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12-d0-01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Mar 2022</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12-d0-01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1348" w:type="dxa"/>
        </w:tcPr>
        <w:p>
          <w:pPr>
            <w:pStyle w:val="Header"/>
            <w:spacing w:before="40"/>
          </w:pPr>
          <w:r>
            <w:rPr>
              <w:b/>
            </w:rPr>
            <w:fldChar w:fldCharType="begin"/>
          </w:r>
          <w:r>
            <w:rPr>
              <w:b/>
            </w:rPr>
            <w:instrText>styleref CharPartNo</w:instrText>
          </w:r>
          <w:r>
            <w:rPr>
              <w:b/>
            </w:rPr>
            <w:fldChar w:fldCharType="end"/>
          </w:r>
        </w:p>
      </w:tc>
      <w:tc>
        <w:tcPr>
          <w:tcW w:w="5915" w:type="dxa"/>
        </w:tcPr>
        <w:p>
          <w:pPr>
            <w:pStyle w:val="Header"/>
            <w:spacing w:before="40"/>
          </w:pPr>
          <w:r>
            <w:fldChar w:fldCharType="begin"/>
          </w:r>
          <w:r>
            <w:instrText>styleref CharPartText</w:instrText>
          </w:r>
          <w:r>
            <w:fldChar w:fldCharType="end"/>
          </w:r>
        </w:p>
      </w:tc>
    </w:tr>
    <w:tr>
      <w:trPr>
        <w:jc w:val="center"/>
      </w:trP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872"/>
      <w:gridCol w:w="5391"/>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rPr>
        <w:jc w:val="center"/>
      </w:trP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rPr>
        <w:jc w:val="center"/>
      </w:trP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472"/>
      <w:gridCol w:w="1791"/>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10" w:name="Schedule"/>
    <w:bookmarkEnd w:id="11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16" w:name="Compilation"/>
    <w:bookmarkEnd w:id="116"/>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7" w:name="DefinedTerms"/>
    <w:bookmarkEnd w:id="117"/>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18" w:name="Coversheet"/>
    <w:bookmarkEnd w:id="1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28113346"/>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 w:name="WAFER_202009110917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11091722_GUID" w:val="75b8fbe4-6d0b-4cd4-bc8d-0624127d5de2"/>
    <w:docVar w:name="WAFER_2022032811334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8113346_GUID" w:val="b70fb1c5-4e17-4ab6-aad7-cd6b1ee33e9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docId w15:val="{CD40FD27-75E7-4552-B483-8A7EF117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styleId="UnresolvedMention">
    <w:name w:val="Unresolved Mention"/>
    <w:basedOn w:val="DefaultParagraphFont"/>
    <w:uiPriority w:val="99"/>
    <w:semiHidden/>
    <w:unhideWhenUsed/>
    <w:rPr>
      <w:color w:val="605E5C"/>
      <w:shd w:val="clear" w:color="auto" w:fill="E1DFDD"/>
    </w:rPr>
  </w:style>
  <w:style w:type="table" w:styleId="TableGrid">
    <w:name w:val="Table Grid"/>
    <w:basedOn w:val="TableNormal"/>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fontTable" Target="fontTable.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5.xml"/><Relationship Id="rId37" Type="http://schemas.openxmlformats.org/officeDocument/2006/relationships/header" Target="header1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yperlink" Target="https://www.legislation.wa.gov.au/legislation/prod/gazettestore.nsf/FileURL/gg2025_080.pdf/$FILE/Gg2025_080.pdf?OpenElement" TargetMode="Externa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yperlink" Target="https://www.legislation.wa.gov.au/legislation/prod/gazettestore.nsf/FileURL/gg2023_101.pdf/$FILE/Gg2023_101.pdf?OpenElement" TargetMode="External"/><Relationship Id="rId30" Type="http://schemas.openxmlformats.org/officeDocument/2006/relationships/header" Target="header13.xml"/><Relationship Id="rId35" Type="http://schemas.openxmlformats.org/officeDocument/2006/relationships/footer" Target="footer7.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EE22E-AB61-4C3B-A42A-8E868CB16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17846</Words>
  <Characters>81738</Characters>
  <Application>Microsoft Office Word</Application>
  <DocSecurity>0</DocSecurity>
  <Lines>2404</Lines>
  <Paragraphs>1185</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1903 - 12-d0-01</dc:title>
  <dc:subject/>
  <dc:creator/>
  <cp:keywords/>
  <dc:description/>
  <cp:lastModifiedBy>Master Repository Process</cp:lastModifiedBy>
  <cp:revision>4</cp:revision>
  <cp:lastPrinted>2016-04-20T01:24:00Z</cp:lastPrinted>
  <dcterms:created xsi:type="dcterms:W3CDTF">2025-07-08T01:32:00Z</dcterms:created>
  <dcterms:modified xsi:type="dcterms:W3CDTF">2025-07-08T01:32:00Z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AsAtDate">
    <vt:lpwstr>30 Mar 2022</vt:lpwstr>
  </property>
  <property fmtid="{D5CDD505-2E9C-101B-9397-08002B2CF9AE}" pid="8" name="Suffix">
    <vt:lpwstr>12-d0-01</vt:lpwstr>
  </property>
  <property fmtid="{D5CDD505-2E9C-101B-9397-08002B2CF9AE}" pid="9" name="Official">
    <vt:lpwstr/>
  </property>
  <property fmtid="{D5CDD505-2E9C-101B-9397-08002B2CF9AE}" pid="10" name="CommencementDate">
    <vt:lpwstr>20220330</vt:lpwstr>
  </property>
  <property fmtid="{D5CDD505-2E9C-101B-9397-08002B2CF9AE}" pid="11" name="CommencementAsAt">
    <vt:filetime>2022-03-29T16:00:00Z</vt:filetime>
  </property>
  <property fmtid="{D5CDD505-2E9C-101B-9397-08002B2CF9AE}" pid="12" name="CommencementYear">
    <vt:lpwstr>2022</vt:lpwstr>
  </property>
</Properties>
</file>