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Taxi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Taxi Regulations 1995</w:t>
      </w:r>
      <w:r>
        <w:fldChar w:fldCharType="end"/>
      </w:r>
    </w:p>
    <w:p>
      <w:pPr>
        <w:pStyle w:val="Arrangement"/>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_Toc132626971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_Toc132626972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_Toc132626973 \h </w:instrText>
      </w:r>
      <w:r>
        <w:fldChar w:fldCharType="separate"/>
      </w:r>
      <w:r>
        <w:t>1</w:t>
      </w:r>
      <w:r>
        <w:fldChar w:fldCharType="end"/>
      </w:r>
    </w:p>
    <w:p>
      <w:pPr>
        <w:pStyle w:val="TOC8"/>
        <w:rPr>
          <w:sz w:val="24"/>
        </w:rPr>
      </w:pPr>
      <w:r>
        <w:t>4</w:t>
      </w:r>
      <w:r>
        <w:rPr>
          <w:snapToGrid w:val="0"/>
        </w:rPr>
        <w:t>.</w:t>
      </w:r>
      <w:r>
        <w:rPr>
          <w:snapToGrid w:val="0"/>
        </w:rPr>
        <w:tab/>
        <w:t>Control area</w:t>
      </w:r>
      <w:r>
        <w:tab/>
      </w:r>
      <w:r>
        <w:fldChar w:fldCharType="begin"/>
      </w:r>
      <w:r>
        <w:instrText xml:space="preserve"> PAGEREF _Toc132626974 \h </w:instrText>
      </w:r>
      <w:r>
        <w:fldChar w:fldCharType="separate"/>
      </w:r>
      <w:r>
        <w:t>2</w:t>
      </w:r>
      <w:r>
        <w:fldChar w:fldCharType="end"/>
      </w:r>
    </w:p>
    <w:p>
      <w:pPr>
        <w:pStyle w:val="TOC8"/>
        <w:rPr>
          <w:sz w:val="24"/>
        </w:rPr>
      </w:pPr>
      <w:r>
        <w:t>4A.</w:t>
      </w:r>
      <w:r>
        <w:tab/>
        <w:t>Prescribed percentage of total number of taxi plates — section 16</w:t>
      </w:r>
      <w:r>
        <w:tab/>
      </w:r>
      <w:r>
        <w:fldChar w:fldCharType="begin"/>
      </w:r>
      <w:r>
        <w:instrText xml:space="preserve"> PAGEREF _Toc132626975 \h </w:instrText>
      </w:r>
      <w:r>
        <w:fldChar w:fldCharType="separate"/>
      </w:r>
      <w:r>
        <w:t>2</w:t>
      </w:r>
      <w:r>
        <w:fldChar w:fldCharType="end"/>
      </w:r>
    </w:p>
    <w:p>
      <w:pPr>
        <w:pStyle w:val="TOC8"/>
        <w:rPr>
          <w:sz w:val="24"/>
        </w:rPr>
      </w:pPr>
      <w:r>
        <w:t>5</w:t>
      </w:r>
      <w:r>
        <w:rPr>
          <w:snapToGrid w:val="0"/>
        </w:rPr>
        <w:t>.</w:t>
      </w:r>
      <w:r>
        <w:rPr>
          <w:snapToGrid w:val="0"/>
        </w:rPr>
        <w:tab/>
        <w:t>Certain classes of taxis and conditions which may be imposed prescribed</w:t>
      </w:r>
      <w:r>
        <w:tab/>
      </w:r>
      <w:r>
        <w:fldChar w:fldCharType="begin"/>
      </w:r>
      <w:r>
        <w:instrText xml:space="preserve"> PAGEREF _Toc132626976 \h </w:instrText>
      </w:r>
      <w:r>
        <w:fldChar w:fldCharType="separate"/>
      </w:r>
      <w:r>
        <w:t>2</w:t>
      </w:r>
      <w:r>
        <w:fldChar w:fldCharType="end"/>
      </w:r>
    </w:p>
    <w:p>
      <w:pPr>
        <w:pStyle w:val="TOC8"/>
        <w:rPr>
          <w:sz w:val="24"/>
        </w:rPr>
      </w:pPr>
      <w:r>
        <w:t>5A.</w:t>
      </w:r>
      <w:r>
        <w:tab/>
        <w:t>Director General may impose conditions in relation to leasing taxis and taxi plates</w:t>
      </w:r>
      <w:r>
        <w:tab/>
      </w:r>
      <w:r>
        <w:fldChar w:fldCharType="begin"/>
      </w:r>
      <w:r>
        <w:instrText xml:space="preserve"> PAGEREF _Toc132626977 \h </w:instrText>
      </w:r>
      <w:r>
        <w:fldChar w:fldCharType="separate"/>
      </w:r>
      <w:r>
        <w:t>3</w:t>
      </w:r>
      <w:r>
        <w:fldChar w:fldCharType="end"/>
      </w:r>
    </w:p>
    <w:p>
      <w:pPr>
        <w:pStyle w:val="TOC8"/>
        <w:rPr>
          <w:sz w:val="24"/>
        </w:rPr>
      </w:pPr>
      <w:r>
        <w:t>6</w:t>
      </w:r>
      <w:r>
        <w:rPr>
          <w:snapToGrid w:val="0"/>
        </w:rPr>
        <w:t>.</w:t>
      </w:r>
      <w:r>
        <w:rPr>
          <w:snapToGrid w:val="0"/>
        </w:rPr>
        <w:tab/>
        <w:t>Prescribed numbers for different classes of taxis</w:t>
      </w:r>
      <w:r>
        <w:tab/>
      </w:r>
      <w:r>
        <w:fldChar w:fldCharType="begin"/>
      </w:r>
      <w:r>
        <w:instrText xml:space="preserve"> PAGEREF _Toc132626978 \h </w:instrText>
      </w:r>
      <w:r>
        <w:fldChar w:fldCharType="separate"/>
      </w:r>
      <w:r>
        <w:t>4</w:t>
      </w:r>
      <w:r>
        <w:fldChar w:fldCharType="end"/>
      </w:r>
    </w:p>
    <w:p>
      <w:pPr>
        <w:pStyle w:val="TOC8"/>
        <w:rPr>
          <w:sz w:val="24"/>
        </w:rPr>
      </w:pPr>
      <w:r>
        <w:t>7</w:t>
      </w:r>
      <w:r>
        <w:rPr>
          <w:snapToGrid w:val="0"/>
        </w:rPr>
        <w:t>.</w:t>
      </w:r>
      <w:r>
        <w:rPr>
          <w:snapToGrid w:val="0"/>
        </w:rPr>
        <w:tab/>
        <w:t>Fare schedule to be displayed</w:t>
      </w:r>
      <w:r>
        <w:tab/>
      </w:r>
      <w:r>
        <w:fldChar w:fldCharType="begin"/>
      </w:r>
      <w:r>
        <w:instrText xml:space="preserve"> PAGEREF _Toc132626979 \h </w:instrText>
      </w:r>
      <w:r>
        <w:fldChar w:fldCharType="separate"/>
      </w:r>
      <w:r>
        <w:t>4</w:t>
      </w:r>
      <w:r>
        <w:fldChar w:fldCharType="end"/>
      </w:r>
    </w:p>
    <w:p>
      <w:pPr>
        <w:pStyle w:val="TOC8"/>
        <w:rPr>
          <w:sz w:val="24"/>
        </w:rPr>
      </w:pPr>
      <w:r>
        <w:t>8</w:t>
      </w:r>
      <w:r>
        <w:rPr>
          <w:snapToGrid w:val="0"/>
        </w:rPr>
        <w:t>.</w:t>
      </w:r>
      <w:r>
        <w:rPr>
          <w:snapToGrid w:val="0"/>
        </w:rPr>
        <w:tab/>
        <w:t>Fares</w:t>
      </w:r>
      <w:r>
        <w:tab/>
      </w:r>
      <w:r>
        <w:fldChar w:fldCharType="begin"/>
      </w:r>
      <w:r>
        <w:instrText xml:space="preserve"> PAGEREF _Toc132626980 \h </w:instrText>
      </w:r>
      <w:r>
        <w:fldChar w:fldCharType="separate"/>
      </w:r>
      <w:r>
        <w:t>5</w:t>
      </w:r>
      <w:r>
        <w:fldChar w:fldCharType="end"/>
      </w:r>
    </w:p>
    <w:p>
      <w:pPr>
        <w:pStyle w:val="TOC8"/>
        <w:rPr>
          <w:sz w:val="24"/>
        </w:rPr>
      </w:pPr>
      <w:r>
        <w:t>9</w:t>
      </w:r>
      <w:r>
        <w:rPr>
          <w:snapToGrid w:val="0"/>
        </w:rPr>
        <w:t>.</w:t>
      </w:r>
      <w:r>
        <w:rPr>
          <w:snapToGrid w:val="0"/>
        </w:rPr>
        <w:tab/>
        <w:t>Commencement and termination of hiring</w:t>
      </w:r>
      <w:r>
        <w:tab/>
      </w:r>
      <w:r>
        <w:fldChar w:fldCharType="begin"/>
      </w:r>
      <w:r>
        <w:instrText xml:space="preserve"> PAGEREF _Toc132626981 \h </w:instrText>
      </w:r>
      <w:r>
        <w:fldChar w:fldCharType="separate"/>
      </w:r>
      <w:r>
        <w:t>6</w:t>
      </w:r>
      <w:r>
        <w:fldChar w:fldCharType="end"/>
      </w:r>
    </w:p>
    <w:p>
      <w:pPr>
        <w:pStyle w:val="TOC8"/>
        <w:rPr>
          <w:sz w:val="24"/>
        </w:rPr>
      </w:pPr>
      <w:r>
        <w:t>9A</w:t>
      </w:r>
      <w:r>
        <w:rPr>
          <w:snapToGrid w:val="0"/>
        </w:rPr>
        <w:t>.</w:t>
      </w:r>
      <w:r>
        <w:rPr>
          <w:snapToGrid w:val="0"/>
        </w:rPr>
        <w:tab/>
        <w:t>Hirer shall pay fare at termination of hiring or as otherwise agreed</w:t>
      </w:r>
      <w:r>
        <w:tab/>
      </w:r>
      <w:r>
        <w:fldChar w:fldCharType="begin"/>
      </w:r>
      <w:r>
        <w:instrText xml:space="preserve"> PAGEREF _Toc132626982 \h </w:instrText>
      </w:r>
      <w:r>
        <w:fldChar w:fldCharType="separate"/>
      </w:r>
      <w:r>
        <w:t>6</w:t>
      </w:r>
      <w:r>
        <w:fldChar w:fldCharType="end"/>
      </w:r>
    </w:p>
    <w:p>
      <w:pPr>
        <w:pStyle w:val="TOC8"/>
        <w:rPr>
          <w:sz w:val="24"/>
        </w:rPr>
      </w:pPr>
      <w:r>
        <w:t>9B</w:t>
      </w:r>
      <w:r>
        <w:rPr>
          <w:snapToGrid w:val="0"/>
        </w:rPr>
        <w:t>.</w:t>
      </w:r>
      <w:r>
        <w:rPr>
          <w:snapToGrid w:val="0"/>
        </w:rPr>
        <w:tab/>
        <w:t>Unpaid fare may be added to modified penalty and paid to driver</w:t>
      </w:r>
      <w:r>
        <w:tab/>
      </w:r>
      <w:r>
        <w:fldChar w:fldCharType="begin"/>
      </w:r>
      <w:r>
        <w:instrText xml:space="preserve"> PAGEREF _Toc132626983 \h </w:instrText>
      </w:r>
      <w:r>
        <w:fldChar w:fldCharType="separate"/>
      </w:r>
      <w:r>
        <w:t>7</w:t>
      </w:r>
      <w:r>
        <w:fldChar w:fldCharType="end"/>
      </w:r>
    </w:p>
    <w:p>
      <w:pPr>
        <w:pStyle w:val="TOC8"/>
        <w:rPr>
          <w:sz w:val="24"/>
        </w:rPr>
      </w:pPr>
      <w:r>
        <w:t>10</w:t>
      </w:r>
      <w:r>
        <w:rPr>
          <w:snapToGrid w:val="0"/>
        </w:rPr>
        <w:t>.</w:t>
      </w:r>
      <w:r>
        <w:rPr>
          <w:snapToGrid w:val="0"/>
        </w:rPr>
        <w:tab/>
        <w:t>Hirer may refuse multiple hiring</w:t>
      </w:r>
      <w:r>
        <w:tab/>
      </w:r>
      <w:r>
        <w:fldChar w:fldCharType="begin"/>
      </w:r>
      <w:r>
        <w:instrText xml:space="preserve"> PAGEREF _Toc132626984 \h </w:instrText>
      </w:r>
      <w:r>
        <w:fldChar w:fldCharType="separate"/>
      </w:r>
      <w:r>
        <w:t>7</w:t>
      </w:r>
      <w:r>
        <w:fldChar w:fldCharType="end"/>
      </w:r>
    </w:p>
    <w:p>
      <w:pPr>
        <w:pStyle w:val="TOC8"/>
        <w:rPr>
          <w:sz w:val="24"/>
        </w:rPr>
      </w:pPr>
      <w:r>
        <w:t>11</w:t>
      </w:r>
      <w:r>
        <w:rPr>
          <w:snapToGrid w:val="0"/>
        </w:rPr>
        <w:t>.</w:t>
      </w:r>
      <w:r>
        <w:rPr>
          <w:snapToGrid w:val="0"/>
        </w:rPr>
        <w:tab/>
        <w:t>Route to be taken</w:t>
      </w:r>
      <w:r>
        <w:tab/>
      </w:r>
      <w:r>
        <w:fldChar w:fldCharType="begin"/>
      </w:r>
      <w:r>
        <w:instrText xml:space="preserve"> PAGEREF _Toc132626985 \h </w:instrText>
      </w:r>
      <w:r>
        <w:fldChar w:fldCharType="separate"/>
      </w:r>
      <w:r>
        <w:t>7</w:t>
      </w:r>
      <w:r>
        <w:fldChar w:fldCharType="end"/>
      </w:r>
    </w:p>
    <w:p>
      <w:pPr>
        <w:pStyle w:val="TOC8"/>
        <w:rPr>
          <w:sz w:val="24"/>
        </w:rPr>
      </w:pPr>
      <w:r>
        <w:t>12</w:t>
      </w:r>
      <w:r>
        <w:rPr>
          <w:snapToGrid w:val="0"/>
        </w:rPr>
        <w:t>.</w:t>
      </w:r>
      <w:r>
        <w:rPr>
          <w:snapToGrid w:val="0"/>
        </w:rPr>
        <w:tab/>
        <w:t>Driver may require a deposit</w:t>
      </w:r>
      <w:r>
        <w:tab/>
      </w:r>
      <w:r>
        <w:fldChar w:fldCharType="begin"/>
      </w:r>
      <w:r>
        <w:instrText xml:space="preserve"> PAGEREF _Toc132626986 \h </w:instrText>
      </w:r>
      <w:r>
        <w:fldChar w:fldCharType="separate"/>
      </w:r>
      <w:r>
        <w:t>7</w:t>
      </w:r>
      <w:r>
        <w:fldChar w:fldCharType="end"/>
      </w:r>
    </w:p>
    <w:p>
      <w:pPr>
        <w:pStyle w:val="TOC8"/>
        <w:rPr>
          <w:sz w:val="24"/>
        </w:rPr>
      </w:pPr>
      <w:r>
        <w:t>13</w:t>
      </w:r>
      <w:r>
        <w:rPr>
          <w:snapToGrid w:val="0"/>
        </w:rPr>
        <w:t>.</w:t>
      </w:r>
      <w:r>
        <w:rPr>
          <w:snapToGrid w:val="0"/>
        </w:rPr>
        <w:tab/>
        <w:t>Driver must accept a hirer except under certain circumstances</w:t>
      </w:r>
      <w:r>
        <w:tab/>
      </w:r>
      <w:r>
        <w:fldChar w:fldCharType="begin"/>
      </w:r>
      <w:r>
        <w:instrText xml:space="preserve"> PAGEREF _Toc132626987 \h </w:instrText>
      </w:r>
      <w:r>
        <w:fldChar w:fldCharType="separate"/>
      </w:r>
      <w:r>
        <w:t>7</w:t>
      </w:r>
      <w:r>
        <w:fldChar w:fldCharType="end"/>
      </w:r>
    </w:p>
    <w:p>
      <w:pPr>
        <w:pStyle w:val="TOC8"/>
        <w:rPr>
          <w:sz w:val="24"/>
        </w:rPr>
      </w:pPr>
      <w:r>
        <w:t>13A.</w:t>
      </w:r>
      <w:r>
        <w:tab/>
        <w:t>Driver shall inform provider of taxi dispatch service of certain matters</w:t>
      </w:r>
      <w:r>
        <w:tab/>
      </w:r>
      <w:r>
        <w:fldChar w:fldCharType="begin"/>
      </w:r>
      <w:r>
        <w:instrText xml:space="preserve"> PAGEREF _Toc132626988 \h </w:instrText>
      </w:r>
      <w:r>
        <w:fldChar w:fldCharType="separate"/>
      </w:r>
      <w:r>
        <w:t>9</w:t>
      </w:r>
      <w:r>
        <w:fldChar w:fldCharType="end"/>
      </w:r>
    </w:p>
    <w:p>
      <w:pPr>
        <w:pStyle w:val="TOC8"/>
        <w:rPr>
          <w:sz w:val="24"/>
        </w:rPr>
      </w:pPr>
      <w:r>
        <w:t>13B.</w:t>
      </w:r>
      <w:r>
        <w:tab/>
        <w:t>Driver shall not interfere with operation of camera surveillance unit</w:t>
      </w:r>
      <w:r>
        <w:tab/>
      </w:r>
      <w:r>
        <w:fldChar w:fldCharType="begin"/>
      </w:r>
      <w:r>
        <w:instrText xml:space="preserve"> PAGEREF _Toc132626989 \h </w:instrText>
      </w:r>
      <w:r>
        <w:fldChar w:fldCharType="separate"/>
      </w:r>
      <w:r>
        <w:t>9</w:t>
      </w:r>
      <w:r>
        <w:fldChar w:fldCharType="end"/>
      </w:r>
    </w:p>
    <w:p>
      <w:pPr>
        <w:pStyle w:val="TOC8"/>
        <w:rPr>
          <w:sz w:val="24"/>
        </w:rPr>
      </w:pPr>
      <w:r>
        <w:t>14</w:t>
      </w:r>
      <w:r>
        <w:rPr>
          <w:snapToGrid w:val="0"/>
        </w:rPr>
        <w:t>.</w:t>
      </w:r>
      <w:r>
        <w:rPr>
          <w:snapToGrid w:val="0"/>
        </w:rPr>
        <w:tab/>
        <w:t>Guide dogs</w:t>
      </w:r>
      <w:r>
        <w:tab/>
      </w:r>
      <w:r>
        <w:fldChar w:fldCharType="begin"/>
      </w:r>
      <w:r>
        <w:instrText xml:space="preserve"> PAGEREF _Toc132626990 \h </w:instrText>
      </w:r>
      <w:r>
        <w:fldChar w:fldCharType="separate"/>
      </w:r>
      <w:r>
        <w:t>10</w:t>
      </w:r>
      <w:r>
        <w:fldChar w:fldCharType="end"/>
      </w:r>
    </w:p>
    <w:p>
      <w:pPr>
        <w:pStyle w:val="TOC8"/>
        <w:rPr>
          <w:sz w:val="24"/>
        </w:rPr>
      </w:pPr>
      <w:r>
        <w:t>15.</w:t>
      </w:r>
      <w:r>
        <w:tab/>
        <w:t>Display of driver identification</w:t>
      </w:r>
      <w:r>
        <w:tab/>
      </w:r>
      <w:r>
        <w:fldChar w:fldCharType="begin"/>
      </w:r>
      <w:r>
        <w:instrText xml:space="preserve"> PAGEREF _Toc132626991 \h </w:instrText>
      </w:r>
      <w:r>
        <w:fldChar w:fldCharType="separate"/>
      </w:r>
      <w:r>
        <w:t>10</w:t>
      </w:r>
      <w:r>
        <w:fldChar w:fldCharType="end"/>
      </w:r>
    </w:p>
    <w:p>
      <w:pPr>
        <w:pStyle w:val="TOC8"/>
        <w:rPr>
          <w:sz w:val="24"/>
        </w:rPr>
      </w:pPr>
      <w:r>
        <w:t>16</w:t>
      </w:r>
      <w:r>
        <w:rPr>
          <w:snapToGrid w:val="0"/>
        </w:rPr>
        <w:t>.</w:t>
      </w:r>
      <w:r>
        <w:rPr>
          <w:snapToGrid w:val="0"/>
        </w:rPr>
        <w:tab/>
        <w:t>Conduct of drivers</w:t>
      </w:r>
      <w:r>
        <w:tab/>
      </w:r>
      <w:r>
        <w:fldChar w:fldCharType="begin"/>
      </w:r>
      <w:r>
        <w:instrText xml:space="preserve"> PAGEREF _Toc132626992 \h </w:instrText>
      </w:r>
      <w:r>
        <w:fldChar w:fldCharType="separate"/>
      </w:r>
      <w:r>
        <w:t>10</w:t>
      </w:r>
      <w:r>
        <w:fldChar w:fldCharType="end"/>
      </w:r>
    </w:p>
    <w:p>
      <w:pPr>
        <w:pStyle w:val="TOC8"/>
        <w:rPr>
          <w:sz w:val="24"/>
        </w:rPr>
      </w:pPr>
      <w:r>
        <w:t>17</w:t>
      </w:r>
      <w:r>
        <w:rPr>
          <w:snapToGrid w:val="0"/>
        </w:rPr>
        <w:t>.</w:t>
      </w:r>
      <w:r>
        <w:rPr>
          <w:snapToGrid w:val="0"/>
        </w:rPr>
        <w:tab/>
        <w:t>Conduct at taxi ranks</w:t>
      </w:r>
      <w:r>
        <w:tab/>
      </w:r>
      <w:r>
        <w:fldChar w:fldCharType="begin"/>
      </w:r>
      <w:r>
        <w:instrText xml:space="preserve"> PAGEREF _Toc132626993 \h </w:instrText>
      </w:r>
      <w:r>
        <w:fldChar w:fldCharType="separate"/>
      </w:r>
      <w:r>
        <w:t>10</w:t>
      </w:r>
      <w:r>
        <w:fldChar w:fldCharType="end"/>
      </w:r>
    </w:p>
    <w:p>
      <w:pPr>
        <w:pStyle w:val="TOC8"/>
        <w:rPr>
          <w:sz w:val="24"/>
        </w:rPr>
      </w:pPr>
      <w:r>
        <w:t>17A</w:t>
      </w:r>
      <w:r>
        <w:rPr>
          <w:snapToGrid w:val="0"/>
        </w:rPr>
        <w:t>.</w:t>
      </w:r>
      <w:r>
        <w:rPr>
          <w:snapToGrid w:val="0"/>
        </w:rPr>
        <w:tab/>
        <w:t>Approval of uniforms</w:t>
      </w:r>
      <w:r>
        <w:tab/>
      </w:r>
      <w:r>
        <w:fldChar w:fldCharType="begin"/>
      </w:r>
      <w:r>
        <w:instrText xml:space="preserve"> PAGEREF _Toc132626994 \h </w:instrText>
      </w:r>
      <w:r>
        <w:fldChar w:fldCharType="separate"/>
      </w:r>
      <w:r>
        <w:t>11</w:t>
      </w:r>
      <w:r>
        <w:fldChar w:fldCharType="end"/>
      </w:r>
    </w:p>
    <w:p>
      <w:pPr>
        <w:pStyle w:val="TOC8"/>
        <w:rPr>
          <w:sz w:val="24"/>
        </w:rPr>
      </w:pPr>
      <w:r>
        <w:t>17B</w:t>
      </w:r>
      <w:r>
        <w:rPr>
          <w:snapToGrid w:val="0"/>
        </w:rPr>
        <w:t>.</w:t>
      </w:r>
      <w:r>
        <w:rPr>
          <w:snapToGrid w:val="0"/>
        </w:rPr>
        <w:tab/>
        <w:t>Drivers to wear uniforms</w:t>
      </w:r>
      <w:r>
        <w:tab/>
      </w:r>
      <w:r>
        <w:fldChar w:fldCharType="begin"/>
      </w:r>
      <w:r>
        <w:instrText xml:space="preserve"> PAGEREF _Toc132626995 \h </w:instrText>
      </w:r>
      <w:r>
        <w:fldChar w:fldCharType="separate"/>
      </w:r>
      <w:r>
        <w:t>12</w:t>
      </w:r>
      <w:r>
        <w:fldChar w:fldCharType="end"/>
      </w:r>
    </w:p>
    <w:p>
      <w:pPr>
        <w:pStyle w:val="TOC8"/>
        <w:rPr>
          <w:sz w:val="24"/>
        </w:rPr>
      </w:pPr>
      <w:r>
        <w:t>18</w:t>
      </w:r>
      <w:r>
        <w:rPr>
          <w:snapToGrid w:val="0"/>
        </w:rPr>
        <w:t>.</w:t>
      </w:r>
      <w:r>
        <w:rPr>
          <w:snapToGrid w:val="0"/>
        </w:rPr>
        <w:tab/>
        <w:t>Taxi meters</w:t>
      </w:r>
      <w:r>
        <w:tab/>
      </w:r>
      <w:r>
        <w:fldChar w:fldCharType="begin"/>
      </w:r>
      <w:r>
        <w:instrText xml:space="preserve"> PAGEREF _Toc132626996 \h </w:instrText>
      </w:r>
      <w:r>
        <w:fldChar w:fldCharType="separate"/>
      </w:r>
      <w:r>
        <w:t>12</w:t>
      </w:r>
      <w:r>
        <w:fldChar w:fldCharType="end"/>
      </w:r>
    </w:p>
    <w:p>
      <w:pPr>
        <w:pStyle w:val="TOC8"/>
        <w:rPr>
          <w:sz w:val="24"/>
        </w:rPr>
      </w:pPr>
      <w:r>
        <w:t>19</w:t>
      </w:r>
      <w:r>
        <w:rPr>
          <w:snapToGrid w:val="0"/>
        </w:rPr>
        <w:t>.</w:t>
      </w:r>
      <w:r>
        <w:rPr>
          <w:snapToGrid w:val="0"/>
        </w:rPr>
        <w:tab/>
        <w:t>Fees and charges</w:t>
      </w:r>
      <w:r>
        <w:tab/>
      </w:r>
      <w:r>
        <w:fldChar w:fldCharType="begin"/>
      </w:r>
      <w:r>
        <w:instrText xml:space="preserve"> PAGEREF _Toc132626997 \h </w:instrText>
      </w:r>
      <w:r>
        <w:fldChar w:fldCharType="separate"/>
      </w:r>
      <w:r>
        <w:t>13</w:t>
      </w:r>
      <w:r>
        <w:fldChar w:fldCharType="end"/>
      </w:r>
    </w:p>
    <w:p>
      <w:pPr>
        <w:pStyle w:val="TOC8"/>
        <w:rPr>
          <w:sz w:val="24"/>
        </w:rPr>
      </w:pPr>
      <w:r>
        <w:t>19A.</w:t>
      </w:r>
      <w:r>
        <w:tab/>
        <w:t>Conditions that may be imposed on taxi dispatch service providers (s. 29)</w:t>
      </w:r>
      <w:r>
        <w:tab/>
      </w:r>
      <w:r>
        <w:fldChar w:fldCharType="begin"/>
      </w:r>
      <w:r>
        <w:instrText xml:space="preserve"> PAGEREF _Toc132626998 \h </w:instrText>
      </w:r>
      <w:r>
        <w:fldChar w:fldCharType="separate"/>
      </w:r>
      <w:r>
        <w:t>16</w:t>
      </w:r>
      <w:r>
        <w:fldChar w:fldCharType="end"/>
      </w:r>
    </w:p>
    <w:p>
      <w:pPr>
        <w:pStyle w:val="TOC8"/>
        <w:rPr>
          <w:sz w:val="24"/>
        </w:rPr>
      </w:pPr>
      <w:r>
        <w:t>20</w:t>
      </w:r>
      <w:r>
        <w:rPr>
          <w:snapToGrid w:val="0"/>
        </w:rPr>
        <w:t>.</w:t>
      </w:r>
      <w:r>
        <w:rPr>
          <w:snapToGrid w:val="0"/>
        </w:rPr>
        <w:tab/>
        <w:t>Interest on bonds</w:t>
      </w:r>
      <w:r>
        <w:tab/>
      </w:r>
      <w:r>
        <w:fldChar w:fldCharType="begin"/>
      </w:r>
      <w:r>
        <w:instrText xml:space="preserve"> PAGEREF _Toc132626999 \h </w:instrText>
      </w:r>
      <w:r>
        <w:fldChar w:fldCharType="separate"/>
      </w:r>
      <w:r>
        <w:t>16</w:t>
      </w:r>
      <w:r>
        <w:fldChar w:fldCharType="end"/>
      </w:r>
    </w:p>
    <w:p>
      <w:pPr>
        <w:pStyle w:val="TOC8"/>
        <w:rPr>
          <w:sz w:val="24"/>
        </w:rPr>
      </w:pPr>
      <w:r>
        <w:t>21</w:t>
      </w:r>
      <w:r>
        <w:rPr>
          <w:snapToGrid w:val="0"/>
        </w:rPr>
        <w:t>.</w:t>
      </w:r>
      <w:r>
        <w:rPr>
          <w:snapToGrid w:val="0"/>
        </w:rPr>
        <w:tab/>
        <w:t>Offences and penalties</w:t>
      </w:r>
      <w:r>
        <w:tab/>
      </w:r>
      <w:r>
        <w:fldChar w:fldCharType="begin"/>
      </w:r>
      <w:r>
        <w:instrText xml:space="preserve"> PAGEREF _Toc132627000 \h </w:instrText>
      </w:r>
      <w:r>
        <w:fldChar w:fldCharType="separate"/>
      </w:r>
      <w:r>
        <w:t>16</w:t>
      </w:r>
      <w:r>
        <w:fldChar w:fldCharType="end"/>
      </w:r>
    </w:p>
    <w:p>
      <w:pPr>
        <w:pStyle w:val="TOC8"/>
        <w:rPr>
          <w:sz w:val="24"/>
        </w:rPr>
      </w:pPr>
      <w:r>
        <w:t>22</w:t>
      </w:r>
      <w:r>
        <w:rPr>
          <w:snapToGrid w:val="0"/>
        </w:rPr>
        <w:t>.</w:t>
      </w:r>
      <w:r>
        <w:rPr>
          <w:snapToGrid w:val="0"/>
        </w:rPr>
        <w:tab/>
        <w:t>Infringement notices and modified penalties</w:t>
      </w:r>
      <w:r>
        <w:tab/>
      </w:r>
      <w:r>
        <w:fldChar w:fldCharType="begin"/>
      </w:r>
      <w:r>
        <w:instrText xml:space="preserve"> PAGEREF _Toc132627001 \h </w:instrText>
      </w:r>
      <w:r>
        <w:fldChar w:fldCharType="separate"/>
      </w:r>
      <w:r>
        <w:t>17</w:t>
      </w:r>
      <w:r>
        <w:fldChar w:fldCharType="end"/>
      </w:r>
    </w:p>
    <w:p>
      <w:pPr>
        <w:pStyle w:val="TOC8"/>
        <w:rPr>
          <w:sz w:val="24"/>
        </w:rPr>
      </w:pPr>
      <w:r>
        <w:t>23</w:t>
      </w:r>
      <w:r>
        <w:rPr>
          <w:snapToGrid w:val="0"/>
        </w:rPr>
        <w:t>.</w:t>
      </w:r>
      <w:r>
        <w:rPr>
          <w:snapToGrid w:val="0"/>
        </w:rPr>
        <w:tab/>
        <w:t>Notices and documents for the purposes of sections 34 and 35</w:t>
      </w:r>
      <w:r>
        <w:tab/>
      </w:r>
      <w:r>
        <w:fldChar w:fldCharType="begin"/>
      </w:r>
      <w:r>
        <w:instrText xml:space="preserve"> PAGEREF _Toc132627002 \h </w:instrText>
      </w:r>
      <w:r>
        <w:fldChar w:fldCharType="separate"/>
      </w:r>
      <w:r>
        <w:t>17</w:t>
      </w:r>
      <w:r>
        <w:fldChar w:fldCharType="end"/>
      </w:r>
    </w:p>
    <w:p>
      <w:pPr>
        <w:pStyle w:val="TOC2"/>
        <w:tabs>
          <w:tab w:val="right" w:leader="dot" w:pos="7086"/>
        </w:tabs>
        <w:rPr>
          <w:b w:val="0"/>
          <w:sz w:val="24"/>
        </w:rPr>
      </w:pPr>
      <w:r>
        <w:t>Schedule 1 — Offences for which infringement notices may be issued</w:t>
      </w:r>
    </w:p>
    <w:p>
      <w:pPr>
        <w:pStyle w:val="TOC2"/>
        <w:tabs>
          <w:tab w:val="right" w:leader="dot" w:pos="7086"/>
        </w:tabs>
        <w:rPr>
          <w:b w:val="0"/>
          <w:sz w:val="24"/>
        </w:rPr>
      </w:pPr>
      <w:r>
        <w:t>Schedule 2</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_Toc132627006 \h </w:instrText>
      </w:r>
      <w:r>
        <w:fldChar w:fldCharType="separate"/>
      </w:r>
      <w:r>
        <w:t>27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Taxi Act 1994</w:t>
      </w:r>
    </w:p>
    <w:p>
      <w:pPr>
        <w:pStyle w:val="NameofActReg"/>
      </w:pPr>
      <w:r>
        <w:t>Taxi Regulations 1995</w:t>
      </w:r>
    </w:p>
    <w:p>
      <w:pPr>
        <w:pStyle w:val="Heading5"/>
        <w:rPr>
          <w:snapToGrid w:val="0"/>
        </w:rPr>
      </w:pPr>
      <w:bookmarkStart w:id="2" w:name="_Toc4486404"/>
      <w:bookmarkStart w:id="3" w:name="_Toc4487081"/>
      <w:bookmarkStart w:id="4" w:name="_Toc128542412"/>
      <w:bookmarkStart w:id="5" w:name="_Toc132626971"/>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6" w:name="_Toc4486405"/>
      <w:bookmarkStart w:id="7" w:name="_Toc4487082"/>
      <w:bookmarkStart w:id="8" w:name="_Toc128542413"/>
      <w:bookmarkStart w:id="9" w:name="_Toc132626972"/>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4486406"/>
      <w:bookmarkStart w:id="11" w:name="_Toc4487083"/>
      <w:bookmarkStart w:id="12" w:name="_Toc128542414"/>
      <w:bookmarkStart w:id="13" w:name="_Toc132626973"/>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“driver”</w:t>
      </w:r>
      <w:r>
        <w:t xml:space="preserve"> means taxi driver;</w:t>
      </w:r>
    </w:p>
    <w:p>
      <w:pPr>
        <w:pStyle w:val="Defstart"/>
      </w:pPr>
      <w:r>
        <w:rPr>
          <w:b/>
        </w:rPr>
        <w:tab/>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t>“hirer”</w:t>
      </w:r>
      <w:r>
        <w:t xml:space="preserve"> includes prospective hirer;</w:t>
      </w:r>
    </w:p>
    <w:p>
      <w:pPr>
        <w:pStyle w:val="Defstart"/>
      </w:pPr>
      <w:r>
        <w:rPr>
          <w:b/>
        </w:rPr>
        <w:tab/>
        <w:t>“metered taxi”</w:t>
      </w:r>
      <w:r>
        <w:t xml:space="preserve"> means a vehicle, other than a multi</w:t>
      </w:r>
      <w:r>
        <w:noBreakHyphen/>
        <w:t>purpose taxi or a restricted taxi, which is fitted with a meter in order to operate as a taxi;</w:t>
      </w:r>
    </w:p>
    <w:p>
      <w:pPr>
        <w:pStyle w:val="Defstart"/>
      </w:pPr>
      <w:r>
        <w:rPr>
          <w:b/>
        </w:rPr>
        <w:tab/>
        <w:t>“multi</w:t>
      </w:r>
      <w:r>
        <w:rPr>
          <w:b/>
        </w:rPr>
        <w:noBreakHyphen/>
        <w:t>purpose taxi”</w:t>
      </w:r>
      <w:r>
        <w:t xml:space="preserve"> has the meaning given by regulation 5(1);</w:t>
      </w:r>
    </w:p>
    <w:p>
      <w:pPr>
        <w:pStyle w:val="Defstart"/>
      </w:pPr>
      <w:r>
        <w:rPr>
          <w:b/>
        </w:rPr>
        <w:tab/>
        <w:t>“</w:t>
      </w:r>
      <w:r>
        <w:rPr>
          <w:rStyle w:val="CharDefText"/>
        </w:rPr>
        <w:t>plying for hire</w:t>
      </w:r>
      <w:r>
        <w:rPr>
          <w:b/>
        </w:rPr>
        <w:t>”</w:t>
      </w:r>
      <w:r>
        <w:t xml:space="preserve"> includes the time spent waiting at a taxi rank by a driver when a vehicle is being used as a taxi by the driver;</w:t>
      </w:r>
    </w:p>
    <w:p>
      <w:pPr>
        <w:pStyle w:val="Defstart"/>
      </w:pPr>
      <w:r>
        <w:rPr>
          <w:b/>
        </w:rPr>
        <w:tab/>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t>“section”</w:t>
      </w:r>
      <w:r>
        <w:t xml:space="preserve"> means section of the </w:t>
      </w:r>
      <w:r>
        <w:rPr>
          <w:i/>
        </w:rPr>
        <w:t>Taxi Act 1994</w:t>
      </w:r>
      <w:r>
        <w:t>;</w:t>
      </w:r>
    </w:p>
    <w:p>
      <w:pPr>
        <w:pStyle w:val="Defstart"/>
      </w:pPr>
      <w:r>
        <w:rPr>
          <w:b/>
        </w:rPr>
        <w:tab/>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w:t>
      </w:r>
    </w:p>
    <w:p>
      <w:pPr>
        <w:pStyle w:val="Heading5"/>
        <w:rPr>
          <w:snapToGrid w:val="0"/>
        </w:rPr>
      </w:pPr>
      <w:bookmarkStart w:id="14" w:name="_Toc4486407"/>
      <w:bookmarkStart w:id="15" w:name="_Toc4487084"/>
      <w:bookmarkStart w:id="16" w:name="_Toc128542415"/>
      <w:bookmarkStart w:id="17" w:name="_Toc132626974"/>
      <w:r>
        <w:rPr>
          <w:rStyle w:val="CharSectno"/>
        </w:rPr>
        <w:t>4</w:t>
      </w:r>
      <w:r>
        <w:rPr>
          <w:snapToGrid w:val="0"/>
        </w:rPr>
        <w:t>.</w:t>
      </w:r>
      <w:r>
        <w:rPr>
          <w:snapToGrid w:val="0"/>
        </w:rPr>
        <w:tab/>
        <w:t>Control area</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rPr>
          <w:snapToGrid w:val="0"/>
        </w:rPr>
      </w:pPr>
      <w:r>
        <w:rPr>
          <w:snapToGrid w:val="0"/>
        </w:rPr>
        <w:tab/>
        <w:t>(2)</w:t>
      </w:r>
      <w:r>
        <w:rPr>
          <w:snapToGrid w:val="0"/>
        </w:rPr>
        <w:tab/>
        <w:t xml:space="preserve">In subregulation (1) </w:t>
      </w:r>
      <w:r>
        <w:rPr>
          <w:b/>
          <w:snapToGrid w:val="0"/>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pPr>
      <w:bookmarkStart w:id="18" w:name="_Toc132626975"/>
      <w:bookmarkStart w:id="19" w:name="_Toc4486408"/>
      <w:bookmarkStart w:id="20" w:name="_Toc4487085"/>
      <w:bookmarkStart w:id="21" w:name="_Toc128542416"/>
      <w:r>
        <w:rPr>
          <w:rStyle w:val="CharSectno"/>
        </w:rPr>
        <w:t>4A</w:t>
      </w:r>
      <w:r>
        <w:t>.</w:t>
      </w:r>
      <w:r>
        <w:tab/>
        <w:t>Prescribed percentage of total number of taxi plates — section 16</w:t>
      </w:r>
      <w:bookmarkEnd w:id="18"/>
    </w:p>
    <w:p>
      <w:pPr>
        <w:pStyle w:val="Subsection"/>
      </w:pPr>
      <w:r>
        <w:tab/>
      </w:r>
      <w:r>
        <w:tab/>
        <w:t>For the purpose of paragraph (b) of the definition of “relevant percentage” in section 16(10), the prescribed percentage is 30%.</w:t>
      </w:r>
    </w:p>
    <w:p>
      <w:pPr>
        <w:pStyle w:val="Footnotesection"/>
      </w:pPr>
      <w:r>
        <w:tab/>
        <w:t>[Regulation 4A inserted in Gazette 13 Apr 2006 p. 1554.]</w:t>
      </w:r>
    </w:p>
    <w:p>
      <w:pPr>
        <w:pStyle w:val="Heading5"/>
        <w:rPr>
          <w:snapToGrid w:val="0"/>
        </w:rPr>
      </w:pPr>
      <w:bookmarkStart w:id="22" w:name="_Toc132626976"/>
      <w:r>
        <w:rPr>
          <w:rStyle w:val="CharSectno"/>
        </w:rPr>
        <w:t>5</w:t>
      </w:r>
      <w:r>
        <w:rPr>
          <w:snapToGrid w:val="0"/>
        </w:rPr>
        <w:t>.</w:t>
      </w:r>
      <w:r>
        <w:rPr>
          <w:snapToGrid w:val="0"/>
        </w:rPr>
        <w:tab/>
        <w:t>Certain classes of taxis and conditions which may be imposed prescribed</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pPr>
      <w:r>
        <w:tab/>
        <w:t>[Regulation 5 amended in Gazette 22 Mar 2002 p. 1654; 20 Feb 2004 p. 609.]</w:t>
      </w:r>
    </w:p>
    <w:p>
      <w:pPr>
        <w:pStyle w:val="Heading5"/>
      </w:pPr>
      <w:bookmarkStart w:id="23" w:name="_Toc128542417"/>
      <w:bookmarkStart w:id="24" w:name="_Toc132626977"/>
      <w:bookmarkStart w:id="25" w:name="_Toc4486410"/>
      <w:bookmarkStart w:id="26" w:name="_Toc4487087"/>
      <w:r>
        <w:rPr>
          <w:rStyle w:val="CharSectno"/>
        </w:rPr>
        <w:t>5A</w:t>
      </w:r>
      <w:r>
        <w:t>.</w:t>
      </w:r>
      <w:r>
        <w:tab/>
        <w:t>Director General may impose conditions in relation to leasing taxis and taxi plates</w:t>
      </w:r>
      <w:bookmarkEnd w:id="23"/>
      <w:bookmarkEnd w:id="24"/>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Repealed in Gazette 10 Dec 2004 p. 5910.]</w:t>
      </w:r>
    </w:p>
    <w:p>
      <w:pPr>
        <w:pStyle w:val="Heading5"/>
        <w:rPr>
          <w:snapToGrid w:val="0"/>
        </w:rPr>
      </w:pPr>
      <w:bookmarkStart w:id="27" w:name="_Toc128542418"/>
      <w:bookmarkStart w:id="28" w:name="_Toc132626978"/>
      <w:r>
        <w:rPr>
          <w:rStyle w:val="CharSectno"/>
        </w:rPr>
        <w:t>6</w:t>
      </w:r>
      <w:r>
        <w:rPr>
          <w:snapToGrid w:val="0"/>
        </w:rPr>
        <w:t>.</w:t>
      </w:r>
      <w:r>
        <w:rPr>
          <w:snapToGrid w:val="0"/>
        </w:rPr>
        <w:tab/>
        <w:t>Prescribed numbers for different classes of taxis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number of sets of taxi plates which may be issued for metered taxis operating in a control area is 0.86 per 1 000 head of population resident in that control area.</w:t>
      </w:r>
    </w:p>
    <w:p>
      <w:pPr>
        <w:pStyle w:val="Subsection"/>
        <w:rPr>
          <w:snapToGrid w:val="0"/>
        </w:rPr>
      </w:pPr>
      <w:r>
        <w:rPr>
          <w:snapToGrid w:val="0"/>
        </w:rPr>
        <w:tab/>
        <w:t>(2)</w:t>
      </w:r>
      <w:r>
        <w:rPr>
          <w:snapToGrid w:val="0"/>
        </w:rPr>
        <w:tab/>
        <w:t>The number of sets of taxi plates which may be issued for multi</w:t>
      </w:r>
      <w:r>
        <w:rPr>
          <w:snapToGrid w:val="0"/>
        </w:rPr>
        <w:noBreakHyphen/>
        <w:t>purpose taxis and restricted taxis combined, operating in a control area, is 0.37 per 1 000 head of population resident in that control area.</w:t>
      </w:r>
    </w:p>
    <w:p>
      <w:pPr>
        <w:pStyle w:val="Footnotesection"/>
      </w:pPr>
      <w:r>
        <w:tab/>
        <w:t>[Regulation 6 amended in Gazette 1 Feb 2000 p. 383.]</w:t>
      </w:r>
    </w:p>
    <w:p>
      <w:pPr>
        <w:pStyle w:val="Heading5"/>
        <w:rPr>
          <w:snapToGrid w:val="0"/>
        </w:rPr>
      </w:pPr>
      <w:bookmarkStart w:id="29" w:name="_Toc4486411"/>
      <w:bookmarkStart w:id="30" w:name="_Toc4487088"/>
      <w:bookmarkStart w:id="31" w:name="_Toc128542419"/>
      <w:bookmarkStart w:id="32" w:name="_Toc132626979"/>
      <w:r>
        <w:rPr>
          <w:rStyle w:val="CharSectno"/>
        </w:rPr>
        <w:t>7</w:t>
      </w:r>
      <w:r>
        <w:rPr>
          <w:snapToGrid w:val="0"/>
        </w:rPr>
        <w:t>.</w:t>
      </w:r>
      <w:r>
        <w:rPr>
          <w:snapToGrid w:val="0"/>
        </w:rPr>
        <w:tab/>
        <w:t>Fare schedule to be displayed</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rPr>
          <w:snapToGrid w:val="0"/>
        </w:rPr>
      </w:pPr>
      <w:bookmarkStart w:id="33" w:name="_Toc4486412"/>
      <w:bookmarkStart w:id="34" w:name="_Toc4487089"/>
      <w:bookmarkStart w:id="35" w:name="_Toc128542420"/>
      <w:bookmarkStart w:id="36" w:name="_Toc132626980"/>
      <w:r>
        <w:rPr>
          <w:rStyle w:val="CharSectno"/>
        </w:rPr>
        <w:t>8</w:t>
      </w:r>
      <w:r>
        <w:rPr>
          <w:snapToGrid w:val="0"/>
        </w:rPr>
        <w:t>.</w:t>
      </w:r>
      <w:r>
        <w:rPr>
          <w:snapToGrid w:val="0"/>
        </w:rPr>
        <w:tab/>
        <w:t>Fares</w:t>
      </w:r>
      <w:bookmarkEnd w:id="33"/>
      <w:bookmarkEnd w:id="34"/>
      <w:bookmarkEnd w:id="35"/>
      <w:bookmarkEnd w:id="36"/>
      <w:r>
        <w:rPr>
          <w:snapToGrid w:val="0"/>
        </w:rPr>
        <w:t xml:space="preserve"> </w:t>
      </w:r>
    </w:p>
    <w:p>
      <w:pPr>
        <w:pStyle w:val="Subsection"/>
        <w:keepNext/>
        <w:rPr>
          <w:snapToGrid w:val="0"/>
        </w:rPr>
      </w:pPr>
      <w:r>
        <w:rPr>
          <w:snapToGrid w:val="0"/>
        </w:rPr>
        <w:tab/>
        <w:t>(1)</w:t>
      </w:r>
      <w:r>
        <w:rPr>
          <w:snapToGrid w:val="0"/>
        </w:rPr>
        <w:tab/>
        <w:t>A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w:t>
      </w:r>
      <w:r>
        <w:tab/>
        <w:t>A driver shall not select a tariff for a passenger that is not the appropriate tariff as set out in the fare schedule required to be displayed in the taxi under regulation 7.</w:t>
      </w:r>
    </w:p>
    <w:p>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pPr>
      <w:r>
        <w:tab/>
        <w:t>(2b)</w:t>
      </w:r>
      <w:r>
        <w:tab/>
        <w:t>A driver shall not accept a voucher that contains information that the driver knows or ought to know to be false in a material particular.</w:t>
      </w:r>
    </w:p>
    <w:p>
      <w:pPr>
        <w:pStyle w:val="Subsection"/>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 other than a fare authorised by subregulation (1) or to refuse to accept a voucher referred to in subregulation (2).</w:t>
      </w:r>
    </w:p>
    <w:p>
      <w:pPr>
        <w:pStyle w:val="Subsection"/>
        <w:rPr>
          <w:snapToGrid w:val="0"/>
        </w:rPr>
      </w:pPr>
      <w:r>
        <w:rPr>
          <w:snapToGrid w:val="0"/>
        </w:rPr>
        <w:tab/>
        <w:t>(4)</w:t>
      </w:r>
      <w:r>
        <w:rPr>
          <w:snapToGrid w:val="0"/>
        </w:rPr>
        <w:tab/>
        <w:t xml:space="preserve">In this regulation </w:t>
      </w:r>
      <w:r>
        <w:rPr>
          <w:b/>
          <w:snapToGrid w:val="0"/>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w:t>
      </w:r>
    </w:p>
    <w:p>
      <w:pPr>
        <w:pStyle w:val="Heading5"/>
        <w:rPr>
          <w:snapToGrid w:val="0"/>
        </w:rPr>
      </w:pPr>
      <w:bookmarkStart w:id="37" w:name="_Toc4486413"/>
      <w:bookmarkStart w:id="38" w:name="_Toc4487090"/>
      <w:bookmarkStart w:id="39" w:name="_Toc128542421"/>
      <w:bookmarkStart w:id="40" w:name="_Toc132626981"/>
      <w:r>
        <w:rPr>
          <w:rStyle w:val="CharSectno"/>
        </w:rPr>
        <w:t>9</w:t>
      </w:r>
      <w:r>
        <w:rPr>
          <w:snapToGrid w:val="0"/>
        </w:rPr>
        <w:t>.</w:t>
      </w:r>
      <w:r>
        <w:rPr>
          <w:snapToGrid w:val="0"/>
        </w:rPr>
        <w:tab/>
        <w:t>Commencement and termination of hiring</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41" w:name="_Toc4486414"/>
      <w:bookmarkStart w:id="42" w:name="_Toc4487091"/>
      <w:bookmarkStart w:id="43" w:name="_Toc128542422"/>
      <w:bookmarkStart w:id="44" w:name="_Toc132626982"/>
      <w:r>
        <w:rPr>
          <w:rStyle w:val="CharSectno"/>
        </w:rPr>
        <w:t>9A</w:t>
      </w:r>
      <w:r>
        <w:rPr>
          <w:snapToGrid w:val="0"/>
        </w:rPr>
        <w:t>.</w:t>
      </w:r>
      <w:r>
        <w:rPr>
          <w:snapToGrid w:val="0"/>
        </w:rPr>
        <w:tab/>
        <w:t>Hirer shall pay fare at termination of hiring or as otherwise agreed</w:t>
      </w:r>
      <w:bookmarkEnd w:id="41"/>
      <w:bookmarkEnd w:id="42"/>
      <w:bookmarkEnd w:id="43"/>
      <w:bookmarkEnd w:id="44"/>
    </w:p>
    <w:p>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45" w:name="_Toc4486415"/>
      <w:bookmarkStart w:id="46" w:name="_Toc4487092"/>
      <w:bookmarkStart w:id="47" w:name="_Toc128542423"/>
      <w:bookmarkStart w:id="48" w:name="_Toc132626983"/>
      <w:r>
        <w:rPr>
          <w:rStyle w:val="CharSectno"/>
        </w:rPr>
        <w:t>9B</w:t>
      </w:r>
      <w:r>
        <w:rPr>
          <w:snapToGrid w:val="0"/>
        </w:rPr>
        <w:t>.</w:t>
      </w:r>
      <w:r>
        <w:rPr>
          <w:snapToGrid w:val="0"/>
        </w:rPr>
        <w:tab/>
        <w:t>Unpaid fare may be added to modified penalty and paid to driver</w:t>
      </w:r>
      <w:bookmarkEnd w:id="45"/>
      <w:bookmarkEnd w:id="46"/>
      <w:bookmarkEnd w:id="47"/>
      <w:bookmarkEnd w:id="48"/>
    </w:p>
    <w:p>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49" w:name="_Toc4486416"/>
      <w:bookmarkStart w:id="50" w:name="_Toc4487093"/>
      <w:bookmarkStart w:id="51" w:name="_Toc128542424"/>
      <w:bookmarkStart w:id="52" w:name="_Toc132626984"/>
      <w:r>
        <w:rPr>
          <w:rStyle w:val="CharSectno"/>
        </w:rPr>
        <w:t>10</w:t>
      </w:r>
      <w:r>
        <w:rPr>
          <w:snapToGrid w:val="0"/>
        </w:rPr>
        <w:t>.</w:t>
      </w:r>
      <w:r>
        <w:rPr>
          <w:snapToGrid w:val="0"/>
        </w:rPr>
        <w:tab/>
        <w:t>Hirer may refuse multiple hiring</w:t>
      </w:r>
      <w:bookmarkEnd w:id="49"/>
      <w:bookmarkEnd w:id="50"/>
      <w:bookmarkEnd w:id="51"/>
      <w:bookmarkEnd w:id="52"/>
      <w:r>
        <w:rPr>
          <w:snapToGrid w:val="0"/>
        </w:rPr>
        <w:t xml:space="preserve"> </w:t>
      </w:r>
    </w:p>
    <w:p>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rPr>
          <w:snapToGrid w:val="0"/>
        </w:rPr>
      </w:pPr>
      <w:bookmarkStart w:id="53" w:name="_Toc4486417"/>
      <w:bookmarkStart w:id="54" w:name="_Toc4487094"/>
      <w:bookmarkStart w:id="55" w:name="_Toc128542425"/>
      <w:bookmarkStart w:id="56" w:name="_Toc132626985"/>
      <w:r>
        <w:rPr>
          <w:rStyle w:val="CharSectno"/>
        </w:rPr>
        <w:t>11</w:t>
      </w:r>
      <w:r>
        <w:rPr>
          <w:snapToGrid w:val="0"/>
        </w:rPr>
        <w:t>.</w:t>
      </w:r>
      <w:r>
        <w:rPr>
          <w:snapToGrid w:val="0"/>
        </w:rPr>
        <w:tab/>
        <w:t>Route to be taken</w:t>
      </w:r>
      <w:bookmarkEnd w:id="53"/>
      <w:bookmarkEnd w:id="54"/>
      <w:bookmarkEnd w:id="55"/>
      <w:bookmarkEnd w:id="56"/>
      <w:r>
        <w:rPr>
          <w:snapToGrid w:val="0"/>
        </w:rPr>
        <w:t xml:space="preserve"> </w:t>
      </w:r>
    </w:p>
    <w:p>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pPr>
        <w:pStyle w:val="Footnotesection"/>
      </w:pPr>
      <w:r>
        <w:tab/>
        <w:t>[Regulation 11 amended in Gazette 23 Jan 2004 p. 321.]</w:t>
      </w:r>
    </w:p>
    <w:p>
      <w:pPr>
        <w:pStyle w:val="Heading5"/>
        <w:rPr>
          <w:snapToGrid w:val="0"/>
        </w:rPr>
      </w:pPr>
      <w:bookmarkStart w:id="57" w:name="_Toc4486418"/>
      <w:bookmarkStart w:id="58" w:name="_Toc4487095"/>
      <w:bookmarkStart w:id="59" w:name="_Toc128542426"/>
      <w:bookmarkStart w:id="60" w:name="_Toc132626986"/>
      <w:r>
        <w:rPr>
          <w:rStyle w:val="CharSectno"/>
        </w:rPr>
        <w:t>12</w:t>
      </w:r>
      <w:r>
        <w:rPr>
          <w:snapToGrid w:val="0"/>
        </w:rPr>
        <w:t>.</w:t>
      </w:r>
      <w:r>
        <w:rPr>
          <w:snapToGrid w:val="0"/>
        </w:rPr>
        <w:tab/>
        <w:t>Driver may require a deposit</w:t>
      </w:r>
      <w:bookmarkEnd w:id="57"/>
      <w:bookmarkEnd w:id="58"/>
      <w:bookmarkEnd w:id="59"/>
      <w:bookmarkEnd w:id="60"/>
      <w:r>
        <w:rPr>
          <w:snapToGrid w:val="0"/>
        </w:rPr>
        <w:t xml:space="preserve"> </w:t>
      </w:r>
    </w:p>
    <w:p>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rPr>
          <w:snapToGrid w:val="0"/>
        </w:rPr>
      </w:pPr>
      <w:bookmarkStart w:id="61" w:name="_Toc4486419"/>
      <w:bookmarkStart w:id="62" w:name="_Toc4487096"/>
      <w:bookmarkStart w:id="63" w:name="_Toc128542427"/>
      <w:bookmarkStart w:id="64" w:name="_Toc132626987"/>
      <w:r>
        <w:rPr>
          <w:rStyle w:val="CharSectno"/>
        </w:rPr>
        <w:t>13</w:t>
      </w:r>
      <w:r>
        <w:rPr>
          <w:snapToGrid w:val="0"/>
        </w:rPr>
        <w:t>.</w:t>
      </w:r>
      <w:r>
        <w:rPr>
          <w:snapToGrid w:val="0"/>
        </w:rPr>
        <w:tab/>
        <w:t>Driver must accept a hirer except under certain circumstances</w:t>
      </w:r>
      <w:bookmarkEnd w:id="61"/>
      <w:bookmarkEnd w:id="62"/>
      <w:bookmarkEnd w:id="63"/>
      <w:bookmarkEnd w:id="64"/>
      <w:r>
        <w:rPr>
          <w:snapToGrid w:val="0"/>
        </w:rPr>
        <w:t xml:space="preserve"> </w:t>
      </w:r>
    </w:p>
    <w:p>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rPr>
          <w:snapToGrid w:val="0"/>
        </w:rPr>
      </w:pPr>
      <w:r>
        <w:rPr>
          <w:snapToGrid w:val="0"/>
        </w:rPr>
        <w:tab/>
        <w:t>(aa)</w:t>
      </w:r>
      <w:r>
        <w:rPr>
          <w:snapToGrid w:val="0"/>
        </w:rPr>
        <w:tab/>
        <w:t xml:space="preserve">the driver has reasonable grounds to believe that — </w:t>
      </w:r>
    </w:p>
    <w:p>
      <w:pPr>
        <w:pStyle w:val="Indenti"/>
        <w:rPr>
          <w:snapToGrid w:val="0"/>
        </w:rPr>
      </w:pPr>
      <w:r>
        <w:rPr>
          <w:snapToGrid w:val="0"/>
        </w:rPr>
        <w:tab/>
        <w:t>(i)</w:t>
      </w:r>
      <w:r>
        <w:rPr>
          <w:snapToGrid w:val="0"/>
        </w:rPr>
        <w:tab/>
        <w:t>the hirer or a person accompanying the hirer; or</w:t>
      </w:r>
    </w:p>
    <w:p>
      <w:pPr>
        <w:pStyle w:val="Indenti"/>
        <w:rPr>
          <w:snapToGrid w:val="0"/>
        </w:rPr>
      </w:pPr>
      <w:r>
        <w:rPr>
          <w:snapToGrid w:val="0"/>
        </w:rPr>
        <w:tab/>
        <w:t>(ii)</w:t>
      </w:r>
      <w:r>
        <w:rPr>
          <w:snapToGrid w:val="0"/>
        </w:rPr>
        <w:tab/>
        <w:t>the place at which the hiring is to commence or terminate,</w:t>
      </w:r>
    </w:p>
    <w:p>
      <w:pPr>
        <w:pStyle w:val="Indenta"/>
        <w:rPr>
          <w:snapToGrid w:val="0"/>
        </w:rPr>
      </w:pPr>
      <w:r>
        <w:rPr>
          <w:snapToGrid w:val="0"/>
        </w:rPr>
        <w:tab/>
      </w:r>
      <w:r>
        <w:rPr>
          <w:snapToGrid w:val="0"/>
        </w:rPr>
        <w:tab/>
        <w:t>poses a threat to the driver’s safety;</w:t>
      </w:r>
    </w:p>
    <w:p>
      <w:pPr>
        <w:pStyle w:val="Indenta"/>
      </w:pPr>
      <w:r>
        <w:tab/>
        <w:t>(ab)</w:t>
      </w:r>
      <w:r>
        <w:tab/>
        <w:t>the driver has reasonable grounds to believe that the hiring would result in a breach of a condition imposed by the Director General under section 20 on the operation of the taxi;</w:t>
      </w:r>
    </w:p>
    <w:p>
      <w:pPr>
        <w:pStyle w:val="Indenta"/>
        <w:rPr>
          <w:snapToGrid w:val="0"/>
        </w:rPr>
      </w:pPr>
      <w:r>
        <w:rPr>
          <w:snapToGrid w:val="0"/>
        </w:rPr>
        <w:tab/>
        <w:t>(a)</w:t>
      </w:r>
      <w:r>
        <w:rPr>
          <w:snapToGrid w:val="0"/>
        </w:rPr>
        <w:tab/>
        <w:t>the hirer or a person accompanying the hirer is in such an unclean condition that he or she will soil the taxi;</w:t>
      </w:r>
    </w:p>
    <w:p>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pPr>
        <w:pStyle w:val="Indenta"/>
      </w:pPr>
      <w:r>
        <w:tab/>
        <w:t>(e)</w:t>
      </w:r>
      <w:r>
        <w:tab/>
        <w:t>the driver requires the hirer to pay a deposit under regulation 12, and the hirer does not pay it; or</w:t>
      </w:r>
    </w:p>
    <w:p>
      <w:pPr>
        <w:pStyle w:val="Indenta"/>
      </w:pPr>
      <w:r>
        <w:tab/>
        <w:t>(f)</w:t>
      </w:r>
      <w:r>
        <w:tab/>
        <w:t>the hirer and persons accompanying the hirer aged 12 or over exceed the number of available seatbelts in the taxi.</w:t>
      </w:r>
    </w:p>
    <w:p>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rPr>
          <w:snapToGrid w:val="0"/>
        </w:rPr>
      </w:pPr>
      <w:r>
        <w:rPr>
          <w:snapToGrid w:val="0"/>
        </w:rPr>
        <w:tab/>
        <w:t>(a)</w:t>
      </w:r>
      <w:r>
        <w:rPr>
          <w:snapToGrid w:val="0"/>
        </w:rPr>
        <w:tab/>
        <w:t>the fare that would have been due if the hiring had terminated at that point in the normal course of events; and</w:t>
      </w:r>
    </w:p>
    <w:p>
      <w:pPr>
        <w:pStyle w:val="Indenta"/>
        <w:rPr>
          <w:snapToGrid w:val="0"/>
        </w:rPr>
      </w:pPr>
      <w:r>
        <w:rPr>
          <w:snapToGrid w:val="0"/>
        </w:rPr>
        <w:tab/>
        <w:t>(b)</w:t>
      </w:r>
      <w:r>
        <w:rPr>
          <w:snapToGrid w:val="0"/>
        </w:rPr>
        <w:tab/>
        <w:t>a charge to cover the cost of cleaning the taxi, as set out in the fare schedule.</w:t>
      </w:r>
    </w:p>
    <w:p>
      <w:pPr>
        <w:pStyle w:val="Subsection"/>
      </w:pPr>
      <w:r>
        <w:tab/>
        <w:t>(3)</w:t>
      </w:r>
      <w:r>
        <w:tab/>
        <w:t>A driver shall not terminate a hiring before reaching the agreed destination, for reasons other than those set out in subregulation (2).</w:t>
      </w:r>
    </w:p>
    <w:p>
      <w:pPr>
        <w:pStyle w:val="Footnotesection"/>
      </w:pPr>
      <w:r>
        <w:tab/>
        <w:t>[Regulation 13 amended in Gazette 8 Dec 1998 p. 6586; 23 Jan 2004 p. 321</w:t>
      </w:r>
      <w:r>
        <w:noBreakHyphen/>
        <w:t>2; 10 Sep 2004 p. 3923</w:t>
      </w:r>
      <w:r>
        <w:noBreakHyphen/>
        <w:t>4; 10 Dec 2004 p. 5911.]</w:t>
      </w:r>
    </w:p>
    <w:p>
      <w:pPr>
        <w:pStyle w:val="Heading5"/>
      </w:pPr>
      <w:bookmarkStart w:id="65" w:name="_Toc4486420"/>
      <w:bookmarkStart w:id="66" w:name="_Toc4487097"/>
      <w:bookmarkStart w:id="67" w:name="_Toc128542428"/>
      <w:bookmarkStart w:id="68" w:name="_Toc132626988"/>
      <w:r>
        <w:rPr>
          <w:rStyle w:val="CharSectno"/>
        </w:rPr>
        <w:t>13A</w:t>
      </w:r>
      <w:r>
        <w:t>.</w:t>
      </w:r>
      <w:r>
        <w:tab/>
        <w:t>Driver shall inform provider of taxi dispatch service of certain matters</w:t>
      </w:r>
      <w:bookmarkEnd w:id="65"/>
      <w:bookmarkEnd w:id="66"/>
      <w:bookmarkEnd w:id="67"/>
      <w:bookmarkEnd w:id="68"/>
    </w:p>
    <w:p>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repealed]</w:t>
      </w:r>
    </w:p>
    <w:p>
      <w:pPr>
        <w:pStyle w:val="Subsection"/>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pPr>
        <w:pStyle w:val="Footnotesection"/>
      </w:pPr>
      <w:r>
        <w:tab/>
        <w:t>[Regulation 13A inserted in Gazette 8 Dec 1998 p. 6586</w:t>
      </w:r>
      <w:r>
        <w:noBreakHyphen/>
        <w:t>7; amended in Gazette 23 Jan 2004 p. 322.]</w:t>
      </w:r>
    </w:p>
    <w:p>
      <w:pPr>
        <w:pStyle w:val="Heading5"/>
      </w:pPr>
      <w:bookmarkStart w:id="69" w:name="_Toc4486421"/>
      <w:bookmarkStart w:id="70" w:name="_Toc4487098"/>
      <w:bookmarkStart w:id="71" w:name="_Toc128542429"/>
      <w:bookmarkStart w:id="72" w:name="_Toc132626989"/>
      <w:r>
        <w:rPr>
          <w:rStyle w:val="CharSectno"/>
        </w:rPr>
        <w:t>13B</w:t>
      </w:r>
      <w:r>
        <w:t>.</w:t>
      </w:r>
      <w:r>
        <w:tab/>
        <w:t>Driver shall not interfere with operation of camera surveillance unit</w:t>
      </w:r>
      <w:bookmarkEnd w:id="69"/>
      <w:bookmarkEnd w:id="70"/>
      <w:bookmarkEnd w:id="71"/>
      <w:bookmarkEnd w:id="72"/>
    </w:p>
    <w:p>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pPr>
        <w:pStyle w:val="Subsection"/>
      </w:pPr>
      <w:r>
        <w:tab/>
        <w:t>(2)</w:t>
      </w:r>
      <w:r>
        <w:tab/>
        <w:t xml:space="preserve">In </w:t>
      </w:r>
      <w:r>
        <w:rPr>
          <w:snapToGrid w:val="0"/>
        </w:rPr>
        <w:t>subregulation (</w:t>
      </w:r>
      <w:r>
        <w:t>1) —</w:t>
      </w:r>
    </w:p>
    <w:p>
      <w:pPr>
        <w:pStyle w:val="Defstart"/>
      </w:pPr>
      <w:r>
        <w:tab/>
      </w:r>
      <w:r>
        <w:rPr>
          <w:b/>
        </w:rPr>
        <w:t>“camera surveillance unit”</w:t>
      </w:r>
      <w:r>
        <w:t xml:space="preserve"> means an approved device that is fitted to a taxi for the purpose of enabling photographs to be taken of persons who enter or leave the taxi.</w:t>
      </w:r>
    </w:p>
    <w:p>
      <w:pPr>
        <w:pStyle w:val="Footnotesection"/>
      </w:pPr>
      <w:r>
        <w:tab/>
        <w:t>[Regulation 13B inserted in Gazette 8 Dec 1998 p. 6587.]</w:t>
      </w:r>
    </w:p>
    <w:p>
      <w:pPr>
        <w:pStyle w:val="Heading5"/>
        <w:rPr>
          <w:snapToGrid w:val="0"/>
        </w:rPr>
      </w:pPr>
      <w:bookmarkStart w:id="73" w:name="_Toc4486422"/>
      <w:bookmarkStart w:id="74" w:name="_Toc4487099"/>
      <w:bookmarkStart w:id="75" w:name="_Toc128542430"/>
      <w:bookmarkStart w:id="76" w:name="_Toc132626990"/>
      <w:r>
        <w:rPr>
          <w:rStyle w:val="CharSectno"/>
        </w:rPr>
        <w:t>14</w:t>
      </w:r>
      <w:r>
        <w:rPr>
          <w:snapToGrid w:val="0"/>
        </w:rPr>
        <w:t>.</w:t>
      </w:r>
      <w:r>
        <w:rPr>
          <w:snapToGrid w:val="0"/>
        </w:rPr>
        <w:tab/>
        <w:t>Guide dogs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77" w:name="_Toc128542431"/>
      <w:bookmarkStart w:id="78" w:name="_Toc132626991"/>
      <w:bookmarkStart w:id="79" w:name="_Toc4486424"/>
      <w:bookmarkStart w:id="80" w:name="_Toc4487101"/>
      <w:r>
        <w:rPr>
          <w:rStyle w:val="CharSectno"/>
        </w:rPr>
        <w:t>15</w:t>
      </w:r>
      <w:r>
        <w:t>.</w:t>
      </w:r>
      <w:r>
        <w:tab/>
        <w:t>Display of driver identification</w:t>
      </w:r>
      <w:bookmarkEnd w:id="77"/>
      <w:bookmarkEnd w:id="78"/>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81" w:name="_Toc128542432"/>
      <w:bookmarkStart w:id="82" w:name="_Toc132626992"/>
      <w:r>
        <w:rPr>
          <w:rStyle w:val="CharSectno"/>
        </w:rPr>
        <w:t>16</w:t>
      </w:r>
      <w:r>
        <w:rPr>
          <w:snapToGrid w:val="0"/>
        </w:rPr>
        <w:t>.</w:t>
      </w:r>
      <w:r>
        <w:rPr>
          <w:snapToGrid w:val="0"/>
        </w:rPr>
        <w:tab/>
        <w:t>Conduct of drivers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pPr>
      <w:bookmarkStart w:id="83" w:name="_Toc4486425"/>
      <w:bookmarkStart w:id="84"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rPr>
          <w:snapToGrid w:val="0"/>
        </w:rPr>
      </w:pPr>
      <w:bookmarkStart w:id="85" w:name="_Toc128542433"/>
      <w:bookmarkStart w:id="86" w:name="_Toc132626993"/>
      <w:r>
        <w:rPr>
          <w:rStyle w:val="CharSectno"/>
        </w:rPr>
        <w:t>17</w:t>
      </w:r>
      <w:r>
        <w:rPr>
          <w:snapToGrid w:val="0"/>
        </w:rPr>
        <w:t>.</w:t>
      </w:r>
      <w:r>
        <w:rPr>
          <w:snapToGrid w:val="0"/>
        </w:rPr>
        <w:tab/>
        <w:t>Conduct at taxi ranks</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 driver shall not obstruct the egress of another taxi from a taxi rank.</w:t>
      </w:r>
    </w:p>
    <w:p>
      <w:pPr>
        <w:pStyle w:val="Subsection"/>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rPr>
          <w:snapToGrid w:val="0"/>
        </w:rPr>
      </w:pPr>
      <w:bookmarkStart w:id="87" w:name="_Toc4486426"/>
      <w:bookmarkStart w:id="88" w:name="_Toc4487103"/>
      <w:bookmarkStart w:id="89" w:name="_Toc128542434"/>
      <w:bookmarkStart w:id="90" w:name="_Toc132626994"/>
      <w:r>
        <w:rPr>
          <w:rStyle w:val="CharSectno"/>
        </w:rPr>
        <w:t>17A</w:t>
      </w:r>
      <w:r>
        <w:rPr>
          <w:snapToGrid w:val="0"/>
        </w:rPr>
        <w:t>.</w:t>
      </w:r>
      <w:r>
        <w:rPr>
          <w:snapToGrid w:val="0"/>
        </w:rPr>
        <w:tab/>
        <w:t>Approval of uniforms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p>
    <w:p>
      <w:pPr>
        <w:pStyle w:val="Indenta"/>
        <w:rPr>
          <w:snapToGrid w:val="0"/>
        </w:rPr>
      </w:pPr>
      <w:r>
        <w:rPr>
          <w:snapToGrid w:val="0"/>
        </w:rPr>
        <w:tab/>
        <w:t>(b)</w:t>
      </w:r>
      <w:r>
        <w:rPr>
          <w:snapToGrid w:val="0"/>
        </w:rPr>
        <w:tab/>
        <w:t xml:space="preserve">men’s and women’s outfits; </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91" w:name="_Toc4486427"/>
      <w:bookmarkStart w:id="92" w:name="_Toc4487104"/>
      <w:bookmarkStart w:id="93" w:name="_Toc128542435"/>
      <w:bookmarkStart w:id="94" w:name="_Toc132626995"/>
      <w:r>
        <w:rPr>
          <w:rStyle w:val="CharSectno"/>
        </w:rPr>
        <w:t>17B</w:t>
      </w:r>
      <w:r>
        <w:rPr>
          <w:snapToGrid w:val="0"/>
        </w:rPr>
        <w:t>.</w:t>
      </w:r>
      <w:r>
        <w:rPr>
          <w:snapToGrid w:val="0"/>
        </w:rPr>
        <w:tab/>
        <w:t>Drivers to wear uniforms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approved uniform</w:t>
      </w:r>
      <w:r>
        <w:rPr>
          <w:b/>
        </w:rPr>
        <w:t xml:space="preserve">” </w:t>
      </w:r>
      <w:r>
        <w:t>means a uniform approved by the Director General under regulation 17A.</w:t>
      </w:r>
    </w:p>
    <w:p>
      <w:pPr>
        <w:pStyle w:val="Subsection"/>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95" w:name="_Toc4486428"/>
      <w:bookmarkStart w:id="96" w:name="_Toc4487105"/>
      <w:bookmarkStart w:id="97" w:name="_Toc128542436"/>
      <w:bookmarkStart w:id="98" w:name="_Toc132626996"/>
      <w:r>
        <w:rPr>
          <w:rStyle w:val="CharSectno"/>
        </w:rPr>
        <w:t>18</w:t>
      </w:r>
      <w:r>
        <w:rPr>
          <w:snapToGrid w:val="0"/>
        </w:rPr>
        <w:t>.</w:t>
      </w:r>
      <w:r>
        <w:rPr>
          <w:snapToGrid w:val="0"/>
        </w:rPr>
        <w:tab/>
        <w:t>Taxi meters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w:t>
      </w:r>
    </w:p>
    <w:p>
      <w:pPr>
        <w:pStyle w:val="Heading5"/>
        <w:rPr>
          <w:snapToGrid w:val="0"/>
        </w:rPr>
      </w:pPr>
      <w:bookmarkStart w:id="99" w:name="_Toc4486429"/>
      <w:bookmarkStart w:id="100" w:name="_Toc4487106"/>
      <w:bookmarkStart w:id="101" w:name="_Toc128542437"/>
      <w:bookmarkStart w:id="102" w:name="_Toc132626997"/>
      <w:r>
        <w:rPr>
          <w:rStyle w:val="CharSectno"/>
        </w:rPr>
        <w:t>19</w:t>
      </w:r>
      <w:r>
        <w:rPr>
          <w:snapToGrid w:val="0"/>
        </w:rPr>
        <w:t>.</w:t>
      </w:r>
      <w:r>
        <w:rPr>
          <w:snapToGrid w:val="0"/>
        </w:rPr>
        <w:tab/>
        <w:t>Fees and charges</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For the purposes of section 19(1), the prescribed annual fee payable by plate holders for taxi plates is — </w:t>
      </w:r>
    </w:p>
    <w:p>
      <w:pPr>
        <w:pStyle w:val="Indenta"/>
        <w:rPr>
          <w:snapToGrid w:val="0"/>
        </w:rPr>
      </w:pPr>
      <w:r>
        <w:rPr>
          <w:snapToGrid w:val="0"/>
        </w:rPr>
        <w:tab/>
        <w:t>(a)</w:t>
      </w:r>
      <w:r>
        <w:rPr>
          <w:snapToGrid w:val="0"/>
        </w:rPr>
        <w:tab/>
        <w:t>$85 where the fee is paid in one instalment within the time allowed by section 19(2); or</w:t>
      </w:r>
    </w:p>
    <w:p>
      <w:pPr>
        <w:pStyle w:val="Indenta"/>
        <w:keepNext/>
        <w:rPr>
          <w:snapToGrid w:val="0"/>
        </w:rPr>
      </w:pPr>
      <w:r>
        <w:rPr>
          <w:snapToGrid w:val="0"/>
        </w:rPr>
        <w:tab/>
        <w:t>(b)</w:t>
      </w:r>
      <w:r>
        <w:rPr>
          <w:snapToGrid w:val="0"/>
        </w:rPr>
        <w:tab/>
        <w:t>where the fee is paid in 2 instalments — </w:t>
      </w:r>
    </w:p>
    <w:p>
      <w:pPr>
        <w:pStyle w:val="Indenti"/>
        <w:rPr>
          <w:snapToGrid w:val="0"/>
        </w:rPr>
      </w:pPr>
      <w:r>
        <w:rPr>
          <w:snapToGrid w:val="0"/>
        </w:rPr>
        <w:tab/>
        <w:t>(i)</w:t>
      </w:r>
      <w:r>
        <w:rPr>
          <w:snapToGrid w:val="0"/>
        </w:rPr>
        <w:tab/>
        <w:t xml:space="preserve">$50 within the period allowed by section 19(2); and </w:t>
      </w:r>
    </w:p>
    <w:p>
      <w:pPr>
        <w:pStyle w:val="Indenti"/>
        <w:rPr>
          <w:snapToGrid w:val="0"/>
        </w:rPr>
      </w:pPr>
      <w:r>
        <w:rPr>
          <w:snapToGrid w:val="0"/>
        </w:rPr>
        <w:tab/>
        <w:t>(ii)</w:t>
      </w:r>
      <w:r>
        <w:rPr>
          <w:snapToGrid w:val="0"/>
        </w:rPr>
        <w:tab/>
        <w:t xml:space="preserve">$50 within 6 months of the expiry of that period. </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$100.</w:t>
      </w:r>
    </w:p>
    <w:p>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pPr>
        <w:pStyle w:val="Indenta"/>
        <w:keepNext/>
        <w:keepLines/>
        <w:rPr>
          <w:snapToGrid w:val="0"/>
        </w:rPr>
      </w:pPr>
      <w:r>
        <w:rPr>
          <w:snapToGrid w:val="0"/>
        </w:rPr>
        <w:tab/>
        <w:t>(a)</w:t>
      </w:r>
      <w:r>
        <w:rPr>
          <w:snapToGrid w:val="0"/>
        </w:rPr>
        <w:tab/>
        <w:t>$30 for standard plates; and</w:t>
      </w:r>
    </w:p>
    <w:p>
      <w:pPr>
        <w:pStyle w:val="Indenta"/>
        <w:rPr>
          <w:snapToGrid w:val="0"/>
        </w:rPr>
      </w:pPr>
      <w:r>
        <w:rPr>
          <w:snapToGrid w:val="0"/>
        </w:rPr>
        <w:tab/>
        <w:t>(b)</w:t>
      </w:r>
      <w:r>
        <w:rPr>
          <w:snapToGrid w:val="0"/>
        </w:rPr>
        <w:tab/>
        <w:t>$50 for customized plates.</w:t>
      </w:r>
    </w:p>
    <w:p>
      <w:pPr>
        <w:pStyle w:val="Footnotesection"/>
      </w:pPr>
      <w:r>
        <w:tab/>
        <w:t>[Regulation 19 amended in Gazette 26 Mar 1996 p. 1483</w:t>
      </w:r>
      <w:r>
        <w:noBreakHyphen/>
        <w:t xml:space="preserve">4; 25 Jun 1996 p. 2996; 30 Jun 2003 p. 2634; 9 Jan 2004 p. 98.] </w:t>
      </w:r>
    </w:p>
    <w:p>
      <w:pPr>
        <w:pStyle w:val="Heading5"/>
      </w:pPr>
      <w:bookmarkStart w:id="103" w:name="_Toc4486430"/>
      <w:bookmarkStart w:id="104" w:name="_Toc4487107"/>
      <w:bookmarkStart w:id="105" w:name="_Toc128542438"/>
      <w:bookmarkStart w:id="106" w:name="_Toc132626998"/>
      <w:r>
        <w:rPr>
          <w:rStyle w:val="CharSectno"/>
        </w:rPr>
        <w:t>19A</w:t>
      </w:r>
      <w:r>
        <w:t>.</w:t>
      </w:r>
      <w:r>
        <w:tab/>
        <w:t>Conditions that may be imposed on taxi dispatch service providers (s. 29)</w:t>
      </w:r>
      <w:bookmarkEnd w:id="103"/>
      <w:bookmarkEnd w:id="104"/>
      <w:bookmarkEnd w:id="105"/>
      <w:bookmarkEnd w:id="106"/>
    </w:p>
    <w:p>
      <w:pPr>
        <w:pStyle w:val="Subsection"/>
      </w:pPr>
      <w:r>
        <w:tab/>
      </w:r>
      <w:r>
        <w:tab/>
        <w:t xml:space="preserve">For the purpose of section 29, the Director General may impose conditions on the provider of a taxi dispatch service in relation to the following — </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w:t>
      </w:r>
    </w:p>
    <w:p>
      <w:pPr>
        <w:pStyle w:val="Heading5"/>
        <w:rPr>
          <w:snapToGrid w:val="0"/>
        </w:rPr>
      </w:pPr>
      <w:bookmarkStart w:id="107" w:name="_Toc4486431"/>
      <w:bookmarkStart w:id="108" w:name="_Toc4487108"/>
      <w:bookmarkStart w:id="109" w:name="_Toc128542439"/>
      <w:bookmarkStart w:id="110" w:name="_Toc132626999"/>
      <w:r>
        <w:rPr>
          <w:rStyle w:val="CharSectno"/>
        </w:rPr>
        <w:t>20</w:t>
      </w:r>
      <w:r>
        <w:rPr>
          <w:snapToGrid w:val="0"/>
        </w:rPr>
        <w:t>.</w:t>
      </w:r>
      <w:r>
        <w:rPr>
          <w:snapToGrid w:val="0"/>
        </w:rPr>
        <w:tab/>
        <w:t>Interest on bonds</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11" w:name="_Toc4486432"/>
      <w:bookmarkStart w:id="112" w:name="_Toc4487109"/>
      <w:bookmarkStart w:id="113" w:name="_Toc128542440"/>
      <w:bookmarkStart w:id="114" w:name="_Toc132627000"/>
      <w:r>
        <w:rPr>
          <w:rStyle w:val="CharSectno"/>
        </w:rPr>
        <w:t>21</w:t>
      </w:r>
      <w:r>
        <w:rPr>
          <w:snapToGrid w:val="0"/>
        </w:rPr>
        <w:t>.</w:t>
      </w:r>
      <w:r>
        <w:rPr>
          <w:snapToGrid w:val="0"/>
        </w:rPr>
        <w:tab/>
        <w:t>Offences and penalties</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15" w:name="_Toc4486433"/>
      <w:bookmarkStart w:id="116" w:name="_Toc4487110"/>
      <w:bookmarkStart w:id="117" w:name="_Toc128542441"/>
      <w:bookmarkStart w:id="118" w:name="_Toc132627001"/>
      <w:r>
        <w:rPr>
          <w:rStyle w:val="CharSectno"/>
        </w:rPr>
        <w:t>22</w:t>
      </w:r>
      <w:r>
        <w:rPr>
          <w:snapToGrid w:val="0"/>
        </w:rPr>
        <w:t>.</w:t>
      </w:r>
      <w:r>
        <w:rPr>
          <w:snapToGrid w:val="0"/>
        </w:rPr>
        <w:tab/>
        <w:t>Infringement notices and modified penalties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 (2) the prescribed form of infringement notice is Form 1 in Schedule 2.</w:t>
      </w:r>
    </w:p>
    <w:p>
      <w:pPr>
        <w:pStyle w:val="Subsection"/>
        <w:rPr>
          <w:snapToGrid w:val="0"/>
        </w:rPr>
      </w:pPr>
      <w:r>
        <w:rPr>
          <w:snapToGrid w:val="0"/>
        </w:rPr>
        <w:tab/>
        <w:t>(3)</w:t>
      </w:r>
      <w:r>
        <w:rPr>
          <w:snapToGrid w:val="0"/>
        </w:rPr>
        <w:tab/>
        <w:t>For the purposes of section 39 (6) the prescribed form of notice of withdrawal of infringement notice is Form 2 in Schedule 2.</w:t>
      </w:r>
    </w:p>
    <w:p>
      <w:pPr>
        <w:pStyle w:val="Heading5"/>
        <w:rPr>
          <w:snapToGrid w:val="0"/>
        </w:rPr>
      </w:pPr>
      <w:bookmarkStart w:id="119" w:name="_Toc4486434"/>
      <w:bookmarkStart w:id="120" w:name="_Toc4487111"/>
      <w:bookmarkStart w:id="121" w:name="_Toc128542442"/>
      <w:bookmarkStart w:id="122" w:name="_Toc132627002"/>
      <w:r>
        <w:rPr>
          <w:rStyle w:val="CharSectno"/>
        </w:rPr>
        <w:t>23</w:t>
      </w:r>
      <w:r>
        <w:rPr>
          <w:snapToGrid w:val="0"/>
        </w:rPr>
        <w:t>.</w:t>
      </w:r>
      <w:r>
        <w:rPr>
          <w:snapToGrid w:val="0"/>
        </w:rPr>
        <w:tab/>
        <w:t>Notices and documents for the purposes of sections 34 and 35</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For the purposes of section 34(1)(b)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 the prescribed form of document is Form 5 in Schedule 2.</w:t>
      </w:r>
    </w:p>
    <w:p>
      <w:pPr>
        <w:pStyle w:val="Ednotesection"/>
      </w:pPr>
      <w:bookmarkStart w:id="123" w:name="_Toc4486435"/>
      <w:bookmarkStart w:id="124" w:name="_Toc4487112"/>
      <w:r>
        <w:t>[</w:t>
      </w:r>
      <w:r>
        <w:rPr>
          <w:b/>
        </w:rPr>
        <w:t>24.</w:t>
      </w:r>
      <w:r>
        <w:tab/>
      </w:r>
      <w:bookmarkEnd w:id="123"/>
      <w:bookmarkEnd w:id="124"/>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5" w:name="_Toc128542443"/>
      <w:bookmarkStart w:id="126" w:name="_Toc128542693"/>
      <w:bookmarkStart w:id="127" w:name="_Toc132605124"/>
      <w:bookmarkStart w:id="128" w:name="_Toc132627003"/>
      <w:bookmarkStart w:id="129" w:name="_Toc4487114"/>
      <w:r>
        <w:rPr>
          <w:rStyle w:val="CharSchNo"/>
        </w:rPr>
        <w:t>Schedule 1</w:t>
      </w:r>
      <w:r>
        <w:t> — </w:t>
      </w:r>
      <w:r>
        <w:rPr>
          <w:rStyle w:val="CharSchText"/>
        </w:rPr>
        <w:t>Offences for which infringement notices may be issued</w:t>
      </w:r>
      <w:bookmarkEnd w:id="125"/>
      <w:bookmarkEnd w:id="126"/>
      <w:bookmarkEnd w:id="127"/>
      <w:bookmarkEnd w:id="128"/>
    </w:p>
    <w:p>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2977"/>
        <w:gridCol w:w="1134"/>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2977"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134"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09" w:type="dxa"/>
            <w:tcBorders>
              <w:top w:val="nil"/>
            </w:tcBorders>
          </w:tcPr>
          <w:p>
            <w:pPr>
              <w:pStyle w:val="yTable"/>
            </w:pPr>
            <w:r>
              <w:t>1</w:t>
            </w:r>
          </w:p>
        </w:tc>
        <w:tc>
          <w:tcPr>
            <w:tcW w:w="1984" w:type="dxa"/>
            <w:tcBorders>
              <w:top w:val="nil"/>
            </w:tcBorders>
          </w:tcPr>
          <w:p>
            <w:pPr>
              <w:pStyle w:val="yTable"/>
            </w:pPr>
            <w:r>
              <w:t>Section 15(1)</w:t>
            </w:r>
          </w:p>
        </w:tc>
        <w:tc>
          <w:tcPr>
            <w:tcW w:w="2977" w:type="dxa"/>
            <w:tcBorders>
              <w:top w:val="nil"/>
            </w:tcBorders>
          </w:tcPr>
          <w:p>
            <w:pPr>
              <w:pStyle w:val="yTable"/>
            </w:pPr>
            <w:r>
              <w:t>Owner or driver of vehicle operating as a taxi within a control area without using taxi plates</w:t>
            </w:r>
          </w:p>
        </w:tc>
        <w:tc>
          <w:tcPr>
            <w:tcW w:w="1134" w:type="dxa"/>
            <w:tcBorders>
              <w:top w:val="nil"/>
            </w:tcBorders>
          </w:tcPr>
          <w:p>
            <w:pPr>
              <w:pStyle w:val="yTable"/>
              <w:jc w:val="center"/>
            </w:pPr>
            <w:r>
              <w:br/>
            </w:r>
            <w:r>
              <w:br/>
            </w:r>
            <w:r>
              <w:br/>
              <w:t>500</w:t>
            </w:r>
          </w:p>
        </w:tc>
      </w:tr>
      <w:tr>
        <w:trPr>
          <w:cantSplit/>
        </w:trPr>
        <w:tc>
          <w:tcPr>
            <w:tcW w:w="709" w:type="dxa"/>
          </w:tcPr>
          <w:p>
            <w:pPr>
              <w:pStyle w:val="yTable"/>
            </w:pPr>
            <w:r>
              <w:t>2</w:t>
            </w:r>
          </w:p>
        </w:tc>
        <w:tc>
          <w:tcPr>
            <w:tcW w:w="1984" w:type="dxa"/>
          </w:tcPr>
          <w:p>
            <w:pPr>
              <w:pStyle w:val="yTable"/>
            </w:pPr>
            <w:r>
              <w:t>Section 20(2)</w:t>
            </w:r>
          </w:p>
        </w:tc>
        <w:tc>
          <w:tcPr>
            <w:tcW w:w="2977"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134" w:type="dxa"/>
          </w:tcPr>
          <w:p>
            <w:pPr>
              <w:pStyle w:val="yTable"/>
              <w:jc w:val="center"/>
            </w:pPr>
            <w:r>
              <w:br/>
            </w:r>
            <w:r>
              <w:br/>
            </w:r>
            <w:r>
              <w:br/>
            </w:r>
            <w:r>
              <w:br/>
            </w:r>
            <w:r>
              <w:br/>
            </w:r>
            <w:r>
              <w:br/>
            </w:r>
            <w:r>
              <w:br/>
              <w:t>250</w:t>
            </w:r>
          </w:p>
        </w:tc>
      </w:tr>
      <w:tr>
        <w:trPr>
          <w:cantSplit/>
        </w:trPr>
        <w:tc>
          <w:tcPr>
            <w:tcW w:w="709" w:type="dxa"/>
          </w:tcPr>
          <w:p>
            <w:pPr>
              <w:pStyle w:val="yTable"/>
            </w:pPr>
          </w:p>
        </w:tc>
        <w:tc>
          <w:tcPr>
            <w:tcW w:w="1984" w:type="dxa"/>
          </w:tcPr>
          <w:p>
            <w:pPr>
              <w:pStyle w:val="yTable"/>
            </w:pPr>
          </w:p>
        </w:tc>
        <w:tc>
          <w:tcPr>
            <w:tcW w:w="2977" w:type="dxa"/>
          </w:tcPr>
          <w:p>
            <w:pPr>
              <w:pStyle w:val="yTable"/>
              <w:tabs>
                <w:tab w:val="left" w:pos="417"/>
              </w:tabs>
              <w:ind w:left="417" w:hanging="417"/>
            </w:pPr>
            <w:r>
              <w:t>(b)</w:t>
            </w:r>
            <w:r>
              <w:tab/>
              <w:t>Failure to comply with, or ensure compliance with, conditions imposed under section 20(1) and referred to in regulation 5(4)</w:t>
            </w:r>
          </w:p>
        </w:tc>
        <w:tc>
          <w:tcPr>
            <w:tcW w:w="1134" w:type="dxa"/>
          </w:tcPr>
          <w:p>
            <w:pPr>
              <w:pStyle w:val="yTable"/>
              <w:jc w:val="center"/>
            </w:pPr>
            <w:r>
              <w:br/>
            </w:r>
            <w:r>
              <w:br/>
            </w:r>
            <w:r>
              <w:br/>
            </w:r>
            <w:r>
              <w:br/>
              <w:t>500</w:t>
            </w:r>
          </w:p>
        </w:tc>
      </w:tr>
      <w:tr>
        <w:trPr>
          <w:cantSplit/>
        </w:trPr>
        <w:tc>
          <w:tcPr>
            <w:tcW w:w="709" w:type="dxa"/>
          </w:tcPr>
          <w:p>
            <w:pPr>
              <w:pStyle w:val="yTable"/>
            </w:pPr>
            <w:r>
              <w:t>3</w:t>
            </w:r>
          </w:p>
        </w:tc>
        <w:tc>
          <w:tcPr>
            <w:tcW w:w="1984" w:type="dxa"/>
          </w:tcPr>
          <w:p>
            <w:pPr>
              <w:pStyle w:val="yTable"/>
            </w:pPr>
            <w:r>
              <w:t>Section 21(1)</w:t>
            </w:r>
          </w:p>
        </w:tc>
        <w:tc>
          <w:tcPr>
            <w:tcW w:w="2977" w:type="dxa"/>
          </w:tcPr>
          <w:p>
            <w:pPr>
              <w:pStyle w:val="yTable"/>
            </w:pPr>
            <w:r>
              <w:t>Plate holder failing to ensure that plates used in manner directed</w:t>
            </w:r>
          </w:p>
        </w:tc>
        <w:tc>
          <w:tcPr>
            <w:tcW w:w="1134" w:type="dxa"/>
          </w:tcPr>
          <w:p>
            <w:pPr>
              <w:pStyle w:val="yTable"/>
              <w:jc w:val="center"/>
            </w:pPr>
            <w:r>
              <w:br/>
            </w:r>
            <w:r>
              <w:br/>
              <w:t>100</w:t>
            </w:r>
          </w:p>
        </w:tc>
      </w:tr>
      <w:tr>
        <w:trPr>
          <w:cantSplit/>
        </w:trPr>
        <w:tc>
          <w:tcPr>
            <w:tcW w:w="709" w:type="dxa"/>
          </w:tcPr>
          <w:p>
            <w:pPr>
              <w:pStyle w:val="yTable"/>
            </w:pPr>
            <w:r>
              <w:t>4</w:t>
            </w:r>
          </w:p>
        </w:tc>
        <w:tc>
          <w:tcPr>
            <w:tcW w:w="1984" w:type="dxa"/>
          </w:tcPr>
          <w:p>
            <w:pPr>
              <w:pStyle w:val="yTable"/>
              <w:pageBreakBefore/>
            </w:pPr>
            <w:r>
              <w:t>Section 21(2)</w:t>
            </w:r>
          </w:p>
        </w:tc>
        <w:tc>
          <w:tcPr>
            <w:tcW w:w="2977" w:type="dxa"/>
          </w:tcPr>
          <w:p>
            <w:pPr>
              <w:pStyle w:val="yTable"/>
              <w:pageBreakBefore/>
            </w:pPr>
            <w:r>
              <w:t>Using taxi plates on vehicle other than taxi</w:t>
            </w:r>
          </w:p>
        </w:tc>
        <w:tc>
          <w:tcPr>
            <w:tcW w:w="1134" w:type="dxa"/>
          </w:tcPr>
          <w:p>
            <w:pPr>
              <w:pStyle w:val="yTable"/>
              <w:jc w:val="center"/>
            </w:pPr>
            <w:r>
              <w:br/>
              <w:t>250</w:t>
            </w:r>
          </w:p>
        </w:tc>
      </w:tr>
      <w:tr>
        <w:trPr>
          <w:cantSplit/>
        </w:trPr>
        <w:tc>
          <w:tcPr>
            <w:tcW w:w="709" w:type="dxa"/>
          </w:tcPr>
          <w:p>
            <w:pPr>
              <w:pStyle w:val="yTable"/>
            </w:pPr>
            <w:r>
              <w:t>5</w:t>
            </w:r>
          </w:p>
        </w:tc>
        <w:tc>
          <w:tcPr>
            <w:tcW w:w="1984" w:type="dxa"/>
          </w:tcPr>
          <w:p>
            <w:pPr>
              <w:pStyle w:val="yTable"/>
            </w:pPr>
            <w:r>
              <w:t>Section 25(1)</w:t>
            </w:r>
          </w:p>
        </w:tc>
        <w:tc>
          <w:tcPr>
            <w:tcW w:w="2977" w:type="dxa"/>
          </w:tcPr>
          <w:p>
            <w:pPr>
              <w:pStyle w:val="yTable"/>
            </w:pPr>
            <w:r>
              <w:t>Failure to return taxi plates</w:t>
            </w:r>
          </w:p>
        </w:tc>
        <w:tc>
          <w:tcPr>
            <w:tcW w:w="1134" w:type="dxa"/>
          </w:tcPr>
          <w:p>
            <w:pPr>
              <w:pStyle w:val="yTable"/>
              <w:jc w:val="center"/>
            </w:pPr>
            <w:r>
              <w:t>150</w:t>
            </w:r>
          </w:p>
        </w:tc>
      </w:tr>
      <w:tr>
        <w:trPr>
          <w:cantSplit/>
        </w:trPr>
        <w:tc>
          <w:tcPr>
            <w:tcW w:w="709" w:type="dxa"/>
          </w:tcPr>
          <w:p>
            <w:pPr>
              <w:pStyle w:val="yTable"/>
            </w:pPr>
            <w:r>
              <w:t>6</w:t>
            </w:r>
          </w:p>
        </w:tc>
        <w:tc>
          <w:tcPr>
            <w:tcW w:w="1984" w:type="dxa"/>
          </w:tcPr>
          <w:p>
            <w:pPr>
              <w:pStyle w:val="yTable"/>
            </w:pPr>
            <w:r>
              <w:t>Section 26</w:t>
            </w:r>
          </w:p>
        </w:tc>
        <w:tc>
          <w:tcPr>
            <w:tcW w:w="2977" w:type="dxa"/>
          </w:tcPr>
          <w:p>
            <w:pPr>
              <w:pStyle w:val="yTable"/>
            </w:pPr>
            <w:r>
              <w:t>Provide or advertise an unregistered taxi dispatch service</w:t>
            </w:r>
          </w:p>
        </w:tc>
        <w:tc>
          <w:tcPr>
            <w:tcW w:w="1134" w:type="dxa"/>
          </w:tcPr>
          <w:p>
            <w:pPr>
              <w:pStyle w:val="yTable"/>
              <w:jc w:val="center"/>
            </w:pPr>
            <w:r>
              <w:br/>
            </w:r>
            <w:r>
              <w:br/>
              <w:t>250</w:t>
            </w:r>
          </w:p>
        </w:tc>
      </w:tr>
      <w:tr>
        <w:trPr>
          <w:cantSplit/>
        </w:trPr>
        <w:tc>
          <w:tcPr>
            <w:tcW w:w="709" w:type="dxa"/>
          </w:tcPr>
          <w:p>
            <w:pPr>
              <w:pStyle w:val="yTable"/>
            </w:pPr>
            <w:r>
              <w:t>7</w:t>
            </w:r>
          </w:p>
        </w:tc>
        <w:tc>
          <w:tcPr>
            <w:tcW w:w="1984" w:type="dxa"/>
          </w:tcPr>
          <w:p>
            <w:pPr>
              <w:pStyle w:val="yTable"/>
            </w:pPr>
            <w:r>
              <w:t>Section 29(2)</w:t>
            </w:r>
          </w:p>
        </w:tc>
        <w:tc>
          <w:tcPr>
            <w:tcW w:w="2977" w:type="dxa"/>
          </w:tcPr>
          <w:p>
            <w:pPr>
              <w:pStyle w:val="yTable"/>
            </w:pPr>
            <w:r>
              <w:t>Failure to comply with taxi dispatch service conditions</w:t>
            </w:r>
          </w:p>
        </w:tc>
        <w:tc>
          <w:tcPr>
            <w:tcW w:w="1134" w:type="dxa"/>
          </w:tcPr>
          <w:p>
            <w:pPr>
              <w:pStyle w:val="yTable"/>
              <w:jc w:val="center"/>
            </w:pPr>
            <w:r>
              <w:br/>
              <w:t>300</w:t>
            </w:r>
          </w:p>
        </w:tc>
      </w:tr>
      <w:tr>
        <w:trPr>
          <w:cantSplit/>
        </w:trPr>
        <w:tc>
          <w:tcPr>
            <w:tcW w:w="709" w:type="dxa"/>
          </w:tcPr>
          <w:p>
            <w:pPr>
              <w:pStyle w:val="yTable"/>
            </w:pPr>
            <w:r>
              <w:t>8</w:t>
            </w:r>
          </w:p>
        </w:tc>
        <w:tc>
          <w:tcPr>
            <w:tcW w:w="1984" w:type="dxa"/>
          </w:tcPr>
          <w:p>
            <w:pPr>
              <w:pStyle w:val="yTable"/>
              <w:keepNext/>
            </w:pPr>
            <w:r>
              <w:t>Section 32(5)</w:t>
            </w:r>
          </w:p>
        </w:tc>
        <w:tc>
          <w:tcPr>
            <w:tcW w:w="2977" w:type="dxa"/>
          </w:tcPr>
          <w:p>
            <w:pPr>
              <w:pStyle w:val="yTable"/>
              <w:keepNext/>
            </w:pPr>
            <w:r>
              <w:t>Operating taxi the operation of which prohibited</w:t>
            </w:r>
          </w:p>
        </w:tc>
        <w:tc>
          <w:tcPr>
            <w:tcW w:w="1134" w:type="dxa"/>
          </w:tcPr>
          <w:p>
            <w:pPr>
              <w:pStyle w:val="yTable"/>
              <w:keepNext/>
              <w:jc w:val="center"/>
            </w:pPr>
            <w:r>
              <w:br/>
              <w:t>100</w:t>
            </w:r>
          </w:p>
        </w:tc>
      </w:tr>
      <w:tr>
        <w:trPr>
          <w:cantSplit/>
        </w:trPr>
        <w:tc>
          <w:tcPr>
            <w:tcW w:w="709" w:type="dxa"/>
          </w:tcPr>
          <w:p>
            <w:pPr>
              <w:pStyle w:val="yTable"/>
            </w:pPr>
            <w:r>
              <w:t>9</w:t>
            </w:r>
          </w:p>
        </w:tc>
        <w:tc>
          <w:tcPr>
            <w:tcW w:w="1984" w:type="dxa"/>
          </w:tcPr>
          <w:p>
            <w:pPr>
              <w:pStyle w:val="yTable"/>
              <w:keepNext/>
            </w:pPr>
            <w:r>
              <w:t>Section 32(6)</w:t>
            </w:r>
          </w:p>
        </w:tc>
        <w:tc>
          <w:tcPr>
            <w:tcW w:w="2977" w:type="dxa"/>
          </w:tcPr>
          <w:p>
            <w:pPr>
              <w:pStyle w:val="yTable"/>
              <w:keepNext/>
            </w:pPr>
            <w:r>
              <w:t>Failure to comply with notice or rectify defect</w:t>
            </w:r>
          </w:p>
        </w:tc>
        <w:tc>
          <w:tcPr>
            <w:tcW w:w="1134" w:type="dxa"/>
          </w:tcPr>
          <w:p>
            <w:pPr>
              <w:pStyle w:val="yTable"/>
              <w:keepNext/>
              <w:jc w:val="center"/>
            </w:pPr>
            <w:r>
              <w:br/>
              <w:t>300</w:t>
            </w:r>
          </w:p>
        </w:tc>
      </w:tr>
      <w:tr>
        <w:trPr>
          <w:cantSplit/>
        </w:trPr>
        <w:tc>
          <w:tcPr>
            <w:tcW w:w="709" w:type="dxa"/>
          </w:tcPr>
          <w:p>
            <w:pPr>
              <w:pStyle w:val="yTable"/>
            </w:pPr>
            <w:r>
              <w:t>10</w:t>
            </w:r>
          </w:p>
        </w:tc>
        <w:tc>
          <w:tcPr>
            <w:tcW w:w="1984" w:type="dxa"/>
          </w:tcPr>
          <w:p>
            <w:pPr>
              <w:pStyle w:val="yTable"/>
            </w:pPr>
            <w:r>
              <w:t>Section 36(2) and (5)</w:t>
            </w:r>
          </w:p>
        </w:tc>
        <w:tc>
          <w:tcPr>
            <w:tcW w:w="2977" w:type="dxa"/>
          </w:tcPr>
          <w:p>
            <w:pPr>
              <w:pStyle w:val="yTable"/>
            </w:pPr>
            <w:r>
              <w:t>Offences relating to the issue of receipts and statements regarding driver bonds</w:t>
            </w:r>
          </w:p>
        </w:tc>
        <w:tc>
          <w:tcPr>
            <w:tcW w:w="1134" w:type="dxa"/>
          </w:tcPr>
          <w:p>
            <w:pPr>
              <w:pStyle w:val="yTable"/>
              <w:jc w:val="center"/>
            </w:pPr>
            <w:r>
              <w:br/>
            </w:r>
            <w:r>
              <w:br/>
              <w:t>100</w:t>
            </w:r>
          </w:p>
        </w:tc>
      </w:tr>
      <w:tr>
        <w:trPr>
          <w:cantSplit/>
        </w:trPr>
        <w:tc>
          <w:tcPr>
            <w:tcW w:w="709" w:type="dxa"/>
          </w:tcPr>
          <w:p>
            <w:pPr>
              <w:pStyle w:val="yTable"/>
            </w:pPr>
            <w:r>
              <w:t>11</w:t>
            </w:r>
          </w:p>
        </w:tc>
        <w:tc>
          <w:tcPr>
            <w:tcW w:w="1984" w:type="dxa"/>
          </w:tcPr>
          <w:p>
            <w:pPr>
              <w:pStyle w:val="yTable"/>
            </w:pPr>
            <w:r>
              <w:t>Section 36(8)</w:t>
            </w:r>
          </w:p>
        </w:tc>
        <w:tc>
          <w:tcPr>
            <w:tcW w:w="2977" w:type="dxa"/>
          </w:tcPr>
          <w:p>
            <w:pPr>
              <w:pStyle w:val="yTable"/>
            </w:pPr>
            <w:r>
              <w:t>Failure to return driver bond within 14 days of the driver ceasing to be contracted, engaged or employed</w:t>
            </w:r>
          </w:p>
        </w:tc>
        <w:tc>
          <w:tcPr>
            <w:tcW w:w="1134" w:type="dxa"/>
          </w:tcPr>
          <w:p>
            <w:pPr>
              <w:pStyle w:val="yTable"/>
              <w:jc w:val="center"/>
            </w:pPr>
            <w:r>
              <w:br/>
            </w:r>
            <w:r>
              <w:br/>
            </w:r>
            <w:r>
              <w:br/>
              <w:t>500</w:t>
            </w:r>
          </w:p>
        </w:tc>
      </w:tr>
      <w:tr>
        <w:trPr>
          <w:cantSplit/>
        </w:trPr>
        <w:tc>
          <w:tcPr>
            <w:tcW w:w="709" w:type="dxa"/>
          </w:tcPr>
          <w:p>
            <w:pPr>
              <w:pStyle w:val="yTable"/>
            </w:pPr>
            <w:r>
              <w:t>12</w:t>
            </w:r>
          </w:p>
        </w:tc>
        <w:tc>
          <w:tcPr>
            <w:tcW w:w="1984" w:type="dxa"/>
          </w:tcPr>
          <w:p>
            <w:pPr>
              <w:pStyle w:val="yTable"/>
            </w:pPr>
            <w:r>
              <w:t>Regulation 7</w:t>
            </w:r>
          </w:p>
        </w:tc>
        <w:tc>
          <w:tcPr>
            <w:tcW w:w="2977" w:type="dxa"/>
          </w:tcPr>
          <w:p>
            <w:pPr>
              <w:pStyle w:val="yTable"/>
            </w:pPr>
            <w:r>
              <w:t>Failure to ensure display of fare schedule</w:t>
            </w:r>
          </w:p>
        </w:tc>
        <w:tc>
          <w:tcPr>
            <w:tcW w:w="1134" w:type="dxa"/>
          </w:tcPr>
          <w:p>
            <w:pPr>
              <w:pStyle w:val="yTable"/>
              <w:jc w:val="center"/>
            </w:pPr>
            <w:r>
              <w:br/>
              <w:t>100</w:t>
            </w:r>
          </w:p>
        </w:tc>
      </w:tr>
      <w:tr>
        <w:trPr>
          <w:cantSplit/>
        </w:trPr>
        <w:tc>
          <w:tcPr>
            <w:tcW w:w="709" w:type="dxa"/>
          </w:tcPr>
          <w:p>
            <w:pPr>
              <w:pStyle w:val="yTable"/>
            </w:pPr>
            <w:r>
              <w:t>13</w:t>
            </w:r>
          </w:p>
        </w:tc>
        <w:tc>
          <w:tcPr>
            <w:tcW w:w="1984" w:type="dxa"/>
          </w:tcPr>
          <w:p>
            <w:pPr>
              <w:pStyle w:val="yTable"/>
            </w:pPr>
            <w:r>
              <w:t>Regulation 8(1)</w:t>
            </w:r>
          </w:p>
        </w:tc>
        <w:tc>
          <w:tcPr>
            <w:tcW w:w="2977" w:type="dxa"/>
          </w:tcPr>
          <w:p>
            <w:pPr>
              <w:pStyle w:val="yTable"/>
            </w:pPr>
            <w:r>
              <w:t>Charge more than fare shown on meter</w:t>
            </w:r>
          </w:p>
        </w:tc>
        <w:tc>
          <w:tcPr>
            <w:tcW w:w="1134" w:type="dxa"/>
          </w:tcPr>
          <w:p>
            <w:pPr>
              <w:pStyle w:val="yTable"/>
              <w:jc w:val="center"/>
            </w:pPr>
            <w:r>
              <w:br/>
              <w:t>200</w:t>
            </w:r>
          </w:p>
        </w:tc>
      </w:tr>
      <w:tr>
        <w:trPr>
          <w:cantSplit/>
        </w:trPr>
        <w:tc>
          <w:tcPr>
            <w:tcW w:w="709" w:type="dxa"/>
          </w:tcPr>
          <w:p>
            <w:pPr>
              <w:pStyle w:val="yTable"/>
            </w:pPr>
            <w:r>
              <w:t>14</w:t>
            </w:r>
          </w:p>
        </w:tc>
        <w:tc>
          <w:tcPr>
            <w:tcW w:w="1984" w:type="dxa"/>
          </w:tcPr>
          <w:p>
            <w:pPr>
              <w:pStyle w:val="yTable"/>
            </w:pPr>
            <w:r>
              <w:t>Regulation 8(1a)</w:t>
            </w:r>
          </w:p>
        </w:tc>
        <w:tc>
          <w:tcPr>
            <w:tcW w:w="2977" w:type="dxa"/>
          </w:tcPr>
          <w:p>
            <w:pPr>
              <w:pStyle w:val="yTable"/>
            </w:pPr>
            <w:r>
              <w:t>Selecting a tariff that is not the appropriate tariff as set out in the fare schedule</w:t>
            </w:r>
          </w:p>
        </w:tc>
        <w:tc>
          <w:tcPr>
            <w:tcW w:w="1134" w:type="dxa"/>
          </w:tcPr>
          <w:p>
            <w:pPr>
              <w:pStyle w:val="yTable"/>
              <w:jc w:val="center"/>
            </w:pPr>
            <w:r>
              <w:br/>
            </w:r>
            <w:r>
              <w:br/>
              <w:t>200</w:t>
            </w:r>
          </w:p>
        </w:tc>
      </w:tr>
      <w:tr>
        <w:trPr>
          <w:cantSplit/>
        </w:trPr>
        <w:tc>
          <w:tcPr>
            <w:tcW w:w="709" w:type="dxa"/>
          </w:tcPr>
          <w:p>
            <w:pPr>
              <w:pStyle w:val="yTable"/>
            </w:pPr>
            <w:r>
              <w:t>15</w:t>
            </w:r>
          </w:p>
        </w:tc>
        <w:tc>
          <w:tcPr>
            <w:tcW w:w="1984" w:type="dxa"/>
          </w:tcPr>
          <w:p>
            <w:pPr>
              <w:pStyle w:val="yTable"/>
            </w:pPr>
            <w:r>
              <w:t>Regulation 8(2)</w:t>
            </w:r>
          </w:p>
        </w:tc>
        <w:tc>
          <w:tcPr>
            <w:tcW w:w="2977" w:type="dxa"/>
          </w:tcPr>
          <w:p>
            <w:pPr>
              <w:pStyle w:val="yTable"/>
            </w:pPr>
            <w:r>
              <w:t>Failure to accept fare voucher</w:t>
            </w:r>
          </w:p>
        </w:tc>
        <w:tc>
          <w:tcPr>
            <w:tcW w:w="1134" w:type="dxa"/>
          </w:tcPr>
          <w:p>
            <w:pPr>
              <w:pStyle w:val="yTable"/>
              <w:jc w:val="center"/>
            </w:pPr>
            <w:r>
              <w:t>200</w:t>
            </w:r>
          </w:p>
        </w:tc>
      </w:tr>
      <w:tr>
        <w:trPr>
          <w:cantSplit/>
        </w:trPr>
        <w:tc>
          <w:tcPr>
            <w:tcW w:w="709" w:type="dxa"/>
          </w:tcPr>
          <w:p>
            <w:pPr>
              <w:pStyle w:val="yTable"/>
            </w:pPr>
            <w:r>
              <w:t>16</w:t>
            </w:r>
          </w:p>
        </w:tc>
        <w:tc>
          <w:tcPr>
            <w:tcW w:w="1984" w:type="dxa"/>
          </w:tcPr>
          <w:p>
            <w:pPr>
              <w:pStyle w:val="yTable"/>
            </w:pPr>
            <w:r>
              <w:t>Regulation 8(2a)</w:t>
            </w:r>
          </w:p>
        </w:tc>
        <w:tc>
          <w:tcPr>
            <w:tcW w:w="2977" w:type="dxa"/>
          </w:tcPr>
          <w:p>
            <w:pPr>
              <w:pStyle w:val="yTable"/>
            </w:pPr>
            <w:r>
              <w:t>Driver entering false or misleading information on fare voucher</w:t>
            </w:r>
          </w:p>
        </w:tc>
        <w:tc>
          <w:tcPr>
            <w:tcW w:w="1134" w:type="dxa"/>
          </w:tcPr>
          <w:p>
            <w:pPr>
              <w:pStyle w:val="yTable"/>
              <w:jc w:val="center"/>
            </w:pPr>
            <w:r>
              <w:br/>
            </w:r>
            <w:r>
              <w:br/>
              <w:t>200</w:t>
            </w:r>
          </w:p>
        </w:tc>
      </w:tr>
      <w:tr>
        <w:trPr>
          <w:cantSplit/>
        </w:trPr>
        <w:tc>
          <w:tcPr>
            <w:tcW w:w="709" w:type="dxa"/>
          </w:tcPr>
          <w:p>
            <w:pPr>
              <w:pStyle w:val="yTable"/>
            </w:pPr>
            <w:r>
              <w:t>17</w:t>
            </w:r>
          </w:p>
        </w:tc>
        <w:tc>
          <w:tcPr>
            <w:tcW w:w="1984" w:type="dxa"/>
          </w:tcPr>
          <w:p>
            <w:pPr>
              <w:pStyle w:val="yTable"/>
            </w:pPr>
            <w:r>
              <w:t>Regulation 8(3)</w:t>
            </w:r>
          </w:p>
        </w:tc>
        <w:tc>
          <w:tcPr>
            <w:tcW w:w="2977" w:type="dxa"/>
          </w:tcPr>
          <w:p>
            <w:pPr>
              <w:pStyle w:val="yTable"/>
            </w:pPr>
            <w:r>
              <w:t>Directing driver to contravene fare regulations</w:t>
            </w:r>
          </w:p>
        </w:tc>
        <w:tc>
          <w:tcPr>
            <w:tcW w:w="1134" w:type="dxa"/>
          </w:tcPr>
          <w:p>
            <w:pPr>
              <w:pStyle w:val="yTable"/>
              <w:jc w:val="center"/>
            </w:pPr>
            <w:r>
              <w:br/>
              <w:t>200</w:t>
            </w:r>
          </w:p>
        </w:tc>
      </w:tr>
      <w:tr>
        <w:trPr>
          <w:cantSplit/>
        </w:trPr>
        <w:tc>
          <w:tcPr>
            <w:tcW w:w="709" w:type="dxa"/>
          </w:tcPr>
          <w:p>
            <w:pPr>
              <w:pStyle w:val="yTable"/>
            </w:pPr>
            <w:r>
              <w:t>18</w:t>
            </w:r>
          </w:p>
        </w:tc>
        <w:tc>
          <w:tcPr>
            <w:tcW w:w="1984" w:type="dxa"/>
          </w:tcPr>
          <w:p>
            <w:pPr>
              <w:pStyle w:val="yTable"/>
            </w:pPr>
            <w:r>
              <w:t>Regulation 9(2) and (3)</w:t>
            </w:r>
          </w:p>
        </w:tc>
        <w:tc>
          <w:tcPr>
            <w:tcW w:w="2977" w:type="dxa"/>
          </w:tcPr>
          <w:p>
            <w:pPr>
              <w:pStyle w:val="yTable"/>
            </w:pPr>
            <w:r>
              <w:t>Offences relating to setting and stopping meter</w:t>
            </w:r>
          </w:p>
        </w:tc>
        <w:tc>
          <w:tcPr>
            <w:tcW w:w="1134" w:type="dxa"/>
          </w:tcPr>
          <w:p>
            <w:pPr>
              <w:pStyle w:val="yTable"/>
              <w:jc w:val="center"/>
            </w:pPr>
            <w:r>
              <w:br/>
              <w:t>200</w:t>
            </w:r>
          </w:p>
        </w:tc>
      </w:tr>
      <w:tr>
        <w:trPr>
          <w:cantSplit/>
        </w:trPr>
        <w:tc>
          <w:tcPr>
            <w:tcW w:w="709" w:type="dxa"/>
          </w:tcPr>
          <w:p>
            <w:pPr>
              <w:pStyle w:val="yTable"/>
            </w:pPr>
            <w:r>
              <w:t>19</w:t>
            </w:r>
          </w:p>
        </w:tc>
        <w:tc>
          <w:tcPr>
            <w:tcW w:w="1984" w:type="dxa"/>
          </w:tcPr>
          <w:p>
            <w:pPr>
              <w:pStyle w:val="yTable"/>
            </w:pPr>
            <w:r>
              <w:t>Regulation 9A</w:t>
            </w:r>
          </w:p>
        </w:tc>
        <w:tc>
          <w:tcPr>
            <w:tcW w:w="2977" w:type="dxa"/>
          </w:tcPr>
          <w:p>
            <w:pPr>
              <w:pStyle w:val="yTable"/>
            </w:pPr>
            <w:r>
              <w:t>Hirer failing to pay fare at termination of hiring or as agreed</w:t>
            </w:r>
          </w:p>
        </w:tc>
        <w:tc>
          <w:tcPr>
            <w:tcW w:w="1134" w:type="dxa"/>
          </w:tcPr>
          <w:p>
            <w:pPr>
              <w:pStyle w:val="yTable"/>
              <w:jc w:val="center"/>
            </w:pPr>
            <w:r>
              <w:br/>
            </w:r>
            <w:r>
              <w:br/>
              <w:t>100</w:t>
            </w:r>
          </w:p>
        </w:tc>
      </w:tr>
      <w:tr>
        <w:trPr>
          <w:cantSplit/>
        </w:trPr>
        <w:tc>
          <w:tcPr>
            <w:tcW w:w="709" w:type="dxa"/>
          </w:tcPr>
          <w:p>
            <w:pPr>
              <w:pStyle w:val="yTable"/>
            </w:pPr>
            <w:r>
              <w:t>20</w:t>
            </w:r>
          </w:p>
        </w:tc>
        <w:tc>
          <w:tcPr>
            <w:tcW w:w="1984" w:type="dxa"/>
          </w:tcPr>
          <w:p>
            <w:pPr>
              <w:pStyle w:val="yTable"/>
            </w:pPr>
            <w:r>
              <w:t>Regulation 11</w:t>
            </w:r>
          </w:p>
        </w:tc>
        <w:tc>
          <w:tcPr>
            <w:tcW w:w="2977" w:type="dxa"/>
          </w:tcPr>
          <w:p>
            <w:pPr>
              <w:pStyle w:val="yTable"/>
            </w:pPr>
            <w:r>
              <w:t>Driver failing to use most economical route</w:t>
            </w:r>
          </w:p>
        </w:tc>
        <w:tc>
          <w:tcPr>
            <w:tcW w:w="1134" w:type="dxa"/>
          </w:tcPr>
          <w:p>
            <w:pPr>
              <w:pStyle w:val="yTable"/>
              <w:jc w:val="center"/>
            </w:pPr>
            <w:r>
              <w:br/>
              <w:t>100</w:t>
            </w:r>
          </w:p>
        </w:tc>
      </w:tr>
      <w:tr>
        <w:trPr>
          <w:cantSplit/>
        </w:trPr>
        <w:tc>
          <w:tcPr>
            <w:tcW w:w="709" w:type="dxa"/>
          </w:tcPr>
          <w:p>
            <w:pPr>
              <w:pStyle w:val="Indenta"/>
              <w:ind w:left="0" w:firstLine="0"/>
              <w:rPr>
                <w:sz w:val="22"/>
              </w:rPr>
            </w:pPr>
            <w:r>
              <w:rPr>
                <w:sz w:val="22"/>
              </w:rPr>
              <w:t>21</w:t>
            </w:r>
          </w:p>
        </w:tc>
        <w:tc>
          <w:tcPr>
            <w:tcW w:w="1984" w:type="dxa"/>
          </w:tcPr>
          <w:p>
            <w:pPr>
              <w:pStyle w:val="Indenta"/>
              <w:ind w:left="0" w:firstLine="0"/>
              <w:rPr>
                <w:sz w:val="22"/>
              </w:rPr>
            </w:pPr>
            <w:r>
              <w:rPr>
                <w:sz w:val="22"/>
              </w:rPr>
              <w:t>Regulation 13(1)</w:t>
            </w:r>
          </w:p>
        </w:tc>
        <w:tc>
          <w:tcPr>
            <w:tcW w:w="2977" w:type="dxa"/>
          </w:tcPr>
          <w:p>
            <w:pPr>
              <w:pStyle w:val="Indenta"/>
              <w:ind w:left="0" w:firstLine="0"/>
              <w:rPr>
                <w:sz w:val="22"/>
              </w:rPr>
            </w:pPr>
            <w:r>
              <w:rPr>
                <w:sz w:val="22"/>
              </w:rPr>
              <w:t>Driver failing to accept hiring</w:t>
            </w:r>
          </w:p>
        </w:tc>
        <w:tc>
          <w:tcPr>
            <w:tcW w:w="1134" w:type="dxa"/>
          </w:tcPr>
          <w:p>
            <w:pPr>
              <w:pStyle w:val="Indenta"/>
              <w:ind w:left="0" w:firstLine="0"/>
              <w:jc w:val="center"/>
              <w:rPr>
                <w:sz w:val="22"/>
              </w:rPr>
            </w:pPr>
            <w:r>
              <w:rPr>
                <w:sz w:val="22"/>
              </w:rPr>
              <w:t>200</w:t>
            </w:r>
          </w:p>
        </w:tc>
      </w:tr>
      <w:tr>
        <w:trPr>
          <w:cantSplit/>
        </w:trPr>
        <w:tc>
          <w:tcPr>
            <w:tcW w:w="709" w:type="dxa"/>
          </w:tcPr>
          <w:p>
            <w:pPr>
              <w:pStyle w:val="Indenta"/>
              <w:ind w:left="0" w:firstLine="0"/>
              <w:rPr>
                <w:sz w:val="22"/>
              </w:rPr>
            </w:pPr>
            <w:r>
              <w:rPr>
                <w:sz w:val="22"/>
              </w:rPr>
              <w:t>22</w:t>
            </w:r>
          </w:p>
        </w:tc>
        <w:tc>
          <w:tcPr>
            <w:tcW w:w="1984" w:type="dxa"/>
          </w:tcPr>
          <w:p>
            <w:pPr>
              <w:pStyle w:val="Indenta"/>
              <w:ind w:left="0" w:firstLine="0"/>
              <w:rPr>
                <w:sz w:val="22"/>
              </w:rPr>
            </w:pPr>
            <w:r>
              <w:rPr>
                <w:sz w:val="22"/>
              </w:rPr>
              <w:t>Regulation 13(3)</w:t>
            </w:r>
          </w:p>
        </w:tc>
        <w:tc>
          <w:tcPr>
            <w:tcW w:w="2977" w:type="dxa"/>
          </w:tcPr>
          <w:p>
            <w:pPr>
              <w:pStyle w:val="Indenta"/>
              <w:ind w:left="0" w:firstLine="0"/>
              <w:rPr>
                <w:sz w:val="22"/>
              </w:rPr>
            </w:pPr>
            <w:r>
              <w:rPr>
                <w:sz w:val="22"/>
              </w:rPr>
              <w:t>Driver terminating a hiring prior to reaching the agreed destination</w:t>
            </w:r>
          </w:p>
        </w:tc>
        <w:tc>
          <w:tcPr>
            <w:tcW w:w="1134" w:type="dxa"/>
          </w:tcPr>
          <w:p>
            <w:pPr>
              <w:pStyle w:val="Indenta"/>
              <w:ind w:left="0" w:firstLine="0"/>
              <w:jc w:val="center"/>
              <w:rPr>
                <w:sz w:val="22"/>
              </w:rPr>
            </w:pPr>
            <w:r>
              <w:rPr>
                <w:sz w:val="22"/>
              </w:rPr>
              <w:br/>
            </w:r>
            <w:r>
              <w:rPr>
                <w:sz w:val="22"/>
              </w:rPr>
              <w:br/>
              <w:t>200</w:t>
            </w:r>
          </w:p>
        </w:tc>
      </w:tr>
      <w:tr>
        <w:trPr>
          <w:cantSplit/>
        </w:trPr>
        <w:tc>
          <w:tcPr>
            <w:tcW w:w="709" w:type="dxa"/>
          </w:tcPr>
          <w:p>
            <w:pPr>
              <w:pStyle w:val="Indenta"/>
              <w:ind w:left="0" w:firstLine="0"/>
              <w:rPr>
                <w:sz w:val="22"/>
              </w:rPr>
            </w:pPr>
            <w:r>
              <w:rPr>
                <w:sz w:val="22"/>
              </w:rPr>
              <w:t>23</w:t>
            </w:r>
          </w:p>
        </w:tc>
        <w:tc>
          <w:tcPr>
            <w:tcW w:w="1984" w:type="dxa"/>
          </w:tcPr>
          <w:p>
            <w:pPr>
              <w:pStyle w:val="Indenta"/>
              <w:ind w:left="0" w:firstLine="0"/>
              <w:rPr>
                <w:sz w:val="22"/>
              </w:rPr>
            </w:pPr>
            <w:r>
              <w:rPr>
                <w:sz w:val="22"/>
              </w:rPr>
              <w:t>Regulation 13A(1)</w:t>
            </w:r>
          </w:p>
        </w:tc>
        <w:tc>
          <w:tcPr>
            <w:tcW w:w="2977" w:type="dxa"/>
          </w:tcPr>
          <w:p>
            <w:pPr>
              <w:pStyle w:val="Indenta"/>
              <w:ind w:left="0" w:firstLine="0"/>
              <w:rPr>
                <w:sz w:val="22"/>
              </w:rPr>
            </w:pPr>
            <w:r>
              <w:rPr>
                <w:sz w:val="22"/>
              </w:rPr>
              <w:t>Driver failing to inform provider of taxi dispatch service as required</w:t>
            </w:r>
          </w:p>
        </w:tc>
        <w:tc>
          <w:tcPr>
            <w:tcW w:w="1134"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24</w:t>
            </w:r>
          </w:p>
        </w:tc>
        <w:tc>
          <w:tcPr>
            <w:tcW w:w="1984" w:type="dxa"/>
          </w:tcPr>
          <w:p>
            <w:pPr>
              <w:pStyle w:val="Indenta"/>
              <w:ind w:left="0" w:firstLine="0"/>
              <w:rPr>
                <w:sz w:val="22"/>
              </w:rPr>
            </w:pPr>
            <w:r>
              <w:rPr>
                <w:sz w:val="22"/>
              </w:rPr>
              <w:t>Regulation 13A(3)</w:t>
            </w:r>
            <w:r>
              <w:rPr>
                <w:sz w:val="22"/>
              </w:rPr>
              <w:br/>
            </w:r>
          </w:p>
        </w:tc>
        <w:tc>
          <w:tcPr>
            <w:tcW w:w="2977" w:type="dxa"/>
          </w:tcPr>
          <w:p>
            <w:pPr>
              <w:pStyle w:val="Indenta"/>
              <w:ind w:left="0" w:firstLine="0"/>
              <w:rPr>
                <w:b/>
                <w:i/>
                <w:sz w:val="22"/>
              </w:rPr>
            </w:pPr>
            <w:r>
              <w:rPr>
                <w:sz w:val="22"/>
              </w:rPr>
              <w:t>Driver giving incorrect information regarding their identity to the provider of a taxi dispatch service</w:t>
            </w:r>
          </w:p>
        </w:tc>
        <w:tc>
          <w:tcPr>
            <w:tcW w:w="1134" w:type="dxa"/>
          </w:tcPr>
          <w:p>
            <w:pPr>
              <w:pStyle w:val="Indenta"/>
              <w:ind w:left="0" w:firstLine="0"/>
              <w:jc w:val="center"/>
              <w:rPr>
                <w:sz w:val="22"/>
              </w:rPr>
            </w:pPr>
            <w:r>
              <w:rPr>
                <w:sz w:val="22"/>
              </w:rPr>
              <w:br/>
            </w:r>
            <w:r>
              <w:rPr>
                <w:sz w:val="22"/>
              </w:rPr>
              <w:br/>
            </w:r>
            <w:r>
              <w:rPr>
                <w:sz w:val="22"/>
              </w:rPr>
              <w:br/>
              <w:t>200</w:t>
            </w:r>
          </w:p>
        </w:tc>
      </w:tr>
      <w:tr>
        <w:trPr>
          <w:cantSplit/>
        </w:trPr>
        <w:tc>
          <w:tcPr>
            <w:tcW w:w="709" w:type="dxa"/>
          </w:tcPr>
          <w:p>
            <w:pPr>
              <w:pStyle w:val="Indenta"/>
              <w:ind w:left="0" w:firstLine="0"/>
              <w:rPr>
                <w:sz w:val="22"/>
              </w:rPr>
            </w:pPr>
            <w:r>
              <w:rPr>
                <w:sz w:val="22"/>
              </w:rPr>
              <w:t>25</w:t>
            </w:r>
          </w:p>
        </w:tc>
        <w:tc>
          <w:tcPr>
            <w:tcW w:w="1984" w:type="dxa"/>
          </w:tcPr>
          <w:p>
            <w:pPr>
              <w:pStyle w:val="Indenta"/>
              <w:ind w:left="0" w:firstLine="0"/>
              <w:rPr>
                <w:sz w:val="22"/>
              </w:rPr>
            </w:pPr>
            <w:r>
              <w:rPr>
                <w:sz w:val="22"/>
              </w:rPr>
              <w:t>Regulation 13B(1)</w:t>
            </w:r>
          </w:p>
        </w:tc>
        <w:tc>
          <w:tcPr>
            <w:tcW w:w="2977" w:type="dxa"/>
          </w:tcPr>
          <w:p>
            <w:pPr>
              <w:pStyle w:val="Indenta"/>
              <w:ind w:left="0" w:firstLine="0"/>
              <w:rPr>
                <w:sz w:val="22"/>
              </w:rPr>
            </w:pPr>
            <w:r>
              <w:rPr>
                <w:sz w:val="22"/>
              </w:rPr>
              <w:t>Driver obstructing, interfering with, damaging etc., a camera surveillance unit</w:t>
            </w:r>
          </w:p>
        </w:tc>
        <w:tc>
          <w:tcPr>
            <w:tcW w:w="1134"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26</w:t>
            </w:r>
          </w:p>
        </w:tc>
        <w:tc>
          <w:tcPr>
            <w:tcW w:w="1984" w:type="dxa"/>
          </w:tcPr>
          <w:p>
            <w:pPr>
              <w:pStyle w:val="Indenta"/>
              <w:ind w:left="0" w:firstLine="0"/>
              <w:rPr>
                <w:sz w:val="22"/>
              </w:rPr>
            </w:pPr>
            <w:r>
              <w:rPr>
                <w:sz w:val="22"/>
              </w:rPr>
              <w:t>Regulation 14</w:t>
            </w:r>
          </w:p>
        </w:tc>
        <w:tc>
          <w:tcPr>
            <w:tcW w:w="2977" w:type="dxa"/>
          </w:tcPr>
          <w:p>
            <w:pPr>
              <w:pStyle w:val="Indenta"/>
              <w:ind w:left="0" w:firstLine="0"/>
              <w:rPr>
                <w:sz w:val="22"/>
              </w:rPr>
            </w:pPr>
            <w:r>
              <w:rPr>
                <w:sz w:val="22"/>
              </w:rPr>
              <w:t>Driver failing to transport a guide dog</w:t>
            </w:r>
          </w:p>
        </w:tc>
        <w:tc>
          <w:tcPr>
            <w:tcW w:w="1134" w:type="dxa"/>
          </w:tcPr>
          <w:p>
            <w:pPr>
              <w:pStyle w:val="Indenta"/>
              <w:ind w:left="0" w:firstLine="0"/>
              <w:jc w:val="center"/>
              <w:rPr>
                <w:sz w:val="22"/>
              </w:rPr>
            </w:pPr>
            <w:r>
              <w:rPr>
                <w:sz w:val="22"/>
              </w:rPr>
              <w:br/>
              <w:t>300</w:t>
            </w:r>
          </w:p>
        </w:tc>
      </w:tr>
      <w:tr>
        <w:trPr>
          <w:cantSplit/>
        </w:trPr>
        <w:tc>
          <w:tcPr>
            <w:tcW w:w="709" w:type="dxa"/>
          </w:tcPr>
          <w:p>
            <w:pPr>
              <w:pStyle w:val="Indenta"/>
              <w:ind w:left="0" w:firstLine="0"/>
              <w:rPr>
                <w:sz w:val="22"/>
              </w:rPr>
            </w:pPr>
            <w:r>
              <w:rPr>
                <w:sz w:val="22"/>
              </w:rPr>
              <w:t>27</w:t>
            </w:r>
          </w:p>
        </w:tc>
        <w:tc>
          <w:tcPr>
            <w:tcW w:w="1984" w:type="dxa"/>
          </w:tcPr>
          <w:p>
            <w:pPr>
              <w:pStyle w:val="Indenta"/>
              <w:ind w:left="0" w:firstLine="0"/>
              <w:rPr>
                <w:sz w:val="22"/>
              </w:rPr>
            </w:pPr>
            <w:r>
              <w:rPr>
                <w:sz w:val="22"/>
              </w:rPr>
              <w:t>Regulation 15</w:t>
            </w:r>
          </w:p>
        </w:tc>
        <w:tc>
          <w:tcPr>
            <w:tcW w:w="2977" w:type="dxa"/>
          </w:tcPr>
          <w:p>
            <w:pPr>
              <w:pStyle w:val="Indenta"/>
              <w:ind w:left="0" w:firstLine="0"/>
              <w:rPr>
                <w:sz w:val="22"/>
              </w:rPr>
            </w:pPr>
            <w:r>
              <w:rPr>
                <w:sz w:val="22"/>
              </w:rPr>
              <w:t>Driver failing to display approved identification card</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28</w:t>
            </w:r>
          </w:p>
        </w:tc>
        <w:tc>
          <w:tcPr>
            <w:tcW w:w="1984" w:type="dxa"/>
          </w:tcPr>
          <w:p>
            <w:pPr>
              <w:pStyle w:val="Indenta"/>
              <w:ind w:left="0" w:firstLine="0"/>
              <w:rPr>
                <w:sz w:val="22"/>
              </w:rPr>
            </w:pPr>
            <w:r>
              <w:rPr>
                <w:sz w:val="22"/>
              </w:rPr>
              <w:t>Regulation 16(1)</w:t>
            </w:r>
          </w:p>
        </w:tc>
        <w:tc>
          <w:tcPr>
            <w:tcW w:w="2977" w:type="dxa"/>
          </w:tcPr>
          <w:p>
            <w:pPr>
              <w:pStyle w:val="Indenta"/>
              <w:ind w:left="0" w:firstLine="0"/>
              <w:rPr>
                <w:sz w:val="22"/>
              </w:rPr>
            </w:pPr>
            <w:r>
              <w:rPr>
                <w:sz w:val="22"/>
              </w:rPr>
              <w:t>Offences relating to the conduct of drivers</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29</w:t>
            </w:r>
          </w:p>
        </w:tc>
        <w:tc>
          <w:tcPr>
            <w:tcW w:w="1984" w:type="dxa"/>
          </w:tcPr>
          <w:p>
            <w:pPr>
              <w:pStyle w:val="Indenta"/>
              <w:ind w:left="0" w:firstLine="0"/>
              <w:rPr>
                <w:sz w:val="22"/>
              </w:rPr>
            </w:pPr>
            <w:r>
              <w:rPr>
                <w:sz w:val="22"/>
              </w:rPr>
              <w:t>Regulation 17</w:t>
            </w:r>
          </w:p>
        </w:tc>
        <w:tc>
          <w:tcPr>
            <w:tcW w:w="2977" w:type="dxa"/>
          </w:tcPr>
          <w:p>
            <w:pPr>
              <w:pStyle w:val="Indenta"/>
              <w:ind w:left="0" w:firstLine="0"/>
              <w:rPr>
                <w:sz w:val="22"/>
              </w:rPr>
            </w:pPr>
            <w:r>
              <w:rPr>
                <w:sz w:val="22"/>
              </w:rPr>
              <w:t>Offences relating to conduct of driver at taxi rank</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30</w:t>
            </w:r>
          </w:p>
        </w:tc>
        <w:tc>
          <w:tcPr>
            <w:tcW w:w="1984" w:type="dxa"/>
          </w:tcPr>
          <w:p>
            <w:pPr>
              <w:pStyle w:val="Indenta"/>
              <w:ind w:left="0" w:firstLine="0"/>
              <w:rPr>
                <w:sz w:val="22"/>
              </w:rPr>
            </w:pPr>
            <w:r>
              <w:rPr>
                <w:sz w:val="22"/>
              </w:rPr>
              <w:t>Regulation 17B</w:t>
            </w:r>
          </w:p>
        </w:tc>
        <w:tc>
          <w:tcPr>
            <w:tcW w:w="2977" w:type="dxa"/>
          </w:tcPr>
          <w:p>
            <w:pPr>
              <w:pStyle w:val="Indenta"/>
              <w:ind w:left="0" w:firstLine="0"/>
              <w:rPr>
                <w:sz w:val="22"/>
              </w:rPr>
            </w:pPr>
            <w:r>
              <w:rPr>
                <w:sz w:val="22"/>
              </w:rPr>
              <w:t>Driver failing to wear uniform, uniform not clean etc.</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31</w:t>
            </w:r>
          </w:p>
        </w:tc>
        <w:tc>
          <w:tcPr>
            <w:tcW w:w="1984" w:type="dxa"/>
          </w:tcPr>
          <w:p>
            <w:pPr>
              <w:pStyle w:val="Indenta"/>
              <w:ind w:left="0" w:firstLine="0"/>
              <w:rPr>
                <w:sz w:val="22"/>
              </w:rPr>
            </w:pPr>
            <w:r>
              <w:rPr>
                <w:sz w:val="22"/>
              </w:rPr>
              <w:t>Regulation 18(2)</w:t>
            </w:r>
          </w:p>
        </w:tc>
        <w:tc>
          <w:tcPr>
            <w:tcW w:w="2977" w:type="dxa"/>
          </w:tcPr>
          <w:p>
            <w:pPr>
              <w:pStyle w:val="Indenta"/>
              <w:ind w:left="0" w:firstLine="0"/>
              <w:rPr>
                <w:sz w:val="22"/>
              </w:rPr>
            </w:pPr>
            <w:r>
              <w:rPr>
                <w:sz w:val="22"/>
              </w:rPr>
              <w:t>Operating or driving taxi with an unsealed meter</w:t>
            </w:r>
          </w:p>
        </w:tc>
        <w:tc>
          <w:tcPr>
            <w:tcW w:w="1134" w:type="dxa"/>
          </w:tcPr>
          <w:p>
            <w:pPr>
              <w:pStyle w:val="Indenta"/>
              <w:ind w:left="0" w:firstLine="0"/>
              <w:jc w:val="center"/>
              <w:rPr>
                <w:sz w:val="22"/>
              </w:rPr>
            </w:pPr>
            <w:r>
              <w:rPr>
                <w:sz w:val="22"/>
              </w:rPr>
              <w:br/>
              <w:t>250</w:t>
            </w:r>
          </w:p>
        </w:tc>
      </w:tr>
      <w:tr>
        <w:trPr>
          <w:cantSplit/>
        </w:trPr>
        <w:tc>
          <w:tcPr>
            <w:tcW w:w="709" w:type="dxa"/>
          </w:tcPr>
          <w:p>
            <w:pPr>
              <w:pStyle w:val="Indenta"/>
              <w:ind w:left="0" w:firstLine="0"/>
              <w:rPr>
                <w:sz w:val="22"/>
              </w:rPr>
            </w:pPr>
            <w:r>
              <w:rPr>
                <w:sz w:val="22"/>
              </w:rPr>
              <w:t>32</w:t>
            </w:r>
          </w:p>
        </w:tc>
        <w:tc>
          <w:tcPr>
            <w:tcW w:w="1984" w:type="dxa"/>
          </w:tcPr>
          <w:p>
            <w:pPr>
              <w:pStyle w:val="Indenta"/>
              <w:ind w:left="0" w:firstLine="0"/>
              <w:rPr>
                <w:sz w:val="22"/>
              </w:rPr>
            </w:pPr>
            <w:r>
              <w:rPr>
                <w:sz w:val="22"/>
              </w:rPr>
              <w:t>Regulation 18(4) and (5)</w:t>
            </w:r>
          </w:p>
        </w:tc>
        <w:tc>
          <w:tcPr>
            <w:tcW w:w="2977" w:type="dxa"/>
          </w:tcPr>
          <w:p>
            <w:pPr>
              <w:pStyle w:val="Indenta"/>
              <w:ind w:left="0" w:firstLine="0"/>
              <w:rPr>
                <w:sz w:val="22"/>
              </w:rPr>
            </w:pPr>
            <w:r>
              <w:rPr>
                <w:sz w:val="22"/>
              </w:rPr>
              <w:t>Offences relating to meters</w:t>
            </w:r>
          </w:p>
        </w:tc>
        <w:tc>
          <w:tcPr>
            <w:tcW w:w="1134"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w:t>
      </w:r>
    </w:p>
    <w:p>
      <w:pPr>
        <w:pStyle w:val="yScheduleHeading"/>
      </w:pPr>
      <w:bookmarkStart w:id="130" w:name="_Toc128542444"/>
      <w:bookmarkStart w:id="131" w:name="_Toc128542694"/>
      <w:bookmarkStart w:id="132" w:name="_Toc132605125"/>
      <w:bookmarkStart w:id="133" w:name="_Toc132627004"/>
      <w:r>
        <w:rPr>
          <w:rStyle w:val="CharSchNo"/>
        </w:rPr>
        <w:t>Schedule </w:t>
      </w:r>
      <w:bookmarkEnd w:id="129"/>
      <w:r>
        <w:rPr>
          <w:rStyle w:val="CharSchNo"/>
        </w:rPr>
        <w:t>2</w:t>
      </w:r>
      <w:bookmarkEnd w:id="130"/>
      <w:bookmarkEnd w:id="131"/>
      <w:bookmarkEnd w:id="132"/>
      <w:bookmarkEnd w:id="133"/>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r>
        <w:t>Western Australia</w:t>
      </w:r>
    </w:p>
    <w:p>
      <w:pPr>
        <w:pStyle w:val="yTable"/>
        <w:jc w:val="center"/>
      </w:pPr>
      <w:r>
        <w:t>Department for Planning and Infrastructure</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r>
        <w:t>Western Australia</w:t>
      </w:r>
    </w:p>
    <w:p>
      <w:pPr>
        <w:pStyle w:val="yTable"/>
        <w:keepNext/>
        <w:jc w:val="center"/>
      </w:pPr>
      <w:r>
        <w:t>Department for Planning and Infrastructure</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pPr>
      <w:r>
        <w:rPr>
          <w:i/>
        </w:rPr>
        <w:t>TAXI ACT 1994</w:t>
      </w:r>
      <w:r>
        <w:t> — section 34(1)(b)</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pPr>
        <w:pStyle w:val="yTable"/>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5pt;height:14.1pt" o:ole="" fillcolor="window">
            <v:imagedata r:id="rId26" o:title=""/>
          </v:shape>
          <o:OLEObject Type="Embed" ProgID="PBrush" ShapeID="_x0000_i1025" DrawAspect="Content" ObjectID="_1511676591" r:id="rId27"/>
        </w:obje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object w:dxaOrig="1830" w:dyaOrig="285">
          <v:shape id="_x0000_i1026" type="#_x0000_t75" style="width:91.75pt;height:14.1pt" o:ole="" fillcolor="window">
            <v:imagedata r:id="rId26" o:title=""/>
          </v:shape>
          <o:OLEObject Type="Embed" ProgID="PBrush" ShapeID="_x0000_i1026" DrawAspect="Content" ObjectID="_1511676592" r:id="rId28"/>
        </w:object>
      </w:r>
    </w:p>
    <w:p>
      <w:pPr>
        <w:pStyle w:val="yTable"/>
        <w:keepNext/>
        <w:widowControl w:val="0"/>
        <w:jc w:val="center"/>
        <w:rPr>
          <w:b/>
        </w:rPr>
      </w:pPr>
      <w:r>
        <w:rPr>
          <w:b/>
        </w:rPr>
        <w:t>FORM 5</w:t>
      </w:r>
    </w:p>
    <w:p>
      <w:pPr>
        <w:pStyle w:val="yTable"/>
        <w:keepNext/>
        <w:widowControl w:val="0"/>
        <w:spacing w:before="120"/>
        <w:jc w:val="center"/>
      </w:pPr>
      <w:r>
        <w:rPr>
          <w:i/>
        </w:rPr>
        <w:t>TAXI ACT 1994</w:t>
      </w:r>
      <w:r>
        <w:t> — section 35(1)</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34" w:name="_Toc82502190"/>
      <w:bookmarkStart w:id="135" w:name="_Toc90437313"/>
      <w:bookmarkStart w:id="136" w:name="_Toc95191226"/>
      <w:bookmarkStart w:id="137" w:name="_Toc95191362"/>
      <w:bookmarkStart w:id="138" w:name="_Toc95274212"/>
      <w:bookmarkStart w:id="139" w:name="_Toc95274532"/>
      <w:bookmarkStart w:id="140" w:name="_Toc95274928"/>
      <w:bookmarkStart w:id="141" w:name="_Toc95533309"/>
      <w:bookmarkStart w:id="142" w:name="_Toc98827756"/>
      <w:bookmarkStart w:id="143" w:name="_Toc128542445"/>
      <w:bookmarkStart w:id="144" w:name="_Toc128542695"/>
      <w:bookmarkStart w:id="145" w:name="_Toc132605126"/>
      <w:bookmarkStart w:id="146" w:name="_Toc132627005"/>
      <w:r>
        <w:t>Notes</w:t>
      </w:r>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7" w:name="_Toc128542446"/>
      <w:bookmarkStart w:id="148" w:name="_Toc132627006"/>
      <w:r>
        <w:rPr>
          <w:snapToGrid w:val="0"/>
        </w:rPr>
        <w:t>Compilation table</w:t>
      </w:r>
      <w:bookmarkEnd w:id="147"/>
      <w:bookmarkEnd w:id="148"/>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gridSpan w:val="3"/>
            <w:tcBorders>
              <w:top w:val="single" w:sz="8" w:space="0" w:color="auto"/>
            </w:tcBorders>
          </w:tcPr>
          <w:p>
            <w:pPr>
              <w:pStyle w:val="nTable"/>
              <w:spacing w:after="40"/>
              <w:rPr>
                <w:sz w:val="19"/>
              </w:rPr>
            </w:pPr>
            <w:r>
              <w:rPr>
                <w:sz w:val="19"/>
              </w:rPr>
              <w:t>10 Jan 1995 p. 75</w:t>
            </w:r>
            <w:r>
              <w:rPr>
                <w:sz w:val="19"/>
              </w:rPr>
              <w:noBreakHyphen/>
              <w:t>90</w:t>
            </w:r>
          </w:p>
        </w:tc>
        <w:tc>
          <w:tcPr>
            <w:tcW w:w="2693" w:type="dxa"/>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gridSpan w:val="3"/>
          </w:tcPr>
          <w:p>
            <w:pPr>
              <w:pStyle w:val="nTable"/>
              <w:spacing w:after="40"/>
              <w:rPr>
                <w:sz w:val="19"/>
              </w:rPr>
            </w:pPr>
            <w:r>
              <w:rPr>
                <w:sz w:val="19"/>
              </w:rPr>
              <w:t>26 Mar 1996 p. 1483</w:t>
            </w:r>
            <w:r>
              <w:rPr>
                <w:sz w:val="19"/>
              </w:rPr>
              <w:noBreakHyphen/>
              <w:t>5</w:t>
            </w:r>
          </w:p>
        </w:tc>
        <w:tc>
          <w:tcPr>
            <w:tcW w:w="2693" w:type="dxa"/>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gridSpan w:val="3"/>
          </w:tcPr>
          <w:p>
            <w:pPr>
              <w:pStyle w:val="nTable"/>
              <w:spacing w:after="40"/>
              <w:rPr>
                <w:sz w:val="19"/>
              </w:rPr>
            </w:pPr>
            <w:r>
              <w:rPr>
                <w:sz w:val="19"/>
              </w:rPr>
              <w:t>25 Jun 1996 p. 2995</w:t>
            </w:r>
            <w:r>
              <w:rPr>
                <w:sz w:val="19"/>
              </w:rPr>
              <w:noBreakHyphen/>
              <w:t>6</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gridSpan w:val="3"/>
          </w:tcPr>
          <w:p>
            <w:pPr>
              <w:pStyle w:val="nTable"/>
              <w:spacing w:after="40"/>
              <w:rPr>
                <w:sz w:val="19"/>
              </w:rPr>
            </w:pPr>
            <w:r>
              <w:rPr>
                <w:sz w:val="19"/>
              </w:rPr>
              <w:t>25 Jun 1996 p. 2996</w:t>
            </w:r>
            <w:r>
              <w:rPr>
                <w:sz w:val="19"/>
              </w:rPr>
              <w:noBreakHyphen/>
              <w:t>8</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gridSpan w:val="3"/>
          </w:tcPr>
          <w:p>
            <w:pPr>
              <w:pStyle w:val="nTable"/>
              <w:spacing w:after="40"/>
              <w:rPr>
                <w:sz w:val="19"/>
              </w:rPr>
            </w:pPr>
            <w:r>
              <w:rPr>
                <w:sz w:val="19"/>
              </w:rPr>
              <w:t>4 Feb 1997 p. 707</w:t>
            </w:r>
          </w:p>
        </w:tc>
        <w:tc>
          <w:tcPr>
            <w:tcW w:w="2693" w:type="dxa"/>
          </w:tcPr>
          <w:p>
            <w:pPr>
              <w:pStyle w:val="nTable"/>
              <w:spacing w:after="40"/>
              <w:rPr>
                <w:sz w:val="19"/>
              </w:rPr>
            </w:pPr>
            <w:r>
              <w:rPr>
                <w:sz w:val="19"/>
              </w:rPr>
              <w:t>4 Feb 1997</w:t>
            </w:r>
          </w:p>
        </w:tc>
      </w:tr>
      <w:tr>
        <w:trPr>
          <w:cantSplit/>
        </w:trPr>
        <w:tc>
          <w:tcPr>
            <w:tcW w:w="7088" w:type="dxa"/>
            <w:gridSpan w:val="5"/>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29" w:type="dxa"/>
            <w:gridSpan w:val="2"/>
          </w:tcPr>
          <w:p>
            <w:pPr>
              <w:pStyle w:val="nTable"/>
              <w:spacing w:after="40"/>
              <w:rPr>
                <w:sz w:val="19"/>
              </w:rPr>
            </w:pPr>
            <w:r>
              <w:rPr>
                <w:sz w:val="19"/>
              </w:rPr>
              <w:t>8 Dec 1998 p. 6585</w:t>
            </w:r>
            <w:r>
              <w:rPr>
                <w:sz w:val="19"/>
              </w:rPr>
              <w:noBreakHyphen/>
              <w:t>8</w:t>
            </w:r>
          </w:p>
        </w:tc>
        <w:tc>
          <w:tcPr>
            <w:tcW w:w="2740" w:type="dxa"/>
            <w:gridSpan w:val="2"/>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29" w:type="dxa"/>
            <w:gridSpan w:val="2"/>
          </w:tcPr>
          <w:p>
            <w:pPr>
              <w:pStyle w:val="nTable"/>
              <w:spacing w:after="40"/>
              <w:rPr>
                <w:sz w:val="19"/>
              </w:rPr>
            </w:pPr>
            <w:r>
              <w:rPr>
                <w:sz w:val="19"/>
              </w:rPr>
              <w:t>1 Feb 2000 p. 382</w:t>
            </w:r>
            <w:r>
              <w:rPr>
                <w:sz w:val="19"/>
              </w:rPr>
              <w:noBreakHyphen/>
              <w:t>3</w:t>
            </w:r>
          </w:p>
        </w:tc>
        <w:tc>
          <w:tcPr>
            <w:tcW w:w="2740" w:type="dxa"/>
            <w:gridSpan w:val="2"/>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29" w:type="dxa"/>
            <w:gridSpan w:val="2"/>
          </w:tcPr>
          <w:p>
            <w:pPr>
              <w:pStyle w:val="nTable"/>
              <w:spacing w:after="40"/>
              <w:rPr>
                <w:sz w:val="19"/>
              </w:rPr>
            </w:pPr>
            <w:r>
              <w:rPr>
                <w:sz w:val="19"/>
              </w:rPr>
              <w:t>22 Mar 2002 p. 1654</w:t>
            </w:r>
            <w:r>
              <w:rPr>
                <w:sz w:val="19"/>
              </w:rPr>
              <w:noBreakHyphen/>
              <w:t>5</w:t>
            </w:r>
          </w:p>
        </w:tc>
        <w:tc>
          <w:tcPr>
            <w:tcW w:w="2740" w:type="dxa"/>
            <w:gridSpan w:val="2"/>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29" w:type="dxa"/>
            <w:gridSpan w:val="2"/>
          </w:tcPr>
          <w:p>
            <w:pPr>
              <w:pStyle w:val="nTable"/>
              <w:spacing w:after="40"/>
              <w:rPr>
                <w:sz w:val="19"/>
              </w:rPr>
            </w:pPr>
            <w:r>
              <w:rPr>
                <w:sz w:val="19"/>
              </w:rPr>
              <w:t>28 Feb 2003 p. 681</w:t>
            </w:r>
            <w:r>
              <w:rPr>
                <w:sz w:val="19"/>
              </w:rPr>
              <w:noBreakHyphen/>
              <w:t>2</w:t>
            </w:r>
          </w:p>
        </w:tc>
        <w:tc>
          <w:tcPr>
            <w:tcW w:w="2740" w:type="dxa"/>
            <w:gridSpan w:val="2"/>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29" w:type="dxa"/>
            <w:gridSpan w:val="2"/>
          </w:tcPr>
          <w:p>
            <w:pPr>
              <w:pStyle w:val="nTable"/>
              <w:spacing w:after="40"/>
              <w:rPr>
                <w:sz w:val="19"/>
              </w:rPr>
            </w:pPr>
            <w:r>
              <w:rPr>
                <w:sz w:val="19"/>
              </w:rPr>
              <w:t>30 Jun 2003 p. 2581</w:t>
            </w:r>
            <w:r>
              <w:rPr>
                <w:sz w:val="19"/>
              </w:rPr>
              <w:noBreakHyphen/>
              <w:t>638</w:t>
            </w:r>
          </w:p>
        </w:tc>
        <w:tc>
          <w:tcPr>
            <w:tcW w:w="2740" w:type="dxa"/>
            <w:gridSpan w:val="2"/>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29" w:type="dxa"/>
            <w:gridSpan w:val="2"/>
          </w:tcPr>
          <w:p>
            <w:pPr>
              <w:pStyle w:val="nTable"/>
              <w:spacing w:after="40"/>
              <w:rPr>
                <w:sz w:val="19"/>
              </w:rPr>
            </w:pPr>
            <w:r>
              <w:rPr>
                <w:sz w:val="19"/>
              </w:rPr>
              <w:t>9 Jan 2004 p. 96</w:t>
            </w:r>
            <w:r>
              <w:rPr>
                <w:sz w:val="19"/>
              </w:rPr>
              <w:noBreakHyphen/>
              <w:t>8</w:t>
            </w:r>
          </w:p>
        </w:tc>
        <w:tc>
          <w:tcPr>
            <w:tcW w:w="2740" w:type="dxa"/>
            <w:gridSpan w:val="2"/>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29" w:type="dxa"/>
            <w:gridSpan w:val="2"/>
          </w:tcPr>
          <w:p>
            <w:pPr>
              <w:pStyle w:val="nTable"/>
              <w:spacing w:after="40"/>
              <w:rPr>
                <w:sz w:val="19"/>
              </w:rPr>
            </w:pPr>
            <w:r>
              <w:rPr>
                <w:sz w:val="19"/>
              </w:rPr>
              <w:t>23 Jan 2004 p. 320</w:t>
            </w:r>
            <w:r>
              <w:rPr>
                <w:sz w:val="19"/>
              </w:rPr>
              <w:noBreakHyphen/>
              <w:t>5</w:t>
            </w:r>
          </w:p>
        </w:tc>
        <w:tc>
          <w:tcPr>
            <w:tcW w:w="2740" w:type="dxa"/>
            <w:gridSpan w:val="2"/>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29" w:type="dxa"/>
            <w:gridSpan w:val="2"/>
          </w:tcPr>
          <w:p>
            <w:pPr>
              <w:pStyle w:val="nTable"/>
              <w:spacing w:after="40"/>
              <w:rPr>
                <w:sz w:val="19"/>
              </w:rPr>
            </w:pPr>
            <w:r>
              <w:rPr>
                <w:sz w:val="19"/>
              </w:rPr>
              <w:t>20 Feb 2004 p. 608</w:t>
            </w:r>
            <w:r>
              <w:rPr>
                <w:sz w:val="19"/>
              </w:rPr>
              <w:noBreakHyphen/>
              <w:t>9</w:t>
            </w:r>
          </w:p>
        </w:tc>
        <w:tc>
          <w:tcPr>
            <w:tcW w:w="2740" w:type="dxa"/>
            <w:gridSpan w:val="2"/>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29" w:type="dxa"/>
            <w:gridSpan w:val="2"/>
          </w:tcPr>
          <w:p>
            <w:pPr>
              <w:pStyle w:val="nTable"/>
              <w:spacing w:after="40"/>
              <w:rPr>
                <w:sz w:val="19"/>
              </w:rPr>
            </w:pPr>
            <w:r>
              <w:rPr>
                <w:sz w:val="19"/>
              </w:rPr>
              <w:t>10 Sep 2004 p. 3923</w:t>
            </w:r>
            <w:r>
              <w:rPr>
                <w:sz w:val="19"/>
              </w:rPr>
              <w:noBreakHyphen/>
              <w:t>4</w:t>
            </w:r>
          </w:p>
        </w:tc>
        <w:tc>
          <w:tcPr>
            <w:tcW w:w="2740" w:type="dxa"/>
            <w:gridSpan w:val="2"/>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29" w:type="dxa"/>
            <w:gridSpan w:val="2"/>
          </w:tcPr>
          <w:p>
            <w:pPr>
              <w:pStyle w:val="nTable"/>
              <w:keepNext/>
              <w:keepLines/>
              <w:spacing w:after="40"/>
              <w:rPr>
                <w:sz w:val="19"/>
              </w:rPr>
            </w:pPr>
            <w:r>
              <w:rPr>
                <w:sz w:val="19"/>
              </w:rPr>
              <w:t>10 Dec 2004 p. 5910</w:t>
            </w:r>
            <w:r>
              <w:rPr>
                <w:sz w:val="19"/>
              </w:rPr>
              <w:noBreakHyphen/>
              <w:t>11</w:t>
            </w:r>
          </w:p>
        </w:tc>
        <w:tc>
          <w:tcPr>
            <w:tcW w:w="2740" w:type="dxa"/>
            <w:gridSpan w:val="2"/>
          </w:tcPr>
          <w:p>
            <w:pPr>
              <w:pStyle w:val="nTable"/>
              <w:keepNext/>
              <w:keepLines/>
              <w:spacing w:after="40"/>
              <w:rPr>
                <w:sz w:val="19"/>
              </w:rPr>
            </w:pPr>
            <w:r>
              <w:rPr>
                <w:sz w:val="19"/>
              </w:rPr>
              <w:t>10 Dec 2004</w:t>
            </w:r>
          </w:p>
        </w:tc>
      </w:tr>
      <w:tr>
        <w:trPr>
          <w:cantSplit/>
        </w:trPr>
        <w:tc>
          <w:tcPr>
            <w:tcW w:w="7088" w:type="dxa"/>
            <w:gridSpan w:val="5"/>
          </w:tcPr>
          <w:p>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trPr>
          <w:cantSplit/>
        </w:trPr>
        <w:tc>
          <w:tcPr>
            <w:tcW w:w="3148" w:type="dxa"/>
            <w:gridSpan w:val="2"/>
          </w:tcPr>
          <w:p>
            <w:pPr>
              <w:pStyle w:val="nTable"/>
              <w:spacing w:after="40"/>
              <w:rPr>
                <w:i/>
                <w:sz w:val="19"/>
              </w:rPr>
            </w:pPr>
            <w:r>
              <w:rPr>
                <w:i/>
                <w:sz w:val="19"/>
              </w:rPr>
              <w:t>Taxi Amendment Regulations 2006</w:t>
            </w:r>
          </w:p>
        </w:tc>
        <w:tc>
          <w:tcPr>
            <w:tcW w:w="1200" w:type="dxa"/>
          </w:tcPr>
          <w:p>
            <w:pPr>
              <w:pStyle w:val="nTable"/>
              <w:spacing w:after="40"/>
              <w:rPr>
                <w:sz w:val="19"/>
              </w:rPr>
            </w:pPr>
            <w:r>
              <w:rPr>
                <w:sz w:val="19"/>
              </w:rPr>
              <w:t>24 Feb 2006 p. 882-3</w:t>
            </w:r>
          </w:p>
        </w:tc>
        <w:tc>
          <w:tcPr>
            <w:tcW w:w="2740" w:type="dxa"/>
            <w:gridSpan w:val="2"/>
          </w:tcPr>
          <w:p>
            <w:pPr>
              <w:pStyle w:val="nTable"/>
              <w:spacing w:after="40"/>
              <w:rPr>
                <w:sz w:val="19"/>
              </w:rPr>
            </w:pPr>
            <w:r>
              <w:rPr>
                <w:sz w:val="19"/>
              </w:rPr>
              <w:t>24 Feb 2006</w:t>
            </w:r>
          </w:p>
        </w:tc>
      </w:tr>
      <w:tr>
        <w:trPr>
          <w:cantSplit/>
        </w:trPr>
        <w:tc>
          <w:tcPr>
            <w:tcW w:w="3148" w:type="dxa"/>
            <w:gridSpan w:val="2"/>
            <w:tcBorders>
              <w:bottom w:val="single" w:sz="8" w:space="0" w:color="auto"/>
            </w:tcBorders>
          </w:tcPr>
          <w:p>
            <w:pPr>
              <w:pStyle w:val="nTable"/>
              <w:spacing w:after="40"/>
              <w:rPr>
                <w:i/>
                <w:sz w:val="19"/>
              </w:rPr>
            </w:pPr>
            <w:r>
              <w:rPr>
                <w:i/>
                <w:sz w:val="19"/>
              </w:rPr>
              <w:t>Taxi Amendment Regulations (No. 3) 2006</w:t>
            </w:r>
          </w:p>
        </w:tc>
        <w:tc>
          <w:tcPr>
            <w:tcW w:w="1200" w:type="dxa"/>
            <w:tcBorders>
              <w:bottom w:val="single" w:sz="8" w:space="0" w:color="auto"/>
            </w:tcBorders>
          </w:tcPr>
          <w:p>
            <w:pPr>
              <w:pStyle w:val="nTable"/>
              <w:spacing w:after="40"/>
              <w:rPr>
                <w:sz w:val="19"/>
              </w:rPr>
            </w:pPr>
            <w:r>
              <w:rPr>
                <w:sz w:val="19"/>
              </w:rPr>
              <w:t>13 Apr 2006 p. 1554</w:t>
            </w:r>
          </w:p>
        </w:tc>
        <w:tc>
          <w:tcPr>
            <w:tcW w:w="2740" w:type="dxa"/>
            <w:gridSpan w:val="2"/>
            <w:tcBorders>
              <w:bottom w:val="single" w:sz="8" w:space="0" w:color="auto"/>
            </w:tcBorders>
          </w:tcPr>
          <w:p>
            <w:pPr>
              <w:pStyle w:val="nTable"/>
              <w:spacing w:after="40"/>
              <w:rPr>
                <w:sz w:val="19"/>
              </w:rPr>
            </w:pPr>
            <w:r>
              <w:rPr>
                <w:sz w:val="19"/>
              </w:rPr>
              <w:t>13 Apr 2006</w:t>
            </w:r>
          </w:p>
        </w:tc>
      </w:tr>
    </w:tbl>
    <w:p>
      <w:pPr>
        <w:pStyle w:val="nSubsection"/>
      </w:pPr>
      <w:r>
        <w:rPr>
          <w:rFonts w:ascii="Times" w:hAnsi="Times"/>
          <w:vertAlign w:val="superscript"/>
        </w:rPr>
        <w:t>2</w:t>
      </w:r>
      <w:r>
        <w:rPr>
          <w:rFonts w:ascii="Times" w:hAnsi="Times"/>
        </w:rPr>
        <w:tab/>
      </w:r>
      <w:r>
        <w:t xml:space="preserve">Under the </w:t>
      </w:r>
      <w:r>
        <w:rPr>
          <w:i/>
        </w:rPr>
        <w:t>Public Sector Management Act 1994</w:t>
      </w:r>
      <w:r>
        <w:t xml:space="preserve"> the names of departments may be changed.  As at the date this reprint was prepared the former Department of Land Administration is called the Department of Land Information.</w:t>
      </w:r>
    </w:p>
    <w:p>
      <w:pPr>
        <w:pStyle w:val="nSubsection"/>
      </w:pPr>
      <w:r>
        <w:rPr>
          <w:rFonts w:ascii="Times" w:hAnsi="Times"/>
          <w:vertAlign w:val="superscript"/>
        </w:rPr>
        <w:t>3</w:t>
      </w:r>
      <w:r>
        <w:rPr>
          <w:rFonts w:ascii="Times" w:hAnsi="Times"/>
        </w:rPr>
        <w:tab/>
      </w:r>
      <w:r>
        <w:t xml:space="preserve">Now cited as the </w:t>
      </w:r>
      <w:r>
        <w:rPr>
          <w:i/>
        </w:rPr>
        <w:t>Local Government (Miscellaneous Provisions) Act 1960.</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Taxi Regulations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c>
        <w:tcPr>
          <w:tcW w:w="1548" w:type="dxa"/>
        </w:tcPr>
        <w:p>
          <w:pPr>
            <w:pStyle w:val="HeaderSectionRight"/>
            <w:ind w:right="17"/>
            <w:jc w:val="left"/>
          </w:pPr>
          <w:r>
            <w:fldChar w:fldCharType="begin"/>
          </w:r>
          <w:r>
            <w:instrText xml:space="preserve"> STYLEREF CharSchNo \* MERGEFORMAT </w:instrText>
          </w:r>
          <w:r>
            <w:fldChar w:fldCharType="end"/>
          </w:r>
        </w:p>
      </w:tc>
      <w:tc>
        <w:tcPr>
          <w:tcW w:w="5764"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Offences for which infringement notices may be issued</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03"/>
      <w:gridCol w:w="13"/>
      <w:gridCol w:w="36"/>
    </w:tblGrid>
    <w:tr>
      <w:trPr>
        <w:gridAfter w:val="1"/>
        <w:wAfter w:w="36" w:type="dxa"/>
        <w:cantSplit/>
      </w:trPr>
      <w:tc>
        <w:tcPr>
          <w:tcW w:w="7312" w:type="dxa"/>
          <w:gridSpan w:val="5"/>
        </w:tcPr>
        <w:p>
          <w:pPr>
            <w:pStyle w:val="HeaderActNameRight"/>
          </w:pPr>
          <w:fldSimple w:instr=" Styleref &quot;Name of Act/Reg&quot; ">
            <w:r>
              <w:rPr>
                <w:noProof/>
              </w:rPr>
              <w:t>Taxi Regulations 1995</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gridAfter w:val="2"/>
        <w:wBefore w:w="36" w:type="dxa"/>
        <w:wAfter w:w="49" w:type="dxa"/>
      </w:trP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Offences for which infringement notices may be issued</w:t>
          </w:r>
          <w:r>
            <w:rPr>
              <w:b w:val="0"/>
            </w:rPr>
            <w:fldChar w:fldCharType="end"/>
          </w:r>
        </w:p>
      </w:tc>
      <w:tc>
        <w:tcPr>
          <w:tcW w:w="1521"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4403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7C7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2890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883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961C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1AD2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90D4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A6F6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BEADE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4E00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1621B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7BA3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3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247"/>
    <w:docVar w:name="WAFER_20151210162247" w:val="RemoveTrackChanges"/>
    <w:docVar w:name="WAFER_20151210162247_GUID" w:val="985e3dfa-b35c-44ed-be14-41109e7fcd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6842</Words>
  <Characters>35103</Characters>
  <Application>Microsoft Office Word</Application>
  <DocSecurity>0</DocSecurity>
  <Lines>1170</Lines>
  <Paragraphs>735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1995 - 02-c0-03</dc:title>
  <dc:subject/>
  <dc:creator/>
  <cp:keywords/>
  <dc:description/>
  <cp:lastModifiedBy>svcMRProcess</cp:lastModifiedBy>
  <cp:revision>4</cp:revision>
  <cp:lastPrinted>2005-03-02T03:29:00Z</cp:lastPrinted>
  <dcterms:created xsi:type="dcterms:W3CDTF">2015-12-15T01:23:00Z</dcterms:created>
  <dcterms:modified xsi:type="dcterms:W3CDTF">2015-12-15T01:23:00Z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20060413</vt:lpwstr>
  </property>
  <property fmtid="{D5CDD505-2E9C-101B-9397-08002B2CF9AE}" pid="4" name="DocumentType">
    <vt:lpwstr>Reg</vt:lpwstr>
  </property>
  <property fmtid="{D5CDD505-2E9C-101B-9397-08002B2CF9AE}" pid="5" name="OwlsUID">
    <vt:i4>4802</vt:i4>
  </property>
  <property fmtid="{D5CDD505-2E9C-101B-9397-08002B2CF9AE}" pid="6" name="AsAtDate">
    <vt:lpwstr>13 Apr 2006</vt:lpwstr>
  </property>
  <property fmtid="{D5CDD505-2E9C-101B-9397-08002B2CF9AE}" pid="7" name="Suffix">
    <vt:lpwstr>02-c0-03</vt:lpwstr>
  </property>
</Properties>
</file>