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Control Act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_Toc106096379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_Toc106096380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_Toc106096381 \h </w:instrText>
      </w:r>
      <w:r>
        <w:fldChar w:fldCharType="separate"/>
      </w:r>
      <w:r>
        <w:t>2</w:t>
      </w:r>
      <w:r>
        <w:fldChar w:fldCharType="end"/>
      </w:r>
    </w:p>
    <w:p>
      <w:pPr>
        <w:pStyle w:val="TOC8"/>
        <w:rPr>
          <w:rFonts w:asciiTheme="minorHAnsi" w:eastAsiaTheme="minorEastAsia" w:hAnsiTheme="minorHAnsi" w:cstheme="minorBidi"/>
          <w:szCs w:val="22"/>
        </w:rPr>
      </w:pPr>
      <w:r>
        <w:t>4AA.</w:t>
      </w:r>
      <w:r>
        <w:tab/>
        <w:t>Term used: betting exchange</w:t>
      </w:r>
      <w:r>
        <w:tab/>
      </w:r>
      <w:r>
        <w:fldChar w:fldCharType="begin"/>
      </w:r>
      <w:r>
        <w:instrText xml:space="preserve"> PAGEREF _Toc106096382 \h </w:instrText>
      </w:r>
      <w:r>
        <w:fldChar w:fldCharType="separate"/>
      </w:r>
      <w:r>
        <w:t>9</w:t>
      </w:r>
      <w:r>
        <w:fldChar w:fldCharType="end"/>
      </w:r>
    </w:p>
    <w:p>
      <w:pPr>
        <w:pStyle w:val="TOC8"/>
        <w:rPr>
          <w:rFonts w:asciiTheme="minorHAnsi" w:eastAsiaTheme="minorEastAsia" w:hAnsiTheme="minorHAnsi" w:cstheme="minorBidi"/>
          <w:szCs w:val="22"/>
        </w:rPr>
      </w:pPr>
      <w:r>
        <w:t>4A.</w:t>
      </w:r>
      <w:r>
        <w:tab/>
        <w:t>Application of this Act to certain sporting events other than races</w:t>
      </w:r>
      <w:r>
        <w:tab/>
      </w:r>
      <w:r>
        <w:fldChar w:fldCharType="begin"/>
      </w:r>
      <w:r>
        <w:instrText xml:space="preserve"> PAGEREF _Toc106096383 \h </w:instrText>
      </w:r>
      <w:r>
        <w:fldChar w:fldCharType="separate"/>
      </w:r>
      <w:r>
        <w:t>9</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Application of this Act to events</w:t>
      </w:r>
      <w:r>
        <w:tab/>
      </w:r>
      <w:r>
        <w:fldChar w:fldCharType="begin"/>
      </w:r>
      <w:r>
        <w:instrText xml:space="preserve"> PAGEREF _Toc106096384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Legalisation of betting</w:t>
      </w:r>
      <w:r>
        <w:tab/>
      </w:r>
      <w:r>
        <w:fldChar w:fldCharType="begin"/>
      </w:r>
      <w:r>
        <w:instrText xml:space="preserve"> PAGEREF _Toc106096385 \h </w:instrText>
      </w:r>
      <w:r>
        <w:fldChar w:fldCharType="separate"/>
      </w:r>
      <w:r>
        <w:t>12</w:t>
      </w:r>
      <w:r>
        <w:fldChar w:fldCharType="end"/>
      </w:r>
    </w:p>
    <w:p>
      <w:pPr>
        <w:pStyle w:val="TOC8"/>
        <w:rPr>
          <w:rFonts w:asciiTheme="minorHAnsi" w:eastAsiaTheme="minorEastAsia" w:hAnsiTheme="minorHAnsi" w:cstheme="minorBidi"/>
          <w:szCs w:val="22"/>
        </w:rPr>
      </w:pPr>
      <w:r>
        <w:t>5A.</w:t>
      </w:r>
      <w:r>
        <w:tab/>
        <w:t>Communication and broadcasting of information</w:t>
      </w:r>
      <w:r>
        <w:tab/>
      </w:r>
      <w:r>
        <w:fldChar w:fldCharType="begin"/>
      </w:r>
      <w:r>
        <w:instrText xml:space="preserve"> PAGEREF _Toc106096386 \h </w:instrText>
      </w:r>
      <w:r>
        <w:fldChar w:fldCharType="separate"/>
      </w:r>
      <w:r>
        <w:t>13</w:t>
      </w:r>
      <w:r>
        <w:fldChar w:fldCharType="end"/>
      </w:r>
    </w:p>
    <w:p>
      <w:pPr>
        <w:pStyle w:val="TOC8"/>
        <w:rPr>
          <w:rFonts w:asciiTheme="minorHAnsi" w:eastAsiaTheme="minorEastAsia" w:hAnsiTheme="minorHAnsi" w:cstheme="minorBidi"/>
          <w:szCs w:val="22"/>
        </w:rPr>
      </w:pPr>
      <w:r>
        <w:t>5C.</w:t>
      </w:r>
      <w:r>
        <w:tab/>
        <w:t>Betting on simulated races</w:t>
      </w:r>
      <w:r>
        <w:tab/>
      </w:r>
      <w:r>
        <w:fldChar w:fldCharType="begin"/>
      </w:r>
      <w:r>
        <w:instrText xml:space="preserve"> PAGEREF _Toc106096387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1A — Wagering licences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Wagering licence and wagering licensee</w:t>
      </w:r>
      <w:r>
        <w:tab/>
      </w:r>
      <w:r>
        <w:fldChar w:fldCharType="begin"/>
      </w:r>
      <w:r>
        <w:instrText xml:space="preserve"> PAGEREF _Toc106096390 \h </w:instrText>
      </w:r>
      <w:r>
        <w:fldChar w:fldCharType="separate"/>
      </w:r>
      <w:r>
        <w:t>15</w:t>
      </w:r>
      <w:r>
        <w:fldChar w:fldCharType="end"/>
      </w:r>
    </w:p>
    <w:p>
      <w:pPr>
        <w:pStyle w:val="TOC8"/>
        <w:rPr>
          <w:rFonts w:asciiTheme="minorHAnsi" w:eastAsiaTheme="minorEastAsia" w:hAnsiTheme="minorHAnsi" w:cstheme="minorBidi"/>
          <w:szCs w:val="22"/>
        </w:rPr>
      </w:pPr>
      <w:r>
        <w:t>7.</w:t>
      </w:r>
      <w:r>
        <w:tab/>
        <w:t>Associates</w:t>
      </w:r>
      <w:r>
        <w:tab/>
      </w:r>
      <w:r>
        <w:fldChar w:fldCharType="begin"/>
      </w:r>
      <w:r>
        <w:instrText xml:space="preserve"> PAGEREF _Toc106096391 \h </w:instrText>
      </w:r>
      <w:r>
        <w:fldChar w:fldCharType="separate"/>
      </w:r>
      <w:r>
        <w:t>15</w:t>
      </w:r>
      <w:r>
        <w:fldChar w:fldCharType="end"/>
      </w:r>
    </w:p>
    <w:p>
      <w:pPr>
        <w:pStyle w:val="TOC8"/>
        <w:rPr>
          <w:rFonts w:asciiTheme="minorHAnsi" w:eastAsiaTheme="minorEastAsia" w:hAnsiTheme="minorHAnsi" w:cstheme="minorBidi"/>
          <w:szCs w:val="22"/>
        </w:rPr>
      </w:pPr>
      <w:r>
        <w:t>8.</w:t>
      </w:r>
      <w:r>
        <w:tab/>
        <w:t>Key employees</w:t>
      </w:r>
      <w:r>
        <w:tab/>
      </w:r>
      <w:r>
        <w:fldChar w:fldCharType="begin"/>
      </w:r>
      <w:r>
        <w:instrText xml:space="preserve"> PAGEREF _Toc106096392 \h </w:instrText>
      </w:r>
      <w:r>
        <w:fldChar w:fldCharType="separate"/>
      </w:r>
      <w:r>
        <w:t>17</w:t>
      </w:r>
      <w:r>
        <w:fldChar w:fldCharType="end"/>
      </w:r>
    </w:p>
    <w:p>
      <w:pPr>
        <w:pStyle w:val="TOC8"/>
        <w:rPr>
          <w:rFonts w:asciiTheme="minorHAnsi" w:eastAsiaTheme="minorEastAsia" w:hAnsiTheme="minorHAnsi" w:cstheme="minorBidi"/>
          <w:szCs w:val="22"/>
        </w:rPr>
      </w:pPr>
      <w:r>
        <w:t>9.</w:t>
      </w:r>
      <w:r>
        <w:tab/>
        <w:t>Determinations of good repute and public interest</w:t>
      </w:r>
      <w:r>
        <w:tab/>
      </w:r>
      <w:r>
        <w:fldChar w:fldCharType="begin"/>
      </w:r>
      <w:r>
        <w:instrText xml:space="preserve"> PAGEREF _Toc106096393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and grant of wagering licences</w:t>
      </w:r>
    </w:p>
    <w:p>
      <w:pPr>
        <w:pStyle w:val="TOC8"/>
        <w:rPr>
          <w:rFonts w:asciiTheme="minorHAnsi" w:eastAsiaTheme="minorEastAsia" w:hAnsiTheme="minorHAnsi" w:cstheme="minorBidi"/>
          <w:szCs w:val="22"/>
        </w:rPr>
      </w:pPr>
      <w:r>
        <w:t>10.</w:t>
      </w:r>
      <w:r>
        <w:tab/>
        <w:t>Application for wagering licence</w:t>
      </w:r>
      <w:r>
        <w:tab/>
      </w:r>
      <w:r>
        <w:fldChar w:fldCharType="begin"/>
      </w:r>
      <w:r>
        <w:instrText xml:space="preserve"> PAGEREF _Toc106096395 \h </w:instrText>
      </w:r>
      <w:r>
        <w:fldChar w:fldCharType="separate"/>
      </w:r>
      <w:r>
        <w:t>18</w:t>
      </w:r>
      <w:r>
        <w:fldChar w:fldCharType="end"/>
      </w:r>
    </w:p>
    <w:p>
      <w:pPr>
        <w:pStyle w:val="TOC8"/>
        <w:rPr>
          <w:rFonts w:asciiTheme="minorHAnsi" w:eastAsiaTheme="minorEastAsia" w:hAnsiTheme="minorHAnsi" w:cstheme="minorBidi"/>
          <w:szCs w:val="22"/>
        </w:rPr>
      </w:pPr>
      <w:r>
        <w:t>10A.</w:t>
      </w:r>
      <w:r>
        <w:tab/>
        <w:t>Grant of wagering licence</w:t>
      </w:r>
      <w:r>
        <w:tab/>
      </w:r>
      <w:r>
        <w:fldChar w:fldCharType="begin"/>
      </w:r>
      <w:r>
        <w:instrText xml:space="preserve"> PAGEREF _Toc106096396 \h </w:instrText>
      </w:r>
      <w:r>
        <w:fldChar w:fldCharType="separate"/>
      </w:r>
      <w:r>
        <w:t>19</w:t>
      </w:r>
      <w:r>
        <w:fldChar w:fldCharType="end"/>
      </w:r>
    </w:p>
    <w:p>
      <w:pPr>
        <w:pStyle w:val="TOC8"/>
        <w:rPr>
          <w:rFonts w:asciiTheme="minorHAnsi" w:eastAsiaTheme="minorEastAsia" w:hAnsiTheme="minorHAnsi" w:cstheme="minorBidi"/>
          <w:szCs w:val="22"/>
        </w:rPr>
      </w:pPr>
      <w:r>
        <w:t>10B.</w:t>
      </w:r>
      <w:r>
        <w:tab/>
        <w:t>Fee for wagering licence</w:t>
      </w:r>
      <w:r>
        <w:tab/>
      </w:r>
      <w:r>
        <w:fldChar w:fldCharType="begin"/>
      </w:r>
      <w:r>
        <w:instrText xml:space="preserve"> PAGEREF _Toc106096397 \h </w:instrText>
      </w:r>
      <w:r>
        <w:fldChar w:fldCharType="separate"/>
      </w:r>
      <w:r>
        <w:t>19</w:t>
      </w:r>
      <w:r>
        <w:fldChar w:fldCharType="end"/>
      </w:r>
    </w:p>
    <w:p>
      <w:pPr>
        <w:pStyle w:val="TOC8"/>
        <w:rPr>
          <w:rFonts w:asciiTheme="minorHAnsi" w:eastAsiaTheme="minorEastAsia" w:hAnsiTheme="minorHAnsi" w:cstheme="minorBidi"/>
          <w:szCs w:val="22"/>
        </w:rPr>
      </w:pPr>
      <w:r>
        <w:t>10C.</w:t>
      </w:r>
      <w:r>
        <w:tab/>
        <w:t>Duration of wagering licence</w:t>
      </w:r>
      <w:r>
        <w:tab/>
      </w:r>
      <w:r>
        <w:fldChar w:fldCharType="begin"/>
      </w:r>
      <w:r>
        <w:instrText xml:space="preserve"> PAGEREF _Toc106096398 \h </w:instrText>
      </w:r>
      <w:r>
        <w:fldChar w:fldCharType="separate"/>
      </w:r>
      <w:r>
        <w:t>20</w:t>
      </w:r>
      <w:r>
        <w:fldChar w:fldCharType="end"/>
      </w:r>
    </w:p>
    <w:p>
      <w:pPr>
        <w:pStyle w:val="TOC8"/>
        <w:rPr>
          <w:rFonts w:asciiTheme="minorHAnsi" w:eastAsiaTheme="minorEastAsia" w:hAnsiTheme="minorHAnsi" w:cstheme="minorBidi"/>
          <w:szCs w:val="22"/>
        </w:rPr>
      </w:pPr>
      <w:r>
        <w:t>10D.</w:t>
      </w:r>
      <w:r>
        <w:tab/>
        <w:t>Wagering licence may authorise preparatory action</w:t>
      </w:r>
      <w:r>
        <w:tab/>
      </w:r>
      <w:r>
        <w:fldChar w:fldCharType="begin"/>
      </w:r>
      <w:r>
        <w:instrText xml:space="preserve"> PAGEREF _Toc106096399 \h </w:instrText>
      </w:r>
      <w:r>
        <w:fldChar w:fldCharType="separate"/>
      </w:r>
      <w:r>
        <w:t>21</w:t>
      </w:r>
      <w:r>
        <w:fldChar w:fldCharType="end"/>
      </w:r>
    </w:p>
    <w:p>
      <w:pPr>
        <w:pStyle w:val="TOC8"/>
        <w:rPr>
          <w:rFonts w:asciiTheme="minorHAnsi" w:eastAsiaTheme="minorEastAsia" w:hAnsiTheme="minorHAnsi" w:cstheme="minorBidi"/>
          <w:szCs w:val="22"/>
        </w:rPr>
      </w:pPr>
      <w:r>
        <w:t>10E.</w:t>
      </w:r>
      <w:r>
        <w:tab/>
        <w:t>Transfer of wagering licence</w:t>
      </w:r>
      <w:r>
        <w:tab/>
      </w:r>
      <w:r>
        <w:fldChar w:fldCharType="begin"/>
      </w:r>
      <w:r>
        <w:instrText xml:space="preserve"> PAGEREF _Toc106096400 \h </w:instrText>
      </w:r>
      <w:r>
        <w:fldChar w:fldCharType="separate"/>
      </w:r>
      <w:r>
        <w:t>22</w:t>
      </w:r>
      <w:r>
        <w:fldChar w:fldCharType="end"/>
      </w:r>
    </w:p>
    <w:p>
      <w:pPr>
        <w:pStyle w:val="TOC8"/>
        <w:rPr>
          <w:rFonts w:asciiTheme="minorHAnsi" w:eastAsiaTheme="minorEastAsia" w:hAnsiTheme="minorHAnsi" w:cstheme="minorBidi"/>
          <w:szCs w:val="22"/>
        </w:rPr>
      </w:pPr>
      <w:r>
        <w:t>10F.</w:t>
      </w:r>
      <w:r>
        <w:tab/>
        <w:t>No proprietary right in wagering licence</w:t>
      </w:r>
      <w:r>
        <w:tab/>
      </w:r>
      <w:r>
        <w:fldChar w:fldCharType="begin"/>
      </w:r>
      <w:r>
        <w:instrText xml:space="preserve"> PAGEREF _Toc106096401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Conditions of wagering licences</w:t>
      </w:r>
    </w:p>
    <w:p>
      <w:pPr>
        <w:pStyle w:val="TOC8"/>
        <w:rPr>
          <w:rFonts w:asciiTheme="minorHAnsi" w:eastAsiaTheme="minorEastAsia" w:hAnsiTheme="minorHAnsi" w:cstheme="minorBidi"/>
          <w:szCs w:val="22"/>
        </w:rPr>
      </w:pPr>
      <w:r>
        <w:t>10G.</w:t>
      </w:r>
      <w:r>
        <w:tab/>
        <w:t>Financial assurance</w:t>
      </w:r>
      <w:r>
        <w:tab/>
      </w:r>
      <w:r>
        <w:fldChar w:fldCharType="begin"/>
      </w:r>
      <w:r>
        <w:instrText xml:space="preserve"> PAGEREF _Toc106096403 \h </w:instrText>
      </w:r>
      <w:r>
        <w:fldChar w:fldCharType="separate"/>
      </w:r>
      <w:r>
        <w:t>24</w:t>
      </w:r>
      <w:r>
        <w:fldChar w:fldCharType="end"/>
      </w:r>
    </w:p>
    <w:p>
      <w:pPr>
        <w:pStyle w:val="TOC8"/>
        <w:rPr>
          <w:rFonts w:asciiTheme="minorHAnsi" w:eastAsiaTheme="minorEastAsia" w:hAnsiTheme="minorHAnsi" w:cstheme="minorBidi"/>
          <w:szCs w:val="22"/>
        </w:rPr>
      </w:pPr>
      <w:r>
        <w:t>10H.</w:t>
      </w:r>
      <w:r>
        <w:tab/>
        <w:t>Racing industry arrangement</w:t>
      </w:r>
      <w:r>
        <w:tab/>
      </w:r>
      <w:r>
        <w:fldChar w:fldCharType="begin"/>
      </w:r>
      <w:r>
        <w:instrText xml:space="preserve"> PAGEREF _Toc106096404 \h </w:instrText>
      </w:r>
      <w:r>
        <w:fldChar w:fldCharType="separate"/>
      </w:r>
      <w:r>
        <w:t>24</w:t>
      </w:r>
      <w:r>
        <w:fldChar w:fldCharType="end"/>
      </w:r>
    </w:p>
    <w:p>
      <w:pPr>
        <w:pStyle w:val="TOC8"/>
        <w:rPr>
          <w:rFonts w:asciiTheme="minorHAnsi" w:eastAsiaTheme="minorEastAsia" w:hAnsiTheme="minorHAnsi" w:cstheme="minorBidi"/>
          <w:szCs w:val="22"/>
        </w:rPr>
      </w:pPr>
      <w:r>
        <w:t>10I.</w:t>
      </w:r>
      <w:r>
        <w:tab/>
        <w:t>Consumer protection policy</w:t>
      </w:r>
      <w:r>
        <w:tab/>
      </w:r>
      <w:r>
        <w:fldChar w:fldCharType="begin"/>
      </w:r>
      <w:r>
        <w:instrText xml:space="preserve"> PAGEREF _Toc106096405 \h </w:instrText>
      </w:r>
      <w:r>
        <w:fldChar w:fldCharType="separate"/>
      </w:r>
      <w:r>
        <w:t>25</w:t>
      </w:r>
      <w:r>
        <w:fldChar w:fldCharType="end"/>
      </w:r>
    </w:p>
    <w:p>
      <w:pPr>
        <w:pStyle w:val="TOC8"/>
        <w:rPr>
          <w:rFonts w:asciiTheme="minorHAnsi" w:eastAsiaTheme="minorEastAsia" w:hAnsiTheme="minorHAnsi" w:cstheme="minorBidi"/>
          <w:szCs w:val="22"/>
        </w:rPr>
      </w:pPr>
      <w:r>
        <w:t>10J.</w:t>
      </w:r>
      <w:r>
        <w:tab/>
        <w:t>General provisions relating to bets with wagering licensee</w:t>
      </w:r>
      <w:r>
        <w:tab/>
      </w:r>
      <w:r>
        <w:fldChar w:fldCharType="begin"/>
      </w:r>
      <w:r>
        <w:instrText xml:space="preserve"> PAGEREF _Toc106096406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Disciplinary and other actions concerning wagering licences</w:t>
      </w:r>
    </w:p>
    <w:p>
      <w:pPr>
        <w:pStyle w:val="TOC8"/>
        <w:rPr>
          <w:rFonts w:asciiTheme="minorHAnsi" w:eastAsiaTheme="minorEastAsia" w:hAnsiTheme="minorHAnsi" w:cstheme="minorBidi"/>
          <w:szCs w:val="22"/>
        </w:rPr>
      </w:pPr>
      <w:r>
        <w:t>10K.</w:t>
      </w:r>
      <w:r>
        <w:tab/>
        <w:t>Commission may take or recommend disciplinary action</w:t>
      </w:r>
      <w:r>
        <w:tab/>
      </w:r>
      <w:r>
        <w:fldChar w:fldCharType="begin"/>
      </w:r>
      <w:r>
        <w:instrText xml:space="preserve"> PAGEREF _Toc106096408 \h </w:instrText>
      </w:r>
      <w:r>
        <w:fldChar w:fldCharType="separate"/>
      </w:r>
      <w:r>
        <w:t>25</w:t>
      </w:r>
      <w:r>
        <w:fldChar w:fldCharType="end"/>
      </w:r>
    </w:p>
    <w:p>
      <w:pPr>
        <w:pStyle w:val="TOC8"/>
        <w:rPr>
          <w:rFonts w:asciiTheme="minorHAnsi" w:eastAsiaTheme="minorEastAsia" w:hAnsiTheme="minorHAnsi" w:cstheme="minorBidi"/>
          <w:szCs w:val="22"/>
        </w:rPr>
      </w:pPr>
      <w:r>
        <w:t>10L.</w:t>
      </w:r>
      <w:r>
        <w:tab/>
        <w:t>Minister’s power to amend, suspend or cancel wagering licence</w:t>
      </w:r>
      <w:r>
        <w:tab/>
      </w:r>
      <w:r>
        <w:fldChar w:fldCharType="begin"/>
      </w:r>
      <w:r>
        <w:instrText xml:space="preserve"> PAGEREF _Toc106096409 \h </w:instrText>
      </w:r>
      <w:r>
        <w:fldChar w:fldCharType="separate"/>
      </w:r>
      <w:r>
        <w:t>28</w:t>
      </w:r>
      <w:r>
        <w:fldChar w:fldCharType="end"/>
      </w:r>
    </w:p>
    <w:p>
      <w:pPr>
        <w:pStyle w:val="TOC8"/>
        <w:rPr>
          <w:rFonts w:asciiTheme="minorHAnsi" w:eastAsiaTheme="minorEastAsia" w:hAnsiTheme="minorHAnsi" w:cstheme="minorBidi"/>
          <w:szCs w:val="22"/>
        </w:rPr>
      </w:pPr>
      <w:r>
        <w:t>10M.</w:t>
      </w:r>
      <w:r>
        <w:tab/>
        <w:t>Suspension of wagering licence</w:t>
      </w:r>
      <w:r>
        <w:tab/>
      </w:r>
      <w:r>
        <w:fldChar w:fldCharType="begin"/>
      </w:r>
      <w:r>
        <w:instrText xml:space="preserve"> PAGEREF _Toc106096410 \h </w:instrText>
      </w:r>
      <w:r>
        <w:fldChar w:fldCharType="separate"/>
      </w:r>
      <w:r>
        <w:t>29</w:t>
      </w:r>
      <w:r>
        <w:fldChar w:fldCharType="end"/>
      </w:r>
    </w:p>
    <w:p>
      <w:pPr>
        <w:pStyle w:val="TOC8"/>
        <w:rPr>
          <w:rFonts w:asciiTheme="minorHAnsi" w:eastAsiaTheme="minorEastAsia" w:hAnsiTheme="minorHAnsi" w:cstheme="minorBidi"/>
          <w:szCs w:val="22"/>
        </w:rPr>
      </w:pPr>
      <w:r>
        <w:t>10N.</w:t>
      </w:r>
      <w:r>
        <w:tab/>
        <w:t>Surrender of wagering licence</w:t>
      </w:r>
      <w:r>
        <w:tab/>
      </w:r>
      <w:r>
        <w:fldChar w:fldCharType="begin"/>
      </w:r>
      <w:r>
        <w:instrText xml:space="preserve"> PAGEREF _Toc106096411 \h </w:instrText>
      </w:r>
      <w:r>
        <w:fldChar w:fldCharType="separate"/>
      </w:r>
      <w:r>
        <w:t>30</w:t>
      </w:r>
      <w:r>
        <w:fldChar w:fldCharType="end"/>
      </w:r>
    </w:p>
    <w:p>
      <w:pPr>
        <w:pStyle w:val="TOC8"/>
        <w:rPr>
          <w:rFonts w:asciiTheme="minorHAnsi" w:eastAsiaTheme="minorEastAsia" w:hAnsiTheme="minorHAnsi" w:cstheme="minorBidi"/>
          <w:szCs w:val="22"/>
        </w:rPr>
      </w:pPr>
      <w:r>
        <w:t>10O.</w:t>
      </w:r>
      <w:r>
        <w:tab/>
        <w:t>Appointment of temporary licensee if wagering licence suspended, cancelled, surrendered</w:t>
      </w:r>
      <w:r>
        <w:tab/>
      </w:r>
      <w:r>
        <w:fldChar w:fldCharType="begin"/>
      </w:r>
      <w:r>
        <w:instrText xml:space="preserve"> PAGEREF _Toc106096412 \h </w:instrText>
      </w:r>
      <w:r>
        <w:fldChar w:fldCharType="separate"/>
      </w:r>
      <w:r>
        <w:t>30</w:t>
      </w:r>
      <w:r>
        <w:fldChar w:fldCharType="end"/>
      </w:r>
    </w:p>
    <w:p>
      <w:pPr>
        <w:pStyle w:val="TOC8"/>
        <w:rPr>
          <w:rFonts w:asciiTheme="minorHAnsi" w:eastAsiaTheme="minorEastAsia" w:hAnsiTheme="minorHAnsi" w:cstheme="minorBidi"/>
          <w:szCs w:val="22"/>
        </w:rPr>
      </w:pPr>
      <w:r>
        <w:t>10P.</w:t>
      </w:r>
      <w:r>
        <w:tab/>
        <w:t>Directions necessary for transitioning to new wagering licence</w:t>
      </w:r>
      <w:r>
        <w:tab/>
      </w:r>
      <w:r>
        <w:fldChar w:fldCharType="begin"/>
      </w:r>
      <w:r>
        <w:instrText xml:space="preserve"> PAGEREF _Toc106096413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10Q.</w:t>
      </w:r>
      <w:r>
        <w:tab/>
        <w:t>Wagering licence agreements</w:t>
      </w:r>
      <w:r>
        <w:tab/>
      </w:r>
      <w:r>
        <w:fldChar w:fldCharType="begin"/>
      </w:r>
      <w:r>
        <w:instrText xml:space="preserve"> PAGEREF _Toc106096415 \h </w:instrText>
      </w:r>
      <w:r>
        <w:fldChar w:fldCharType="separate"/>
      </w:r>
      <w:r>
        <w:t>32</w:t>
      </w:r>
      <w:r>
        <w:fldChar w:fldCharType="end"/>
      </w:r>
    </w:p>
    <w:p>
      <w:pPr>
        <w:pStyle w:val="TOC8"/>
        <w:rPr>
          <w:rFonts w:asciiTheme="minorHAnsi" w:eastAsiaTheme="minorEastAsia" w:hAnsiTheme="minorHAnsi" w:cstheme="minorBidi"/>
          <w:szCs w:val="22"/>
        </w:rPr>
      </w:pPr>
      <w:r>
        <w:t>10R.</w:t>
      </w:r>
      <w:r>
        <w:tab/>
        <w:t>Minister may amend wagering licence on request</w:t>
      </w:r>
      <w:r>
        <w:tab/>
      </w:r>
      <w:r>
        <w:fldChar w:fldCharType="begin"/>
      </w:r>
      <w:r>
        <w:instrText xml:space="preserve"> PAGEREF _Toc106096416 \h </w:instrText>
      </w:r>
      <w:r>
        <w:fldChar w:fldCharType="separate"/>
      </w:r>
      <w:r>
        <w:t>32</w:t>
      </w:r>
      <w:r>
        <w:fldChar w:fldCharType="end"/>
      </w:r>
    </w:p>
    <w:p>
      <w:pPr>
        <w:pStyle w:val="TOC8"/>
        <w:rPr>
          <w:rFonts w:asciiTheme="minorHAnsi" w:eastAsiaTheme="minorEastAsia" w:hAnsiTheme="minorHAnsi" w:cstheme="minorBidi"/>
          <w:szCs w:val="22"/>
        </w:rPr>
      </w:pPr>
      <w:r>
        <w:t>10S.</w:t>
      </w:r>
      <w:r>
        <w:tab/>
        <w:t>Combined totalisator pool and fixed odds schemes</w:t>
      </w:r>
      <w:r>
        <w:tab/>
      </w:r>
      <w:r>
        <w:fldChar w:fldCharType="begin"/>
      </w:r>
      <w:r>
        <w:instrText xml:space="preserve"> PAGEREF _Toc106096417 \h </w:instrText>
      </w:r>
      <w:r>
        <w:fldChar w:fldCharType="separate"/>
      </w:r>
      <w:r>
        <w:t>33</w:t>
      </w:r>
      <w:r>
        <w:fldChar w:fldCharType="end"/>
      </w:r>
    </w:p>
    <w:p>
      <w:pPr>
        <w:pStyle w:val="TOC8"/>
        <w:rPr>
          <w:rFonts w:asciiTheme="minorHAnsi" w:eastAsiaTheme="minorEastAsia" w:hAnsiTheme="minorHAnsi" w:cstheme="minorBidi"/>
          <w:szCs w:val="22"/>
        </w:rPr>
      </w:pPr>
      <w:r>
        <w:t>10T.</w:t>
      </w:r>
      <w:r>
        <w:tab/>
        <w:t>Engaging contractors and appointing agents to assist wagering licensee</w:t>
      </w:r>
      <w:r>
        <w:tab/>
      </w:r>
      <w:r>
        <w:fldChar w:fldCharType="begin"/>
      </w:r>
      <w:r>
        <w:instrText xml:space="preserve"> PAGEREF _Toc106096418 \h </w:instrText>
      </w:r>
      <w:r>
        <w:fldChar w:fldCharType="separate"/>
      </w:r>
      <w:r>
        <w:t>34</w:t>
      </w:r>
      <w:r>
        <w:fldChar w:fldCharType="end"/>
      </w:r>
    </w:p>
    <w:p>
      <w:pPr>
        <w:pStyle w:val="TOC8"/>
        <w:rPr>
          <w:rFonts w:asciiTheme="minorHAnsi" w:eastAsiaTheme="minorEastAsia" w:hAnsiTheme="minorHAnsi" w:cstheme="minorBidi"/>
          <w:szCs w:val="22"/>
        </w:rPr>
      </w:pPr>
      <w:r>
        <w:t>10U.</w:t>
      </w:r>
      <w:r>
        <w:tab/>
        <w:t>Betting agencies</w:t>
      </w:r>
      <w:r>
        <w:tab/>
      </w:r>
      <w:r>
        <w:fldChar w:fldCharType="begin"/>
      </w:r>
      <w:r>
        <w:instrText xml:space="preserve"> PAGEREF _Toc106096419 \h </w:instrText>
      </w:r>
      <w:r>
        <w:fldChar w:fldCharType="separate"/>
      </w:r>
      <w:r>
        <w:t>34</w:t>
      </w:r>
      <w:r>
        <w:fldChar w:fldCharType="end"/>
      </w:r>
    </w:p>
    <w:p>
      <w:pPr>
        <w:pStyle w:val="TOC8"/>
        <w:rPr>
          <w:rFonts w:asciiTheme="minorHAnsi" w:eastAsiaTheme="minorEastAsia" w:hAnsiTheme="minorHAnsi" w:cstheme="minorBidi"/>
          <w:szCs w:val="22"/>
        </w:rPr>
      </w:pPr>
      <w:r>
        <w:t>10V.</w:t>
      </w:r>
      <w:r>
        <w:tab/>
        <w:t>Directions relating to betting agencies</w:t>
      </w:r>
      <w:r>
        <w:tab/>
      </w:r>
      <w:r>
        <w:fldChar w:fldCharType="begin"/>
      </w:r>
      <w:r>
        <w:instrText xml:space="preserve"> PAGEREF _Toc106096420 \h </w:instrText>
      </w:r>
      <w:r>
        <w:fldChar w:fldCharType="separate"/>
      </w:r>
      <w:r>
        <w:t>35</w:t>
      </w:r>
      <w:r>
        <w:fldChar w:fldCharType="end"/>
      </w:r>
    </w:p>
    <w:p>
      <w:pPr>
        <w:pStyle w:val="TOC8"/>
        <w:rPr>
          <w:rFonts w:asciiTheme="minorHAnsi" w:eastAsiaTheme="minorEastAsia" w:hAnsiTheme="minorHAnsi" w:cstheme="minorBidi"/>
          <w:szCs w:val="22"/>
        </w:rPr>
      </w:pPr>
      <w:r>
        <w:t>10W.</w:t>
      </w:r>
      <w:r>
        <w:tab/>
        <w:t>Wagering licensee to give notice to Commission about certain matters</w:t>
      </w:r>
      <w:r>
        <w:tab/>
      </w:r>
      <w:r>
        <w:fldChar w:fldCharType="begin"/>
      </w:r>
      <w:r>
        <w:instrText xml:space="preserve"> PAGEREF _Toc106096421 \h </w:instrText>
      </w:r>
      <w:r>
        <w:fldChar w:fldCharType="separate"/>
      </w:r>
      <w:r>
        <w:t>35</w:t>
      </w:r>
      <w:r>
        <w:fldChar w:fldCharType="end"/>
      </w:r>
    </w:p>
    <w:p>
      <w:pPr>
        <w:pStyle w:val="TOC8"/>
        <w:rPr>
          <w:rFonts w:asciiTheme="minorHAnsi" w:eastAsiaTheme="minorEastAsia" w:hAnsiTheme="minorHAnsi" w:cstheme="minorBidi"/>
          <w:szCs w:val="22"/>
        </w:rPr>
      </w:pPr>
      <w:r>
        <w:t>10X.</w:t>
      </w:r>
      <w:r>
        <w:tab/>
        <w:t>Approval of associates of wagering licensee</w:t>
      </w:r>
      <w:r>
        <w:tab/>
      </w:r>
      <w:r>
        <w:fldChar w:fldCharType="begin"/>
      </w:r>
      <w:r>
        <w:instrText xml:space="preserve"> PAGEREF _Toc106096422 \h </w:instrText>
      </w:r>
      <w:r>
        <w:fldChar w:fldCharType="separate"/>
      </w:r>
      <w:r>
        <w:t>36</w:t>
      </w:r>
      <w:r>
        <w:fldChar w:fldCharType="end"/>
      </w:r>
    </w:p>
    <w:p>
      <w:pPr>
        <w:pStyle w:val="TOC8"/>
        <w:rPr>
          <w:rFonts w:asciiTheme="minorHAnsi" w:eastAsiaTheme="minorEastAsia" w:hAnsiTheme="minorHAnsi" w:cstheme="minorBidi"/>
          <w:szCs w:val="22"/>
        </w:rPr>
      </w:pPr>
      <w:r>
        <w:t>10Y.</w:t>
      </w:r>
      <w:r>
        <w:tab/>
        <w:t>Commission may give directions to wagering licensee in relation to wagering business</w:t>
      </w:r>
      <w:r>
        <w:tab/>
      </w:r>
      <w:r>
        <w:fldChar w:fldCharType="begin"/>
      </w:r>
      <w:r>
        <w:instrText xml:space="preserve"> PAGEREF _Toc106096423 \h </w:instrText>
      </w:r>
      <w:r>
        <w:fldChar w:fldCharType="separate"/>
      </w:r>
      <w:r>
        <w:t>37</w:t>
      </w:r>
      <w:r>
        <w:fldChar w:fldCharType="end"/>
      </w:r>
    </w:p>
    <w:p>
      <w:pPr>
        <w:pStyle w:val="TOC8"/>
        <w:rPr>
          <w:rFonts w:asciiTheme="minorHAnsi" w:eastAsiaTheme="minorEastAsia" w:hAnsiTheme="minorHAnsi" w:cstheme="minorBidi"/>
          <w:szCs w:val="22"/>
        </w:rPr>
      </w:pPr>
      <w:r>
        <w:t>10Z.</w:t>
      </w:r>
      <w:r>
        <w:tab/>
        <w:t>Disclosure of certain information authorised</w:t>
      </w:r>
      <w:r>
        <w:tab/>
      </w:r>
      <w:r>
        <w:fldChar w:fldCharType="begin"/>
      </w:r>
      <w:r>
        <w:instrText xml:space="preserve"> PAGEREF _Toc106096424 \h </w:instrText>
      </w:r>
      <w:r>
        <w:fldChar w:fldCharType="separate"/>
      </w:r>
      <w:r>
        <w:t>38</w:t>
      </w:r>
      <w:r>
        <w:fldChar w:fldCharType="end"/>
      </w:r>
    </w:p>
    <w:p>
      <w:pPr>
        <w:pStyle w:val="TOC8"/>
        <w:rPr>
          <w:rFonts w:asciiTheme="minorHAnsi" w:eastAsiaTheme="minorEastAsia" w:hAnsiTheme="minorHAnsi" w:cstheme="minorBidi"/>
          <w:szCs w:val="22"/>
        </w:rPr>
      </w:pPr>
      <w:r>
        <w:t>10ZA.</w:t>
      </w:r>
      <w:r>
        <w:tab/>
        <w:t>Amount deducted as commission by wagering licensee</w:t>
      </w:r>
      <w:r>
        <w:tab/>
      </w:r>
      <w:r>
        <w:fldChar w:fldCharType="begin"/>
      </w:r>
      <w:r>
        <w:instrText xml:space="preserve"> PAGEREF _Toc106096425 \h </w:instrText>
      </w:r>
      <w:r>
        <w:fldChar w:fldCharType="separate"/>
      </w:r>
      <w:r>
        <w:t>39</w:t>
      </w:r>
      <w:r>
        <w:fldChar w:fldCharType="end"/>
      </w:r>
    </w:p>
    <w:p>
      <w:pPr>
        <w:pStyle w:val="TOC8"/>
        <w:rPr>
          <w:rFonts w:asciiTheme="minorHAnsi" w:eastAsiaTheme="minorEastAsia" w:hAnsiTheme="minorHAnsi" w:cstheme="minorBidi"/>
          <w:szCs w:val="22"/>
        </w:rPr>
      </w:pPr>
      <w:r>
        <w:t>10ZB.</w:t>
      </w:r>
      <w:r>
        <w:tab/>
        <w:t>Unclaimed moneys</w:t>
      </w:r>
      <w:r>
        <w:tab/>
      </w:r>
      <w:r>
        <w:fldChar w:fldCharType="begin"/>
      </w:r>
      <w:r>
        <w:instrText xml:space="preserve"> PAGEREF _Toc106096426 \h </w:instrText>
      </w:r>
      <w:r>
        <w:fldChar w:fldCharType="separate"/>
      </w:r>
      <w:r>
        <w:t>39</w:t>
      </w:r>
      <w:r>
        <w:fldChar w:fldCharType="end"/>
      </w:r>
    </w:p>
    <w:p>
      <w:pPr>
        <w:pStyle w:val="TOC8"/>
        <w:rPr>
          <w:rFonts w:asciiTheme="minorHAnsi" w:eastAsiaTheme="minorEastAsia" w:hAnsiTheme="minorHAnsi" w:cstheme="minorBidi"/>
          <w:szCs w:val="22"/>
        </w:rPr>
      </w:pPr>
      <w:r>
        <w:t>10ZC.</w:t>
      </w:r>
      <w:r>
        <w:tab/>
        <w:t xml:space="preserve">Authorisation for </w:t>
      </w:r>
      <w:r>
        <w:rPr>
          <w:i/>
        </w:rPr>
        <w:t xml:space="preserve">Competition and Consumer Act 2010 </w:t>
      </w:r>
      <w:r>
        <w:t>(Cth) and Competition Code</w:t>
      </w:r>
      <w:r>
        <w:tab/>
      </w:r>
      <w:r>
        <w:fldChar w:fldCharType="begin"/>
      </w:r>
      <w:r>
        <w:instrText xml:space="preserve"> PAGEREF _Toc106096427 \h </w:instrText>
      </w:r>
      <w:r>
        <w:fldChar w:fldCharType="separate"/>
      </w:r>
      <w:r>
        <w:t>40</w:t>
      </w:r>
      <w:r>
        <w:fldChar w:fldCharType="end"/>
      </w:r>
    </w:p>
    <w:p>
      <w:pPr>
        <w:pStyle w:val="TOC8"/>
        <w:rPr>
          <w:rFonts w:asciiTheme="minorHAnsi" w:eastAsiaTheme="minorEastAsia" w:hAnsiTheme="minorHAnsi" w:cstheme="minorBidi"/>
          <w:szCs w:val="22"/>
        </w:rPr>
      </w:pPr>
      <w:r>
        <w:t>10ZD.</w:t>
      </w:r>
      <w:r>
        <w:tab/>
        <w:t>Confidential police information</w:t>
      </w:r>
      <w:r>
        <w:tab/>
      </w:r>
      <w:r>
        <w:fldChar w:fldCharType="begin"/>
      </w:r>
      <w:r>
        <w:instrText xml:space="preserve"> PAGEREF _Toc106096428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w:t>
      </w:r>
      <w:r>
        <w:rPr>
          <w:b w:val="0"/>
        </w:rPr>
        <w:t> </w:t>
      </w:r>
      <w:r>
        <w:t>—</w:t>
      </w:r>
      <w:r>
        <w:rPr>
          <w:b w:val="0"/>
        </w:rPr>
        <w:t> </w:t>
      </w:r>
      <w:r>
        <w:t>Other licences, approvals and permits</w:t>
      </w:r>
    </w:p>
    <w:p>
      <w:pPr>
        <w:pStyle w:val="TOC8"/>
        <w:rPr>
          <w:rFonts w:asciiTheme="minorHAnsi" w:eastAsiaTheme="minorEastAsia" w:hAnsiTheme="minorHAnsi" w:cstheme="minorBidi"/>
          <w:szCs w:val="22"/>
        </w:rPr>
      </w:pPr>
      <w:r>
        <w:t>11.</w:t>
      </w:r>
      <w:r>
        <w:tab/>
        <w:t>Licences and approvals relating to bookmaking</w:t>
      </w:r>
      <w:r>
        <w:tab/>
      </w:r>
      <w:r>
        <w:fldChar w:fldCharType="begin"/>
      </w:r>
      <w:r>
        <w:instrText xml:space="preserve"> PAGEREF _Toc106096430 \h </w:instrText>
      </w:r>
      <w:r>
        <w:fldChar w:fldCharType="separate"/>
      </w:r>
      <w:r>
        <w:t>43</w:t>
      </w:r>
      <w:r>
        <w:fldChar w:fldCharType="end"/>
      </w:r>
    </w:p>
    <w:p>
      <w:pPr>
        <w:pStyle w:val="TOC8"/>
        <w:rPr>
          <w:rFonts w:asciiTheme="minorHAnsi" w:eastAsiaTheme="minorEastAsia" w:hAnsiTheme="minorHAnsi" w:cstheme="minorBidi"/>
          <w:szCs w:val="22"/>
        </w:rPr>
      </w:pPr>
      <w:r>
        <w:t>11A.</w:t>
      </w:r>
      <w:r>
        <w:tab/>
        <w:t>Bookmaker’s licence — natural person</w:t>
      </w:r>
      <w:r>
        <w:tab/>
      </w:r>
      <w:r>
        <w:fldChar w:fldCharType="begin"/>
      </w:r>
      <w:r>
        <w:instrText xml:space="preserve"> PAGEREF _Toc106096431 \h </w:instrText>
      </w:r>
      <w:r>
        <w:fldChar w:fldCharType="separate"/>
      </w:r>
      <w:r>
        <w:t>45</w:t>
      </w:r>
      <w:r>
        <w:fldChar w:fldCharType="end"/>
      </w:r>
    </w:p>
    <w:p>
      <w:pPr>
        <w:pStyle w:val="TOC8"/>
        <w:rPr>
          <w:rFonts w:asciiTheme="minorHAnsi" w:eastAsiaTheme="minorEastAsia" w:hAnsiTheme="minorHAnsi" w:cstheme="minorBidi"/>
          <w:szCs w:val="22"/>
        </w:rPr>
      </w:pPr>
      <w:r>
        <w:t>11B.</w:t>
      </w:r>
      <w:r>
        <w:tab/>
        <w:t>Bookmaker’s licence — partnership</w:t>
      </w:r>
      <w:r>
        <w:tab/>
      </w:r>
      <w:r>
        <w:fldChar w:fldCharType="begin"/>
      </w:r>
      <w:r>
        <w:instrText xml:space="preserve"> PAGEREF _Toc106096432 \h </w:instrText>
      </w:r>
      <w:r>
        <w:fldChar w:fldCharType="separate"/>
      </w:r>
      <w:r>
        <w:t>46</w:t>
      </w:r>
      <w:r>
        <w:fldChar w:fldCharType="end"/>
      </w:r>
    </w:p>
    <w:p>
      <w:pPr>
        <w:pStyle w:val="TOC8"/>
        <w:rPr>
          <w:rFonts w:asciiTheme="minorHAnsi" w:eastAsiaTheme="minorEastAsia" w:hAnsiTheme="minorHAnsi" w:cstheme="minorBidi"/>
          <w:szCs w:val="22"/>
        </w:rPr>
      </w:pPr>
      <w:r>
        <w:t>11C.</w:t>
      </w:r>
      <w:r>
        <w:tab/>
        <w:t>Bookmaker’s licences — body corporate</w:t>
      </w:r>
      <w:r>
        <w:tab/>
      </w:r>
      <w:r>
        <w:fldChar w:fldCharType="begin"/>
      </w:r>
      <w:r>
        <w:instrText xml:space="preserve"> PAGEREF _Toc106096433 \h </w:instrText>
      </w:r>
      <w:r>
        <w:fldChar w:fldCharType="separate"/>
      </w:r>
      <w:r>
        <w:t>50</w:t>
      </w:r>
      <w:r>
        <w:fldChar w:fldCharType="end"/>
      </w:r>
    </w:p>
    <w:p>
      <w:pPr>
        <w:pStyle w:val="TOC8"/>
        <w:rPr>
          <w:rFonts w:asciiTheme="minorHAnsi" w:eastAsiaTheme="minorEastAsia" w:hAnsiTheme="minorHAnsi" w:cstheme="minorBidi"/>
          <w:szCs w:val="22"/>
        </w:rPr>
      </w:pPr>
      <w:r>
        <w:t>11D.</w:t>
      </w:r>
      <w:r>
        <w:tab/>
        <w:t>Licences — manager or employee</w:t>
      </w:r>
      <w:r>
        <w:tab/>
      </w:r>
      <w:r>
        <w:fldChar w:fldCharType="begin"/>
      </w:r>
      <w:r>
        <w:instrText xml:space="preserve"> PAGEREF _Toc106096434 \h </w:instrText>
      </w:r>
      <w:r>
        <w:fldChar w:fldCharType="separate"/>
      </w:r>
      <w:r>
        <w:t>53</w:t>
      </w:r>
      <w:r>
        <w:fldChar w:fldCharType="end"/>
      </w:r>
    </w:p>
    <w:p>
      <w:pPr>
        <w:pStyle w:val="TOC8"/>
        <w:rPr>
          <w:rFonts w:asciiTheme="minorHAnsi" w:eastAsiaTheme="minorEastAsia" w:hAnsiTheme="minorHAnsi" w:cstheme="minorBidi"/>
          <w:szCs w:val="22"/>
        </w:rPr>
      </w:pPr>
      <w:r>
        <w:t>11E.</w:t>
      </w:r>
      <w:r>
        <w:tab/>
        <w:t>Security</w:t>
      </w:r>
      <w:r>
        <w:tab/>
      </w:r>
      <w:r>
        <w:fldChar w:fldCharType="begin"/>
      </w:r>
      <w:r>
        <w:instrText xml:space="preserve"> PAGEREF _Toc106096435 \h </w:instrText>
      </w:r>
      <w:r>
        <w:fldChar w:fldCharType="separate"/>
      </w:r>
      <w:r>
        <w:t>56</w:t>
      </w:r>
      <w:r>
        <w:fldChar w:fldCharType="end"/>
      </w:r>
    </w:p>
    <w:p>
      <w:pPr>
        <w:pStyle w:val="TOC8"/>
        <w:rPr>
          <w:rFonts w:asciiTheme="minorHAnsi" w:eastAsiaTheme="minorEastAsia" w:hAnsiTheme="minorHAnsi" w:cstheme="minorBidi"/>
          <w:szCs w:val="22"/>
        </w:rPr>
      </w:pPr>
      <w:r>
        <w:t>11F.</w:t>
      </w:r>
      <w:r>
        <w:tab/>
        <w:t>Notification of Commission in relation to licensed manager</w:t>
      </w:r>
      <w:r>
        <w:tab/>
      </w:r>
      <w:r>
        <w:fldChar w:fldCharType="begin"/>
      </w:r>
      <w:r>
        <w:instrText xml:space="preserve"> PAGEREF _Toc106096436 \h </w:instrText>
      </w:r>
      <w:r>
        <w:fldChar w:fldCharType="separate"/>
      </w:r>
      <w:r>
        <w:t>59</w:t>
      </w:r>
      <w:r>
        <w:fldChar w:fldCharType="end"/>
      </w:r>
    </w:p>
    <w:p>
      <w:pPr>
        <w:pStyle w:val="TOC8"/>
        <w:rPr>
          <w:rFonts w:asciiTheme="minorHAnsi" w:eastAsiaTheme="minorEastAsia" w:hAnsiTheme="minorHAnsi" w:cstheme="minorBidi"/>
          <w:szCs w:val="22"/>
        </w:rPr>
      </w:pPr>
      <w:r>
        <w:t>11G.</w:t>
      </w:r>
      <w:r>
        <w:tab/>
        <w:t>Offences</w:t>
      </w:r>
      <w:r>
        <w:tab/>
      </w:r>
      <w:r>
        <w:fldChar w:fldCharType="begin"/>
      </w:r>
      <w:r>
        <w:instrText xml:space="preserve"> PAGEREF _Toc106096437 \h </w:instrText>
      </w:r>
      <w:r>
        <w:fldChar w:fldCharType="separate"/>
      </w:r>
      <w:r>
        <w:t>60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Bookmaking on racecourses</w:t>
      </w:r>
      <w:r>
        <w:tab/>
      </w:r>
      <w:r>
        <w:fldChar w:fldCharType="begin"/>
      </w:r>
      <w:r>
        <w:instrText xml:space="preserve"> PAGEREF _Toc106096438 \h </w:instrText>
      </w:r>
      <w:r>
        <w:fldChar w:fldCharType="separate"/>
      </w:r>
      <w:r>
        <w:t>62</w:t>
      </w:r>
      <w:r>
        <w:fldChar w:fldCharType="end"/>
      </w:r>
    </w:p>
    <w:p>
      <w:pPr>
        <w:pStyle w:val="TOC8"/>
        <w:rPr>
          <w:rFonts w:asciiTheme="minorHAnsi" w:eastAsiaTheme="minorEastAsia" w:hAnsiTheme="minorHAnsi" w:cstheme="minorBidi"/>
          <w:szCs w:val="22"/>
        </w:rPr>
      </w:pPr>
      <w:r>
        <w:t>12A.</w:t>
      </w:r>
      <w:r>
        <w:tab/>
        <w:t>Temporary bookmakers’ employees’ licences</w:t>
      </w:r>
      <w:r>
        <w:tab/>
      </w:r>
      <w:r>
        <w:fldChar w:fldCharType="begin"/>
      </w:r>
      <w:r>
        <w:instrText xml:space="preserve"> PAGEREF _Toc106096439 \h </w:instrText>
      </w:r>
      <w:r>
        <w:fldChar w:fldCharType="separate"/>
      </w:r>
      <w:r>
        <w:t>66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Bookmakers’ annual licence fee</w:t>
      </w:r>
      <w:r>
        <w:tab/>
      </w:r>
      <w:r>
        <w:fldChar w:fldCharType="begin"/>
      </w:r>
      <w:r>
        <w:instrText xml:space="preserve"> PAGEREF _Toc106096440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Levies and totalisators</w:t>
      </w:r>
    </w:p>
    <w:p>
      <w:pPr>
        <w:pStyle w:val="TOC8"/>
        <w:rPr>
          <w:rFonts w:asciiTheme="minorHAnsi" w:eastAsiaTheme="minorEastAsia" w:hAnsiTheme="minorHAnsi" w:cstheme="minorBidi"/>
          <w:szCs w:val="22"/>
        </w:rPr>
      </w:pPr>
      <w:r>
        <w:t>14.</w:t>
      </w:r>
      <w:r>
        <w:tab/>
        <w:t>Bets transmitted from racing club to wagering licensee</w:t>
      </w:r>
      <w:r>
        <w:tab/>
      </w:r>
      <w:r>
        <w:fldChar w:fldCharType="begin"/>
      </w:r>
      <w:r>
        <w:instrText xml:space="preserve"> PAGEREF _Toc106096442 \h </w:instrText>
      </w:r>
      <w:r>
        <w:fldChar w:fldCharType="separate"/>
      </w:r>
      <w:r>
        <w:t>71</w:t>
      </w:r>
      <w:r>
        <w:fldChar w:fldCharType="end"/>
      </w:r>
    </w:p>
    <w:p>
      <w:pPr>
        <w:pStyle w:val="TOC8"/>
        <w:rPr>
          <w:rFonts w:asciiTheme="minorHAnsi" w:eastAsiaTheme="minorEastAsia" w:hAnsiTheme="minorHAnsi" w:cstheme="minorBidi"/>
          <w:szCs w:val="22"/>
        </w:rPr>
      </w:pPr>
      <w:r>
        <w:t>14A.</w:t>
      </w:r>
      <w:r>
        <w:tab/>
        <w:t>Betting operators’ liability to lodge returns and to pay racing bets levy</w:t>
      </w:r>
      <w:r>
        <w:tab/>
      </w:r>
      <w:r>
        <w:fldChar w:fldCharType="begin"/>
      </w:r>
      <w:r>
        <w:instrText xml:space="preserve"> PAGEREF _Toc106096443 \h </w:instrText>
      </w:r>
      <w:r>
        <w:fldChar w:fldCharType="separate"/>
      </w:r>
      <w:r>
        <w:t>71</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Books of account, records etc.</w:t>
      </w:r>
      <w:r>
        <w:tab/>
      </w:r>
      <w:r>
        <w:fldChar w:fldCharType="begin"/>
      </w:r>
      <w:r>
        <w:instrText xml:space="preserve"> PAGEREF _Toc106096444 \h </w:instrText>
      </w:r>
      <w:r>
        <w:fldChar w:fldCharType="separate"/>
      </w:r>
      <w:r>
        <w:t>73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on annual licence fee of not being entitled to receive or retain consideration</w:t>
      </w:r>
      <w:r>
        <w:tab/>
      </w:r>
      <w:r>
        <w:fldChar w:fldCharType="begin"/>
      </w:r>
      <w:r>
        <w:instrText xml:space="preserve"> PAGEREF _Toc106096445 \h </w:instrText>
      </w:r>
      <w:r>
        <w:fldChar w:fldCharType="separate"/>
      </w:r>
      <w:r>
        <w:t>76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Annual licence fee in respect of totalisators</w:t>
      </w:r>
      <w:r>
        <w:tab/>
      </w:r>
      <w:r>
        <w:fldChar w:fldCharType="begin"/>
      </w:r>
      <w:r>
        <w:instrText xml:space="preserve"> PAGEREF _Toc106096446 \h </w:instrText>
      </w:r>
      <w:r>
        <w:fldChar w:fldCharType="separate"/>
      </w:r>
      <w:r>
        <w:t>76</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Use of the totalisator by racing clubs</w:t>
      </w:r>
      <w:r>
        <w:tab/>
      </w:r>
      <w:r>
        <w:fldChar w:fldCharType="begin"/>
      </w:r>
      <w:r>
        <w:instrText xml:space="preserve"> PAGEREF _Toc106096447 \h </w:instrText>
      </w:r>
      <w:r>
        <w:fldChar w:fldCharType="separate"/>
      </w:r>
      <w:r>
        <w:t>77</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Making of bets on designated sporting events not authorised</w:t>
      </w:r>
      <w:r>
        <w:tab/>
      </w:r>
      <w:r>
        <w:fldChar w:fldCharType="begin"/>
      </w:r>
      <w:r>
        <w:instrText xml:space="preserve"> PAGEREF _Toc106096448 \h </w:instrText>
      </w:r>
      <w:r>
        <w:fldChar w:fldCharType="separate"/>
      </w:r>
      <w:r>
        <w:t>79</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r>
      <w:r>
        <w:t>Commission</w:t>
      </w:r>
      <w:r>
        <w:rPr>
          <w:snapToGrid w:val="0"/>
        </w:rPr>
        <w:t xml:space="preserve"> may authorise possession and operation of a totalisator by a racing club</w:t>
      </w:r>
      <w:r>
        <w:tab/>
      </w:r>
      <w:r>
        <w:fldChar w:fldCharType="begin"/>
      </w:r>
      <w:r>
        <w:instrText xml:space="preserve"> PAGEREF _Toc106096449 \h </w:instrText>
      </w:r>
      <w:r>
        <w:fldChar w:fldCharType="separate"/>
      </w:r>
      <w:r>
        <w:t>80</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Percentage of off course bets to belong to RWWA</w:t>
      </w:r>
      <w:r>
        <w:tab/>
      </w:r>
      <w:r>
        <w:fldChar w:fldCharType="begin"/>
      </w:r>
      <w:r>
        <w:instrText xml:space="preserve"> PAGEREF _Toc106096450 \h </w:instrText>
      </w:r>
      <w:r>
        <w:fldChar w:fldCharType="separate"/>
      </w:r>
      <w:r>
        <w:t>80</w:t>
      </w:r>
      <w:r>
        <w:fldChar w:fldCharType="end"/>
      </w:r>
    </w:p>
    <w:p>
      <w:pPr>
        <w:pStyle w:val="TOC8"/>
        <w:rPr>
          <w:rFonts w:asciiTheme="minorHAnsi" w:eastAsiaTheme="minorEastAsia" w:hAnsiTheme="minorHAnsi" w:cstheme="minorBidi"/>
          <w:szCs w:val="22"/>
        </w:rPr>
      </w:pPr>
      <w:r>
        <w:t>17EA.</w:t>
      </w:r>
      <w:r>
        <w:tab/>
        <w:t xml:space="preserve">Management of fixed odds </w:t>
      </w:r>
      <w:r>
        <w:rPr>
          <w:snapToGrid w:val="0"/>
        </w:rPr>
        <w:t>—</w:t>
      </w:r>
      <w:r>
        <w:t xml:space="preserve"> prescribed margin</w:t>
      </w:r>
      <w:r>
        <w:tab/>
      </w:r>
      <w:r>
        <w:fldChar w:fldCharType="begin"/>
      </w:r>
      <w:r>
        <w:instrText xml:space="preserve"> PAGEREF _Toc106096451 \h </w:instrText>
      </w:r>
      <w:r>
        <w:fldChar w:fldCharType="separate"/>
      </w:r>
      <w:r>
        <w:t>81</w:t>
      </w:r>
      <w:r>
        <w:fldChar w:fldCharType="end"/>
      </w:r>
    </w:p>
    <w:p>
      <w:pPr>
        <w:pStyle w:val="TOC8"/>
        <w:rPr>
          <w:rFonts w:asciiTheme="minorHAnsi" w:eastAsiaTheme="minorEastAsia" w:hAnsiTheme="minorHAnsi" w:cstheme="minorBidi"/>
          <w:szCs w:val="22"/>
        </w:rPr>
      </w:pPr>
      <w:r>
        <w:t>17F</w:t>
      </w:r>
      <w:r>
        <w:rPr>
          <w:snapToGrid w:val="0"/>
        </w:rPr>
        <w:t>.</w:t>
      </w:r>
      <w:r>
        <w:rPr>
          <w:snapToGrid w:val="0"/>
        </w:rPr>
        <w:tab/>
        <w:t>Percentage of bets to belong to racing club</w:t>
      </w:r>
      <w:r>
        <w:tab/>
      </w:r>
      <w:r>
        <w:fldChar w:fldCharType="begin"/>
      </w:r>
      <w:r>
        <w:instrText xml:space="preserve"> PAGEREF _Toc106096452 \h </w:instrText>
      </w:r>
      <w:r>
        <w:fldChar w:fldCharType="separate"/>
      </w:r>
      <w:r>
        <w:t>82</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Assessment of annual licence fee</w:t>
      </w:r>
      <w:r>
        <w:tab/>
      </w:r>
      <w:r>
        <w:fldChar w:fldCharType="begin"/>
      </w:r>
      <w:r>
        <w:instrText xml:space="preserve"> PAGEREF _Toc106096453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Enforcement and offences</w:t>
      </w:r>
    </w:p>
    <w:p>
      <w:pPr>
        <w:pStyle w:val="TOC8"/>
        <w:rPr>
          <w:rFonts w:asciiTheme="minorHAnsi" w:eastAsiaTheme="minorEastAsia" w:hAnsiTheme="minorHAnsi" w:cstheme="minorBidi"/>
          <w:szCs w:val="22"/>
        </w:rPr>
      </w:pPr>
      <w:r>
        <w:t>19A</w:t>
      </w:r>
      <w:r>
        <w:rPr>
          <w:snapToGrid w:val="0"/>
        </w:rPr>
        <w:t>.</w:t>
      </w:r>
      <w:r>
        <w:rPr>
          <w:snapToGrid w:val="0"/>
        </w:rPr>
        <w:tab/>
      </w:r>
      <w:r>
        <w:t>Commission</w:t>
      </w:r>
      <w:r>
        <w:rPr>
          <w:snapToGrid w:val="0"/>
        </w:rPr>
        <w:t xml:space="preserve"> may recover unpaid money in respect of annual licence fee</w:t>
      </w:r>
      <w:r>
        <w:tab/>
      </w:r>
      <w:r>
        <w:fldChar w:fldCharType="begin"/>
      </w:r>
      <w:r>
        <w:instrText xml:space="preserve"> PAGEREF _Toc106096455 \h </w:instrText>
      </w:r>
      <w:r>
        <w:fldChar w:fldCharType="separate"/>
      </w:r>
      <w:r>
        <w:t>85</w:t>
      </w:r>
      <w:r>
        <w:fldChar w:fldCharType="end"/>
      </w:r>
    </w:p>
    <w:p>
      <w:pPr>
        <w:pStyle w:val="TOC8"/>
        <w:rPr>
          <w:rFonts w:asciiTheme="minorHAnsi" w:eastAsiaTheme="minorEastAsia" w:hAnsiTheme="minorHAnsi" w:cstheme="minorBidi"/>
          <w:szCs w:val="22"/>
        </w:rPr>
      </w:pPr>
      <w:r>
        <w:t>20.</w:t>
      </w:r>
      <w:r>
        <w:tab/>
        <w:t>Entry and inspection of racecourses and certain other premises</w:t>
      </w:r>
      <w:r>
        <w:tab/>
      </w:r>
      <w:r>
        <w:fldChar w:fldCharType="begin"/>
      </w:r>
      <w:r>
        <w:instrText xml:space="preserve"> PAGEREF _Toc106096456 \h </w:instrText>
      </w:r>
      <w:r>
        <w:fldChar w:fldCharType="separate"/>
      </w:r>
      <w:r>
        <w:t>85</w:t>
      </w:r>
      <w:r>
        <w:fldChar w:fldCharType="end"/>
      </w:r>
    </w:p>
    <w:p>
      <w:pPr>
        <w:pStyle w:val="TOC8"/>
        <w:rPr>
          <w:rFonts w:asciiTheme="minorHAnsi" w:eastAsiaTheme="minorEastAsia" w:hAnsiTheme="minorHAnsi" w:cstheme="minorBidi"/>
          <w:szCs w:val="22"/>
        </w:rPr>
      </w:pPr>
      <w:r>
        <w:lastRenderedPageBreak/>
        <w:t>20A.</w:t>
      </w:r>
      <w:r>
        <w:tab/>
        <w:t>Powers of Commission representative</w:t>
      </w:r>
      <w:r>
        <w:tab/>
      </w:r>
      <w:r>
        <w:fldChar w:fldCharType="begin"/>
      </w:r>
      <w:r>
        <w:instrText xml:space="preserve"> PAGEREF _Toc106096457 \h </w:instrText>
      </w:r>
      <w:r>
        <w:fldChar w:fldCharType="separate"/>
      </w:r>
      <w:r>
        <w:t>87</w:t>
      </w:r>
      <w:r>
        <w:fldChar w:fldCharType="end"/>
      </w:r>
    </w:p>
    <w:p>
      <w:pPr>
        <w:pStyle w:val="TOC8"/>
        <w:rPr>
          <w:rFonts w:asciiTheme="minorHAnsi" w:eastAsiaTheme="minorEastAsia" w:hAnsiTheme="minorHAnsi" w:cstheme="minorBidi"/>
          <w:szCs w:val="22"/>
        </w:rPr>
      </w:pPr>
      <w:r>
        <w:t>20B.</w:t>
      </w:r>
      <w:r>
        <w:tab/>
        <w:t>Requirement to provide information</w:t>
      </w:r>
      <w:r>
        <w:tab/>
      </w:r>
      <w:r>
        <w:fldChar w:fldCharType="begin"/>
      </w:r>
      <w:r>
        <w:instrText xml:space="preserve"> PAGEREF _Toc106096458 \h </w:instrText>
      </w:r>
      <w:r>
        <w:fldChar w:fldCharType="separate"/>
      </w:r>
      <w:r>
        <w:t>89</w:t>
      </w:r>
      <w:r>
        <w:fldChar w:fldCharType="end"/>
      </w:r>
    </w:p>
    <w:p>
      <w:pPr>
        <w:pStyle w:val="TOC8"/>
        <w:rPr>
          <w:rFonts w:asciiTheme="minorHAnsi" w:eastAsiaTheme="minorEastAsia" w:hAnsiTheme="minorHAnsi" w:cstheme="minorBidi"/>
          <w:szCs w:val="22"/>
        </w:rPr>
      </w:pPr>
      <w:r>
        <w:t>20C.</w:t>
      </w:r>
      <w:r>
        <w:tab/>
        <w:t>Complying with information requirements</w:t>
      </w:r>
      <w:r>
        <w:tab/>
      </w:r>
      <w:r>
        <w:fldChar w:fldCharType="begin"/>
      </w:r>
      <w:r>
        <w:instrText xml:space="preserve"> PAGEREF _Toc106096459 \h </w:instrText>
      </w:r>
      <w:r>
        <w:fldChar w:fldCharType="separate"/>
      </w:r>
      <w:r>
        <w:t>91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Prohibition of betting with minors, intoxicated persons, etc.</w:t>
      </w:r>
      <w:r>
        <w:tab/>
      </w:r>
      <w:r>
        <w:fldChar w:fldCharType="begin"/>
      </w:r>
      <w:r>
        <w:instrText xml:space="preserve"> PAGEREF _Toc106096460 \h </w:instrText>
      </w:r>
      <w:r>
        <w:fldChar w:fldCharType="separate"/>
      </w:r>
      <w:r>
        <w:t>91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 by minors</w:t>
      </w:r>
      <w:r>
        <w:tab/>
      </w:r>
      <w:r>
        <w:fldChar w:fldCharType="begin"/>
      </w:r>
      <w:r>
        <w:instrText xml:space="preserve"> PAGEREF _Toc106096461 \h </w:instrText>
      </w:r>
      <w:r>
        <w:fldChar w:fldCharType="separate"/>
      </w:r>
      <w:r>
        <w:t>93</w:t>
      </w:r>
      <w:r>
        <w:fldChar w:fldCharType="end"/>
      </w:r>
    </w:p>
    <w:p>
      <w:pPr>
        <w:pStyle w:val="TOC8"/>
        <w:rPr>
          <w:rFonts w:asciiTheme="minorHAnsi" w:eastAsiaTheme="minorEastAsia" w:hAnsiTheme="minorHAnsi" w:cstheme="minorBidi"/>
          <w:szCs w:val="22"/>
        </w:rPr>
      </w:pPr>
      <w:r>
        <w:t>22A.</w:t>
      </w:r>
      <w:r>
        <w:tab/>
        <w:t>Prohibition on assisting minors to bet</w:t>
      </w:r>
      <w:r>
        <w:tab/>
      </w:r>
      <w:r>
        <w:fldChar w:fldCharType="begin"/>
      </w:r>
      <w:r>
        <w:instrText xml:space="preserve"> PAGEREF _Toc106096462 \h </w:instrText>
      </w:r>
      <w:r>
        <w:fldChar w:fldCharType="separate"/>
      </w:r>
      <w:r>
        <w:t>94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Prohibition of betting unless in accordance with this Act</w:t>
      </w:r>
      <w:r>
        <w:tab/>
      </w:r>
      <w:r>
        <w:fldChar w:fldCharType="begin"/>
      </w:r>
      <w:r>
        <w:instrText xml:space="preserve"> PAGEREF _Toc106096463 \h </w:instrText>
      </w:r>
      <w:r>
        <w:fldChar w:fldCharType="separate"/>
      </w:r>
      <w:r>
        <w:t>95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Unlawful betting</w:t>
      </w:r>
      <w:r>
        <w:tab/>
      </w:r>
      <w:r>
        <w:fldChar w:fldCharType="begin"/>
      </w:r>
      <w:r>
        <w:instrText xml:space="preserve"> PAGEREF _Toc106096464 \h </w:instrText>
      </w:r>
      <w:r>
        <w:fldChar w:fldCharType="separate"/>
      </w:r>
      <w:r>
        <w:t>96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Bookmakers may be ordered not to bet</w:t>
      </w:r>
      <w:r>
        <w:tab/>
      </w:r>
      <w:r>
        <w:fldChar w:fldCharType="begin"/>
      </w:r>
      <w:r>
        <w:instrText xml:space="preserve"> PAGEREF _Toc106096465 \h </w:instrText>
      </w:r>
      <w:r>
        <w:fldChar w:fldCharType="separate"/>
      </w:r>
      <w:r>
        <w:t>98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Loitering in street or public place</w:t>
      </w:r>
      <w:r>
        <w:tab/>
      </w:r>
      <w:r>
        <w:fldChar w:fldCharType="begin"/>
      </w:r>
      <w:r>
        <w:instrText xml:space="preserve"> PAGEREF _Toc106096466 \h </w:instrText>
      </w:r>
      <w:r>
        <w:fldChar w:fldCharType="separate"/>
      </w:r>
      <w:r>
        <w:t>98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Removal of persons</w:t>
      </w:r>
      <w:r>
        <w:tab/>
      </w:r>
      <w:r>
        <w:fldChar w:fldCharType="begin"/>
      </w:r>
      <w:r>
        <w:instrText xml:space="preserve"> PAGEREF _Toc106096467 \h </w:instrText>
      </w:r>
      <w:r>
        <w:fldChar w:fldCharType="separate"/>
      </w:r>
      <w:r>
        <w:t>99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Penalty for persons warning offenders of approach of member of Police Force</w:t>
      </w:r>
      <w:r>
        <w:tab/>
      </w:r>
      <w:r>
        <w:fldChar w:fldCharType="begin"/>
      </w:r>
      <w:r>
        <w:instrText xml:space="preserve"> PAGEREF _Toc106096468 \h </w:instrText>
      </w:r>
      <w:r>
        <w:fldChar w:fldCharType="separate"/>
      </w:r>
      <w:r>
        <w:t>99</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Unlawful betting on licensed premises</w:t>
      </w:r>
      <w:r>
        <w:tab/>
      </w:r>
      <w:r>
        <w:fldChar w:fldCharType="begin"/>
      </w:r>
      <w:r>
        <w:instrText xml:space="preserve"> PAGEREF _Toc106096469 \h </w:instrText>
      </w:r>
      <w:r>
        <w:fldChar w:fldCharType="separate"/>
      </w:r>
      <w:r>
        <w:t>100</w:t>
      </w:r>
      <w:r>
        <w:fldChar w:fldCharType="end"/>
      </w:r>
    </w:p>
    <w:p>
      <w:pPr>
        <w:pStyle w:val="TOC8"/>
        <w:rPr>
          <w:rFonts w:asciiTheme="minorHAnsi" w:eastAsiaTheme="minorEastAsia" w:hAnsiTheme="minorHAnsi" w:cstheme="minorBidi"/>
          <w:szCs w:val="22"/>
        </w:rPr>
      </w:pPr>
      <w:r>
        <w:t>27.</w:t>
      </w:r>
      <w:r>
        <w:tab/>
        <w:t>Penalty on owner or occupier of premises used for unlawful betting</w:t>
      </w:r>
      <w:r>
        <w:tab/>
      </w:r>
      <w:r>
        <w:fldChar w:fldCharType="begin"/>
      </w:r>
      <w:r>
        <w:instrText xml:space="preserve"> PAGEREF _Toc106096470 \h </w:instrText>
      </w:r>
      <w:r>
        <w:fldChar w:fldCharType="separate"/>
      </w:r>
      <w:r>
        <w:t>102</w:t>
      </w:r>
      <w:r>
        <w:fldChar w:fldCharType="end"/>
      </w:r>
    </w:p>
    <w:p>
      <w:pPr>
        <w:pStyle w:val="TOC8"/>
        <w:rPr>
          <w:rFonts w:asciiTheme="minorHAnsi" w:eastAsiaTheme="minorEastAsia" w:hAnsiTheme="minorHAnsi" w:cstheme="minorBidi"/>
          <w:szCs w:val="22"/>
        </w:rPr>
      </w:pPr>
      <w:r>
        <w:t>27A.</w:t>
      </w:r>
      <w:r>
        <w:tab/>
        <w:t>Interstate and offshore betting</w:t>
      </w:r>
      <w:r>
        <w:tab/>
      </w:r>
      <w:r>
        <w:fldChar w:fldCharType="begin"/>
      </w:r>
      <w:r>
        <w:instrText xml:space="preserve"> PAGEREF _Toc106096471 \h </w:instrText>
      </w:r>
      <w:r>
        <w:fldChar w:fldCharType="separate"/>
      </w:r>
      <w:r>
        <w:t>103</w:t>
      </w:r>
      <w:r>
        <w:fldChar w:fldCharType="end"/>
      </w:r>
    </w:p>
    <w:p>
      <w:pPr>
        <w:pStyle w:val="TOC8"/>
        <w:rPr>
          <w:rFonts w:asciiTheme="minorHAnsi" w:eastAsiaTheme="minorEastAsia" w:hAnsiTheme="minorHAnsi" w:cstheme="minorBidi"/>
          <w:szCs w:val="22"/>
        </w:rPr>
      </w:pPr>
      <w:r>
        <w:t>27D.</w:t>
      </w:r>
      <w:r>
        <w:tab/>
        <w:t>Publication of WA race fields restricted</w:t>
      </w:r>
      <w:r>
        <w:tab/>
      </w:r>
      <w:r>
        <w:fldChar w:fldCharType="begin"/>
      </w:r>
      <w:r>
        <w:instrText xml:space="preserve"> PAGEREF _Toc106096472 \h </w:instrText>
      </w:r>
      <w:r>
        <w:fldChar w:fldCharType="separate"/>
      </w:r>
      <w:r>
        <w:t>105</w:t>
      </w:r>
      <w:r>
        <w:fldChar w:fldCharType="end"/>
      </w:r>
    </w:p>
    <w:p>
      <w:pPr>
        <w:pStyle w:val="TOC8"/>
        <w:rPr>
          <w:rFonts w:asciiTheme="minorHAnsi" w:eastAsiaTheme="minorEastAsia" w:hAnsiTheme="minorHAnsi" w:cstheme="minorBidi"/>
          <w:szCs w:val="22"/>
        </w:rPr>
      </w:pPr>
      <w:r>
        <w:t>27E.</w:t>
      </w:r>
      <w:r>
        <w:tab/>
        <w:t>Confidentiality</w:t>
      </w:r>
      <w:r>
        <w:tab/>
      </w:r>
      <w:r>
        <w:fldChar w:fldCharType="begin"/>
      </w:r>
      <w:r>
        <w:instrText xml:space="preserve"> PAGEREF _Toc106096473 \h </w:instrText>
      </w:r>
      <w:r>
        <w:fldChar w:fldCharType="separate"/>
      </w:r>
      <w:r>
        <w:t>107</w:t>
      </w:r>
      <w:r>
        <w:fldChar w:fldCharType="end"/>
      </w:r>
    </w:p>
    <w:p>
      <w:pPr>
        <w:pStyle w:val="TOC8"/>
        <w:rPr>
          <w:rFonts w:asciiTheme="minorHAnsi" w:eastAsiaTheme="minorEastAsia" w:hAnsiTheme="minorHAnsi" w:cstheme="minorBidi"/>
          <w:szCs w:val="22"/>
        </w:rPr>
      </w:pPr>
      <w:r>
        <w:t>27F.</w:t>
      </w:r>
      <w:r>
        <w:tab/>
        <w:t>Authorisation of publication of WA race fields by domestic betting operators</w:t>
      </w:r>
      <w:r>
        <w:tab/>
      </w:r>
      <w:r>
        <w:fldChar w:fldCharType="begin"/>
      </w:r>
      <w:r>
        <w:instrText xml:space="preserve"> PAGEREF _Toc106096474 \h </w:instrText>
      </w:r>
      <w:r>
        <w:fldChar w:fldCharType="separate"/>
      </w:r>
      <w:r>
        <w:t>108</w:t>
      </w:r>
      <w:r>
        <w:fldChar w:fldCharType="end"/>
      </w:r>
    </w:p>
    <w:p>
      <w:pPr>
        <w:pStyle w:val="TOC8"/>
        <w:rPr>
          <w:rFonts w:asciiTheme="minorHAnsi" w:eastAsiaTheme="minorEastAsia" w:hAnsiTheme="minorHAnsi" w:cstheme="minorBidi"/>
          <w:szCs w:val="22"/>
        </w:rPr>
      </w:pPr>
      <w:r>
        <w:t>27G.</w:t>
      </w:r>
      <w:r>
        <w:tab/>
        <w:t>Liability of persons who occupy a position of authority in a body corporate</w:t>
      </w:r>
      <w:r>
        <w:tab/>
      </w:r>
      <w:r>
        <w:fldChar w:fldCharType="begin"/>
      </w:r>
      <w:r>
        <w:instrText xml:space="preserve"> PAGEREF _Toc106096475 \h </w:instrText>
      </w:r>
      <w:r>
        <w:fldChar w:fldCharType="separate"/>
      </w:r>
      <w:r>
        <w:t>110</w:t>
      </w:r>
      <w:r>
        <w:fldChar w:fldCharType="end"/>
      </w:r>
    </w:p>
    <w:p>
      <w:pPr>
        <w:pStyle w:val="TOC8"/>
        <w:rPr>
          <w:rFonts w:asciiTheme="minorHAnsi" w:eastAsiaTheme="minorEastAsia" w:hAnsiTheme="minorHAnsi" w:cstheme="minorBidi"/>
          <w:szCs w:val="22"/>
        </w:rPr>
      </w:pPr>
      <w:r>
        <w:t>27H.</w:t>
      </w:r>
      <w:r>
        <w:tab/>
        <w:t>Liability of natural persons, partners, bodies corporate and officers</w:t>
      </w:r>
      <w:r>
        <w:tab/>
      </w:r>
      <w:r>
        <w:fldChar w:fldCharType="begin"/>
      </w:r>
      <w:r>
        <w:instrText xml:space="preserve"> PAGEREF _Toc106096476 \h </w:instrText>
      </w:r>
      <w:r>
        <w:fldChar w:fldCharType="separate"/>
      </w:r>
      <w:r>
        <w:t>110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Forfeiture of betting material and money in certain cases</w:t>
      </w:r>
      <w:r>
        <w:tab/>
      </w:r>
      <w:r>
        <w:fldChar w:fldCharType="begin"/>
      </w:r>
      <w:r>
        <w:instrText xml:space="preserve"> PAGEREF _Toc106096477 \h </w:instrText>
      </w:r>
      <w:r>
        <w:fldChar w:fldCharType="separate"/>
      </w:r>
      <w:r>
        <w:t>111</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Search warrant</w:t>
      </w:r>
      <w:r>
        <w:tab/>
      </w:r>
      <w:r>
        <w:fldChar w:fldCharType="begin"/>
      </w:r>
      <w:r>
        <w:instrText xml:space="preserve"> PAGEREF _Toc106096478 \h </w:instrText>
      </w:r>
      <w:r>
        <w:fldChar w:fldCharType="separate"/>
      </w:r>
      <w:r>
        <w:t>112</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Prima facie evidence of offence</w:t>
      </w:r>
      <w:r>
        <w:tab/>
      </w:r>
      <w:r>
        <w:fldChar w:fldCharType="begin"/>
      </w:r>
      <w:r>
        <w:instrText xml:space="preserve"> PAGEREF _Toc106096479 \h </w:instrText>
      </w:r>
      <w:r>
        <w:fldChar w:fldCharType="separate"/>
      </w:r>
      <w:r>
        <w:t>113</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Offences in respect of conducting betting agencies</w:t>
      </w:r>
      <w:r>
        <w:tab/>
      </w:r>
      <w:r>
        <w:fldChar w:fldCharType="begin"/>
      </w:r>
      <w:r>
        <w:instrText xml:space="preserve"> PAGEREF _Toc106096480 \h </w:instrText>
      </w:r>
      <w:r>
        <w:fldChar w:fldCharType="separate"/>
      </w:r>
      <w:r>
        <w:t>114</w:t>
      </w:r>
      <w:r>
        <w:fldChar w:fldCharType="end"/>
      </w:r>
    </w:p>
    <w:p>
      <w:pPr>
        <w:pStyle w:val="TOC8"/>
        <w:rPr>
          <w:rFonts w:asciiTheme="minorHAnsi" w:eastAsiaTheme="minorEastAsia" w:hAnsiTheme="minorHAnsi" w:cstheme="minorBidi"/>
          <w:szCs w:val="22"/>
        </w:rPr>
      </w:pPr>
      <w:r>
        <w:t>28D</w:t>
      </w:r>
      <w:r>
        <w:rPr>
          <w:snapToGrid w:val="0"/>
        </w:rPr>
        <w:t>.</w:t>
      </w:r>
      <w:r>
        <w:rPr>
          <w:snapToGrid w:val="0"/>
        </w:rPr>
        <w:tab/>
        <w:t>Penalty for acting as totalisator agent</w:t>
      </w:r>
      <w:r>
        <w:tab/>
      </w:r>
      <w:r>
        <w:fldChar w:fldCharType="begin"/>
      </w:r>
      <w:r>
        <w:instrText xml:space="preserve"> PAGEREF _Toc106096481 \h </w:instrText>
      </w:r>
      <w:r>
        <w:fldChar w:fldCharType="separate"/>
      </w:r>
      <w:r>
        <w:t>115</w:t>
      </w:r>
      <w:r>
        <w:fldChar w:fldCharType="end"/>
      </w:r>
    </w:p>
    <w:p>
      <w:pPr>
        <w:pStyle w:val="TOC8"/>
        <w:rPr>
          <w:rFonts w:asciiTheme="minorHAnsi" w:eastAsiaTheme="minorEastAsia" w:hAnsiTheme="minorHAnsi" w:cstheme="minorBidi"/>
          <w:szCs w:val="22"/>
        </w:rPr>
      </w:pPr>
      <w: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r>
        <w:tab/>
      </w:r>
      <w:r>
        <w:fldChar w:fldCharType="begin"/>
      </w:r>
      <w:r>
        <w:instrText xml:space="preserve"> PAGEREF _Toc106096482 \h </w:instrText>
      </w:r>
      <w:r>
        <w:fldChar w:fldCharType="separate"/>
      </w:r>
      <w:r>
        <w:t>116</w:t>
      </w:r>
      <w:r>
        <w:fldChar w:fldCharType="end"/>
      </w:r>
    </w:p>
    <w:p>
      <w:pPr>
        <w:pStyle w:val="TOC8"/>
        <w:rPr>
          <w:rFonts w:asciiTheme="minorHAnsi" w:eastAsiaTheme="minorEastAsia" w:hAnsiTheme="minorHAnsi" w:cstheme="minorBidi"/>
          <w:szCs w:val="22"/>
        </w:rPr>
      </w:pPr>
      <w:r>
        <w:t>28F</w:t>
      </w:r>
      <w:r>
        <w:rPr>
          <w:snapToGrid w:val="0"/>
        </w:rPr>
        <w:t>.</w:t>
      </w:r>
      <w:r>
        <w:rPr>
          <w:snapToGrid w:val="0"/>
        </w:rPr>
        <w:tab/>
        <w:t>Non</w:t>
      </w:r>
      <w:r>
        <w:rPr>
          <w:snapToGrid w:val="0"/>
        </w:rPr>
        <w:noBreakHyphen/>
        <w:t>application of sections 28D and 28E</w:t>
      </w:r>
      <w:r>
        <w:tab/>
      </w:r>
      <w:r>
        <w:fldChar w:fldCharType="begin"/>
      </w:r>
      <w:r>
        <w:instrText xml:space="preserve"> PAGEREF _Toc106096483 \h </w:instrText>
      </w:r>
      <w:r>
        <w:fldChar w:fldCharType="separate"/>
      </w:r>
      <w:r>
        <w:t>116</w:t>
      </w:r>
      <w:r>
        <w:fldChar w:fldCharType="end"/>
      </w:r>
    </w:p>
    <w:p>
      <w:pPr>
        <w:pStyle w:val="TOC8"/>
        <w:rPr>
          <w:rFonts w:asciiTheme="minorHAnsi" w:eastAsiaTheme="minorEastAsia" w:hAnsiTheme="minorHAnsi" w:cstheme="minorBidi"/>
          <w:szCs w:val="22"/>
        </w:rPr>
      </w:pPr>
      <w:r>
        <w:t>28G</w:t>
      </w:r>
      <w:r>
        <w:rPr>
          <w:snapToGrid w:val="0"/>
        </w:rPr>
        <w:t>.</w:t>
      </w:r>
      <w:r>
        <w:rPr>
          <w:snapToGrid w:val="0"/>
        </w:rPr>
        <w:tab/>
        <w:t>Penalty for accepting bets after closing time</w:t>
      </w:r>
      <w:r>
        <w:tab/>
      </w:r>
      <w:r>
        <w:fldChar w:fldCharType="begin"/>
      </w:r>
      <w:r>
        <w:instrText xml:space="preserve"> PAGEREF _Toc106096484 \h </w:instrText>
      </w:r>
      <w:r>
        <w:fldChar w:fldCharType="separate"/>
      </w:r>
      <w:r>
        <w:t>117</w:t>
      </w:r>
      <w:r>
        <w:fldChar w:fldCharType="end"/>
      </w:r>
    </w:p>
    <w:p>
      <w:pPr>
        <w:pStyle w:val="TOC8"/>
        <w:rPr>
          <w:rFonts w:asciiTheme="minorHAnsi" w:eastAsiaTheme="minorEastAsia" w:hAnsiTheme="minorHAnsi" w:cstheme="minorBidi"/>
          <w:szCs w:val="22"/>
        </w:rPr>
      </w:pPr>
      <w:r>
        <w:t>29.</w:t>
      </w:r>
      <w:r>
        <w:tab/>
        <w:t>Penalty for providing credit</w:t>
      </w:r>
      <w:r>
        <w:tab/>
      </w:r>
      <w:r>
        <w:fldChar w:fldCharType="begin"/>
      </w:r>
      <w:r>
        <w:instrText xml:space="preserve"> PAGEREF _Toc106096485 \h </w:instrText>
      </w:r>
      <w:r>
        <w:fldChar w:fldCharType="separate"/>
      </w:r>
      <w:r>
        <w:t>118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_Toc106096486 \h </w:instrText>
      </w:r>
      <w:r>
        <w:fldChar w:fldCharType="separate"/>
      </w:r>
      <w:r>
        <w:t>118</w:t>
      </w:r>
      <w:r>
        <w:fldChar w:fldCharType="end"/>
      </w:r>
    </w:p>
    <w:p>
      <w:pPr>
        <w:pStyle w:val="TOC8"/>
        <w:rPr>
          <w:rFonts w:asciiTheme="minorHAnsi" w:eastAsiaTheme="minorEastAsia" w:hAnsiTheme="minorHAnsi" w:cstheme="minorBidi"/>
          <w:szCs w:val="22"/>
        </w:rPr>
      </w:pPr>
      <w:r>
        <w:lastRenderedPageBreak/>
        <w:t>30A.</w:t>
      </w:r>
      <w:r>
        <w:tab/>
      </w:r>
      <w:r>
        <w:rPr>
          <w:snapToGrid w:val="0"/>
        </w:rPr>
        <w:t>Offences to be dealt with by magistrate</w:t>
      </w:r>
      <w:r>
        <w:tab/>
      </w:r>
      <w:r>
        <w:fldChar w:fldCharType="begin"/>
      </w:r>
      <w:r>
        <w:instrText xml:space="preserve"> PAGEREF _Toc106096487 \h </w:instrText>
      </w:r>
      <w:r>
        <w:fldChar w:fldCharType="separate"/>
      </w:r>
      <w:r>
        <w:t>119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Conduct of betting</w:t>
      </w:r>
      <w:r>
        <w:tab/>
      </w:r>
      <w:r>
        <w:fldChar w:fldCharType="begin"/>
      </w:r>
      <w:r>
        <w:instrText xml:space="preserve"> PAGEREF _Toc106096488 \h </w:instrText>
      </w:r>
      <w:r>
        <w:fldChar w:fldCharType="separate"/>
      </w:r>
      <w:r>
        <w:t>119</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Evidence</w:t>
      </w:r>
      <w:r>
        <w:tab/>
      </w:r>
      <w:r>
        <w:fldChar w:fldCharType="begin"/>
      </w:r>
      <w:r>
        <w:instrText xml:space="preserve"> PAGEREF _Toc106096489 \h </w:instrText>
      </w:r>
      <w:r>
        <w:fldChar w:fldCharType="separate"/>
      </w:r>
      <w:r>
        <w:t>121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Disputes as to bets with bookmakers</w:t>
      </w:r>
      <w:r>
        <w:tab/>
      </w:r>
      <w:r>
        <w:fldChar w:fldCharType="begin"/>
      </w:r>
      <w:r>
        <w:instrText xml:space="preserve"> PAGEREF _Toc106096490 \h </w:instrText>
      </w:r>
      <w:r>
        <w:fldChar w:fldCharType="separate"/>
      </w:r>
      <w:r>
        <w:t>123</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Disciplinary powers for licensees other than wagering licensee</w:t>
      </w:r>
      <w:r>
        <w:tab/>
      </w:r>
      <w:r>
        <w:fldChar w:fldCharType="begin"/>
      </w:r>
      <w:r>
        <w:instrText xml:space="preserve"> PAGEREF _Toc106096491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Miscellaneous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_Toc106096493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Schedule 3 — Requirements for licensing of a body corporate and continuation of the licence of a body corporate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_Toc106096496 \h </w:instrText>
      </w:r>
      <w:r>
        <w:fldChar w:fldCharType="separate"/>
      </w:r>
      <w:r>
        <w:t>133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_Toc106096497 \h </w:instrText>
      </w:r>
      <w:r>
        <w:fldChar w:fldCharType="separate"/>
      </w:r>
      <w:r>
        <w:t>138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_Toc106096498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Betting Control Act 1954 </w:t>
      </w:r>
    </w:p>
    <w:p>
      <w:pPr>
        <w:pStyle w:val="LongTitle"/>
      </w:pPr>
      <w:r>
        <w:t xml:space="preserve">An Act — </w:t>
      </w:r>
    </w:p>
    <w:p>
      <w:pPr>
        <w:pStyle w:val="LongTitle"/>
        <w:suppressLineNumbers/>
        <w:tabs>
          <w:tab w:val="left" w:pos="426"/>
        </w:tabs>
        <w:ind w:left="426" w:hanging="426"/>
      </w:pPr>
      <w:r>
        <w:t>•</w:t>
      </w:r>
      <w:r>
        <w:tab/>
        <w:t>to authorise, regulate and control the use of totalisators and betting with a wagering licensee; and</w:t>
      </w:r>
    </w:p>
    <w:p>
      <w:pPr>
        <w:pStyle w:val="LongTitle"/>
        <w:suppressLineNumbers/>
        <w:tabs>
          <w:tab w:val="left" w:pos="426"/>
        </w:tabs>
        <w:ind w:left="426" w:hanging="426"/>
      </w:pPr>
      <w:r>
        <w:t>•</w:t>
      </w:r>
      <w:r>
        <w:tab/>
        <w:t>to authorise, regulate and control, betting and bookmaking on races, events and contingencies relating to races and events; and</w:t>
      </w:r>
    </w:p>
    <w:p>
      <w:pPr>
        <w:pStyle w:val="LongTitle"/>
        <w:suppressLineNumbers/>
        <w:tabs>
          <w:tab w:val="left" w:pos="426"/>
        </w:tabs>
        <w:ind w:left="426" w:hanging="426"/>
      </w:pPr>
      <w:r>
        <w:t>•</w:t>
      </w:r>
      <w:r>
        <w:tab/>
      </w:r>
      <w:r>
        <w:rPr>
          <w:snapToGrid w:val="0"/>
        </w:rPr>
        <w:t>for</w:t>
      </w:r>
      <w:r>
        <w:t xml:space="preserve"> related purposes.</w:t>
      </w:r>
    </w:p>
    <w:p>
      <w:pPr>
        <w:pStyle w:val="Footnotelongtitle"/>
      </w:pPr>
      <w:r>
        <w:tab/>
        <w:t xml:space="preserve">[Long title amended: No. 49 of 1960 s. 3; No. 77 of 1976 s. 3; No. 63 of 1995 s. 42; No. 35 of 2003 s. 75; No. 70 of 2006 s. 4; No. 29 of 2009 s. 4; No. 37 of 2018 s. 49; No. 21 of 2019 s. 39.] </w:t>
      </w:r>
    </w:p>
    <w:p>
      <w:pPr>
        <w:pStyle w:val="Heading2"/>
      </w:pPr>
      <w:bookmarkStart w:id="3" w:name="_Toc106004619"/>
      <w:bookmarkStart w:id="4" w:name="_Toc106004741"/>
      <w:bookmarkStart w:id="5" w:name="_Toc106096378"/>
      <w:r>
        <w:rPr>
          <w:rStyle w:val="CharPartNo"/>
        </w:rPr>
        <w:lastRenderedPageBreak/>
        <w:t>Part 1</w:t>
      </w:r>
      <w:r>
        <w:rPr>
          <w:b w:val="0"/>
        </w:rPr>
        <w:t> </w:t>
      </w:r>
      <w:r>
        <w:t>—</w:t>
      </w:r>
      <w:r>
        <w:rPr>
          <w:b w:val="0"/>
        </w:rPr>
        <w:t> </w:t>
      </w:r>
      <w:r>
        <w:rPr>
          <w:rStyle w:val="CharPartText"/>
        </w:rPr>
        <w:t>Preliminary</w:t>
      </w:r>
      <w:bookmarkEnd w:id="3"/>
      <w:bookmarkEnd w:id="4"/>
      <w:bookmarkEnd w:id="5"/>
    </w:p>
    <w:p>
      <w:pPr>
        <w:pStyle w:val="Footnoteheading"/>
        <w:tabs>
          <w:tab w:val="left" w:pos="851"/>
        </w:tabs>
      </w:pPr>
      <w:r>
        <w:tab/>
        <w:t>[Heading inserted: No. 35 of 2003 s. 101(1).]</w:t>
      </w:r>
    </w:p>
    <w:p>
      <w:pPr>
        <w:pStyle w:val="Heading5"/>
        <w:spacing w:before="180"/>
        <w:rPr>
          <w:snapToGrid w:val="0"/>
        </w:rPr>
      </w:pPr>
      <w:bookmarkStart w:id="6" w:name="_Toc106096379"/>
      <w:r>
        <w:rPr>
          <w:rStyle w:val="CharSectno"/>
        </w:rPr>
        <w:t>1</w:t>
      </w:r>
      <w:r>
        <w:rPr>
          <w:snapToGrid w:val="0"/>
        </w:rPr>
        <w:t>.</w:t>
      </w:r>
      <w:r>
        <w:rPr>
          <w:snapToGrid w:val="0"/>
        </w:rPr>
        <w:tab/>
        <w:t>Short title</w:t>
      </w:r>
      <w:bookmarkEnd w:id="6"/>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w:t>
      </w:r>
    </w:p>
    <w:p>
      <w:pPr>
        <w:pStyle w:val="Heading5"/>
        <w:spacing w:before="180"/>
        <w:rPr>
          <w:snapToGrid w:val="0"/>
        </w:rPr>
      </w:pPr>
      <w:bookmarkStart w:id="7" w:name="_Toc10609638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8" w:name="_Toc106096381"/>
      <w:r>
        <w:rPr>
          <w:rStyle w:val="CharSectno"/>
        </w:rPr>
        <w:t>4</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tab/>
      </w:r>
      <w:r>
        <w:rPr>
          <w:rStyle w:val="CharDefText"/>
        </w:rPr>
        <w:t>arrangement</w:t>
      </w:r>
      <w:r>
        <w:t xml:space="preserve"> includes a contract, agreement and understanding;</w:t>
      </w:r>
    </w:p>
    <w:p>
      <w:pPr>
        <w:pStyle w:val="Defstart"/>
      </w:pPr>
      <w:r>
        <w:tab/>
      </w:r>
      <w:r>
        <w:rPr>
          <w:rStyle w:val="CharDefText"/>
        </w:rPr>
        <w:t>associate</w:t>
      </w:r>
      <w:r>
        <w:t>, of a wagering licensee, has the meaning given in section 7(2);</w:t>
      </w:r>
    </w:p>
    <w:p>
      <w:pPr>
        <w:pStyle w:val="Defstart"/>
      </w:pPr>
      <w:r>
        <w:rPr>
          <w:b/>
        </w:rPr>
        <w:tab/>
      </w:r>
      <w:r>
        <w:rPr>
          <w:rStyle w:val="CharDefText"/>
        </w:rPr>
        <w:t>approved area</w:t>
      </w:r>
      <w:r>
        <w:t>, in relation to racecourse,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tab/>
      </w:r>
      <w:r>
        <w:rPr>
          <w:rStyle w:val="CharDefText"/>
        </w:rPr>
        <w:t>betting agency</w:t>
      </w:r>
      <w:r>
        <w:t xml:space="preserve"> means an agency established by a wagering licensee under section 10U;</w:t>
      </w:r>
    </w:p>
    <w:p>
      <w:pPr>
        <w:pStyle w:val="Defstart"/>
      </w:pPr>
      <w:r>
        <w:rPr>
          <w:b/>
        </w:rPr>
        <w:tab/>
      </w:r>
      <w:r>
        <w:rPr>
          <w:rStyle w:val="CharDefText"/>
        </w:rPr>
        <w:t>betting exchange</w:t>
      </w:r>
      <w:r>
        <w:t xml:space="preserve"> has the meaning given in section 4AA;</w:t>
      </w:r>
    </w:p>
    <w:p>
      <w:pPr>
        <w:pStyle w:val="Defstart"/>
        <w:keepNext/>
      </w:pPr>
      <w:r>
        <w:rPr>
          <w:b/>
        </w:rPr>
        <w:lastRenderedPageBreak/>
        <w:tab/>
      </w:r>
      <w:r>
        <w:rPr>
          <w:rStyle w:val="CharDefText"/>
        </w:rPr>
        <w:t>betting material</w:t>
      </w:r>
      <w:r>
        <w:t xml:space="preserve"> includes — </w:t>
      </w:r>
    </w:p>
    <w:p>
      <w:pPr>
        <w:pStyle w:val="Defpara"/>
      </w:pPr>
      <w:r>
        <w:tab/>
        <w:t>(a)</w:t>
      </w:r>
      <w:r>
        <w:tab/>
        <w:t>any list, card, board, racebook, ticket, voucher or other record of any race or other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definition of </w:t>
      </w:r>
      <w:r>
        <w:rPr>
          <w:rStyle w:val="CharDefText"/>
        </w:rPr>
        <w:t>to bet</w:t>
      </w:r>
      <w:r>
        <w:t>;</w:t>
      </w:r>
    </w:p>
    <w:p>
      <w:pPr>
        <w:pStyle w:val="Defstart"/>
      </w:pPr>
      <w:r>
        <w:rPr>
          <w:b/>
        </w:rPr>
        <w:tab/>
      </w:r>
      <w:r>
        <w:rPr>
          <w:rStyle w:val="CharDefText"/>
        </w:rPr>
        <w:t>consumer protection policy</w:t>
      </w:r>
      <w:r>
        <w:t xml:space="preserve"> has the meaning given in section 10I;</w:t>
      </w:r>
    </w:p>
    <w:p>
      <w:pPr>
        <w:pStyle w:val="Defstart"/>
      </w:pPr>
      <w:r>
        <w:tab/>
      </w:r>
      <w:r>
        <w:rPr>
          <w:rStyle w:val="CharDefText"/>
        </w:rPr>
        <w:t>contingency</w:t>
      </w:r>
      <w:r>
        <w:t xml:space="preserve"> means a contingency relating to an event;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lastRenderedPageBreak/>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in relation to a bookmaker,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event</w:t>
      </w:r>
      <w:r>
        <w:t xml:space="preserve"> means a race or other event, whether or not of a sporting nature;</w:t>
      </w:r>
    </w:p>
    <w:p>
      <w:pPr>
        <w:pStyle w:val="Defstart"/>
      </w:pPr>
      <w:r>
        <w:tab/>
      </w:r>
      <w:r>
        <w:rPr>
          <w:rStyle w:val="CharDefText"/>
        </w:rPr>
        <w:t>fixed odds bet</w:t>
      </w:r>
      <w:r>
        <w:t xml:space="preserve"> means a bet where a fixed amount that will be won if the bet is successful is determined before the bet is accepted;</w:t>
      </w:r>
    </w:p>
    <w:p>
      <w:pPr>
        <w:pStyle w:val="Defstart"/>
      </w:pPr>
      <w:r>
        <w:tab/>
      </w:r>
      <w:r>
        <w:rPr>
          <w:rStyle w:val="CharDefText"/>
        </w:rPr>
        <w:t>good repute</w:t>
      </w:r>
      <w:r>
        <w:t>, in relation to an associate of a wagering licensee, means good repute of the associate as determined under section 9(1);</w:t>
      </w:r>
    </w:p>
    <w:p>
      <w:pPr>
        <w:pStyle w:val="Defstart"/>
      </w:pPr>
      <w:r>
        <w:tab/>
      </w:r>
      <w:r>
        <w:rPr>
          <w:rStyle w:val="CharDefText"/>
        </w:rPr>
        <w:t>key employee</w:t>
      </w:r>
      <w:r>
        <w:t>, of a wagering licensee, has the meaning given in section 8(1);</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has the meaning given in the </w:t>
      </w:r>
      <w:r>
        <w:rPr>
          <w:i/>
        </w:rPr>
        <w:t>Gaming and Wagering Commission Act 1987</w:t>
      </w:r>
      <w:r>
        <w:t xml:space="preserve"> section 3(1);</w:t>
      </w:r>
    </w:p>
    <w:p>
      <w:pPr>
        <w:pStyle w:val="Defstart"/>
      </w:pPr>
      <w:r>
        <w:rPr>
          <w:sz w:val="22"/>
        </w:rPr>
        <w:lastRenderedPageBreak/>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tab/>
      </w:r>
      <w:r>
        <w:rPr>
          <w:rStyle w:val="CharDefText"/>
        </w:rPr>
        <w:t>position of authority</w:t>
      </w:r>
      <w:r>
        <w:t>, occupied in a body corporate, has the meaning given in subsection (3);</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tab/>
      </w:r>
      <w:r>
        <w:rPr>
          <w:rStyle w:val="CharDefText"/>
        </w:rPr>
        <w:t>prescribed</w:t>
      </w:r>
      <w:r>
        <w:t xml:space="preserve"> means prescribed in regulations;</w:t>
      </w:r>
    </w:p>
    <w:p>
      <w:pPr>
        <w:pStyle w:val="Defstart"/>
      </w:pPr>
      <w:r>
        <w:tab/>
      </w:r>
      <w:r>
        <w:rPr>
          <w:rStyle w:val="CharDefText"/>
        </w:rPr>
        <w:t>prohibited event or contingency</w:t>
      </w:r>
      <w:r>
        <w:t xml:space="preserve"> means an event or contingency, or an event or contingency of a class, prescribed for the purposes of this definition;</w:t>
      </w:r>
    </w:p>
    <w:p>
      <w:pPr>
        <w:pStyle w:val="Defstart"/>
      </w:pPr>
      <w:r>
        <w:tab/>
      </w:r>
      <w:r>
        <w:rPr>
          <w:rStyle w:val="CharDefText"/>
        </w:rPr>
        <w:t>public interest</w:t>
      </w:r>
      <w:r>
        <w:t>, in relation to a wagering licence, has a meaning affected by section 9(2);</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keepNext/>
      </w:pPr>
      <w:r>
        <w:rPr>
          <w:b/>
        </w:rPr>
        <w:lastRenderedPageBreak/>
        <w:tab/>
      </w:r>
      <w:r>
        <w:rPr>
          <w:rStyle w:val="CharDefText"/>
        </w:rPr>
        <w:t>racecourse</w:t>
      </w:r>
      <w:r>
        <w:t xml:space="preserve"> means a racecourse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racing industry arrangement</w:t>
      </w:r>
      <w:r>
        <w:t xml:space="preserve"> has the meaning given in section 10H(1);</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simulated race</w:t>
      </w:r>
      <w:r>
        <w:t xml:space="preserve"> means a game —</w:t>
      </w:r>
    </w:p>
    <w:p>
      <w:pPr>
        <w:pStyle w:val="Defpara"/>
      </w:pPr>
      <w:r>
        <w:tab/>
        <w:t>(a)</w:t>
      </w:r>
      <w:r>
        <w:tab/>
        <w:t>that consists of animated images of a thoroughbred race, harness race or greyhound race; and</w:t>
      </w:r>
    </w:p>
    <w:p>
      <w:pPr>
        <w:pStyle w:val="Defpara"/>
      </w:pPr>
      <w:r>
        <w:tab/>
        <w:t>(b)</w:t>
      </w:r>
      <w:r>
        <w:tab/>
        <w:t>the outcome of which is only determined by a random number generator that draws a set of numbers from a larger set of numbers;</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lastRenderedPageBreak/>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an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Defstart"/>
      </w:pPr>
      <w:r>
        <w:tab/>
      </w:r>
      <w:r>
        <w:rPr>
          <w:rStyle w:val="CharDefText"/>
        </w:rPr>
        <w:t>wagering business</w:t>
      </w:r>
      <w:r>
        <w:t xml:space="preserve"> means the business of a wagering licensee conducted under a wagering licence;</w:t>
      </w:r>
    </w:p>
    <w:p>
      <w:pPr>
        <w:pStyle w:val="Defstart"/>
      </w:pPr>
      <w:r>
        <w:tab/>
      </w:r>
      <w:r>
        <w:rPr>
          <w:rStyle w:val="CharDefText"/>
        </w:rPr>
        <w:t>wagering licence</w:t>
      </w:r>
      <w:r>
        <w:t xml:space="preserve"> has the meaning given in section 6(1);</w:t>
      </w:r>
    </w:p>
    <w:p>
      <w:pPr>
        <w:pStyle w:val="Defstart"/>
      </w:pPr>
      <w:r>
        <w:tab/>
      </w:r>
      <w:r>
        <w:rPr>
          <w:rStyle w:val="CharDefText"/>
        </w:rPr>
        <w:t>wagering licence agreement</w:t>
      </w:r>
      <w:r>
        <w:t xml:space="preserve"> has the meaning given in section 10Q(1);</w:t>
      </w:r>
    </w:p>
    <w:p>
      <w:pPr>
        <w:pStyle w:val="Defstart"/>
      </w:pPr>
      <w:r>
        <w:tab/>
      </w:r>
      <w:r>
        <w:rPr>
          <w:rStyle w:val="CharDefText"/>
        </w:rPr>
        <w:t>wagering licensee</w:t>
      </w:r>
      <w:r>
        <w:t xml:space="preserve"> has the meaning given in section 6(1);</w:t>
      </w:r>
    </w:p>
    <w:p>
      <w:pPr>
        <w:pStyle w:val="Subsection"/>
        <w:keepNext/>
        <w:keepLines/>
      </w:pPr>
      <w:r>
        <w:lastRenderedPageBreak/>
        <w:tab/>
        <w:t>(1a)</w:t>
      </w:r>
      <w:r>
        <w:tab/>
        <w:t xml:space="preserve">The Commission may by notice published in the </w:t>
      </w:r>
      <w:r>
        <w:rPr>
          <w:i/>
        </w:rPr>
        <w:t>Gazette</w:t>
      </w:r>
      <w:r>
        <w:t> — </w:t>
      </w:r>
    </w:p>
    <w:p>
      <w:pPr>
        <w:pStyle w:val="Indenta"/>
        <w:keepNext/>
        <w:keepLines/>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 xml:space="preserve">For the purposes of this Act, a person occupies a </w:t>
      </w:r>
      <w:r>
        <w:rPr>
          <w:b/>
          <w:i/>
        </w:rPr>
        <w:t>position of authority</w:t>
      </w:r>
      <w:r>
        <w:t xml:space="preserve">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No. 37 of 2018 s. 50; No. 41 of 2018 s. 4; No. 21 of 2019 s. 40 and 80.] </w:t>
      </w:r>
    </w:p>
    <w:p>
      <w:pPr>
        <w:pStyle w:val="Heading5"/>
      </w:pPr>
      <w:bookmarkStart w:id="9" w:name="_Toc106096382"/>
      <w:r>
        <w:rPr>
          <w:rStyle w:val="CharSectno"/>
        </w:rPr>
        <w:lastRenderedPageBreak/>
        <w:t>4AA</w:t>
      </w:r>
      <w:r>
        <w:t>.</w:t>
      </w:r>
      <w:r>
        <w:tab/>
        <w:t>Term used: betting exchange</w:t>
      </w:r>
      <w:bookmarkEnd w:id="9"/>
    </w:p>
    <w:p>
      <w:pPr>
        <w:pStyle w:val="Subsection"/>
        <w:keepNext/>
        <w:keepLines/>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10" w:name="_Toc106096383"/>
      <w:r>
        <w:rPr>
          <w:rStyle w:val="CharSectno"/>
        </w:rPr>
        <w:t>4A</w:t>
      </w:r>
      <w:r>
        <w:t>.</w:t>
      </w:r>
      <w:r>
        <w:tab/>
        <w:t>Application of this Act to certain sporting events other than races</w:t>
      </w:r>
      <w:bookmarkEnd w:id="10"/>
    </w:p>
    <w:p>
      <w:pPr>
        <w:pStyle w:val="Subsection"/>
        <w:spacing w:before="120"/>
      </w:pPr>
      <w:r>
        <w:tab/>
        <w:t>(1)</w:t>
      </w:r>
      <w:r>
        <w:tab/>
        <w:t>This Act applies to the conduct of betting by the holder of a bookmaker’s licence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lastRenderedPageBreak/>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for this subsection: a fine of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 No. 41 of 2018 s. 15(1); No. 21 of 2019 s. 42 and 80.]</w:t>
      </w:r>
    </w:p>
    <w:p>
      <w:pPr>
        <w:pStyle w:val="Heading5"/>
        <w:spacing w:before="180"/>
        <w:rPr>
          <w:snapToGrid w:val="0"/>
        </w:rPr>
      </w:pPr>
      <w:bookmarkStart w:id="11" w:name="_Toc106096384"/>
      <w:r>
        <w:rPr>
          <w:rStyle w:val="CharSectno"/>
        </w:rPr>
        <w:lastRenderedPageBreak/>
        <w:t>4B</w:t>
      </w:r>
      <w:r>
        <w:rPr>
          <w:snapToGrid w:val="0"/>
        </w:rPr>
        <w:t>.</w:t>
      </w:r>
      <w:r>
        <w:rPr>
          <w:snapToGrid w:val="0"/>
        </w:rPr>
        <w:tab/>
        <w:t>Application of this Act to events</w:t>
      </w:r>
      <w:bookmarkEnd w:id="11"/>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r>
        <w:t>an</w:t>
      </w:r>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 xml:space="preserve">The Commission may approve bookmaking on or in relation to an event or a contingency, except a prohibited event or contingency. </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r>
        <w:t xml:space="preserve">events other than races </w:t>
      </w:r>
      <w:r>
        <w:rPr>
          <w:snapToGrid w:val="0"/>
        </w:rPr>
        <w:t>as in relation to a race.</w:t>
      </w:r>
    </w:p>
    <w:p>
      <w:pPr>
        <w:pStyle w:val="Footnotesection"/>
      </w:pPr>
      <w:r>
        <w:tab/>
        <w:t xml:space="preserve">[Section 4B inserted: No. 11 of 1992 s. 28; amended: No. 63 of 1995 s. 44; No. 17 of 1998 s. 6; No. 35 of 2003 s. 102; No. 41 of 2018 s. 5.] </w:t>
      </w:r>
    </w:p>
    <w:p>
      <w:pPr>
        <w:pStyle w:val="Heading5"/>
        <w:spacing w:before="180"/>
        <w:rPr>
          <w:snapToGrid w:val="0"/>
        </w:rPr>
      </w:pPr>
      <w:bookmarkStart w:id="12" w:name="_Toc106096385"/>
      <w:r>
        <w:rPr>
          <w:rStyle w:val="CharSectno"/>
        </w:rPr>
        <w:lastRenderedPageBreak/>
        <w:t>5</w:t>
      </w:r>
      <w:r>
        <w:rPr>
          <w:snapToGrid w:val="0"/>
        </w:rPr>
        <w:t>.</w:t>
      </w:r>
      <w:r>
        <w:rPr>
          <w:snapToGrid w:val="0"/>
        </w:rPr>
        <w:tab/>
        <w:t>Legalisation of betting</w:t>
      </w:r>
      <w:bookmarkEnd w:id="12"/>
      <w:r>
        <w:rPr>
          <w:snapToGrid w:val="0"/>
        </w:rPr>
        <w:t xml:space="preserve"> </w:t>
      </w:r>
    </w:p>
    <w:p>
      <w:pPr>
        <w:pStyle w:val="Subsection"/>
        <w:keepNext/>
        <w:keepLines/>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keepNext/>
        <w:keepLines/>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r>
        <w:t>an</w:t>
      </w:r>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lastRenderedPageBreak/>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No. 41 of 2018 s. 6.] </w:t>
      </w:r>
    </w:p>
    <w:p>
      <w:pPr>
        <w:pStyle w:val="Heading5"/>
      </w:pPr>
      <w:bookmarkStart w:id="13" w:name="_Toc106096386"/>
      <w:r>
        <w:rPr>
          <w:rStyle w:val="CharSectno"/>
        </w:rPr>
        <w:t>5A</w:t>
      </w:r>
      <w:r>
        <w:t>.</w:t>
      </w:r>
      <w:r>
        <w:tab/>
        <w:t>Communication and broadcasting of information</w:t>
      </w:r>
      <w:bookmarkEnd w:id="13"/>
    </w:p>
    <w:p>
      <w:pPr>
        <w:pStyle w:val="Subsection"/>
      </w:pPr>
      <w:r>
        <w:tab/>
      </w:r>
      <w:r>
        <w:tab/>
        <w:t xml:space="preserve">Despite the provisions of any other Act it is lawful — </w:t>
      </w:r>
    </w:p>
    <w:p>
      <w:pPr>
        <w:pStyle w:val="Indenta"/>
      </w:pPr>
      <w:r>
        <w:tab/>
        <w:t>(a)</w:t>
      </w:r>
      <w:r>
        <w:tab/>
        <w:t>to communicate information from a race course or a venue at which an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event on which the bets have been made through or with RWWA, after those dividends have been declared on the totalisator or by RWWA.</w:t>
      </w:r>
    </w:p>
    <w:p>
      <w:pPr>
        <w:pStyle w:val="Footnotesection"/>
      </w:pPr>
      <w:r>
        <w:tab/>
        <w:t>[Section 5A inserted: No. 35 of 2003 s. 78; amended: No. 41 of 2018 s. 7.]</w:t>
      </w:r>
    </w:p>
    <w:p>
      <w:pPr>
        <w:pStyle w:val="Heading5"/>
      </w:pPr>
      <w:bookmarkStart w:id="14" w:name="_Toc106096387"/>
      <w:r>
        <w:rPr>
          <w:rStyle w:val="CharSectno"/>
        </w:rPr>
        <w:lastRenderedPageBreak/>
        <w:t>5C</w:t>
      </w:r>
      <w:r>
        <w:t>.</w:t>
      </w:r>
      <w:r>
        <w:tab/>
        <w:t>Betting on simulated races</w:t>
      </w:r>
      <w:bookmarkEnd w:id="14"/>
    </w:p>
    <w:p>
      <w:pPr>
        <w:pStyle w:val="Subsection"/>
      </w:pPr>
      <w:r>
        <w:tab/>
      </w:r>
      <w:r>
        <w:tab/>
        <w:t>This Act authorises betting on a simulated race only if the betting is conducted by a wagering licensee in accordance with the licensee’s wagering licence.</w:t>
      </w:r>
    </w:p>
    <w:p>
      <w:pPr>
        <w:pStyle w:val="Footnotesection"/>
      </w:pPr>
      <w:r>
        <w:tab/>
        <w:t>[Section 5C inserted: No. 21 of 2019 s. 46.]</w:t>
      </w:r>
    </w:p>
    <w:p>
      <w:pPr>
        <w:pStyle w:val="Ednotesection"/>
        <w:ind w:left="890" w:hanging="890"/>
      </w:pPr>
      <w:r>
        <w:t>[</w:t>
      </w:r>
      <w:r>
        <w:rPr>
          <w:b/>
        </w:rPr>
        <w:t>6A</w:t>
      </w:r>
      <w:r>
        <w:rPr>
          <w:b/>
        </w:rPr>
        <w:noBreakHyphen/>
        <w:t>6G.</w:t>
      </w:r>
      <w:r>
        <w:t xml:space="preserve">   Deleted: No. 35 of 2003 s. 79.]</w:t>
      </w:r>
    </w:p>
    <w:p>
      <w:pPr>
        <w:pStyle w:val="Heading2"/>
      </w:pPr>
      <w:bookmarkStart w:id="15" w:name="_Toc106004629"/>
      <w:bookmarkStart w:id="16" w:name="_Toc106004751"/>
      <w:bookmarkStart w:id="17" w:name="_Toc106096388"/>
      <w:r>
        <w:rPr>
          <w:rStyle w:val="CharPartNo"/>
        </w:rPr>
        <w:lastRenderedPageBreak/>
        <w:t>Part 1A</w:t>
      </w:r>
      <w:r>
        <w:t> — </w:t>
      </w:r>
      <w:r>
        <w:rPr>
          <w:rStyle w:val="CharPartText"/>
        </w:rPr>
        <w:t>Wagering licences</w:t>
      </w:r>
      <w:bookmarkEnd w:id="15"/>
      <w:bookmarkEnd w:id="16"/>
      <w:bookmarkEnd w:id="17"/>
    </w:p>
    <w:p>
      <w:pPr>
        <w:pStyle w:val="Footnoteheading"/>
        <w:rPr>
          <w:iCs/>
        </w:rPr>
      </w:pPr>
      <w:r>
        <w:rPr>
          <w:iCs/>
        </w:rPr>
        <w:tab/>
        <w:t xml:space="preserve">[Heading inserted: </w:t>
      </w:r>
      <w:r>
        <w:t>No. 21 of 2009 s. 47</w:t>
      </w:r>
      <w:r>
        <w:rPr>
          <w:iCs/>
        </w:rPr>
        <w:t>.]</w:t>
      </w:r>
    </w:p>
    <w:p>
      <w:pPr>
        <w:pStyle w:val="Heading3"/>
      </w:pPr>
      <w:bookmarkStart w:id="18" w:name="_Toc106004630"/>
      <w:bookmarkStart w:id="19" w:name="_Toc106004752"/>
      <w:bookmarkStart w:id="20" w:name="_Toc106096389"/>
      <w:r>
        <w:rPr>
          <w:rStyle w:val="CharDivNo"/>
        </w:rPr>
        <w:t>Division 1</w:t>
      </w:r>
      <w:r>
        <w:t> — </w:t>
      </w:r>
      <w:r>
        <w:rPr>
          <w:rStyle w:val="CharDivText"/>
        </w:rPr>
        <w:t>General</w:t>
      </w:r>
      <w:bookmarkEnd w:id="18"/>
      <w:bookmarkEnd w:id="19"/>
      <w:bookmarkEnd w:id="20"/>
    </w:p>
    <w:p>
      <w:pPr>
        <w:pStyle w:val="Footnoteheading"/>
        <w:rPr>
          <w:iCs/>
        </w:rPr>
      </w:pPr>
      <w:r>
        <w:rPr>
          <w:iCs/>
        </w:rPr>
        <w:tab/>
        <w:t>[Heading inserted: No. 21 of 2009 s. 47.]</w:t>
      </w:r>
    </w:p>
    <w:p>
      <w:pPr>
        <w:pStyle w:val="Heading5"/>
      </w:pPr>
      <w:bookmarkStart w:id="21" w:name="_Toc106096390"/>
      <w:r>
        <w:rPr>
          <w:rStyle w:val="CharSectno"/>
        </w:rPr>
        <w:t>6</w:t>
      </w:r>
      <w:r>
        <w:t>.</w:t>
      </w:r>
      <w:r>
        <w:tab/>
        <w:t>Wagering licence and wagering licensee</w:t>
      </w:r>
      <w:bookmarkEnd w:id="21"/>
    </w:p>
    <w:p>
      <w:pPr>
        <w:pStyle w:val="Subsection"/>
      </w:pPr>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p>
    <w:p>
      <w:pPr>
        <w:pStyle w:val="Subsection"/>
      </w:pPr>
      <w:r>
        <w:tab/>
        <w:t>(2)</w:t>
      </w:r>
      <w:r>
        <w:tab/>
        <w:t>Except as provided in subsection (3), this Part does not authorise the operation at the same time of more than 1 wagering licence.</w:t>
      </w:r>
    </w:p>
    <w:p>
      <w:pPr>
        <w:pStyle w:val="Subsection"/>
      </w:pPr>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p>
    <w:p>
      <w:pPr>
        <w:pStyle w:val="Indenta"/>
      </w:pPr>
      <w:r>
        <w:tab/>
        <w:t>(a)</w:t>
      </w:r>
      <w:r>
        <w:tab/>
        <w:t>the new licence takes effect after the ending licence has ceased to have effect; and</w:t>
      </w:r>
    </w:p>
    <w:p>
      <w:pPr>
        <w:pStyle w:val="Indenta"/>
      </w:pPr>
      <w:r>
        <w:tab/>
        <w:t>(b)</w:t>
      </w:r>
      <w:r>
        <w:tab/>
        <w:t>preparatory action is required in relation to the new licence under section 10D.</w:t>
      </w:r>
    </w:p>
    <w:p>
      <w:pPr>
        <w:pStyle w:val="Footnotesection"/>
        <w:rPr>
          <w:iCs/>
        </w:rPr>
      </w:pPr>
      <w:r>
        <w:rPr>
          <w:iCs/>
        </w:rPr>
        <w:tab/>
        <w:t xml:space="preserve">[Section 6 inserted: </w:t>
      </w:r>
      <w:r>
        <w:t>No. 21 of 2019 s. 47</w:t>
      </w:r>
      <w:r>
        <w:rPr>
          <w:iCs/>
        </w:rPr>
        <w:t>.]</w:t>
      </w:r>
    </w:p>
    <w:p>
      <w:pPr>
        <w:pStyle w:val="Heading5"/>
      </w:pPr>
      <w:bookmarkStart w:id="22" w:name="_Toc106096391"/>
      <w:r>
        <w:rPr>
          <w:rStyle w:val="CharSectno"/>
        </w:rPr>
        <w:t>7</w:t>
      </w:r>
      <w:r>
        <w:t>.</w:t>
      </w:r>
      <w:r>
        <w:tab/>
        <w:t>Associates</w:t>
      </w:r>
      <w:bookmarkEnd w:id="22"/>
    </w:p>
    <w:p>
      <w:pPr>
        <w:pStyle w:val="Subsection"/>
      </w:pPr>
      <w:r>
        <w:tab/>
        <w:t>(1)</w:t>
      </w:r>
      <w:r>
        <w:tab/>
        <w:t xml:space="preserve">In this section — </w:t>
      </w:r>
    </w:p>
    <w:p>
      <w:pPr>
        <w:pStyle w:val="Defstart"/>
      </w:pPr>
      <w:r>
        <w:tab/>
      </w:r>
      <w:r>
        <w:rPr>
          <w:rStyle w:val="CharDefText"/>
        </w:rPr>
        <w:t>executive officer</w:t>
      </w:r>
      <w:r>
        <w:t>, in relation to a body (whether incorporated or not), means —</w:t>
      </w:r>
    </w:p>
    <w:p>
      <w:pPr>
        <w:pStyle w:val="Defpara"/>
      </w:pPr>
      <w:r>
        <w:tab/>
        <w:t>(a)</w:t>
      </w:r>
      <w:r>
        <w:tab/>
        <w:t>a director, secretary or member of the committee of management of the body (by whatever name called); or</w:t>
      </w:r>
    </w:p>
    <w:p>
      <w:pPr>
        <w:pStyle w:val="Defpara"/>
      </w:pPr>
      <w:r>
        <w:tab/>
        <w:t>(b)</w:t>
      </w:r>
      <w:r>
        <w:tab/>
        <w:t>any other person who is concerned with, or takes part in, the management of the body, whether or not the person’s position is given the name of executive officer;</w:t>
      </w:r>
    </w:p>
    <w:p>
      <w:pPr>
        <w:pStyle w:val="Defstart"/>
      </w:pPr>
      <w:r>
        <w:tab/>
      </w:r>
      <w:r>
        <w:rPr>
          <w:rStyle w:val="CharDefText"/>
        </w:rPr>
        <w:t>relative</w:t>
      </w:r>
      <w:r>
        <w:t>, in relation to an individual, means —</w:t>
      </w:r>
    </w:p>
    <w:p>
      <w:pPr>
        <w:pStyle w:val="Defpara"/>
      </w:pPr>
      <w:r>
        <w:tab/>
        <w:t>(a)</w:t>
      </w:r>
      <w:r>
        <w:tab/>
        <w:t>the spouse or de facto partner of the individual; or</w:t>
      </w:r>
    </w:p>
    <w:p>
      <w:pPr>
        <w:pStyle w:val="Defpara"/>
      </w:pPr>
      <w:r>
        <w:lastRenderedPageBreak/>
        <w:tab/>
        <w:t>(b)</w:t>
      </w:r>
      <w:r>
        <w:tab/>
        <w:t>a parent, son, daughter, brother or sister of the individual; or</w:t>
      </w:r>
    </w:p>
    <w:p>
      <w:pPr>
        <w:pStyle w:val="Defpara"/>
      </w:pPr>
      <w:r>
        <w:tab/>
        <w:t>(c)</w:t>
      </w:r>
      <w:r>
        <w:tab/>
        <w:t>a parent, son, daughter, brother or sister of the spouse or de facto partner of the individual;</w:t>
      </w:r>
    </w:p>
    <w:p>
      <w:pPr>
        <w:pStyle w:val="Defstart"/>
      </w:pPr>
      <w:r>
        <w:tab/>
      </w:r>
      <w:r>
        <w:rPr>
          <w:rStyle w:val="CharDefText"/>
        </w:rPr>
        <w:t>relevant financial interest</w:t>
      </w:r>
      <w:r>
        <w:t>, in relation to a wagering business, means —</w:t>
      </w:r>
    </w:p>
    <w:p>
      <w:pPr>
        <w:pStyle w:val="Defpara"/>
      </w:pPr>
      <w:r>
        <w:tab/>
        <w:t>(a)</w:t>
      </w:r>
      <w:r>
        <w:tab/>
        <w:t>any share, whether held directly or indirectly, in the capital of the business; or</w:t>
      </w:r>
    </w:p>
    <w:p>
      <w:pPr>
        <w:pStyle w:val="Defpara"/>
      </w:pPr>
      <w:r>
        <w:tab/>
        <w:t>(b)</w:t>
      </w:r>
      <w:r>
        <w:tab/>
        <w:t>any entitlement, whether held directly or indirectly, to receive any income derived from the business; or</w:t>
      </w:r>
    </w:p>
    <w:p>
      <w:pPr>
        <w:pStyle w:val="Defpara"/>
      </w:pPr>
      <w:r>
        <w:tab/>
        <w:t>(c)</w:t>
      </w:r>
      <w:r>
        <w:tab/>
        <w:t>any entitlement, whether held directly or indirectly, to receive any payment as a result of money advanced;</w:t>
      </w:r>
    </w:p>
    <w:p>
      <w:pPr>
        <w:pStyle w:val="Defstart"/>
      </w:pPr>
      <w:r>
        <w:tab/>
      </w:r>
      <w:r>
        <w:rPr>
          <w:rStyle w:val="CharDefText"/>
        </w:rPr>
        <w:t>relevant power</w:t>
      </w:r>
      <w:r>
        <w:t xml:space="preserve"> means any power, whether exercisable by voting or otherwise, whether exercisable alone or in association with others and whether held directly or indirectly —</w:t>
      </w:r>
    </w:p>
    <w:p>
      <w:pPr>
        <w:pStyle w:val="Defpara"/>
      </w:pPr>
      <w:r>
        <w:tab/>
        <w:t>(a)</w:t>
      </w:r>
      <w:r>
        <w:tab/>
        <w:t>to participate in any directorial, managerial, or executive decision; or</w:t>
      </w:r>
    </w:p>
    <w:p>
      <w:pPr>
        <w:pStyle w:val="Defpara"/>
      </w:pPr>
      <w:r>
        <w:tab/>
        <w:t>(b)</w:t>
      </w:r>
      <w:r>
        <w:tab/>
        <w:t>to elect or appoint any person as an executive officer.</w:t>
      </w:r>
    </w:p>
    <w:p>
      <w:pPr>
        <w:pStyle w:val="Subsection"/>
      </w:pPr>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p>
    <w:p>
      <w:pPr>
        <w:pStyle w:val="Indenta"/>
      </w:pPr>
      <w:r>
        <w:tab/>
        <w:t>(a)</w:t>
      </w:r>
      <w:r>
        <w:tab/>
        <w:t xml:space="preserve">a person who — </w:t>
      </w:r>
    </w:p>
    <w:p>
      <w:pPr>
        <w:pStyle w:val="Indenti"/>
      </w:pPr>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p>
    <w:p>
      <w:pPr>
        <w:pStyle w:val="Indenti"/>
      </w:pPr>
      <w:r>
        <w:tab/>
        <w:t>(ii)</w:t>
      </w:r>
      <w:r>
        <w:tab/>
        <w:t>by virtue of that interest or power, is able or will be able to exercise a significant influence over or with respect to the management or operation of that business;</w:t>
      </w:r>
    </w:p>
    <w:p>
      <w:pPr>
        <w:pStyle w:val="Indenta"/>
      </w:pPr>
      <w:r>
        <w:lastRenderedPageBreak/>
        <w:tab/>
        <w:t>(b)</w:t>
      </w:r>
      <w:r>
        <w:tab/>
        <w:t xml:space="preserve">a person who is or will be an executive officer, whether in right of the person or on behalf of any other person, of — </w:t>
      </w:r>
    </w:p>
    <w:p>
      <w:pPr>
        <w:pStyle w:val="Indenti"/>
      </w:pPr>
      <w:r>
        <w:tab/>
        <w:t>(i)</w:t>
      </w:r>
      <w:r>
        <w:tab/>
        <w:t>the licensee or applicant; or</w:t>
      </w:r>
    </w:p>
    <w:p>
      <w:pPr>
        <w:pStyle w:val="Indenti"/>
      </w:pPr>
      <w:r>
        <w:tab/>
        <w:t>(ii)</w:t>
      </w:r>
      <w:r>
        <w:tab/>
        <w:t>any other body involved in the wagering business of the licensee or applicant;</w:t>
      </w:r>
    </w:p>
    <w:p>
      <w:pPr>
        <w:pStyle w:val="Indenta"/>
      </w:pPr>
      <w:r>
        <w:tab/>
        <w:t>(c)</w:t>
      </w:r>
      <w:r>
        <w:tab/>
        <w:t>if the licensee or applicant is an individual, a person who is a relative of the licensee or applicant.</w:t>
      </w:r>
    </w:p>
    <w:p>
      <w:pPr>
        <w:pStyle w:val="Footnotesection"/>
        <w:rPr>
          <w:iCs/>
        </w:rPr>
      </w:pPr>
      <w:r>
        <w:rPr>
          <w:iCs/>
        </w:rPr>
        <w:tab/>
        <w:t>[Section 7 inserted: No. 21 of 2019 s. 47.]</w:t>
      </w:r>
    </w:p>
    <w:p>
      <w:pPr>
        <w:pStyle w:val="Heading5"/>
      </w:pPr>
      <w:bookmarkStart w:id="23" w:name="_Toc106096392"/>
      <w:r>
        <w:rPr>
          <w:rStyle w:val="CharSectno"/>
        </w:rPr>
        <w:t>8</w:t>
      </w:r>
      <w:r>
        <w:t>.</w:t>
      </w:r>
      <w:r>
        <w:tab/>
        <w:t>Key employees</w:t>
      </w:r>
      <w:bookmarkEnd w:id="23"/>
    </w:p>
    <w:p>
      <w:pPr>
        <w:pStyle w:val="Subsection"/>
      </w:pPr>
      <w:r>
        <w:tab/>
        <w:t>(1)</w:t>
      </w:r>
      <w:r>
        <w:tab/>
        <w:t xml:space="preserve">In this Part, a </w:t>
      </w:r>
      <w:r>
        <w:rPr>
          <w:rStyle w:val="CharDefText"/>
        </w:rPr>
        <w:t>key employee</w:t>
      </w:r>
      <w:r>
        <w:t xml:space="preserve"> of a wagering licensee is a person who — </w:t>
      </w:r>
    </w:p>
    <w:p>
      <w:pPr>
        <w:pStyle w:val="Indenta"/>
      </w:pPr>
      <w:r>
        <w:tab/>
        <w:t>(a)</w:t>
      </w:r>
      <w:r>
        <w:tab/>
        <w:t>is employed by, or working for the benefit of, the wagering licensee and is empowered to make decisions, involving the exercise of that person’s discretion, that regulate the wagering business of the wagering licensee; or</w:t>
      </w:r>
    </w:p>
    <w:p>
      <w:pPr>
        <w:pStyle w:val="Indenta"/>
      </w:pPr>
      <w:r>
        <w:tab/>
        <w:t>(b)</w:t>
      </w:r>
      <w:r>
        <w:tab/>
        <w:t>because of the person’s influence, remuneration or function, the Commission determines in the public interest should be designated accordingly.</w:t>
      </w:r>
    </w:p>
    <w:p>
      <w:pPr>
        <w:pStyle w:val="Subsection"/>
      </w:pPr>
      <w:r>
        <w:tab/>
        <w:t>(2)</w:t>
      </w:r>
      <w:r>
        <w:tab/>
        <w:t xml:space="preserve">The regulations may — </w:t>
      </w:r>
    </w:p>
    <w:p>
      <w:pPr>
        <w:pStyle w:val="Indenta"/>
      </w:pPr>
      <w:r>
        <w:tab/>
        <w:t>(a)</w:t>
      </w:r>
      <w:r>
        <w:tab/>
        <w:t>require key employees to be persons who are licensed, provisionally or otherwise, by the Commission; and</w:t>
      </w:r>
    </w:p>
    <w:p>
      <w:pPr>
        <w:pStyle w:val="Indenta"/>
      </w:pPr>
      <w:r>
        <w:tab/>
        <w:t>(b)</w:t>
      </w:r>
      <w:r>
        <w:tab/>
        <w:t>make provision as to the licensing of key employees, and the conditions and fees applicable to the licensing; and</w:t>
      </w:r>
    </w:p>
    <w:p>
      <w:pPr>
        <w:pStyle w:val="Indenta"/>
      </w:pPr>
      <w:r>
        <w:tab/>
        <w:t>(c)</w:t>
      </w:r>
      <w:r>
        <w:tab/>
        <w:t xml:space="preserve">make provision for the disciplinary action that the Commission may take in relation to a key employee including the following — </w:t>
      </w:r>
    </w:p>
    <w:p>
      <w:pPr>
        <w:pStyle w:val="Indenti"/>
      </w:pPr>
      <w:r>
        <w:tab/>
        <w:t>(i)</w:t>
      </w:r>
      <w:r>
        <w:tab/>
        <w:t>the service of a letter of censure on the employee;</w:t>
      </w:r>
    </w:p>
    <w:p>
      <w:pPr>
        <w:pStyle w:val="Indenti"/>
      </w:pPr>
      <w:r>
        <w:lastRenderedPageBreak/>
        <w:tab/>
        <w:t>(ii)</w:t>
      </w:r>
      <w:r>
        <w:tab/>
        <w:t>the imposition on the employee of a fine not exceeding $1 000;</w:t>
      </w:r>
    </w:p>
    <w:p>
      <w:pPr>
        <w:pStyle w:val="Indenti"/>
      </w:pPr>
      <w:r>
        <w:tab/>
        <w:t>(iii)</w:t>
      </w:r>
      <w:r>
        <w:tab/>
        <w:t>the cancellation or suspension of the licence held by the employee.</w:t>
      </w:r>
    </w:p>
    <w:p>
      <w:pPr>
        <w:pStyle w:val="Footnotesection"/>
        <w:rPr>
          <w:iCs/>
        </w:rPr>
      </w:pPr>
      <w:r>
        <w:rPr>
          <w:iCs/>
        </w:rPr>
        <w:tab/>
        <w:t>[Section 8 inserted: No. 21 of 2019 s. 47.]</w:t>
      </w:r>
    </w:p>
    <w:p>
      <w:pPr>
        <w:pStyle w:val="Heading5"/>
      </w:pPr>
      <w:bookmarkStart w:id="24" w:name="_Toc106096393"/>
      <w:r>
        <w:rPr>
          <w:rStyle w:val="CharSectno"/>
        </w:rPr>
        <w:t>9</w:t>
      </w:r>
      <w:r>
        <w:t>.</w:t>
      </w:r>
      <w:r>
        <w:tab/>
        <w:t>Determinations of good repute and public interest</w:t>
      </w:r>
      <w:bookmarkEnd w:id="24"/>
    </w:p>
    <w:p>
      <w:pPr>
        <w:pStyle w:val="Subsection"/>
      </w:pPr>
      <w:r>
        <w:tab/>
        <w:t>(1)</w:t>
      </w:r>
      <w:r>
        <w:tab/>
        <w:t xml:space="preserve">In this Part, a determination of whether someone is, or is not, of </w:t>
      </w:r>
      <w:r>
        <w:rPr>
          <w:rStyle w:val="CharDefText"/>
        </w:rPr>
        <w:t>good repute</w:t>
      </w:r>
      <w:r>
        <w:t xml:space="preserve"> must be made having regard to the person’s character, honesty and integrity.</w:t>
      </w:r>
    </w:p>
    <w:p>
      <w:pPr>
        <w:pStyle w:val="Subsection"/>
      </w:pPr>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p>
    <w:p>
      <w:pPr>
        <w:pStyle w:val="Footnotesection"/>
        <w:rPr>
          <w:iCs/>
        </w:rPr>
      </w:pPr>
      <w:r>
        <w:rPr>
          <w:iCs/>
        </w:rPr>
        <w:tab/>
        <w:t>[Section 9 inserted: No. 21 of 2019 s. 47.]</w:t>
      </w:r>
    </w:p>
    <w:p>
      <w:pPr>
        <w:pStyle w:val="Heading3"/>
      </w:pPr>
      <w:bookmarkStart w:id="25" w:name="_Toc106004635"/>
      <w:bookmarkStart w:id="26" w:name="_Toc106004757"/>
      <w:bookmarkStart w:id="27" w:name="_Toc106096394"/>
      <w:r>
        <w:rPr>
          <w:rStyle w:val="CharDivNo"/>
        </w:rPr>
        <w:t>Division 2</w:t>
      </w:r>
      <w:r>
        <w:t> — </w:t>
      </w:r>
      <w:r>
        <w:rPr>
          <w:rStyle w:val="CharDivText"/>
        </w:rPr>
        <w:t>Applications for and grant of wagering licences</w:t>
      </w:r>
      <w:bookmarkEnd w:id="25"/>
      <w:bookmarkEnd w:id="26"/>
      <w:bookmarkEnd w:id="27"/>
    </w:p>
    <w:p>
      <w:pPr>
        <w:pStyle w:val="Footnoteheading"/>
        <w:rPr>
          <w:iCs/>
        </w:rPr>
      </w:pPr>
      <w:r>
        <w:rPr>
          <w:iCs/>
        </w:rPr>
        <w:tab/>
        <w:t xml:space="preserve">[Heading inserted: </w:t>
      </w:r>
      <w:r>
        <w:t>No. 21 of 2009 s. 47</w:t>
      </w:r>
      <w:r>
        <w:rPr>
          <w:iCs/>
        </w:rPr>
        <w:t>.]</w:t>
      </w:r>
    </w:p>
    <w:p>
      <w:pPr>
        <w:pStyle w:val="Heading5"/>
      </w:pPr>
      <w:bookmarkStart w:id="28" w:name="_Toc106096395"/>
      <w:r>
        <w:rPr>
          <w:rStyle w:val="CharSectno"/>
        </w:rPr>
        <w:t>10</w:t>
      </w:r>
      <w:r>
        <w:t>.</w:t>
      </w:r>
      <w:r>
        <w:tab/>
        <w:t>Application for wagering licence</w:t>
      </w:r>
      <w:bookmarkEnd w:id="28"/>
    </w:p>
    <w:p>
      <w:pPr>
        <w:pStyle w:val="Subsection"/>
      </w:pPr>
      <w:r>
        <w:tab/>
        <w:t>(1)</w:t>
      </w:r>
      <w:r>
        <w:tab/>
        <w:t>The Minister may, in a manner determined by the Minister, invite persons to apply for the grant of a wagering licence.</w:t>
      </w:r>
    </w:p>
    <w:p>
      <w:pPr>
        <w:pStyle w:val="Subsection"/>
      </w:pPr>
      <w:r>
        <w:tab/>
        <w:t>(2)</w:t>
      </w:r>
      <w:r>
        <w:tab/>
        <w:t xml:space="preserve">An application for a wagering licence must be — </w:t>
      </w:r>
    </w:p>
    <w:p>
      <w:pPr>
        <w:pStyle w:val="Indenta"/>
      </w:pPr>
      <w:r>
        <w:tab/>
        <w:t>(a)</w:t>
      </w:r>
      <w:r>
        <w:tab/>
        <w:t xml:space="preserve">made in a form approved by the Minister; and </w:t>
      </w:r>
    </w:p>
    <w:p>
      <w:pPr>
        <w:pStyle w:val="Indenta"/>
      </w:pPr>
      <w:r>
        <w:tab/>
        <w:t>(b)</w:t>
      </w:r>
      <w:r>
        <w:tab/>
        <w:t>accompanied by such information and documents as the Minister requires.</w:t>
      </w:r>
    </w:p>
    <w:p>
      <w:pPr>
        <w:pStyle w:val="Footnotesection"/>
        <w:rPr>
          <w:iCs/>
        </w:rPr>
      </w:pPr>
      <w:r>
        <w:rPr>
          <w:iCs/>
        </w:rPr>
        <w:tab/>
        <w:t>[Section 10 inserted: No. 21 of 2019 s. 47.]</w:t>
      </w:r>
    </w:p>
    <w:p>
      <w:pPr>
        <w:pStyle w:val="Heading5"/>
      </w:pPr>
      <w:bookmarkStart w:id="29" w:name="_Toc106096396"/>
      <w:r>
        <w:rPr>
          <w:rStyle w:val="CharSectno"/>
        </w:rPr>
        <w:lastRenderedPageBreak/>
        <w:t>10A</w:t>
      </w:r>
      <w:r>
        <w:t>.</w:t>
      </w:r>
      <w:r>
        <w:tab/>
        <w:t>Grant of wagering licence</w:t>
      </w:r>
      <w:bookmarkEnd w:id="29"/>
    </w:p>
    <w:p>
      <w:pPr>
        <w:pStyle w:val="Subsection"/>
      </w:pPr>
      <w:r>
        <w:tab/>
        <w:t>(1)</w:t>
      </w:r>
      <w:r>
        <w:tab/>
        <w:t>The Minister may grant a wagering licence on an application under section 10 if the Minister determines that the granting of the licence is in the public interest.</w:t>
      </w:r>
    </w:p>
    <w:p>
      <w:pPr>
        <w:pStyle w:val="Subsection"/>
      </w:pPr>
      <w:r>
        <w:tab/>
        <w:t>(2)</w:t>
      </w:r>
      <w:r>
        <w:tab/>
        <w:t>In particular, the Minister must consider the following —</w:t>
      </w:r>
    </w:p>
    <w:p>
      <w:pPr>
        <w:pStyle w:val="Indenta"/>
      </w:pPr>
      <w:r>
        <w:tab/>
        <w:t>(a)</w:t>
      </w:r>
      <w:r>
        <w:tab/>
        <w:t>whether the applicant, and each associate of the applicant, is of good repute;</w:t>
      </w:r>
    </w:p>
    <w:p>
      <w:pPr>
        <w:pStyle w:val="Indenta"/>
      </w:pPr>
      <w:r>
        <w:tab/>
        <w:t>(b)</w:t>
      </w:r>
      <w:r>
        <w:tab/>
        <w:t>whether the applicant has financial capacity to conduct a wagering business;</w:t>
      </w:r>
    </w:p>
    <w:p>
      <w:pPr>
        <w:pStyle w:val="Indenta"/>
      </w:pPr>
      <w:r>
        <w:tab/>
        <w:t>(c)</w:t>
      </w:r>
      <w:r>
        <w:tab/>
        <w:t>whether the applicant has the operational capability to conduct the activities to be authorised by the wagering licence;</w:t>
      </w:r>
    </w:p>
    <w:p>
      <w:pPr>
        <w:pStyle w:val="Indenta"/>
      </w:pPr>
      <w:r>
        <w:tab/>
        <w:t>(d)</w:t>
      </w:r>
      <w:r>
        <w:tab/>
        <w:t>whether the applicant has entered into a wagering licence agreement;</w:t>
      </w:r>
    </w:p>
    <w:p>
      <w:pPr>
        <w:pStyle w:val="Indenta"/>
      </w:pPr>
      <w:r>
        <w:tab/>
        <w:t>(e)</w:t>
      </w:r>
      <w:r>
        <w:tab/>
        <w:t>whether the applicant has entered into a racing industry arrangement;</w:t>
      </w:r>
    </w:p>
    <w:p>
      <w:pPr>
        <w:pStyle w:val="Indenta"/>
      </w:pPr>
      <w:r>
        <w:tab/>
        <w:t>(f)</w:t>
      </w:r>
      <w:r>
        <w:tab/>
        <w:t>any consumer protection policy proposed by the applicant;</w:t>
      </w:r>
    </w:p>
    <w:p>
      <w:pPr>
        <w:pStyle w:val="Indenta"/>
      </w:pPr>
      <w:r>
        <w:tab/>
        <w:t>(g)</w:t>
      </w:r>
      <w:r>
        <w:tab/>
        <w:t>any other matter the Minister considers relevant.</w:t>
      </w:r>
    </w:p>
    <w:p>
      <w:pPr>
        <w:pStyle w:val="Subsection"/>
      </w:pPr>
      <w:r>
        <w:tab/>
        <w:t>(3)</w:t>
      </w:r>
      <w:r>
        <w:tab/>
        <w:t>The Minister may request the advice of the Commission in determining the application.</w:t>
      </w:r>
    </w:p>
    <w:p>
      <w:pPr>
        <w:pStyle w:val="Footnotesection"/>
        <w:rPr>
          <w:iCs/>
        </w:rPr>
      </w:pPr>
      <w:r>
        <w:rPr>
          <w:iCs/>
        </w:rPr>
        <w:tab/>
        <w:t>[Section 10A inserted: No. 21 of 2019 s. 47.]</w:t>
      </w:r>
    </w:p>
    <w:p>
      <w:pPr>
        <w:pStyle w:val="Heading5"/>
      </w:pPr>
      <w:bookmarkStart w:id="30" w:name="_Toc106096397"/>
      <w:r>
        <w:rPr>
          <w:rStyle w:val="CharSectno"/>
        </w:rPr>
        <w:t>10B</w:t>
      </w:r>
      <w:r>
        <w:t>.</w:t>
      </w:r>
      <w:r>
        <w:tab/>
        <w:t>Fee for wagering licence</w:t>
      </w:r>
      <w:bookmarkEnd w:id="30"/>
    </w:p>
    <w:p>
      <w:pPr>
        <w:pStyle w:val="Subsection"/>
      </w:pPr>
      <w:r>
        <w:tab/>
        <w:t>(1)</w:t>
      </w:r>
      <w:r>
        <w:tab/>
        <w:t>A wagering licensee must pay a fee for the wagering licence in accordance with the terms of the licence.</w:t>
      </w:r>
    </w:p>
    <w:p>
      <w:pPr>
        <w:pStyle w:val="Subsection"/>
      </w:pPr>
      <w:r>
        <w:tab/>
        <w:t>(2)</w:t>
      </w:r>
      <w:r>
        <w:tab/>
        <w:t xml:space="preserve">The wagering licence may specify the fee as 1 or more amounts payable — </w:t>
      </w:r>
    </w:p>
    <w:p>
      <w:pPr>
        <w:pStyle w:val="Indenta"/>
      </w:pPr>
      <w:r>
        <w:tab/>
        <w:t>(a)</w:t>
      </w:r>
      <w:r>
        <w:tab/>
        <w:t xml:space="preserve">on the grant of the licence or at a later time or times specified in the licence; or </w:t>
      </w:r>
    </w:p>
    <w:p>
      <w:pPr>
        <w:pStyle w:val="Indenta"/>
      </w:pPr>
      <w:r>
        <w:lastRenderedPageBreak/>
        <w:tab/>
        <w:t>(b)</w:t>
      </w:r>
      <w:r>
        <w:tab/>
        <w:t>each year for the duration of the licence, at a time or times specified in the licence.</w:t>
      </w:r>
    </w:p>
    <w:p>
      <w:pPr>
        <w:pStyle w:val="Subsection"/>
      </w:pPr>
      <w:r>
        <w:tab/>
        <w:t>(3)</w:t>
      </w:r>
      <w:r>
        <w:tab/>
        <w:t xml:space="preserve">An amount referred to in subsection (2) may be — </w:t>
      </w:r>
    </w:p>
    <w:p>
      <w:pPr>
        <w:pStyle w:val="Indenta"/>
      </w:pPr>
      <w:r>
        <w:tab/>
        <w:t>(a)</w:t>
      </w:r>
      <w:r>
        <w:tab/>
        <w:t>a monetary figure specified in the wagering licence; or</w:t>
      </w:r>
    </w:p>
    <w:p>
      <w:pPr>
        <w:pStyle w:val="Indenta"/>
      </w:pPr>
      <w:r>
        <w:tab/>
        <w:t>(b)</w:t>
      </w:r>
      <w:r>
        <w:tab/>
        <w:t>the outcome from the application of a formula specified in the licence for calculating the amount.</w:t>
      </w:r>
    </w:p>
    <w:p>
      <w:pPr>
        <w:pStyle w:val="Subsection"/>
      </w:pPr>
      <w:r>
        <w:tab/>
        <w:t>(4)</w:t>
      </w:r>
      <w:r>
        <w:tab/>
        <w:t>The fee may include 1 or more penalties for late payment.</w:t>
      </w:r>
    </w:p>
    <w:p>
      <w:pPr>
        <w:pStyle w:val="Subsection"/>
      </w:pPr>
      <w:r>
        <w:tab/>
        <w:t>(5)</w:t>
      </w:r>
      <w:r>
        <w:tab/>
        <w:t>The fee (comprising 1 or more amounts referred to in subsection (2) and any penalties referred to in subsection (4)) may be recovered as a debt due to the State in a court of competent jurisdiction.</w:t>
      </w:r>
    </w:p>
    <w:p>
      <w:pPr>
        <w:pStyle w:val="Subsection"/>
      </w:pPr>
      <w:r>
        <w:tab/>
        <w:t>(6)</w:t>
      </w:r>
      <w:r>
        <w:tab/>
        <w:t>To the extent that the fee payable under subsection (1) is a tax, this subsection imposes the fee.</w:t>
      </w:r>
    </w:p>
    <w:p>
      <w:pPr>
        <w:pStyle w:val="Footnotesection"/>
        <w:rPr>
          <w:iCs/>
        </w:rPr>
      </w:pPr>
      <w:r>
        <w:rPr>
          <w:iCs/>
        </w:rPr>
        <w:tab/>
        <w:t>[Section 10B inserted: No. 21 of 2019 s. 47; amended: No. 22 of 2019 s. 4.]</w:t>
      </w:r>
    </w:p>
    <w:p>
      <w:pPr>
        <w:pStyle w:val="Heading5"/>
      </w:pPr>
      <w:bookmarkStart w:id="31" w:name="_Toc106096398"/>
      <w:r>
        <w:rPr>
          <w:rStyle w:val="CharSectno"/>
        </w:rPr>
        <w:t>10C</w:t>
      </w:r>
      <w:r>
        <w:t>.</w:t>
      </w:r>
      <w:r>
        <w:tab/>
        <w:t>Duration of wagering licence</w:t>
      </w:r>
      <w:bookmarkEnd w:id="31"/>
    </w:p>
    <w:p>
      <w:pPr>
        <w:pStyle w:val="Subsection"/>
      </w:pPr>
      <w:r>
        <w:tab/>
        <w:t>(1)</w:t>
      </w:r>
      <w:r>
        <w:tab/>
        <w:t>A wagering licence —</w:t>
      </w:r>
    </w:p>
    <w:p>
      <w:pPr>
        <w:pStyle w:val="Indenta"/>
      </w:pPr>
      <w:r>
        <w:tab/>
        <w:t>(a)</w:t>
      </w:r>
      <w:r>
        <w:tab/>
        <w:t>takes effect at the time the licence is granted or at a later time specified in the licence; and</w:t>
      </w:r>
    </w:p>
    <w:p>
      <w:pPr>
        <w:pStyle w:val="Indenta"/>
      </w:pPr>
      <w:r>
        <w:tab/>
        <w:t>(b)</w:t>
      </w:r>
      <w:r>
        <w:tab/>
        <w:t xml:space="preserve">is valid for 40 years, or any lesser period stated in the wagering licence, unless — </w:t>
      </w:r>
    </w:p>
    <w:p>
      <w:pPr>
        <w:pStyle w:val="Indenti"/>
      </w:pPr>
      <w:r>
        <w:tab/>
        <w:t>(i)</w:t>
      </w:r>
      <w:r>
        <w:tab/>
        <w:t>cancelled or surrendered earlier in accordance with this Part; or</w:t>
      </w:r>
    </w:p>
    <w:p>
      <w:pPr>
        <w:pStyle w:val="Indenti"/>
      </w:pPr>
      <w:r>
        <w:tab/>
        <w:t>(ii)</w:t>
      </w:r>
      <w:r>
        <w:tab/>
        <w:t>extended under this section.</w:t>
      </w:r>
    </w:p>
    <w:p>
      <w:pPr>
        <w:pStyle w:val="Subsection"/>
      </w:pPr>
      <w:r>
        <w:tab/>
        <w:t>(2)</w:t>
      </w:r>
      <w:r>
        <w:tab/>
        <w:t>If invited by the Minister to do so, the wagering licensee may, before the wagering licence expires, apply to the Minister for a licence extension.</w:t>
      </w:r>
    </w:p>
    <w:p>
      <w:pPr>
        <w:pStyle w:val="Subsection"/>
        <w:keepNext/>
      </w:pPr>
      <w:r>
        <w:lastRenderedPageBreak/>
        <w:tab/>
        <w:t>(3)</w:t>
      </w:r>
      <w:r>
        <w:tab/>
        <w:t>On application under subsection (2), the Minister may extend the wagering licence for a period determined by the Minister, after consulting —</w:t>
      </w:r>
    </w:p>
    <w:p>
      <w:pPr>
        <w:pStyle w:val="Indenta"/>
      </w:pPr>
      <w:r>
        <w:tab/>
        <w:t>(a)</w:t>
      </w:r>
      <w:r>
        <w:tab/>
        <w:t>the Commission; and</w:t>
      </w:r>
    </w:p>
    <w:p>
      <w:pPr>
        <w:pStyle w:val="Indenta"/>
      </w:pPr>
      <w:r>
        <w:tab/>
        <w:t>(b)</w:t>
      </w:r>
      <w:r>
        <w:tab/>
        <w:t>any other person the Minister considers appropriate.</w:t>
      </w:r>
    </w:p>
    <w:p>
      <w:pPr>
        <w:pStyle w:val="Subsection"/>
      </w:pPr>
      <w:r>
        <w:tab/>
        <w:t>(4)</w:t>
      </w:r>
      <w:r>
        <w:tab/>
        <w:t>A wagering licence may be extended under this section more than once, but the total cumulative period for which a wagering licence may be extended under this section cannot exceed 2 years from the day on which the licence would otherwise expire.</w:t>
      </w:r>
    </w:p>
    <w:p>
      <w:pPr>
        <w:pStyle w:val="Subsection"/>
      </w:pPr>
      <w:r>
        <w:tab/>
        <w:t>(5)</w:t>
      </w:r>
      <w:r>
        <w:tab/>
        <w:t>A wagering licence cannot be renewed, but a person who holds or has held a wagering licence may apply for a subsequent wagering licence if invited by the Minister to do so.</w:t>
      </w:r>
    </w:p>
    <w:p>
      <w:pPr>
        <w:pStyle w:val="Footnotesection"/>
        <w:rPr>
          <w:iCs/>
        </w:rPr>
      </w:pPr>
      <w:r>
        <w:rPr>
          <w:iCs/>
        </w:rPr>
        <w:tab/>
        <w:t>[Section 10C inserted: No. 21 of 2019 s. 47.]</w:t>
      </w:r>
    </w:p>
    <w:p>
      <w:pPr>
        <w:pStyle w:val="Heading5"/>
      </w:pPr>
      <w:bookmarkStart w:id="32" w:name="_Toc106096399"/>
      <w:r>
        <w:rPr>
          <w:rStyle w:val="CharSectno"/>
        </w:rPr>
        <w:t>10D</w:t>
      </w:r>
      <w:r>
        <w:t>.</w:t>
      </w:r>
      <w:r>
        <w:tab/>
        <w:t>Wagering licence may authorise preparatory action</w:t>
      </w:r>
      <w:bookmarkEnd w:id="32"/>
    </w:p>
    <w:p>
      <w:pPr>
        <w:pStyle w:val="Subsection"/>
      </w:pPr>
      <w:r>
        <w:tab/>
        <w:t>(1)</w:t>
      </w:r>
      <w:r>
        <w:tab/>
        <w:t>In this section —</w:t>
      </w:r>
    </w:p>
    <w:p>
      <w:pPr>
        <w:pStyle w:val="Defstart"/>
      </w:pPr>
      <w:r>
        <w:tab/>
      </w:r>
      <w:r>
        <w:rPr>
          <w:rStyle w:val="CharDefText"/>
        </w:rPr>
        <w:t>preparatory action</w:t>
      </w:r>
      <w:r>
        <w:t xml:space="preserve">, in relation to a wagering licence — </w:t>
      </w:r>
    </w:p>
    <w:p>
      <w:pPr>
        <w:pStyle w:val="Defpara"/>
      </w:pPr>
      <w:r>
        <w:tab/>
        <w:t>(a)</w:t>
      </w:r>
      <w:r>
        <w:tab/>
        <w:t>means anything necessary or convenient to be done for the purpose of conducting any activities authorised by the licence; but</w:t>
      </w:r>
    </w:p>
    <w:p>
      <w:pPr>
        <w:pStyle w:val="Defpara"/>
      </w:pPr>
      <w:r>
        <w:tab/>
        <w:t>(b)</w:t>
      </w:r>
      <w:r>
        <w:tab/>
        <w:t>does not include the acceptance of a bet or the payment of a dividend.</w:t>
      </w:r>
    </w:p>
    <w:p>
      <w:pPr>
        <w:pStyle w:val="Subsection"/>
      </w:pPr>
      <w:r>
        <w:tab/>
        <w:t>(2)</w:t>
      </w:r>
      <w:r>
        <w:tab/>
        <w:t>This section applies to a wagering licence if the licence takes effect at a time specified in the licence that is later than the time of grant of the licence.</w:t>
      </w:r>
    </w:p>
    <w:p>
      <w:pPr>
        <w:pStyle w:val="Subsection"/>
      </w:pPr>
      <w:r>
        <w:tab/>
        <w:t>(3)</w:t>
      </w:r>
      <w:r>
        <w:tab/>
        <w:t>The wagering licence may authorise the wagering licensee to take preparatory action from a time specified in the licence (which may be the time of grant) even though the licence has not taken effect.</w:t>
      </w:r>
    </w:p>
    <w:p>
      <w:pPr>
        <w:pStyle w:val="Subsection"/>
        <w:keepNext/>
        <w:keepLines/>
      </w:pPr>
      <w:r>
        <w:lastRenderedPageBreak/>
        <w:tab/>
        <w:t>(4)</w:t>
      </w:r>
      <w:r>
        <w:tab/>
        <w:t>An authorisation under subsection (3) may specify a single time from which any preparatory action may be taken or different times from which different kinds of preparatory action may be taken.</w:t>
      </w:r>
    </w:p>
    <w:p>
      <w:pPr>
        <w:pStyle w:val="Subsection"/>
      </w:pPr>
      <w:r>
        <w:tab/>
        <w:t>(5)</w:t>
      </w:r>
      <w:r>
        <w:tab/>
        <w:t>A time specified from which preparatory action may be taken must not be more than 18 months before the time the wagering licence takes effect.</w:t>
      </w:r>
    </w:p>
    <w:p>
      <w:pPr>
        <w:pStyle w:val="Subsection"/>
      </w:pPr>
      <w:r>
        <w:tab/>
        <w:t>(6)</w:t>
      </w:r>
      <w:r>
        <w:tab/>
        <w:t>Despite section 10C(1)(a), the wagering licence is taken to be in effect for the purpose of any preparatory action taken in accordance with an authorisation under subsection (3).</w:t>
      </w:r>
    </w:p>
    <w:p>
      <w:pPr>
        <w:pStyle w:val="Subsection"/>
      </w:pPr>
      <w:r>
        <w:tab/>
        <w:t>(7)</w:t>
      </w:r>
      <w:r>
        <w:tab/>
        <w:t>No account is to be had to this section in determining the term of the licence under section 10C(1)(b).</w:t>
      </w:r>
    </w:p>
    <w:p>
      <w:pPr>
        <w:pStyle w:val="Footnotesection"/>
        <w:rPr>
          <w:iCs/>
        </w:rPr>
      </w:pPr>
      <w:r>
        <w:rPr>
          <w:iCs/>
        </w:rPr>
        <w:tab/>
        <w:t>[Section 10D inserted: No. 21 of 2019 s. 47.]</w:t>
      </w:r>
    </w:p>
    <w:p>
      <w:pPr>
        <w:pStyle w:val="Heading5"/>
      </w:pPr>
      <w:bookmarkStart w:id="33" w:name="_Toc106096400"/>
      <w:r>
        <w:rPr>
          <w:rStyle w:val="CharSectno"/>
        </w:rPr>
        <w:t>10E</w:t>
      </w:r>
      <w:r>
        <w:t>.</w:t>
      </w:r>
      <w:r>
        <w:tab/>
        <w:t>Transfer of wagering licence</w:t>
      </w:r>
      <w:bookmarkEnd w:id="33"/>
    </w:p>
    <w:p>
      <w:pPr>
        <w:pStyle w:val="Subsection"/>
      </w:pPr>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p>
    <w:p>
      <w:pPr>
        <w:pStyle w:val="Subsection"/>
      </w:pPr>
      <w:r>
        <w:tab/>
        <w:t>(2)</w:t>
      </w:r>
      <w:r>
        <w:tab/>
        <w:t>The wagering licensee may apply to the Minister to approve the transfer.</w:t>
      </w:r>
    </w:p>
    <w:p>
      <w:pPr>
        <w:pStyle w:val="Subsection"/>
      </w:pPr>
      <w:r>
        <w:tab/>
        <w:t>(3)</w:t>
      </w:r>
      <w:r>
        <w:tab/>
        <w:t xml:space="preserve">The application must be — </w:t>
      </w:r>
    </w:p>
    <w:p>
      <w:pPr>
        <w:pStyle w:val="Indenta"/>
      </w:pPr>
      <w:r>
        <w:tab/>
        <w:t>(a)</w:t>
      </w:r>
      <w:r>
        <w:tab/>
        <w:t xml:space="preserve">made at least 60 days before the day of the intended transfer; and </w:t>
      </w:r>
    </w:p>
    <w:p>
      <w:pPr>
        <w:pStyle w:val="Indenta"/>
      </w:pPr>
      <w:r>
        <w:tab/>
        <w:t>(b)</w:t>
      </w:r>
      <w:r>
        <w:tab/>
        <w:t>made in a form approved by the Minister; and</w:t>
      </w:r>
    </w:p>
    <w:p>
      <w:pPr>
        <w:pStyle w:val="Indenta"/>
      </w:pPr>
      <w:r>
        <w:tab/>
        <w:t>(c)</w:t>
      </w:r>
      <w:r>
        <w:tab/>
        <w:t>accompanied by such information and documents as the Minister requires.</w:t>
      </w:r>
    </w:p>
    <w:p>
      <w:pPr>
        <w:pStyle w:val="Subsection"/>
      </w:pPr>
      <w:r>
        <w:tab/>
        <w:t>(4)</w:t>
      </w:r>
      <w:r>
        <w:tab/>
        <w:t>The Minister may approve the transfer if the Minister, after consulting the Commission, determines that the transfer is in the public interest.</w:t>
      </w:r>
    </w:p>
    <w:p>
      <w:pPr>
        <w:pStyle w:val="Subsection"/>
      </w:pPr>
      <w:r>
        <w:lastRenderedPageBreak/>
        <w:tab/>
        <w:t>(5)</w:t>
      </w:r>
      <w:r>
        <w:tab/>
        <w:t>Section 10A(2) applies to the Minister’s approval of the transfer as if a reference in that provision to the applicant were a reference to the new licensee.</w:t>
      </w:r>
    </w:p>
    <w:p>
      <w:pPr>
        <w:pStyle w:val="Subsection"/>
        <w:keepNext/>
      </w:pPr>
      <w:r>
        <w:tab/>
        <w:t>(6)</w:t>
      </w:r>
      <w:r>
        <w:tab/>
        <w:t xml:space="preserve">If the Minister approves the transfer — </w:t>
      </w:r>
    </w:p>
    <w:p>
      <w:pPr>
        <w:pStyle w:val="Indenta"/>
      </w:pPr>
      <w:r>
        <w:tab/>
        <w:t>(a)</w:t>
      </w:r>
      <w:r>
        <w:tab/>
        <w:t>the Minister may make any necessary amendments to the wagering licence; and</w:t>
      </w:r>
    </w:p>
    <w:p>
      <w:pPr>
        <w:pStyle w:val="Indenta"/>
      </w:pPr>
      <w:r>
        <w:tab/>
        <w:t>(b)</w:t>
      </w:r>
      <w:r>
        <w:tab/>
        <w:t>any costs incurred by the Minister may be recovered as a debt due to the State in a court of competent jurisdiction; and</w:t>
      </w:r>
    </w:p>
    <w:p>
      <w:pPr>
        <w:pStyle w:val="Indenta"/>
      </w:pPr>
      <w:r>
        <w:tab/>
        <w:t>(c)</w:t>
      </w:r>
      <w:r>
        <w:tab/>
        <w:t>for the purposes of this Part, the new licensee is taken to have been granted the licence under section 10A.</w:t>
      </w:r>
    </w:p>
    <w:p>
      <w:pPr>
        <w:pStyle w:val="Footnotesection"/>
        <w:rPr>
          <w:iCs/>
        </w:rPr>
      </w:pPr>
      <w:r>
        <w:rPr>
          <w:iCs/>
        </w:rPr>
        <w:tab/>
        <w:t>[Section 10E inserted: No. 21 of 2019 s. 47.]</w:t>
      </w:r>
    </w:p>
    <w:p>
      <w:pPr>
        <w:pStyle w:val="Heading5"/>
      </w:pPr>
      <w:bookmarkStart w:id="34" w:name="_Toc106096401"/>
      <w:r>
        <w:rPr>
          <w:rStyle w:val="CharSectno"/>
        </w:rPr>
        <w:t>10F</w:t>
      </w:r>
      <w:r>
        <w:t>.</w:t>
      </w:r>
      <w:r>
        <w:tab/>
        <w:t>No proprietary right in wagering licence</w:t>
      </w:r>
      <w:bookmarkEnd w:id="34"/>
    </w:p>
    <w:p>
      <w:pPr>
        <w:pStyle w:val="Subsection"/>
      </w:pPr>
      <w:r>
        <w:tab/>
        <w:t>(1)</w:t>
      </w:r>
      <w:r>
        <w:tab/>
        <w:t>A wagering licence does not confer a right of property and is incapable of being assigned or mortgaged, charged or otherwise encumbered.</w:t>
      </w:r>
    </w:p>
    <w:p>
      <w:pPr>
        <w:pStyle w:val="Subsection"/>
      </w:pPr>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p>
    <w:p>
      <w:pPr>
        <w:pStyle w:val="Subsection"/>
      </w:pPr>
      <w:r>
        <w:tab/>
        <w:t>(3)</w:t>
      </w:r>
      <w:r>
        <w:tab/>
        <w:t>Nothing in this section prevents a wagering licensee from conducting activities authorised by the wagering licence in the course of a joint venture or other arrangement to which the wagering licensee is a party.</w:t>
      </w:r>
    </w:p>
    <w:p>
      <w:pPr>
        <w:pStyle w:val="Footnotesection"/>
        <w:rPr>
          <w:iCs/>
        </w:rPr>
      </w:pPr>
      <w:r>
        <w:rPr>
          <w:iCs/>
        </w:rPr>
        <w:tab/>
        <w:t>[Section 10F inserted: No. 21 of 2019 s. 47.]</w:t>
      </w:r>
    </w:p>
    <w:p>
      <w:pPr>
        <w:pStyle w:val="Heading3"/>
        <w:keepLines/>
      </w:pPr>
      <w:bookmarkStart w:id="35" w:name="_Toc106004643"/>
      <w:bookmarkStart w:id="36" w:name="_Toc106004765"/>
      <w:bookmarkStart w:id="37" w:name="_Toc106096402"/>
      <w:r>
        <w:rPr>
          <w:rStyle w:val="CharDivNo"/>
        </w:rPr>
        <w:lastRenderedPageBreak/>
        <w:t>Division 3</w:t>
      </w:r>
      <w:r>
        <w:t> — </w:t>
      </w:r>
      <w:r>
        <w:rPr>
          <w:rStyle w:val="CharDivText"/>
        </w:rPr>
        <w:t>Conditions of wagering licences</w:t>
      </w:r>
      <w:bookmarkEnd w:id="35"/>
      <w:bookmarkEnd w:id="36"/>
      <w:bookmarkEnd w:id="37"/>
    </w:p>
    <w:p>
      <w:pPr>
        <w:pStyle w:val="Footnotesection"/>
        <w:keepNext/>
        <w:rPr>
          <w:iCs/>
        </w:rPr>
      </w:pPr>
      <w:r>
        <w:rPr>
          <w:iCs/>
        </w:rPr>
        <w:tab/>
        <w:t>[Heading inserted: No. 21 of 2009 s. 47.]</w:t>
      </w:r>
    </w:p>
    <w:p>
      <w:pPr>
        <w:pStyle w:val="Heading5"/>
      </w:pPr>
      <w:bookmarkStart w:id="38" w:name="_Toc106096403"/>
      <w:r>
        <w:rPr>
          <w:rStyle w:val="CharSectno"/>
        </w:rPr>
        <w:t>10G</w:t>
      </w:r>
      <w:r>
        <w:t>.</w:t>
      </w:r>
      <w:r>
        <w:tab/>
        <w:t>Financial assurance</w:t>
      </w:r>
      <w:bookmarkEnd w:id="38"/>
    </w:p>
    <w:p>
      <w:pPr>
        <w:pStyle w:val="Subsection"/>
        <w:keepNext/>
      </w:pPr>
      <w:r>
        <w:tab/>
        <w:t>(1)</w:t>
      </w:r>
      <w:r>
        <w:tab/>
        <w:t>It is a condition of a wagering licence that the wagering licensee must provide financial assurance of a kind, and within the time, specified in the licence.</w:t>
      </w:r>
    </w:p>
    <w:p>
      <w:pPr>
        <w:pStyle w:val="Subsection"/>
        <w:keepNext/>
      </w:pPr>
      <w:r>
        <w:tab/>
        <w:t>(2)</w:t>
      </w:r>
      <w:r>
        <w:tab/>
        <w:t xml:space="preserve">The requirement to provide financial assurance continues to apply during any period of suspension and may, in accordance with the terms of the wagering licence, continue to apply after the licence has — </w:t>
      </w:r>
    </w:p>
    <w:p>
      <w:pPr>
        <w:pStyle w:val="Indenta"/>
      </w:pPr>
      <w:r>
        <w:tab/>
        <w:t>(a)</w:t>
      </w:r>
      <w:r>
        <w:tab/>
        <w:t xml:space="preserve">expired; or </w:t>
      </w:r>
    </w:p>
    <w:p>
      <w:pPr>
        <w:pStyle w:val="Indenta"/>
      </w:pPr>
      <w:r>
        <w:tab/>
        <w:t>(b)</w:t>
      </w:r>
      <w:r>
        <w:tab/>
        <w:t>been cancelled or surrendered.</w:t>
      </w:r>
    </w:p>
    <w:p>
      <w:pPr>
        <w:pStyle w:val="Footnotesection"/>
        <w:rPr>
          <w:iCs/>
        </w:rPr>
      </w:pPr>
      <w:r>
        <w:rPr>
          <w:iCs/>
        </w:rPr>
        <w:tab/>
        <w:t>[Section 10G inserted: No. 21 of 2019 s. 47.]</w:t>
      </w:r>
    </w:p>
    <w:p>
      <w:pPr>
        <w:pStyle w:val="Heading5"/>
      </w:pPr>
      <w:bookmarkStart w:id="39" w:name="_Toc106096404"/>
      <w:r>
        <w:rPr>
          <w:rStyle w:val="CharSectno"/>
        </w:rPr>
        <w:t>10H</w:t>
      </w:r>
      <w:r>
        <w:t>.</w:t>
      </w:r>
      <w:r>
        <w:tab/>
        <w:t>Racing industry arrangement</w:t>
      </w:r>
      <w:bookmarkEnd w:id="39"/>
    </w:p>
    <w:p>
      <w:pPr>
        <w:pStyle w:val="Subsection"/>
      </w:pPr>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p>
    <w:p>
      <w:pPr>
        <w:pStyle w:val="Indenta"/>
      </w:pPr>
      <w:r>
        <w:tab/>
        <w:t>(a)</w:t>
      </w:r>
      <w:r>
        <w:tab/>
        <w:t>the wagering licensee to provide funding to RWA; and</w:t>
      </w:r>
    </w:p>
    <w:p>
      <w:pPr>
        <w:pStyle w:val="Indenta"/>
      </w:pPr>
      <w:r>
        <w:tab/>
        <w:t>(b)</w:t>
      </w:r>
      <w:r>
        <w:tab/>
        <w:t>the wagering licensee to perform other obligations in relation to the racing industry in the State; and</w:t>
      </w:r>
    </w:p>
    <w:p>
      <w:pPr>
        <w:pStyle w:val="Indenta"/>
      </w:pPr>
      <w:r>
        <w:tab/>
        <w:t>(c)</w:t>
      </w:r>
      <w:r>
        <w:tab/>
        <w:t>any other related matters.</w:t>
      </w:r>
    </w:p>
    <w:p>
      <w:pPr>
        <w:pStyle w:val="Subsection"/>
      </w:pPr>
      <w:r>
        <w:tab/>
        <w:t>(2)</w:t>
      </w:r>
      <w:r>
        <w:tab/>
        <w:t>A copy of the documents comprising the racing industry arrangement must be provided to the Minister as soon as practicable after the arrangement has been entered into</w:t>
      </w:r>
      <w:r>
        <w:rPr>
          <w:sz w:val="20"/>
        </w:rPr>
        <w:t>.</w:t>
      </w:r>
    </w:p>
    <w:p>
      <w:pPr>
        <w:pStyle w:val="Footnotesection"/>
        <w:rPr>
          <w:iCs/>
        </w:rPr>
      </w:pPr>
      <w:r>
        <w:rPr>
          <w:iCs/>
        </w:rPr>
        <w:tab/>
        <w:t>[Section 10H inserted: No. 21 of 2019 s. 47.]</w:t>
      </w:r>
    </w:p>
    <w:p>
      <w:pPr>
        <w:pStyle w:val="Heading5"/>
      </w:pPr>
      <w:bookmarkStart w:id="40" w:name="_Toc106096405"/>
      <w:r>
        <w:rPr>
          <w:rStyle w:val="CharSectno"/>
        </w:rPr>
        <w:lastRenderedPageBreak/>
        <w:t>10I</w:t>
      </w:r>
      <w:r>
        <w:t>.</w:t>
      </w:r>
      <w:r>
        <w:tab/>
        <w:t>Consumer protection policy</w:t>
      </w:r>
      <w:bookmarkEnd w:id="40"/>
    </w:p>
    <w:p>
      <w:pPr>
        <w:pStyle w:val="Subsection"/>
        <w:keepNext/>
        <w:keepLines/>
      </w:pPr>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p>
    <w:p>
      <w:pPr>
        <w:pStyle w:val="Footnotesection"/>
        <w:rPr>
          <w:iCs/>
        </w:rPr>
      </w:pPr>
      <w:r>
        <w:rPr>
          <w:iCs/>
        </w:rPr>
        <w:tab/>
        <w:t>[Section 10I inserted: No. 21 of 2019 s. 47.]</w:t>
      </w:r>
    </w:p>
    <w:p>
      <w:pPr>
        <w:pStyle w:val="Heading5"/>
      </w:pPr>
      <w:bookmarkStart w:id="41" w:name="_Toc106096406"/>
      <w:r>
        <w:rPr>
          <w:rStyle w:val="CharSectno"/>
        </w:rPr>
        <w:t>10J</w:t>
      </w:r>
      <w:r>
        <w:t>.</w:t>
      </w:r>
      <w:r>
        <w:tab/>
        <w:t>General provisions relating to bets with wagering licensee</w:t>
      </w:r>
      <w:bookmarkEnd w:id="41"/>
    </w:p>
    <w:p>
      <w:pPr>
        <w:pStyle w:val="Subsection"/>
      </w:pPr>
      <w:r>
        <w:tab/>
        <w:t>(1)</w:t>
      </w:r>
      <w:r>
        <w:tab/>
        <w:t xml:space="preserve">A wagering licensee, officer, employee or agent of a wagering licensee, or employee of an agent of a wagering licensee, must not accept a bet unless a bet is made in accordance with this section — </w:t>
      </w:r>
    </w:p>
    <w:p>
      <w:pPr>
        <w:pStyle w:val="Indenta"/>
      </w:pPr>
      <w:r>
        <w:tab/>
        <w:t>(a)</w:t>
      </w:r>
      <w:r>
        <w:tab/>
        <w:t>at a betting agency; or</w:t>
      </w:r>
    </w:p>
    <w:p>
      <w:pPr>
        <w:pStyle w:val="Indenta"/>
      </w:pPr>
      <w:r>
        <w:tab/>
        <w:t>(b)</w:t>
      </w:r>
      <w:r>
        <w:tab/>
        <w:t>except in the case of a bet on a simulated race, by telephone or electronic communication directly to the wagering licensee.</w:t>
      </w:r>
    </w:p>
    <w:p>
      <w:pPr>
        <w:pStyle w:val="Subsection"/>
      </w:pPr>
      <w:r>
        <w:tab/>
        <w:t>(2)</w:t>
      </w:r>
      <w:r>
        <w:tab/>
        <w:t>A wagering licensee must not accept a bet involving the provision of credit by the wagering licensee.</w:t>
      </w:r>
    </w:p>
    <w:p>
      <w:pPr>
        <w:pStyle w:val="Footnotesection"/>
        <w:rPr>
          <w:iCs/>
        </w:rPr>
      </w:pPr>
      <w:r>
        <w:rPr>
          <w:iCs/>
        </w:rPr>
        <w:tab/>
        <w:t>[Section 10J inserted: No. 21 of 2019 s. 47.]</w:t>
      </w:r>
    </w:p>
    <w:p>
      <w:pPr>
        <w:pStyle w:val="Heading3"/>
      </w:pPr>
      <w:bookmarkStart w:id="42" w:name="_Toc106004648"/>
      <w:bookmarkStart w:id="43" w:name="_Toc106004770"/>
      <w:bookmarkStart w:id="44" w:name="_Toc106096407"/>
      <w:r>
        <w:rPr>
          <w:rStyle w:val="CharDivNo"/>
        </w:rPr>
        <w:t>Division 4</w:t>
      </w:r>
      <w:r>
        <w:t> — </w:t>
      </w:r>
      <w:r>
        <w:rPr>
          <w:rStyle w:val="CharDivText"/>
        </w:rPr>
        <w:t>Disciplinary and other actions concerning wagering licences</w:t>
      </w:r>
      <w:bookmarkEnd w:id="42"/>
      <w:bookmarkEnd w:id="43"/>
      <w:bookmarkEnd w:id="44"/>
    </w:p>
    <w:p>
      <w:pPr>
        <w:pStyle w:val="Footnoteheading"/>
        <w:rPr>
          <w:iCs/>
        </w:rPr>
      </w:pPr>
      <w:r>
        <w:rPr>
          <w:iCs/>
        </w:rPr>
        <w:tab/>
        <w:t xml:space="preserve">[Heading inserted: </w:t>
      </w:r>
      <w:r>
        <w:t>No. 21 of 2009 s. 47</w:t>
      </w:r>
      <w:r>
        <w:rPr>
          <w:iCs/>
        </w:rPr>
        <w:t>.]</w:t>
      </w:r>
    </w:p>
    <w:p>
      <w:pPr>
        <w:pStyle w:val="Heading5"/>
      </w:pPr>
      <w:bookmarkStart w:id="45" w:name="_Toc106096408"/>
      <w:r>
        <w:rPr>
          <w:rStyle w:val="CharSectno"/>
        </w:rPr>
        <w:t>10K</w:t>
      </w:r>
      <w:r>
        <w:t>.</w:t>
      </w:r>
      <w:r>
        <w:tab/>
        <w:t>Commission may take or recommend disciplinary action</w:t>
      </w:r>
      <w:bookmarkEnd w:id="45"/>
    </w:p>
    <w:p>
      <w:pPr>
        <w:pStyle w:val="Subsection"/>
      </w:pPr>
      <w:r>
        <w:tab/>
        <w:t>(1)</w:t>
      </w:r>
      <w:r>
        <w:tab/>
        <w:t xml:space="preserve">In this section — </w:t>
      </w:r>
    </w:p>
    <w:p>
      <w:pPr>
        <w:pStyle w:val="Defstart"/>
      </w:pPr>
      <w:r>
        <w:tab/>
      </w:r>
      <w:r>
        <w:rPr>
          <w:rStyle w:val="CharDefText"/>
        </w:rPr>
        <w:t>direction</w:t>
      </w:r>
      <w:r>
        <w:t xml:space="preserve"> — </w:t>
      </w:r>
    </w:p>
    <w:p>
      <w:pPr>
        <w:pStyle w:val="Defpara"/>
      </w:pPr>
      <w:r>
        <w:tab/>
        <w:t>(a)</w:t>
      </w:r>
      <w:r>
        <w:tab/>
        <w:t>means a direction to a wagering licensee under this Part; and</w:t>
      </w:r>
    </w:p>
    <w:p>
      <w:pPr>
        <w:pStyle w:val="Defpara"/>
      </w:pPr>
      <w:r>
        <w:tab/>
        <w:t>(b)</w:t>
      </w:r>
      <w:r>
        <w:tab/>
        <w:t>includes a direction to a former wagering licensee under section 10P;</w:t>
      </w:r>
    </w:p>
    <w:p>
      <w:pPr>
        <w:pStyle w:val="Defstart"/>
      </w:pPr>
      <w:r>
        <w:tab/>
      </w:r>
      <w:r>
        <w:rPr>
          <w:rStyle w:val="CharDefText"/>
        </w:rPr>
        <w:t>disciplinary action</w:t>
      </w:r>
      <w:r>
        <w:t xml:space="preserve"> means action under subsection (4) or (6);</w:t>
      </w:r>
    </w:p>
    <w:p>
      <w:pPr>
        <w:pStyle w:val="Defstart"/>
        <w:keepNext/>
      </w:pPr>
      <w:r>
        <w:lastRenderedPageBreak/>
        <w:tab/>
      </w:r>
      <w:r>
        <w:rPr>
          <w:rStyle w:val="CharDefText"/>
        </w:rPr>
        <w:t>grounds</w:t>
      </w:r>
      <w:r>
        <w:t xml:space="preserve">, for disciplinary action against a wagering licensee in relation to the licensee’s wagering licence, means any of the following — </w:t>
      </w:r>
    </w:p>
    <w:p>
      <w:pPr>
        <w:pStyle w:val="Defpara"/>
      </w:pPr>
      <w:r>
        <w:tab/>
        <w:t>(a)</w:t>
      </w:r>
      <w:r>
        <w:tab/>
        <w:t xml:space="preserve">that the wagering licensee has contravened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a direction;</w:t>
      </w:r>
    </w:p>
    <w:p>
      <w:pPr>
        <w:pStyle w:val="Defsubpara"/>
      </w:pPr>
      <w:r>
        <w:tab/>
        <w:t>(vi)</w:t>
      </w:r>
      <w:r>
        <w:tab/>
        <w:t>the rules or arrangements referred to in section 10S(2);</w:t>
      </w:r>
    </w:p>
    <w:p>
      <w:pPr>
        <w:pStyle w:val="Defpara"/>
      </w:pPr>
      <w:r>
        <w:tab/>
        <w:t>(b)</w:t>
      </w:r>
      <w:r>
        <w:tab/>
        <w:t xml:space="preserve">that the wagering licensee has failed to use reasonable endeavours to ensure that an officer, employee, agent or contractor of the wagering licensee does not contravene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 xml:space="preserve">a wagering licence agreement; </w:t>
      </w:r>
    </w:p>
    <w:p>
      <w:pPr>
        <w:pStyle w:val="Defsubpara"/>
      </w:pPr>
      <w:r>
        <w:tab/>
        <w:t>(vi)</w:t>
      </w:r>
      <w:r>
        <w:tab/>
        <w:t>a direction;</w:t>
      </w:r>
    </w:p>
    <w:p>
      <w:pPr>
        <w:pStyle w:val="Defsubpara"/>
      </w:pPr>
      <w:r>
        <w:tab/>
        <w:t>(vii)</w:t>
      </w:r>
      <w:r>
        <w:tab/>
        <w:t>the rules or arrangements referred to in section 10S(2);</w:t>
      </w:r>
    </w:p>
    <w:p>
      <w:pPr>
        <w:pStyle w:val="Defpara"/>
      </w:pPr>
      <w:r>
        <w:tab/>
        <w:t>(c)</w:t>
      </w:r>
      <w:r>
        <w:tab/>
        <w:t>that an associate of the wagering licensee, if an individual, has been convicted of an offence involving fraud or dishonesty the statutory penalty for which is imprisonment for more than 6 months or a fine of $100 000 or more;</w:t>
      </w:r>
    </w:p>
    <w:p>
      <w:pPr>
        <w:pStyle w:val="Defpara"/>
      </w:pPr>
      <w:r>
        <w:lastRenderedPageBreak/>
        <w:tab/>
        <w:t>(d)</w:t>
      </w:r>
      <w:r>
        <w:tab/>
        <w:t xml:space="preserve">that the wagering licensee has become an externally administered corporation within the meaning of the </w:t>
      </w:r>
      <w:r>
        <w:rPr>
          <w:i/>
        </w:rPr>
        <w:t>Corporations Act 2001</w:t>
      </w:r>
      <w:r>
        <w:t xml:space="preserve"> (Commonwealth); </w:t>
      </w:r>
    </w:p>
    <w:p>
      <w:pPr>
        <w:pStyle w:val="Defpara"/>
      </w:pPr>
      <w:r>
        <w:tab/>
        <w:t>(e)</w:t>
      </w:r>
      <w:r>
        <w:tab/>
        <w:t>that the wagering licensee is not, or is no longer, a suitable person or body to conduct the activities authorised by the wagering licence;</w:t>
      </w:r>
    </w:p>
    <w:p>
      <w:pPr>
        <w:pStyle w:val="Defpara"/>
      </w:pPr>
      <w:r>
        <w:tab/>
        <w:t>(f)</w:t>
      </w:r>
      <w:r>
        <w:tab/>
        <w:t>that the wagering licensee has failed to discharge the licensee’s financial obligations to a person betting with the licensee.</w:t>
      </w:r>
    </w:p>
    <w:p>
      <w:pPr>
        <w:pStyle w:val="Subsection"/>
      </w:pPr>
      <w:r>
        <w:tab/>
        <w:t>(2)</w:t>
      </w:r>
      <w:r>
        <w:tab/>
        <w:t>The Commission may give a wagering licensee a notice specifying the grounds on which the Commission considers disciplinary action should be taken in relation to the licensee’s wagering licence.</w:t>
      </w:r>
    </w:p>
    <w:p>
      <w:pPr>
        <w:pStyle w:val="Subsection"/>
      </w:pPr>
      <w:r>
        <w:tab/>
        <w:t>(3)</w:t>
      </w:r>
      <w:r>
        <w:tab/>
        <w:t>The wagering licensee may, within 28 days after the notice is given, make submissions to the Commission as to why disciplinary action should not be taken.</w:t>
      </w:r>
    </w:p>
    <w:p>
      <w:pPr>
        <w:pStyle w:val="Subsection"/>
      </w:pPr>
      <w:r>
        <w:tab/>
        <w:t>(4)</w:t>
      </w:r>
      <w:r>
        <w:tab/>
        <w:t>After considering any submissions made under subsection (3), the Commission may —</w:t>
      </w:r>
    </w:p>
    <w:p>
      <w:pPr>
        <w:pStyle w:val="Indenta"/>
      </w:pPr>
      <w:r>
        <w:tab/>
        <w:t>(a)</w:t>
      </w:r>
      <w:r>
        <w:tab/>
        <w:t>take either or both of the following actions —</w:t>
      </w:r>
    </w:p>
    <w:p>
      <w:pPr>
        <w:pStyle w:val="Indenti"/>
      </w:pPr>
      <w:r>
        <w:tab/>
        <w:t>(i)</w:t>
      </w:r>
      <w:r>
        <w:tab/>
        <w:t>give a letter of censure to the wagering licensee;</w:t>
      </w:r>
    </w:p>
    <w:p>
      <w:pPr>
        <w:pStyle w:val="Indenti"/>
      </w:pPr>
      <w:r>
        <w:tab/>
        <w:t>(ii)</w:t>
      </w:r>
      <w:r>
        <w:tab/>
        <w:t xml:space="preserve">require the wagering licensee to pay a monetary penalty of up to $1 000 000; </w:t>
      </w:r>
    </w:p>
    <w:p>
      <w:pPr>
        <w:pStyle w:val="Indenta"/>
      </w:pPr>
      <w:r>
        <w:tab/>
      </w:r>
      <w:r>
        <w:tab/>
        <w:t>or</w:t>
      </w:r>
    </w:p>
    <w:p>
      <w:pPr>
        <w:pStyle w:val="Indenta"/>
      </w:pPr>
      <w:r>
        <w:tab/>
        <w:t>(b)</w:t>
      </w:r>
      <w:r>
        <w:tab/>
        <w:t>make a written report to the Minister recommending that the Minister take action under section 10L against the licensee.</w:t>
      </w:r>
    </w:p>
    <w:p>
      <w:pPr>
        <w:pStyle w:val="Subsection"/>
      </w:pPr>
      <w:r>
        <w:tab/>
        <w:t>(5)</w:t>
      </w:r>
      <w:r>
        <w:tab/>
        <w:t xml:space="preserve">A letter of censure under subsection (4)(a)(i) may — </w:t>
      </w:r>
    </w:p>
    <w:p>
      <w:pPr>
        <w:pStyle w:val="Indenta"/>
      </w:pPr>
      <w:r>
        <w:tab/>
        <w:t>(a)</w:t>
      </w:r>
      <w:r>
        <w:tab/>
        <w:t xml:space="preserve">censure the wagering licensee in respect of any matter connected with the management or operation of its wagering business; and </w:t>
      </w:r>
    </w:p>
    <w:p>
      <w:pPr>
        <w:pStyle w:val="Indenta"/>
      </w:pPr>
      <w:r>
        <w:lastRenderedPageBreak/>
        <w:tab/>
        <w:t>(b)</w:t>
      </w:r>
      <w:r>
        <w:tab/>
        <w:t>include a direction to the wagering licensee to rectify within a specified time any matter giving rise to the letter of censure.</w:t>
      </w:r>
    </w:p>
    <w:p>
      <w:pPr>
        <w:pStyle w:val="Subsection"/>
      </w:pPr>
      <w:r>
        <w:tab/>
        <w:t>(6)</w:t>
      </w:r>
      <w:r>
        <w:tab/>
        <w:t>If a direction given under subsection (5)(b) is not complied with in the specified time, the Commission may —</w:t>
      </w:r>
    </w:p>
    <w:p>
      <w:pPr>
        <w:pStyle w:val="Indenta"/>
      </w:pPr>
      <w:r>
        <w:tab/>
        <w:t>(a)</w:t>
      </w:r>
      <w:r>
        <w:tab/>
        <w:t>require the wagering licensee to pay a monetary penalty of up to $1 000 000; or</w:t>
      </w:r>
    </w:p>
    <w:p>
      <w:pPr>
        <w:pStyle w:val="Indenta"/>
      </w:pPr>
      <w:r>
        <w:tab/>
        <w:t>(b)</w:t>
      </w:r>
      <w:r>
        <w:tab/>
        <w:t>make a written report to the Minister recommending that the Minister take action against the licensee under section 10L.</w:t>
      </w:r>
    </w:p>
    <w:p>
      <w:pPr>
        <w:pStyle w:val="Subsection"/>
      </w:pPr>
      <w:r>
        <w:tab/>
        <w:t>(7)</w:t>
      </w:r>
      <w:r>
        <w:tab/>
        <w:t>The Commission may require the wagering licensee to pay a monetary penalty under subsection (6)(a) whether or not the Commission has already required the licensee to pay a monetary penalty under subsection (4)(a)(ii) in relation to the same matter.</w:t>
      </w:r>
    </w:p>
    <w:p>
      <w:pPr>
        <w:pStyle w:val="Subsection"/>
      </w:pPr>
      <w:r>
        <w:tab/>
        <w:t>(8)</w:t>
      </w:r>
      <w:r>
        <w:tab/>
        <w:t>A monetary penalty imposed under this section may be recovered as a debt due to the State in a court of competent jurisdiction.</w:t>
      </w:r>
    </w:p>
    <w:p>
      <w:pPr>
        <w:pStyle w:val="Subsection"/>
      </w:pPr>
      <w:r>
        <w:tab/>
        <w:t>(9)</w:t>
      </w:r>
      <w:r>
        <w:tab/>
        <w:t>A report under subsection (4)(b) or (6)(b) must include the reasons for the findings and recommendations contained in it.</w:t>
      </w:r>
    </w:p>
    <w:p>
      <w:pPr>
        <w:pStyle w:val="Subsection"/>
      </w:pPr>
      <w:r>
        <w:tab/>
        <w:t>(10)</w:t>
      </w:r>
      <w:r>
        <w:tab/>
        <w:t>This section, other than subsection (4)(b) and (6)(b), applies with any necessary modifications to a former wagering licensee in respect of grounds for disciplinary action arising in relation to the licensee’s former wagering licence.</w:t>
      </w:r>
    </w:p>
    <w:p>
      <w:pPr>
        <w:pStyle w:val="Footnotesection"/>
        <w:rPr>
          <w:iCs/>
        </w:rPr>
      </w:pPr>
      <w:r>
        <w:rPr>
          <w:iCs/>
        </w:rPr>
        <w:tab/>
        <w:t>[Section 10K inserted: No. 21 of 2019 s. 47.]</w:t>
      </w:r>
    </w:p>
    <w:p>
      <w:pPr>
        <w:pStyle w:val="Heading5"/>
      </w:pPr>
      <w:bookmarkStart w:id="46" w:name="_Toc106096409"/>
      <w:r>
        <w:rPr>
          <w:rStyle w:val="CharSectno"/>
        </w:rPr>
        <w:t>10L</w:t>
      </w:r>
      <w:r>
        <w:t>.</w:t>
      </w:r>
      <w:r>
        <w:tab/>
        <w:t>Minister’s power to amend, suspend or cancel wagering licence</w:t>
      </w:r>
      <w:bookmarkEnd w:id="46"/>
    </w:p>
    <w:p>
      <w:pPr>
        <w:pStyle w:val="Subsection"/>
      </w:pPr>
      <w:r>
        <w:tab/>
        <w:t>(1)</w:t>
      </w:r>
      <w:r>
        <w:tab/>
        <w:t>If the Commission makes a report to the Minister under section 10K(4)(b) or (6)(b), the Minister may —</w:t>
      </w:r>
    </w:p>
    <w:p>
      <w:pPr>
        <w:pStyle w:val="Indenta"/>
      </w:pPr>
      <w:r>
        <w:tab/>
        <w:t>(a)</w:t>
      </w:r>
      <w:r>
        <w:tab/>
        <w:t>take 1 of the following actions —</w:t>
      </w:r>
    </w:p>
    <w:p>
      <w:pPr>
        <w:pStyle w:val="Indenti"/>
      </w:pPr>
      <w:r>
        <w:tab/>
        <w:t>(i)</w:t>
      </w:r>
      <w:r>
        <w:tab/>
        <w:t>amend the wagering licence;</w:t>
      </w:r>
    </w:p>
    <w:p>
      <w:pPr>
        <w:pStyle w:val="Indenti"/>
      </w:pPr>
      <w:r>
        <w:lastRenderedPageBreak/>
        <w:tab/>
        <w:t>(ii)</w:t>
      </w:r>
      <w:r>
        <w:tab/>
        <w:t>suspend the licence;</w:t>
      </w:r>
    </w:p>
    <w:p>
      <w:pPr>
        <w:pStyle w:val="Indenti"/>
      </w:pPr>
      <w:r>
        <w:tab/>
        <w:t>(iii)</w:t>
      </w:r>
      <w:r>
        <w:tab/>
        <w:t>cancel the licence;</w:t>
      </w:r>
    </w:p>
    <w:p>
      <w:pPr>
        <w:pStyle w:val="Indenta"/>
      </w:pPr>
      <w:r>
        <w:tab/>
      </w:r>
      <w:r>
        <w:tab/>
        <w:t>or</w:t>
      </w:r>
    </w:p>
    <w:p>
      <w:pPr>
        <w:pStyle w:val="Indenta"/>
      </w:pPr>
      <w:r>
        <w:tab/>
        <w:t>(b)</w:t>
      </w:r>
      <w:r>
        <w:tab/>
        <w:t>if the Minister determines that action under paragraph (a) is not warranted, remit the matter to the Commission with a request that the Commission consider whether action should be taken against the wagering licensee under section 10K(4)(a).</w:t>
      </w:r>
    </w:p>
    <w:p>
      <w:pPr>
        <w:pStyle w:val="Subsection"/>
      </w:pPr>
      <w:r>
        <w:tab/>
        <w:t>(2)</w:t>
      </w:r>
      <w:r>
        <w:tab/>
        <w:t>In determining whether to take action under this section, the Minister —</w:t>
      </w:r>
    </w:p>
    <w:p>
      <w:pPr>
        <w:pStyle w:val="Indenta"/>
      </w:pPr>
      <w:r>
        <w:tab/>
        <w:t>(a)</w:t>
      </w:r>
      <w:r>
        <w:tab/>
        <w:t>must take into account whether taking the action is in the public interest; and</w:t>
      </w:r>
    </w:p>
    <w:p>
      <w:pPr>
        <w:pStyle w:val="Indenta"/>
      </w:pPr>
      <w:r>
        <w:tab/>
        <w:t>(b)</w:t>
      </w:r>
      <w:r>
        <w:tab/>
        <w:t>is entitled to rely on the findings and recommendations in the report of the Commission under section 10K(4)(b) or (6)(b); and</w:t>
      </w:r>
    </w:p>
    <w:p>
      <w:pPr>
        <w:pStyle w:val="Indenta"/>
      </w:pPr>
      <w:r>
        <w:tab/>
        <w:t>(c)</w:t>
      </w:r>
      <w:r>
        <w:tab/>
        <w:t>is not required to give the wagering licensee a further opportunity to be heard or make submissions.</w:t>
      </w:r>
    </w:p>
    <w:p>
      <w:pPr>
        <w:pStyle w:val="Subsection"/>
      </w:pPr>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p>
    <w:p>
      <w:pPr>
        <w:pStyle w:val="Subsection"/>
      </w:pPr>
      <w:r>
        <w:tab/>
        <w:t>(4)</w:t>
      </w:r>
      <w:r>
        <w:tab/>
        <w:t xml:space="preserve">Cancellation, suspension or amendment of a wagering licence under this section takes effect — </w:t>
      </w:r>
    </w:p>
    <w:p>
      <w:pPr>
        <w:pStyle w:val="Indenta"/>
      </w:pPr>
      <w:r>
        <w:tab/>
        <w:t>(a)</w:t>
      </w:r>
      <w:r>
        <w:tab/>
        <w:t xml:space="preserve">when written notice is given to the wagering licensee; or </w:t>
      </w:r>
    </w:p>
    <w:p>
      <w:pPr>
        <w:pStyle w:val="Indenta"/>
      </w:pPr>
      <w:r>
        <w:tab/>
        <w:t>(b)</w:t>
      </w:r>
      <w:r>
        <w:tab/>
        <w:t>on a later date specified in the notice.</w:t>
      </w:r>
    </w:p>
    <w:p>
      <w:pPr>
        <w:pStyle w:val="Footnotesection"/>
        <w:rPr>
          <w:iCs/>
        </w:rPr>
      </w:pPr>
      <w:r>
        <w:rPr>
          <w:iCs/>
        </w:rPr>
        <w:tab/>
        <w:t>[Section 10L inserted: No. 21 of 2019 s. 47.]</w:t>
      </w:r>
    </w:p>
    <w:p>
      <w:pPr>
        <w:pStyle w:val="Heading5"/>
      </w:pPr>
      <w:bookmarkStart w:id="47" w:name="_Toc106096410"/>
      <w:r>
        <w:rPr>
          <w:rStyle w:val="CharSectno"/>
        </w:rPr>
        <w:t>10M</w:t>
      </w:r>
      <w:r>
        <w:t>.</w:t>
      </w:r>
      <w:r>
        <w:tab/>
        <w:t>Suspension of wagering licence</w:t>
      </w:r>
      <w:bookmarkEnd w:id="47"/>
    </w:p>
    <w:p>
      <w:pPr>
        <w:pStyle w:val="Subsection"/>
      </w:pPr>
      <w:r>
        <w:tab/>
        <w:t>(1)</w:t>
      </w:r>
      <w:r>
        <w:tab/>
        <w:t xml:space="preserve">The Minister may, by written notice, suspend a wagering licence under section 10L(1)(a)(ii) — </w:t>
      </w:r>
    </w:p>
    <w:p>
      <w:pPr>
        <w:pStyle w:val="Indenta"/>
      </w:pPr>
      <w:r>
        <w:tab/>
        <w:t>(a)</w:t>
      </w:r>
      <w:r>
        <w:tab/>
        <w:t>until a date specified in the notice; or</w:t>
      </w:r>
    </w:p>
    <w:p>
      <w:pPr>
        <w:pStyle w:val="Indenta"/>
        <w:keepNext/>
      </w:pPr>
      <w:r>
        <w:lastRenderedPageBreak/>
        <w:tab/>
        <w:t>(b)</w:t>
      </w:r>
      <w:r>
        <w:tab/>
        <w:t xml:space="preserve">if the notice specifies it, until the Minister — </w:t>
      </w:r>
    </w:p>
    <w:p>
      <w:pPr>
        <w:pStyle w:val="Indenti"/>
      </w:pPr>
      <w:r>
        <w:tab/>
        <w:t>(i)</w:t>
      </w:r>
      <w:r>
        <w:tab/>
        <w:t>is satisfied that a direction under section 10K(5)(b) has been complied with; and</w:t>
      </w:r>
    </w:p>
    <w:p>
      <w:pPr>
        <w:pStyle w:val="Indenti"/>
      </w:pPr>
      <w:r>
        <w:tab/>
        <w:t>(ii)</w:t>
      </w:r>
      <w:r>
        <w:tab/>
        <w:t>notifies the wagering licensee in writing that the suspension has been lifted.</w:t>
      </w:r>
    </w:p>
    <w:p>
      <w:pPr>
        <w:pStyle w:val="Subsection"/>
      </w:pPr>
      <w:r>
        <w:tab/>
        <w:t>(2)</w:t>
      </w:r>
      <w:r>
        <w:tab/>
        <w:t xml:space="preserve">Alternatively, the Minister may partially suspend a wagering licence (for example, in respect of the conduct of a wagering service at a specified racecourse or venue for a specified race or event) until — </w:t>
      </w:r>
    </w:p>
    <w:p>
      <w:pPr>
        <w:pStyle w:val="Indenta"/>
      </w:pPr>
      <w:r>
        <w:tab/>
        <w:t>(a)</w:t>
      </w:r>
      <w:r>
        <w:tab/>
        <w:t>a date, as referred to in subsection (1)(a); or</w:t>
      </w:r>
    </w:p>
    <w:p>
      <w:pPr>
        <w:pStyle w:val="Indenta"/>
      </w:pPr>
      <w:r>
        <w:tab/>
        <w:t>(b)</w:t>
      </w:r>
      <w:r>
        <w:tab/>
        <w:t>the happening of an occurrence referred to in subsection (1)(b).</w:t>
      </w:r>
    </w:p>
    <w:p>
      <w:pPr>
        <w:pStyle w:val="Footnotesection"/>
        <w:rPr>
          <w:iCs/>
        </w:rPr>
      </w:pPr>
      <w:r>
        <w:rPr>
          <w:iCs/>
        </w:rPr>
        <w:tab/>
        <w:t>[Section 10M inserted: No. 21 of 2019 s. 47.]</w:t>
      </w:r>
    </w:p>
    <w:p>
      <w:pPr>
        <w:pStyle w:val="Heading5"/>
      </w:pPr>
      <w:bookmarkStart w:id="48" w:name="_Toc106096411"/>
      <w:r>
        <w:rPr>
          <w:rStyle w:val="CharSectno"/>
        </w:rPr>
        <w:t>10N</w:t>
      </w:r>
      <w:r>
        <w:t>.</w:t>
      </w:r>
      <w:r>
        <w:tab/>
        <w:t>Surrender of wagering licence</w:t>
      </w:r>
      <w:bookmarkEnd w:id="48"/>
    </w:p>
    <w:p>
      <w:pPr>
        <w:pStyle w:val="Subsection"/>
      </w:pPr>
      <w:r>
        <w:tab/>
        <w:t>(1)</w:t>
      </w:r>
      <w:r>
        <w:tab/>
        <w:t xml:space="preserve">A wagering licensee may surrender the licensee’s wagering licence by giving written notice to the Minister. </w:t>
      </w:r>
    </w:p>
    <w:p>
      <w:pPr>
        <w:pStyle w:val="Subsection"/>
      </w:pPr>
      <w:r>
        <w:tab/>
        <w:t>(2)</w:t>
      </w:r>
      <w:r>
        <w:tab/>
        <w:t>The surrender takes effect only if the Minister consents to the surrender.</w:t>
      </w:r>
    </w:p>
    <w:p>
      <w:pPr>
        <w:pStyle w:val="Footnotesection"/>
        <w:rPr>
          <w:iCs/>
        </w:rPr>
      </w:pPr>
      <w:r>
        <w:rPr>
          <w:iCs/>
        </w:rPr>
        <w:tab/>
        <w:t>[Section 10N inserted: No. 21 of 2019 s. 47.]</w:t>
      </w:r>
    </w:p>
    <w:p>
      <w:pPr>
        <w:pStyle w:val="Heading5"/>
      </w:pPr>
      <w:bookmarkStart w:id="49" w:name="_Toc106096412"/>
      <w:r>
        <w:rPr>
          <w:rStyle w:val="CharSectno"/>
        </w:rPr>
        <w:t>10O</w:t>
      </w:r>
      <w:r>
        <w:t>.</w:t>
      </w:r>
      <w:r>
        <w:tab/>
        <w:t>Appointment of temporary licensee if wagering licence suspended, cancelled, surrendered</w:t>
      </w:r>
      <w:bookmarkEnd w:id="49"/>
    </w:p>
    <w:p>
      <w:pPr>
        <w:pStyle w:val="Subsection"/>
      </w:pPr>
      <w:r>
        <w:tab/>
        <w:t>(1)</w:t>
      </w:r>
      <w:r>
        <w:tab/>
        <w:t xml:space="preserve">This section applies if — </w:t>
      </w:r>
    </w:p>
    <w:p>
      <w:pPr>
        <w:pStyle w:val="Indenta"/>
      </w:pPr>
      <w:r>
        <w:tab/>
        <w:t>(a)</w:t>
      </w:r>
      <w:r>
        <w:tab/>
        <w:t>a wagering licence is suspended, cancelled or surrendered; and</w:t>
      </w:r>
    </w:p>
    <w:p>
      <w:pPr>
        <w:pStyle w:val="Indenta"/>
      </w:pPr>
      <w:r>
        <w:tab/>
        <w:t>(b)</w:t>
      </w:r>
      <w:r>
        <w:tab/>
        <w:t>the Minister determines that —</w:t>
      </w:r>
    </w:p>
    <w:p>
      <w:pPr>
        <w:pStyle w:val="Indenti"/>
      </w:pPr>
      <w:r>
        <w:tab/>
        <w:t>(i)</w:t>
      </w:r>
      <w:r>
        <w:tab/>
        <w:t xml:space="preserve">another person (a </w:t>
      </w:r>
      <w:r>
        <w:rPr>
          <w:rStyle w:val="CharDefText"/>
        </w:rPr>
        <w:t>temporary licensee</w:t>
      </w:r>
      <w:r>
        <w:t>), and each associate of the temporary licensee, is of good repute; and</w:t>
      </w:r>
    </w:p>
    <w:p>
      <w:pPr>
        <w:pStyle w:val="Indenti"/>
      </w:pPr>
      <w:r>
        <w:tab/>
        <w:t>(ii)</w:t>
      </w:r>
      <w:r>
        <w:tab/>
        <w:t>it is otherwise in the public interest to make the appointment.</w:t>
      </w:r>
    </w:p>
    <w:p>
      <w:pPr>
        <w:pStyle w:val="Subsection"/>
      </w:pPr>
      <w:r>
        <w:lastRenderedPageBreak/>
        <w:tab/>
        <w:t>(2)</w:t>
      </w:r>
      <w:r>
        <w:tab/>
        <w:t>The Minister may, by notice in writing, appoint the temporary licensee to be a wagering licensee.</w:t>
      </w:r>
    </w:p>
    <w:p>
      <w:pPr>
        <w:pStyle w:val="Subsection"/>
      </w:pPr>
      <w:r>
        <w:tab/>
        <w:t>(3)</w:t>
      </w:r>
      <w:r>
        <w:tab/>
        <w:t>The provisions of this Act, other than sections 10, 10A, 10C, 10K(4)(b) and (6)(b), 10L and 10M, apply, with the necessary modifications, to the temporary licensee as if the temporary licensee had been granted a wagering licence under section 10A.</w:t>
      </w:r>
    </w:p>
    <w:p>
      <w:pPr>
        <w:pStyle w:val="Subsection"/>
      </w:pPr>
      <w:r>
        <w:tab/>
        <w:t>(4)</w:t>
      </w:r>
      <w:r>
        <w:tab/>
        <w:t>The Minister may impose any conditions on the appointment as the Minister thinks fit.</w:t>
      </w:r>
    </w:p>
    <w:p>
      <w:pPr>
        <w:pStyle w:val="Subsection"/>
      </w:pPr>
      <w:r>
        <w:tab/>
        <w:t>(5)</w:t>
      </w:r>
      <w:r>
        <w:tab/>
        <w:t xml:space="preserve">The appointment ends when the first of these things occurs — </w:t>
      </w:r>
    </w:p>
    <w:p>
      <w:pPr>
        <w:pStyle w:val="Indenta"/>
      </w:pPr>
      <w:r>
        <w:tab/>
        <w:t>(a)</w:t>
      </w:r>
      <w:r>
        <w:tab/>
        <w:t>the period of 2 years after the appointment, or any shorter period specified in the appointment, ends;</w:t>
      </w:r>
    </w:p>
    <w:p>
      <w:pPr>
        <w:pStyle w:val="Indenta"/>
      </w:pPr>
      <w:r>
        <w:tab/>
        <w:t>(b)</w:t>
      </w:r>
      <w:r>
        <w:tab/>
        <w:t>in the case of a suspended wagering licence, the suspension ends;</w:t>
      </w:r>
    </w:p>
    <w:p>
      <w:pPr>
        <w:pStyle w:val="Indenta"/>
      </w:pPr>
      <w:r>
        <w:tab/>
        <w:t>(c)</w:t>
      </w:r>
      <w:r>
        <w:tab/>
        <w:t>the Minister terminates the appointment under subsection (6).</w:t>
      </w:r>
    </w:p>
    <w:p>
      <w:pPr>
        <w:pStyle w:val="Subsection"/>
      </w:pPr>
      <w:r>
        <w:tab/>
        <w:t>(6)</w:t>
      </w:r>
      <w:r>
        <w:tab/>
        <w:t>The Minister may terminate the appointment at any time, as the Minister thinks fit.</w:t>
      </w:r>
    </w:p>
    <w:p>
      <w:pPr>
        <w:pStyle w:val="Footnotesection"/>
        <w:rPr>
          <w:iCs/>
        </w:rPr>
      </w:pPr>
      <w:r>
        <w:rPr>
          <w:iCs/>
        </w:rPr>
        <w:tab/>
        <w:t>[Section 10O inserted: No. 21 of 2019 s. 47.]</w:t>
      </w:r>
    </w:p>
    <w:p>
      <w:pPr>
        <w:pStyle w:val="Heading5"/>
      </w:pPr>
      <w:bookmarkStart w:id="50" w:name="_Toc106096413"/>
      <w:r>
        <w:rPr>
          <w:rStyle w:val="CharSectno"/>
        </w:rPr>
        <w:t>10P</w:t>
      </w:r>
      <w:r>
        <w:t>.</w:t>
      </w:r>
      <w:r>
        <w:tab/>
        <w:t>Directions necessary for transitioning to new wagering licence</w:t>
      </w:r>
      <w:bookmarkEnd w:id="50"/>
    </w:p>
    <w:p>
      <w:pPr>
        <w:pStyle w:val="Subsection"/>
      </w:pPr>
      <w:r>
        <w:tab/>
        <w:t>(1)</w:t>
      </w:r>
      <w:r>
        <w:tab/>
        <w:t>The Minister may issue to a wagering licensee (a </w:t>
      </w:r>
      <w:r>
        <w:rPr>
          <w:rStyle w:val="CharDefText"/>
        </w:rPr>
        <w:t>former licensee</w:t>
      </w:r>
      <w:r>
        <w:t xml:space="preserve">) any directions necessary to enable the Minister to — </w:t>
      </w:r>
    </w:p>
    <w:p>
      <w:pPr>
        <w:pStyle w:val="Indenta"/>
      </w:pPr>
      <w:r>
        <w:tab/>
        <w:t>(a)</w:t>
      </w:r>
      <w:r>
        <w:tab/>
        <w:t>grant a wagering licence to another person under section 10A and provide for the transition to the other person of activities conducted under the wagering licence; or</w:t>
      </w:r>
    </w:p>
    <w:p>
      <w:pPr>
        <w:pStyle w:val="Indenta"/>
      </w:pPr>
      <w:r>
        <w:tab/>
        <w:t>(b)</w:t>
      </w:r>
      <w:r>
        <w:tab/>
        <w:t>appoint a temporary licensee under section 10O and provide for the transition to the temporary licensee of activities conducted under the wagering licence.</w:t>
      </w:r>
    </w:p>
    <w:p>
      <w:pPr>
        <w:pStyle w:val="Subsection"/>
      </w:pPr>
      <w:r>
        <w:lastRenderedPageBreak/>
        <w:tab/>
        <w:t>(2)</w:t>
      </w:r>
      <w:r>
        <w:tab/>
        <w:t>The directions may be given at any time within 2 years before or 2 years after the cancellation, surrender or expiry, as the case requires, of the former licensee’s wagering licence.</w:t>
      </w:r>
    </w:p>
    <w:p>
      <w:pPr>
        <w:pStyle w:val="Footnotesection"/>
        <w:rPr>
          <w:iCs/>
        </w:rPr>
      </w:pPr>
      <w:r>
        <w:rPr>
          <w:iCs/>
        </w:rPr>
        <w:tab/>
        <w:t>[Section 10P inserted: No. 21 of 2019 s. 47.]</w:t>
      </w:r>
    </w:p>
    <w:p>
      <w:pPr>
        <w:pStyle w:val="Heading3"/>
      </w:pPr>
      <w:bookmarkStart w:id="51" w:name="_Toc106004655"/>
      <w:bookmarkStart w:id="52" w:name="_Toc106004777"/>
      <w:bookmarkStart w:id="53" w:name="_Toc106096414"/>
      <w:r>
        <w:rPr>
          <w:rStyle w:val="CharDivNo"/>
        </w:rPr>
        <w:t>Division 5</w:t>
      </w:r>
      <w:r>
        <w:t> — </w:t>
      </w:r>
      <w:r>
        <w:rPr>
          <w:rStyle w:val="CharDivText"/>
        </w:rPr>
        <w:t>Miscellaneous</w:t>
      </w:r>
      <w:bookmarkEnd w:id="51"/>
      <w:bookmarkEnd w:id="52"/>
      <w:bookmarkEnd w:id="53"/>
    </w:p>
    <w:p>
      <w:pPr>
        <w:pStyle w:val="Footnoteheading"/>
        <w:rPr>
          <w:iCs/>
        </w:rPr>
      </w:pPr>
      <w:r>
        <w:rPr>
          <w:iCs/>
        </w:rPr>
        <w:tab/>
        <w:t xml:space="preserve">[Heading inserted: </w:t>
      </w:r>
      <w:r>
        <w:t>No. 21 of 2009 s. 47</w:t>
      </w:r>
      <w:r>
        <w:rPr>
          <w:iCs/>
        </w:rPr>
        <w:t>.]</w:t>
      </w:r>
    </w:p>
    <w:p>
      <w:pPr>
        <w:pStyle w:val="Heading5"/>
      </w:pPr>
      <w:bookmarkStart w:id="54" w:name="_Toc106096415"/>
      <w:r>
        <w:rPr>
          <w:rStyle w:val="CharSectno"/>
        </w:rPr>
        <w:t>10Q</w:t>
      </w:r>
      <w:r>
        <w:t>.</w:t>
      </w:r>
      <w:r>
        <w:tab/>
        <w:t>Wagering licence agreements</w:t>
      </w:r>
      <w:bookmarkEnd w:id="54"/>
    </w:p>
    <w:p>
      <w:pPr>
        <w:pStyle w:val="Subsection"/>
      </w:pPr>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p>
    <w:p>
      <w:pPr>
        <w:pStyle w:val="Subsection"/>
      </w:pPr>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p>
    <w:p>
      <w:pPr>
        <w:pStyle w:val="Footnotesection"/>
        <w:rPr>
          <w:iCs/>
        </w:rPr>
      </w:pPr>
      <w:r>
        <w:rPr>
          <w:iCs/>
        </w:rPr>
        <w:tab/>
        <w:t>[Section 10Q inserted: No. 21 of 2019 s. 47.]</w:t>
      </w:r>
    </w:p>
    <w:p>
      <w:pPr>
        <w:pStyle w:val="Heading5"/>
      </w:pPr>
      <w:bookmarkStart w:id="55" w:name="_Toc106096416"/>
      <w:r>
        <w:rPr>
          <w:rStyle w:val="CharSectno"/>
        </w:rPr>
        <w:t>10R</w:t>
      </w:r>
      <w:r>
        <w:t>.</w:t>
      </w:r>
      <w:r>
        <w:tab/>
        <w:t>Minister may amend wagering licence on request</w:t>
      </w:r>
      <w:bookmarkEnd w:id="55"/>
    </w:p>
    <w:p>
      <w:pPr>
        <w:pStyle w:val="Subsection"/>
      </w:pPr>
      <w:r>
        <w:tab/>
        <w:t>(1)</w:t>
      </w:r>
      <w:r>
        <w:tab/>
        <w:t>A wagering licensee may, by written request to the Minister, propose an amendment to the wagering licence.</w:t>
      </w:r>
    </w:p>
    <w:p>
      <w:pPr>
        <w:pStyle w:val="Subsection"/>
      </w:pPr>
      <w:r>
        <w:tab/>
        <w:t>(2)</w:t>
      </w:r>
      <w:r>
        <w:tab/>
        <w:t>The Minister must consult the Commission before deciding whether to grant or refuse the request.</w:t>
      </w:r>
    </w:p>
    <w:p>
      <w:pPr>
        <w:pStyle w:val="Subsection"/>
      </w:pPr>
      <w:r>
        <w:tab/>
        <w:t>(3)</w:t>
      </w:r>
      <w:r>
        <w:tab/>
        <w:t>The Minister must notify the wagering licensee in writing of the Minister’s decision in relation to the request.</w:t>
      </w:r>
    </w:p>
    <w:p>
      <w:pPr>
        <w:pStyle w:val="Subsection"/>
      </w:pPr>
      <w:r>
        <w:tab/>
        <w:t>(4)</w:t>
      </w:r>
      <w:r>
        <w:tab/>
        <w:t xml:space="preserve">If the Minister decides to approve the requested amendment, the amendment takes effect — </w:t>
      </w:r>
    </w:p>
    <w:p>
      <w:pPr>
        <w:pStyle w:val="Indenta"/>
      </w:pPr>
      <w:r>
        <w:tab/>
        <w:t>(a)</w:t>
      </w:r>
      <w:r>
        <w:tab/>
        <w:t xml:space="preserve">when notice of the Minister’s decision is given to the wagering licensee; or </w:t>
      </w:r>
    </w:p>
    <w:p>
      <w:pPr>
        <w:pStyle w:val="Indenta"/>
      </w:pPr>
      <w:r>
        <w:lastRenderedPageBreak/>
        <w:tab/>
        <w:t>(b)</w:t>
      </w:r>
      <w:r>
        <w:tab/>
        <w:t>on a later date specified in the notice.</w:t>
      </w:r>
    </w:p>
    <w:p>
      <w:pPr>
        <w:pStyle w:val="Footnotesection"/>
        <w:rPr>
          <w:iCs/>
        </w:rPr>
      </w:pPr>
      <w:r>
        <w:rPr>
          <w:iCs/>
        </w:rPr>
        <w:tab/>
        <w:t>[Section 10R inserted: No. 21 of 2019 s. 47.]</w:t>
      </w:r>
    </w:p>
    <w:p>
      <w:pPr>
        <w:pStyle w:val="Heading5"/>
      </w:pPr>
      <w:bookmarkStart w:id="56" w:name="_Toc106096417"/>
      <w:r>
        <w:rPr>
          <w:rStyle w:val="CharSectno"/>
        </w:rPr>
        <w:t>10S</w:t>
      </w:r>
      <w:r>
        <w:t>.</w:t>
      </w:r>
      <w:r>
        <w:tab/>
        <w:t>Combined totalisator pool and fixed odds schemes</w:t>
      </w:r>
      <w:bookmarkEnd w:id="56"/>
    </w:p>
    <w:p>
      <w:pPr>
        <w:pStyle w:val="Subsection"/>
      </w:pPr>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p>
    <w:p>
      <w:pPr>
        <w:pStyle w:val="Subsection"/>
      </w:pPr>
      <w:r>
        <w:tab/>
        <w:t>(2)</w:t>
      </w:r>
      <w:r>
        <w:tab/>
        <w:t xml:space="preserve">Despite any provision of the regulations or rules of betting, and except as provided in subsections (4) and (5), the wagering licensee may, when participating in a scheme — </w:t>
      </w:r>
    </w:p>
    <w:p>
      <w:pPr>
        <w:pStyle w:val="Indenta"/>
      </w:pPr>
      <w:r>
        <w:tab/>
        <w:t>(a)</w:t>
      </w:r>
      <w:r>
        <w:tab/>
        <w:t>adopt and operate under any rules relating to the operation or administration of the scheme, including in relation to the amount deducted from a bet by way of commission under the scheme; or</w:t>
      </w:r>
    </w:p>
    <w:p>
      <w:pPr>
        <w:pStyle w:val="Indenta"/>
      </w:pPr>
      <w:r>
        <w:tab/>
        <w:t>(b)</w:t>
      </w:r>
      <w:r>
        <w:tab/>
        <w:t>with the approval of the Commission, make other arrangements for the administration of the scheme.</w:t>
      </w:r>
    </w:p>
    <w:p>
      <w:pPr>
        <w:pStyle w:val="Subsection"/>
      </w:pPr>
      <w:r>
        <w:tab/>
        <w:t>(3)</w:t>
      </w:r>
      <w:r>
        <w:tab/>
        <w:t xml:space="preserve">The wagering licensee must ensure that a copy of any rules adopted, or arrangements made, under subsection (2), and any subsequent amendment to those rules or arrangements, is — </w:t>
      </w:r>
    </w:p>
    <w:p>
      <w:pPr>
        <w:pStyle w:val="Indenta"/>
      </w:pPr>
      <w:r>
        <w:tab/>
        <w:t>(a)</w:t>
      </w:r>
      <w:r>
        <w:tab/>
        <w:t>delivered to the Commission; and</w:t>
      </w:r>
    </w:p>
    <w:p>
      <w:pPr>
        <w:pStyle w:val="Indenta"/>
      </w:pPr>
      <w:r>
        <w:tab/>
        <w:t>(b)</w:t>
      </w:r>
      <w:r>
        <w:tab/>
        <w:t>published in a manner approved by the Commission.</w:t>
      </w:r>
    </w:p>
    <w:p>
      <w:pPr>
        <w:pStyle w:val="Subsection"/>
      </w:pPr>
      <w:r>
        <w:tab/>
        <w:t>(4)</w:t>
      </w:r>
      <w:r>
        <w:tab/>
        <w:t>If the Commission determines that the adoption of any rules under subsection (2)(a) or making of any arrangements under subsection (2)(b) is, or will be, detrimental to the public interest, the Commission may, as the case requires and in accordance with the regulations, direct the wagering licensee not to adopt the rules or make the arrangements.</w:t>
      </w:r>
    </w:p>
    <w:p>
      <w:pPr>
        <w:pStyle w:val="Subsection"/>
      </w:pPr>
      <w:r>
        <w:tab/>
        <w:t>(5)</w:t>
      </w:r>
      <w:r>
        <w:tab/>
        <w:t>The wagering licensee must comply with the direction.</w:t>
      </w:r>
    </w:p>
    <w:p>
      <w:pPr>
        <w:pStyle w:val="Footnotesection"/>
        <w:rPr>
          <w:iCs/>
        </w:rPr>
      </w:pPr>
      <w:r>
        <w:rPr>
          <w:iCs/>
        </w:rPr>
        <w:tab/>
        <w:t>[Section 10S inserted: No. 21 of 2019 s. 47.]</w:t>
      </w:r>
    </w:p>
    <w:p>
      <w:pPr>
        <w:pStyle w:val="Heading5"/>
      </w:pPr>
      <w:bookmarkStart w:id="57" w:name="_Toc106096418"/>
      <w:r>
        <w:rPr>
          <w:rStyle w:val="CharSectno"/>
        </w:rPr>
        <w:lastRenderedPageBreak/>
        <w:t>10T</w:t>
      </w:r>
      <w:r>
        <w:t>.</w:t>
      </w:r>
      <w:r>
        <w:tab/>
        <w:t>Engaging contractors and appointing agents to assist wagering licensee</w:t>
      </w:r>
      <w:bookmarkEnd w:id="57"/>
    </w:p>
    <w:p>
      <w:pPr>
        <w:pStyle w:val="Subsection"/>
      </w:pPr>
      <w:r>
        <w:tab/>
        <w:t>(1)</w:t>
      </w:r>
      <w:r>
        <w:tab/>
        <w:t>A wagering licence may authorise the wagering licensee to engage a person on contract, or to appoint an agent, to assist in the conduct of the wagering business under the licence.</w:t>
      </w:r>
    </w:p>
    <w:p>
      <w:pPr>
        <w:pStyle w:val="Subsection"/>
      </w:pPr>
      <w:r>
        <w:tab/>
        <w:t>(2)</w:t>
      </w:r>
      <w:r>
        <w:tab/>
        <w:t>The engagement of a person, or the appointment of an agent, by the wagering licensee does not affect any function or obligation of the wagering licensee under this Part, the wagering licence or a wagering licence agreement.</w:t>
      </w:r>
    </w:p>
    <w:p>
      <w:pPr>
        <w:pStyle w:val="Footnotesection"/>
        <w:rPr>
          <w:iCs/>
        </w:rPr>
      </w:pPr>
      <w:r>
        <w:rPr>
          <w:iCs/>
        </w:rPr>
        <w:tab/>
        <w:t>[Section 10T inserted: No. 21 of 2019 s. 47.]</w:t>
      </w:r>
    </w:p>
    <w:p>
      <w:pPr>
        <w:pStyle w:val="Heading5"/>
      </w:pPr>
      <w:bookmarkStart w:id="58" w:name="_Toc106096419"/>
      <w:r>
        <w:rPr>
          <w:rStyle w:val="CharSectno"/>
        </w:rPr>
        <w:t>10U</w:t>
      </w:r>
      <w:r>
        <w:t>.</w:t>
      </w:r>
      <w:r>
        <w:tab/>
        <w:t>Betting agencies</w:t>
      </w:r>
      <w:bookmarkEnd w:id="58"/>
    </w:p>
    <w:p>
      <w:pPr>
        <w:pStyle w:val="Subsection"/>
      </w:pPr>
      <w:r>
        <w:tab/>
        <w:t>(1)</w:t>
      </w:r>
      <w:r>
        <w:tab/>
        <w:t xml:space="preserve">Except as provided in this section and section 10V, a wagering licensee may establish agencies where bets may be made with the wagering licensee. </w:t>
      </w:r>
    </w:p>
    <w:p>
      <w:pPr>
        <w:pStyle w:val="Subsection"/>
      </w:pPr>
      <w:r>
        <w:tab/>
        <w:t>(2)</w:t>
      </w:r>
      <w:r>
        <w:tab/>
        <w:t>The wagering licensee must not establish a betting agency on a racecourse without the prior approval of the committee or other authority controlling the racecourse.</w:t>
      </w:r>
    </w:p>
    <w:p>
      <w:pPr>
        <w:pStyle w:val="Subsection"/>
      </w:pPr>
      <w:r>
        <w:tab/>
        <w:t>(3)</w:t>
      </w:r>
      <w:r>
        <w:tab/>
        <w:t xml:space="preserve">The wagering licensee may establish a betting agency in licensed premises in accordance with an approval under the </w:t>
      </w:r>
      <w:r>
        <w:rPr>
          <w:i/>
        </w:rPr>
        <w:t>Liquor Control Act 1988</w:t>
      </w:r>
      <w:r>
        <w:t xml:space="preserve"> section 119A.</w:t>
      </w:r>
    </w:p>
    <w:p>
      <w:pPr>
        <w:pStyle w:val="Subsection"/>
      </w:pPr>
      <w:r>
        <w:tab/>
        <w:t>(4)</w:t>
      </w:r>
      <w:r>
        <w:tab/>
        <w:t>The wagering licensee must not establish a betting agency unless it has given the Commission written notice of its intention to establish the agency.</w:t>
      </w:r>
    </w:p>
    <w:p>
      <w:pPr>
        <w:pStyle w:val="Subsection"/>
      </w:pPr>
      <w:r>
        <w:tab/>
        <w:t>(5)</w:t>
      </w:r>
      <w:r>
        <w:tab/>
        <w:t>A notice must be given in a form approved by the Commission.</w:t>
      </w:r>
    </w:p>
    <w:p>
      <w:pPr>
        <w:pStyle w:val="Subsection"/>
      </w:pPr>
      <w:r>
        <w:tab/>
        <w:t>(6)</w:t>
      </w:r>
      <w:r>
        <w:tab/>
        <w:t xml:space="preserve">A totalisator agency operating immediately before the day on which the </w:t>
      </w:r>
      <w:r>
        <w:rPr>
          <w:i/>
        </w:rPr>
        <w:t>TAB (Disposal) Act 2019</w:t>
      </w:r>
      <w:r>
        <w:t xml:space="preserve"> section 129 comes into operation is, on and after that day, taken to be a betting agency for the purposes of this Act and subsection (4) does not apply to that agency.</w:t>
      </w:r>
    </w:p>
    <w:p>
      <w:pPr>
        <w:pStyle w:val="Footnotesection"/>
        <w:rPr>
          <w:iCs/>
        </w:rPr>
      </w:pPr>
      <w:r>
        <w:rPr>
          <w:iCs/>
        </w:rPr>
        <w:tab/>
        <w:t>[Section 10U inserted: No. 21 of 2019 s. 47.]</w:t>
      </w:r>
    </w:p>
    <w:p>
      <w:pPr>
        <w:pStyle w:val="Heading5"/>
      </w:pPr>
      <w:bookmarkStart w:id="59" w:name="_Toc106096420"/>
      <w:r>
        <w:rPr>
          <w:rStyle w:val="CharSectno"/>
        </w:rPr>
        <w:lastRenderedPageBreak/>
        <w:t>10V</w:t>
      </w:r>
      <w:r>
        <w:t>.</w:t>
      </w:r>
      <w:r>
        <w:tab/>
        <w:t>Directions relating to betting agencies</w:t>
      </w:r>
      <w:bookmarkEnd w:id="59"/>
    </w:p>
    <w:p>
      <w:pPr>
        <w:pStyle w:val="Subsection"/>
      </w:pPr>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p>
    <w:p>
      <w:pPr>
        <w:pStyle w:val="Indenta"/>
      </w:pPr>
      <w:r>
        <w:tab/>
        <w:t>(a)</w:t>
      </w:r>
      <w:r>
        <w:tab/>
        <w:t xml:space="preserve">to close the betting agency; or </w:t>
      </w:r>
    </w:p>
    <w:p>
      <w:pPr>
        <w:pStyle w:val="Indenta"/>
      </w:pPr>
      <w:r>
        <w:tab/>
        <w:t>(b)</w:t>
      </w:r>
      <w:r>
        <w:tab/>
        <w:t>not to establish the betting agency.</w:t>
      </w:r>
    </w:p>
    <w:p>
      <w:pPr>
        <w:pStyle w:val="Subsection"/>
      </w:pPr>
      <w:r>
        <w:tab/>
        <w:t>(2)</w:t>
      </w:r>
      <w:r>
        <w:tab/>
        <w:t>The wagering licensee must comply with the direction.</w:t>
      </w:r>
    </w:p>
    <w:p>
      <w:pPr>
        <w:pStyle w:val="Footnotesection"/>
        <w:rPr>
          <w:iCs/>
        </w:rPr>
      </w:pPr>
      <w:r>
        <w:rPr>
          <w:iCs/>
        </w:rPr>
        <w:tab/>
        <w:t>[Section 10V inserted: No. 21 of 2019 s. 47.]</w:t>
      </w:r>
    </w:p>
    <w:p>
      <w:pPr>
        <w:pStyle w:val="Heading5"/>
      </w:pPr>
      <w:bookmarkStart w:id="60" w:name="_Toc106096421"/>
      <w:r>
        <w:rPr>
          <w:rStyle w:val="CharSectno"/>
        </w:rPr>
        <w:t>10W</w:t>
      </w:r>
      <w:r>
        <w:t>.</w:t>
      </w:r>
      <w:r>
        <w:tab/>
        <w:t>Wagering licensee to give notice to Commission about certain matters</w:t>
      </w:r>
      <w:bookmarkEnd w:id="60"/>
    </w:p>
    <w:p>
      <w:pPr>
        <w:pStyle w:val="Subsection"/>
      </w:pPr>
      <w:r>
        <w:tab/>
        <w:t>(1)</w:t>
      </w:r>
      <w:r>
        <w:tab/>
        <w:t xml:space="preserve">A wagering licensee must give to the Commission written notice of the following — </w:t>
      </w:r>
    </w:p>
    <w:p>
      <w:pPr>
        <w:pStyle w:val="Indenta"/>
      </w:pPr>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p>
    <w:p>
      <w:pPr>
        <w:pStyle w:val="Indenta"/>
      </w:pPr>
      <w:r>
        <w:tab/>
        <w:t>(b)</w:t>
      </w:r>
      <w:r>
        <w:tab/>
        <w:t>that disciplinary action has been taken against the wagering licensee, or an associate or key employee of the wagering licensee, by an equivalent regulator to the Commission in another State or a Territory;</w:t>
      </w:r>
    </w:p>
    <w:p>
      <w:pPr>
        <w:pStyle w:val="Indenta"/>
      </w:pPr>
      <w:r>
        <w:tab/>
        <w:t>(c)</w:t>
      </w:r>
      <w:r>
        <w:tab/>
        <w:t>any other prescribed matter.</w:t>
      </w:r>
    </w:p>
    <w:p>
      <w:pPr>
        <w:pStyle w:val="Subsection"/>
      </w:pPr>
      <w:r>
        <w:tab/>
        <w:t>(2)</w:t>
      </w:r>
      <w:r>
        <w:tab/>
        <w:t>For the purposes of subsection (1), the wagering licensee must give the notice within 7 days of becoming aware of the conviction, disciplinary action or other matter.</w:t>
      </w:r>
    </w:p>
    <w:p>
      <w:pPr>
        <w:pStyle w:val="Footnotesection"/>
        <w:rPr>
          <w:iCs/>
        </w:rPr>
      </w:pPr>
      <w:r>
        <w:rPr>
          <w:iCs/>
        </w:rPr>
        <w:tab/>
        <w:t>[Section 10W inserted: No. 21 of 2019 s. 47.]</w:t>
      </w:r>
    </w:p>
    <w:p>
      <w:pPr>
        <w:pStyle w:val="Heading5"/>
      </w:pPr>
      <w:bookmarkStart w:id="61" w:name="_Toc106096422"/>
      <w:r>
        <w:rPr>
          <w:rStyle w:val="CharSectno"/>
        </w:rPr>
        <w:lastRenderedPageBreak/>
        <w:t>10X</w:t>
      </w:r>
      <w:r>
        <w:t>.</w:t>
      </w:r>
      <w:r>
        <w:tab/>
        <w:t>Approval of associates of wagering licensee</w:t>
      </w:r>
      <w:bookmarkEnd w:id="61"/>
    </w:p>
    <w:p>
      <w:pPr>
        <w:pStyle w:val="Subsection"/>
      </w:pPr>
      <w:r>
        <w:tab/>
        <w:t>(1)</w:t>
      </w:r>
      <w:r>
        <w:tab/>
        <w:t xml:space="preserve">In this section — </w:t>
      </w:r>
    </w:p>
    <w:p>
      <w:pPr>
        <w:pStyle w:val="Defstart"/>
      </w:pPr>
      <w:r>
        <w:tab/>
      </w:r>
      <w:r>
        <w:rPr>
          <w:rStyle w:val="CharDefText"/>
        </w:rPr>
        <w:t>associate</w:t>
      </w:r>
      <w:r>
        <w:t xml:space="preserve"> does not include a person referred to in section 7(2)(c).</w:t>
      </w:r>
    </w:p>
    <w:p>
      <w:pPr>
        <w:pStyle w:val="Subsection"/>
      </w:pPr>
      <w:r>
        <w:tab/>
        <w:t>(2)</w:t>
      </w:r>
      <w:r>
        <w:tab/>
        <w:t xml:space="preserve">A wagering licensee must ensure that a person does not — </w:t>
      </w:r>
    </w:p>
    <w:p>
      <w:pPr>
        <w:pStyle w:val="Indenta"/>
      </w:pPr>
      <w:r>
        <w:tab/>
        <w:t>(a)</w:t>
      </w:r>
      <w:r>
        <w:tab/>
        <w:t>become an associate of the wagering licensee without the approval of the Commission; or</w:t>
      </w:r>
    </w:p>
    <w:p>
      <w:pPr>
        <w:pStyle w:val="Indenta"/>
      </w:pPr>
      <w:r>
        <w:tab/>
        <w:t>(b)</w:t>
      </w:r>
      <w:r>
        <w:tab/>
        <w:t>remain an associate of the wagering licensee after the approval of the Commission in respect of the person has been withdrawn.</w:t>
      </w:r>
    </w:p>
    <w:p>
      <w:pPr>
        <w:pStyle w:val="Subsection"/>
      </w:pPr>
      <w:r>
        <w:tab/>
        <w:t>(3)</w:t>
      </w:r>
      <w:r>
        <w:tab/>
        <w:t xml:space="preserve">A wagering licensee does not contravene subsection (2)(a) if — </w:t>
      </w:r>
    </w:p>
    <w:p>
      <w:pPr>
        <w:pStyle w:val="Indenta"/>
      </w:pPr>
      <w:r>
        <w:tab/>
        <w:t>(a)</w:t>
      </w:r>
      <w:r>
        <w:tab/>
        <w:t>the wagering licensee did not know, and could not reasonably have known, that the person would become an associate; and</w:t>
      </w:r>
    </w:p>
    <w:p>
      <w:pPr>
        <w:pStyle w:val="Indenta"/>
      </w:pPr>
      <w:r>
        <w:tab/>
        <w:t>(b)</w:t>
      </w:r>
      <w:r>
        <w:tab/>
        <w:t xml:space="preserve">as soon as practicable after the person becomes an associate, the wagering licensee — </w:t>
      </w:r>
    </w:p>
    <w:p>
      <w:pPr>
        <w:pStyle w:val="Indenti"/>
      </w:pPr>
      <w:r>
        <w:tab/>
        <w:t>(i)</w:t>
      </w:r>
      <w:r>
        <w:tab/>
        <w:t xml:space="preserve">notifies the Commission in writing of the association; and </w:t>
      </w:r>
    </w:p>
    <w:p>
      <w:pPr>
        <w:pStyle w:val="Indenti"/>
      </w:pPr>
      <w:r>
        <w:tab/>
        <w:t>(ii)</w:t>
      </w:r>
      <w:r>
        <w:tab/>
        <w:t>describes the circumstances giving rise to the association; and</w:t>
      </w:r>
    </w:p>
    <w:p>
      <w:pPr>
        <w:pStyle w:val="Indenti"/>
      </w:pPr>
      <w:r>
        <w:tab/>
        <w:t>(iii)</w:t>
      </w:r>
      <w:r>
        <w:tab/>
        <w:t>makes an application under subsection (4) in respect of the person.</w:t>
      </w:r>
    </w:p>
    <w:p>
      <w:pPr>
        <w:pStyle w:val="Subsection"/>
      </w:pPr>
      <w:r>
        <w:tab/>
        <w:t>(4)</w:t>
      </w:r>
      <w:r>
        <w:tab/>
        <w:t>The wagering licensee may apply to the Commission for the approval of a person to become or remain an associate of the wagering licensee.</w:t>
      </w:r>
    </w:p>
    <w:p>
      <w:pPr>
        <w:pStyle w:val="Subsection"/>
      </w:pPr>
      <w:r>
        <w:tab/>
        <w:t>(5)</w:t>
      </w:r>
      <w:r>
        <w:tab/>
        <w:t xml:space="preserve">The application — </w:t>
      </w:r>
    </w:p>
    <w:p>
      <w:pPr>
        <w:pStyle w:val="Indenta"/>
      </w:pPr>
      <w:r>
        <w:tab/>
        <w:t>(a)</w:t>
      </w:r>
      <w:r>
        <w:tab/>
        <w:t>must be in the form approved by the Commission; and</w:t>
      </w:r>
    </w:p>
    <w:p>
      <w:pPr>
        <w:pStyle w:val="Indenta"/>
      </w:pPr>
      <w:r>
        <w:tab/>
        <w:t>(b)</w:t>
      </w:r>
      <w:r>
        <w:tab/>
        <w:t>must be accompanied by the prescribed fee (if any).</w:t>
      </w:r>
    </w:p>
    <w:p>
      <w:pPr>
        <w:pStyle w:val="Subsection"/>
      </w:pPr>
      <w:r>
        <w:tab/>
        <w:t>(6)</w:t>
      </w:r>
      <w:r>
        <w:tab/>
        <w:t>In determining the application, the Commission must consider whether the person is of good financial standing and good repute.</w:t>
      </w:r>
    </w:p>
    <w:p>
      <w:pPr>
        <w:pStyle w:val="Subsection"/>
      </w:pPr>
      <w:r>
        <w:lastRenderedPageBreak/>
        <w:tab/>
        <w:t>(7)</w:t>
      </w:r>
      <w:r>
        <w:tab/>
        <w:t>Before determining the application, the Commission may give written notice to the person in respect of whom the application is made, directing the person to cease or refrain from conduct affecting the good repute of the person.</w:t>
      </w:r>
    </w:p>
    <w:p>
      <w:pPr>
        <w:pStyle w:val="Subsection"/>
      </w:pPr>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p>
    <w:p>
      <w:pPr>
        <w:pStyle w:val="Subsection"/>
      </w:pPr>
      <w:r>
        <w:tab/>
        <w:t>(9)</w:t>
      </w:r>
      <w:r>
        <w:tab/>
        <w:t xml:space="preserve">Without limiting subsection (8), the notice may — </w:t>
      </w:r>
    </w:p>
    <w:p>
      <w:pPr>
        <w:pStyle w:val="Indenta"/>
      </w:pPr>
      <w:r>
        <w:tab/>
        <w:t>(a)</w:t>
      </w:r>
      <w:r>
        <w:tab/>
        <w:t>direct the associate to dispose of a financial interest in the wagering business of the wagering licensee; or</w:t>
      </w:r>
    </w:p>
    <w:p>
      <w:pPr>
        <w:pStyle w:val="Indenta"/>
      </w:pPr>
      <w:r>
        <w:tab/>
        <w:t>(b)</w:t>
      </w:r>
      <w:r>
        <w:tab/>
        <w:t>direct the wagering licensee to remove the associate from a position from which the associate is able to exercise power over the wagering business of the wagering licensee.</w:t>
      </w:r>
    </w:p>
    <w:p>
      <w:pPr>
        <w:pStyle w:val="Subsection"/>
      </w:pPr>
      <w:r>
        <w:tab/>
        <w:t>(10)</w:t>
      </w:r>
      <w:r>
        <w:tab/>
        <w:t>An associate must comply with a direction under subsection (8) or (9)(a).</w:t>
      </w:r>
    </w:p>
    <w:p>
      <w:pPr>
        <w:pStyle w:val="Penstart"/>
      </w:pPr>
      <w:r>
        <w:tab/>
        <w:t>Penalty for this subsection: a fine of $30 000.</w:t>
      </w:r>
    </w:p>
    <w:p>
      <w:pPr>
        <w:pStyle w:val="Subsection"/>
      </w:pPr>
      <w:r>
        <w:tab/>
        <w:t>(11)</w:t>
      </w:r>
      <w:r>
        <w:tab/>
        <w:t>A wagering licensee must, as soon as practicable, notify the Commission if a person ceases to be an associate of the wagering licensee.</w:t>
      </w:r>
    </w:p>
    <w:p>
      <w:pPr>
        <w:pStyle w:val="Footnotesection"/>
        <w:rPr>
          <w:iCs/>
        </w:rPr>
      </w:pPr>
      <w:r>
        <w:rPr>
          <w:iCs/>
        </w:rPr>
        <w:tab/>
        <w:t>[Section 10X inserted: No. 21 of 2019 s. 47.]</w:t>
      </w:r>
    </w:p>
    <w:p>
      <w:pPr>
        <w:pStyle w:val="Heading5"/>
      </w:pPr>
      <w:bookmarkStart w:id="62" w:name="_Toc106096423"/>
      <w:r>
        <w:rPr>
          <w:rStyle w:val="CharSectno"/>
        </w:rPr>
        <w:t>10Y</w:t>
      </w:r>
      <w:r>
        <w:t>.</w:t>
      </w:r>
      <w:r>
        <w:tab/>
        <w:t>Commission may give directions to wagering licensee in relation to wagering business</w:t>
      </w:r>
      <w:bookmarkEnd w:id="62"/>
    </w:p>
    <w:p>
      <w:pPr>
        <w:pStyle w:val="Subsection"/>
      </w:pPr>
      <w:r>
        <w:tab/>
        <w:t>(1)</w:t>
      </w:r>
      <w:r>
        <w:tab/>
        <w:t>The Commission may give a direction to a wagering licensee with respect to the following —</w:t>
      </w:r>
    </w:p>
    <w:p>
      <w:pPr>
        <w:pStyle w:val="Indenta"/>
      </w:pPr>
      <w:r>
        <w:tab/>
        <w:t>(a)</w:t>
      </w:r>
      <w:r>
        <w:tab/>
        <w:t>systems of internal control and administrative and accounting procedures for the wagering business of the wagering licensee;</w:t>
      </w:r>
    </w:p>
    <w:p>
      <w:pPr>
        <w:pStyle w:val="Indenta"/>
      </w:pPr>
      <w:r>
        <w:tab/>
        <w:t>(b)</w:t>
      </w:r>
      <w:r>
        <w:tab/>
        <w:t>a consumer protection policy.</w:t>
      </w:r>
    </w:p>
    <w:p>
      <w:pPr>
        <w:pStyle w:val="Subsection"/>
      </w:pPr>
      <w:r>
        <w:lastRenderedPageBreak/>
        <w:tab/>
        <w:t>(2)</w:t>
      </w:r>
      <w:r>
        <w:tab/>
        <w:t>A direction may be amended by the Commission as the Commission thinks fit.</w:t>
      </w:r>
    </w:p>
    <w:p>
      <w:pPr>
        <w:pStyle w:val="Subsection"/>
      </w:pPr>
      <w:r>
        <w:tab/>
        <w:t>(3)</w:t>
      </w:r>
      <w:r>
        <w:tab/>
        <w:t>A direction, or an amendment of a direction, has effect when written notice of it is given to the wagering licensee or on a later date specified in the notice.</w:t>
      </w:r>
    </w:p>
    <w:p>
      <w:pPr>
        <w:pStyle w:val="Subsection"/>
      </w:pPr>
      <w:r>
        <w:tab/>
        <w:t>(4)</w:t>
      </w:r>
      <w:r>
        <w:tab/>
        <w:t>The controls and procedures referred to in a direction, or in an amendment of a direction, may be described in words or represented diagrammatically, or by a combination of both methods.</w:t>
      </w:r>
    </w:p>
    <w:p>
      <w:pPr>
        <w:pStyle w:val="Subsection"/>
      </w:pPr>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p>
    <w:p>
      <w:pPr>
        <w:pStyle w:val="Subsection"/>
      </w:pPr>
      <w:r>
        <w:tab/>
        <w:t>(6)</w:t>
      </w:r>
      <w:r>
        <w:tab/>
        <w:t>A power or function exercised by a delegate under subsection (5) is as effective as if it were exercised by the Commission.</w:t>
      </w:r>
    </w:p>
    <w:p>
      <w:pPr>
        <w:pStyle w:val="Footnotesection"/>
        <w:rPr>
          <w:iCs/>
        </w:rPr>
      </w:pPr>
      <w:r>
        <w:rPr>
          <w:iCs/>
        </w:rPr>
        <w:tab/>
        <w:t>[Section 10Y inserted: No. 21 of 2019 s. 47.]</w:t>
      </w:r>
    </w:p>
    <w:p>
      <w:pPr>
        <w:pStyle w:val="Heading5"/>
      </w:pPr>
      <w:bookmarkStart w:id="63" w:name="_Toc106096424"/>
      <w:r>
        <w:rPr>
          <w:rStyle w:val="CharSectno"/>
        </w:rPr>
        <w:t>10Z</w:t>
      </w:r>
      <w:r>
        <w:t>.</w:t>
      </w:r>
      <w:r>
        <w:tab/>
        <w:t>Disclosure of certain information authorised</w:t>
      </w:r>
      <w:bookmarkEnd w:id="63"/>
    </w:p>
    <w:p>
      <w:pPr>
        <w:pStyle w:val="Subsection"/>
      </w:pPr>
      <w:r>
        <w:tab/>
      </w:r>
      <w:r>
        <w:tab/>
        <w:t xml:space="preserve">For the purposes of the </w:t>
      </w:r>
      <w:r>
        <w:rPr>
          <w:i/>
        </w:rPr>
        <w:t>Gaming and Wagering Commission Act 1987</w:t>
      </w:r>
      <w:r>
        <w:t xml:space="preserve"> section 20(3), the following is, when authorised by the Commission, taken to be a function performed in connection with that Act —</w:t>
      </w:r>
    </w:p>
    <w:p>
      <w:pPr>
        <w:pStyle w:val="Indenta"/>
      </w:pPr>
      <w:r>
        <w:tab/>
        <w:t>(a)</w:t>
      </w:r>
      <w:r>
        <w:tab/>
        <w:t>the communication of information concerning a person’s affairs to another regulatory body established, in Australia or elsewhere, in relation to the administration or control of betting or for law enforcement purposes;</w:t>
      </w:r>
    </w:p>
    <w:p>
      <w:pPr>
        <w:pStyle w:val="Indenta"/>
      </w:pPr>
      <w:r>
        <w:tab/>
        <w:t>(b)</w:t>
      </w:r>
      <w:r>
        <w:tab/>
        <w:t>the provision of statistical data relating to the operations of a wagering licensee, subject to the agreement of the wagering licensee;</w:t>
      </w:r>
    </w:p>
    <w:p>
      <w:pPr>
        <w:pStyle w:val="Indenta"/>
      </w:pPr>
      <w:r>
        <w:lastRenderedPageBreak/>
        <w:tab/>
        <w:t>(c)</w:t>
      </w:r>
      <w:r>
        <w:tab/>
        <w:t>compliance with a request by any person, in relation to the affairs of that person relating to betting under this Part.</w:t>
      </w:r>
    </w:p>
    <w:p>
      <w:pPr>
        <w:pStyle w:val="Footnotesection"/>
        <w:rPr>
          <w:iCs/>
        </w:rPr>
      </w:pPr>
      <w:r>
        <w:rPr>
          <w:iCs/>
        </w:rPr>
        <w:tab/>
        <w:t>[Section 10Z inserted: No. 21 of 2019 s. 47.]</w:t>
      </w:r>
    </w:p>
    <w:p>
      <w:pPr>
        <w:pStyle w:val="Heading5"/>
      </w:pPr>
      <w:bookmarkStart w:id="64" w:name="_Toc106096425"/>
      <w:r>
        <w:rPr>
          <w:rStyle w:val="CharSectno"/>
        </w:rPr>
        <w:t>10ZA</w:t>
      </w:r>
      <w:r>
        <w:t>.</w:t>
      </w:r>
      <w:r>
        <w:tab/>
        <w:t>Amount deducted as commission by wagering licensee</w:t>
      </w:r>
      <w:bookmarkEnd w:id="64"/>
    </w:p>
    <w:p>
      <w:pPr>
        <w:pStyle w:val="Subsection"/>
      </w:pPr>
      <w:r>
        <w:tab/>
        <w:t>(1)</w:t>
      </w:r>
      <w:r>
        <w:tab/>
        <w:t>A wagering licensee may deduct from a bet received by the licensee an amount by way of commission.</w:t>
      </w:r>
    </w:p>
    <w:p>
      <w:pPr>
        <w:pStyle w:val="Subsection"/>
      </w:pPr>
      <w:r>
        <w:tab/>
        <w:t>(2)</w:t>
      </w:r>
      <w:r>
        <w:tab/>
        <w:t xml:space="preserve">In relation to a bet with a totalisator, the amount must be — </w:t>
      </w:r>
    </w:p>
    <w:p>
      <w:pPr>
        <w:pStyle w:val="Indenta"/>
      </w:pPr>
      <w:r>
        <w:tab/>
        <w:t>(a)</w:t>
      </w:r>
      <w:r>
        <w:tab/>
        <w:t>an amount not exceeding that prescribed for the bet; or</w:t>
      </w:r>
    </w:p>
    <w:p>
      <w:pPr>
        <w:pStyle w:val="Indenta"/>
      </w:pPr>
      <w:r>
        <w:tab/>
        <w:t>(b)</w:t>
      </w:r>
      <w:r>
        <w:tab/>
        <w:t>an amount determined under the rules or arrangements referred to in section 10S(2).</w:t>
      </w:r>
    </w:p>
    <w:p>
      <w:pPr>
        <w:pStyle w:val="Subsection"/>
      </w:pPr>
      <w:r>
        <w:tab/>
        <w:t>(3)</w:t>
      </w:r>
      <w:r>
        <w:tab/>
        <w:t>A wagering licensee must not deduct an amount from a bet other than in accordance with this section.</w:t>
      </w:r>
    </w:p>
    <w:p>
      <w:pPr>
        <w:pStyle w:val="Footnotesection"/>
        <w:rPr>
          <w:iCs/>
        </w:rPr>
      </w:pPr>
      <w:r>
        <w:rPr>
          <w:iCs/>
        </w:rPr>
        <w:tab/>
        <w:t>[Section 10ZA inserted: No. 21 of 2019 s. 47.]</w:t>
      </w:r>
    </w:p>
    <w:p>
      <w:pPr>
        <w:pStyle w:val="Heading5"/>
      </w:pPr>
      <w:bookmarkStart w:id="65" w:name="_Toc106096426"/>
      <w:r>
        <w:rPr>
          <w:rStyle w:val="CharSectno"/>
        </w:rPr>
        <w:t>10ZB</w:t>
      </w:r>
      <w:r>
        <w:t>.</w:t>
      </w:r>
      <w:r>
        <w:tab/>
        <w:t>Unclaimed moneys</w:t>
      </w:r>
      <w:bookmarkEnd w:id="65"/>
    </w:p>
    <w:p>
      <w:pPr>
        <w:pStyle w:val="Subsection"/>
      </w:pPr>
      <w:r>
        <w:tab/>
        <w:t>(1)</w:t>
      </w:r>
      <w:r>
        <w:tab/>
        <w:t xml:space="preserve">In this section — </w:t>
      </w:r>
    </w:p>
    <w:p>
      <w:pPr>
        <w:pStyle w:val="Defstart"/>
      </w:pPr>
      <w:r>
        <w:tab/>
      </w:r>
      <w:r>
        <w:rPr>
          <w:rStyle w:val="CharDefText"/>
        </w:rPr>
        <w:t>moneys</w:t>
      </w:r>
      <w:r>
        <w:t xml:space="preserve"> means moneys payable by a wagering licensee by way of totalisator dividends, fixed odds winnings or refunds;</w:t>
      </w:r>
    </w:p>
    <w:p>
      <w:pPr>
        <w:pStyle w:val="Defstart"/>
      </w:pPr>
      <w:r>
        <w:tab/>
      </w:r>
      <w:r>
        <w:rPr>
          <w:rStyle w:val="CharDefText"/>
        </w:rPr>
        <w:t>Sports Wagering Account</w:t>
      </w:r>
      <w:r>
        <w:t xml:space="preserve"> means the account established under the </w:t>
      </w:r>
      <w:r>
        <w:rPr>
          <w:i/>
        </w:rPr>
        <w:t>Gaming and Wagering Commission Act 1987</w:t>
      </w:r>
      <w:r>
        <w:t xml:space="preserve"> section 110A;</w:t>
      </w:r>
    </w:p>
    <w:p>
      <w:pPr>
        <w:pStyle w:val="Defstart"/>
      </w:pPr>
      <w:r>
        <w:tab/>
      </w:r>
      <w:r>
        <w:rPr>
          <w:rStyle w:val="CharDefText"/>
        </w:rPr>
        <w:t>unclaimed</w:t>
      </w:r>
      <w:r>
        <w:t>, in relation to moneys, means unclaimed by any person entitled to them for 7 months after the moneys become payable.</w:t>
      </w:r>
    </w:p>
    <w:p>
      <w:pPr>
        <w:pStyle w:val="Subsection"/>
      </w:pPr>
      <w:r>
        <w:tab/>
        <w:t>(2)</w:t>
      </w:r>
      <w:r>
        <w:tab/>
        <w:t>The wagering licensee must pay moneys unclaimed in respect of bets made on sporting events into the Sports Wagering Account not later than the last business day of the month following the period of 7 months after the moneys become payable.</w:t>
      </w:r>
    </w:p>
    <w:p>
      <w:pPr>
        <w:pStyle w:val="Subsection"/>
        <w:keepNext/>
      </w:pPr>
      <w:r>
        <w:lastRenderedPageBreak/>
        <w:tab/>
        <w:t>(3)</w:t>
      </w:r>
      <w:r>
        <w:tab/>
        <w:t xml:space="preserve">When moneys are paid into the Sports Wagering Account under subsection (2)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(4)</w:t>
      </w:r>
      <w:r>
        <w:tab/>
        <w:t>The wagering licensee must pay moneys that remain unclaimed in respect of bets other than bets made on sporting events to RWA not later than the last business day of the month following the period of 7 months after the moneys become payable.</w:t>
      </w:r>
    </w:p>
    <w:p>
      <w:pPr>
        <w:pStyle w:val="Subsection"/>
      </w:pPr>
      <w:r>
        <w:tab/>
        <w:t>(5)</w:t>
      </w:r>
      <w:r>
        <w:tab/>
        <w:t>When moneys are paid to RWA under subsection (4), the person who was entitled to claim the moneys has no enforceable claim in respect of the moneys.</w:t>
      </w:r>
    </w:p>
    <w:p>
      <w:pPr>
        <w:pStyle w:val="Footnotesection"/>
        <w:rPr>
          <w:iCs/>
        </w:rPr>
      </w:pPr>
      <w:r>
        <w:rPr>
          <w:iCs/>
        </w:rPr>
        <w:tab/>
        <w:t>[Section 10ZB inserted: No. 21 of 2019 s. 47.]</w:t>
      </w:r>
    </w:p>
    <w:p>
      <w:pPr>
        <w:pStyle w:val="Heading5"/>
      </w:pPr>
      <w:bookmarkStart w:id="66" w:name="_Toc106096427"/>
      <w:r>
        <w:rPr>
          <w:rStyle w:val="CharSectno"/>
        </w:rPr>
        <w:t>10ZC</w:t>
      </w:r>
      <w:r>
        <w:t>.</w:t>
      </w:r>
      <w:r>
        <w:tab/>
        <w:t xml:space="preserve">Authorisation for </w:t>
      </w:r>
      <w:r>
        <w:rPr>
          <w:i/>
        </w:rPr>
        <w:t xml:space="preserve">Competition and Consumer Act 2010 </w:t>
      </w:r>
      <w:r>
        <w:t>(Cth) and Competition Code</w:t>
      </w:r>
      <w:bookmarkEnd w:id="66"/>
    </w:p>
    <w:p>
      <w:pPr>
        <w:pStyle w:val="Subsection"/>
      </w:pPr>
      <w:r>
        <w:tab/>
        <w:t>(1)</w:t>
      </w:r>
      <w:r>
        <w:tab/>
        <w:t xml:space="preserve">In this section — </w:t>
      </w:r>
    </w:p>
    <w:p>
      <w:pPr>
        <w:pStyle w:val="Defstart"/>
      </w:pPr>
      <w:r>
        <w:tab/>
      </w:r>
      <w:r>
        <w:rPr>
          <w:rStyle w:val="CharDefText"/>
        </w:rPr>
        <w:t>entering into</w:t>
      </w:r>
      <w:r>
        <w:t xml:space="preserve"> an arrangement — </w:t>
      </w:r>
    </w:p>
    <w:p>
      <w:pPr>
        <w:pStyle w:val="Defpara"/>
      </w:pPr>
      <w:r>
        <w:tab/>
        <w:t>(a)</w:t>
      </w:r>
      <w:r>
        <w:tab/>
        <w:t>means entering into the arrangement, whether alone or with others; and</w:t>
      </w:r>
    </w:p>
    <w:p>
      <w:pPr>
        <w:pStyle w:val="Defpara"/>
      </w:pPr>
      <w:r>
        <w:tab/>
        <w:t>(b)</w:t>
      </w:r>
      <w:r>
        <w:tab/>
        <w:t>includes any discussions and negotiations in respect of the arrangement;</w:t>
      </w:r>
    </w:p>
    <w:p>
      <w:pPr>
        <w:pStyle w:val="Defstart"/>
      </w:pPr>
      <w:r>
        <w:tab/>
      </w:r>
      <w:r>
        <w:rPr>
          <w:rStyle w:val="CharDefText"/>
        </w:rPr>
        <w:t>giving effect to</w:t>
      </w:r>
      <w:r>
        <w:t xml:space="preserve"> an arrangement includes — </w:t>
      </w:r>
    </w:p>
    <w:p>
      <w:pPr>
        <w:pStyle w:val="Defpara"/>
      </w:pPr>
      <w:r>
        <w:tab/>
        <w:t>(a)</w:t>
      </w:r>
      <w:r>
        <w:tab/>
        <w:t>complying with any obligation under the arrangement; and</w:t>
      </w:r>
    </w:p>
    <w:p>
      <w:pPr>
        <w:pStyle w:val="Defpara"/>
      </w:pPr>
      <w:r>
        <w:tab/>
        <w:t>(b)</w:t>
      </w:r>
      <w:r>
        <w:tab/>
        <w:t>exercising or enforcing any right or power under the arrangement;</w:t>
      </w:r>
    </w:p>
    <w:p>
      <w:pPr>
        <w:pStyle w:val="Defstart"/>
      </w:pPr>
      <w:r>
        <w:tab/>
      </w:r>
      <w:r>
        <w:rPr>
          <w:rStyle w:val="CharDefText"/>
        </w:rPr>
        <w:t>specified person</w:t>
      </w:r>
      <w:r>
        <w:t xml:space="preserve"> means any of the following — </w:t>
      </w:r>
    </w:p>
    <w:p>
      <w:pPr>
        <w:pStyle w:val="Defpara"/>
      </w:pPr>
      <w:r>
        <w:tab/>
        <w:t>(a)</w:t>
      </w:r>
      <w:r>
        <w:tab/>
        <w:t>the Minister;</w:t>
      </w:r>
    </w:p>
    <w:p>
      <w:pPr>
        <w:pStyle w:val="Defpara"/>
      </w:pPr>
      <w:r>
        <w:tab/>
        <w:t>(b)</w:t>
      </w:r>
      <w:r>
        <w:tab/>
        <w:t>an applicant for a wagering licence, a wagering licensee or a temporary licensee appointed under section 10O;</w:t>
      </w:r>
    </w:p>
    <w:p>
      <w:pPr>
        <w:pStyle w:val="Defpara"/>
      </w:pPr>
      <w:r>
        <w:lastRenderedPageBreak/>
        <w:tab/>
        <w:t>(c)</w:t>
      </w:r>
      <w:r>
        <w:tab/>
        <w:t>RWA;</w:t>
      </w:r>
    </w:p>
    <w:p>
      <w:pPr>
        <w:pStyle w:val="Defpara"/>
      </w:pPr>
      <w:r>
        <w:tab/>
        <w:t>(d)</w:t>
      </w:r>
      <w:r>
        <w:tab/>
        <w:t>a licensed racing club;</w:t>
      </w:r>
    </w:p>
    <w:p>
      <w:pPr>
        <w:pStyle w:val="Defpara"/>
      </w:pPr>
      <w:r>
        <w:tab/>
        <w:t>(e)</w:t>
      </w:r>
      <w:r>
        <w:tab/>
        <w:t xml:space="preserve">related bodies corporate, as defined in the </w:t>
      </w:r>
      <w:r>
        <w:rPr>
          <w:i/>
        </w:rPr>
        <w:t>Corporations Act 2001</w:t>
      </w:r>
      <w:r>
        <w:t xml:space="preserve"> (Commonwealth), of the persons specified in paragraphs (a) to (d).</w:t>
      </w:r>
    </w:p>
    <w:p>
      <w:pPr>
        <w:pStyle w:val="Subsection"/>
      </w:pPr>
      <w:r>
        <w:tab/>
        <w:t>(2)</w:t>
      </w:r>
      <w:r>
        <w:tab/>
        <w:t xml:space="preserve">For the purposes of the </w:t>
      </w:r>
      <w:r>
        <w:rPr>
          <w:i/>
        </w:rPr>
        <w:t>Competition and Consumer Act 2010</w:t>
      </w:r>
      <w:r>
        <w:t xml:space="preserve"> (Commonwealth) and the Competition Code of Western Australia, the following things are authorised by this Act — </w:t>
      </w:r>
    </w:p>
    <w:p>
      <w:pPr>
        <w:pStyle w:val="Indenta"/>
      </w:pPr>
      <w:r>
        <w:tab/>
        <w:t>(a)</w:t>
      </w:r>
      <w:r>
        <w:tab/>
        <w:t>the grant of a wagering licence or appointment of a temporary licensee under section 10O;</w:t>
      </w:r>
    </w:p>
    <w:p>
      <w:pPr>
        <w:pStyle w:val="Indenta"/>
      </w:pPr>
      <w:r>
        <w:tab/>
        <w:t>(b)</w:t>
      </w:r>
      <w:r>
        <w:tab/>
        <w:t>conduct authorised or required by or under the conditions of a wagering licence or appointment of a temporary licensee under section 10O;</w:t>
      </w:r>
    </w:p>
    <w:p>
      <w:pPr>
        <w:pStyle w:val="Indenta"/>
      </w:pPr>
      <w:r>
        <w:tab/>
        <w:t>(c)</w:t>
      </w:r>
      <w:r>
        <w:tab/>
        <w:t xml:space="preserve">the entering into, giving effect to, or amendment or enforcement, by specified persons of any of the following — </w:t>
      </w:r>
    </w:p>
    <w:p>
      <w:pPr>
        <w:pStyle w:val="Indenti"/>
      </w:pPr>
      <w:r>
        <w:tab/>
        <w:t>(i)</w:t>
      </w:r>
      <w:r>
        <w:tab/>
        <w:t>a wagering licence agreement;</w:t>
      </w:r>
    </w:p>
    <w:p>
      <w:pPr>
        <w:pStyle w:val="Indenti"/>
      </w:pPr>
      <w:r>
        <w:tab/>
        <w:t>(ii)</w:t>
      </w:r>
      <w:r>
        <w:tab/>
        <w:t>a racing industry arrangement;</w:t>
      </w:r>
    </w:p>
    <w:p>
      <w:pPr>
        <w:pStyle w:val="Indenti"/>
      </w:pPr>
      <w:r>
        <w:tab/>
        <w:t>(iii)</w:t>
      </w:r>
      <w:r>
        <w:tab/>
        <w:t>an arrangement associated with, and necessary or convenient for giving effect to, the RWA Act section 35(1);</w:t>
      </w:r>
    </w:p>
    <w:p>
      <w:pPr>
        <w:pStyle w:val="Indenta"/>
      </w:pPr>
      <w:r>
        <w:tab/>
        <w:t>(d)</w:t>
      </w:r>
      <w:r>
        <w:tab/>
        <w:t>a prescribed arrangement or class of arrangement;</w:t>
      </w:r>
    </w:p>
    <w:p>
      <w:pPr>
        <w:pStyle w:val="Indenta"/>
      </w:pPr>
      <w:r>
        <w:tab/>
        <w:t>(e)</w:t>
      </w:r>
      <w:r>
        <w:tab/>
        <w:t>an arrangement associated with, and necessary or convenient for giving effect to, a licence, appointment or arrangement referred to in this subsection.</w:t>
      </w:r>
    </w:p>
    <w:p>
      <w:pPr>
        <w:pStyle w:val="Footnotesection"/>
        <w:rPr>
          <w:iCs/>
        </w:rPr>
      </w:pPr>
      <w:r>
        <w:rPr>
          <w:iCs/>
        </w:rPr>
        <w:tab/>
        <w:t>[Section 10ZC inserted: No. 21 of 2019 s. 47.]</w:t>
      </w:r>
    </w:p>
    <w:p>
      <w:pPr>
        <w:pStyle w:val="Heading5"/>
      </w:pPr>
      <w:bookmarkStart w:id="67" w:name="_Toc106096428"/>
      <w:r>
        <w:rPr>
          <w:rStyle w:val="CharSectno"/>
        </w:rPr>
        <w:t>10ZD</w:t>
      </w:r>
      <w:r>
        <w:t>.</w:t>
      </w:r>
      <w:r>
        <w:tab/>
        <w:t>Confidential police information</w:t>
      </w:r>
      <w:bookmarkEnd w:id="67"/>
    </w:p>
    <w:p>
      <w:pPr>
        <w:pStyle w:val="Subsection"/>
      </w:pPr>
      <w:r>
        <w:tab/>
        <w:t>(1)</w:t>
      </w:r>
      <w:r>
        <w:tab/>
        <w:t>This section applies if —</w:t>
      </w:r>
    </w:p>
    <w:p>
      <w:pPr>
        <w:pStyle w:val="Indenta"/>
      </w:pPr>
      <w:r>
        <w:tab/>
        <w:t>(a)</w:t>
      </w:r>
      <w:r>
        <w:tab/>
        <w:t>the Minister —</w:t>
      </w:r>
    </w:p>
    <w:p>
      <w:pPr>
        <w:pStyle w:val="Indenti"/>
      </w:pPr>
      <w:r>
        <w:tab/>
        <w:t>(i)</w:t>
      </w:r>
      <w:r>
        <w:tab/>
        <w:t>refuses to grant or extend a wagering licence; or</w:t>
      </w:r>
    </w:p>
    <w:p>
      <w:pPr>
        <w:pStyle w:val="Indenti"/>
      </w:pPr>
      <w:r>
        <w:tab/>
        <w:t>(ii)</w:t>
      </w:r>
      <w:r>
        <w:tab/>
        <w:t>amends, suspends or cancels a wagering licence;</w:t>
      </w:r>
    </w:p>
    <w:p>
      <w:pPr>
        <w:pStyle w:val="Indenta"/>
      </w:pPr>
      <w:r>
        <w:lastRenderedPageBreak/>
        <w:tab/>
      </w:r>
      <w:r>
        <w:tab/>
        <w:t>and</w:t>
      </w:r>
    </w:p>
    <w:p>
      <w:pPr>
        <w:pStyle w:val="Indenta"/>
      </w:pPr>
      <w:r>
        <w:tab/>
        <w:t>(b)</w:t>
      </w:r>
      <w:r>
        <w:tab/>
        <w:t xml:space="preserve">the decision to do so is made solely or partly on the basis of confidential police information as defined in the </w:t>
      </w:r>
      <w:r>
        <w:rPr>
          <w:i/>
        </w:rPr>
        <w:t>Gaming and Wagering Commission Act 1987</w:t>
      </w:r>
      <w:r>
        <w:t xml:space="preserve"> section 20A(1).</w:t>
      </w:r>
    </w:p>
    <w:p>
      <w:pPr>
        <w:pStyle w:val="Subsection"/>
      </w:pPr>
      <w:r>
        <w:tab/>
        <w:t>(2)</w:t>
      </w:r>
      <w:r>
        <w:tab/>
        <w:t>The Minister is not required to give any reasons for the decision other than that the decision is made in the public interest.</w:t>
      </w:r>
    </w:p>
    <w:p>
      <w:pPr>
        <w:pStyle w:val="Footnotesection"/>
        <w:rPr>
          <w:iCs/>
        </w:rPr>
      </w:pPr>
      <w:r>
        <w:rPr>
          <w:iCs/>
        </w:rPr>
        <w:tab/>
        <w:t>[Section 10ZD inserted: No. 21 of 2019 s. 47.]</w:t>
      </w:r>
    </w:p>
    <w:p>
      <w:pPr>
        <w:pStyle w:val="Heading2"/>
      </w:pPr>
      <w:bookmarkStart w:id="68" w:name="_Toc106004670"/>
      <w:bookmarkStart w:id="69" w:name="_Toc106004792"/>
      <w:bookmarkStart w:id="70" w:name="_Toc106096429"/>
      <w:r>
        <w:rPr>
          <w:rStyle w:val="CharPartNo"/>
        </w:rPr>
        <w:lastRenderedPageBreak/>
        <w:t>Part 2</w:t>
      </w:r>
      <w:r>
        <w:rPr>
          <w:b w:val="0"/>
        </w:rPr>
        <w:t> </w:t>
      </w:r>
      <w:r>
        <w:t>—</w:t>
      </w:r>
      <w:r>
        <w:rPr>
          <w:b w:val="0"/>
        </w:rPr>
        <w:t> </w:t>
      </w:r>
      <w:r>
        <w:rPr>
          <w:rStyle w:val="CharPartText"/>
        </w:rPr>
        <w:t>Other licences, approvals and permits</w:t>
      </w:r>
      <w:bookmarkEnd w:id="68"/>
      <w:bookmarkEnd w:id="69"/>
      <w:bookmarkEnd w:id="70"/>
    </w:p>
    <w:p>
      <w:pPr>
        <w:pStyle w:val="Footnoteheading"/>
        <w:tabs>
          <w:tab w:val="left" w:pos="851"/>
        </w:tabs>
      </w:pPr>
      <w:r>
        <w:tab/>
        <w:t>[Heading inserted: No. 35 of 2003 s. 101(2); amended:  No. 21 of 2019 s. 48.]</w:t>
      </w:r>
    </w:p>
    <w:p>
      <w:pPr>
        <w:pStyle w:val="Heading5"/>
      </w:pPr>
      <w:bookmarkStart w:id="71" w:name="_Toc106096430"/>
      <w:r>
        <w:rPr>
          <w:rStyle w:val="CharSectno"/>
        </w:rPr>
        <w:t>11</w:t>
      </w:r>
      <w:r>
        <w:t>.</w:t>
      </w:r>
      <w:r>
        <w:tab/>
        <w:t>Licences and approvals relating to bookmaking</w:t>
      </w:r>
      <w:bookmarkEnd w:id="71"/>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lastRenderedPageBreak/>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 xml:space="preserve">the full name and usual residential address of every person who on 30 June preceding the lodging of the return was a person who occupied a position of authority </w:t>
      </w:r>
      <w:r>
        <w:rPr>
          <w:snapToGrid w:val="0"/>
        </w:rPr>
        <w:lastRenderedPageBreak/>
        <w:t>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 No. 41 of 2018 s. 15(1).]</w:t>
      </w:r>
    </w:p>
    <w:p>
      <w:pPr>
        <w:pStyle w:val="Heading5"/>
        <w:spacing w:before="180"/>
      </w:pPr>
      <w:bookmarkStart w:id="72" w:name="_Toc106096431"/>
      <w:r>
        <w:rPr>
          <w:rStyle w:val="CharSectno"/>
        </w:rPr>
        <w:t>11A</w:t>
      </w:r>
      <w:r>
        <w:t>.</w:t>
      </w:r>
      <w:r>
        <w:tab/>
        <w:t>Bookmaker’s licence — natural person</w:t>
      </w:r>
      <w:bookmarkEnd w:id="72"/>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lastRenderedPageBreak/>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 xml:space="preserve">in person, or through the agency of a licensed employee, upon a </w:t>
      </w:r>
      <w:r>
        <w:t>racecourse</w:t>
      </w:r>
      <w:r>
        <w:rPr>
          <w:snapToGrid w:val="0"/>
        </w:rPr>
        <w:t xml:space="preserve"> if the person holds a permit to do so from the committee or other authority controlling the </w:t>
      </w:r>
      <w:r>
        <w:t>racecourse</w:t>
      </w:r>
      <w:r>
        <w:rPr>
          <w:snapToGrid w:val="0"/>
        </w:rPr>
        <w:t>;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 No. 21 of 2019 s. 80.]</w:t>
      </w:r>
    </w:p>
    <w:p>
      <w:pPr>
        <w:pStyle w:val="Heading5"/>
        <w:spacing w:before="240"/>
      </w:pPr>
      <w:bookmarkStart w:id="73" w:name="_Toc106096432"/>
      <w:r>
        <w:rPr>
          <w:rStyle w:val="CharSectno"/>
        </w:rPr>
        <w:t>11B</w:t>
      </w:r>
      <w:r>
        <w:t>.</w:t>
      </w:r>
      <w:r>
        <w:tab/>
        <w:t>Bookmaker’s licence — partnership</w:t>
      </w:r>
      <w:bookmarkEnd w:id="73"/>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 xml:space="preserve">member of the partnership is a body corporate, that a person who occupies a position of authority in the body </w:t>
      </w:r>
      <w:r>
        <w:lastRenderedPageBreak/>
        <w:t>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lastRenderedPageBreak/>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for this subsection: a fine of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lastRenderedPageBreak/>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partnership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for this subsection: a fine of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for this subsection: a fine of $2 000.</w:t>
      </w:r>
    </w:p>
    <w:p>
      <w:pPr>
        <w:pStyle w:val="Subsection"/>
        <w:spacing w:before="180"/>
      </w:pPr>
      <w:r>
        <w:tab/>
        <w:t>(14)</w:t>
      </w:r>
      <w:r>
        <w:tab/>
        <w:t xml:space="preserve">If a person ceases to be the licensed manager of a licensee that is a partnership, each person who is a member of the partnership shall ensure that a new licensed manager is appointed within </w:t>
      </w:r>
      <w:r>
        <w:lastRenderedPageBreak/>
        <w:t>28 days of the previous licensed manager ceasing to be the manager or within such longer period as the Commission has approved.</w:t>
      </w:r>
    </w:p>
    <w:p>
      <w:pPr>
        <w:pStyle w:val="Penstart"/>
      </w:pPr>
      <w:r>
        <w:tab/>
        <w:t>Penalty for this subsection: a fine of $5 000.</w:t>
      </w:r>
    </w:p>
    <w:p>
      <w:pPr>
        <w:pStyle w:val="Footnotesection"/>
      </w:pPr>
      <w:r>
        <w:tab/>
        <w:t>[Section 11B inserted: No. 13 of 2002 s. 7; amended: No. 35 of 2003 s. 102; No. 18 of 2009 s. 11(3) and (4); No. 41 of 2018 s. 15(1); No. 21 of 2019 s. 80.]</w:t>
      </w:r>
    </w:p>
    <w:p>
      <w:pPr>
        <w:pStyle w:val="Heading5"/>
        <w:keepNext w:val="0"/>
        <w:keepLines w:val="0"/>
      </w:pPr>
      <w:bookmarkStart w:id="74" w:name="_Toc106096433"/>
      <w:r>
        <w:rPr>
          <w:rStyle w:val="CharSectno"/>
        </w:rPr>
        <w:t>11C</w:t>
      </w:r>
      <w:r>
        <w:t>.</w:t>
      </w:r>
      <w:r>
        <w:tab/>
        <w:t>Bookmaker’s licences — body corporate</w:t>
      </w:r>
      <w:bookmarkEnd w:id="74"/>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lastRenderedPageBreak/>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for this subsection: a fine of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keepNext/>
        <w:keepLines/>
        <w:rPr>
          <w:snapToGrid w:val="0"/>
        </w:rPr>
      </w:pPr>
      <w:r>
        <w:lastRenderedPageBreak/>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body corporate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for this subsection: a fine of $5 000.</w:t>
      </w:r>
    </w:p>
    <w:p>
      <w:pPr>
        <w:pStyle w:val="Subsection"/>
      </w:pPr>
      <w:r>
        <w:lastRenderedPageBreak/>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for this subsection: a fine of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for this subsection: a fine of $5 000.</w:t>
      </w:r>
    </w:p>
    <w:p>
      <w:pPr>
        <w:pStyle w:val="Footnotesection"/>
        <w:ind w:left="890" w:hanging="890"/>
      </w:pPr>
      <w:r>
        <w:tab/>
        <w:t>[Section 11C inserted: No. 13 of 2002 s. 7; amended: No. 35 of 2003 s. 102; No. 18 of 2009 s. 11(5) and (6); No. 41 of 2018 s. 15(1); No. 21 of 2019 s. 80.]</w:t>
      </w:r>
    </w:p>
    <w:p>
      <w:pPr>
        <w:pStyle w:val="Heading5"/>
        <w:spacing w:before="180"/>
      </w:pPr>
      <w:bookmarkStart w:id="75" w:name="_Toc106096434"/>
      <w:r>
        <w:rPr>
          <w:rStyle w:val="CharSectno"/>
        </w:rPr>
        <w:t>11D</w:t>
      </w:r>
      <w:r>
        <w:t>.</w:t>
      </w:r>
      <w:r>
        <w:tab/>
        <w:t>Licences — manager or employee</w:t>
      </w:r>
      <w:bookmarkEnd w:id="75"/>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lastRenderedPageBreak/>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racecourse, if with the permission of the committee or other authority controlling that racecourse to make bets, write betting tickets, and carry out the activities of a bookmaker’s clerk in relation to the business of a bookmaker; and</w:t>
      </w:r>
    </w:p>
    <w:p>
      <w:pPr>
        <w:pStyle w:val="Indenta"/>
      </w:pPr>
      <w:r>
        <w:lastRenderedPageBreak/>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w:t>
      </w:r>
      <w:r>
        <w:t>racecourse</w:t>
      </w:r>
      <w:r>
        <w:rPr>
          <w:snapToGrid w:val="0"/>
        </w:rPr>
        <w:t xml:space="preserve">, if with the permission of the committee or other </w:t>
      </w:r>
      <w:r>
        <w:t>authority controlling</w:t>
      </w:r>
      <w:r>
        <w:rPr>
          <w:snapToGrid w:val="0"/>
        </w:rPr>
        <w:t xml:space="preserve"> that </w:t>
      </w:r>
      <w:r>
        <w:t>racecourse</w:t>
      </w:r>
      <w:r>
        <w:rPr>
          <w:snapToGrid w:val="0"/>
        </w:rPr>
        <w:t>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lastRenderedPageBreak/>
        <w:tab/>
      </w:r>
      <w:r>
        <w:rPr>
          <w:snapToGrid w:val="0"/>
        </w:rPr>
        <w:tab/>
        <w:t>and</w:t>
      </w:r>
    </w:p>
    <w:p>
      <w:pPr>
        <w:pStyle w:val="Indenta"/>
        <w:keepNext/>
        <w:keepLines/>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 No. 21 of 2019 s. 80.]</w:t>
      </w:r>
    </w:p>
    <w:p>
      <w:pPr>
        <w:pStyle w:val="Heading5"/>
      </w:pPr>
      <w:bookmarkStart w:id="76" w:name="_Toc106096435"/>
      <w:r>
        <w:rPr>
          <w:rStyle w:val="CharSectno"/>
        </w:rPr>
        <w:t>11E</w:t>
      </w:r>
      <w:r>
        <w:t>.</w:t>
      </w:r>
      <w:r>
        <w:tab/>
        <w:t>Security</w:t>
      </w:r>
      <w:bookmarkEnd w:id="76"/>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 xml:space="preserve">as security for the due observance by the bookmaker, a licensed manager of the bookmaker and a licensed employee of the bookmaker of the provisions of this Act </w:t>
      </w:r>
      <w:r>
        <w:rPr>
          <w:snapToGrid w:val="0"/>
        </w:rPr>
        <w:lastRenderedPageBreak/>
        <w:t>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keepNext/>
        <w:rPr>
          <w:snapToGrid w:val="0"/>
        </w:rPr>
      </w:pPr>
      <w:r>
        <w:rPr>
          <w:snapToGrid w:val="0"/>
        </w:rPr>
        <w:lastRenderedPageBreak/>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due under this Act, and any other tax, duty, fines or penalties payable under any written law by the bookmaker; and</w:t>
      </w:r>
    </w:p>
    <w:p>
      <w:pPr>
        <w:pStyle w:val="Indenta"/>
        <w:rPr>
          <w:snapToGrid w:val="0"/>
        </w:rPr>
      </w:pPr>
      <w:r>
        <w:rPr>
          <w:snapToGrid w:val="0"/>
        </w:rPr>
        <w:lastRenderedPageBreak/>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 No. 37 of 2018 s. 51; No. 41 of 2018 s. 15(1).]</w:t>
      </w:r>
    </w:p>
    <w:p>
      <w:pPr>
        <w:pStyle w:val="Heading5"/>
        <w:spacing w:before="180"/>
      </w:pPr>
      <w:bookmarkStart w:id="77" w:name="_Toc106096436"/>
      <w:r>
        <w:rPr>
          <w:rStyle w:val="CharSectno"/>
        </w:rPr>
        <w:t>11F</w:t>
      </w:r>
      <w:r>
        <w:t>.</w:t>
      </w:r>
      <w:r>
        <w:tab/>
        <w:t>Notification of Commission in relation to licensed manager</w:t>
      </w:r>
      <w:bookmarkEnd w:id="77"/>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pPr>
      <w:r>
        <w:tab/>
        <w:t>Penalty for this subsection: a fine of $1 000.</w:t>
      </w:r>
    </w:p>
    <w:p>
      <w:pPr>
        <w:pStyle w:val="Subsection"/>
        <w:keepNext/>
        <w:keepLines/>
        <w:spacing w:before="120"/>
      </w:pPr>
      <w:r>
        <w:lastRenderedPageBreak/>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for this subsection: a fine of $1 000.</w:t>
      </w:r>
    </w:p>
    <w:p>
      <w:pPr>
        <w:pStyle w:val="Footnotesection"/>
        <w:spacing w:before="80"/>
        <w:ind w:left="890" w:hanging="890"/>
      </w:pPr>
      <w:r>
        <w:tab/>
        <w:t>[Section 11F inserted: No. 13 of 2002 s. 7; amended: No. 35 of 2003 s. 102; No. 41 of 2018 s. 8.]</w:t>
      </w:r>
    </w:p>
    <w:p>
      <w:pPr>
        <w:pStyle w:val="Heading5"/>
        <w:spacing w:before="180"/>
      </w:pPr>
      <w:bookmarkStart w:id="78" w:name="_Toc106096437"/>
      <w:r>
        <w:rPr>
          <w:rStyle w:val="CharSectno"/>
        </w:rPr>
        <w:t>11G</w:t>
      </w:r>
      <w:r>
        <w:t>.</w:t>
      </w:r>
      <w:r>
        <w:tab/>
        <w:t>Offences</w:t>
      </w:r>
      <w:bookmarkEnd w:id="78"/>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lastRenderedPageBreak/>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keepNext/>
        <w:rPr>
          <w:snapToGrid w:val="0"/>
        </w:rPr>
      </w:pPr>
      <w:r>
        <w:rPr>
          <w:snapToGrid w:val="0"/>
        </w:rPr>
        <w:tab/>
        <w:t>(6)</w:t>
      </w:r>
      <w:r>
        <w:rPr>
          <w:snapToGrid w:val="0"/>
        </w:rPr>
        <w:tab/>
        <w:t xml:space="preserve">In subsection (5) — </w:t>
      </w:r>
    </w:p>
    <w:p>
      <w:pPr>
        <w:pStyle w:val="Defstart"/>
        <w:keepNext/>
      </w:pPr>
      <w:r>
        <w:tab/>
      </w:r>
      <w:r>
        <w:rPr>
          <w:rStyle w:val="CharDefText"/>
        </w:rPr>
        <w:t>interstate offence</w:t>
      </w:r>
      <w:r>
        <w:t xml:space="preserve"> means offence under the law of another State or of a Territory, which offence is declared by the regulations to </w:t>
      </w:r>
      <w:r>
        <w:lastRenderedPageBreak/>
        <w:t>be an offence that corresponds to an offence under subsection (4).</w:t>
      </w:r>
    </w:p>
    <w:p>
      <w:pPr>
        <w:pStyle w:val="Footnotesection"/>
      </w:pPr>
      <w:r>
        <w:tab/>
        <w:t>[Section 11G inserted: No. 13 of 2002 s. 7; amended: No. 35 of 2003 s. 102; No. 84 of 2004 s. 82; No. 41 of 2018 s. 15(1).]</w:t>
      </w:r>
    </w:p>
    <w:p>
      <w:pPr>
        <w:pStyle w:val="Ednotesection"/>
        <w:spacing w:before="180"/>
      </w:pPr>
      <w:r>
        <w:t>[</w:t>
      </w:r>
      <w:r>
        <w:rPr>
          <w:b/>
        </w:rPr>
        <w:t>11H, 11I.</w:t>
      </w:r>
      <w:r>
        <w:tab/>
        <w:t>Deleted: No. 70 of 2006 s. 10(2).]</w:t>
      </w:r>
    </w:p>
    <w:p>
      <w:pPr>
        <w:pStyle w:val="Heading5"/>
        <w:spacing w:before="180"/>
        <w:rPr>
          <w:snapToGrid w:val="0"/>
        </w:rPr>
      </w:pPr>
      <w:bookmarkStart w:id="79" w:name="_Toc106096438"/>
      <w:r>
        <w:rPr>
          <w:rStyle w:val="CharSectno"/>
        </w:rPr>
        <w:t>12</w:t>
      </w:r>
      <w:r>
        <w:rPr>
          <w:snapToGrid w:val="0"/>
        </w:rPr>
        <w:t>.</w:t>
      </w:r>
      <w:r>
        <w:rPr>
          <w:snapToGrid w:val="0"/>
        </w:rPr>
        <w:tab/>
        <w:t>Bookmaking on racecourses</w:t>
      </w:r>
      <w:bookmarkEnd w:id="79"/>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w:t>
      </w:r>
      <w:r>
        <w:t>racecourse</w:t>
      </w:r>
      <w:r>
        <w:rPr>
          <w:snapToGrid w:val="0"/>
        </w:rPr>
        <w:t xml:space="preserv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w:t>
      </w:r>
      <w:r>
        <w:t>racecourse</w:t>
      </w:r>
      <w:r>
        <w:rPr>
          <w:snapToGrid w:val="0"/>
        </w:rPr>
        <w:t xml:space="preserv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racecourse; or</w:t>
      </w:r>
    </w:p>
    <w:p>
      <w:pPr>
        <w:pStyle w:val="Indenta"/>
        <w:rPr>
          <w:snapToGrid w:val="0"/>
        </w:rPr>
      </w:pPr>
      <w:r>
        <w:tab/>
        <w:t>(b)</w:t>
      </w:r>
      <w:r>
        <w:tab/>
        <w:t>on other days, at times approved by both the Commission and the committee or other authority controlling the racecourse.</w:t>
      </w:r>
    </w:p>
    <w:p>
      <w:pPr>
        <w:pStyle w:val="Subsection"/>
      </w:pPr>
      <w:r>
        <w:tab/>
        <w:t>(3a)</w:t>
      </w:r>
      <w:r>
        <w:tab/>
        <w:t>Subject to subsection (3b), no bookmaker shall bet or carry on business as such on a racecourse under subsection (3) unless a steward is present at the racecourse while that betting or business is carried on to supervise the conduct of the betting or business.</w:t>
      </w:r>
    </w:p>
    <w:p>
      <w:pPr>
        <w:pStyle w:val="Subsection"/>
      </w:pPr>
      <w:r>
        <w:lastRenderedPageBreak/>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racecourse under subsection (3) whether or not a steward is present at the racecourse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 xml:space="preserve">as the agent of that bookmaker to operate a second stand, or in another approved area, on behalf of that bookmaker at that </w:t>
      </w:r>
      <w:r>
        <w:t>racecourse</w:t>
      </w:r>
      <w:r>
        <w:rPr>
          <w:snapToGrid w:val="0"/>
        </w:rPr>
        <w:t>, either generally or on a particular occasion, whether or not subparagraph (i) applies; or</w:t>
      </w:r>
    </w:p>
    <w:p>
      <w:pPr>
        <w:pStyle w:val="Indenti"/>
        <w:rPr>
          <w:snapToGrid w:val="0"/>
        </w:rPr>
      </w:pPr>
      <w:r>
        <w:rPr>
          <w:snapToGrid w:val="0"/>
        </w:rPr>
        <w:tab/>
        <w:t>(iii)</w:t>
      </w:r>
      <w:r>
        <w:rPr>
          <w:snapToGrid w:val="0"/>
        </w:rPr>
        <w:tab/>
        <w:t xml:space="preserve">as the agent of that bookmaker, to operate on behalf of that bookmaker at that </w:t>
      </w:r>
      <w:r>
        <w:t>racecourse</w:t>
      </w:r>
      <w:r>
        <w:rPr>
          <w:snapToGrid w:val="0"/>
        </w:rPr>
        <w:t xml:space="preserv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lastRenderedPageBreak/>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racecourse by a licensed manager of the bookmaker.</w:t>
      </w:r>
    </w:p>
    <w:p>
      <w:pPr>
        <w:pStyle w:val="Subsection"/>
        <w:rPr>
          <w:snapToGrid w:val="0"/>
        </w:rPr>
      </w:pPr>
      <w:r>
        <w:rPr>
          <w:snapToGrid w:val="0"/>
        </w:rPr>
        <w:tab/>
        <w:t>(5)</w:t>
      </w:r>
      <w:r>
        <w:rPr>
          <w:snapToGrid w:val="0"/>
        </w:rPr>
        <w:tab/>
        <w:t xml:space="preserve">The committee or other authority controlling a </w:t>
      </w:r>
      <w:r>
        <w:t>racecourse</w:t>
      </w:r>
      <w:r>
        <w:rPr>
          <w:snapToGrid w:val="0"/>
        </w:rPr>
        <w:t xml:space="preserv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lastRenderedPageBreak/>
        <w:tab/>
        <w:t>(i)</w:t>
      </w:r>
      <w:r>
        <w:rPr>
          <w:snapToGrid w:val="0"/>
        </w:rPr>
        <w:tab/>
        <w:t xml:space="preserve">the situation of any betting ring or approved area, or any proposed betting ring or approved area, on the </w:t>
      </w:r>
      <w:r>
        <w:t>racecourse</w:t>
      </w:r>
      <w:r>
        <w:rPr>
          <w:snapToGrid w:val="0"/>
        </w:rPr>
        <w:t>;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 xml:space="preserve">any person to carry on the business, or any aspect of the business, of a bookmaker on that </w:t>
      </w:r>
      <w:r>
        <w:t>racecourse</w:t>
      </w:r>
      <w:r>
        <w:rPr>
          <w:snapToGrid w:val="0"/>
        </w:rPr>
        <w:t xml:space="preserv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p>
    <w:p>
      <w:pPr>
        <w:pStyle w:val="Ednotesubpara"/>
        <w:rPr>
          <w:snapToGrid w:val="0"/>
        </w:rPr>
      </w:pPr>
      <w:r>
        <w:rPr>
          <w:snapToGrid w:val="0"/>
        </w:rPr>
        <w:tab/>
        <w:t>[(iii), (iv)</w:t>
      </w:r>
      <w:r>
        <w:rPr>
          <w:snapToGrid w:val="0"/>
        </w:rPr>
        <w:tab/>
        <w:t>deleted]</w:t>
      </w:r>
    </w:p>
    <w:p>
      <w:pPr>
        <w:pStyle w:val="Subsection"/>
        <w:spacing w:before="120"/>
        <w:rPr>
          <w:snapToGrid w:val="0"/>
        </w:rPr>
      </w:pPr>
      <w:r>
        <w:rPr>
          <w:snapToGrid w:val="0"/>
        </w:rPr>
        <w:tab/>
        <w:t>(6)</w:t>
      </w:r>
      <w:r>
        <w:rPr>
          <w:snapToGrid w:val="0"/>
        </w:rPr>
        <w:tab/>
        <w:t xml:space="preserve">Where an application by a licensee to the committee or other authority controlling a </w:t>
      </w:r>
      <w:r>
        <w:t>racecourse</w:t>
      </w:r>
      <w:r>
        <w:rPr>
          <w:snapToGrid w:val="0"/>
        </w:rPr>
        <w:t xml:space="preserve"> for a permit is refused under this section, or the permit of a licensee is cancelled or suspended, the committee or other authority controlling the </w:t>
      </w:r>
      <w:r>
        <w:t>racecourse</w:t>
      </w:r>
      <w:r>
        <w:rPr>
          <w:snapToGrid w:val="0"/>
        </w:rPr>
        <w:t xml:space="preserv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lastRenderedPageBreak/>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No. 77 of 1976 s. 13; No. 34 of 1985 s. 5; No. 11 of 1992 s. 29 and 33; No. 63 of 1995 s. 48; No. 13 of 2002 s. 8; No. 35 of 2003 s. 81 and 102; No. 8 of 2007 s. 4; No. 37 of 2018 s. 52; No. 21 of 2019 s. 80.] </w:t>
      </w:r>
    </w:p>
    <w:p>
      <w:pPr>
        <w:pStyle w:val="Heading5"/>
      </w:pPr>
      <w:bookmarkStart w:id="80" w:name="_Toc106096439"/>
      <w:r>
        <w:rPr>
          <w:rStyle w:val="CharSectno"/>
        </w:rPr>
        <w:t>12A</w:t>
      </w:r>
      <w:r>
        <w:t>.</w:t>
      </w:r>
      <w:r>
        <w:tab/>
        <w:t>Temporary bookmakers’ employees’ licences</w:t>
      </w:r>
      <w:bookmarkEnd w:id="80"/>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racecourse under section 12(3).</w:t>
      </w:r>
    </w:p>
    <w:p>
      <w:pPr>
        <w:pStyle w:val="Subsection"/>
        <w:keepLines/>
      </w:pPr>
      <w:r>
        <w:tab/>
        <w:t>(2)</w:t>
      </w:r>
      <w:r>
        <w:tab/>
        <w:t xml:space="preserve">A </w:t>
      </w:r>
      <w:r>
        <w:rPr>
          <w:snapToGrid w:val="0"/>
        </w:rPr>
        <w:t>steward</w:t>
      </w:r>
      <w:r>
        <w:t xml:space="preserve"> to whom an application is made under subsection (1) or (1a) may — </w:t>
      </w:r>
    </w:p>
    <w:p>
      <w:pPr>
        <w:pStyle w:val="Indenta"/>
        <w:keepLines/>
      </w:pPr>
      <w:r>
        <w:tab/>
        <w:t>(a)</w:t>
      </w:r>
      <w:r>
        <w:tab/>
        <w:t xml:space="preserve">if that steward is satisfied that the applicant — </w:t>
      </w:r>
    </w:p>
    <w:p>
      <w:pPr>
        <w:pStyle w:val="Indenti"/>
      </w:pPr>
      <w:r>
        <w:tab/>
        <w:t>(i)</w:t>
      </w:r>
      <w:r>
        <w:tab/>
        <w:t xml:space="preserve">has no licensed employees, or insufficient licensed employees, to enable the applicant to conduct the applicant’s business at the race </w:t>
      </w:r>
      <w:r>
        <w:lastRenderedPageBreak/>
        <w:t>meeting or racecourse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keepNext/>
      </w:pPr>
      <w:r>
        <w:tab/>
        <w:t>(5a)</w:t>
      </w:r>
      <w:r>
        <w:tab/>
        <w:t xml:space="preserve">A steward — </w:t>
      </w:r>
    </w:p>
    <w:p>
      <w:pPr>
        <w:pStyle w:val="Indenta"/>
      </w:pPr>
      <w:r>
        <w:tab/>
        <w:t>(a)</w:t>
      </w:r>
      <w:r>
        <w:tab/>
        <w:t>who has granted one or more temporary licences under subsection (1a); and</w:t>
      </w:r>
    </w:p>
    <w:p>
      <w:pPr>
        <w:pStyle w:val="Indenta"/>
      </w:pPr>
      <w:r>
        <w:tab/>
        <w:t>(b)</w:t>
      </w:r>
      <w:r>
        <w:tab/>
        <w:t xml:space="preserve">who does not, within 3 days of the day in respect of which the temporary licence was granted, communicate </w:t>
      </w:r>
      <w:r>
        <w:lastRenderedPageBreak/>
        <w:t>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 No. 21 of 2019 s. 80.]</w:t>
      </w:r>
    </w:p>
    <w:p>
      <w:pPr>
        <w:pStyle w:val="Heading5"/>
        <w:rPr>
          <w:snapToGrid w:val="0"/>
        </w:rPr>
      </w:pPr>
      <w:bookmarkStart w:id="81" w:name="_Toc106096440"/>
      <w:r>
        <w:rPr>
          <w:rStyle w:val="CharSectno"/>
        </w:rPr>
        <w:t>13</w:t>
      </w:r>
      <w:r>
        <w:rPr>
          <w:snapToGrid w:val="0"/>
        </w:rPr>
        <w:t>.</w:t>
      </w:r>
      <w:r>
        <w:rPr>
          <w:snapToGrid w:val="0"/>
        </w:rPr>
        <w:tab/>
        <w:t>Bookmakers’ annual licence fee</w:t>
      </w:r>
      <w:bookmarkEnd w:id="81"/>
      <w:r>
        <w:rPr>
          <w:snapToGrid w:val="0"/>
        </w:rPr>
        <w:t xml:space="preserve"> </w:t>
      </w: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tab/>
        <w:t>(ii)</w:t>
      </w:r>
      <w:r>
        <w:tab/>
        <w:t xml:space="preserve">negotiated by the bookmaker as agent for another person; </w:t>
      </w:r>
    </w:p>
    <w:p>
      <w:pPr>
        <w:pStyle w:val="Defpara"/>
      </w:pPr>
      <w:r>
        <w:tab/>
      </w:r>
      <w:r>
        <w:tab/>
        <w:t>but</w:t>
      </w:r>
    </w:p>
    <w:p>
      <w:pPr>
        <w:pStyle w:val="Defpara"/>
      </w:pPr>
      <w:r>
        <w:tab/>
        <w:t>(b)</w:t>
      </w:r>
      <w:r>
        <w:tab/>
        <w:t xml:space="preserve">does not include any money promised or paid by a bookmaker as the consideration for a bet made by the bookmaker on the bookmaker’s own behalf in the </w:t>
      </w:r>
      <w:r>
        <w:lastRenderedPageBreak/>
        <w:t>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t>[(2)</w:t>
      </w:r>
      <w:r>
        <w:tab/>
        <w:t>deleted]</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lastRenderedPageBreak/>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No. 37 of 2018 s. 53.] </w:t>
      </w:r>
    </w:p>
    <w:p>
      <w:pPr>
        <w:pStyle w:val="Heading2"/>
      </w:pPr>
      <w:bookmarkStart w:id="82" w:name="_Toc106004682"/>
      <w:bookmarkStart w:id="83" w:name="_Toc106004804"/>
      <w:bookmarkStart w:id="84" w:name="_Toc106096441"/>
      <w:r>
        <w:rPr>
          <w:rStyle w:val="CharPartNo"/>
        </w:rPr>
        <w:lastRenderedPageBreak/>
        <w:t>Part 3</w:t>
      </w:r>
      <w:r>
        <w:rPr>
          <w:b w:val="0"/>
        </w:rPr>
        <w:t> </w:t>
      </w:r>
      <w:r>
        <w:t>—</w:t>
      </w:r>
      <w:r>
        <w:rPr>
          <w:b w:val="0"/>
        </w:rPr>
        <w:t> </w:t>
      </w:r>
      <w:r>
        <w:rPr>
          <w:rStyle w:val="CharPartText"/>
        </w:rPr>
        <w:t>Levies and totalisators</w:t>
      </w:r>
      <w:bookmarkEnd w:id="82"/>
      <w:bookmarkEnd w:id="83"/>
      <w:bookmarkEnd w:id="84"/>
    </w:p>
    <w:p>
      <w:pPr>
        <w:pStyle w:val="Footnoteheading"/>
        <w:tabs>
          <w:tab w:val="left" w:pos="851"/>
        </w:tabs>
      </w:pPr>
      <w:r>
        <w:tab/>
        <w:t>[Heading inserted: No. 35 of 2003 s. 101(3).]</w:t>
      </w:r>
    </w:p>
    <w:p>
      <w:pPr>
        <w:pStyle w:val="Heading5"/>
      </w:pPr>
      <w:bookmarkStart w:id="85" w:name="_Toc106096442"/>
      <w:r>
        <w:rPr>
          <w:rStyle w:val="CharSectno"/>
        </w:rPr>
        <w:t>14</w:t>
      </w:r>
      <w:r>
        <w:t>.</w:t>
      </w:r>
      <w:r>
        <w:tab/>
        <w:t>Bets transmitted from racing club to wagering licensee</w:t>
      </w:r>
      <w:bookmarkEnd w:id="85"/>
    </w:p>
    <w:p>
      <w:pPr>
        <w:pStyle w:val="Subsection"/>
      </w:pPr>
      <w:r>
        <w:tab/>
        <w:t>(1)</w:t>
      </w:r>
      <w:r>
        <w:tab/>
        <w:t>If a wagering licensee is conducting totalisator betting on a race, a racing club may transmit any bet received by the club on that race to the wagering licensee for inclusion in a totalisator pool conducted by the wagering licensee.</w:t>
      </w:r>
    </w:p>
    <w:p>
      <w:pPr>
        <w:pStyle w:val="Subsection"/>
      </w:pPr>
      <w:r>
        <w:tab/>
        <w:t>(2)</w:t>
      </w:r>
      <w:r>
        <w:tab/>
        <w:t xml:space="preserve">The wagering licensee may — </w:t>
      </w:r>
    </w:p>
    <w:p>
      <w:pPr>
        <w:pStyle w:val="Indenta"/>
      </w:pPr>
      <w:r>
        <w:tab/>
        <w:t>(a)</w:t>
      </w:r>
      <w:r>
        <w:tab/>
        <w:t>include a bet received from a racing club in the totalisator pool; or</w:t>
      </w:r>
    </w:p>
    <w:p>
      <w:pPr>
        <w:pStyle w:val="Indenta"/>
      </w:pPr>
      <w:r>
        <w:tab/>
        <w:t>(b)</w:t>
      </w:r>
      <w:r>
        <w:tab/>
        <w:t>further transmit a bet received from a racing club to a totalisator pool operated under a combined totalisator pool scheme referred to in section 10S.</w:t>
      </w:r>
    </w:p>
    <w:p>
      <w:pPr>
        <w:pStyle w:val="Footnotesection"/>
        <w:rPr>
          <w:iCs/>
        </w:rPr>
      </w:pPr>
      <w:r>
        <w:rPr>
          <w:iCs/>
        </w:rPr>
        <w:tab/>
        <w:t xml:space="preserve">[Section 14 inserted: </w:t>
      </w:r>
      <w:r>
        <w:t>No. 21 of 2019 s. 52</w:t>
      </w:r>
      <w:r>
        <w:rPr>
          <w:iCs/>
        </w:rPr>
        <w:t>.]</w:t>
      </w:r>
    </w:p>
    <w:p>
      <w:pPr>
        <w:pStyle w:val="Heading5"/>
        <w:spacing w:before="180"/>
      </w:pPr>
      <w:bookmarkStart w:id="86" w:name="_Toc106096443"/>
      <w:r>
        <w:rPr>
          <w:rStyle w:val="CharSectno"/>
        </w:rPr>
        <w:t>14A</w:t>
      </w:r>
      <w:r>
        <w:t>.</w:t>
      </w:r>
      <w:r>
        <w:tab/>
        <w:t>Betting operators’ liability to lodge returns and to pay racing bets levy</w:t>
      </w:r>
      <w:bookmarkEnd w:id="86"/>
    </w:p>
    <w:p>
      <w:pPr>
        <w:pStyle w:val="Subsection"/>
      </w:pPr>
      <w:r>
        <w:tab/>
        <w:t>(1)</w:t>
      </w:r>
      <w:r>
        <w:tab/>
        <w:t xml:space="preserve">In this section — </w:t>
      </w:r>
    </w:p>
    <w:p>
      <w:pPr>
        <w:pStyle w:val="Defstart"/>
      </w:pPr>
      <w:r>
        <w:tab/>
      </w:r>
      <w:r>
        <w:rPr>
          <w:rStyle w:val="CharDefText"/>
        </w:rPr>
        <w:t>bet back</w:t>
      </w:r>
      <w:r>
        <w:t xml:space="preserve"> means a bet placed with a domestic betting operator, or the operator of a betting exchange, if the bet is placed — </w:t>
      </w:r>
    </w:p>
    <w:p>
      <w:pPr>
        <w:pStyle w:val="Defpara"/>
      </w:pPr>
      <w:r>
        <w:tab/>
        <w:t>(a)</w:t>
      </w:r>
      <w:r>
        <w:tab/>
        <w:t>for the purpose of reducing the liability of another domestic betting operator; and</w:t>
      </w:r>
    </w:p>
    <w:p>
      <w:pPr>
        <w:pStyle w:val="Defpara"/>
      </w:pPr>
      <w:r>
        <w:tab/>
        <w:t>(b)</w:t>
      </w:r>
      <w:r>
        <w:tab/>
        <w:t>by that other domestic betting operator;</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 </w:t>
      </w:r>
    </w:p>
    <w:p>
      <w:pPr>
        <w:pStyle w:val="Defpara"/>
      </w:pPr>
      <w:r>
        <w:tab/>
        <w:t>(a)</w:t>
      </w:r>
      <w:r>
        <w:tab/>
        <w:t xml:space="preserve">in relation to a domestic betting operator or offshore betting operator — the turnover of the operator, less any dividends to customers by the operator on racing bets; </w:t>
      </w:r>
    </w:p>
    <w:p>
      <w:pPr>
        <w:pStyle w:val="Defpara"/>
      </w:pPr>
      <w:r>
        <w:lastRenderedPageBreak/>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 </w:t>
      </w:r>
    </w:p>
    <w:p>
      <w:pPr>
        <w:pStyle w:val="Defpara"/>
      </w:pPr>
      <w:r>
        <w:tab/>
        <w:t>(a)</w:t>
      </w:r>
      <w:r>
        <w:tab/>
        <w:t>in relation to a domestic betting operator or offshore betting operator — the total amount of racing bets placed with the operator, less the amount of bet backs placed by the operator;</w:t>
      </w:r>
    </w:p>
    <w:p>
      <w:pPr>
        <w:pStyle w:val="Defpara"/>
      </w:pPr>
      <w:r>
        <w:tab/>
        <w:t>(b)</w:t>
      </w:r>
      <w:r>
        <w:tab/>
        <w:t>in relation to a betting exchange — the net winnings of racing bets placed with the betting exchange.</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r>
      <w:r>
        <w:tab/>
        <w:t>Penalty for this subsection:</w:t>
      </w:r>
    </w:p>
    <w:p>
      <w:pPr>
        <w:pStyle w:val="Penpara"/>
      </w:pPr>
      <w:r>
        <w:tab/>
        <w:t>(a)</w:t>
      </w:r>
      <w:r>
        <w:tab/>
        <w:t>a fine of $10 000;</w:t>
      </w:r>
    </w:p>
    <w:p>
      <w:pPr>
        <w:pStyle w:val="Penpara"/>
      </w:pPr>
      <w:r>
        <w:lastRenderedPageBreak/>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annual licence fee were a reference to the racing bets levy; and</w:t>
      </w:r>
    </w:p>
    <w:p>
      <w:pPr>
        <w:pStyle w:val="Indenta"/>
      </w:pPr>
      <w:r>
        <w:tab/>
        <w:t>(b)</w:t>
      </w:r>
      <w:r>
        <w:tab/>
        <w:t>to a bookmaker were a reference to a betting operator; and</w:t>
      </w:r>
    </w:p>
    <w:p>
      <w:pPr>
        <w:pStyle w:val="Indenta"/>
      </w:pPr>
      <w:r>
        <w:tab/>
        <w:t>(c)</w:t>
      </w:r>
      <w:r>
        <w:tab/>
        <w:t xml:space="preserve">to a penalty fee were a reference to an additional racing bets levy; and </w:t>
      </w:r>
    </w:p>
    <w:p>
      <w:pPr>
        <w:pStyle w:val="Indenta"/>
      </w:pPr>
      <w:r>
        <w:tab/>
        <w:t>(d)</w:t>
      </w:r>
      <w:r>
        <w:tab/>
        <w:t xml:space="preserve">to money due in respect of an annual licence fee were a reference to money due as racing bets levy; and </w:t>
      </w:r>
    </w:p>
    <w:p>
      <w:pPr>
        <w:pStyle w:val="Indenta"/>
      </w:pPr>
      <w:r>
        <w:tab/>
        <w:t>(e)</w:t>
      </w:r>
      <w:r>
        <w:tab/>
        <w:t>to an assessment to be made of the amount of fee due were a reference to an assessment to be made of the amount on which, in the judgment of the Commission, racing bets levy ought to be levied.</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No. 29 of 2009 s. 6; amended: No. 37 of 2018 s. 54; No. 41 of 2018 s. 9.]</w:t>
      </w:r>
    </w:p>
    <w:p>
      <w:pPr>
        <w:pStyle w:val="Ednotesection"/>
        <w:ind w:left="890" w:hanging="890"/>
      </w:pPr>
      <w:r>
        <w:t>[</w:t>
      </w:r>
      <w:r>
        <w:rPr>
          <w:b/>
        </w:rPr>
        <w:t>14B-16.</w:t>
      </w:r>
      <w:r>
        <w:rPr>
          <w:b/>
        </w:rPr>
        <w:tab/>
        <w:t xml:space="preserve"> </w:t>
      </w:r>
      <w:r>
        <w:t>Deleted: No. 37 of 2019 s. 55.]</w:t>
      </w:r>
    </w:p>
    <w:p>
      <w:pPr>
        <w:pStyle w:val="Heading5"/>
        <w:spacing w:before="180"/>
        <w:rPr>
          <w:snapToGrid w:val="0"/>
        </w:rPr>
      </w:pPr>
      <w:bookmarkStart w:id="87" w:name="_Toc106096444"/>
      <w:r>
        <w:rPr>
          <w:rStyle w:val="CharSectno"/>
        </w:rPr>
        <w:t>16A</w:t>
      </w:r>
      <w:r>
        <w:rPr>
          <w:snapToGrid w:val="0"/>
        </w:rPr>
        <w:t>.</w:t>
      </w:r>
      <w:r>
        <w:rPr>
          <w:snapToGrid w:val="0"/>
        </w:rPr>
        <w:tab/>
        <w:t>Books of account, records etc.</w:t>
      </w:r>
      <w:bookmarkEnd w:id="87"/>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 xml:space="preserve">setting out the financial position of the business carried on, in such a way as will enable the </w:t>
      </w:r>
      <w:r>
        <w:rPr>
          <w:snapToGrid w:val="0"/>
        </w:rPr>
        <w:lastRenderedPageBreak/>
        <w:t>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lastRenderedPageBreak/>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88" w:name="_Toc106096445"/>
      <w:r>
        <w:rPr>
          <w:rStyle w:val="CharSectno"/>
        </w:rPr>
        <w:lastRenderedPageBreak/>
        <w:t>17</w:t>
      </w:r>
      <w:r>
        <w:rPr>
          <w:snapToGrid w:val="0"/>
        </w:rPr>
        <w:t>.</w:t>
      </w:r>
      <w:r>
        <w:rPr>
          <w:snapToGrid w:val="0"/>
        </w:rPr>
        <w:tab/>
        <w:t>Effect on annual licence fee of not being entitled to receive or retain consideration</w:t>
      </w:r>
      <w:bookmarkEnd w:id="88"/>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 an annual licence fee in respect of — </w:t>
      </w:r>
    </w:p>
    <w:p>
      <w:pPr>
        <w:pStyle w:val="Indenta"/>
      </w:pPr>
      <w:r>
        <w:tab/>
        <w:t>(a)</w:t>
      </w:r>
      <w:r>
        <w:tab/>
        <w:t>a bookmaker’s licence; or</w:t>
      </w:r>
    </w:p>
    <w:p>
      <w:pPr>
        <w:pStyle w:val="Indenta"/>
      </w:pPr>
      <w:r>
        <w:tab/>
        <w:t>(b)</w:t>
      </w:r>
      <w:r>
        <w:tab/>
        <w:t>an authorisation to possess and operate a totalisator,</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No. 37 of 2018 s. 56.] </w:t>
      </w:r>
    </w:p>
    <w:p>
      <w:pPr>
        <w:pStyle w:val="Heading5"/>
        <w:rPr>
          <w:snapToGrid w:val="0"/>
        </w:rPr>
      </w:pPr>
      <w:bookmarkStart w:id="89" w:name="_Toc106096446"/>
      <w:r>
        <w:rPr>
          <w:rStyle w:val="CharSectno"/>
        </w:rPr>
        <w:t>17A</w:t>
      </w:r>
      <w:r>
        <w:rPr>
          <w:snapToGrid w:val="0"/>
        </w:rPr>
        <w:t>.</w:t>
      </w:r>
      <w:r>
        <w:rPr>
          <w:snapToGrid w:val="0"/>
        </w:rPr>
        <w:tab/>
        <w:t>Annual licence fee in respect of totalisators</w:t>
      </w:r>
      <w:bookmarkEnd w:id="89"/>
      <w:r>
        <w:rPr>
          <w:snapToGrid w:val="0"/>
        </w:rPr>
        <w:t xml:space="preserve"> </w:t>
      </w: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t>[(2)</w:t>
      </w:r>
      <w:r>
        <w:tab/>
        <w:t>deleted]</w:t>
      </w:r>
    </w:p>
    <w:p>
      <w:pPr>
        <w:pStyle w:val="Subsection"/>
        <w:keepNext/>
        <w:spacing w:before="120"/>
        <w:rPr>
          <w:snapToGrid w:val="0"/>
        </w:rPr>
      </w:pPr>
      <w:r>
        <w:rPr>
          <w:snapToGrid w:val="0"/>
        </w:rPr>
        <w:lastRenderedPageBreak/>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No. 37 of 2018 s. 57.] </w:t>
      </w:r>
    </w:p>
    <w:p>
      <w:pPr>
        <w:pStyle w:val="Heading5"/>
        <w:spacing w:before="180"/>
        <w:rPr>
          <w:snapToGrid w:val="0"/>
        </w:rPr>
      </w:pPr>
      <w:bookmarkStart w:id="90" w:name="_Toc106096447"/>
      <w:r>
        <w:rPr>
          <w:rStyle w:val="CharSectno"/>
        </w:rPr>
        <w:t>17B</w:t>
      </w:r>
      <w:r>
        <w:rPr>
          <w:snapToGrid w:val="0"/>
        </w:rPr>
        <w:t>.</w:t>
      </w:r>
      <w:r>
        <w:rPr>
          <w:snapToGrid w:val="0"/>
        </w:rPr>
        <w:tab/>
        <w:t>Use of the totalisator by racing clubs</w:t>
      </w:r>
      <w:bookmarkEnd w:id="90"/>
      <w:r>
        <w:rPr>
          <w:snapToGrid w:val="0"/>
        </w:rPr>
        <w:t xml:space="preserve"> </w:t>
      </w:r>
    </w:p>
    <w:p>
      <w:pPr>
        <w:pStyle w:val="Subsection"/>
        <w:spacing w:before="120"/>
        <w:rPr>
          <w:snapToGrid w:val="0"/>
        </w:rPr>
      </w:pPr>
      <w:r>
        <w:rPr>
          <w:snapToGrid w:val="0"/>
        </w:rPr>
        <w:tab/>
        <w:t>(1)</w:t>
      </w:r>
      <w:r>
        <w:rPr>
          <w:snapToGrid w:val="0"/>
        </w:rPr>
        <w:tab/>
        <w:t xml:space="preserve">The possession by the committee or other authority controlling a </w:t>
      </w:r>
      <w:r>
        <w:t>racecourse</w:t>
      </w:r>
      <w:r>
        <w:rPr>
          <w:snapToGrid w:val="0"/>
        </w:rPr>
        <w:t xml:space="preserve"> of a totalisator at that </w:t>
      </w:r>
      <w:r>
        <w:t>racecourse</w:t>
      </w:r>
      <w:r>
        <w:rPr>
          <w:snapToGrid w:val="0"/>
        </w:rPr>
        <w:t xml:space="preserv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1</w:t>
      </w:r>
      <w:r>
        <w:rPr>
          <w:snapToGrid w:val="0"/>
        </w:rPr>
        <w:t xml:space="preserve"> or the </w:t>
      </w:r>
      <w:r>
        <w:rPr>
          <w:i/>
          <w:snapToGrid w:val="0"/>
        </w:rPr>
        <w:t>Totalisator Act Amendment Act 1899</w:t>
      </w:r>
      <w:r>
        <w:rPr>
          <w:snapToGrid w:val="0"/>
          <w:vertAlign w:val="superscript"/>
        </w:rPr>
        <w:t> 1</w:t>
      </w:r>
      <w:r>
        <w:rPr>
          <w:snapToGrid w:val="0"/>
        </w:rPr>
        <w:t xml:space="preserve"> or pursuant to a licence under the </w:t>
      </w:r>
      <w:r>
        <w:rPr>
          <w:i/>
          <w:snapToGrid w:val="0"/>
        </w:rPr>
        <w:t>Totalisator Regulation Act 1911</w:t>
      </w:r>
      <w:r>
        <w:rPr>
          <w:snapToGrid w:val="0"/>
          <w:vertAlign w:val="superscript"/>
        </w:rPr>
        <w:t> 1</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 xml:space="preserve">For the purposes of section 32A, an authorisation conferred by this section may be dealt with as though it were a licence held by a bookmaker, and the committee or other authority operating a totalisator on a </w:t>
      </w:r>
      <w:r>
        <w:t>racecourse</w:t>
      </w:r>
      <w:r>
        <w:rPr>
          <w:snapToGrid w:val="0"/>
        </w:rPr>
        <w:t xml:space="preserv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w:t>
      </w:r>
      <w:r>
        <w:rPr>
          <w:snapToGrid w:val="0"/>
        </w:rPr>
        <w:lastRenderedPageBreak/>
        <w:t>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No. 21 of 2019 s. 80.] </w:t>
      </w:r>
    </w:p>
    <w:p>
      <w:pPr>
        <w:pStyle w:val="Heading5"/>
        <w:rPr>
          <w:snapToGrid w:val="0"/>
        </w:rPr>
      </w:pPr>
      <w:bookmarkStart w:id="91" w:name="_Toc106096448"/>
      <w:r>
        <w:rPr>
          <w:rStyle w:val="CharSectno"/>
        </w:rPr>
        <w:t>17C</w:t>
      </w:r>
      <w:r>
        <w:rPr>
          <w:snapToGrid w:val="0"/>
        </w:rPr>
        <w:t>.</w:t>
      </w:r>
      <w:r>
        <w:rPr>
          <w:snapToGrid w:val="0"/>
        </w:rPr>
        <w:tab/>
        <w:t>Making of bets on designated sporting events not authorised</w:t>
      </w:r>
      <w:bookmarkEnd w:id="91"/>
    </w:p>
    <w:p>
      <w:pPr>
        <w:pStyle w:val="Subsection"/>
        <w:rPr>
          <w:snapToGrid w:val="0"/>
        </w:rPr>
      </w:pPr>
      <w:r>
        <w:rPr>
          <w:snapToGrid w:val="0"/>
        </w:rPr>
        <w:tab/>
      </w:r>
      <w:r>
        <w:rPr>
          <w:snapToGrid w:val="0"/>
        </w:rPr>
        <w:tab/>
        <w:t xml:space="preserve">Notwithstanding the application of this Act to designated sporting events conducted by a permittee at a registered place, and the deeming provisions of section 4A, section 17B shall not </w:t>
      </w:r>
      <w:r>
        <w:rPr>
          <w:snapToGrid w:val="0"/>
        </w:rPr>
        <w:lastRenderedPageBreak/>
        <w:t>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92" w:name="_Toc106096449"/>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92"/>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93" w:name="_Toc106096450"/>
      <w:r>
        <w:rPr>
          <w:rStyle w:val="CharSectno"/>
        </w:rPr>
        <w:t>17E</w:t>
      </w:r>
      <w:r>
        <w:rPr>
          <w:snapToGrid w:val="0"/>
        </w:rPr>
        <w:t>.</w:t>
      </w:r>
      <w:r>
        <w:rPr>
          <w:snapToGrid w:val="0"/>
        </w:rPr>
        <w:tab/>
        <w:t>Percentage of off course bets to belong to RWWA</w:t>
      </w:r>
      <w:bookmarkEnd w:id="93"/>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lastRenderedPageBreak/>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94" w:name="_Toc106096451"/>
      <w:r>
        <w:rPr>
          <w:rStyle w:val="CharSectno"/>
        </w:rPr>
        <w:t>17EA</w:t>
      </w:r>
      <w:r>
        <w:t>.</w:t>
      </w:r>
      <w:r>
        <w:tab/>
        <w:t xml:space="preserve">Management of fixed odds </w:t>
      </w:r>
      <w:r>
        <w:rPr>
          <w:snapToGrid w:val="0"/>
        </w:rPr>
        <w:t>—</w:t>
      </w:r>
      <w:r>
        <w:t xml:space="preserve"> prescribed margin</w:t>
      </w:r>
      <w:bookmarkEnd w:id="94"/>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object w:dxaOrig="3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5pt;height:19.15pt" o:ole="">
            <v:imagedata r:id="rId21" o:title=""/>
          </v:shape>
          <o:OLEObject Type="Embed" ProgID="Equation.3" ShapeID="_x0000_i1025" DrawAspect="Content" ObjectID="_1716967910" r:id="rId22"/>
        </w:object>
      </w:r>
    </w:p>
    <w:p>
      <w:pPr>
        <w:pStyle w:val="Subsection"/>
        <w:spacing w:before="100"/>
      </w:pPr>
      <w:r>
        <w:lastRenderedPageBreak/>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95" w:name="_Toc106096452"/>
      <w:r>
        <w:rPr>
          <w:rStyle w:val="CharSectno"/>
        </w:rPr>
        <w:t>17F</w:t>
      </w:r>
      <w:r>
        <w:rPr>
          <w:snapToGrid w:val="0"/>
        </w:rPr>
        <w:t>.</w:t>
      </w:r>
      <w:r>
        <w:rPr>
          <w:snapToGrid w:val="0"/>
        </w:rPr>
        <w:tab/>
        <w:t>Percentage of bets to belong to racing club</w:t>
      </w:r>
      <w:bookmarkEnd w:id="95"/>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Ednotesection"/>
        <w:ind w:left="890" w:hanging="890"/>
      </w:pPr>
      <w:r>
        <w:t>[</w:t>
      </w:r>
      <w:r>
        <w:rPr>
          <w:b/>
        </w:rPr>
        <w:t>18, 18A.</w:t>
      </w:r>
      <w:r>
        <w:rPr>
          <w:b/>
        </w:rPr>
        <w:tab/>
      </w:r>
      <w:r>
        <w:t>Deleted: No. 37 of 2019 s. 58.]</w:t>
      </w:r>
    </w:p>
    <w:p>
      <w:pPr>
        <w:pStyle w:val="Heading5"/>
        <w:rPr>
          <w:snapToGrid w:val="0"/>
        </w:rPr>
      </w:pPr>
      <w:bookmarkStart w:id="96" w:name="_Toc106096453"/>
      <w:r>
        <w:rPr>
          <w:rStyle w:val="CharSectno"/>
        </w:rPr>
        <w:t>18B</w:t>
      </w:r>
      <w:r>
        <w:rPr>
          <w:snapToGrid w:val="0"/>
        </w:rPr>
        <w:t>.</w:t>
      </w:r>
      <w:r>
        <w:rPr>
          <w:snapToGrid w:val="0"/>
        </w:rPr>
        <w:tab/>
        <w:t>Assessment of annual licence fee</w:t>
      </w:r>
      <w:bookmarkEnd w:id="96"/>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lastRenderedPageBreak/>
        <w:tab/>
        <w:t>(a)</w:t>
      </w:r>
      <w:r>
        <w:rPr>
          <w:snapToGrid w:val="0"/>
        </w:rPr>
        <w:tab/>
        <w:t xml:space="preserve">assess the amounts of money paid or promised as the consideration for bets and in respect of which a liability exists for the payment of such a </w:t>
      </w:r>
      <w:r>
        <w:t>fee; and</w:t>
      </w:r>
    </w:p>
    <w:p>
      <w:pPr>
        <w:pStyle w:val="Indenta"/>
        <w:rPr>
          <w:snapToGrid w:val="0"/>
        </w:rPr>
      </w:pPr>
      <w:r>
        <w:rPr>
          <w:snapToGrid w:val="0"/>
        </w:rPr>
        <w:tab/>
        <w:t>(b)</w:t>
      </w:r>
      <w:r>
        <w:rPr>
          <w:snapToGrid w:val="0"/>
        </w:rPr>
        <w:tab/>
        <w:t>calculate the fee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 xml:space="preserve">fee,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annual licence </w:t>
      </w:r>
      <w:r>
        <w:t>fee</w:t>
      </w:r>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lastRenderedPageBreak/>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r>
        <w:t xml:space="preserve">an amount in respect of an annual licence fee </w:t>
      </w:r>
      <w:r>
        <w:rPr>
          <w:snapToGrid w:val="0"/>
        </w:rPr>
        <w:t xml:space="preserve">by virtue of an assessment made under subsection (2) shall also be liable to pay, by way of penalty fee </w:t>
      </w:r>
      <w:r>
        <w:t xml:space="preserve">an amount equal to the amount of the fee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No. 37 of 2018 s. 59.] </w:t>
      </w:r>
    </w:p>
    <w:p>
      <w:pPr>
        <w:pStyle w:val="Heading2"/>
      </w:pPr>
      <w:bookmarkStart w:id="97" w:name="_Toc106004695"/>
      <w:bookmarkStart w:id="98" w:name="_Toc106004817"/>
      <w:bookmarkStart w:id="99" w:name="_Toc106096454"/>
      <w:r>
        <w:rPr>
          <w:rStyle w:val="CharPartNo"/>
        </w:rPr>
        <w:lastRenderedPageBreak/>
        <w:t>Part 4</w:t>
      </w:r>
      <w:r>
        <w:rPr>
          <w:b w:val="0"/>
        </w:rPr>
        <w:t> </w:t>
      </w:r>
      <w:r>
        <w:t>—</w:t>
      </w:r>
      <w:r>
        <w:rPr>
          <w:b w:val="0"/>
        </w:rPr>
        <w:t> </w:t>
      </w:r>
      <w:r>
        <w:rPr>
          <w:rStyle w:val="CharPartText"/>
        </w:rPr>
        <w:t>Enforcement and offences</w:t>
      </w:r>
      <w:bookmarkEnd w:id="97"/>
      <w:bookmarkEnd w:id="98"/>
      <w:bookmarkEnd w:id="99"/>
    </w:p>
    <w:p>
      <w:pPr>
        <w:pStyle w:val="Footnoteheading"/>
        <w:tabs>
          <w:tab w:val="left" w:pos="851"/>
        </w:tabs>
      </w:pPr>
      <w:r>
        <w:tab/>
        <w:t>[Heading inserted: No. 35 of 2003 s. 101(4).]</w:t>
      </w:r>
    </w:p>
    <w:p>
      <w:pPr>
        <w:pStyle w:val="Ednotesection"/>
        <w:ind w:left="890" w:hanging="890"/>
      </w:pPr>
      <w:r>
        <w:t>[</w:t>
      </w:r>
      <w:r>
        <w:rPr>
          <w:b/>
        </w:rPr>
        <w:t>19.</w:t>
      </w:r>
      <w:r>
        <w:rPr>
          <w:b/>
        </w:rPr>
        <w:tab/>
      </w:r>
      <w:r>
        <w:t>Deleted: No. 37 of 2019 s. 60.]</w:t>
      </w:r>
    </w:p>
    <w:p>
      <w:pPr>
        <w:pStyle w:val="Heading5"/>
        <w:rPr>
          <w:snapToGrid w:val="0"/>
        </w:rPr>
      </w:pPr>
      <w:bookmarkStart w:id="100" w:name="_Toc106096455"/>
      <w:r>
        <w:rPr>
          <w:rStyle w:val="CharSectno"/>
        </w:rPr>
        <w:t>19A</w:t>
      </w:r>
      <w:r>
        <w:rPr>
          <w:snapToGrid w:val="0"/>
        </w:rPr>
        <w:t>.</w:t>
      </w:r>
      <w:r>
        <w:rPr>
          <w:snapToGrid w:val="0"/>
        </w:rPr>
        <w:tab/>
      </w:r>
      <w:r>
        <w:t>Commission</w:t>
      </w:r>
      <w:r>
        <w:rPr>
          <w:snapToGrid w:val="0"/>
        </w:rPr>
        <w:t xml:space="preserve"> may recover unpaid money in respect of annual licence fee</w:t>
      </w:r>
      <w:bookmarkEnd w:id="10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101" w:name="_Toc106096456"/>
      <w:r>
        <w:rPr>
          <w:rStyle w:val="CharSectno"/>
        </w:rPr>
        <w:t>20</w:t>
      </w:r>
      <w:r>
        <w:t>.</w:t>
      </w:r>
      <w:r>
        <w:tab/>
        <w:t>Entry and inspection of racecourses and certain other premises</w:t>
      </w:r>
      <w:bookmarkEnd w:id="101"/>
      <w:r>
        <w:t xml:space="preserve"> </w:t>
      </w:r>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racecourse; or</w:t>
      </w:r>
    </w:p>
    <w:p>
      <w:pPr>
        <w:pStyle w:val="Indenta"/>
        <w:keepNext/>
      </w:pPr>
      <w:r>
        <w:lastRenderedPageBreak/>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keepNext/>
        <w:keepLines/>
      </w:pPr>
      <w:r>
        <w:lastRenderedPageBreak/>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 No. 21 of 2019 s. 80.]</w:t>
      </w:r>
    </w:p>
    <w:p>
      <w:pPr>
        <w:pStyle w:val="Heading5"/>
      </w:pPr>
      <w:bookmarkStart w:id="102" w:name="_Toc106096457"/>
      <w:r>
        <w:rPr>
          <w:rStyle w:val="CharSectno"/>
        </w:rPr>
        <w:t>20A</w:t>
      </w:r>
      <w:r>
        <w:t>.</w:t>
      </w:r>
      <w:r>
        <w:tab/>
        <w:t>Powers of Commission representative</w:t>
      </w:r>
      <w:bookmarkEnd w:id="102"/>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keepNext/>
      </w:pPr>
      <w:r>
        <w:tab/>
        <w:t>(iii)</w:t>
      </w:r>
      <w:r>
        <w:tab/>
        <w:t xml:space="preserve">to give the Commission representative any information, record or other thing in the person’s </w:t>
      </w:r>
      <w:r>
        <w:lastRenderedPageBreak/>
        <w:t>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for this subsection: a fine of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lastRenderedPageBreak/>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 amended: No. 41 of 2018 s. 15(1).]</w:t>
      </w:r>
    </w:p>
    <w:p>
      <w:pPr>
        <w:pStyle w:val="Heading5"/>
        <w:keepNext w:val="0"/>
        <w:keepLines w:val="0"/>
        <w:spacing w:before="120"/>
      </w:pPr>
      <w:bookmarkStart w:id="103" w:name="_Toc106096458"/>
      <w:r>
        <w:rPr>
          <w:rStyle w:val="CharSectno"/>
        </w:rPr>
        <w:t>20B</w:t>
      </w:r>
      <w:r>
        <w:t>.</w:t>
      </w:r>
      <w:r>
        <w:tab/>
        <w:t>Requirement to provide information</w:t>
      </w:r>
      <w:bookmarkEnd w:id="10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keepNext/>
      </w:pPr>
      <w:r>
        <w:lastRenderedPageBreak/>
        <w:tab/>
        <w:t>(2)</w:t>
      </w:r>
      <w:r>
        <w:tab/>
        <w:t xml:space="preserve">This section applies to — </w:t>
      </w:r>
    </w:p>
    <w:p>
      <w:pPr>
        <w:pStyle w:val="Indenta"/>
        <w:keepNext/>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lastRenderedPageBreak/>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(7)</w:t>
      </w:r>
      <w:r>
        <w:tab/>
        <w:t>Nothing in this section derogates from the powers of an authorised person who is a police officer.</w:t>
      </w:r>
    </w:p>
    <w:p>
      <w:pPr>
        <w:pStyle w:val="Footnotesection"/>
      </w:pPr>
      <w:r>
        <w:tab/>
        <w:t>[Section 20B inserted: No. 35 of 2003 s. 87; amended: No. 41 of 2018 s. 15(1); No. 21 of 2019 s. 80.]</w:t>
      </w:r>
    </w:p>
    <w:p>
      <w:pPr>
        <w:pStyle w:val="Heading5"/>
      </w:pPr>
      <w:bookmarkStart w:id="104" w:name="_Toc106096459"/>
      <w:r>
        <w:rPr>
          <w:rStyle w:val="CharSectno"/>
        </w:rPr>
        <w:t>20C</w:t>
      </w:r>
      <w:r>
        <w:t>.</w:t>
      </w:r>
      <w:r>
        <w:tab/>
        <w:t>Complying with information requirements</w:t>
      </w:r>
      <w:bookmarkEnd w:id="104"/>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105" w:name="_Toc106096460"/>
      <w:r>
        <w:rPr>
          <w:rStyle w:val="CharSectno"/>
        </w:rPr>
        <w:t>21</w:t>
      </w:r>
      <w:r>
        <w:rPr>
          <w:snapToGrid w:val="0"/>
        </w:rPr>
        <w:t>.</w:t>
      </w:r>
      <w:r>
        <w:rPr>
          <w:snapToGrid w:val="0"/>
        </w:rPr>
        <w:tab/>
        <w:t>Prohibition of betting with minors, intoxicated persons, etc.</w:t>
      </w:r>
      <w:bookmarkEnd w:id="105"/>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lastRenderedPageBreak/>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lastRenderedPageBreak/>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106" w:name="_Toc106096461"/>
      <w:r>
        <w:rPr>
          <w:rStyle w:val="CharSectno"/>
        </w:rPr>
        <w:t>22</w:t>
      </w:r>
      <w:r>
        <w:rPr>
          <w:snapToGrid w:val="0"/>
        </w:rPr>
        <w:t>.</w:t>
      </w:r>
      <w:r>
        <w:rPr>
          <w:snapToGrid w:val="0"/>
        </w:rPr>
        <w:tab/>
        <w:t>Offences by minors</w:t>
      </w:r>
      <w:bookmarkEnd w:id="106"/>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lastRenderedPageBreak/>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 for this subsection: a fine of</w:t>
      </w:r>
      <w:r>
        <w:rPr>
          <w:snapToGrid w:val="0"/>
        </w:rPr>
        <w:t xml:space="preserve">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 for this subsection: a fine of</w:t>
      </w:r>
      <w:r>
        <w:rPr>
          <w:snapToGrid w:val="0"/>
        </w:rPr>
        <w:t xml:space="preserve"> $200.</w:t>
      </w:r>
    </w:p>
    <w:p>
      <w:pPr>
        <w:pStyle w:val="Footnotesection"/>
      </w:pPr>
      <w:r>
        <w:tab/>
        <w:t xml:space="preserve">[Section 22 amended: No. 113 of 1965 s. 8(1); No. 46 of 1972 s. 6; No. 11 of 1992 s. 44 and 62; No. 63 of 1995 s. 66; No. 13 of 2002 s. 21; No. 35 of 2003 s. 103; No. 8 of 2007 s. 9; No. 41 of 2018 s. 15(1).] </w:t>
      </w:r>
    </w:p>
    <w:p>
      <w:pPr>
        <w:pStyle w:val="Heading5"/>
      </w:pPr>
      <w:bookmarkStart w:id="107" w:name="_Toc106096462"/>
      <w:r>
        <w:rPr>
          <w:rStyle w:val="CharSectno"/>
        </w:rPr>
        <w:t>22A</w:t>
      </w:r>
      <w:r>
        <w:t>.</w:t>
      </w:r>
      <w:r>
        <w:tab/>
        <w:t>Prohibition on assisting minors to bet</w:t>
      </w:r>
      <w:bookmarkEnd w:id="107"/>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lastRenderedPageBreak/>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a fine of $200.</w:t>
      </w:r>
    </w:p>
    <w:p>
      <w:pPr>
        <w:pStyle w:val="Footnotesection"/>
      </w:pPr>
      <w:r>
        <w:tab/>
        <w:t>[Section 22A inserted: No. 8 of 2007 s. 10; amended: No. 41 of 2018 s. 15(3).]</w:t>
      </w:r>
    </w:p>
    <w:p>
      <w:pPr>
        <w:pStyle w:val="Heading5"/>
        <w:spacing w:before="180"/>
        <w:rPr>
          <w:snapToGrid w:val="0"/>
        </w:rPr>
      </w:pPr>
      <w:bookmarkStart w:id="108" w:name="_Toc106096463"/>
      <w:r>
        <w:rPr>
          <w:rStyle w:val="CharSectno"/>
        </w:rPr>
        <w:t>23</w:t>
      </w:r>
      <w:r>
        <w:rPr>
          <w:snapToGrid w:val="0"/>
        </w:rPr>
        <w:t>.</w:t>
      </w:r>
      <w:r>
        <w:rPr>
          <w:snapToGrid w:val="0"/>
        </w:rPr>
        <w:tab/>
        <w:t>Prohibition of betting unless in accordance with this Act</w:t>
      </w:r>
      <w:bookmarkEnd w:id="108"/>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racecourse where a race meeting is being held under a licence issued by RWWA under the RWWA Act or the </w:t>
      </w:r>
      <w:r>
        <w:rPr>
          <w:i/>
        </w:rPr>
        <w:t>Racing Restriction Act 2003</w:t>
      </w:r>
      <w:r>
        <w:t>; or</w:t>
      </w:r>
    </w:p>
    <w:p>
      <w:pPr>
        <w:pStyle w:val="Indenti"/>
      </w:pPr>
      <w:r>
        <w:tab/>
        <w:t>(iii)</w:t>
      </w:r>
      <w:r>
        <w:tab/>
        <w:t>a part of a racecourse where for the time being a bookmaker is permitted by section 12(3) to bet or carry on business as such on that racecourse;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lastRenderedPageBreak/>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for this subsection: a fine of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for this subsection: a fine of $200.</w:t>
      </w:r>
    </w:p>
    <w:p>
      <w:pPr>
        <w:pStyle w:val="Footnotesection"/>
        <w:spacing w:before="60"/>
        <w:ind w:left="890" w:hanging="890"/>
      </w:pPr>
      <w:r>
        <w:tab/>
        <w:t xml:space="preserve">[Section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No. 41 of 2018 s. 15(1); No. 21 of 2019 s. 80.] </w:t>
      </w:r>
    </w:p>
    <w:p>
      <w:pPr>
        <w:pStyle w:val="Heading5"/>
        <w:rPr>
          <w:snapToGrid w:val="0"/>
        </w:rPr>
      </w:pPr>
      <w:bookmarkStart w:id="109" w:name="_Toc106096464"/>
      <w:r>
        <w:rPr>
          <w:rStyle w:val="CharSectno"/>
        </w:rPr>
        <w:t>24</w:t>
      </w:r>
      <w:r>
        <w:rPr>
          <w:snapToGrid w:val="0"/>
        </w:rPr>
        <w:t>.</w:t>
      </w:r>
      <w:r>
        <w:rPr>
          <w:snapToGrid w:val="0"/>
        </w:rPr>
        <w:tab/>
        <w:t>Unlawful betting</w:t>
      </w:r>
      <w:bookmarkEnd w:id="109"/>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lastRenderedPageBreak/>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r>
      <w:r>
        <w:t>Penalty for this subsection: a fine of</w:t>
      </w:r>
      <w:r>
        <w:rPr>
          <w:snapToGrid w:val="0"/>
        </w:rPr>
        <w:t xml:space="preserve">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No. 63 of 1995 s. 68; amended: No. 17 of 1998 s. 20; No. 84 of 2004 s. 80 and 82; No. 70 of 2006 s. 7; No. 29 of 2009 s. 10; No. 41 of 2018 s. 10 and 15(1).] </w:t>
      </w:r>
    </w:p>
    <w:p>
      <w:pPr>
        <w:pStyle w:val="Heading5"/>
        <w:rPr>
          <w:snapToGrid w:val="0"/>
        </w:rPr>
      </w:pPr>
      <w:bookmarkStart w:id="110" w:name="_Toc106096465"/>
      <w:r>
        <w:rPr>
          <w:rStyle w:val="CharSectno"/>
        </w:rPr>
        <w:lastRenderedPageBreak/>
        <w:t>25</w:t>
      </w:r>
      <w:r>
        <w:rPr>
          <w:snapToGrid w:val="0"/>
        </w:rPr>
        <w:t>.</w:t>
      </w:r>
      <w:r>
        <w:rPr>
          <w:snapToGrid w:val="0"/>
        </w:rPr>
        <w:tab/>
        <w:t>Bookmakers may be ordered not to bet</w:t>
      </w:r>
      <w:bookmarkEnd w:id="110"/>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 for this subsection: a fine of</w:t>
      </w:r>
      <w:r>
        <w:rPr>
          <w:snapToGrid w:val="0"/>
        </w:rPr>
        <w:t xml:space="preserve">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No. 113 of 1965 s. 8(1); No. 78 of 1978 s. 6; No. 11 of 1992 s. 47; No. 63 of 1995 s. 69; No. 35 of 2003 s. 103; No. 59 of 2004 s. 141; No. 41 of 2018 s. 15(1).] </w:t>
      </w:r>
    </w:p>
    <w:p>
      <w:pPr>
        <w:pStyle w:val="Heading5"/>
        <w:rPr>
          <w:snapToGrid w:val="0"/>
        </w:rPr>
      </w:pPr>
      <w:bookmarkStart w:id="111" w:name="_Toc106096466"/>
      <w:r>
        <w:rPr>
          <w:rStyle w:val="CharSectno"/>
        </w:rPr>
        <w:t>26</w:t>
      </w:r>
      <w:r>
        <w:rPr>
          <w:snapToGrid w:val="0"/>
        </w:rPr>
        <w:t>.</w:t>
      </w:r>
      <w:r>
        <w:rPr>
          <w:snapToGrid w:val="0"/>
        </w:rPr>
        <w:tab/>
        <w:t>Loitering in street or public place</w:t>
      </w:r>
      <w:bookmarkEnd w:id="111"/>
      <w:r>
        <w:rPr>
          <w:snapToGrid w:val="0"/>
        </w:rPr>
        <w:t xml:space="preserve"> </w:t>
      </w:r>
    </w:p>
    <w:p>
      <w:pPr>
        <w:pStyle w:val="Subsection"/>
        <w:rPr>
          <w:snapToGrid w:val="0"/>
        </w:rPr>
      </w:pPr>
      <w:r>
        <w:rPr>
          <w:snapToGrid w:val="0"/>
        </w:rPr>
        <w:tab/>
      </w:r>
      <w:r>
        <w:rPr>
          <w:snapToGrid w:val="0"/>
        </w:rPr>
        <w:tab/>
        <w:t xml:space="preserve">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w:t>
      </w:r>
      <w:r>
        <w:rPr>
          <w:snapToGrid w:val="0"/>
        </w:rPr>
        <w:lastRenderedPageBreak/>
        <w:t>move on when requested by that member of the Police Force so to do.</w:t>
      </w:r>
    </w:p>
    <w:p>
      <w:pPr>
        <w:pStyle w:val="Penstart"/>
        <w:rPr>
          <w:snapToGrid w:val="0"/>
        </w:rPr>
      </w:pPr>
      <w:r>
        <w:rPr>
          <w:snapToGrid w:val="0"/>
        </w:rPr>
        <w:tab/>
      </w:r>
      <w:r>
        <w:t>Penalty: a fine of</w:t>
      </w:r>
      <w:r>
        <w:rPr>
          <w:snapToGrid w:val="0"/>
        </w:rPr>
        <w:t xml:space="preserve"> $200.</w:t>
      </w:r>
    </w:p>
    <w:p>
      <w:pPr>
        <w:pStyle w:val="Footnotesection"/>
      </w:pPr>
      <w:r>
        <w:tab/>
        <w:t xml:space="preserve">[Section 26 inserted: No. 63 of 1995 s. 70; amended: No. 41 of 2018 s. 15(3).] </w:t>
      </w:r>
    </w:p>
    <w:p>
      <w:pPr>
        <w:pStyle w:val="Heading5"/>
        <w:rPr>
          <w:snapToGrid w:val="0"/>
        </w:rPr>
      </w:pPr>
      <w:bookmarkStart w:id="112" w:name="_Toc106096467"/>
      <w:r>
        <w:rPr>
          <w:rStyle w:val="CharSectno"/>
        </w:rPr>
        <w:t>26A</w:t>
      </w:r>
      <w:r>
        <w:rPr>
          <w:snapToGrid w:val="0"/>
        </w:rPr>
        <w:t>.</w:t>
      </w:r>
      <w:r>
        <w:rPr>
          <w:snapToGrid w:val="0"/>
        </w:rPr>
        <w:tab/>
        <w:t>Removal of persons</w:t>
      </w:r>
      <w:bookmarkEnd w:id="112"/>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 for this subsection: a fine of</w:t>
      </w:r>
      <w:r>
        <w:rPr>
          <w:snapToGrid w:val="0"/>
        </w:rPr>
        <w:t xml:space="preserve">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No. 63 of 1995 s. 71; amended: No. 41 of 2018 s. 15(1).] </w:t>
      </w:r>
    </w:p>
    <w:p>
      <w:pPr>
        <w:pStyle w:val="Heading5"/>
        <w:rPr>
          <w:snapToGrid w:val="0"/>
        </w:rPr>
      </w:pPr>
      <w:bookmarkStart w:id="113" w:name="_Toc106096468"/>
      <w:r>
        <w:rPr>
          <w:rStyle w:val="CharSectno"/>
        </w:rPr>
        <w:t>26B</w:t>
      </w:r>
      <w:r>
        <w:rPr>
          <w:snapToGrid w:val="0"/>
        </w:rPr>
        <w:t>.</w:t>
      </w:r>
      <w:r>
        <w:rPr>
          <w:snapToGrid w:val="0"/>
        </w:rPr>
        <w:tab/>
        <w:t>Penalty for persons warning offenders of approach of member of Police Force</w:t>
      </w:r>
      <w:bookmarkEnd w:id="113"/>
      <w:r>
        <w:rPr>
          <w:snapToGrid w:val="0"/>
        </w:rPr>
        <w:t xml:space="preserve"> </w:t>
      </w:r>
    </w:p>
    <w:p>
      <w:pPr>
        <w:pStyle w:val="Subsection"/>
        <w:spacing w:before="120"/>
        <w:rPr>
          <w:snapToGrid w:val="0"/>
        </w:rPr>
      </w:pPr>
      <w:r>
        <w:rPr>
          <w:snapToGrid w:val="0"/>
        </w:rPr>
        <w:tab/>
      </w:r>
      <w:r>
        <w:rPr>
          <w:snapToGrid w:val="0"/>
        </w:rPr>
        <w:tab/>
        <w:t xml:space="preserve">A person who is in or near to any place, whether a public place or not, for the purpose of giving warning to any other person of </w:t>
      </w:r>
      <w:r>
        <w:rPr>
          <w:snapToGrid w:val="0"/>
        </w:rPr>
        <w:lastRenderedPageBreak/>
        <w:t>the presence or approach of any member of the Police Force, or for the purpose of preventing the detection of any offence against this Act, commits an offence.</w:t>
      </w:r>
    </w:p>
    <w:p>
      <w:pPr>
        <w:pStyle w:val="Penstart"/>
        <w:rPr>
          <w:snapToGrid w:val="0"/>
        </w:rPr>
      </w:pPr>
      <w:r>
        <w:rPr>
          <w:snapToGrid w:val="0"/>
        </w:rPr>
        <w:tab/>
      </w:r>
      <w:r>
        <w:t>Penalty: a fine of</w:t>
      </w:r>
      <w:r>
        <w:rPr>
          <w:snapToGrid w:val="0"/>
        </w:rPr>
        <w:t xml:space="preserve"> $5 000.</w:t>
      </w:r>
    </w:p>
    <w:p>
      <w:pPr>
        <w:pStyle w:val="Footnotesection"/>
        <w:ind w:left="890" w:hanging="890"/>
      </w:pPr>
      <w:r>
        <w:tab/>
        <w:t xml:space="preserve">[Section 26B inserted: No. 63 of 1995 s. 72; amended: No. 41 of 2018 s. 15(3).] </w:t>
      </w:r>
    </w:p>
    <w:p>
      <w:pPr>
        <w:pStyle w:val="Heading5"/>
        <w:keepNext w:val="0"/>
        <w:keepLines w:val="0"/>
        <w:spacing w:before="240"/>
        <w:rPr>
          <w:snapToGrid w:val="0"/>
        </w:rPr>
      </w:pPr>
      <w:bookmarkStart w:id="114" w:name="_Toc106096469"/>
      <w:r>
        <w:rPr>
          <w:rStyle w:val="CharSectno"/>
        </w:rPr>
        <w:t>26C</w:t>
      </w:r>
      <w:r>
        <w:rPr>
          <w:snapToGrid w:val="0"/>
        </w:rPr>
        <w:t>.</w:t>
      </w:r>
      <w:r>
        <w:rPr>
          <w:snapToGrid w:val="0"/>
        </w:rPr>
        <w:tab/>
        <w:t>Unlawful betting on licensed premises</w:t>
      </w:r>
      <w:bookmarkEnd w:id="11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pPr>
      <w:r>
        <w:tab/>
        <w:t xml:space="preserve">Penalty for this subsection: </w:t>
      </w:r>
    </w:p>
    <w:p>
      <w:pPr>
        <w:pStyle w:val="Penpara"/>
      </w:pPr>
      <w:r>
        <w:tab/>
        <w:t>(a)</w:t>
      </w:r>
      <w:r>
        <w:tab/>
        <w:t>in the case of the licensee or manager, a fine of $5 000;</w:t>
      </w:r>
    </w:p>
    <w:p>
      <w:pPr>
        <w:pStyle w:val="Penpara"/>
      </w:pPr>
      <w:r>
        <w:tab/>
        <w:t>(b)</w:t>
      </w:r>
      <w:r>
        <w:tab/>
        <w:t>in the case of an employee or agent, a fine of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 xml:space="preserve">that the accused person or, if the accused person was not on the premises at the time the offence against section 23 or 24 was committed, the person then in charge of the premises, did not know and could not by </w:t>
      </w:r>
      <w:r>
        <w:rPr>
          <w:snapToGrid w:val="0"/>
        </w:rPr>
        <w:lastRenderedPageBreak/>
        <w:t>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r>
      <w:r>
        <w:t>Penalty for this subsection: a fine of</w:t>
      </w:r>
      <w:r>
        <w:rPr>
          <w:snapToGrid w:val="0"/>
        </w:rPr>
        <w:t xml:space="preserve">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No. 63 of 1995 s. 73; amended: No. 73 of 2006 s. 114; No. 41 of 2018 s. 11 and 15(1).] </w:t>
      </w:r>
    </w:p>
    <w:p>
      <w:pPr>
        <w:pStyle w:val="Heading5"/>
        <w:keepNext w:val="0"/>
        <w:keepLines w:val="0"/>
        <w:spacing w:before="180"/>
      </w:pPr>
      <w:bookmarkStart w:id="115" w:name="_Toc106096470"/>
      <w:r>
        <w:rPr>
          <w:rStyle w:val="CharSectno"/>
        </w:rPr>
        <w:lastRenderedPageBreak/>
        <w:t>27</w:t>
      </w:r>
      <w:r>
        <w:t>.</w:t>
      </w:r>
      <w:r>
        <w:tab/>
        <w:t>Penalty on owner or occupier of premises used for unlawful betting</w:t>
      </w:r>
      <w:bookmarkEnd w:id="115"/>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a fine of $10 000, or 24 months imprisonment, or both.</w:t>
      </w:r>
    </w:p>
    <w:p>
      <w:pPr>
        <w:pStyle w:val="Footnotesection"/>
      </w:pPr>
      <w:r>
        <w:tab/>
        <w:t>[Section 27 inserted: No. 35 of 2003 s. 89; amended: No. 41 of 2018 s. 15(3); No. 21 of 2019 s. 80.]</w:t>
      </w:r>
    </w:p>
    <w:p>
      <w:pPr>
        <w:pStyle w:val="Heading5"/>
        <w:spacing w:before="180"/>
      </w:pPr>
      <w:bookmarkStart w:id="116" w:name="_Toc106096471"/>
      <w:r>
        <w:rPr>
          <w:rStyle w:val="CharSectno"/>
        </w:rPr>
        <w:lastRenderedPageBreak/>
        <w:t>27A</w:t>
      </w:r>
      <w:r>
        <w:t>.</w:t>
      </w:r>
      <w:r>
        <w:tab/>
        <w:t>Interstate and offshore betting</w:t>
      </w:r>
      <w:bookmarkEnd w:id="116"/>
    </w:p>
    <w:p>
      <w:pPr>
        <w:pStyle w:val="Subsection"/>
        <w:keepNext/>
        <w:keepLines/>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events; or</w:t>
      </w:r>
    </w:p>
    <w:p>
      <w:pPr>
        <w:pStyle w:val="Defpara"/>
      </w:pPr>
      <w:r>
        <w:tab/>
        <w:t>(c)</w:t>
      </w:r>
      <w:r>
        <w:tab/>
        <w:t>an offshore betting operator granted an exemption by the Commission under this section;</w:t>
      </w:r>
    </w:p>
    <w:p>
      <w:pPr>
        <w:pStyle w:val="Defstart"/>
      </w:pPr>
      <w:r>
        <w:tab/>
      </w:r>
      <w:r>
        <w:rPr>
          <w:rStyle w:val="CharDefText"/>
        </w:rPr>
        <w:t>interstate or offshore bet</w:t>
      </w:r>
      <w:r>
        <w:t xml:space="preserve"> means a bet made — </w:t>
      </w:r>
    </w:p>
    <w:p>
      <w:pPr>
        <w:pStyle w:val="Defpara"/>
      </w:pPr>
      <w:r>
        <w:tab/>
        <w:t>(a)</w:t>
      </w:r>
      <w:r>
        <w:tab/>
        <w:t>on an event or contingency outside the State;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permitted event or contingency</w:t>
      </w:r>
      <w:r>
        <w:t xml:space="preserve"> means — </w:t>
      </w:r>
    </w:p>
    <w:p>
      <w:pPr>
        <w:pStyle w:val="Defpara"/>
      </w:pPr>
      <w:r>
        <w:tab/>
        <w:t>(a)</w:t>
      </w:r>
      <w:r>
        <w:tab/>
        <w:t>an event or contingency approved under section 4B(2); or</w:t>
      </w:r>
    </w:p>
    <w:p>
      <w:pPr>
        <w:pStyle w:val="Defpara"/>
      </w:pPr>
      <w:r>
        <w:tab/>
        <w:t>(b)</w:t>
      </w:r>
      <w:r>
        <w:tab/>
        <w:t>an event or contingency, except a prohibited event or contingency, on which betting is permitted by the laws of another State or a Territory.</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for this subsection: a fine of $5 000, or 12 months imprisonment, or both.</w:t>
      </w:r>
    </w:p>
    <w:p>
      <w:pPr>
        <w:pStyle w:val="Subsection"/>
      </w:pPr>
      <w:r>
        <w:tab/>
        <w:t>(2A)</w:t>
      </w:r>
      <w:r>
        <w:tab/>
        <w:t>A person in this State who makes an interstate or offshore bet on an event or contingency that is not a permitted event or contingency commits an offence.</w:t>
      </w:r>
    </w:p>
    <w:p>
      <w:pPr>
        <w:pStyle w:val="Penstart"/>
      </w:pPr>
      <w:r>
        <w:tab/>
        <w:t>Penalty for this subsection: a fine of $2 500.</w:t>
      </w:r>
    </w:p>
    <w:p>
      <w:pPr>
        <w:pStyle w:val="Subsection"/>
      </w:pPr>
      <w:r>
        <w:lastRenderedPageBreak/>
        <w:tab/>
        <w:t>(2B)</w:t>
      </w:r>
      <w:r>
        <w:tab/>
        <w:t>A person other than an authorised person who offers an interstate or offshore bet in this State commits an offence.</w:t>
      </w:r>
    </w:p>
    <w:p>
      <w:pPr>
        <w:pStyle w:val="Penstart"/>
      </w:pPr>
      <w:r>
        <w:tab/>
        <w:t>Penalty for this subsection: a fine of $5 000 and imprisonment for 1 year.</w:t>
      </w:r>
    </w:p>
    <w:p>
      <w:pPr>
        <w:pStyle w:val="Subsection"/>
      </w:pPr>
      <w:r>
        <w:tab/>
        <w:t>(2C)</w:t>
      </w:r>
      <w:r>
        <w:tab/>
        <w:t>A person who offers an interstate or offshore bet in this State on an event or contingency that is not a permitted event or contingency commits an offence.</w:t>
      </w:r>
    </w:p>
    <w:p>
      <w:pPr>
        <w:pStyle w:val="Penstart"/>
      </w:pPr>
      <w:r>
        <w:tab/>
        <w:t>Penalty for this subsection: a fine of $5 000 and imprisonment for 1 year.</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interstate or offshore bet; and</w:t>
      </w:r>
    </w:p>
    <w:p>
      <w:pPr>
        <w:pStyle w:val="Indenta"/>
      </w:pPr>
      <w:r>
        <w:tab/>
        <w:t>(b)</w:t>
      </w:r>
      <w:r>
        <w:tab/>
        <w:t>knows, or would be reasonably expected to know, that the person with whom the interstate or offshore bet was made is not an authorised person,</w:t>
      </w:r>
    </w:p>
    <w:p>
      <w:pPr>
        <w:pStyle w:val="Subsection"/>
      </w:pPr>
      <w:r>
        <w:tab/>
      </w:r>
      <w:r>
        <w:tab/>
        <w:t>commits an offence.</w:t>
      </w:r>
    </w:p>
    <w:p>
      <w:pPr>
        <w:pStyle w:val="Penstart"/>
      </w:pPr>
      <w:r>
        <w:tab/>
        <w:t>Penalty for this subsection: a fine of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events applies similar standards to those that would apply to an authorisation granted in Australia; and</w:t>
      </w:r>
    </w:p>
    <w:p>
      <w:pPr>
        <w:pStyle w:val="Indenta"/>
      </w:pPr>
      <w:r>
        <w:lastRenderedPageBreak/>
        <w:tab/>
        <w:t>(b)</w:t>
      </w:r>
      <w:r>
        <w:tab/>
        <w:t>any arrangements made by the offshore betting operator with Australian racing or sporting organisations in relation to engaging in or conducting betting on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 No. 41 of 2018 s. 12 and 15(1).]</w:t>
      </w:r>
    </w:p>
    <w:p>
      <w:pPr>
        <w:pStyle w:val="Ednotesection"/>
        <w:spacing w:before="180"/>
      </w:pPr>
      <w:r>
        <w:t>[</w:t>
      </w:r>
      <w:r>
        <w:rPr>
          <w:b/>
          <w:bCs/>
        </w:rPr>
        <w:t>27B, 27C.</w:t>
      </w:r>
      <w:r>
        <w:tab/>
        <w:t>Deleted: No. 29 of 2009 s. 12.]</w:t>
      </w:r>
    </w:p>
    <w:p>
      <w:pPr>
        <w:pStyle w:val="Heading5"/>
        <w:spacing w:before="180"/>
      </w:pPr>
      <w:bookmarkStart w:id="117" w:name="_Toc106096472"/>
      <w:r>
        <w:rPr>
          <w:rStyle w:val="CharSectno"/>
        </w:rPr>
        <w:t>27D</w:t>
      </w:r>
      <w:r>
        <w:t>.</w:t>
      </w:r>
      <w:r>
        <w:tab/>
        <w:t>Publication of WA race fields restricted</w:t>
      </w:r>
      <w:bookmarkEnd w:id="117"/>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lastRenderedPageBreak/>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for this subsection: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lastRenderedPageBreak/>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 No. 41 of 2018 s. 15(2).]</w:t>
      </w:r>
    </w:p>
    <w:p>
      <w:pPr>
        <w:pStyle w:val="Heading5"/>
        <w:spacing w:before="180"/>
      </w:pPr>
      <w:bookmarkStart w:id="118" w:name="_Toc106096473"/>
      <w:r>
        <w:rPr>
          <w:rStyle w:val="CharSectno"/>
        </w:rPr>
        <w:t>27E</w:t>
      </w:r>
      <w:r>
        <w:t>.</w:t>
      </w:r>
      <w:r>
        <w:tab/>
        <w:t>Confidentiality</w:t>
      </w:r>
      <w:bookmarkEnd w:id="118"/>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lastRenderedPageBreak/>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for this subsection: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 No. 41 of 2018 s. 15(2).]</w:t>
      </w:r>
    </w:p>
    <w:p>
      <w:pPr>
        <w:pStyle w:val="Heading5"/>
      </w:pPr>
      <w:bookmarkStart w:id="119" w:name="_Toc106096474"/>
      <w:r>
        <w:rPr>
          <w:rStyle w:val="CharSectno"/>
        </w:rPr>
        <w:t>27F</w:t>
      </w:r>
      <w:r>
        <w:t>.</w:t>
      </w:r>
      <w:r>
        <w:tab/>
        <w:t>Authorisation of publication of WA race fields by domestic betting operators</w:t>
      </w:r>
      <w:bookmarkEnd w:id="119"/>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 xml:space="preserve">that the domestic betting operator provide the Commission or an officer of RWWA approved in </w:t>
      </w:r>
      <w:r>
        <w:lastRenderedPageBreak/>
        <w:t>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keepLines w:val="0"/>
        <w:spacing w:before="240"/>
      </w:pPr>
      <w:bookmarkStart w:id="120" w:name="_Toc106096475"/>
      <w:r>
        <w:rPr>
          <w:rStyle w:val="CharSectno"/>
        </w:rPr>
        <w:lastRenderedPageBreak/>
        <w:t>27G</w:t>
      </w:r>
      <w:r>
        <w:t>.</w:t>
      </w:r>
      <w:r>
        <w:tab/>
        <w:t>Liability of persons who occupy a position of authority in a body corporate</w:t>
      </w:r>
      <w:bookmarkEnd w:id="120"/>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No. 70 of 2006 s. 10(1).]</w:t>
      </w:r>
    </w:p>
    <w:p>
      <w:pPr>
        <w:pStyle w:val="Heading5"/>
        <w:spacing w:before="240"/>
      </w:pPr>
      <w:bookmarkStart w:id="121" w:name="_Toc106096476"/>
      <w:r>
        <w:rPr>
          <w:rStyle w:val="CharSectno"/>
        </w:rPr>
        <w:t>27H</w:t>
      </w:r>
      <w:r>
        <w:t>.</w:t>
      </w:r>
      <w:r>
        <w:tab/>
        <w:t>Liability of natural persons, partners, bodies corporate and officers</w:t>
      </w:r>
      <w:bookmarkEnd w:id="121"/>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lastRenderedPageBreak/>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w:t>
      </w:r>
    </w:p>
    <w:p>
      <w:pPr>
        <w:pStyle w:val="Heading5"/>
        <w:spacing w:before="240"/>
        <w:rPr>
          <w:snapToGrid w:val="0"/>
        </w:rPr>
      </w:pPr>
      <w:bookmarkStart w:id="122" w:name="_Toc106096477"/>
      <w:r>
        <w:rPr>
          <w:rStyle w:val="CharSectno"/>
        </w:rPr>
        <w:t>28</w:t>
      </w:r>
      <w:r>
        <w:rPr>
          <w:snapToGrid w:val="0"/>
        </w:rPr>
        <w:t>.</w:t>
      </w:r>
      <w:r>
        <w:rPr>
          <w:snapToGrid w:val="0"/>
        </w:rPr>
        <w:tab/>
        <w:t>Forfeiture of betting material and money in certain cases</w:t>
      </w:r>
      <w:bookmarkEnd w:id="122"/>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keepNext/>
        <w:keepLines/>
        <w:rPr>
          <w:snapToGrid w:val="0"/>
        </w:rPr>
      </w:pPr>
      <w:r>
        <w:rPr>
          <w:snapToGrid w:val="0"/>
        </w:rPr>
        <w:lastRenderedPageBreak/>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123" w:name="_Toc106096478"/>
      <w:r>
        <w:rPr>
          <w:rStyle w:val="CharSectno"/>
        </w:rPr>
        <w:t>28A</w:t>
      </w:r>
      <w:r>
        <w:rPr>
          <w:snapToGrid w:val="0"/>
        </w:rPr>
        <w:t>.</w:t>
      </w:r>
      <w:r>
        <w:rPr>
          <w:snapToGrid w:val="0"/>
        </w:rPr>
        <w:tab/>
        <w:t>Search warrant</w:t>
      </w:r>
      <w:bookmarkEnd w:id="123"/>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 xml:space="preserve">to claim the betting material or money, and satisfy the court how and for what use or purposes it was </w:t>
      </w:r>
      <w:r>
        <w:rPr>
          <w:snapToGrid w:val="0"/>
        </w:rPr>
        <w:lastRenderedPageBreak/>
        <w:t>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124" w:name="_Toc106096479"/>
      <w:r>
        <w:rPr>
          <w:rStyle w:val="CharSectno"/>
        </w:rPr>
        <w:t>28B</w:t>
      </w:r>
      <w:r>
        <w:rPr>
          <w:snapToGrid w:val="0"/>
        </w:rPr>
        <w:t>.</w:t>
      </w:r>
      <w:r>
        <w:rPr>
          <w:snapToGrid w:val="0"/>
        </w:rPr>
        <w:tab/>
        <w:t>Prima facie evidence of offence</w:t>
      </w:r>
      <w:bookmarkEnd w:id="124"/>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 xml:space="preserve">the court is of opinion that any betting material or money that has to the satisfaction of that court been proved to have been found in any place or public place </w:t>
      </w:r>
      <w:r>
        <w:rPr>
          <w:snapToGrid w:val="0"/>
        </w:rPr>
        <w:lastRenderedPageBreak/>
        <w:t>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spacing w:before="240"/>
        <w:rPr>
          <w:snapToGrid w:val="0"/>
        </w:rPr>
      </w:pPr>
      <w:bookmarkStart w:id="125" w:name="_Toc106096480"/>
      <w:r>
        <w:rPr>
          <w:rStyle w:val="CharSectno"/>
        </w:rPr>
        <w:t>28C</w:t>
      </w:r>
      <w:r>
        <w:rPr>
          <w:snapToGrid w:val="0"/>
        </w:rPr>
        <w:t>.</w:t>
      </w:r>
      <w:r>
        <w:rPr>
          <w:snapToGrid w:val="0"/>
        </w:rPr>
        <w:tab/>
        <w:t>Offences in respect of conducting betting agencies</w:t>
      </w:r>
      <w:bookmarkEnd w:id="12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lastRenderedPageBreak/>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$5 000, or imprisonment for 12 months, or both.</w:t>
      </w:r>
    </w:p>
    <w:p>
      <w:pPr>
        <w:pStyle w:val="Footnotesection"/>
      </w:pPr>
      <w:r>
        <w:tab/>
        <w:t xml:space="preserve">[Section 28C inserted: No. 63 of 1995 s. 77; amended: No. 35 of 2003 s. 103; No. 41 of 2018 s. 15(3).] </w:t>
      </w:r>
    </w:p>
    <w:p>
      <w:pPr>
        <w:pStyle w:val="Heading5"/>
        <w:spacing w:before="240"/>
        <w:rPr>
          <w:snapToGrid w:val="0"/>
        </w:rPr>
      </w:pPr>
      <w:bookmarkStart w:id="126" w:name="_Toc106096481"/>
      <w:r>
        <w:rPr>
          <w:rStyle w:val="CharSectno"/>
        </w:rPr>
        <w:t>28D</w:t>
      </w:r>
      <w:r>
        <w:rPr>
          <w:snapToGrid w:val="0"/>
        </w:rPr>
        <w:t>.</w:t>
      </w:r>
      <w:r>
        <w:rPr>
          <w:snapToGrid w:val="0"/>
        </w:rPr>
        <w:tab/>
        <w:t>Penalty for acting as totalisator agent</w:t>
      </w:r>
      <w:bookmarkEnd w:id="126"/>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keepNext/>
        <w:rPr>
          <w:snapToGrid w:val="0"/>
        </w:rPr>
      </w:pPr>
      <w:r>
        <w:rPr>
          <w:snapToGrid w:val="0"/>
        </w:rPr>
        <w:lastRenderedPageBreak/>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r>
      <w:r>
        <w:t>Penalty: a fine of</w:t>
      </w:r>
      <w:r>
        <w:rPr>
          <w:snapToGrid w:val="0"/>
        </w:rPr>
        <w:t xml:space="preserve"> $10 000, or imprisonment for 24 months, or both.</w:t>
      </w:r>
    </w:p>
    <w:p>
      <w:pPr>
        <w:pStyle w:val="Footnotesection"/>
      </w:pPr>
      <w:r>
        <w:tab/>
        <w:t xml:space="preserve">[Section 28D inserted: No. 63 of 1995 s. 78; amended: No. 41 of 2018 s. 15(3).] </w:t>
      </w:r>
    </w:p>
    <w:p>
      <w:pPr>
        <w:pStyle w:val="Heading5"/>
        <w:spacing w:before="240"/>
        <w:rPr>
          <w:snapToGrid w:val="0"/>
        </w:rPr>
      </w:pPr>
      <w:bookmarkStart w:id="127" w:name="_Toc106096482"/>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127"/>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Penalty: a fine of</w:t>
      </w:r>
      <w:r>
        <w:rPr>
          <w:snapToGrid w:val="0"/>
        </w:rPr>
        <w:t xml:space="preserve"> $1 000.</w:t>
      </w:r>
    </w:p>
    <w:p>
      <w:pPr>
        <w:pStyle w:val="Footnotesection"/>
      </w:pPr>
      <w:r>
        <w:tab/>
        <w:t xml:space="preserve">[Section 28E inserted: No. 63 of 1995 s. 79; amended: No. 35 of 2003 s. 103; No. 41 of 2018 s. 15(3).] </w:t>
      </w:r>
    </w:p>
    <w:p>
      <w:pPr>
        <w:pStyle w:val="Heading5"/>
        <w:rPr>
          <w:snapToGrid w:val="0"/>
        </w:rPr>
      </w:pPr>
      <w:bookmarkStart w:id="128" w:name="_Toc106096483"/>
      <w:r>
        <w:rPr>
          <w:rStyle w:val="CharSectno"/>
        </w:rPr>
        <w:t>28F</w:t>
      </w:r>
      <w:r>
        <w:rPr>
          <w:snapToGrid w:val="0"/>
        </w:rPr>
        <w:t>.</w:t>
      </w:r>
      <w:r>
        <w:rPr>
          <w:snapToGrid w:val="0"/>
        </w:rPr>
        <w:tab/>
        <w:t>Non</w:t>
      </w:r>
      <w:r>
        <w:rPr>
          <w:snapToGrid w:val="0"/>
        </w:rPr>
        <w:noBreakHyphen/>
        <w:t>application of sections 28D and 28E</w:t>
      </w:r>
      <w:bookmarkEnd w:id="128"/>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keepNext/>
        <w:rPr>
          <w:snapToGrid w:val="0"/>
        </w:rPr>
      </w:pPr>
      <w:r>
        <w:rPr>
          <w:snapToGrid w:val="0"/>
        </w:rPr>
        <w:lastRenderedPageBreak/>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129" w:name="_Toc106096484"/>
      <w:r>
        <w:rPr>
          <w:rStyle w:val="CharSectno"/>
        </w:rPr>
        <w:t>28G</w:t>
      </w:r>
      <w:r>
        <w:rPr>
          <w:snapToGrid w:val="0"/>
        </w:rPr>
        <w:t>.</w:t>
      </w:r>
      <w:r>
        <w:rPr>
          <w:snapToGrid w:val="0"/>
        </w:rPr>
        <w:tab/>
        <w:t>Penalty for accepting bets after closing time</w:t>
      </w:r>
      <w:bookmarkEnd w:id="129"/>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 for this subsection: a fine of</w:t>
      </w:r>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lastRenderedPageBreak/>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No. 41 of 2018 s. 15(1).] </w:t>
      </w:r>
    </w:p>
    <w:p>
      <w:pPr>
        <w:pStyle w:val="Heading5"/>
      </w:pPr>
      <w:bookmarkStart w:id="130" w:name="_Toc106096485"/>
      <w:r>
        <w:rPr>
          <w:rStyle w:val="CharSectno"/>
        </w:rPr>
        <w:t>29</w:t>
      </w:r>
      <w:r>
        <w:t>.</w:t>
      </w:r>
      <w:r>
        <w:tab/>
        <w:t>Penalty for providing credit</w:t>
      </w:r>
      <w:bookmarkEnd w:id="130"/>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a fine of $5 000.</w:t>
      </w:r>
    </w:p>
    <w:p>
      <w:pPr>
        <w:pStyle w:val="Footnotesection"/>
      </w:pPr>
      <w:r>
        <w:tab/>
        <w:t>[Section 29 inserted: No. 40 of 1999 s. 36; amended: No. 35 of 2003 s. 93 and 103; No. 41 of 2018 s. 15(3).]</w:t>
      </w:r>
    </w:p>
    <w:p>
      <w:pPr>
        <w:pStyle w:val="Heading5"/>
        <w:rPr>
          <w:snapToGrid w:val="0"/>
        </w:rPr>
      </w:pPr>
      <w:bookmarkStart w:id="131" w:name="_Toc106096486"/>
      <w:r>
        <w:rPr>
          <w:rStyle w:val="CharSectno"/>
        </w:rPr>
        <w:t>30</w:t>
      </w:r>
      <w:r>
        <w:rPr>
          <w:snapToGrid w:val="0"/>
        </w:rPr>
        <w:t>.</w:t>
      </w:r>
      <w:r>
        <w:rPr>
          <w:snapToGrid w:val="0"/>
        </w:rPr>
        <w:tab/>
        <w:t>General penalty</w:t>
      </w:r>
      <w:bookmarkEnd w:id="131"/>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lastRenderedPageBreak/>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w:t>
      </w:r>
    </w:p>
    <w:p>
      <w:pPr>
        <w:pStyle w:val="Heading5"/>
        <w:spacing w:before="240"/>
        <w:rPr>
          <w:b w:val="0"/>
        </w:rPr>
      </w:pPr>
      <w:bookmarkStart w:id="132" w:name="_Toc106096487"/>
      <w:r>
        <w:rPr>
          <w:rStyle w:val="CharSectno"/>
        </w:rPr>
        <w:t>30A</w:t>
      </w:r>
      <w:r>
        <w:t>.</w:t>
      </w:r>
      <w:r>
        <w:rPr>
          <w:b w:val="0"/>
        </w:rPr>
        <w:tab/>
      </w:r>
      <w:r>
        <w:rPr>
          <w:snapToGrid w:val="0"/>
        </w:rPr>
        <w:t>Offences to be dealt with by magistrate</w:t>
      </w:r>
      <w:bookmarkEnd w:id="132"/>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133" w:name="_Toc106096488"/>
      <w:r>
        <w:rPr>
          <w:rStyle w:val="CharSectno"/>
        </w:rPr>
        <w:t>31</w:t>
      </w:r>
      <w:r>
        <w:rPr>
          <w:snapToGrid w:val="0"/>
        </w:rPr>
        <w:t>.</w:t>
      </w:r>
      <w:r>
        <w:rPr>
          <w:snapToGrid w:val="0"/>
        </w:rPr>
        <w:tab/>
        <w:t>Conduct of betting</w:t>
      </w:r>
      <w:bookmarkEnd w:id="133"/>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w:t>
      </w:r>
      <w:r>
        <w:t>racecourse</w:t>
      </w:r>
      <w:r>
        <w:rPr>
          <w:snapToGrid w:val="0"/>
        </w:rPr>
        <w:t xml:space="preserve">, </w:t>
      </w:r>
      <w:r>
        <w:t>a person</w:t>
      </w:r>
      <w:r>
        <w:rPr>
          <w:snapToGrid w:val="0"/>
        </w:rPr>
        <w:t xml:space="preserve"> who does not hold a permit from the committee or other authority controlling that </w:t>
      </w:r>
      <w:r>
        <w:t>racecourse</w:t>
      </w:r>
      <w:r>
        <w:rPr>
          <w:snapToGrid w:val="0"/>
        </w:rPr>
        <w:t xml:space="preserv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lastRenderedPageBreak/>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an event or contingency approved under section 4B(2).</w:t>
      </w:r>
    </w:p>
    <w:p>
      <w:pPr>
        <w:pStyle w:val="Subsection"/>
        <w:rPr>
          <w:snapToGrid w:val="0"/>
        </w:rPr>
      </w:pPr>
      <w:r>
        <w:rPr>
          <w:snapToGrid w:val="0"/>
        </w:rPr>
        <w:lastRenderedPageBreak/>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No. 11 of 1992 s. 54; amended: No. 63 of 1995 s. 83; No. 17 of 1998 s. 23; No. 13 of 2002 s. 24; No. 35 of 2003 s. 95 and 102; No. 41 of 2018 s. 13; No. 21 of 2019 s. 80.] </w:t>
      </w:r>
    </w:p>
    <w:p>
      <w:pPr>
        <w:pStyle w:val="Heading5"/>
        <w:rPr>
          <w:snapToGrid w:val="0"/>
        </w:rPr>
      </w:pPr>
      <w:bookmarkStart w:id="134" w:name="_Toc106096489"/>
      <w:r>
        <w:rPr>
          <w:rStyle w:val="CharSectno"/>
        </w:rPr>
        <w:t>31A</w:t>
      </w:r>
      <w:r>
        <w:rPr>
          <w:snapToGrid w:val="0"/>
        </w:rPr>
        <w:t>.</w:t>
      </w:r>
      <w:r>
        <w:rPr>
          <w:snapToGrid w:val="0"/>
        </w:rPr>
        <w:tab/>
        <w:t>Evidence</w:t>
      </w:r>
      <w:bookmarkEnd w:id="134"/>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 xml:space="preserve">a licence, permit or approval was granted, a requirement was made, or a direction or notice </w:t>
      </w:r>
      <w:r>
        <w:rPr>
          <w:snapToGrid w:val="0"/>
        </w:rPr>
        <w:lastRenderedPageBreak/>
        <w:t>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w:t>
      </w:r>
      <w:r>
        <w:rPr>
          <w:snapToGrid w:val="0"/>
        </w:rPr>
        <w:lastRenderedPageBreak/>
        <w:t xml:space="preserve">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No. 11 of 1992 s. 55; amended: No. 17 of 1998 s. 24; No. 13 of 2002 s. 25; No. 35 of 2003 s. 102; No. 84 of 2004 s. 80; No. 59 of 2006 s. 73.] </w:t>
      </w:r>
    </w:p>
    <w:p>
      <w:pPr>
        <w:pStyle w:val="Heading5"/>
        <w:rPr>
          <w:snapToGrid w:val="0"/>
        </w:rPr>
      </w:pPr>
      <w:bookmarkStart w:id="135" w:name="_Toc106096490"/>
      <w:r>
        <w:rPr>
          <w:rStyle w:val="CharSectno"/>
        </w:rPr>
        <w:t>32</w:t>
      </w:r>
      <w:r>
        <w:rPr>
          <w:snapToGrid w:val="0"/>
        </w:rPr>
        <w:t>.</w:t>
      </w:r>
      <w:r>
        <w:rPr>
          <w:snapToGrid w:val="0"/>
        </w:rPr>
        <w:tab/>
        <w:t>Disputes as to bets with bookmakers</w:t>
      </w:r>
      <w:bookmarkEnd w:id="135"/>
      <w:r>
        <w:rPr>
          <w:snapToGrid w:val="0"/>
        </w:rPr>
        <w:t xml:space="preserve"> </w:t>
      </w:r>
    </w:p>
    <w:p>
      <w:pPr>
        <w:pStyle w:val="Subsection"/>
        <w:rPr>
          <w:snapToGrid w:val="0"/>
        </w:rPr>
      </w:pPr>
      <w:r>
        <w:rPr>
          <w:snapToGrid w:val="0"/>
        </w:rPr>
        <w:tab/>
        <w:t>(1)</w:t>
      </w:r>
      <w:r>
        <w:rPr>
          <w:snapToGrid w:val="0"/>
        </w:rPr>
        <w:tab/>
        <w:t xml:space="preserve">A question or dispute as to whether a bet alleged to have been made with a bookmaker on a </w:t>
      </w:r>
      <w:r>
        <w:t>racecourse</w:t>
      </w:r>
      <w:r>
        <w:rPr>
          <w:snapToGrid w:val="0"/>
        </w:rPr>
        <w:t xml:space="preserve"> was so made, or as to the amount payable in respect of such a bet — </w:t>
      </w:r>
    </w:p>
    <w:p>
      <w:pPr>
        <w:pStyle w:val="Indenta"/>
        <w:rPr>
          <w:snapToGrid w:val="0"/>
        </w:rPr>
      </w:pPr>
      <w:r>
        <w:rPr>
          <w:snapToGrid w:val="0"/>
        </w:rPr>
        <w:tab/>
        <w:t>(a)</w:t>
      </w:r>
      <w:r>
        <w:rPr>
          <w:snapToGrid w:val="0"/>
        </w:rPr>
        <w:tab/>
        <w:t xml:space="preserve">shall be referred in the first instance to and determined by the stewards of the race meeting, or as the committee </w:t>
      </w:r>
      <w:r>
        <w:rPr>
          <w:snapToGrid w:val="0"/>
        </w:rPr>
        <w:lastRenderedPageBreak/>
        <w:t xml:space="preserve">or other authority controlling the </w:t>
      </w:r>
      <w:r>
        <w:t>racecourse</w:t>
      </w:r>
      <w:r>
        <w:rPr>
          <w:snapToGrid w:val="0"/>
        </w:rPr>
        <w:t xml:space="preserv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w:t>
      </w:r>
      <w:r>
        <w:t>racecourse</w:t>
      </w:r>
      <w:r>
        <w:rPr>
          <w:snapToGrid w:val="0"/>
        </w:rPr>
        <w:t xml:space="preserv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lastRenderedPageBreak/>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No. 21 of 2019 s. 80.] </w:t>
      </w:r>
    </w:p>
    <w:p>
      <w:pPr>
        <w:pStyle w:val="Heading5"/>
        <w:spacing w:before="180"/>
        <w:rPr>
          <w:snapToGrid w:val="0"/>
        </w:rPr>
      </w:pPr>
      <w:bookmarkStart w:id="136" w:name="_Toc106096491"/>
      <w:r>
        <w:rPr>
          <w:rStyle w:val="CharSectno"/>
        </w:rPr>
        <w:t>32A</w:t>
      </w:r>
      <w:r>
        <w:rPr>
          <w:snapToGrid w:val="0"/>
        </w:rPr>
        <w:t>.</w:t>
      </w:r>
      <w:r>
        <w:rPr>
          <w:snapToGrid w:val="0"/>
        </w:rPr>
        <w:tab/>
        <w:t>Disciplinary powers for licensees other than wagering licensee</w:t>
      </w:r>
      <w:bookmarkEnd w:id="136"/>
      <w:r>
        <w:rPr>
          <w:snapToGrid w:val="0"/>
        </w:rPr>
        <w:t xml:space="preserve"> </w:t>
      </w:r>
    </w:p>
    <w:p>
      <w:pPr>
        <w:pStyle w:val="Subsection"/>
      </w:pPr>
      <w:r>
        <w:tab/>
        <w:t>(1A)</w:t>
      </w:r>
      <w:r>
        <w:tab/>
        <w:t>This section does not apply to a wagering licence or a wagering licensee.</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keepNext/>
        <w:keepLines/>
        <w:spacing w:before="60"/>
        <w:rPr>
          <w:snapToGrid w:val="0"/>
        </w:rPr>
      </w:pPr>
      <w:r>
        <w:rPr>
          <w:snapToGrid w:val="0"/>
        </w:rPr>
        <w:lastRenderedPageBreak/>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lastRenderedPageBreak/>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lastRenderedPageBreak/>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No. 21 of 2019 s. 77(1).] </w:t>
      </w:r>
    </w:p>
    <w:p>
      <w:pPr>
        <w:pStyle w:val="Heading2"/>
      </w:pPr>
      <w:bookmarkStart w:id="137" w:name="_Toc106004733"/>
      <w:bookmarkStart w:id="138" w:name="_Toc106004855"/>
      <w:bookmarkStart w:id="139" w:name="_Toc106096492"/>
      <w:r>
        <w:rPr>
          <w:rStyle w:val="CharPartNo"/>
        </w:rPr>
        <w:lastRenderedPageBreak/>
        <w:t>Part 5</w:t>
      </w:r>
      <w:r>
        <w:rPr>
          <w:b w:val="0"/>
        </w:rPr>
        <w:t> </w:t>
      </w:r>
      <w:r>
        <w:t>—</w:t>
      </w:r>
      <w:r>
        <w:rPr>
          <w:b w:val="0"/>
        </w:rPr>
        <w:t> </w:t>
      </w:r>
      <w:r>
        <w:rPr>
          <w:rStyle w:val="CharPartText"/>
        </w:rPr>
        <w:t>Miscellaneous</w:t>
      </w:r>
      <w:bookmarkEnd w:id="137"/>
      <w:bookmarkEnd w:id="138"/>
      <w:bookmarkEnd w:id="139"/>
    </w:p>
    <w:p>
      <w:pPr>
        <w:pStyle w:val="Footnoteheading"/>
        <w:tabs>
          <w:tab w:val="left" w:pos="851"/>
        </w:tabs>
      </w:pPr>
      <w:r>
        <w:tab/>
        <w:t>[Heading inserted: No. 35 of 2003 s. 101(5).]</w:t>
      </w:r>
    </w:p>
    <w:p>
      <w:pPr>
        <w:pStyle w:val="Heading5"/>
        <w:rPr>
          <w:snapToGrid w:val="0"/>
        </w:rPr>
      </w:pPr>
      <w:bookmarkStart w:id="140" w:name="_Toc106096493"/>
      <w:r>
        <w:rPr>
          <w:rStyle w:val="CharSectno"/>
        </w:rPr>
        <w:t>33</w:t>
      </w:r>
      <w:r>
        <w:rPr>
          <w:snapToGrid w:val="0"/>
        </w:rPr>
        <w:t>.</w:t>
      </w:r>
      <w:r>
        <w:rPr>
          <w:snapToGrid w:val="0"/>
        </w:rPr>
        <w:tab/>
        <w:t>Regulations</w:t>
      </w:r>
      <w:bookmarkEnd w:id="14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lastRenderedPageBreak/>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 xml:space="preserve">the kinds of bet that may be made or accepted and Rules of Betting regulating betting by or with bookmakers generally or in specific circumstances, the maximum amount which a </w:t>
      </w:r>
      <w:r>
        <w:rPr>
          <w:snapToGrid w:val="0"/>
        </w:rPr>
        <w:lastRenderedPageBreak/>
        <w:t>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No. 113 of 1965 s. 8(1); No. 77 of 1976 s. 19; No. 6 of 1987 s. 15; No. 78 of 1987 s. 5; No. 58 of 1990 s. 11; No. 11 of 1992 s. 29, 58 and 64; No. 63 of 1995 s. 84; No. 17 of 1998 s. 25; No. 23 of 1998 s. 20; No. 13 of 2002 s. 27; No. 35 of 2003 s. 96, 102 and 103; No. 32 of 2014 s. 8; No. 37 of 2018 s. 61; No. 41 of 2018 s. 14.] </w:t>
      </w:r>
    </w:p>
    <w:p>
      <w:pPr>
        <w:pStyle w:val="Ednotepart"/>
        <w:tabs>
          <w:tab w:val="left" w:pos="993"/>
        </w:tabs>
      </w:pPr>
      <w:r>
        <w:t xml:space="preserve">[Part 6: </w:t>
      </w:r>
      <w:r>
        <w:tab/>
        <w:t>s. 34 and 35 deleted: No. 37 of 2018 s. 61;</w:t>
      </w:r>
      <w:r>
        <w:br/>
      </w:r>
      <w:r>
        <w:tab/>
        <w:t xml:space="preserve">s. 36 deleted: No. 35 of 2003 s. 98.] </w:t>
      </w:r>
    </w:p>
    <w:p>
      <w:pPr>
        <w:pStyle w:val="yEdnoteschedule"/>
      </w:pPr>
      <w:r>
        <w:t>[Schedule 1 deleted: No. 35 of 2003 s. 99.]</w:t>
      </w:r>
    </w:p>
    <w:p>
      <w:pPr>
        <w:pStyle w:val="yEdnoteschedule"/>
      </w:pPr>
      <w:r>
        <w:t>[Schedule 2 deleted: No. 35 of 2003 s. 100.]</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41" w:name="_Toc106004735"/>
      <w:bookmarkStart w:id="142" w:name="_Toc106004857"/>
      <w:bookmarkStart w:id="143" w:name="_Toc106096494"/>
      <w:r>
        <w:rPr>
          <w:rStyle w:val="CharSchNo"/>
        </w:rPr>
        <w:lastRenderedPageBreak/>
        <w:t>Schedule 3</w:t>
      </w:r>
      <w:r>
        <w:t xml:space="preserve"> — </w:t>
      </w:r>
      <w:r>
        <w:rPr>
          <w:rStyle w:val="CharSchText"/>
        </w:rPr>
        <w:t>Requirements for licensing of a body corporate and continuation of the licence of a body corporate</w:t>
      </w:r>
      <w:bookmarkEnd w:id="141"/>
      <w:bookmarkEnd w:id="142"/>
      <w:bookmarkEnd w:id="143"/>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45" w:name="_Toc106004736"/>
      <w:bookmarkStart w:id="146" w:name="_Toc106004858"/>
      <w:bookmarkStart w:id="147" w:name="_Toc106096495"/>
      <w:r>
        <w:lastRenderedPageBreak/>
        <w:t>Notes</w:t>
      </w:r>
      <w:bookmarkEnd w:id="145"/>
      <w:bookmarkEnd w:id="146"/>
      <w:bookmarkEnd w:id="147"/>
    </w:p>
    <w:p>
      <w:pPr>
        <w:pStyle w:val="nStatement"/>
      </w:pPr>
      <w:r>
        <w:t xml:space="preserve">This is a compilation of the </w:t>
      </w:r>
      <w:r>
        <w:rPr>
          <w:i/>
          <w:noProof/>
        </w:rPr>
        <w:t>Betting Control Act 1954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8" w:name="_Toc106096496"/>
      <w:r>
        <w:t>Compilation table</w:t>
      </w:r>
      <w:bookmarkEnd w:id="1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lastRenderedPageBreak/>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lastRenderedPageBreak/>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2</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lastRenderedPageBreak/>
              <w:t xml:space="preserve">Reprint of the </w:t>
            </w:r>
            <w:r>
              <w:rPr>
                <w:b/>
                <w:i/>
              </w:rPr>
              <w:t>Betting Control Act 1954</w:t>
            </w:r>
            <w:r>
              <w:rPr>
                <w:b/>
              </w:rPr>
              <w:t xml:space="preserve"> as at 12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Racing and Gambling Legislation Amendment and Repeal Act 2003</w:t>
            </w:r>
            <w:r>
              <w:t xml:space="preserve"> Pt. 7 Div. 1</w:t>
            </w:r>
            <w:r>
              <w:rPr>
                <w:vertAlign w:val="superscript"/>
              </w:rPr>
              <w:t> 3, 4</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lastRenderedPageBreak/>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c>
          <w:tcPr>
            <w:tcW w:w="2269" w:type="dxa"/>
            <w:tcBorders>
              <w:top w:val="nil"/>
              <w:bottom w:val="nil"/>
            </w:tcBorders>
          </w:tcPr>
          <w:p>
            <w:pPr>
              <w:pStyle w:val="nTable"/>
              <w:spacing w:after="40"/>
            </w:pPr>
            <w:r>
              <w:rPr>
                <w:i/>
              </w:rPr>
              <w:t>Betting Tax Assessment Act 2018</w:t>
            </w:r>
            <w:r>
              <w:t xml:space="preserve"> Pt. 8 Div. 1 Subdiv. 1 and Div. 2 Subdiv. 1</w:t>
            </w:r>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Pt. 8 Div. 1 Subdiv. 1: 1 Jan 2019 (see s. 2(c))</w:t>
            </w:r>
            <w:r>
              <w:br/>
              <w:t xml:space="preserve">Pt. 8 Div 2 Subdiv. 1: 1 Feb 2019 (see s. 2(b) and </w:t>
            </w:r>
            <w:r>
              <w:rPr>
                <w:i/>
              </w:rPr>
              <w:t>Gazette</w:t>
            </w:r>
            <w:r>
              <w:t xml:space="preserve"> 25 Jan 2019 p. 193)</w:t>
            </w:r>
          </w:p>
        </w:tc>
      </w:tr>
      <w:tr>
        <w:tc>
          <w:tcPr>
            <w:tcW w:w="2269" w:type="dxa"/>
            <w:tcBorders>
              <w:top w:val="nil"/>
              <w:bottom w:val="nil"/>
            </w:tcBorders>
          </w:tcPr>
          <w:p>
            <w:pPr>
              <w:pStyle w:val="nTable"/>
              <w:spacing w:after="40"/>
              <w:rPr>
                <w:i/>
              </w:rPr>
            </w:pPr>
            <w:r>
              <w:rPr>
                <w:i/>
              </w:rPr>
              <w:t>Gaming and Wagering Legislation Amendment Act 2018</w:t>
            </w:r>
            <w:r>
              <w:t xml:space="preserve"> Pt. 2</w:t>
            </w:r>
          </w:p>
        </w:tc>
        <w:tc>
          <w:tcPr>
            <w:tcW w:w="1134" w:type="dxa"/>
            <w:tcBorders>
              <w:top w:val="nil"/>
              <w:bottom w:val="nil"/>
            </w:tcBorders>
          </w:tcPr>
          <w:p>
            <w:pPr>
              <w:pStyle w:val="nTable"/>
              <w:spacing w:after="40"/>
            </w:pPr>
            <w:r>
              <w:t>41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 xml:space="preserve">1 Feb 2019 (see s. 2(b) and </w:t>
            </w:r>
            <w:r>
              <w:rPr>
                <w:i/>
              </w:rPr>
              <w:t>Gazette</w:t>
            </w:r>
            <w:r>
              <w:t xml:space="preserve"> 25 Jan 2019 p. 193</w:t>
            </w:r>
            <w:r>
              <w:noBreakHyphen/>
              <w:t>4)</w:t>
            </w:r>
          </w:p>
        </w:tc>
      </w:tr>
      <w:tr>
        <w:tc>
          <w:tcPr>
            <w:tcW w:w="2269" w:type="dxa"/>
            <w:tcBorders>
              <w:top w:val="nil"/>
              <w:bottom w:val="nil"/>
            </w:tcBorders>
          </w:tcPr>
          <w:p>
            <w:pPr>
              <w:pStyle w:val="nTable"/>
              <w:spacing w:after="40"/>
            </w:pPr>
            <w:r>
              <w:rPr>
                <w:i/>
              </w:rPr>
              <w:t>TAB (Disposal) Act 2019</w:t>
            </w:r>
            <w:r>
              <w:t xml:space="preserve"> s. 38, 39, 40(1), (4), (7), (9), (14) and (17), 42, 46-48, 52, 77(1) and 80</w:t>
            </w:r>
          </w:p>
        </w:tc>
        <w:tc>
          <w:tcPr>
            <w:tcW w:w="1134" w:type="dxa"/>
            <w:tcBorders>
              <w:top w:val="nil"/>
              <w:bottom w:val="nil"/>
            </w:tcBorders>
          </w:tcPr>
          <w:p>
            <w:pPr>
              <w:pStyle w:val="nTable"/>
              <w:spacing w:after="40"/>
            </w:pPr>
            <w:r>
              <w:t>21 of 2019</w:t>
            </w:r>
          </w:p>
        </w:tc>
        <w:tc>
          <w:tcPr>
            <w:tcW w:w="1134" w:type="dxa"/>
            <w:tcBorders>
              <w:top w:val="nil"/>
              <w:bottom w:val="nil"/>
            </w:tcBorders>
          </w:tcPr>
          <w:p>
            <w:pPr>
              <w:pStyle w:val="nTable"/>
              <w:spacing w:after="40"/>
            </w:pPr>
            <w:r>
              <w:t>18 Sep 2019</w:t>
            </w:r>
          </w:p>
        </w:tc>
        <w:tc>
          <w:tcPr>
            <w:tcW w:w="2552" w:type="dxa"/>
            <w:tcBorders>
              <w:top w:val="nil"/>
              <w:bottom w:val="nil"/>
            </w:tcBorders>
          </w:tcPr>
          <w:p>
            <w:pPr>
              <w:pStyle w:val="nTable"/>
              <w:spacing w:after="40"/>
            </w:pPr>
            <w:r>
              <w:t>19 Sep 2019 (see s. 2(1)(c))</w:t>
            </w:r>
          </w:p>
        </w:tc>
      </w:tr>
      <w:tr>
        <w:tc>
          <w:tcPr>
            <w:tcW w:w="2269" w:type="dxa"/>
            <w:tcBorders>
              <w:top w:val="nil"/>
              <w:bottom w:val="single" w:sz="8" w:space="0" w:color="auto"/>
              <w:right w:val="nil"/>
            </w:tcBorders>
          </w:tcPr>
          <w:p>
            <w:pPr>
              <w:pStyle w:val="nTable"/>
              <w:spacing w:after="40"/>
              <w:rPr>
                <w:i/>
              </w:rPr>
            </w:pPr>
            <w:r>
              <w:rPr>
                <w:i/>
              </w:rPr>
              <w:t>Betting Control Amendment (Taxing) Act 2019</w:t>
            </w:r>
          </w:p>
        </w:tc>
        <w:tc>
          <w:tcPr>
            <w:tcW w:w="1134" w:type="dxa"/>
            <w:tcBorders>
              <w:top w:val="nil"/>
              <w:left w:val="nil"/>
              <w:bottom w:val="single" w:sz="8" w:space="0" w:color="auto"/>
              <w:right w:val="nil"/>
            </w:tcBorders>
          </w:tcPr>
          <w:p>
            <w:pPr>
              <w:pStyle w:val="nTable"/>
              <w:spacing w:after="40"/>
            </w:pPr>
            <w:r>
              <w:t>22 of 2019</w:t>
            </w:r>
          </w:p>
        </w:tc>
        <w:tc>
          <w:tcPr>
            <w:tcW w:w="1134" w:type="dxa"/>
            <w:tcBorders>
              <w:top w:val="nil"/>
              <w:left w:val="nil"/>
              <w:bottom w:val="single" w:sz="8" w:space="0" w:color="auto"/>
              <w:right w:val="nil"/>
            </w:tcBorders>
          </w:tcPr>
          <w:p>
            <w:pPr>
              <w:pStyle w:val="nTable"/>
              <w:spacing w:after="40"/>
            </w:pPr>
            <w:r>
              <w:t>18 Sep 2019</w:t>
            </w:r>
          </w:p>
        </w:tc>
        <w:tc>
          <w:tcPr>
            <w:tcW w:w="2552" w:type="dxa"/>
            <w:tcBorders>
              <w:top w:val="nil"/>
              <w:left w:val="nil"/>
              <w:bottom w:val="single" w:sz="8" w:space="0" w:color="auto"/>
            </w:tcBorders>
          </w:tcPr>
          <w:p>
            <w:pPr>
              <w:pStyle w:val="nTable"/>
              <w:spacing w:after="40"/>
            </w:pPr>
            <w:r>
              <w:t>s. 1 and 2: 18 Sep 2019 (see s. 2(a));</w:t>
            </w:r>
            <w:r>
              <w:br/>
              <w:t>Act other than s. 1 and 2: 19 Sep 2019 (see s. 2(b))</w:t>
            </w:r>
          </w:p>
        </w:tc>
      </w:tr>
    </w:tbl>
    <w:p>
      <w:pPr>
        <w:pStyle w:val="nHeading3"/>
      </w:pPr>
      <w:bookmarkStart w:id="149" w:name="_Toc106096497"/>
      <w:r>
        <w:lastRenderedPageBreak/>
        <w:t>Uncommenced provisions table</w:t>
      </w:r>
      <w:bookmarkEnd w:id="14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40(2), (3), (5), (6), (8), (10)-(13), (15) and (16), 41, 43-45, 49-51, 53-76, 77(2), 78 and 79</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 and (2))</w:t>
            </w:r>
          </w:p>
        </w:tc>
      </w:tr>
      <w:tr>
        <w:tc>
          <w:tcPr>
            <w:tcW w:w="2268" w:type="dxa"/>
            <w:tcBorders>
              <w:top w:val="nil"/>
            </w:tcBorders>
          </w:tcPr>
          <w:p>
            <w:pPr>
              <w:pStyle w:val="nTable"/>
              <w:spacing w:after="40"/>
              <w:rPr>
                <w:i/>
              </w:rPr>
            </w:pPr>
            <w:r>
              <w:rPr>
                <w:i/>
              </w:rPr>
              <w:t xml:space="preserve">Mutual Recognition (Western Australia) Amendment Act 2022 </w:t>
            </w:r>
            <w:r>
              <w:t>Pt. 3 Div. 2</w:t>
            </w:r>
          </w:p>
        </w:tc>
        <w:tc>
          <w:tcPr>
            <w:tcW w:w="1134" w:type="dxa"/>
            <w:tcBorders>
              <w:top w:val="nil"/>
            </w:tcBorders>
          </w:tcPr>
          <w:p>
            <w:pPr>
              <w:pStyle w:val="nTable"/>
              <w:spacing w:after="40"/>
            </w:pPr>
            <w:r>
              <w:t>7 of 2022</w:t>
            </w:r>
          </w:p>
        </w:tc>
        <w:tc>
          <w:tcPr>
            <w:tcW w:w="1134" w:type="dxa"/>
            <w:tcBorders>
              <w:top w:val="nil"/>
            </w:tcBorders>
          </w:tcPr>
          <w:p>
            <w:pPr>
              <w:pStyle w:val="nTable"/>
              <w:spacing w:after="40"/>
            </w:pPr>
            <w:r>
              <w:t>29 Mar 2022</w:t>
            </w:r>
          </w:p>
        </w:tc>
        <w:tc>
          <w:tcPr>
            <w:tcW w:w="2552" w:type="dxa"/>
            <w:tcBorders>
              <w:top w:val="nil"/>
            </w:tcBorders>
          </w:tcPr>
          <w:p>
            <w:pPr>
              <w:pStyle w:val="nTable"/>
              <w:spacing w:after="40"/>
            </w:pPr>
            <w:r>
              <w:t>1 Jul 2022 (see s. 2(b) and SL 2022/80 cl. 2)</w:t>
            </w:r>
          </w:p>
        </w:tc>
      </w:tr>
    </w:tbl>
    <w:p>
      <w:pPr>
        <w:pStyle w:val="nHeading3"/>
      </w:pPr>
      <w:bookmarkStart w:id="150" w:name="_Toc106096498"/>
      <w:r>
        <w:t>Other notes</w:t>
      </w:r>
      <w:bookmarkEnd w:id="150"/>
    </w:p>
    <w:p>
      <w:pPr>
        <w:pStyle w:val="nNote"/>
        <w:spacing w:before="160"/>
        <w:rPr>
          <w:snapToGrid w:val="0"/>
        </w:rPr>
      </w:pPr>
      <w:r>
        <w:rPr>
          <w:snapToGrid w:val="0"/>
          <w:vertAlign w:val="superscript"/>
        </w:rPr>
        <w:t>1</w:t>
      </w:r>
      <w:r>
        <w:rPr>
          <w:snapToGrid w:val="0"/>
        </w:rPr>
        <w:tab/>
        <w:t xml:space="preserve">Repealed by the </w:t>
      </w:r>
      <w:r>
        <w:rPr>
          <w:i/>
          <w:color w:val="000000"/>
        </w:rPr>
        <w:t>Acts Amendment and Repeal (Betting) Act 1992 </w:t>
      </w:r>
      <w:r>
        <w:rPr>
          <w:color w:val="000000"/>
        </w:rPr>
        <w:t>s. 72</w:t>
      </w:r>
      <w:r>
        <w:rPr>
          <w:snapToGrid w:val="0"/>
        </w:rPr>
        <w:t>.</w:t>
      </w:r>
    </w:p>
    <w:p>
      <w:pPr>
        <w:pStyle w:val="nNote"/>
        <w:rPr>
          <w:snapToGrid w:val="0"/>
        </w:rPr>
      </w:pPr>
      <w:r>
        <w:rPr>
          <w:snapToGrid w:val="0"/>
          <w:vertAlign w:val="superscript"/>
        </w:rPr>
        <w:t>2</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Note"/>
        <w:keepNext/>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keepLines/>
        <w:spacing w:before="0"/>
        <w:rPr>
          <w:snapToGrid w:val="0"/>
        </w:rPr>
      </w:pPr>
      <w:r>
        <w:rPr>
          <w:snapToGrid w:val="0"/>
          <w:vertAlign w:val="superscript"/>
        </w:rPr>
        <w:t>4</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Subsection"/>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Subsection"/>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Subsection"/>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 xml:space="preserve">any act, matter or thing done or omitted to be done in relation to the assets, rights and liabilities referred to in paragraphs (a) and (b) before the appointed day by, to or in respect of the BCB (to the extent that that act, matter or </w:t>
      </w:r>
      <w:r>
        <w:rPr>
          <w:spacing w:val="-4"/>
        </w:rPr>
        <w:lastRenderedPageBreak/>
        <w:t>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Subsection"/>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Subsection"/>
      </w:pPr>
      <w:r>
        <w:tab/>
      </w:r>
      <w:r>
        <w:tab/>
        <w:t>and the Western Australian Betting Control Board Fund is then to be closed.</w:t>
      </w:r>
    </w:p>
    <w:p>
      <w:pPr>
        <w:pStyle w:val="nzSubsection"/>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rPr>
          <w:snapToGrid w:val="0"/>
        </w:rPr>
      </w:pPr>
      <w:r>
        <w:tab/>
        <w:t>(a)</w:t>
      </w:r>
      <w:r>
        <w:tab/>
        <w:t>anything</w:t>
      </w:r>
      <w:r>
        <w:rPr>
          <w:snapToGrid w:val="0"/>
        </w:rPr>
        <w:t xml:space="preserve"> that occurs by the operation of this Division; or</w:t>
      </w:r>
    </w:p>
    <w:p>
      <w:pPr>
        <w:pStyle w:val="nzIndenta"/>
      </w:pPr>
      <w:r>
        <w:rPr>
          <w:snapToGrid w:val="0"/>
        </w:rPr>
        <w:lastRenderedPageBreak/>
        <w:tab/>
        <w:t>(b)</w:t>
      </w:r>
      <w:r>
        <w:rPr>
          <w:snapToGrid w:val="0"/>
        </w:rPr>
        <w:tab/>
        <w:t xml:space="preserve">anything done (including a transaction entered into or an </w:t>
      </w:r>
      <w:r>
        <w:t>instrument</w:t>
      </w:r>
      <w:r>
        <w:rPr>
          <w:snapToGrid w:val="0"/>
        </w:rPr>
        <w:t xml:space="preserve"> or document of any kind made, executed, lodged or given) under this Division</w:t>
      </w:r>
      <w:r>
        <w:t>, or to give effect to this Division, or for a purpose connected with or arising out of, giving effect to this Division.</w:t>
      </w:r>
    </w:p>
    <w:p>
      <w:pPr>
        <w:pStyle w:val="nzSubsection"/>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Subsection"/>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Subsection"/>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lastRenderedPageBreak/>
        <w:t>111.</w:t>
      </w:r>
      <w:r>
        <w:tab/>
        <w:t>Completion of things commenced</w:t>
      </w:r>
    </w:p>
    <w:p>
      <w:pPr>
        <w:pStyle w:val="nzSubsection"/>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Subsection"/>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Subsection"/>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Subsection"/>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Subsection"/>
      </w:pPr>
      <w:r>
        <w:tab/>
        <w:t>(1)</w:t>
      </w:r>
      <w:r>
        <w:tab/>
        <w:t>This section applies to any agreement or instrument subsisting immediately before the appointed day that does not come within the provisions of section 106(c).</w:t>
      </w:r>
    </w:p>
    <w:p>
      <w:pPr>
        <w:pStyle w:val="nzSubsection"/>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Subsection"/>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Subsection"/>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Subsection"/>
      </w:pPr>
      <w:r>
        <w:lastRenderedPageBreak/>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52" w:name="_Toc106004740"/>
      <w:bookmarkStart w:id="153" w:name="_Toc106004862"/>
      <w:bookmarkStart w:id="154" w:name="_Toc106096499"/>
      <w:r>
        <w:rPr>
          <w:sz w:val="28"/>
        </w:rPr>
        <w:lastRenderedPageBreak/>
        <w:t>Defined terms</w:t>
      </w:r>
      <w:bookmarkEnd w:id="152"/>
      <w:bookmarkEnd w:id="153"/>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4(1)</w:t>
      </w:r>
    </w:p>
    <w:p>
      <w:pPr>
        <w:pStyle w:val="DefinedTerms"/>
      </w:pPr>
      <w:r>
        <w:t>approval</w:t>
      </w:r>
      <w:r>
        <w:tab/>
        <w:t>4(1)</w:t>
      </w:r>
    </w:p>
    <w:p>
      <w:pPr>
        <w:pStyle w:val="DefinedTerms"/>
      </w:pPr>
      <w:r>
        <w:t>approved area</w:t>
      </w:r>
      <w:r>
        <w:tab/>
        <w:t>4(1)</w:t>
      </w:r>
    </w:p>
    <w:p>
      <w:pPr>
        <w:pStyle w:val="DefinedTerms"/>
      </w:pPr>
      <w:r>
        <w:t>approved officer</w:t>
      </w:r>
      <w:r>
        <w:tab/>
        <w:t>27E(1)</w:t>
      </w:r>
    </w:p>
    <w:p>
      <w:pPr>
        <w:pStyle w:val="DefinedTerms"/>
      </w:pPr>
      <w:r>
        <w:t>arrangement</w:t>
      </w:r>
      <w:r>
        <w:tab/>
        <w:t>4(1)</w:t>
      </w:r>
    </w:p>
    <w:p>
      <w:pPr>
        <w:pStyle w:val="DefinedTerms"/>
      </w:pPr>
      <w:r>
        <w:t>associate</w:t>
      </w:r>
      <w:r>
        <w:tab/>
        <w:t>4(1), 7(2), 10X(1)</w:t>
      </w:r>
    </w:p>
    <w:p>
      <w:pPr>
        <w:pStyle w:val="DefinedTerms"/>
      </w:pPr>
      <w:r>
        <w:t>authorisation</w:t>
      </w:r>
      <w:r>
        <w:tab/>
        <w:t>4(1)</w:t>
      </w:r>
    </w:p>
    <w:p>
      <w:pPr>
        <w:pStyle w:val="DefinedTerms"/>
      </w:pPr>
      <w:r>
        <w:t>authorised officer</w:t>
      </w:r>
      <w:r>
        <w:tab/>
        <w:t>4(1)</w:t>
      </w:r>
    </w:p>
    <w:p>
      <w:pPr>
        <w:pStyle w:val="DefinedTerms"/>
      </w:pPr>
      <w:r>
        <w:t>authorised person</w:t>
      </w:r>
      <w:r>
        <w:tab/>
        <w:t>20B(1), 27A(1)</w:t>
      </w:r>
    </w:p>
    <w:p>
      <w:pPr>
        <w:pStyle w:val="DefinedTerms"/>
      </w:pPr>
      <w:r>
        <w:t>bet back</w:t>
      </w:r>
      <w:r>
        <w:tab/>
        <w:t>14A(1)</w:t>
      </w:r>
    </w:p>
    <w:p>
      <w:pPr>
        <w:pStyle w:val="DefinedTerms"/>
      </w:pPr>
      <w:r>
        <w:t>bets</w:t>
      </w:r>
      <w:r>
        <w:tab/>
        <w:t>24(2)</w:t>
      </w:r>
    </w:p>
    <w:p>
      <w:pPr>
        <w:pStyle w:val="DefinedTerms"/>
      </w:pPr>
      <w:r>
        <w:t>betting agency</w:t>
      </w:r>
      <w:r>
        <w:tab/>
        <w:t>4(1)</w:t>
      </w:r>
    </w:p>
    <w:p>
      <w:pPr>
        <w:pStyle w:val="DefinedTerms"/>
      </w:pPr>
      <w:r>
        <w:t>betting exchange</w:t>
      </w:r>
      <w:r>
        <w:tab/>
        <w:t>4(1), 4AA</w:t>
      </w:r>
    </w:p>
    <w:p>
      <w:pPr>
        <w:pStyle w:val="DefinedTerms"/>
      </w:pPr>
      <w:r>
        <w:t>betting material</w:t>
      </w:r>
      <w:r>
        <w:tab/>
        <w:t>4(1)</w:t>
      </w:r>
    </w:p>
    <w:p>
      <w:pPr>
        <w:pStyle w:val="DefinedTerms"/>
      </w:pPr>
      <w:r>
        <w:t>betting operator</w:t>
      </w:r>
      <w:r>
        <w:tab/>
        <w:t>14A(1)</w:t>
      </w:r>
    </w:p>
    <w:p>
      <w:pPr>
        <w:pStyle w:val="DefinedTerms"/>
      </w:pPr>
      <w:r>
        <w:t>bookmaker</w:t>
      </w:r>
      <w:r>
        <w:tab/>
        <w:t>4(1)</w:t>
      </w:r>
    </w:p>
    <w:p>
      <w:pPr>
        <w:pStyle w:val="DefinedTerms"/>
      </w:pPr>
      <w:r>
        <w:t>Commission</w:t>
      </w:r>
      <w:r>
        <w:tab/>
        <w:t>4(1)</w:t>
      </w:r>
    </w:p>
    <w:p>
      <w:pPr>
        <w:pStyle w:val="DefinedTerms"/>
      </w:pPr>
      <w:r>
        <w:t>Commission representative</w:t>
      </w:r>
      <w:r>
        <w:tab/>
        <w:t>20(1)</w:t>
      </w:r>
    </w:p>
    <w:p>
      <w:pPr>
        <w:pStyle w:val="DefinedTerms"/>
      </w:pPr>
      <w:r>
        <w:t>condition</w:t>
      </w:r>
      <w:r>
        <w:tab/>
        <w:t>4(1)</w:t>
      </w:r>
    </w:p>
    <w:p>
      <w:pPr>
        <w:pStyle w:val="DefinedTerms"/>
      </w:pPr>
      <w:r>
        <w:t>consideration</w:t>
      </w:r>
      <w:r>
        <w:tab/>
        <w:t>4(1)</w:t>
      </w:r>
    </w:p>
    <w:p>
      <w:pPr>
        <w:pStyle w:val="DefinedTerms"/>
      </w:pPr>
      <w:r>
        <w:t>consumer protection policy</w:t>
      </w:r>
      <w:r>
        <w:tab/>
        <w:t>4(1), 10I</w:t>
      </w:r>
    </w:p>
    <w:p>
      <w:pPr>
        <w:pStyle w:val="DefinedTerms"/>
      </w:pPr>
      <w:r>
        <w:t>contingency</w:t>
      </w:r>
      <w:r>
        <w:tab/>
        <w:t>4(1)</w:t>
      </w:r>
    </w:p>
    <w:p>
      <w:pPr>
        <w:pStyle w:val="DefinedTerms"/>
      </w:pPr>
      <w:r>
        <w:t>controlling interest</w:t>
      </w:r>
      <w:r>
        <w:tab/>
        <w:t>4(1)</w:t>
      </w:r>
    </w:p>
    <w:p>
      <w:pPr>
        <w:pStyle w:val="DefinedTerms"/>
      </w:pPr>
      <w:r>
        <w:t>designated sporting event</w:t>
      </w:r>
      <w:r>
        <w:tab/>
        <w:t>4(1)</w:t>
      </w:r>
    </w:p>
    <w:p>
      <w:pPr>
        <w:pStyle w:val="DefinedTerms"/>
      </w:pPr>
      <w:r>
        <w:t>direction</w:t>
      </w:r>
      <w:r>
        <w:tab/>
        <w:t>10K(1)</w:t>
      </w:r>
    </w:p>
    <w:p>
      <w:pPr>
        <w:pStyle w:val="DefinedTerms"/>
      </w:pPr>
      <w:r>
        <w:t>disciplinary action</w:t>
      </w:r>
      <w:r>
        <w:tab/>
        <w:t>10K(1)</w:t>
      </w:r>
    </w:p>
    <w:p>
      <w:pPr>
        <w:pStyle w:val="DefinedTerms"/>
      </w:pPr>
      <w:r>
        <w:t>domestic betting operator</w:t>
      </w:r>
      <w:r>
        <w:tab/>
        <w:t>4(1)</w:t>
      </w:r>
    </w:p>
    <w:p>
      <w:pPr>
        <w:pStyle w:val="DefinedTerms"/>
      </w:pPr>
      <w:r>
        <w:t>employee</w:t>
      </w:r>
      <w:r>
        <w:tab/>
        <w:t>4(1)</w:t>
      </w:r>
    </w:p>
    <w:p>
      <w:pPr>
        <w:pStyle w:val="DefinedTerms"/>
      </w:pPr>
      <w:r>
        <w:t>ending licence</w:t>
      </w:r>
      <w:r>
        <w:tab/>
        <w:t>6(3)</w:t>
      </w:r>
    </w:p>
    <w:p>
      <w:pPr>
        <w:pStyle w:val="DefinedTerms"/>
      </w:pPr>
      <w:r>
        <w:t>entering into</w:t>
      </w:r>
      <w:r>
        <w:tab/>
        <w:t>10ZC(1)</w:t>
      </w:r>
    </w:p>
    <w:p>
      <w:pPr>
        <w:pStyle w:val="DefinedTerms"/>
      </w:pPr>
      <w:r>
        <w:t>equipment</w:t>
      </w:r>
      <w:r>
        <w:tab/>
        <w:t>4(1)</w:t>
      </w:r>
    </w:p>
    <w:p>
      <w:pPr>
        <w:pStyle w:val="DefinedTerms"/>
      </w:pPr>
      <w:r>
        <w:t>event</w:t>
      </w:r>
      <w:r>
        <w:tab/>
        <w:t>4(1)</w:t>
      </w:r>
    </w:p>
    <w:p>
      <w:pPr>
        <w:pStyle w:val="DefinedTerms"/>
      </w:pPr>
      <w:r>
        <w:t>executive officer</w:t>
      </w:r>
      <w:r>
        <w:tab/>
        <w:t>7(1)</w:t>
      </w:r>
    </w:p>
    <w:p>
      <w:pPr>
        <w:pStyle w:val="DefinedTerms"/>
      </w:pPr>
      <w:r>
        <w:t>fixed odds bet</w:t>
      </w:r>
      <w:r>
        <w:tab/>
        <w:t>4(1)</w:t>
      </w:r>
    </w:p>
    <w:p>
      <w:pPr>
        <w:pStyle w:val="DefinedTerms"/>
      </w:pPr>
      <w:r>
        <w:t>former licensee</w:t>
      </w:r>
      <w:r>
        <w:tab/>
        <w:t>10P(1)</w:t>
      </w:r>
    </w:p>
    <w:p>
      <w:pPr>
        <w:pStyle w:val="DefinedTerms"/>
      </w:pPr>
      <w:r>
        <w:t>giving effect to</w:t>
      </w:r>
      <w:r>
        <w:tab/>
        <w:t>10ZC(1)</w:t>
      </w:r>
    </w:p>
    <w:p>
      <w:pPr>
        <w:pStyle w:val="DefinedTerms"/>
      </w:pPr>
      <w:r>
        <w:t>good repute</w:t>
      </w:r>
      <w:r>
        <w:tab/>
        <w:t>4(1), 9(1)</w:t>
      </w:r>
    </w:p>
    <w:p>
      <w:pPr>
        <w:pStyle w:val="DefinedTerms"/>
      </w:pPr>
      <w:r>
        <w:t>gross revenue</w:t>
      </w:r>
      <w:r>
        <w:tab/>
        <w:t>14A(1)</w:t>
      </w:r>
    </w:p>
    <w:p>
      <w:pPr>
        <w:pStyle w:val="DefinedTerms"/>
      </w:pPr>
      <w:r>
        <w:t>grounds</w:t>
      </w:r>
      <w:r>
        <w:tab/>
        <w:t>10K(1)</w:t>
      </w:r>
    </w:p>
    <w:p>
      <w:pPr>
        <w:pStyle w:val="DefinedTerms"/>
      </w:pPr>
      <w:r>
        <w:t>interstate offence</w:t>
      </w:r>
      <w:r>
        <w:tab/>
        <w:t>11G(6), 24(2)</w:t>
      </w:r>
    </w:p>
    <w:p>
      <w:pPr>
        <w:pStyle w:val="DefinedTerms"/>
      </w:pPr>
      <w:r>
        <w:lastRenderedPageBreak/>
        <w:t>interstate or offshore bet</w:t>
      </w:r>
      <w:r>
        <w:tab/>
        <w:t>27A(1)</w:t>
      </w:r>
    </w:p>
    <w:p>
      <w:pPr>
        <w:pStyle w:val="DefinedTerms"/>
      </w:pPr>
      <w:r>
        <w:t>key employee</w:t>
      </w:r>
      <w:r>
        <w:tab/>
        <w:t>4(1), 8(1)</w:t>
      </w:r>
    </w:p>
    <w:p>
      <w:pPr>
        <w:pStyle w:val="DefinedTerms"/>
      </w:pPr>
      <w:r>
        <w:t>licence</w:t>
      </w:r>
      <w:r>
        <w:tab/>
        <w:t>4(1)</w:t>
      </w:r>
    </w:p>
    <w:p>
      <w:pPr>
        <w:pStyle w:val="DefinedTerms"/>
      </w:pPr>
      <w:r>
        <w:t>licensed employee</w:t>
      </w:r>
      <w:r>
        <w:tab/>
        <w:t>4(1)</w:t>
      </w:r>
    </w:p>
    <w:p>
      <w:pPr>
        <w:pStyle w:val="DefinedTerms"/>
      </w:pPr>
      <w:r>
        <w:t>licensed manager</w:t>
      </w:r>
      <w:r>
        <w:tab/>
        <w:t>4(1)</w:t>
      </w:r>
    </w:p>
    <w:p>
      <w:pPr>
        <w:pStyle w:val="DefinedTerms"/>
      </w:pPr>
      <w:r>
        <w:t>machine</w:t>
      </w:r>
      <w:r>
        <w:tab/>
        <w:t>4(1)</w:t>
      </w:r>
    </w:p>
    <w:p>
      <w:pPr>
        <w:pStyle w:val="DefinedTerms"/>
      </w:pPr>
      <w:r>
        <w:t>metropolitan region</w:t>
      </w:r>
      <w:r>
        <w:tab/>
        <w:t>4(1)</w:t>
      </w:r>
    </w:p>
    <w:p>
      <w:pPr>
        <w:pStyle w:val="DefinedTerms"/>
      </w:pPr>
      <w:r>
        <w:t>money</w:t>
      </w:r>
      <w:r>
        <w:tab/>
        <w:t>4(1)</w:t>
      </w:r>
    </w:p>
    <w:p>
      <w:pPr>
        <w:pStyle w:val="DefinedTerms"/>
      </w:pPr>
      <w:r>
        <w:t>moneys</w:t>
      </w:r>
      <w:r>
        <w:tab/>
        <w:t>10ZB(1)</w:t>
      </w:r>
    </w:p>
    <w:p>
      <w:pPr>
        <w:pStyle w:val="DefinedTerms"/>
      </w:pPr>
      <w:r>
        <w:t>new licence</w:t>
      </w:r>
      <w:r>
        <w:tab/>
        <w:t>6(3)</w:t>
      </w:r>
    </w:p>
    <w:p>
      <w:pPr>
        <w:pStyle w:val="DefinedTerms"/>
      </w:pPr>
      <w:r>
        <w:t>new licensee</w:t>
      </w:r>
      <w:r>
        <w:tab/>
        <w:t>10E(1)</w:t>
      </w:r>
    </w:p>
    <w:p>
      <w:pPr>
        <w:pStyle w:val="DefinedTerms"/>
      </w:pPr>
      <w:r>
        <w:t>offshore betting operator</w:t>
      </w:r>
      <w:r>
        <w:tab/>
        <w:t>4(1)</w:t>
      </w:r>
    </w:p>
    <w:p>
      <w:pPr>
        <w:pStyle w:val="DefinedTerms"/>
      </w:pPr>
      <w:r>
        <w:t>permit</w:t>
      </w:r>
      <w:r>
        <w:tab/>
        <w:t>4A(8)</w:t>
      </w:r>
    </w:p>
    <w:p>
      <w:pPr>
        <w:pStyle w:val="DefinedTerms"/>
      </w:pPr>
      <w:r>
        <w:t>permitted event or contingency</w:t>
      </w:r>
      <w:r>
        <w:tab/>
        <w:t>27A(1)</w:t>
      </w:r>
    </w:p>
    <w:p>
      <w:pPr>
        <w:pStyle w:val="DefinedTerms"/>
      </w:pPr>
      <w:r>
        <w:t>permittee</w:t>
      </w:r>
      <w:r>
        <w:tab/>
        <w:t>4(1)</w:t>
      </w:r>
    </w:p>
    <w:p>
      <w:pPr>
        <w:pStyle w:val="DefinedTerms"/>
      </w:pPr>
      <w:r>
        <w:t>place</w:t>
      </w:r>
      <w:r>
        <w:tab/>
        <w:t>4(1)</w:t>
      </w:r>
    </w:p>
    <w:p>
      <w:pPr>
        <w:pStyle w:val="DefinedTerms"/>
      </w:pPr>
      <w:r>
        <w:t>position of authority</w:t>
      </w:r>
      <w:r>
        <w:tab/>
        <w:t>4(1)</w:t>
      </w:r>
    </w:p>
    <w:p>
      <w:pPr>
        <w:pStyle w:val="DefinedTerms"/>
      </w:pPr>
      <w:r>
        <w:t>possession</w:t>
      </w:r>
      <w:r>
        <w:tab/>
        <w:t>4(1)</w:t>
      </w:r>
    </w:p>
    <w:p>
      <w:pPr>
        <w:pStyle w:val="DefinedTerms"/>
      </w:pPr>
      <w:r>
        <w:t>preparatory action</w:t>
      </w:r>
      <w:r>
        <w:tab/>
        <w:t>10D(1)</w:t>
      </w:r>
    </w:p>
    <w:p>
      <w:pPr>
        <w:pStyle w:val="DefinedTerms"/>
      </w:pPr>
      <w:r>
        <w:t>prescribed</w:t>
      </w:r>
      <w:r>
        <w:tab/>
        <w:t>4(1)</w:t>
      </w:r>
    </w:p>
    <w:p>
      <w:pPr>
        <w:pStyle w:val="DefinedTerms"/>
      </w:pPr>
      <w:r>
        <w:t>prohibited event or contingency</w:t>
      </w:r>
      <w:r>
        <w:tab/>
        <w:t>4(1)</w:t>
      </w:r>
    </w:p>
    <w:p>
      <w:pPr>
        <w:pStyle w:val="DefinedTerms"/>
      </w:pPr>
      <w:r>
        <w:t>public interest</w:t>
      </w:r>
      <w:r>
        <w:tab/>
        <w:t>4(1), 9(2)</w:t>
      </w:r>
    </w:p>
    <w:p>
      <w:pPr>
        <w:pStyle w:val="DefinedTerms"/>
      </w:pPr>
      <w:r>
        <w:t>public place</w:t>
      </w:r>
      <w:r>
        <w:tab/>
        <w:t>4(1)</w:t>
      </w:r>
    </w:p>
    <w:p>
      <w:pPr>
        <w:pStyle w:val="DefinedTerms"/>
      </w:pPr>
      <w:r>
        <w:t>race</w:t>
      </w:r>
      <w:r>
        <w:tab/>
        <w:t>4(1)</w:t>
      </w:r>
    </w:p>
    <w:p>
      <w:pPr>
        <w:pStyle w:val="DefinedTerms"/>
      </w:pPr>
      <w:r>
        <w:t>race meeting</w:t>
      </w:r>
      <w:r>
        <w:tab/>
        <w:t>4(1)</w:t>
      </w:r>
    </w:p>
    <w:p>
      <w:pPr>
        <w:pStyle w:val="DefinedTerms"/>
      </w:pPr>
      <w:r>
        <w:t>racecourse</w:t>
      </w:r>
      <w:r>
        <w:tab/>
        <w:t>4(1)</w:t>
      </w:r>
    </w:p>
    <w:p>
      <w:pPr>
        <w:pStyle w:val="DefinedTerms"/>
      </w:pPr>
      <w:r>
        <w:t>racing bet</w:t>
      </w:r>
      <w:r>
        <w:tab/>
        <w:t>14A(1)</w:t>
      </w:r>
    </w:p>
    <w:p>
      <w:pPr>
        <w:pStyle w:val="DefinedTerms"/>
      </w:pPr>
      <w:r>
        <w:t>racing club</w:t>
      </w:r>
      <w:r>
        <w:tab/>
        <w:t>4(1)</w:t>
      </w:r>
    </w:p>
    <w:p>
      <w:pPr>
        <w:pStyle w:val="DefinedTerms"/>
      </w:pPr>
      <w:r>
        <w:t>racing industry arrangement</w:t>
      </w:r>
      <w:r>
        <w:tab/>
        <w:t>4(1), 10H(1)</w:t>
      </w:r>
    </w:p>
    <w:p>
      <w:pPr>
        <w:pStyle w:val="DefinedTerms"/>
      </w:pPr>
      <w:r>
        <w:t>record</w:t>
      </w:r>
      <w:r>
        <w:tab/>
        <w:t>4(1)</w:t>
      </w:r>
    </w:p>
    <w:p>
      <w:pPr>
        <w:pStyle w:val="DefinedTerms"/>
      </w:pPr>
      <w:r>
        <w:t>registered place</w:t>
      </w:r>
      <w:r>
        <w:tab/>
        <w:t>4(1)</w:t>
      </w:r>
    </w:p>
    <w:p>
      <w:pPr>
        <w:pStyle w:val="DefinedTerms"/>
      </w:pPr>
      <w:r>
        <w:t>relative</w:t>
      </w:r>
      <w:r>
        <w:tab/>
        <w:t>7(1)</w:t>
      </w:r>
    </w:p>
    <w:p>
      <w:pPr>
        <w:pStyle w:val="DefinedTerms"/>
      </w:pPr>
      <w:r>
        <w:t>relevant financial interest</w:t>
      </w:r>
      <w:r>
        <w:tab/>
        <w:t>7(1)</w:t>
      </w:r>
    </w:p>
    <w:p>
      <w:pPr>
        <w:pStyle w:val="DefinedTerms"/>
      </w:pPr>
      <w:r>
        <w:t>relevant power</w:t>
      </w:r>
      <w:r>
        <w:tab/>
        <w:t>7(1)</w:t>
      </w:r>
    </w:p>
    <w:p>
      <w:pPr>
        <w:pStyle w:val="DefinedTerms"/>
      </w:pPr>
      <w:r>
        <w:t>RWWA</w:t>
      </w:r>
      <w:r>
        <w:tab/>
        <w:t>4(1)</w:t>
      </w:r>
    </w:p>
    <w:p>
      <w:pPr>
        <w:pStyle w:val="DefinedTerms"/>
      </w:pPr>
      <w:r>
        <w:t>RWWA Act</w:t>
      </w:r>
      <w:r>
        <w:tab/>
        <w:t>4(1)</w:t>
      </w:r>
    </w:p>
    <w:p>
      <w:pPr>
        <w:pStyle w:val="DefinedTerms"/>
      </w:pPr>
      <w:r>
        <w:t>scheme</w:t>
      </w:r>
      <w:r>
        <w:tab/>
        <w:t>10S(1)</w:t>
      </w:r>
    </w:p>
    <w:p>
      <w:pPr>
        <w:pStyle w:val="DefinedTerms"/>
      </w:pPr>
      <w:r>
        <w:t>simulated race</w:t>
      </w:r>
      <w:r>
        <w:tab/>
        <w:t>4(1)</w:t>
      </w:r>
    </w:p>
    <w:p>
      <w:pPr>
        <w:pStyle w:val="DefinedTerms"/>
      </w:pPr>
      <w:r>
        <w:t>specified person</w:t>
      </w:r>
      <w:r>
        <w:tab/>
        <w:t>10ZC(1)</w:t>
      </w:r>
    </w:p>
    <w:p>
      <w:pPr>
        <w:pStyle w:val="DefinedTerms"/>
      </w:pPr>
      <w:r>
        <w:t>Sports Wagering Account</w:t>
      </w:r>
      <w:r>
        <w:tab/>
        <w:t>10ZB(1)</w:t>
      </w:r>
    </w:p>
    <w:p>
      <w:pPr>
        <w:pStyle w:val="DefinedTerms"/>
      </w:pPr>
      <w:r>
        <w:t>steward</w:t>
      </w:r>
      <w:r>
        <w:tab/>
        <w:t>4(1)</w:t>
      </w:r>
    </w:p>
    <w:p>
      <w:pPr>
        <w:pStyle w:val="DefinedTerms"/>
      </w:pPr>
      <w:r>
        <w:t>temporary licence</w:t>
      </w:r>
      <w:r>
        <w:tab/>
        <w:t>12A(8)</w:t>
      </w:r>
    </w:p>
    <w:p>
      <w:pPr>
        <w:pStyle w:val="DefinedTerms"/>
      </w:pPr>
      <w:r>
        <w:t>temporary licensee</w:t>
      </w:r>
      <w:r>
        <w:tab/>
        <w:t>10O(1)</w:t>
      </w:r>
    </w:p>
    <w:p>
      <w:pPr>
        <w:pStyle w:val="DefinedTerms"/>
      </w:pPr>
      <w:r>
        <w:t>ticket</w:t>
      </w:r>
      <w:r>
        <w:tab/>
        <w:t>4(1)</w:t>
      </w:r>
    </w:p>
    <w:p>
      <w:pPr>
        <w:pStyle w:val="DefinedTerms"/>
      </w:pPr>
      <w:r>
        <w:t>to bet</w:t>
      </w:r>
      <w:r>
        <w:tab/>
        <w:t>4(1)</w:t>
      </w:r>
    </w:p>
    <w:p>
      <w:pPr>
        <w:pStyle w:val="DefinedTerms"/>
      </w:pPr>
      <w:r>
        <w:lastRenderedPageBreak/>
        <w:t>total turnover</w:t>
      </w:r>
      <w:r>
        <w:tab/>
        <w:t>13(1A), 17A(1A)</w:t>
      </w:r>
    </w:p>
    <w:p>
      <w:pPr>
        <w:pStyle w:val="DefinedTerms"/>
      </w:pPr>
      <w:r>
        <w:t>totalisator</w:t>
      </w:r>
      <w:r>
        <w:tab/>
        <w:t>4(1)</w:t>
      </w:r>
    </w:p>
    <w:p>
      <w:pPr>
        <w:pStyle w:val="DefinedTerms"/>
      </w:pPr>
      <w:r>
        <w:t>totalisator agency</w:t>
      </w:r>
      <w:r>
        <w:tab/>
        <w:t>4(1)</w:t>
      </w:r>
    </w:p>
    <w:p>
      <w:pPr>
        <w:pStyle w:val="DefinedTerms"/>
      </w:pPr>
      <w:r>
        <w:t>totalisator ticket</w:t>
      </w:r>
      <w:r>
        <w:tab/>
        <w:t>4(1)</w:t>
      </w:r>
    </w:p>
    <w:p>
      <w:pPr>
        <w:pStyle w:val="DefinedTerms"/>
      </w:pPr>
      <w:r>
        <w:t>turnover</w:t>
      </w:r>
      <w:r>
        <w:tab/>
        <w:t>13(1A), 14A(1), 17A(1A)</w:t>
      </w:r>
    </w:p>
    <w:p>
      <w:pPr>
        <w:pStyle w:val="DefinedTerms"/>
      </w:pPr>
      <w:r>
        <w:t>unclaimed</w:t>
      </w:r>
      <w:r>
        <w:tab/>
        <w:t>10ZB(1)</w:t>
      </w:r>
    </w:p>
    <w:p>
      <w:pPr>
        <w:pStyle w:val="DefinedTerms"/>
      </w:pPr>
      <w:r>
        <w:t>unlawful betting</w:t>
      </w:r>
      <w:r>
        <w:tab/>
        <w:t>28A(3)</w:t>
      </w:r>
    </w:p>
    <w:p>
      <w:pPr>
        <w:pStyle w:val="DefinedTerms"/>
      </w:pPr>
      <w:r>
        <w:t>WA race field</w:t>
      </w:r>
      <w:r>
        <w:tab/>
        <w:t>4(1)</w:t>
      </w:r>
    </w:p>
    <w:p>
      <w:pPr>
        <w:pStyle w:val="DefinedTerms"/>
      </w:pPr>
      <w:r>
        <w:t>wagering business</w:t>
      </w:r>
      <w:r>
        <w:tab/>
        <w:t>4(1)</w:t>
      </w:r>
    </w:p>
    <w:p>
      <w:pPr>
        <w:pStyle w:val="DefinedTerms"/>
      </w:pPr>
      <w:r>
        <w:t>wagering licence</w:t>
      </w:r>
      <w:r>
        <w:tab/>
        <w:t>4(1), 6(1)</w:t>
      </w:r>
    </w:p>
    <w:p>
      <w:pPr>
        <w:pStyle w:val="DefinedTerms"/>
      </w:pPr>
      <w:r>
        <w:t>wagering licence agreement</w:t>
      </w:r>
      <w:r>
        <w:tab/>
        <w:t>4(1), 10Q(1)</w:t>
      </w:r>
    </w:p>
    <w:p>
      <w:pPr>
        <w:pStyle w:val="DefinedTerms"/>
      </w:pPr>
      <w:r>
        <w:t>wagering licensee</w:t>
      </w:r>
      <w:r>
        <w:tab/>
        <w:t>4(1), 6(1)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44" w:name="Schedule"/>
    <w:bookmarkEnd w:id="1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D812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AFCD9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3C6C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2ECA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2694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1842"/>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 w:name="WAFER_20190919111125" w:val="RemoveTocBookmarks,RemoveUnusedBookmarks,RemoveLanguageTags,ResetPageSize,RunningHeaders,UpdateStyles,UsedStyles"/>
    <w:docVar w:name="WAFER_20190919111125_GUID" w:val="918c124d-7f78-459a-8b28-eee54bf6a123"/>
    <w:docVar w:name="WAFER_20190919112246" w:val="RemoveTocBookmarks,RemoveUnusedBookmarks,RemoveLanguageTags,ResetPageSize,RunningHeaders,UpdateStyles,UsedStyles"/>
    <w:docVar w:name="WAFER_20190919112246_GUID" w:val="f4bb2b1d-46a8-4787-aa0c-f835b94a7853"/>
    <w:docVar w:name="WAFER_20200207135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35818_GUID" w:val="27ab1308-5336-4b87-b23e-e484a334eef1"/>
    <w:docVar w:name="WAFER_20220329145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45821_GUID" w:val="1e3dc9bf-75bc-4460-a10d-70b5ec3bbe51"/>
    <w:docVar w:name="WAFER_20220613091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1842_GUID" w:val="25ec72f1-6784-4b4c-91ac-5d1ea562d0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D8A364-F6D2-4103-BE2A-76B8EB845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38284</Words>
  <Characters>179552</Characters>
  <Application>Microsoft Office Word</Application>
  <DocSecurity>0</DocSecurity>
  <Lines>4987</Lines>
  <Paragraphs>2722</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215114</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1954 - 10-f0-01</dc:title>
  <dc:subject/>
  <dc:creator/>
  <cp:keywords/>
  <dc:description/>
  <cp:lastModifiedBy>Master Repository Process</cp:lastModifiedBy>
  <cp:revision>4</cp:revision>
  <cp:lastPrinted>2019-09-20T03:40:00Z</cp:lastPrinted>
  <dcterms:created xsi:type="dcterms:W3CDTF">2022-06-17T02:45:00Z</dcterms:created>
  <dcterms:modified xsi:type="dcterms:W3CDTF">2022-06-17T02:45:00Z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AsAtDate">
    <vt:lpwstr>29 Mar 2022</vt:lpwstr>
  </property>
  <property fmtid="{D5CDD505-2E9C-101B-9397-08002B2CF9AE}" pid="8" name="Suffix">
    <vt:lpwstr>10-f0-01</vt:lpwstr>
  </property>
  <property fmtid="{D5CDD505-2E9C-101B-9397-08002B2CF9AE}" pid="9" name="CommencementDate">
    <vt:lpwstr>20220329</vt:lpwstr>
  </property>
</Properties>
</file>