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Settlement Agents Act 1981</w:t>
      </w:r>
      <w:r>
        <w:fldChar w:fldCharType="end"/>
      </w:r>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_Toc99522644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_Toc99522645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_Toc99522646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Term used: settlement agent</w:t>
      </w:r>
      <w:r>
        <w:tab/>
      </w:r>
      <w:r>
        <w:fldChar w:fldCharType="begin"/>
      </w:r>
      <w:r>
        <w:instrText xml:space="preserve"> PAGEREF _Toc99522647 \h </w:instrText>
      </w:r>
      <w:r>
        <w:fldChar w:fldCharType="separate"/>
      </w:r>
      <w:r>
        <w:t>6</w:t>
      </w:r>
      <w:r>
        <w:fldChar w:fldCharType="end"/>
      </w:r>
    </w:p>
    <w:p>
      <w:pPr>
        <w:pStyle w:val="TOC8"/>
        <w:rPr>
          <w:rFonts w:asciiTheme="minorHAnsi" w:eastAsiaTheme="minorEastAsia" w:hAnsiTheme="minorHAnsi" w:cstheme="minorBidi"/>
          <w:szCs w:val="22"/>
        </w:rPr>
      </w:pPr>
      <w:r>
        <w:t>22.</w:t>
      </w:r>
      <w:r>
        <w:tab/>
        <w:t>Powers of investigation</w:t>
      </w:r>
      <w:r>
        <w:tab/>
      </w:r>
      <w:r>
        <w:fldChar w:fldCharType="begin"/>
      </w:r>
      <w:r>
        <w:instrText xml:space="preserve"> PAGEREF _Toc99522648 \h </w:instrText>
      </w:r>
      <w:r>
        <w:fldChar w:fldCharType="separate"/>
      </w:r>
      <w:r>
        <w:t>7</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Application for review by SAT</w:t>
      </w:r>
      <w:r>
        <w:tab/>
      </w:r>
      <w:r>
        <w:fldChar w:fldCharType="begin"/>
      </w:r>
      <w:r>
        <w:instrText xml:space="preserve"> PAGEREF _Toc99522649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Part III — Licensing</w:t>
      </w:r>
    </w:p>
    <w:p>
      <w:pPr>
        <w:pStyle w:val="TOC8"/>
        <w:rPr>
          <w:rFonts w:asciiTheme="minorHAnsi" w:eastAsiaTheme="minorEastAsia" w:hAnsiTheme="minorHAnsi" w:cstheme="minorBidi"/>
          <w:szCs w:val="22"/>
        </w:rPr>
      </w:pPr>
      <w:r>
        <w:t>24</w:t>
      </w:r>
      <w:r>
        <w:rPr>
          <w:snapToGrid w:val="0"/>
        </w:rPr>
        <w:t>.</w:t>
      </w:r>
      <w:r>
        <w:rPr>
          <w:snapToGrid w:val="0"/>
        </w:rPr>
        <w:tab/>
        <w:t>Applications for licences</w:t>
      </w:r>
      <w:r>
        <w:tab/>
      </w:r>
      <w:r>
        <w:fldChar w:fldCharType="begin"/>
      </w:r>
      <w:r>
        <w:instrText xml:space="preserve"> PAGEREF _Toc99522651 \h </w:instrText>
      </w:r>
      <w:r>
        <w:fldChar w:fldCharType="separate"/>
      </w:r>
      <w:r>
        <w:t>10</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Settlement agents must be licensed</w:t>
      </w:r>
      <w:r>
        <w:tab/>
      </w:r>
      <w:r>
        <w:fldChar w:fldCharType="begin"/>
      </w:r>
      <w:r>
        <w:instrText xml:space="preserve"> PAGEREF _Toc99522652 \h </w:instrText>
      </w:r>
      <w:r>
        <w:fldChar w:fldCharType="separate"/>
      </w:r>
      <w:r>
        <w:t>10</w:t>
      </w:r>
      <w:r>
        <w:fldChar w:fldCharType="end"/>
      </w:r>
    </w:p>
    <w:p>
      <w:pPr>
        <w:pStyle w:val="TOC8"/>
        <w:rPr>
          <w:rFonts w:asciiTheme="minorHAnsi" w:eastAsiaTheme="minorEastAsia" w:hAnsiTheme="minorHAnsi" w:cstheme="minorBidi"/>
          <w:szCs w:val="22"/>
        </w:rPr>
      </w:pPr>
      <w:r>
        <w:t>26A</w:t>
      </w:r>
      <w:r>
        <w:rPr>
          <w:snapToGrid w:val="0"/>
        </w:rPr>
        <w:t xml:space="preserve">. </w:t>
      </w:r>
      <w:r>
        <w:rPr>
          <w:snapToGrid w:val="0"/>
        </w:rPr>
        <w:tab/>
        <w:t>Licensed real estate agent may be exempted for certain settlements</w:t>
      </w:r>
      <w:r>
        <w:tab/>
      </w:r>
      <w:r>
        <w:fldChar w:fldCharType="begin"/>
      </w:r>
      <w:r>
        <w:instrText xml:space="preserve"> PAGEREF _Toc99522653 \h </w:instrText>
      </w:r>
      <w:r>
        <w:fldChar w:fldCharType="separate"/>
      </w:r>
      <w:r>
        <w:t>11</w:t>
      </w:r>
      <w:r>
        <w:fldChar w:fldCharType="end"/>
      </w:r>
    </w:p>
    <w:p>
      <w:pPr>
        <w:pStyle w:val="TOC8"/>
        <w:rPr>
          <w:rFonts w:asciiTheme="minorHAnsi" w:eastAsiaTheme="minorEastAsia" w:hAnsiTheme="minorHAnsi" w:cstheme="minorBidi"/>
          <w:szCs w:val="22"/>
        </w:rPr>
      </w:pPr>
      <w:r>
        <w:t>26B</w:t>
      </w:r>
      <w:r>
        <w:rPr>
          <w:snapToGrid w:val="0"/>
        </w:rPr>
        <w:t xml:space="preserve">. </w:t>
      </w:r>
      <w:r>
        <w:rPr>
          <w:snapToGrid w:val="0"/>
        </w:rPr>
        <w:tab/>
        <w:t>Licensed business agent may be exempted for certain settlements</w:t>
      </w:r>
      <w:r>
        <w:tab/>
      </w:r>
      <w:r>
        <w:fldChar w:fldCharType="begin"/>
      </w:r>
      <w:r>
        <w:instrText xml:space="preserve"> PAGEREF _Toc99522654 \h </w:instrText>
      </w:r>
      <w:r>
        <w:fldChar w:fldCharType="separate"/>
      </w:r>
      <w:r>
        <w:t>13</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Licensing of individuals</w:t>
      </w:r>
      <w:r>
        <w:tab/>
      </w:r>
      <w:r>
        <w:fldChar w:fldCharType="begin"/>
      </w:r>
      <w:r>
        <w:instrText xml:space="preserve"> PAGEREF _Toc99522655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Firms, licensing of</w:t>
      </w:r>
      <w:r>
        <w:tab/>
      </w:r>
      <w:r>
        <w:fldChar w:fldCharType="begin"/>
      </w:r>
      <w:r>
        <w:instrText xml:space="preserve"> PAGEREF _Toc99522656 \h </w:instrText>
      </w:r>
      <w:r>
        <w:fldChar w:fldCharType="separate"/>
      </w:r>
      <w:r>
        <w:t>16</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Bodies corporate, licensing of</w:t>
      </w:r>
      <w:r>
        <w:tab/>
      </w:r>
      <w:r>
        <w:fldChar w:fldCharType="begin"/>
      </w:r>
      <w:r>
        <w:instrText xml:space="preserve"> PAGEREF _Toc99522657 \h </w:instrText>
      </w:r>
      <w:r>
        <w:fldChar w:fldCharType="separate"/>
      </w:r>
      <w:r>
        <w:t>17</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Licence, effect of</w:t>
      </w:r>
      <w:r>
        <w:tab/>
      </w:r>
      <w:r>
        <w:fldChar w:fldCharType="begin"/>
      </w:r>
      <w:r>
        <w:instrText xml:space="preserve"> PAGEREF _Toc99522658 \h </w:instrText>
      </w:r>
      <w:r>
        <w:fldChar w:fldCharType="separate"/>
      </w:r>
      <w:r>
        <w:t>18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Licensee’s triennial certificate: grant and renewal</w:t>
      </w:r>
      <w:r>
        <w:tab/>
      </w:r>
      <w:r>
        <w:fldChar w:fldCharType="begin"/>
      </w:r>
      <w:r>
        <w:instrText xml:space="preserve"> PAGEREF _Toc99522659 \h </w:instrText>
      </w:r>
      <w:r>
        <w:fldChar w:fldCharType="separate"/>
      </w:r>
      <w:r>
        <w:t>19</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Licensee’s triennial certificate: late renewal</w:t>
      </w:r>
      <w:r>
        <w:tab/>
      </w:r>
      <w:r>
        <w:fldChar w:fldCharType="begin"/>
      </w:r>
      <w:r>
        <w:instrText xml:space="preserve"> PAGEREF _Toc99522660 \h </w:instrText>
      </w:r>
      <w:r>
        <w:fldChar w:fldCharType="separate"/>
      </w:r>
      <w:r>
        <w:t>20</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Licensee’s triennial certificate: late renewal after 12 months</w:t>
      </w:r>
      <w:r>
        <w:tab/>
      </w:r>
      <w:r>
        <w:fldChar w:fldCharType="begin"/>
      </w:r>
      <w:r>
        <w:instrText xml:space="preserve"> PAGEREF _Toc99522661 \h </w:instrText>
      </w:r>
      <w:r>
        <w:fldChar w:fldCharType="separate"/>
      </w:r>
      <w:r>
        <w:t>20</w:t>
      </w:r>
      <w:r>
        <w:fldChar w:fldCharType="end"/>
      </w:r>
    </w:p>
    <w:p>
      <w:pPr>
        <w:pStyle w:val="TOC8"/>
        <w:rPr>
          <w:rFonts w:asciiTheme="minorHAnsi" w:eastAsiaTheme="minorEastAsia" w:hAnsiTheme="minorHAnsi" w:cstheme="minorBidi"/>
          <w:szCs w:val="22"/>
        </w:rPr>
      </w:pPr>
      <w:r>
        <w:t>34.</w:t>
      </w:r>
      <w:r>
        <w:tab/>
        <w:t>Conditions on licences and triennial certificates</w:t>
      </w:r>
      <w:r>
        <w:tab/>
      </w:r>
      <w:r>
        <w:fldChar w:fldCharType="begin"/>
      </w:r>
      <w:r>
        <w:instrText xml:space="preserve"> PAGEREF _Toc99522662 \h </w:instrText>
      </w:r>
      <w:r>
        <w:fldChar w:fldCharType="separate"/>
      </w:r>
      <w:r>
        <w:t>21</w:t>
      </w:r>
      <w:r>
        <w:fldChar w:fldCharType="end"/>
      </w:r>
    </w:p>
    <w:p>
      <w:pPr>
        <w:pStyle w:val="TOC8"/>
        <w:rPr>
          <w:rFonts w:asciiTheme="minorHAnsi" w:eastAsiaTheme="minorEastAsia" w:hAnsiTheme="minorHAnsi" w:cstheme="minorBidi"/>
          <w:szCs w:val="22"/>
        </w:rPr>
      </w:pPr>
      <w:r>
        <w:t>34AA.</w:t>
      </w:r>
      <w:r>
        <w:tab/>
        <w:t>Imposing special conditions on licences or triennial certificates</w:t>
      </w:r>
      <w:r>
        <w:tab/>
      </w:r>
      <w:r>
        <w:fldChar w:fldCharType="begin"/>
      </w:r>
      <w:r>
        <w:instrText xml:space="preserve"> PAGEREF _Toc99522663 \h </w:instrText>
      </w:r>
      <w:r>
        <w:fldChar w:fldCharType="separate"/>
      </w:r>
      <w:r>
        <w:t>22</w:t>
      </w:r>
      <w:r>
        <w:fldChar w:fldCharType="end"/>
      </w:r>
    </w:p>
    <w:p>
      <w:pPr>
        <w:pStyle w:val="TOC8"/>
        <w:rPr>
          <w:rFonts w:asciiTheme="minorHAnsi" w:eastAsiaTheme="minorEastAsia" w:hAnsiTheme="minorHAnsi" w:cstheme="minorBidi"/>
          <w:szCs w:val="22"/>
        </w:rPr>
      </w:pPr>
      <w:r>
        <w:t>34AB.</w:t>
      </w:r>
      <w:r>
        <w:tab/>
        <w:t>Removing special conditions on licences or triennial certificates</w:t>
      </w:r>
      <w:r>
        <w:tab/>
      </w:r>
      <w:r>
        <w:fldChar w:fldCharType="begin"/>
      </w:r>
      <w:r>
        <w:instrText xml:space="preserve"> PAGEREF _Toc99522664 \h </w:instrText>
      </w:r>
      <w:r>
        <w:fldChar w:fldCharType="separate"/>
      </w:r>
      <w:r>
        <w:t>23</w:t>
      </w:r>
      <w:r>
        <w:fldChar w:fldCharType="end"/>
      </w:r>
    </w:p>
    <w:p>
      <w:pPr>
        <w:pStyle w:val="TOC8"/>
        <w:rPr>
          <w:rFonts w:asciiTheme="minorHAnsi" w:eastAsiaTheme="minorEastAsia" w:hAnsiTheme="minorHAnsi" w:cstheme="minorBidi"/>
          <w:szCs w:val="22"/>
        </w:rPr>
      </w:pPr>
      <w:r>
        <w:lastRenderedPageBreak/>
        <w:t>34A</w:t>
      </w:r>
      <w:r>
        <w:rPr>
          <w:snapToGrid w:val="0"/>
        </w:rPr>
        <w:t>.</w:t>
      </w:r>
      <w:r>
        <w:tab/>
        <w:t>Commissioner may grant licence or triennial certificate without notice to applicant</w:t>
      </w:r>
      <w:r>
        <w:tab/>
      </w:r>
      <w:r>
        <w:fldChar w:fldCharType="begin"/>
      </w:r>
      <w:r>
        <w:instrText xml:space="preserve"> PAGEREF _Toc99522665 \h </w:instrText>
      </w:r>
      <w:r>
        <w:fldChar w:fldCharType="separate"/>
      </w:r>
      <w:r>
        <w:t>24</w:t>
      </w:r>
      <w:r>
        <w:fldChar w:fldCharType="end"/>
      </w:r>
    </w:p>
    <w:p>
      <w:pPr>
        <w:pStyle w:val="TOC8"/>
        <w:rPr>
          <w:rFonts w:asciiTheme="minorHAnsi" w:eastAsiaTheme="minorEastAsia" w:hAnsiTheme="minorHAnsi" w:cstheme="minorBidi"/>
          <w:szCs w:val="22"/>
        </w:rPr>
      </w:pPr>
      <w:r>
        <w:t>34B.</w:t>
      </w:r>
      <w:r>
        <w:tab/>
        <w:t>SAT may suspend licence in some cases</w:t>
      </w:r>
      <w:r>
        <w:tab/>
      </w:r>
      <w:r>
        <w:fldChar w:fldCharType="begin"/>
      </w:r>
      <w:r>
        <w:instrText xml:space="preserve"> PAGEREF _Toc99522666 \h </w:instrText>
      </w:r>
      <w:r>
        <w:fldChar w:fldCharType="separate"/>
      </w:r>
      <w:r>
        <w:t>24</w:t>
      </w:r>
      <w:r>
        <w:fldChar w:fldCharType="end"/>
      </w:r>
    </w:p>
    <w:p>
      <w:pPr>
        <w:pStyle w:val="TOC8"/>
        <w:rPr>
          <w:rFonts w:asciiTheme="minorHAnsi" w:eastAsiaTheme="minorEastAsia" w:hAnsiTheme="minorHAnsi" w:cstheme="minorBidi"/>
          <w:szCs w:val="22"/>
        </w:rPr>
      </w:pPr>
      <w:r>
        <w:t>34C.</w:t>
      </w:r>
      <w:r>
        <w:tab/>
        <w:t>Licensee may surrender licence and triennial certificate</w:t>
      </w:r>
      <w:r>
        <w:tab/>
      </w:r>
      <w:r>
        <w:fldChar w:fldCharType="begin"/>
      </w:r>
      <w:r>
        <w:instrText xml:space="preserve"> PAGEREF _Toc99522667 \h </w:instrText>
      </w:r>
      <w:r>
        <w:fldChar w:fldCharType="separate"/>
      </w:r>
      <w:r>
        <w:t>25</w:t>
      </w:r>
      <w:r>
        <w:fldChar w:fldCharType="end"/>
      </w:r>
    </w:p>
    <w:p>
      <w:pPr>
        <w:pStyle w:val="TOC8"/>
        <w:rPr>
          <w:rFonts w:asciiTheme="minorHAnsi" w:eastAsiaTheme="minorEastAsia" w:hAnsiTheme="minorHAnsi" w:cstheme="minorBidi"/>
          <w:szCs w:val="22"/>
        </w:rPr>
      </w:pPr>
      <w:r>
        <w:t>34D.</w:t>
      </w:r>
      <w:r>
        <w:tab/>
        <w:t>Firm or body corporate must surrender licence and triennial certificate in certain circumstances</w:t>
      </w:r>
      <w:r>
        <w:tab/>
      </w:r>
      <w:r>
        <w:fldChar w:fldCharType="begin"/>
      </w:r>
      <w:r>
        <w:instrText xml:space="preserve"> PAGEREF _Toc99522668 \h </w:instrText>
      </w:r>
      <w:r>
        <w:fldChar w:fldCharType="separate"/>
      </w:r>
      <w:r>
        <w:t>25</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Fidelity insurance and professional indemnity insurance for licensees</w:t>
      </w:r>
      <w:r>
        <w:tab/>
      </w:r>
      <w:r>
        <w:fldChar w:fldCharType="begin"/>
      </w:r>
      <w:r>
        <w:instrText xml:space="preserve"> PAGEREF _Toc99522669 \h </w:instrText>
      </w:r>
      <w:r>
        <w:fldChar w:fldCharType="separate"/>
      </w:r>
      <w:r>
        <w:t>25</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Licensees to notify Commissioner of certain changes</w:t>
      </w:r>
      <w:r>
        <w:tab/>
      </w:r>
      <w:r>
        <w:fldChar w:fldCharType="begin"/>
      </w:r>
      <w:r>
        <w:instrText xml:space="preserve"> PAGEREF _Toc99522670 \h </w:instrText>
      </w:r>
      <w:r>
        <w:fldChar w:fldCharType="separate"/>
      </w:r>
      <w:r>
        <w:t>28</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Registered office of licensee</w:t>
      </w:r>
      <w:r>
        <w:tab/>
      </w:r>
      <w:r>
        <w:fldChar w:fldCharType="begin"/>
      </w:r>
      <w:r>
        <w:instrText xml:space="preserve"> PAGEREF _Toc99522671 \h </w:instrText>
      </w:r>
      <w:r>
        <w:fldChar w:fldCharType="separate"/>
      </w:r>
      <w:r>
        <w:t>29</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Branch office of licensee</w:t>
      </w:r>
      <w:r>
        <w:tab/>
      </w:r>
      <w:r>
        <w:fldChar w:fldCharType="begin"/>
      </w:r>
      <w:r>
        <w:instrText xml:space="preserve"> PAGEREF _Toc99522672 \h </w:instrText>
      </w:r>
      <w:r>
        <w:fldChar w:fldCharType="separate"/>
      </w:r>
      <w:r>
        <w:t>29</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Triennial certificates, contents of</w:t>
      </w:r>
      <w:r>
        <w:tab/>
      </w:r>
      <w:r>
        <w:fldChar w:fldCharType="begin"/>
      </w:r>
      <w:r>
        <w:instrText xml:space="preserve"> PAGEREF _Toc99522673 \h </w:instrText>
      </w:r>
      <w:r>
        <w:fldChar w:fldCharType="separate"/>
      </w:r>
      <w:r>
        <w:t>30</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Licence and triennial certificate not transferable etc.</w:t>
      </w:r>
      <w:r>
        <w:tab/>
      </w:r>
      <w:r>
        <w:fldChar w:fldCharType="begin"/>
      </w:r>
      <w:r>
        <w:instrText xml:space="preserve"> PAGEREF _Toc99522674 \h </w:instrText>
      </w:r>
      <w:r>
        <w:fldChar w:fldCharType="separate"/>
      </w:r>
      <w:r>
        <w:t>30</w:t>
      </w:r>
      <w:r>
        <w:fldChar w:fldCharType="end"/>
      </w:r>
    </w:p>
    <w:p>
      <w:pPr>
        <w:pStyle w:val="TOC8"/>
        <w:rPr>
          <w:rFonts w:asciiTheme="minorHAnsi" w:eastAsiaTheme="minorEastAsia" w:hAnsiTheme="minorHAnsi" w:cstheme="minorBidi"/>
          <w:szCs w:val="22"/>
        </w:rPr>
      </w:pPr>
      <w:r>
        <w:t>41A.</w:t>
      </w:r>
      <w:r>
        <w:tab/>
        <w:t>Duplicate licence or triennial certificate</w:t>
      </w:r>
      <w:r>
        <w:tab/>
      </w:r>
      <w:r>
        <w:fldChar w:fldCharType="begin"/>
      </w:r>
      <w:r>
        <w:instrText xml:space="preserve"> PAGEREF _Toc99522675 \h </w:instrText>
      </w:r>
      <w:r>
        <w:fldChar w:fldCharType="separate"/>
      </w:r>
      <w:r>
        <w:t>31</w:t>
      </w:r>
      <w:r>
        <w:fldChar w:fldCharType="end"/>
      </w:r>
    </w:p>
    <w:p>
      <w:pPr>
        <w:pStyle w:val="TOC8"/>
        <w:rPr>
          <w:rFonts w:asciiTheme="minorHAnsi" w:eastAsiaTheme="minorEastAsia" w:hAnsiTheme="minorHAnsi" w:cstheme="minorBidi"/>
          <w:szCs w:val="22"/>
        </w:rPr>
      </w:pPr>
      <w:r>
        <w:t>41B.</w:t>
      </w:r>
      <w:r>
        <w:tab/>
        <w:t>Licensee to comply with prescribed educational requirements</w:t>
      </w:r>
      <w:r>
        <w:tab/>
      </w:r>
      <w:r>
        <w:fldChar w:fldCharType="begin"/>
      </w:r>
      <w:r>
        <w:instrText xml:space="preserve"> PAGEREF _Toc99522676 \h </w:instrText>
      </w:r>
      <w:r>
        <w:fldChar w:fldCharType="separate"/>
      </w:r>
      <w:r>
        <w:t>31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Use of business names by licensees</w:t>
      </w:r>
      <w:r>
        <w:tab/>
      </w:r>
      <w:r>
        <w:fldChar w:fldCharType="begin"/>
      </w:r>
      <w:r>
        <w:instrText xml:space="preserve"> PAGEREF _Toc99522677 \h </w:instrText>
      </w:r>
      <w:r>
        <w:fldChar w:fldCharType="separate"/>
      </w:r>
      <w:r>
        <w:t>31</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Notices to be exhibited at offices; particulars to appear on documents</w:t>
      </w:r>
      <w:r>
        <w:tab/>
      </w:r>
      <w:r>
        <w:fldChar w:fldCharType="begin"/>
      </w:r>
      <w:r>
        <w:instrText xml:space="preserve"> PAGEREF _Toc99522678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Part IV — Controls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43</w:t>
      </w:r>
      <w:r>
        <w:rPr>
          <w:snapToGrid w:val="0"/>
        </w:rPr>
        <w:t>.</w:t>
      </w:r>
      <w:r>
        <w:rPr>
          <w:snapToGrid w:val="0"/>
        </w:rPr>
        <w:tab/>
        <w:t>Remuneration of settlement agents</w:t>
      </w:r>
      <w:r>
        <w:tab/>
      </w:r>
      <w:r>
        <w:fldChar w:fldCharType="begin"/>
      </w:r>
      <w:r>
        <w:instrText xml:space="preserve"> PAGEREF _Toc99522681 \h </w:instrText>
      </w:r>
      <w:r>
        <w:fldChar w:fldCharType="separate"/>
      </w:r>
      <w:r>
        <w:t>33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Maximum remuneration, disputes over remuneration etc.</w:t>
      </w:r>
      <w:r>
        <w:tab/>
      </w:r>
      <w:r>
        <w:fldChar w:fldCharType="begin"/>
      </w:r>
      <w:r>
        <w:instrText xml:space="preserve"> PAGEREF _Toc99522682 \h </w:instrText>
      </w:r>
      <w:r>
        <w:fldChar w:fldCharType="separate"/>
      </w:r>
      <w:r>
        <w:t>35</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Records and premises, licensees’ duties as to</w:t>
      </w:r>
      <w:r>
        <w:tab/>
      </w:r>
      <w:r>
        <w:fldChar w:fldCharType="begin"/>
      </w:r>
      <w:r>
        <w:instrText xml:space="preserve"> PAGEREF _Toc99522683 \h </w:instrText>
      </w:r>
      <w:r>
        <w:fldChar w:fldCharType="separate"/>
      </w:r>
      <w:r>
        <w:t>37</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Real estate settlement agents, functions of</w:t>
      </w:r>
      <w:r>
        <w:tab/>
      </w:r>
      <w:r>
        <w:fldChar w:fldCharType="begin"/>
      </w:r>
      <w:r>
        <w:instrText xml:space="preserve"> PAGEREF _Toc99522684 \h </w:instrText>
      </w:r>
      <w:r>
        <w:fldChar w:fldCharType="separate"/>
      </w:r>
      <w:r>
        <w:t>37</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Business settlement agents, functions of</w:t>
      </w:r>
      <w:r>
        <w:tab/>
      </w:r>
      <w:r>
        <w:fldChar w:fldCharType="begin"/>
      </w:r>
      <w:r>
        <w:instrText xml:space="preserve"> PAGEREF _Toc99522685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Trust accounts</w:t>
      </w:r>
    </w:p>
    <w:p>
      <w:pPr>
        <w:pStyle w:val="TOC8"/>
        <w:rPr>
          <w:rFonts w:asciiTheme="minorHAnsi" w:eastAsiaTheme="minorEastAsia" w:hAnsiTheme="minorHAnsi" w:cstheme="minorBidi"/>
          <w:szCs w:val="22"/>
        </w:rPr>
      </w:pPr>
      <w:r>
        <w:t>48</w:t>
      </w:r>
      <w:r>
        <w:rPr>
          <w:snapToGrid w:val="0"/>
        </w:rPr>
        <w:t>.</w:t>
      </w:r>
      <w:r>
        <w:rPr>
          <w:snapToGrid w:val="0"/>
        </w:rPr>
        <w:tab/>
        <w:t>Terms used</w:t>
      </w:r>
      <w:r>
        <w:tab/>
      </w:r>
      <w:r>
        <w:fldChar w:fldCharType="begin"/>
      </w:r>
      <w:r>
        <w:instrText xml:space="preserve"> PAGEREF _Toc99522687 \h </w:instrText>
      </w:r>
      <w:r>
        <w:fldChar w:fldCharType="separate"/>
      </w:r>
      <w:r>
        <w:t>41</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Trust accounts etc. of licensees</w:t>
      </w:r>
      <w:r>
        <w:tab/>
      </w:r>
      <w:r>
        <w:fldChar w:fldCharType="begin"/>
      </w:r>
      <w:r>
        <w:instrText xml:space="preserve"> PAGEREF _Toc99522688 \h </w:instrText>
      </w:r>
      <w:r>
        <w:fldChar w:fldCharType="separate"/>
      </w:r>
      <w:r>
        <w:t>41</w:t>
      </w:r>
      <w:r>
        <w:fldChar w:fldCharType="end"/>
      </w:r>
    </w:p>
    <w:p>
      <w:pPr>
        <w:pStyle w:val="TOC8"/>
        <w:rPr>
          <w:rFonts w:asciiTheme="minorHAnsi" w:eastAsiaTheme="minorEastAsia" w:hAnsiTheme="minorHAnsi" w:cstheme="minorBidi"/>
          <w:szCs w:val="22"/>
        </w:rPr>
      </w:pPr>
      <w:r>
        <w:t>49A</w:t>
      </w:r>
      <w:r>
        <w:rPr>
          <w:snapToGrid w:val="0"/>
        </w:rPr>
        <w:t>.</w:t>
      </w:r>
      <w:r>
        <w:rPr>
          <w:snapToGrid w:val="0"/>
        </w:rPr>
        <w:tab/>
        <w:t>Client may ask settlement agent for separate trust account</w:t>
      </w:r>
      <w:r>
        <w:tab/>
      </w:r>
      <w:r>
        <w:fldChar w:fldCharType="begin"/>
      </w:r>
      <w:r>
        <w:instrText xml:space="preserve"> PAGEREF _Toc99522689 \h </w:instrText>
      </w:r>
      <w:r>
        <w:fldChar w:fldCharType="separate"/>
      </w:r>
      <w:r>
        <w:t>43</w:t>
      </w:r>
      <w:r>
        <w:fldChar w:fldCharType="end"/>
      </w:r>
    </w:p>
    <w:p>
      <w:pPr>
        <w:pStyle w:val="TOC8"/>
        <w:rPr>
          <w:rFonts w:asciiTheme="minorHAnsi" w:eastAsiaTheme="minorEastAsia" w:hAnsiTheme="minorHAnsi" w:cstheme="minorBidi"/>
          <w:szCs w:val="22"/>
        </w:rPr>
      </w:pPr>
      <w:r>
        <w:t>49B</w:t>
      </w:r>
      <w:r>
        <w:rPr>
          <w:snapToGrid w:val="0"/>
        </w:rPr>
        <w:t xml:space="preserve">. </w:t>
      </w:r>
      <w:r>
        <w:rPr>
          <w:snapToGrid w:val="0"/>
        </w:rPr>
        <w:tab/>
        <w:t>Interest on trust accounts</w:t>
      </w:r>
      <w:r>
        <w:tab/>
      </w:r>
      <w:r>
        <w:fldChar w:fldCharType="begin"/>
      </w:r>
      <w:r>
        <w:instrText xml:space="preserve"> PAGEREF _Toc99522690 \h </w:instrText>
      </w:r>
      <w:r>
        <w:fldChar w:fldCharType="separate"/>
      </w:r>
      <w:r>
        <w:t>44</w:t>
      </w:r>
      <w:r>
        <w:fldChar w:fldCharType="end"/>
      </w:r>
    </w:p>
    <w:p>
      <w:pPr>
        <w:pStyle w:val="TOC8"/>
        <w:rPr>
          <w:rFonts w:asciiTheme="minorHAnsi" w:eastAsiaTheme="minorEastAsia" w:hAnsiTheme="minorHAnsi" w:cstheme="minorBidi"/>
          <w:szCs w:val="22"/>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_Toc99522691 \h </w:instrText>
      </w:r>
      <w:r>
        <w:fldChar w:fldCharType="separate"/>
      </w:r>
      <w:r>
        <w:t>45</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Receipts, accounts etc. by settlement agents</w:t>
      </w:r>
      <w:r>
        <w:tab/>
      </w:r>
      <w:r>
        <w:fldChar w:fldCharType="begin"/>
      </w:r>
      <w:r>
        <w:instrText xml:space="preserve"> PAGEREF _Toc99522692 \h </w:instrText>
      </w:r>
      <w:r>
        <w:fldChar w:fldCharType="separate"/>
      </w:r>
      <w:r>
        <w:t>46</w:t>
      </w:r>
      <w:r>
        <w:fldChar w:fldCharType="end"/>
      </w:r>
    </w:p>
    <w:p>
      <w:pPr>
        <w:pStyle w:val="TOC8"/>
        <w:rPr>
          <w:rFonts w:asciiTheme="minorHAnsi" w:eastAsiaTheme="minorEastAsia" w:hAnsiTheme="minorHAnsi" w:cstheme="minorBidi"/>
          <w:szCs w:val="22"/>
        </w:rPr>
      </w:pPr>
      <w:r>
        <w:lastRenderedPageBreak/>
        <w:t>51</w:t>
      </w:r>
      <w:r>
        <w:rPr>
          <w:snapToGrid w:val="0"/>
        </w:rPr>
        <w:t>.</w:t>
      </w:r>
      <w:r>
        <w:rPr>
          <w:snapToGrid w:val="0"/>
        </w:rPr>
        <w:tab/>
        <w:t>Audits of trust accounts</w:t>
      </w:r>
      <w:r>
        <w:tab/>
      </w:r>
      <w:r>
        <w:fldChar w:fldCharType="begin"/>
      </w:r>
      <w:r>
        <w:instrText xml:space="preserve"> PAGEREF _Toc99522693 \h </w:instrText>
      </w:r>
      <w:r>
        <w:fldChar w:fldCharType="separate"/>
      </w:r>
      <w:r>
        <w:t>46</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Date of audit, Commissioner may change</w:t>
      </w:r>
      <w:r>
        <w:tab/>
      </w:r>
      <w:r>
        <w:fldChar w:fldCharType="begin"/>
      </w:r>
      <w:r>
        <w:instrText xml:space="preserve"> PAGEREF _Toc99522694 \h </w:instrText>
      </w:r>
      <w:r>
        <w:fldChar w:fldCharType="separate"/>
      </w:r>
      <w:r>
        <w:t>48</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Auditors, qualification and approval of</w:t>
      </w:r>
      <w:r>
        <w:tab/>
      </w:r>
      <w:r>
        <w:fldChar w:fldCharType="begin"/>
      </w:r>
      <w:r>
        <w:instrText xml:space="preserve"> PAGEREF _Toc99522695 \h </w:instrText>
      </w:r>
      <w:r>
        <w:fldChar w:fldCharType="separate"/>
      </w:r>
      <w:r>
        <w:t>49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Auditors, appointment of</w:t>
      </w:r>
      <w:r>
        <w:tab/>
      </w:r>
      <w:r>
        <w:fldChar w:fldCharType="begin"/>
      </w:r>
      <w:r>
        <w:instrText xml:space="preserve"> PAGEREF _Toc99522696 \h </w:instrText>
      </w:r>
      <w:r>
        <w:fldChar w:fldCharType="separate"/>
      </w:r>
      <w:r>
        <w:t>50</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Audit of business carried on at more than one place, directions as to</w:t>
      </w:r>
      <w:r>
        <w:tab/>
      </w:r>
      <w:r>
        <w:fldChar w:fldCharType="begin"/>
      </w:r>
      <w:r>
        <w:instrText xml:space="preserve"> PAGEREF _Toc99522697 \h </w:instrText>
      </w:r>
      <w:r>
        <w:fldChar w:fldCharType="separate"/>
      </w:r>
      <w:r>
        <w:t>50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Approvals etc. under this Division, Commissioner’s power to cancel etc.</w:t>
      </w:r>
      <w:r>
        <w:tab/>
      </w:r>
      <w:r>
        <w:fldChar w:fldCharType="begin"/>
      </w:r>
      <w:r>
        <w:instrText xml:space="preserve"> PAGEREF _Toc99522698 \h </w:instrText>
      </w:r>
      <w:r>
        <w:fldChar w:fldCharType="separate"/>
      </w:r>
      <w:r>
        <w:t>51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Audits, settlement agents’ duties and auditors’ powers as to</w:t>
      </w:r>
      <w:r>
        <w:tab/>
      </w:r>
      <w:r>
        <w:fldChar w:fldCharType="begin"/>
      </w:r>
      <w:r>
        <w:instrText xml:space="preserve"> PAGEREF _Toc99522699 \h </w:instrText>
      </w:r>
      <w:r>
        <w:fldChar w:fldCharType="separate"/>
      </w:r>
      <w:r>
        <w:t>51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Audits, bankers’ duties as to</w:t>
      </w:r>
      <w:r>
        <w:tab/>
      </w:r>
      <w:r>
        <w:fldChar w:fldCharType="begin"/>
      </w:r>
      <w:r>
        <w:instrText xml:space="preserve"> PAGEREF _Toc99522700 \h </w:instrText>
      </w:r>
      <w:r>
        <w:fldChar w:fldCharType="separate"/>
      </w:r>
      <w:r>
        <w:t>51</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Auditors’ reports, content of</w:t>
      </w:r>
      <w:r>
        <w:tab/>
      </w:r>
      <w:r>
        <w:fldChar w:fldCharType="begin"/>
      </w:r>
      <w:r>
        <w:instrText xml:space="preserve"> PAGEREF _Toc99522701 \h </w:instrText>
      </w:r>
      <w:r>
        <w:fldChar w:fldCharType="separate"/>
      </w:r>
      <w:r>
        <w:t>52</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Moneys etc. held on trust, statement of by settlement agents</w:t>
      </w:r>
      <w:r>
        <w:tab/>
      </w:r>
      <w:r>
        <w:fldChar w:fldCharType="begin"/>
      </w:r>
      <w:r>
        <w:instrText xml:space="preserve"> PAGEREF _Toc99522702 \h </w:instrText>
      </w:r>
      <w:r>
        <w:fldChar w:fldCharType="separate"/>
      </w:r>
      <w:r>
        <w:t>52</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Auditor’s report to report breaches of law etc.</w:t>
      </w:r>
      <w:r>
        <w:tab/>
      </w:r>
      <w:r>
        <w:fldChar w:fldCharType="begin"/>
      </w:r>
      <w:r>
        <w:instrText xml:space="preserve"> PAGEREF _Toc99522703 \h </w:instrText>
      </w:r>
      <w:r>
        <w:fldChar w:fldCharType="separate"/>
      </w:r>
      <w:r>
        <w:t>53</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Auditors’ duty of confidentiality</w:t>
      </w:r>
      <w:r>
        <w:tab/>
      </w:r>
      <w:r>
        <w:fldChar w:fldCharType="begin"/>
      </w:r>
      <w:r>
        <w:instrText xml:space="preserve"> PAGEREF _Toc99522704 \h </w:instrText>
      </w:r>
      <w:r>
        <w:fldChar w:fldCharType="separate"/>
      </w:r>
      <w:r>
        <w:t>54</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Right of some persons to information in auditors’ reports</w:t>
      </w:r>
      <w:r>
        <w:tab/>
      </w:r>
      <w:r>
        <w:fldChar w:fldCharType="begin"/>
      </w:r>
      <w:r>
        <w:instrText xml:space="preserve"> PAGEREF _Toc99522705 \h </w:instrText>
      </w:r>
      <w:r>
        <w:fldChar w:fldCharType="separate"/>
      </w:r>
      <w:r>
        <w:t>54</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Offences under this Division</w:t>
      </w:r>
      <w:r>
        <w:tab/>
      </w:r>
      <w:r>
        <w:fldChar w:fldCharType="begin"/>
      </w:r>
      <w:r>
        <w:instrText xml:space="preserve"> PAGEREF _Toc99522706 \h </w:instrText>
      </w:r>
      <w:r>
        <w:fldChar w:fldCharType="separate"/>
      </w:r>
      <w:r>
        <w:t>55</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Auditors’ remuneration</w:t>
      </w:r>
      <w:r>
        <w:tab/>
      </w:r>
      <w:r>
        <w:fldChar w:fldCharType="begin"/>
      </w:r>
      <w:r>
        <w:instrText xml:space="preserve"> PAGEREF _Toc99522707 \h </w:instrText>
      </w:r>
      <w:r>
        <w:fldChar w:fldCharType="separate"/>
      </w:r>
      <w:r>
        <w:t>55</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Settlement agents with no accounts to audit</w:t>
      </w:r>
      <w:r>
        <w:tab/>
      </w:r>
      <w:r>
        <w:fldChar w:fldCharType="begin"/>
      </w:r>
      <w:r>
        <w:instrText xml:space="preserve"> PAGEREF _Toc99522708 \h </w:instrText>
      </w:r>
      <w:r>
        <w:fldChar w:fldCharType="separate"/>
      </w:r>
      <w:r>
        <w:t>55</w:t>
      </w:r>
      <w:r>
        <w:fldChar w:fldCharType="end"/>
      </w:r>
    </w:p>
    <w:p>
      <w:pPr>
        <w:pStyle w:val="TOC8"/>
        <w:rPr>
          <w:rFonts w:asciiTheme="minorHAnsi" w:eastAsiaTheme="minorEastAsia" w:hAnsiTheme="minorHAnsi" w:cstheme="minorBidi"/>
          <w:szCs w:val="22"/>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_Toc99522709 \h </w:instrText>
      </w:r>
      <w:r>
        <w:fldChar w:fldCharType="separate"/>
      </w:r>
      <w:r>
        <w:t>56</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Audit of trust account, Commissioner may do</w:t>
      </w:r>
      <w:r>
        <w:tab/>
      </w:r>
      <w:r>
        <w:fldChar w:fldCharType="begin"/>
      </w:r>
      <w:r>
        <w:instrText xml:space="preserve"> PAGEREF _Toc99522710 \h </w:instrText>
      </w:r>
      <w:r>
        <w:fldChar w:fldCharType="separate"/>
      </w:r>
      <w:r>
        <w:t>56</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Settlement agent to allow Commissioner’s auditor etc. to inspect accounts etc.</w:t>
      </w:r>
      <w:r>
        <w:tab/>
      </w:r>
      <w:r>
        <w:fldChar w:fldCharType="begin"/>
      </w:r>
      <w:r>
        <w:instrText xml:space="preserve"> PAGEREF _Toc99522711 \h </w:instrText>
      </w:r>
      <w:r>
        <w:fldChar w:fldCharType="separate"/>
      </w:r>
      <w:r>
        <w:t>57</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Cost of audit done under s. 69</w:t>
      </w:r>
      <w:r>
        <w:tab/>
      </w:r>
      <w:r>
        <w:fldChar w:fldCharType="begin"/>
      </w:r>
      <w:r>
        <w:instrText xml:space="preserve"> PAGEREF _Toc99522712 \h </w:instrText>
      </w:r>
      <w:r>
        <w:fldChar w:fldCharType="separate"/>
      </w:r>
      <w:r>
        <w:t>57</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Application of s. 63 to certain persons</w:t>
      </w:r>
      <w:r>
        <w:tab/>
      </w:r>
      <w:r>
        <w:fldChar w:fldCharType="begin"/>
      </w:r>
      <w:r>
        <w:instrText xml:space="preserve"> PAGEREF _Toc99522713 \h </w:instrText>
      </w:r>
      <w:r>
        <w:fldChar w:fldCharType="separate"/>
      </w:r>
      <w:r>
        <w:t>57</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Restraining bank etc. from dealing with settlement agent’s account, SAT’s powers as to</w:t>
      </w:r>
      <w:r>
        <w:tab/>
      </w:r>
      <w:r>
        <w:fldChar w:fldCharType="begin"/>
      </w:r>
      <w:r>
        <w:instrText xml:space="preserve"> PAGEREF _Toc99522714 \h </w:instrText>
      </w:r>
      <w:r>
        <w:fldChar w:fldCharType="separate"/>
      </w:r>
      <w:r>
        <w:t>58</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Suspension of settlement agents, appointment of supervisors etc., SAT’s powers as to</w:t>
      </w:r>
      <w:r>
        <w:tab/>
      </w:r>
      <w:r>
        <w:fldChar w:fldCharType="begin"/>
      </w:r>
      <w:r>
        <w:instrText xml:space="preserve"> PAGEREF _Toc99522715 \h </w:instrText>
      </w:r>
      <w:r>
        <w:fldChar w:fldCharType="separate"/>
      </w:r>
      <w:r>
        <w:t>59</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Effect of s. 74 orders appointing supervisor</w:t>
      </w:r>
      <w:r>
        <w:tab/>
      </w:r>
      <w:r>
        <w:fldChar w:fldCharType="begin"/>
      </w:r>
      <w:r>
        <w:instrText xml:space="preserve"> PAGEREF _Toc99522716 \h </w:instrText>
      </w:r>
      <w:r>
        <w:fldChar w:fldCharType="separate"/>
      </w:r>
      <w:r>
        <w:t>61</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Supervisors’ duties</w:t>
      </w:r>
      <w:r>
        <w:tab/>
      </w:r>
      <w:r>
        <w:fldChar w:fldCharType="begin"/>
      </w:r>
      <w:r>
        <w:instrText xml:space="preserve"> PAGEREF _Toc99522717 \h </w:instrText>
      </w:r>
      <w:r>
        <w:fldChar w:fldCharType="separate"/>
      </w:r>
      <w:r>
        <w:t>62</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Hindering etc. supervisors, offence</w:t>
      </w:r>
      <w:r>
        <w:tab/>
      </w:r>
      <w:r>
        <w:fldChar w:fldCharType="begin"/>
      </w:r>
      <w:r>
        <w:instrText xml:space="preserve"> PAGEREF _Toc99522718 \h </w:instrText>
      </w:r>
      <w:r>
        <w:fldChar w:fldCharType="separate"/>
      </w:r>
      <w:r>
        <w:t>63</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Discharge or variation of s. 73 or 74 order</w:t>
      </w:r>
      <w:r>
        <w:tab/>
      </w:r>
      <w:r>
        <w:fldChar w:fldCharType="begin"/>
      </w:r>
      <w:r>
        <w:instrText xml:space="preserve"> PAGEREF _Toc99522719 \h </w:instrText>
      </w:r>
      <w:r>
        <w:fldChar w:fldCharType="separate"/>
      </w:r>
      <w:r>
        <w:t>64</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SAT’s additional powers as to s. 73, 74 or 78 orders</w:t>
      </w:r>
      <w:r>
        <w:tab/>
      </w:r>
      <w:r>
        <w:fldChar w:fldCharType="begin"/>
      </w:r>
      <w:r>
        <w:instrText xml:space="preserve"> PAGEREF _Toc99522720 \h </w:instrText>
      </w:r>
      <w:r>
        <w:fldChar w:fldCharType="separate"/>
      </w:r>
      <w:r>
        <w:t>64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Service of s. 73, 74, 78 and 79 orders; penalty for breach of</w:t>
      </w:r>
      <w:r>
        <w:tab/>
      </w:r>
      <w:r>
        <w:fldChar w:fldCharType="begin"/>
      </w:r>
      <w:r>
        <w:instrText xml:space="preserve"> PAGEREF _Toc99522721 \h </w:instrText>
      </w:r>
      <w:r>
        <w:fldChar w:fldCharType="separate"/>
      </w:r>
      <w:r>
        <w:t>65</w:t>
      </w:r>
      <w:r>
        <w:fldChar w:fldCharType="end"/>
      </w:r>
    </w:p>
    <w:p>
      <w:pPr>
        <w:pStyle w:val="TOC8"/>
        <w:rPr>
          <w:rFonts w:asciiTheme="minorHAnsi" w:eastAsiaTheme="minorEastAsia" w:hAnsiTheme="minorHAnsi" w:cstheme="minorBidi"/>
          <w:szCs w:val="22"/>
        </w:rPr>
      </w:pPr>
      <w:r>
        <w:lastRenderedPageBreak/>
        <w:t>81.</w:t>
      </w:r>
      <w:r>
        <w:tab/>
        <w:t>Banks etc., duty to disclose certain accounts etc. if required to by authorised person</w:t>
      </w:r>
      <w:r>
        <w:tab/>
      </w:r>
      <w:r>
        <w:fldChar w:fldCharType="begin"/>
      </w:r>
      <w:r>
        <w:instrText xml:space="preserve"> PAGEREF _Toc99522722 \h </w:instrText>
      </w:r>
      <w:r>
        <w:fldChar w:fldCharType="separate"/>
      </w:r>
      <w:r>
        <w:t>67</w:t>
      </w:r>
      <w:r>
        <w:fldChar w:fldCharType="end"/>
      </w:r>
    </w:p>
    <w:p>
      <w:pPr>
        <w:pStyle w:val="TOC8"/>
        <w:rPr>
          <w:rFonts w:asciiTheme="minorHAnsi" w:eastAsiaTheme="minorEastAsia" w:hAnsiTheme="minorHAnsi" w:cstheme="minorBidi"/>
          <w:szCs w:val="22"/>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_Toc99522723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Discipline</w:t>
      </w:r>
    </w:p>
    <w:p>
      <w:pPr>
        <w:pStyle w:val="TOC8"/>
        <w:rPr>
          <w:rFonts w:asciiTheme="minorHAnsi" w:eastAsiaTheme="minorEastAsia" w:hAnsiTheme="minorHAnsi" w:cstheme="minorBidi"/>
          <w:szCs w:val="22"/>
        </w:rPr>
      </w:pPr>
      <w:r>
        <w:t>82</w:t>
      </w:r>
      <w:r>
        <w:rPr>
          <w:snapToGrid w:val="0"/>
        </w:rPr>
        <w:t>.</w:t>
      </w:r>
      <w:r>
        <w:rPr>
          <w:snapToGrid w:val="0"/>
        </w:rPr>
        <w:tab/>
        <w:t>Code of conduct for settlement agents</w:t>
      </w:r>
      <w:r>
        <w:tab/>
      </w:r>
      <w:r>
        <w:fldChar w:fldCharType="begin"/>
      </w:r>
      <w:r>
        <w:instrText xml:space="preserve"> PAGEREF _Toc99522725 \h </w:instrText>
      </w:r>
      <w:r>
        <w:fldChar w:fldCharType="separate"/>
      </w:r>
      <w:r>
        <w:t>69</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Disciplinary action by SAT, alleging cause for</w:t>
      </w:r>
      <w:r>
        <w:tab/>
      </w:r>
      <w:r>
        <w:fldChar w:fldCharType="begin"/>
      </w:r>
      <w:r>
        <w:instrText xml:space="preserve"> PAGEREF _Toc99522726 \h </w:instrText>
      </w:r>
      <w:r>
        <w:fldChar w:fldCharType="separate"/>
      </w:r>
      <w:r>
        <w:t>69</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Disciplinary action, SAT’s powers as to</w:t>
      </w:r>
      <w:r>
        <w:tab/>
      </w:r>
      <w:r>
        <w:fldChar w:fldCharType="begin"/>
      </w:r>
      <w:r>
        <w:instrText xml:space="preserve"> PAGEREF _Toc99522727 \h </w:instrText>
      </w:r>
      <w:r>
        <w:fldChar w:fldCharType="separate"/>
      </w:r>
      <w:r>
        <w:t>70</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Offences that cause licence and triennial certificate to be cancelled</w:t>
      </w:r>
      <w:r>
        <w:tab/>
      </w:r>
      <w:r>
        <w:fldChar w:fldCharType="begin"/>
      </w:r>
      <w:r>
        <w:instrText xml:space="preserve"> PAGEREF _Toc99522728 \h </w:instrText>
      </w:r>
      <w:r>
        <w:fldChar w:fldCharType="separate"/>
      </w:r>
      <w:r>
        <w:t>72</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Persons with cancelled licences etc., offences by and in respect of</w:t>
      </w:r>
      <w:r>
        <w:tab/>
      </w:r>
      <w:r>
        <w:fldChar w:fldCharType="begin"/>
      </w:r>
      <w:r>
        <w:instrText xml:space="preserve"> PAGEREF _Toc99522729 \h </w:instrText>
      </w:r>
      <w:r>
        <w:fldChar w:fldCharType="separate"/>
      </w:r>
      <w:r>
        <w:t>72</w:t>
      </w:r>
      <w:r>
        <w:fldChar w:fldCharType="end"/>
      </w:r>
    </w:p>
    <w:p>
      <w:pPr>
        <w:pStyle w:val="TOC2"/>
        <w:tabs>
          <w:tab w:val="right" w:leader="dot" w:pos="7077"/>
        </w:tabs>
        <w:rPr>
          <w:rFonts w:asciiTheme="minorHAnsi" w:eastAsiaTheme="minorEastAsia" w:hAnsiTheme="minorHAnsi" w:cstheme="minorBidi"/>
          <w:b w:val="0"/>
          <w:sz w:val="22"/>
          <w:szCs w:val="22"/>
        </w:rPr>
      </w:pPr>
      <w:r>
        <w:t>Part V — Fidelity Guarantee Account</w:t>
      </w:r>
    </w:p>
    <w:p>
      <w:pPr>
        <w:pStyle w:val="TOC8"/>
        <w:rPr>
          <w:rFonts w:asciiTheme="minorHAnsi" w:eastAsiaTheme="minorEastAsia" w:hAnsiTheme="minorHAnsi" w:cstheme="minorBidi"/>
          <w:szCs w:val="22"/>
        </w:rPr>
      </w:pPr>
      <w:r>
        <w:t>87.</w:t>
      </w:r>
      <w:r>
        <w:tab/>
        <w:t>Account established; administration of Account</w:t>
      </w:r>
      <w:r>
        <w:tab/>
      </w:r>
      <w:r>
        <w:fldChar w:fldCharType="begin"/>
      </w:r>
      <w:r>
        <w:instrText xml:space="preserve"> PAGEREF _Toc99522731 \h </w:instrText>
      </w:r>
      <w:r>
        <w:fldChar w:fldCharType="separate"/>
      </w:r>
      <w:r>
        <w:t>74</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 xml:space="preserve">Moneys to be credited to </w:t>
      </w:r>
      <w:r>
        <w:t>Account</w:t>
      </w:r>
      <w:r>
        <w:tab/>
      </w:r>
      <w:r>
        <w:fldChar w:fldCharType="begin"/>
      </w:r>
      <w:r>
        <w:instrText xml:space="preserve"> PAGEREF _Toc99522732 \h </w:instrText>
      </w:r>
      <w:r>
        <w:fldChar w:fldCharType="separate"/>
      </w:r>
      <w:r>
        <w:t>74</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 xml:space="preserve">Investment of moneys in </w:t>
      </w:r>
      <w:r>
        <w:t>Account</w:t>
      </w:r>
      <w:r>
        <w:tab/>
      </w:r>
      <w:r>
        <w:fldChar w:fldCharType="begin"/>
      </w:r>
      <w:r>
        <w:instrText xml:space="preserve"> PAGEREF _Toc99522733 \h </w:instrText>
      </w:r>
      <w:r>
        <w:fldChar w:fldCharType="separate"/>
      </w:r>
      <w:r>
        <w:t>75</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 xml:space="preserve">Expenditure from </w:t>
      </w:r>
      <w:r>
        <w:t>Account</w:t>
      </w:r>
      <w:r>
        <w:tab/>
      </w:r>
      <w:r>
        <w:fldChar w:fldCharType="begin"/>
      </w:r>
      <w:r>
        <w:instrText xml:space="preserve"> PAGEREF _Toc99522734 \h </w:instrText>
      </w:r>
      <w:r>
        <w:fldChar w:fldCharType="separate"/>
      </w:r>
      <w:r>
        <w:t>75</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 xml:space="preserve">Payments to </w:t>
      </w:r>
      <w:r>
        <w:t>Account by applicants for licences etc.</w:t>
      </w:r>
      <w:r>
        <w:tab/>
      </w:r>
      <w:r>
        <w:fldChar w:fldCharType="begin"/>
      </w:r>
      <w:r>
        <w:instrText xml:space="preserve"> PAGEREF _Toc99522735 \h </w:instrText>
      </w:r>
      <w:r>
        <w:fldChar w:fldCharType="separate"/>
      </w:r>
      <w:r>
        <w:t>76</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 xml:space="preserve">Purpose of </w:t>
      </w:r>
      <w:r>
        <w:t>Account; making claims against Account</w:t>
      </w:r>
      <w:r>
        <w:tab/>
      </w:r>
      <w:r>
        <w:fldChar w:fldCharType="begin"/>
      </w:r>
      <w:r>
        <w:instrText xml:space="preserve"> PAGEREF _Toc99522736 \h </w:instrText>
      </w:r>
      <w:r>
        <w:fldChar w:fldCharType="separate"/>
      </w:r>
      <w:r>
        <w:t>76</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Levies for Account against certificate holders</w:t>
      </w:r>
      <w:r>
        <w:tab/>
      </w:r>
      <w:r>
        <w:fldChar w:fldCharType="begin"/>
      </w:r>
      <w:r>
        <w:instrText xml:space="preserve"> PAGEREF _Toc99522737 \h </w:instrText>
      </w:r>
      <w:r>
        <w:fldChar w:fldCharType="separate"/>
      </w:r>
      <w:r>
        <w:t>77</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 xml:space="preserve">Claims against </w:t>
      </w:r>
      <w:r>
        <w:t>Account; recovery from Account</w:t>
      </w:r>
      <w:r>
        <w:tab/>
      </w:r>
      <w:r>
        <w:fldChar w:fldCharType="begin"/>
      </w:r>
      <w:r>
        <w:instrText xml:space="preserve"> PAGEREF _Toc99522738 \h </w:instrText>
      </w:r>
      <w:r>
        <w:fldChar w:fldCharType="separate"/>
      </w:r>
      <w:r>
        <w:t>78</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 xml:space="preserve">Defences to claims against </w:t>
      </w:r>
      <w:r>
        <w:t>Account</w:t>
      </w:r>
      <w:r>
        <w:tab/>
      </w:r>
      <w:r>
        <w:fldChar w:fldCharType="begin"/>
      </w:r>
      <w:r>
        <w:instrText xml:space="preserve"> PAGEREF _Toc99522739 \h </w:instrText>
      </w:r>
      <w:r>
        <w:fldChar w:fldCharType="separate"/>
      </w:r>
      <w:r>
        <w:t>79</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Subrogation of rights of claimant against Account</w:t>
      </w:r>
      <w:r>
        <w:tab/>
      </w:r>
      <w:r>
        <w:fldChar w:fldCharType="begin"/>
      </w:r>
      <w:r>
        <w:instrText xml:space="preserve"> PAGEREF _Toc99522740 \h </w:instrText>
      </w:r>
      <w:r>
        <w:fldChar w:fldCharType="separate"/>
      </w:r>
      <w:r>
        <w:t>79</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 xml:space="preserve">Insufficiency in </w:t>
      </w:r>
      <w:r>
        <w:t>Account</w:t>
      </w:r>
      <w:r>
        <w:tab/>
      </w:r>
      <w:r>
        <w:fldChar w:fldCharType="begin"/>
      </w:r>
      <w:r>
        <w:instrText xml:space="preserve"> PAGEREF _Toc99522741 \h </w:instrText>
      </w:r>
      <w:r>
        <w:fldChar w:fldCharType="separate"/>
      </w:r>
      <w:r>
        <w:t>80</w:t>
      </w:r>
      <w:r>
        <w:fldChar w:fldCharType="end"/>
      </w:r>
    </w:p>
    <w:p>
      <w:pPr>
        <w:pStyle w:val="TOC8"/>
        <w:rPr>
          <w:rFonts w:asciiTheme="minorHAnsi" w:eastAsiaTheme="minorEastAsia" w:hAnsiTheme="minorHAnsi" w:cstheme="minorBidi"/>
          <w:szCs w:val="22"/>
        </w:rPr>
      </w:pPr>
      <w:r>
        <w:t>99</w:t>
      </w:r>
      <w:r>
        <w:rPr>
          <w:snapToGrid w:val="0"/>
        </w:rPr>
        <w:t>.</w:t>
      </w:r>
      <w:r>
        <w:rPr>
          <w:snapToGrid w:val="0"/>
        </w:rPr>
        <w:tab/>
        <w:t>State may insure against claims</w:t>
      </w:r>
      <w:r>
        <w:tab/>
      </w:r>
      <w:r>
        <w:fldChar w:fldCharType="begin"/>
      </w:r>
      <w:r>
        <w:instrText xml:space="preserve"> PAGEREF _Toc99522742 \h </w:instrText>
      </w:r>
      <w:r>
        <w:fldChar w:fldCharType="separate"/>
      </w:r>
      <w:r>
        <w:t>81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Application of insurance money</w:t>
      </w:r>
      <w:r>
        <w:tab/>
      </w:r>
      <w:r>
        <w:fldChar w:fldCharType="begin"/>
      </w:r>
      <w:r>
        <w:instrText xml:space="preserve"> PAGEREF _Toc99522743 \h </w:instrText>
      </w:r>
      <w:r>
        <w:fldChar w:fldCharType="separate"/>
      </w:r>
      <w:r>
        <w:t>81</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Advertising for claims in relation to defaulting licensee</w:t>
      </w:r>
      <w:r>
        <w:tab/>
      </w:r>
      <w:r>
        <w:fldChar w:fldCharType="begin"/>
      </w:r>
      <w:r>
        <w:instrText xml:space="preserve"> PAGEREF _Toc99522744 \h </w:instrText>
      </w:r>
      <w:r>
        <w:fldChar w:fldCharType="separate"/>
      </w:r>
      <w:r>
        <w:t>82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Documents etc. to support claims, CEO may require</w:t>
      </w:r>
      <w:r>
        <w:tab/>
      </w:r>
      <w:r>
        <w:fldChar w:fldCharType="begin"/>
      </w:r>
      <w:r>
        <w:instrText xml:space="preserve"> PAGEREF _Toc99522745 \h </w:instrText>
      </w:r>
      <w:r>
        <w:fldChar w:fldCharType="separate"/>
      </w:r>
      <w:r>
        <w:t>82</w:t>
      </w:r>
      <w:r>
        <w:fldChar w:fldCharType="end"/>
      </w:r>
    </w:p>
    <w:p>
      <w:pPr>
        <w:pStyle w:val="TOC8"/>
        <w:rPr>
          <w:rFonts w:asciiTheme="minorHAnsi" w:eastAsiaTheme="minorEastAsia" w:hAnsiTheme="minorHAnsi" w:cstheme="minorBidi"/>
          <w:szCs w:val="22"/>
        </w:rPr>
      </w:pPr>
      <w:r>
        <w:t>102AA.</w:t>
      </w:r>
      <w:r>
        <w:tab/>
        <w:t>Commissioner may investigate claims against Fidelity Account</w:t>
      </w:r>
      <w:r>
        <w:tab/>
      </w:r>
      <w:r>
        <w:fldChar w:fldCharType="begin"/>
      </w:r>
      <w:r>
        <w:instrText xml:space="preserve"> PAGEREF _Toc99522746 \h </w:instrText>
      </w:r>
      <w:r>
        <w:fldChar w:fldCharType="separate"/>
      </w:r>
      <w:r>
        <w:t>83</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VA — Education and General Purpose Account</w:t>
      </w:r>
    </w:p>
    <w:p>
      <w:pPr>
        <w:pStyle w:val="TOC8"/>
        <w:rPr>
          <w:rFonts w:asciiTheme="minorHAnsi" w:eastAsiaTheme="minorEastAsia" w:hAnsiTheme="minorHAnsi" w:cstheme="minorBidi"/>
          <w:szCs w:val="22"/>
        </w:rPr>
      </w:pPr>
      <w:r>
        <w:t>102A</w:t>
      </w:r>
      <w:r>
        <w:rPr>
          <w:snapToGrid w:val="0"/>
        </w:rPr>
        <w:t xml:space="preserve">. </w:t>
      </w:r>
      <w:r>
        <w:rPr>
          <w:snapToGrid w:val="0"/>
        </w:rPr>
        <w:tab/>
        <w:t>Account established; administration of account</w:t>
      </w:r>
      <w:r>
        <w:tab/>
      </w:r>
      <w:r>
        <w:fldChar w:fldCharType="begin"/>
      </w:r>
      <w:r>
        <w:instrText xml:space="preserve"> PAGEREF _Toc99522748 \h </w:instrText>
      </w:r>
      <w:r>
        <w:fldChar w:fldCharType="separate"/>
      </w:r>
      <w:r>
        <w:t>84</w:t>
      </w:r>
      <w:r>
        <w:fldChar w:fldCharType="end"/>
      </w:r>
    </w:p>
    <w:p>
      <w:pPr>
        <w:pStyle w:val="TOC8"/>
        <w:rPr>
          <w:rFonts w:asciiTheme="minorHAnsi" w:eastAsiaTheme="minorEastAsia" w:hAnsiTheme="minorHAnsi" w:cstheme="minorBidi"/>
          <w:szCs w:val="22"/>
        </w:rPr>
      </w:pPr>
      <w:r>
        <w:t>102B</w:t>
      </w:r>
      <w:r>
        <w:rPr>
          <w:snapToGrid w:val="0"/>
        </w:rPr>
        <w:t xml:space="preserve">. </w:t>
      </w:r>
      <w:r>
        <w:rPr>
          <w:snapToGrid w:val="0"/>
        </w:rPr>
        <w:tab/>
        <w:t>Moneys to be credited to a</w:t>
      </w:r>
      <w:r>
        <w:t>ccount</w:t>
      </w:r>
      <w:r>
        <w:tab/>
      </w:r>
      <w:r>
        <w:fldChar w:fldCharType="begin"/>
      </w:r>
      <w:r>
        <w:instrText xml:space="preserve"> PAGEREF _Toc99522749 \h </w:instrText>
      </w:r>
      <w:r>
        <w:fldChar w:fldCharType="separate"/>
      </w:r>
      <w:r>
        <w:t>84</w:t>
      </w:r>
      <w:r>
        <w:fldChar w:fldCharType="end"/>
      </w:r>
    </w:p>
    <w:p>
      <w:pPr>
        <w:pStyle w:val="TOC8"/>
        <w:rPr>
          <w:rFonts w:asciiTheme="minorHAnsi" w:eastAsiaTheme="minorEastAsia" w:hAnsiTheme="minorHAnsi" w:cstheme="minorBidi"/>
          <w:szCs w:val="22"/>
        </w:rPr>
      </w:pPr>
      <w:r>
        <w:t>102C</w:t>
      </w:r>
      <w:r>
        <w:rPr>
          <w:snapToGrid w:val="0"/>
        </w:rPr>
        <w:t xml:space="preserve">. </w:t>
      </w:r>
      <w:r>
        <w:rPr>
          <w:snapToGrid w:val="0"/>
        </w:rPr>
        <w:tab/>
        <w:t>Expenditure from a</w:t>
      </w:r>
      <w:r>
        <w:t>ccount</w:t>
      </w:r>
      <w:r>
        <w:tab/>
      </w:r>
      <w:r>
        <w:fldChar w:fldCharType="begin"/>
      </w:r>
      <w:r>
        <w:instrText xml:space="preserve"> PAGEREF _Toc99522750 \h </w:instrText>
      </w:r>
      <w:r>
        <w:fldChar w:fldCharType="separate"/>
      </w:r>
      <w:r>
        <w:t>85</w:t>
      </w:r>
      <w:r>
        <w:fldChar w:fldCharType="end"/>
      </w:r>
    </w:p>
    <w:p>
      <w:pPr>
        <w:pStyle w:val="TOC8"/>
        <w:rPr>
          <w:rFonts w:asciiTheme="minorHAnsi" w:eastAsiaTheme="minorEastAsia" w:hAnsiTheme="minorHAnsi" w:cstheme="minorBidi"/>
          <w:szCs w:val="22"/>
        </w:rPr>
      </w:pPr>
      <w:r>
        <w:t>102D</w:t>
      </w:r>
      <w:r>
        <w:rPr>
          <w:snapToGrid w:val="0"/>
        </w:rPr>
        <w:t xml:space="preserve">. </w:t>
      </w:r>
      <w:r>
        <w:rPr>
          <w:snapToGrid w:val="0"/>
        </w:rPr>
        <w:tab/>
        <w:t>Investment of moneys in a</w:t>
      </w:r>
      <w:r>
        <w:t>ccount</w:t>
      </w:r>
      <w:r>
        <w:tab/>
      </w:r>
      <w:r>
        <w:fldChar w:fldCharType="begin"/>
      </w:r>
      <w:r>
        <w:instrText xml:space="preserve"> PAGEREF _Toc99522751 \h </w:instrText>
      </w:r>
      <w:r>
        <w:fldChar w:fldCharType="separate"/>
      </w:r>
      <w:r>
        <w:t>85</w:t>
      </w:r>
      <w:r>
        <w:fldChar w:fldCharType="end"/>
      </w:r>
    </w:p>
    <w:p>
      <w:pPr>
        <w:pStyle w:val="TOC2"/>
        <w:tabs>
          <w:tab w:val="right" w:leader="dot" w:pos="7077"/>
        </w:tabs>
        <w:rPr>
          <w:rFonts w:asciiTheme="minorHAnsi" w:eastAsiaTheme="minorEastAsia" w:hAnsiTheme="minorHAnsi" w:cstheme="minorBidi"/>
          <w:b w:val="0"/>
          <w:sz w:val="22"/>
          <w:szCs w:val="22"/>
        </w:rPr>
      </w:pPr>
      <w:r>
        <w:t>Part VI — Settlement Agents Interest Account</w:t>
      </w:r>
    </w:p>
    <w:p>
      <w:pPr>
        <w:pStyle w:val="TOC8"/>
        <w:rPr>
          <w:rFonts w:asciiTheme="minorHAnsi" w:eastAsiaTheme="minorEastAsia" w:hAnsiTheme="minorHAnsi" w:cstheme="minorBidi"/>
          <w:szCs w:val="22"/>
        </w:rPr>
      </w:pPr>
      <w:r>
        <w:t>103</w:t>
      </w:r>
      <w:r>
        <w:rPr>
          <w:snapToGrid w:val="0"/>
        </w:rPr>
        <w:t>.</w:t>
      </w:r>
      <w:r>
        <w:rPr>
          <w:snapToGrid w:val="0"/>
        </w:rPr>
        <w:tab/>
        <w:t>Account established; administration of account</w:t>
      </w:r>
      <w:r>
        <w:tab/>
      </w:r>
      <w:r>
        <w:fldChar w:fldCharType="begin"/>
      </w:r>
      <w:r>
        <w:instrText xml:space="preserve"> PAGEREF _Toc99522753 \h </w:instrText>
      </w:r>
      <w:r>
        <w:fldChar w:fldCharType="separate"/>
      </w:r>
      <w:r>
        <w:t>87</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Moneys to be credited to a</w:t>
      </w:r>
      <w:r>
        <w:t>ccount</w:t>
      </w:r>
      <w:r>
        <w:tab/>
      </w:r>
      <w:r>
        <w:fldChar w:fldCharType="begin"/>
      </w:r>
      <w:r>
        <w:instrText xml:space="preserve"> PAGEREF _Toc99522754 \h </w:instrText>
      </w:r>
      <w:r>
        <w:fldChar w:fldCharType="separate"/>
      </w:r>
      <w:r>
        <w:t>87</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Expenditure from a</w:t>
      </w:r>
      <w:r>
        <w:t>ccount</w:t>
      </w:r>
      <w:r>
        <w:tab/>
      </w:r>
      <w:r>
        <w:fldChar w:fldCharType="begin"/>
      </w:r>
      <w:r>
        <w:instrText xml:space="preserve"> PAGEREF _Toc99522755 \h </w:instrText>
      </w:r>
      <w:r>
        <w:fldChar w:fldCharType="separate"/>
      </w:r>
      <w:r>
        <w:t>88</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Investment of moneys in a</w:t>
      </w:r>
      <w:r>
        <w:t>ccount</w:t>
      </w:r>
      <w:r>
        <w:tab/>
      </w:r>
      <w:r>
        <w:fldChar w:fldCharType="begin"/>
      </w:r>
      <w:r>
        <w:instrText xml:space="preserve"> PAGEREF _Toc99522756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Part VII — Miscellaneous</w:t>
      </w:r>
    </w:p>
    <w:p>
      <w:pPr>
        <w:pStyle w:val="TOC8"/>
        <w:rPr>
          <w:rFonts w:asciiTheme="minorHAnsi" w:eastAsiaTheme="minorEastAsia" w:hAnsiTheme="minorHAnsi" w:cstheme="minorBidi"/>
          <w:szCs w:val="22"/>
        </w:rPr>
      </w:pPr>
      <w:r>
        <w:t>110</w:t>
      </w:r>
      <w:r>
        <w:rPr>
          <w:snapToGrid w:val="0"/>
        </w:rPr>
        <w:t>.</w:t>
      </w:r>
      <w:r>
        <w:rPr>
          <w:snapToGrid w:val="0"/>
        </w:rPr>
        <w:tab/>
        <w:t>Registers of licensees etc., Commissioner to keep etc.</w:t>
      </w:r>
      <w:r>
        <w:tab/>
      </w:r>
      <w:r>
        <w:fldChar w:fldCharType="begin"/>
      </w:r>
      <w:r>
        <w:instrText xml:space="preserve"> PAGEREF _Toc99522758 \h </w:instrText>
      </w:r>
      <w:r>
        <w:fldChar w:fldCharType="separate"/>
      </w:r>
      <w:r>
        <w:t>89</w:t>
      </w:r>
      <w:r>
        <w:fldChar w:fldCharType="end"/>
      </w:r>
    </w:p>
    <w:p>
      <w:pPr>
        <w:pStyle w:val="TOC8"/>
        <w:rPr>
          <w:rFonts w:asciiTheme="minorHAnsi" w:eastAsiaTheme="minorEastAsia" w:hAnsiTheme="minorHAnsi" w:cstheme="minorBidi"/>
          <w:szCs w:val="22"/>
        </w:rPr>
      </w:pPr>
      <w:r>
        <w:t>111A.</w:t>
      </w:r>
      <w:r>
        <w:tab/>
        <w:t>Offence to give false or misleading information</w:t>
      </w:r>
      <w:r>
        <w:tab/>
      </w:r>
      <w:r>
        <w:fldChar w:fldCharType="begin"/>
      </w:r>
      <w:r>
        <w:instrText xml:space="preserve"> PAGEREF _Toc99522759 \h </w:instrText>
      </w:r>
      <w:r>
        <w:fldChar w:fldCharType="separate"/>
      </w:r>
      <w:r>
        <w:t>89</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Commissioner’s certificate</w:t>
      </w:r>
      <w:r>
        <w:tab/>
      </w:r>
      <w:r>
        <w:fldChar w:fldCharType="begin"/>
      </w:r>
      <w:r>
        <w:instrText xml:space="preserve"> PAGEREF _Toc99522760 \h </w:instrText>
      </w:r>
      <w:r>
        <w:fldChar w:fldCharType="separate"/>
      </w:r>
      <w:r>
        <w:t>90</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Annual report by department</w:t>
      </w:r>
      <w:r>
        <w:tab/>
      </w:r>
      <w:r>
        <w:fldChar w:fldCharType="begin"/>
      </w:r>
      <w:r>
        <w:instrText xml:space="preserve"> PAGEREF _Toc99522761 \h </w:instrText>
      </w:r>
      <w:r>
        <w:fldChar w:fldCharType="separate"/>
      </w:r>
      <w:r>
        <w:t>90</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Reports by Commissioner to Minister</w:t>
      </w:r>
      <w:r>
        <w:tab/>
      </w:r>
      <w:r>
        <w:fldChar w:fldCharType="begin"/>
      </w:r>
      <w:r>
        <w:instrText xml:space="preserve"> PAGEREF _Toc99522762 \h </w:instrText>
      </w:r>
      <w:r>
        <w:fldChar w:fldCharType="separate"/>
      </w:r>
      <w:r>
        <w:t>91</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Refunds of fees, Commissioner’s powers as to</w:t>
      </w:r>
      <w:r>
        <w:tab/>
      </w:r>
      <w:r>
        <w:fldChar w:fldCharType="begin"/>
      </w:r>
      <w:r>
        <w:instrText xml:space="preserve"> PAGEREF _Toc99522763 \h </w:instrText>
      </w:r>
      <w:r>
        <w:fldChar w:fldCharType="separate"/>
      </w:r>
      <w:r>
        <w:t>91</w:t>
      </w:r>
      <w:r>
        <w:fldChar w:fldCharType="end"/>
      </w:r>
    </w:p>
    <w:p>
      <w:pPr>
        <w:pStyle w:val="TOC8"/>
        <w:rPr>
          <w:rFonts w:asciiTheme="minorHAnsi" w:eastAsiaTheme="minorEastAsia" w:hAnsiTheme="minorHAnsi" w:cstheme="minorBidi"/>
          <w:szCs w:val="22"/>
        </w:rPr>
      </w:pPr>
      <w:r>
        <w:t>115.</w:t>
      </w:r>
      <w:r>
        <w:tab/>
        <w:t>Protection from personal liability</w:t>
      </w:r>
      <w:r>
        <w:tab/>
      </w:r>
      <w:r>
        <w:fldChar w:fldCharType="begin"/>
      </w:r>
      <w:r>
        <w:instrText xml:space="preserve"> PAGEREF _Toc99522764 \h </w:instrText>
      </w:r>
      <w:r>
        <w:fldChar w:fldCharType="separate"/>
      </w:r>
      <w:r>
        <w:t>92</w:t>
      </w:r>
      <w:r>
        <w:fldChar w:fldCharType="end"/>
      </w:r>
    </w:p>
    <w:p>
      <w:pPr>
        <w:pStyle w:val="TOC8"/>
        <w:rPr>
          <w:rFonts w:asciiTheme="minorHAnsi" w:eastAsiaTheme="minorEastAsia" w:hAnsiTheme="minorHAnsi" w:cstheme="minorBidi"/>
          <w:szCs w:val="22"/>
        </w:rPr>
      </w:pPr>
      <w:r>
        <w:t>116.</w:t>
      </w:r>
      <w:r>
        <w:tab/>
        <w:t>Confidentiality of information officially obtained</w:t>
      </w:r>
      <w:r>
        <w:tab/>
      </w:r>
      <w:r>
        <w:fldChar w:fldCharType="begin"/>
      </w:r>
      <w:r>
        <w:instrText xml:space="preserve"> PAGEREF _Toc99522765 \h </w:instrText>
      </w:r>
      <w:r>
        <w:fldChar w:fldCharType="separate"/>
      </w:r>
      <w:r>
        <w:t>92</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Liability of directors of body corporate for defalcations</w:t>
      </w:r>
      <w:r>
        <w:tab/>
      </w:r>
      <w:r>
        <w:fldChar w:fldCharType="begin"/>
      </w:r>
      <w:r>
        <w:instrText xml:space="preserve"> PAGEREF _Toc99522766 \h </w:instrText>
      </w:r>
      <w:r>
        <w:fldChar w:fldCharType="separate"/>
      </w:r>
      <w:r>
        <w:t>92</w:t>
      </w:r>
      <w:r>
        <w:fldChar w:fldCharType="end"/>
      </w:r>
    </w:p>
    <w:p>
      <w:pPr>
        <w:pStyle w:val="TOC8"/>
        <w:rPr>
          <w:rFonts w:asciiTheme="minorHAnsi" w:eastAsiaTheme="minorEastAsia" w:hAnsiTheme="minorHAnsi" w:cstheme="minorBidi"/>
          <w:szCs w:val="22"/>
        </w:rPr>
      </w:pPr>
      <w:r>
        <w:t>118</w:t>
      </w:r>
      <w:r>
        <w:rPr>
          <w:snapToGrid w:val="0"/>
        </w:rPr>
        <w:t>.</w:t>
      </w:r>
      <w:r>
        <w:rPr>
          <w:snapToGrid w:val="0"/>
        </w:rPr>
        <w:tab/>
        <w:t>Other rights and remedies not affected by this Act</w:t>
      </w:r>
      <w:r>
        <w:tab/>
      </w:r>
      <w:r>
        <w:fldChar w:fldCharType="begin"/>
      </w:r>
      <w:r>
        <w:instrText xml:space="preserve"> PAGEREF _Toc99522767 \h </w:instrText>
      </w:r>
      <w:r>
        <w:fldChar w:fldCharType="separate"/>
      </w:r>
      <w:r>
        <w:t>92</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Rights conferred by Act cannot be waived</w:t>
      </w:r>
      <w:r>
        <w:tab/>
      </w:r>
      <w:r>
        <w:fldChar w:fldCharType="begin"/>
      </w:r>
      <w:r>
        <w:instrText xml:space="preserve"> PAGEREF _Toc99522768 \h </w:instrText>
      </w:r>
      <w:r>
        <w:fldChar w:fldCharType="separate"/>
      </w:r>
      <w:r>
        <w:t>92</w:t>
      </w:r>
      <w:r>
        <w:fldChar w:fldCharType="end"/>
      </w:r>
    </w:p>
    <w:p>
      <w:pPr>
        <w:pStyle w:val="TOC8"/>
        <w:rPr>
          <w:rFonts w:asciiTheme="minorHAnsi" w:eastAsiaTheme="minorEastAsia" w:hAnsiTheme="minorHAnsi" w:cstheme="minorBidi"/>
          <w:szCs w:val="22"/>
        </w:rPr>
      </w:pPr>
      <w:r>
        <w:t>120</w:t>
      </w:r>
      <w:r>
        <w:rPr>
          <w:snapToGrid w:val="0"/>
        </w:rPr>
        <w:t>.</w:t>
      </w:r>
      <w:r>
        <w:rPr>
          <w:snapToGrid w:val="0"/>
        </w:rPr>
        <w:tab/>
        <w:t>General penalty for offences</w:t>
      </w:r>
      <w:r>
        <w:tab/>
      </w:r>
      <w:r>
        <w:fldChar w:fldCharType="begin"/>
      </w:r>
      <w:r>
        <w:instrText xml:space="preserve"> PAGEREF _Toc99522769 \h </w:instrText>
      </w:r>
      <w:r>
        <w:fldChar w:fldCharType="separate"/>
      </w:r>
      <w:r>
        <w:t>92</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Proceedings for offences</w:t>
      </w:r>
      <w:r>
        <w:tab/>
      </w:r>
      <w:r>
        <w:fldChar w:fldCharType="begin"/>
      </w:r>
      <w:r>
        <w:instrText xml:space="preserve"> PAGEREF _Toc99522770 \h </w:instrText>
      </w:r>
      <w:r>
        <w:fldChar w:fldCharType="separate"/>
      </w:r>
      <w:r>
        <w:t>93</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Forms</w:t>
      </w:r>
      <w:r>
        <w:tab/>
      </w:r>
      <w:r>
        <w:fldChar w:fldCharType="begin"/>
      </w:r>
      <w:r>
        <w:instrText xml:space="preserve"> PAGEREF _Toc99522771 \h </w:instrText>
      </w:r>
      <w:r>
        <w:fldChar w:fldCharType="separate"/>
      </w:r>
      <w:r>
        <w:t>93</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Regulations</w:t>
      </w:r>
      <w:r>
        <w:tab/>
      </w:r>
      <w:r>
        <w:fldChar w:fldCharType="begin"/>
      </w:r>
      <w:r>
        <w:instrText xml:space="preserve"> PAGEREF _Toc99522772 \h </w:instrText>
      </w:r>
      <w:r>
        <w:fldChar w:fldCharType="separate"/>
      </w:r>
      <w:r>
        <w:t>93</w:t>
      </w:r>
      <w:r>
        <w:fldChar w:fldCharType="end"/>
      </w:r>
    </w:p>
    <w:p>
      <w:pPr>
        <w:pStyle w:val="TOC2"/>
        <w:tabs>
          <w:tab w:val="right" w:leader="dot" w:pos="7077"/>
        </w:tabs>
        <w:rPr>
          <w:rFonts w:asciiTheme="minorHAnsi" w:eastAsiaTheme="minorEastAsia" w:hAnsiTheme="minorHAnsi" w:cstheme="minorBidi"/>
          <w:b w:val="0"/>
          <w:sz w:val="22"/>
          <w:szCs w:val="22"/>
        </w:rPr>
      </w:pPr>
      <w:r>
        <w:t>Part VIII — Savings and transitional</w:t>
      </w:r>
    </w:p>
    <w:p>
      <w:pPr>
        <w:pStyle w:val="TOC8"/>
        <w:rPr>
          <w:rFonts w:asciiTheme="minorHAnsi" w:eastAsiaTheme="minorEastAsia" w:hAnsiTheme="minorHAnsi" w:cstheme="minorBidi"/>
          <w:szCs w:val="22"/>
        </w:rPr>
      </w:pPr>
      <w:r>
        <w:t>124.</w:t>
      </w:r>
      <w:r>
        <w:tab/>
        <w:t>Terms used</w:t>
      </w:r>
      <w:r>
        <w:tab/>
      </w:r>
      <w:r>
        <w:fldChar w:fldCharType="begin"/>
      </w:r>
      <w:r>
        <w:instrText xml:space="preserve"> PAGEREF _Toc99522774 \h </w:instrText>
      </w:r>
      <w:r>
        <w:fldChar w:fldCharType="separate"/>
      </w:r>
      <w:r>
        <w:t>96</w:t>
      </w:r>
      <w:r>
        <w:fldChar w:fldCharType="end"/>
      </w:r>
    </w:p>
    <w:p>
      <w:pPr>
        <w:pStyle w:val="TOC8"/>
        <w:rPr>
          <w:rFonts w:asciiTheme="minorHAnsi" w:eastAsiaTheme="minorEastAsia" w:hAnsiTheme="minorHAnsi" w:cstheme="minorBidi"/>
          <w:szCs w:val="22"/>
        </w:rPr>
      </w:pPr>
      <w:r>
        <w:t>125.</w:t>
      </w:r>
      <w:r>
        <w:tab/>
        <w:t>Former Board abolished</w:t>
      </w:r>
      <w:r>
        <w:tab/>
      </w:r>
      <w:r>
        <w:fldChar w:fldCharType="begin"/>
      </w:r>
      <w:r>
        <w:instrText xml:space="preserve"> PAGEREF _Toc99522775 \h </w:instrText>
      </w:r>
      <w:r>
        <w:fldChar w:fldCharType="separate"/>
      </w:r>
      <w:r>
        <w:t>96</w:t>
      </w:r>
      <w:r>
        <w:fldChar w:fldCharType="end"/>
      </w:r>
    </w:p>
    <w:p>
      <w:pPr>
        <w:pStyle w:val="TOC8"/>
        <w:rPr>
          <w:rFonts w:asciiTheme="minorHAnsi" w:eastAsiaTheme="minorEastAsia" w:hAnsiTheme="minorHAnsi" w:cstheme="minorBidi"/>
          <w:szCs w:val="22"/>
        </w:rPr>
      </w:pPr>
      <w:r>
        <w:t>126.</w:t>
      </w:r>
      <w:r>
        <w:tab/>
        <w:t>References to former Board</w:t>
      </w:r>
      <w:r>
        <w:tab/>
      </w:r>
      <w:r>
        <w:fldChar w:fldCharType="begin"/>
      </w:r>
      <w:r>
        <w:instrText xml:space="preserve"> PAGEREF _Toc99522776 \h </w:instrText>
      </w:r>
      <w:r>
        <w:fldChar w:fldCharType="separate"/>
      </w:r>
      <w:r>
        <w:t>96</w:t>
      </w:r>
      <w:r>
        <w:fldChar w:fldCharType="end"/>
      </w:r>
    </w:p>
    <w:p>
      <w:pPr>
        <w:pStyle w:val="TOC8"/>
        <w:rPr>
          <w:rFonts w:asciiTheme="minorHAnsi" w:eastAsiaTheme="minorEastAsia" w:hAnsiTheme="minorHAnsi" w:cstheme="minorBidi"/>
          <w:szCs w:val="22"/>
        </w:rPr>
      </w:pPr>
      <w:r>
        <w:t>127.</w:t>
      </w:r>
      <w:r>
        <w:tab/>
        <w:t>Immunity continues</w:t>
      </w:r>
      <w:r>
        <w:tab/>
      </w:r>
      <w:r>
        <w:fldChar w:fldCharType="begin"/>
      </w:r>
      <w:r>
        <w:instrText xml:space="preserve"> PAGEREF _Toc99522777 \h </w:instrText>
      </w:r>
      <w:r>
        <w:fldChar w:fldCharType="separate"/>
      </w:r>
      <w:r>
        <w:t>97</w:t>
      </w:r>
      <w:r>
        <w:fldChar w:fldCharType="end"/>
      </w:r>
    </w:p>
    <w:p>
      <w:pPr>
        <w:pStyle w:val="TOC8"/>
        <w:rPr>
          <w:rFonts w:asciiTheme="minorHAnsi" w:eastAsiaTheme="minorEastAsia" w:hAnsiTheme="minorHAnsi" w:cstheme="minorBidi"/>
          <w:szCs w:val="22"/>
        </w:rPr>
      </w:pPr>
      <w:r>
        <w:t>128.</w:t>
      </w:r>
      <w:r>
        <w:tab/>
        <w:t>Notices and rules made by former Board</w:t>
      </w:r>
      <w:r>
        <w:tab/>
      </w:r>
      <w:r>
        <w:fldChar w:fldCharType="begin"/>
      </w:r>
      <w:r>
        <w:instrText xml:space="preserve"> PAGEREF _Toc99522778 \h </w:instrText>
      </w:r>
      <w:r>
        <w:fldChar w:fldCharType="separate"/>
      </w:r>
      <w:r>
        <w:t>97</w:t>
      </w:r>
      <w:r>
        <w:fldChar w:fldCharType="end"/>
      </w:r>
    </w:p>
    <w:p>
      <w:pPr>
        <w:pStyle w:val="TOC8"/>
        <w:rPr>
          <w:rFonts w:asciiTheme="minorHAnsi" w:eastAsiaTheme="minorEastAsia" w:hAnsiTheme="minorHAnsi" w:cstheme="minorBidi"/>
          <w:szCs w:val="22"/>
        </w:rPr>
      </w:pPr>
      <w:r>
        <w:lastRenderedPageBreak/>
        <w:t>129.</w:t>
      </w:r>
      <w:r>
        <w:tab/>
        <w:t>References to former Registrar</w:t>
      </w:r>
      <w:r>
        <w:tab/>
      </w:r>
      <w:r>
        <w:fldChar w:fldCharType="begin"/>
      </w:r>
      <w:r>
        <w:instrText xml:space="preserve"> PAGEREF _Toc99522779 \h </w:instrText>
      </w:r>
      <w:r>
        <w:fldChar w:fldCharType="separate"/>
      </w:r>
      <w:r>
        <w:t>97</w:t>
      </w:r>
      <w:r>
        <w:fldChar w:fldCharType="end"/>
      </w:r>
    </w:p>
    <w:p>
      <w:pPr>
        <w:pStyle w:val="TOC8"/>
        <w:rPr>
          <w:rFonts w:asciiTheme="minorHAnsi" w:eastAsiaTheme="minorEastAsia" w:hAnsiTheme="minorHAnsi" w:cstheme="minorBidi"/>
          <w:szCs w:val="22"/>
        </w:rPr>
      </w:pPr>
      <w:r>
        <w:t>130.</w:t>
      </w:r>
      <w:r>
        <w:tab/>
        <w:t>Unfinished investigations by former Board</w:t>
      </w:r>
      <w:r>
        <w:tab/>
      </w:r>
      <w:r>
        <w:fldChar w:fldCharType="begin"/>
      </w:r>
      <w:r>
        <w:instrText xml:space="preserve"> PAGEREF _Toc99522780 \h </w:instrText>
      </w:r>
      <w:r>
        <w:fldChar w:fldCharType="separate"/>
      </w:r>
      <w:r>
        <w:t>98</w:t>
      </w:r>
      <w:r>
        <w:fldChar w:fldCharType="end"/>
      </w:r>
    </w:p>
    <w:p>
      <w:pPr>
        <w:pStyle w:val="TOC8"/>
        <w:rPr>
          <w:rFonts w:asciiTheme="minorHAnsi" w:eastAsiaTheme="minorEastAsia" w:hAnsiTheme="minorHAnsi" w:cstheme="minorBidi"/>
          <w:szCs w:val="22"/>
        </w:rPr>
      </w:pPr>
      <w:r>
        <w:t>131.</w:t>
      </w:r>
      <w:r>
        <w:tab/>
        <w:t>Unfinished proceedings by former Board</w:t>
      </w:r>
      <w:r>
        <w:tab/>
      </w:r>
      <w:r>
        <w:fldChar w:fldCharType="begin"/>
      </w:r>
      <w:r>
        <w:instrText xml:space="preserve"> PAGEREF _Toc99522781 \h </w:instrText>
      </w:r>
      <w:r>
        <w:fldChar w:fldCharType="separate"/>
      </w:r>
      <w:r>
        <w:t>98</w:t>
      </w:r>
      <w:r>
        <w:fldChar w:fldCharType="end"/>
      </w:r>
    </w:p>
    <w:p>
      <w:pPr>
        <w:pStyle w:val="TOC8"/>
        <w:rPr>
          <w:rFonts w:asciiTheme="minorHAnsi" w:eastAsiaTheme="minorEastAsia" w:hAnsiTheme="minorHAnsi" w:cstheme="minorBidi"/>
          <w:szCs w:val="22"/>
        </w:rPr>
      </w:pPr>
      <w:r>
        <w:t>132.</w:t>
      </w:r>
      <w:r>
        <w:tab/>
        <w:t>Winding</w:t>
      </w:r>
      <w:r>
        <w:noBreakHyphen/>
        <w:t>up former Board</w:t>
      </w:r>
      <w:r>
        <w:tab/>
      </w:r>
      <w:r>
        <w:fldChar w:fldCharType="begin"/>
      </w:r>
      <w:r>
        <w:instrText xml:space="preserve"> PAGEREF _Toc99522782 \h </w:instrText>
      </w:r>
      <w:r>
        <w:fldChar w:fldCharType="separate"/>
      </w:r>
      <w:r>
        <w:t>98</w:t>
      </w:r>
      <w:r>
        <w:fldChar w:fldCharType="end"/>
      </w:r>
    </w:p>
    <w:p>
      <w:pPr>
        <w:pStyle w:val="TOC8"/>
        <w:rPr>
          <w:rFonts w:asciiTheme="minorHAnsi" w:eastAsiaTheme="minorEastAsia" w:hAnsiTheme="minorHAnsi" w:cstheme="minorBidi"/>
          <w:szCs w:val="22"/>
        </w:rPr>
      </w:pPr>
      <w:r>
        <w:t>133.</w:t>
      </w:r>
      <w:r>
        <w:tab/>
        <w:t>Final report by former Board</w:t>
      </w:r>
      <w:r>
        <w:tab/>
      </w:r>
      <w:r>
        <w:fldChar w:fldCharType="begin"/>
      </w:r>
      <w:r>
        <w:instrText xml:space="preserve"> PAGEREF _Toc99522783 \h </w:instrText>
      </w:r>
      <w:r>
        <w:fldChar w:fldCharType="separate"/>
      </w:r>
      <w:r>
        <w:t>100</w:t>
      </w:r>
      <w:r>
        <w:fldChar w:fldCharType="end"/>
      </w:r>
    </w:p>
    <w:p>
      <w:pPr>
        <w:pStyle w:val="TOC8"/>
        <w:rPr>
          <w:rFonts w:asciiTheme="minorHAnsi" w:eastAsiaTheme="minorEastAsia" w:hAnsiTheme="minorHAnsi" w:cstheme="minorBidi"/>
          <w:szCs w:val="22"/>
        </w:rPr>
      </w:pPr>
      <w:r>
        <w:t>134.</w:t>
      </w:r>
      <w:r>
        <w:tab/>
        <w:t>Staff of former Board</w:t>
      </w:r>
      <w:r>
        <w:tab/>
      </w:r>
      <w:r>
        <w:fldChar w:fldCharType="begin"/>
      </w:r>
      <w:r>
        <w:instrText xml:space="preserve"> PAGEREF _Toc99522784 \h </w:instrText>
      </w:r>
      <w:r>
        <w:fldChar w:fldCharType="separate"/>
      </w:r>
      <w:r>
        <w:t>100</w:t>
      </w:r>
      <w:r>
        <w:fldChar w:fldCharType="end"/>
      </w:r>
    </w:p>
    <w:p>
      <w:pPr>
        <w:pStyle w:val="TOC8"/>
        <w:rPr>
          <w:rFonts w:asciiTheme="minorHAnsi" w:eastAsiaTheme="minorEastAsia" w:hAnsiTheme="minorHAnsi" w:cstheme="minorBidi"/>
          <w:szCs w:val="22"/>
        </w:rPr>
      </w:pPr>
      <w:r>
        <w:t>135.</w:t>
      </w:r>
      <w:r>
        <w:tab/>
        <w:t>Transitional regulations</w:t>
      </w:r>
      <w:r>
        <w:tab/>
      </w:r>
      <w:r>
        <w:fldChar w:fldCharType="begin"/>
      </w:r>
      <w:r>
        <w:instrText xml:space="preserve"> PAGEREF _Toc99522785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rPr>
          <w:rFonts w:eastAsia="MS Mincho"/>
        </w:rPr>
        <w:t>Schedule 1 — Grant of licence</w:t>
      </w:r>
    </w:p>
    <w:p>
      <w:pPr>
        <w:pStyle w:val="TOC4"/>
        <w:tabs>
          <w:tab w:val="right" w:leader="dot" w:pos="7077"/>
        </w:tabs>
        <w:rPr>
          <w:rFonts w:asciiTheme="minorHAnsi" w:eastAsiaTheme="minorEastAsia" w:hAnsiTheme="minorHAnsi" w:cstheme="minorBidi"/>
          <w:b w:val="0"/>
          <w:szCs w:val="22"/>
        </w:rPr>
      </w:pPr>
      <w:r>
        <w:rPr>
          <w:rFonts w:eastAsia="MS Mincho"/>
        </w:rPr>
        <w:t>Division 1</w:t>
      </w:r>
      <w:r>
        <w:rPr>
          <w:rFonts w:eastAsia="MS Mincho"/>
          <w:b w:val="0"/>
        </w:rPr>
        <w:t> — </w:t>
      </w:r>
      <w:r>
        <w:rPr>
          <w:rFonts w:eastAsia="MS Mincho"/>
        </w:rPr>
        <w:t>Qualifications</w:t>
      </w:r>
    </w:p>
    <w:p>
      <w:pPr>
        <w:pStyle w:val="TOC8"/>
        <w:rPr>
          <w:rFonts w:asciiTheme="minorHAnsi" w:eastAsiaTheme="minorEastAsia" w:hAnsiTheme="minorHAnsi" w:cstheme="minorBidi"/>
          <w:szCs w:val="22"/>
        </w:rPr>
      </w:pPr>
      <w:r>
        <w:t>1</w:t>
      </w:r>
      <w:r>
        <w:rPr>
          <w:snapToGrid w:val="0"/>
        </w:rPr>
        <w:t>.</w:t>
      </w:r>
      <w:r>
        <w:rPr>
          <w:snapToGrid w:val="0"/>
        </w:rPr>
        <w:tab/>
        <w:t>Real estate settlement agent</w:t>
      </w:r>
      <w:r>
        <w:tab/>
      </w:r>
      <w:r>
        <w:fldChar w:fldCharType="begin"/>
      </w:r>
      <w:r>
        <w:instrText xml:space="preserve"> PAGEREF _Toc99522788 \h </w:instrText>
      </w:r>
      <w:r>
        <w:fldChar w:fldCharType="separate"/>
      </w:r>
      <w:r>
        <w:t>102</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_Toc99522789 \h </w:instrText>
      </w:r>
      <w:r>
        <w:fldChar w:fldCharType="separate"/>
      </w:r>
      <w:r>
        <w:t>103</w:t>
      </w:r>
      <w:r>
        <w:fldChar w:fldCharType="end"/>
      </w:r>
    </w:p>
    <w:p>
      <w:pPr>
        <w:pStyle w:val="TOC8"/>
        <w:rPr>
          <w:rFonts w:asciiTheme="minorHAnsi" w:eastAsiaTheme="minorEastAsia" w:hAnsiTheme="minorHAnsi" w:cstheme="minorBidi"/>
          <w:szCs w:val="22"/>
        </w:rPr>
      </w:pPr>
      <w:r>
        <w:t xml:space="preserve">3. </w:t>
      </w:r>
      <w:r>
        <w:tab/>
        <w:t>Licence by reason of qualification under cl. 1(1)(c) and 2(1)(c)</w:t>
      </w:r>
      <w:r>
        <w:tab/>
      </w:r>
      <w:r>
        <w:fldChar w:fldCharType="begin"/>
      </w:r>
      <w:r>
        <w:instrText xml:space="preserve"> PAGEREF _Toc99522790 \h </w:instrText>
      </w:r>
      <w:r>
        <w:fldChar w:fldCharType="separate"/>
      </w:r>
      <w:r>
        <w:t>104</w:t>
      </w:r>
      <w:r>
        <w:fldChar w:fldCharType="end"/>
      </w:r>
    </w:p>
    <w:p>
      <w:pPr>
        <w:pStyle w:val="TOC8"/>
        <w:rPr>
          <w:rFonts w:asciiTheme="minorHAnsi" w:eastAsiaTheme="minorEastAsia" w:hAnsiTheme="minorHAnsi" w:cstheme="minorBidi"/>
          <w:szCs w:val="22"/>
        </w:rPr>
      </w:pPr>
      <w:r>
        <w:t>4.</w:t>
      </w:r>
      <w:r>
        <w:tab/>
        <w:t>Licence by reason of qualification under cl. 1(1)(d) and 2(1)(d)</w:t>
      </w:r>
      <w:r>
        <w:tab/>
      </w:r>
      <w:r>
        <w:fldChar w:fldCharType="begin"/>
      </w:r>
      <w:r>
        <w:instrText xml:space="preserve"> PAGEREF _Toc99522791 \h </w:instrText>
      </w:r>
      <w:r>
        <w:fldChar w:fldCharType="separate"/>
      </w:r>
      <w:r>
        <w:t>104</w:t>
      </w:r>
      <w:r>
        <w:fldChar w:fldCharType="end"/>
      </w:r>
    </w:p>
    <w:p>
      <w:pPr>
        <w:pStyle w:val="TOC8"/>
        <w:rPr>
          <w:rFonts w:asciiTheme="minorHAnsi" w:eastAsiaTheme="minorEastAsia" w:hAnsiTheme="minorHAnsi" w:cstheme="minorBidi"/>
          <w:szCs w:val="22"/>
        </w:rPr>
      </w:pPr>
      <w:r>
        <w:t xml:space="preserve">5. </w:t>
      </w:r>
      <w:r>
        <w:tab/>
        <w:t>Dead or incapacitated licensee, conduct of business of</w:t>
      </w:r>
      <w:r>
        <w:tab/>
      </w:r>
      <w:r>
        <w:fldChar w:fldCharType="begin"/>
      </w:r>
      <w:r>
        <w:instrText xml:space="preserve"> PAGEREF _Toc99522792 \h </w:instrText>
      </w:r>
      <w:r>
        <w:fldChar w:fldCharType="separate"/>
      </w:r>
      <w:r>
        <w:t>104</w:t>
      </w:r>
      <w:r>
        <w:fldChar w:fldCharType="end"/>
      </w:r>
    </w:p>
    <w:p>
      <w:pPr>
        <w:pStyle w:val="TOC4"/>
        <w:tabs>
          <w:tab w:val="right" w:leader="dot" w:pos="7077"/>
        </w:tabs>
        <w:rPr>
          <w:rFonts w:asciiTheme="minorHAnsi" w:eastAsiaTheme="minorEastAsia" w:hAnsiTheme="minorHAnsi" w:cstheme="minorBidi"/>
          <w:b w:val="0"/>
          <w:szCs w:val="22"/>
        </w:rPr>
      </w:pPr>
      <w:r>
        <w:rPr>
          <w:rFonts w:eastAsia="MS Mincho"/>
        </w:rPr>
        <w:t>Division 2</w:t>
      </w:r>
      <w:r>
        <w:rPr>
          <w:rFonts w:eastAsia="MS Mincho"/>
          <w:b w:val="0"/>
        </w:rPr>
        <w:t> — </w:t>
      </w:r>
      <w:r>
        <w:rPr>
          <w:rFonts w:eastAsia="MS Mincho"/>
        </w:rPr>
        <w:t>Disqualification</w:t>
      </w:r>
    </w:p>
    <w:p>
      <w:pPr>
        <w:pStyle w:val="TOC8"/>
        <w:rPr>
          <w:rFonts w:asciiTheme="minorHAnsi" w:eastAsiaTheme="minorEastAsia" w:hAnsiTheme="minorHAnsi" w:cstheme="minorBidi"/>
          <w:szCs w:val="22"/>
        </w:rPr>
      </w:pPr>
      <w:r>
        <w:t>6.</w:t>
      </w:r>
      <w:r>
        <w:tab/>
        <w:t>Term used: business licence</w:t>
      </w:r>
      <w:r>
        <w:tab/>
      </w:r>
      <w:r>
        <w:fldChar w:fldCharType="begin"/>
      </w:r>
      <w:r>
        <w:instrText xml:space="preserve"> PAGEREF _Toc99522794 \h </w:instrText>
      </w:r>
      <w:r>
        <w:fldChar w:fldCharType="separate"/>
      </w:r>
      <w:r>
        <w:t>105</w:t>
      </w:r>
      <w:r>
        <w:fldChar w:fldCharType="end"/>
      </w:r>
    </w:p>
    <w:p>
      <w:pPr>
        <w:pStyle w:val="TOC8"/>
        <w:rPr>
          <w:rFonts w:asciiTheme="minorHAnsi" w:eastAsiaTheme="minorEastAsia" w:hAnsiTheme="minorHAnsi" w:cstheme="minorBidi"/>
          <w:szCs w:val="22"/>
        </w:rPr>
      </w:pPr>
      <w:r>
        <w:t xml:space="preserve">7. </w:t>
      </w:r>
      <w:r>
        <w:tab/>
        <w:t>Natural persons, disqualification of</w:t>
      </w:r>
      <w:r>
        <w:tab/>
      </w:r>
      <w:r>
        <w:fldChar w:fldCharType="begin"/>
      </w:r>
      <w:r>
        <w:instrText xml:space="preserve"> PAGEREF _Toc99522795 \h </w:instrText>
      </w:r>
      <w:r>
        <w:fldChar w:fldCharType="separate"/>
      </w:r>
      <w:r>
        <w:t>105</w:t>
      </w:r>
      <w:r>
        <w:fldChar w:fldCharType="end"/>
      </w:r>
    </w:p>
    <w:p>
      <w:pPr>
        <w:pStyle w:val="TOC8"/>
        <w:rPr>
          <w:rFonts w:asciiTheme="minorHAnsi" w:eastAsiaTheme="minorEastAsia" w:hAnsiTheme="minorHAnsi" w:cstheme="minorBidi"/>
          <w:szCs w:val="22"/>
        </w:rPr>
      </w:pPr>
      <w:r>
        <w:t xml:space="preserve">8. </w:t>
      </w:r>
      <w:r>
        <w:tab/>
        <w:t>Bodies corporate, disqualification of</w:t>
      </w:r>
      <w:r>
        <w:tab/>
      </w:r>
      <w:r>
        <w:fldChar w:fldCharType="begin"/>
      </w:r>
      <w:r>
        <w:instrText xml:space="preserve"> PAGEREF _Toc99522796 \h </w:instrText>
      </w:r>
      <w:r>
        <w:fldChar w:fldCharType="separate"/>
      </w:r>
      <w:r>
        <w:t>106</w:t>
      </w:r>
      <w:r>
        <w:fldChar w:fldCharType="end"/>
      </w:r>
    </w:p>
    <w:p>
      <w:pPr>
        <w:pStyle w:val="TOC8"/>
        <w:rPr>
          <w:rFonts w:asciiTheme="minorHAnsi" w:eastAsiaTheme="minorEastAsia" w:hAnsiTheme="minorHAnsi" w:cstheme="minorBidi"/>
          <w:szCs w:val="22"/>
        </w:rPr>
      </w:pPr>
      <w:r>
        <w:t xml:space="preserve">9. </w:t>
      </w:r>
      <w:r>
        <w:tab/>
        <w:t>Firms, disqualification of</w:t>
      </w:r>
      <w:r>
        <w:tab/>
      </w:r>
      <w:r>
        <w:fldChar w:fldCharType="begin"/>
      </w:r>
      <w:r>
        <w:instrText xml:space="preserve"> PAGEREF _Toc99522797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3 — Temporary arrangements</w:t>
      </w:r>
    </w:p>
    <w:p>
      <w:pPr>
        <w:pStyle w:val="TOC8"/>
        <w:rPr>
          <w:rFonts w:asciiTheme="minorHAnsi" w:eastAsiaTheme="minorEastAsia" w:hAnsiTheme="minorHAnsi" w:cstheme="minorBidi"/>
          <w:szCs w:val="22"/>
        </w:rPr>
      </w:pPr>
      <w:r>
        <w:t xml:space="preserve">10. </w:t>
      </w:r>
      <w:r>
        <w:tab/>
        <w:t>Death or withdrawal of partner in firm or director of body corporate, Commissioner to be notified etc.</w:t>
      </w:r>
      <w:r>
        <w:tab/>
      </w:r>
      <w:r>
        <w:fldChar w:fldCharType="begin"/>
      </w:r>
      <w:r>
        <w:instrText xml:space="preserve"> PAGEREF _Toc99522799 \h </w:instrText>
      </w:r>
      <w:r>
        <w:fldChar w:fldCharType="separate"/>
      </w:r>
      <w:r>
        <w:t>107</w:t>
      </w:r>
      <w:r>
        <w:fldChar w:fldCharType="end"/>
      </w:r>
    </w:p>
    <w:p>
      <w:pPr>
        <w:pStyle w:val="TOC2"/>
        <w:tabs>
          <w:tab w:val="right" w:leader="dot" w:pos="7077"/>
        </w:tabs>
        <w:rPr>
          <w:rFonts w:asciiTheme="minorHAnsi" w:eastAsiaTheme="minorEastAsia" w:hAnsiTheme="minorHAnsi" w:cstheme="minorBidi"/>
          <w:b w:val="0"/>
          <w:sz w:val="22"/>
          <w:szCs w:val="22"/>
        </w:rPr>
      </w:pPr>
      <w:r>
        <w:t>Schedule 2 — Functions of a settlement agent</w:t>
      </w:r>
    </w:p>
    <w:p>
      <w:pPr>
        <w:pStyle w:val="TOC8"/>
        <w:rPr>
          <w:rFonts w:asciiTheme="minorHAnsi" w:eastAsiaTheme="minorEastAsia" w:hAnsiTheme="minorHAnsi" w:cstheme="minorBidi"/>
          <w:szCs w:val="22"/>
        </w:rPr>
      </w:pPr>
      <w:r>
        <w:t>1.</w:t>
      </w:r>
      <w:r>
        <w:tab/>
        <w:t>Real estate settlement agent</w:t>
      </w:r>
      <w:r>
        <w:tab/>
      </w:r>
      <w:r>
        <w:fldChar w:fldCharType="begin"/>
      </w:r>
      <w:r>
        <w:instrText xml:space="preserve"> PAGEREF _Toc99522801 \h </w:instrText>
      </w:r>
      <w:r>
        <w:fldChar w:fldCharType="separate"/>
      </w:r>
      <w:r>
        <w:t>108</w:t>
      </w:r>
      <w:r>
        <w:fldChar w:fldCharType="end"/>
      </w:r>
    </w:p>
    <w:p>
      <w:pPr>
        <w:pStyle w:val="TOC8"/>
        <w:rPr>
          <w:rFonts w:asciiTheme="minorHAnsi" w:eastAsiaTheme="minorEastAsia" w:hAnsiTheme="minorHAnsi" w:cstheme="minorBidi"/>
          <w:szCs w:val="22"/>
        </w:rPr>
      </w:pPr>
      <w:r>
        <w:t xml:space="preserve">2. </w:t>
      </w:r>
      <w:r>
        <w:tab/>
        <w:t>Business settlement agent</w:t>
      </w:r>
      <w:r>
        <w:tab/>
      </w:r>
      <w:r>
        <w:fldChar w:fldCharType="begin"/>
      </w:r>
      <w:r>
        <w:instrText xml:space="preserve"> PAGEREF _Toc99522802 \h </w:instrText>
      </w:r>
      <w:r>
        <w:fldChar w:fldCharType="separate"/>
      </w:r>
      <w:r>
        <w:t>110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_Toc99522804 \h </w:instrText>
      </w:r>
      <w:r>
        <w:fldChar w:fldCharType="separate"/>
      </w:r>
      <w:r>
        <w:t>112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_Toc99522805 \h </w:instrText>
      </w:r>
      <w:r>
        <w:fldChar w:fldCharType="separate"/>
      </w:r>
      <w:r>
        <w:t>116</w:t>
      </w:r>
      <w:r>
        <w:fldChar w:fldCharType="end"/>
      </w:r>
    </w:p>
    <w:p>
      <w:pPr>
        <w:pStyle w:val="TOC8"/>
        <w:keepNext/>
        <w:rPr>
          <w:rFonts w:asciiTheme="minorHAnsi" w:eastAsiaTheme="minorEastAsia" w:hAnsiTheme="minorHAnsi" w:cstheme="minorBidi"/>
          <w:szCs w:val="22"/>
        </w:rPr>
      </w:pPr>
      <w:r>
        <w:lastRenderedPageBreak/>
        <w:tab/>
        <w:t>Other notes</w:t>
      </w:r>
      <w:r>
        <w:tab/>
      </w:r>
      <w:r>
        <w:fldChar w:fldCharType="begin"/>
      </w:r>
      <w:r>
        <w:instrText xml:space="preserve"> PAGEREF _Toc99522806 \h </w:instrText>
      </w:r>
      <w:r>
        <w:fldChar w:fldCharType="separate"/>
      </w:r>
      <w:r>
        <w:t>116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20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3" w:name="_Toc99521062"/>
      <w:bookmarkStart w:id="4" w:name="_Toc99521364"/>
      <w:bookmarkStart w:id="5" w:name="_Toc99522643"/>
      <w:r>
        <w:rPr>
          <w:rStyle w:val="CharPartNo"/>
        </w:rPr>
        <w:lastRenderedPageBreak/>
        <w:t>Part I</w:t>
      </w:r>
      <w:r>
        <w:rPr>
          <w:rStyle w:val="CharDivNo"/>
        </w:rPr>
        <w:t> </w:t>
      </w:r>
      <w:r>
        <w:t>—</w:t>
      </w:r>
      <w:r>
        <w:rPr>
          <w:rStyle w:val="CharDivText"/>
        </w:rPr>
        <w:t> </w:t>
      </w:r>
      <w:r>
        <w:rPr>
          <w:rStyle w:val="CharPartText"/>
        </w:rPr>
        <w:t>Preliminary</w:t>
      </w:r>
      <w:bookmarkEnd w:id="3"/>
      <w:bookmarkEnd w:id="4"/>
      <w:bookmarkEnd w:id="5"/>
    </w:p>
    <w:p>
      <w:pPr>
        <w:pStyle w:val="Heading5"/>
        <w:rPr>
          <w:snapToGrid w:val="0"/>
        </w:rPr>
      </w:pPr>
      <w:bookmarkStart w:id="6" w:name="_Toc99522644"/>
      <w:r>
        <w:rPr>
          <w:rStyle w:val="CharSectno"/>
        </w:rPr>
        <w:t>1</w:t>
      </w:r>
      <w:r>
        <w:rPr>
          <w:snapToGrid w:val="0"/>
        </w:rPr>
        <w:t>.</w:t>
      </w:r>
      <w:r>
        <w:rPr>
          <w:snapToGrid w:val="0"/>
        </w:rPr>
        <w:tab/>
        <w:t>Short title</w:t>
      </w:r>
      <w:bookmarkEnd w:id="6"/>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w:t>
      </w:r>
    </w:p>
    <w:p>
      <w:pPr>
        <w:pStyle w:val="Heading5"/>
        <w:rPr>
          <w:snapToGrid w:val="0"/>
        </w:rPr>
      </w:pPr>
      <w:bookmarkStart w:id="7" w:name="_Toc99522645"/>
      <w:r>
        <w:rPr>
          <w:rStyle w:val="CharSectno"/>
        </w:rPr>
        <w:t>2</w:t>
      </w:r>
      <w:r>
        <w:rPr>
          <w:snapToGrid w:val="0"/>
        </w:rPr>
        <w:t>.</w:t>
      </w:r>
      <w:r>
        <w:rPr>
          <w:snapToGrid w:val="0"/>
        </w:rPr>
        <w:tab/>
        <w:t>Commencement</w:t>
      </w:r>
      <w:bookmarkEnd w:id="7"/>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8" w:name="_Toc99522646"/>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1</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w:t>
      </w:r>
      <w:r>
        <w:lastRenderedPageBreak/>
        <w:t>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lastRenderedPageBreak/>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keepNext/>
        <w:keepLines/>
      </w:pPr>
      <w:r>
        <w:lastRenderedPageBreak/>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w:t>
      </w:r>
      <w:r>
        <w:lastRenderedPageBreak/>
        <w:t>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9" w:name="_Toc99522647"/>
      <w:r>
        <w:rPr>
          <w:rStyle w:val="CharSectno"/>
        </w:rPr>
        <w:t>4</w:t>
      </w:r>
      <w:r>
        <w:rPr>
          <w:snapToGrid w:val="0"/>
        </w:rPr>
        <w:t>.</w:t>
      </w:r>
      <w:r>
        <w:rPr>
          <w:snapToGrid w:val="0"/>
        </w:rPr>
        <w:tab/>
        <w:t>Term used: settlement agent</w:t>
      </w:r>
      <w:bookmarkEnd w:id="9"/>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xml:space="preserve">, who are currently carrying on business as such in accordance with that Act, when arranging or effecting settlements to </w:t>
      </w:r>
      <w:r>
        <w:rPr>
          <w:snapToGrid w:val="0"/>
        </w:rPr>
        <w:lastRenderedPageBreak/>
        <w:t>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w:t>
      </w:r>
      <w:r>
        <w:t>section 34AA(3),</w:t>
      </w:r>
      <w:r>
        <w:rPr>
          <w:snapToGrid w:val="0"/>
        </w:rPr>
        <w:t xml:space="preserve"> section 35, Division 2 of Part IV, and Part V shall not </w:t>
      </w:r>
      <w:r>
        <w:t>apply to a bank in its capacity as a settlement agent, or to a trustee company.</w:t>
      </w:r>
    </w:p>
    <w:p>
      <w:pPr>
        <w:pStyle w:val="Footnotesection"/>
      </w:pPr>
      <w:r>
        <w:tab/>
        <w:t>[Section 4 amended: No. 10 of 1982 s. 28; No. 64 of 1982 s. 2; No. 59 of 1995 s. 59; No. 26 of 1999 s. 102(3); No. 10 of 2001 s. 222; No. 21 of 2003 s. 22; No. 25 of 2019 s. 73.]</w:t>
      </w:r>
    </w:p>
    <w:p>
      <w:pPr>
        <w:pStyle w:val="Footnoteheading"/>
      </w:pPr>
      <w:r>
        <w:tab/>
        <w:t>[Part II heading deleted: No. 58 of 2010 s. 137(1).]</w:t>
      </w:r>
    </w:p>
    <w:p>
      <w:pPr>
        <w:pStyle w:val="Ednotedivision"/>
      </w:pPr>
      <w:r>
        <w:t>[Division 1 (s. 5</w:t>
      </w:r>
      <w:r>
        <w:noBreakHyphen/>
        <w:t>12C) deleted: No. 58 of 2010 s. 137(2).]</w:t>
      </w:r>
    </w:p>
    <w:p>
      <w:pPr>
        <w:pStyle w:val="Ednotedivision"/>
      </w:pPr>
      <w:r>
        <w:t>[Division 1A (s. 12D and 12E) deleted: No. 58 of 2010 s. 137(2).]</w:t>
      </w:r>
    </w:p>
    <w:p>
      <w:pPr>
        <w:pStyle w:val="Ednotedivision"/>
      </w:pPr>
      <w:r>
        <w:t>[Division 2 (s. 13</w:t>
      </w:r>
      <w:r>
        <w:noBreakHyphen/>
        <w:t>18) deleted: No. 58 of 2010 s. 137(2).]</w:t>
      </w:r>
    </w:p>
    <w:p>
      <w:pPr>
        <w:pStyle w:val="Footnoteheading"/>
      </w:pPr>
      <w:r>
        <w:tab/>
        <w:t>[Division 3 heading deleted: No. 58 of 2010 s. 137(3).]</w:t>
      </w:r>
    </w:p>
    <w:p>
      <w:pPr>
        <w:pStyle w:val="Ednotesection"/>
      </w:pPr>
      <w:r>
        <w:t>[</w:t>
      </w:r>
      <w:r>
        <w:rPr>
          <w:b/>
        </w:rPr>
        <w:t>19</w:t>
      </w:r>
      <w:r>
        <w:rPr>
          <w:b/>
        </w:rPr>
        <w:noBreakHyphen/>
        <w:t>21.</w:t>
      </w:r>
      <w:r>
        <w:tab/>
        <w:t>Deleted: No. 58 of 2010 s. 138.]</w:t>
      </w:r>
    </w:p>
    <w:p>
      <w:pPr>
        <w:pStyle w:val="Heading5"/>
      </w:pPr>
      <w:bookmarkStart w:id="10" w:name="_Toc99522648"/>
      <w:r>
        <w:rPr>
          <w:rStyle w:val="CharSectno"/>
        </w:rPr>
        <w:t>22</w:t>
      </w:r>
      <w:r>
        <w:t>.</w:t>
      </w:r>
      <w:r>
        <w:tab/>
        <w:t>Powers of investigation</w:t>
      </w:r>
      <w:bookmarkEnd w:id="10"/>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No. 58 of 2010 s. 139.]</w:t>
      </w:r>
    </w:p>
    <w:p>
      <w:pPr>
        <w:pStyle w:val="Heading5"/>
        <w:rPr>
          <w:snapToGrid w:val="0"/>
        </w:rPr>
      </w:pPr>
      <w:bookmarkStart w:id="11" w:name="_Toc99522649"/>
      <w:r>
        <w:rPr>
          <w:rStyle w:val="CharSectno"/>
        </w:rPr>
        <w:lastRenderedPageBreak/>
        <w:t>23</w:t>
      </w:r>
      <w:r>
        <w:rPr>
          <w:snapToGrid w:val="0"/>
        </w:rPr>
        <w:t>.</w:t>
      </w:r>
      <w:r>
        <w:rPr>
          <w:snapToGrid w:val="0"/>
        </w:rPr>
        <w:tab/>
        <w:t>Application for review by SAT</w:t>
      </w:r>
      <w:bookmarkEnd w:id="11"/>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lastRenderedPageBreak/>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No. 55 of 2004 s. 1084; amended: No. 77 of 2006 Sch. 1 cl. 156(2); No. 58 of 2010 s. 140 and 176; No. 23 of 2014 s. 98.]</w:t>
      </w:r>
    </w:p>
    <w:p>
      <w:pPr>
        <w:pStyle w:val="Heading2"/>
      </w:pPr>
      <w:bookmarkStart w:id="12" w:name="_Toc99521069"/>
      <w:bookmarkStart w:id="13" w:name="_Toc99521371"/>
      <w:bookmarkStart w:id="14" w:name="_Toc99522650"/>
      <w:r>
        <w:rPr>
          <w:rStyle w:val="CharPartNo"/>
        </w:rPr>
        <w:lastRenderedPageBreak/>
        <w:t>Part III</w:t>
      </w:r>
      <w:r>
        <w:rPr>
          <w:rStyle w:val="CharDivNo"/>
        </w:rPr>
        <w:t> </w:t>
      </w:r>
      <w:r>
        <w:t>—</w:t>
      </w:r>
      <w:r>
        <w:rPr>
          <w:rStyle w:val="CharDivText"/>
        </w:rPr>
        <w:t> </w:t>
      </w:r>
      <w:r>
        <w:rPr>
          <w:rStyle w:val="CharPartText"/>
        </w:rPr>
        <w:t>Licensing</w:t>
      </w:r>
      <w:bookmarkEnd w:id="12"/>
      <w:bookmarkEnd w:id="13"/>
      <w:bookmarkEnd w:id="14"/>
    </w:p>
    <w:p>
      <w:pPr>
        <w:pStyle w:val="Heading5"/>
        <w:spacing w:before="180"/>
        <w:rPr>
          <w:snapToGrid w:val="0"/>
        </w:rPr>
      </w:pPr>
      <w:bookmarkStart w:id="15" w:name="_Toc99522651"/>
      <w:r>
        <w:rPr>
          <w:rStyle w:val="CharSectno"/>
        </w:rPr>
        <w:t>24</w:t>
      </w:r>
      <w:r>
        <w:rPr>
          <w:snapToGrid w:val="0"/>
        </w:rPr>
        <w:t>.</w:t>
      </w:r>
      <w:r>
        <w:rPr>
          <w:snapToGrid w:val="0"/>
        </w:rPr>
        <w:tab/>
        <w:t>Applications for licences</w:t>
      </w:r>
      <w:bookmarkEnd w:id="15"/>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No. 58 of 2010 s. 141 and 176; No. 23 of 2014 s. 99; No. 44 of 2016 s. 37.]</w:t>
      </w:r>
    </w:p>
    <w:p>
      <w:pPr>
        <w:pStyle w:val="Ednotesection"/>
      </w:pPr>
      <w:r>
        <w:t>[</w:t>
      </w:r>
      <w:r>
        <w:rPr>
          <w:b/>
        </w:rPr>
        <w:t>25.</w:t>
      </w:r>
      <w:r>
        <w:tab/>
        <w:t>Deleted: No. 23 of 2014 s. 100.]</w:t>
      </w:r>
    </w:p>
    <w:p>
      <w:pPr>
        <w:pStyle w:val="Heading5"/>
        <w:rPr>
          <w:snapToGrid w:val="0"/>
        </w:rPr>
      </w:pPr>
      <w:bookmarkStart w:id="16" w:name="_Toc99522652"/>
      <w:r>
        <w:rPr>
          <w:rStyle w:val="CharSectno"/>
        </w:rPr>
        <w:t>26</w:t>
      </w:r>
      <w:r>
        <w:rPr>
          <w:snapToGrid w:val="0"/>
        </w:rPr>
        <w:t>.</w:t>
      </w:r>
      <w:r>
        <w:rPr>
          <w:snapToGrid w:val="0"/>
        </w:rPr>
        <w:tab/>
        <w:t>Settlement agents must be licensed</w:t>
      </w:r>
      <w:bookmarkEnd w:id="16"/>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r>
      <w:r>
        <w:rPr>
          <w:szCs w:val="24"/>
        </w:rPr>
        <w:t xml:space="preserve">Penalty for this subsection: a fine of </w:t>
      </w:r>
      <w:r>
        <w:rPr>
          <w:snapToGrid w:val="0"/>
          <w:szCs w:val="24"/>
        </w:rPr>
        <w:t>$100 000.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pPr>
        <w:pStyle w:val="Subsection"/>
        <w:keepNext/>
        <w:keepLines/>
      </w:pPr>
      <w:r>
        <w:lastRenderedPageBreak/>
        <w:tab/>
        <w:t>(3)</w:t>
      </w:r>
      <w:r>
        <w:tab/>
        <w:t>For subsection (1), a person is taken not to be licensed or holding a current triennial certificate in respect of the licence if the person is required to surrender a licence and triennial certificate under section 34D(2) and (3).</w:t>
      </w:r>
    </w:p>
    <w:p>
      <w:pPr>
        <w:pStyle w:val="Footnotesection"/>
        <w:spacing w:before="140"/>
      </w:pPr>
      <w:r>
        <w:tab/>
        <w:t>[Section 26 amended: No. 59 of 1995 s. 85; No. 25 of 2019 s. 74 and 88.]</w:t>
      </w:r>
    </w:p>
    <w:p>
      <w:pPr>
        <w:pStyle w:val="Heading5"/>
        <w:spacing w:before="260"/>
        <w:rPr>
          <w:snapToGrid w:val="0"/>
        </w:rPr>
      </w:pPr>
      <w:bookmarkStart w:id="17" w:name="_Toc99522653"/>
      <w:r>
        <w:rPr>
          <w:rStyle w:val="CharSectno"/>
        </w:rPr>
        <w:t>26A</w:t>
      </w:r>
      <w:r>
        <w:rPr>
          <w:snapToGrid w:val="0"/>
        </w:rPr>
        <w:t xml:space="preserve">. </w:t>
      </w:r>
      <w:r>
        <w:rPr>
          <w:snapToGrid w:val="0"/>
        </w:rPr>
        <w:tab/>
        <w:t>Licensed real estate agent may be exempted for certain settlements</w:t>
      </w:r>
      <w:bookmarkEnd w:id="17"/>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lastRenderedPageBreak/>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lastRenderedPageBreak/>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No. 64 of 1982 s. 3; amended: No. 58 of 2010 s. 176; No. 44 of 2016 s. 38.]</w:t>
      </w:r>
    </w:p>
    <w:p>
      <w:pPr>
        <w:pStyle w:val="Heading5"/>
        <w:rPr>
          <w:snapToGrid w:val="0"/>
        </w:rPr>
      </w:pPr>
      <w:bookmarkStart w:id="18" w:name="_Toc99522654"/>
      <w:r>
        <w:rPr>
          <w:rStyle w:val="CharSectno"/>
        </w:rPr>
        <w:t>26B</w:t>
      </w:r>
      <w:r>
        <w:rPr>
          <w:snapToGrid w:val="0"/>
        </w:rPr>
        <w:t xml:space="preserve">. </w:t>
      </w:r>
      <w:r>
        <w:rPr>
          <w:snapToGrid w:val="0"/>
        </w:rPr>
        <w:tab/>
        <w:t>Licensed business agent may be exempted for certain settlements</w:t>
      </w:r>
      <w:bookmarkEnd w:id="18"/>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keepNext/>
        <w:rPr>
          <w:snapToGrid w:val="0"/>
        </w:rPr>
      </w:pPr>
      <w:r>
        <w:rPr>
          <w:snapToGrid w:val="0"/>
        </w:rPr>
        <w:lastRenderedPageBreak/>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lastRenderedPageBreak/>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No. 64 of 1982 s. 3; amended: No. 58 of 2010 s. 176; No. 44 of 2016 s. 39.]</w:t>
      </w:r>
    </w:p>
    <w:p>
      <w:pPr>
        <w:pStyle w:val="Heading5"/>
        <w:rPr>
          <w:snapToGrid w:val="0"/>
        </w:rPr>
      </w:pPr>
      <w:bookmarkStart w:id="19" w:name="_Toc99522655"/>
      <w:r>
        <w:rPr>
          <w:rStyle w:val="CharSectno"/>
        </w:rPr>
        <w:t>27</w:t>
      </w:r>
      <w:r>
        <w:rPr>
          <w:snapToGrid w:val="0"/>
        </w:rPr>
        <w:t>.</w:t>
      </w:r>
      <w:r>
        <w:rPr>
          <w:snapToGrid w:val="0"/>
        </w:rPr>
        <w:tab/>
        <w:t>Licensing of individuals</w:t>
      </w:r>
      <w:bookmarkEnd w:id="19"/>
    </w:p>
    <w:p>
      <w:pPr>
        <w:pStyle w:val="Subsection"/>
        <w:spacing w:before="130"/>
        <w:rPr>
          <w:snapToGrid w:val="0"/>
        </w:rPr>
      </w:pPr>
      <w:r>
        <w:rPr>
          <w:snapToGrid w:val="0"/>
        </w:rPr>
        <w:tab/>
        <w:t>(1)</w:t>
      </w:r>
      <w:r>
        <w:rPr>
          <w:snapToGrid w:val="0"/>
        </w:rPr>
        <w:tab/>
        <w:t xml:space="preserve">Subject to this Act, </w:t>
      </w:r>
      <w:r>
        <w:t>an individual</w:t>
      </w:r>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 the individual —</w:t>
      </w:r>
    </w:p>
    <w:p>
      <w:pPr>
        <w:pStyle w:val="Indenta"/>
        <w:spacing w:before="60"/>
        <w:rPr>
          <w:snapToGrid w:val="0"/>
        </w:rPr>
      </w:pPr>
      <w:r>
        <w:rPr>
          <w:snapToGrid w:val="0"/>
        </w:rPr>
        <w:lastRenderedPageBreak/>
        <w:tab/>
        <w:t>(a)</w:t>
      </w:r>
      <w:r>
        <w:rPr>
          <w:snapToGrid w:val="0"/>
        </w:rPr>
        <w:tab/>
        <w:t>is of or over the age of 18 years; and</w:t>
      </w:r>
    </w:p>
    <w:p>
      <w:pPr>
        <w:pStyle w:val="Indenta"/>
        <w:spacing w:before="60"/>
        <w:rPr>
          <w:snapToGrid w:val="0"/>
        </w:rPr>
      </w:pPr>
      <w:r>
        <w:rPr>
          <w:snapToGrid w:val="0"/>
        </w:rPr>
        <w:tab/>
        <w:t>(b)</w:t>
      </w:r>
      <w:r>
        <w:rPr>
          <w:snapToGrid w:val="0"/>
        </w:rPr>
        <w:tab/>
        <w:t>is a person of good character and repute and a fit and proper person to hold a licence; and</w:t>
      </w:r>
    </w:p>
    <w:p>
      <w:pPr>
        <w:pStyle w:val="Indenta"/>
        <w:spacing w:before="60"/>
        <w:rPr>
          <w:snapToGrid w:val="0"/>
        </w:rPr>
      </w:pPr>
      <w:r>
        <w:rPr>
          <w:snapToGrid w:val="0"/>
        </w:rPr>
        <w:tab/>
        <w:t>(c)</w:t>
      </w:r>
      <w:r>
        <w:rPr>
          <w:snapToGrid w:val="0"/>
        </w:rPr>
        <w:tab/>
        <w:t xml:space="preserve">has sufficient material and financial resources available </w:t>
      </w:r>
      <w:r>
        <w:t>to enable them</w:t>
      </w:r>
      <w:r>
        <w:rPr>
          <w:snapToGrid w:val="0"/>
        </w:rPr>
        <w:t xml:space="preserve"> to comply with the requirements of this Act; and</w:t>
      </w:r>
    </w:p>
    <w:p>
      <w:pPr>
        <w:pStyle w:val="Indenta"/>
        <w:spacing w:before="60"/>
        <w:rPr>
          <w:snapToGrid w:val="0"/>
        </w:rPr>
      </w:pPr>
      <w:r>
        <w:rPr>
          <w:snapToGrid w:val="0"/>
        </w:rPr>
        <w:tab/>
        <w:t>(d)</w:t>
      </w:r>
      <w:r>
        <w:rPr>
          <w:snapToGrid w:val="0"/>
        </w:rPr>
        <w:tab/>
        <w:t>is ordinarily resident in the State; and</w:t>
      </w:r>
    </w:p>
    <w:p>
      <w:pPr>
        <w:pStyle w:val="Indenta"/>
        <w:spacing w:before="60"/>
        <w:rPr>
          <w:snapToGrid w:val="0"/>
        </w:rPr>
      </w:pPr>
      <w:r>
        <w:rPr>
          <w:snapToGrid w:val="0"/>
        </w:rPr>
        <w:tab/>
        <w:t>(e)</w:t>
      </w:r>
      <w:r>
        <w:rPr>
          <w:snapToGrid w:val="0"/>
        </w:rPr>
        <w:tab/>
        <w:t>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No. 58 of 2010 s. 176; No. 25 of 2019 s. 75.]</w:t>
      </w:r>
    </w:p>
    <w:p>
      <w:pPr>
        <w:pStyle w:val="Heading5"/>
        <w:spacing w:before="200"/>
        <w:rPr>
          <w:snapToGrid w:val="0"/>
        </w:rPr>
      </w:pPr>
      <w:bookmarkStart w:id="20" w:name="_Toc99522656"/>
      <w:r>
        <w:rPr>
          <w:rStyle w:val="CharSectno"/>
        </w:rPr>
        <w:t>28</w:t>
      </w:r>
      <w:r>
        <w:rPr>
          <w:snapToGrid w:val="0"/>
        </w:rPr>
        <w:t>.</w:t>
      </w:r>
      <w:r>
        <w:rPr>
          <w:snapToGrid w:val="0"/>
        </w:rPr>
        <w:tab/>
        <w:t>Firms, licensing of</w:t>
      </w:r>
      <w:bookmarkEnd w:id="20"/>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 xml:space="preserve">the persons by whom or by which the firm is constituted have sufficient material and financial resources available </w:t>
      </w:r>
      <w:r>
        <w:rPr>
          <w:snapToGrid w:val="0"/>
        </w:rPr>
        <w:lastRenderedPageBreak/>
        <w:t>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keepNext/>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No. 58 of 2010 s. 176.]</w:t>
      </w:r>
    </w:p>
    <w:p>
      <w:pPr>
        <w:pStyle w:val="Heading5"/>
        <w:rPr>
          <w:snapToGrid w:val="0"/>
        </w:rPr>
      </w:pPr>
      <w:bookmarkStart w:id="21" w:name="_Toc99522657"/>
      <w:r>
        <w:rPr>
          <w:rStyle w:val="CharSectno"/>
        </w:rPr>
        <w:t>29</w:t>
      </w:r>
      <w:r>
        <w:rPr>
          <w:snapToGrid w:val="0"/>
        </w:rPr>
        <w:t>.</w:t>
      </w:r>
      <w:r>
        <w:rPr>
          <w:snapToGrid w:val="0"/>
        </w:rPr>
        <w:tab/>
        <w:t>Bodies corporate, licensing of</w:t>
      </w:r>
      <w:bookmarkEnd w:id="21"/>
    </w:p>
    <w:p>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lastRenderedPageBreak/>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No. 58 of 2010 s. 176.]</w:t>
      </w:r>
    </w:p>
    <w:p>
      <w:pPr>
        <w:pStyle w:val="Heading5"/>
        <w:rPr>
          <w:snapToGrid w:val="0"/>
        </w:rPr>
      </w:pPr>
      <w:bookmarkStart w:id="22" w:name="_Toc99522658"/>
      <w:r>
        <w:rPr>
          <w:rStyle w:val="CharSectno"/>
        </w:rPr>
        <w:t>30</w:t>
      </w:r>
      <w:r>
        <w:rPr>
          <w:snapToGrid w:val="0"/>
        </w:rPr>
        <w:t>.</w:t>
      </w:r>
      <w:r>
        <w:rPr>
          <w:snapToGrid w:val="0"/>
        </w:rPr>
        <w:tab/>
        <w:t>Licence, effect of</w:t>
      </w:r>
      <w:bookmarkEnd w:id="22"/>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lastRenderedPageBreak/>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Ednotesubsection"/>
      </w:pPr>
      <w:r>
        <w:tab/>
        <w:t>[(4),(5)</w:t>
      </w:r>
      <w:r>
        <w:tab/>
        <w:t>deleted]</w:t>
      </w:r>
    </w:p>
    <w:p>
      <w:pPr>
        <w:pStyle w:val="Footnotesection"/>
        <w:spacing w:before="80"/>
        <w:ind w:left="890" w:hanging="890"/>
      </w:pPr>
      <w:r>
        <w:tab/>
        <w:t>[Section 30 amended: No. 56 of 1995 s. 50; No. 55 of 2004 s. 1085; No. 58 of 2010 s. 176; No. 25 of 2019 s. 76.]</w:t>
      </w:r>
    </w:p>
    <w:p>
      <w:pPr>
        <w:pStyle w:val="Heading5"/>
        <w:rPr>
          <w:snapToGrid w:val="0"/>
        </w:rPr>
      </w:pPr>
      <w:bookmarkStart w:id="23" w:name="_Toc99522659"/>
      <w:r>
        <w:rPr>
          <w:rStyle w:val="CharSectno"/>
        </w:rPr>
        <w:t>31</w:t>
      </w:r>
      <w:r>
        <w:rPr>
          <w:snapToGrid w:val="0"/>
        </w:rPr>
        <w:t>.</w:t>
      </w:r>
      <w:r>
        <w:rPr>
          <w:snapToGrid w:val="0"/>
        </w:rPr>
        <w:tab/>
        <w:t>Licensee’s triennial certificate: grant and renewal</w:t>
      </w:r>
      <w:bookmarkEnd w:id="23"/>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 xml:space="preserve">by the licensee, if the licensee is </w:t>
      </w:r>
      <w:r>
        <w:t>an individual;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 xml:space="preserve">The Commissioner must not renew a licensee’s triennial certificate unless the Commissioner is satisfied of the matters in — </w:t>
      </w:r>
    </w:p>
    <w:p>
      <w:pPr>
        <w:pStyle w:val="Indenta"/>
      </w:pPr>
      <w:r>
        <w:tab/>
        <w:t>(a)</w:t>
      </w:r>
      <w:r>
        <w:tab/>
        <w:t>for an individual — section 27(1)(b), (c), (d) and (e); or</w:t>
      </w:r>
    </w:p>
    <w:p>
      <w:pPr>
        <w:pStyle w:val="Indenta"/>
      </w:pPr>
      <w:r>
        <w:tab/>
        <w:t>(b)</w:t>
      </w:r>
      <w:r>
        <w:tab/>
        <w:t xml:space="preserve">for a firm — section 28(1)(a), (b), (c) and (d); or </w:t>
      </w:r>
    </w:p>
    <w:p>
      <w:pPr>
        <w:pStyle w:val="Indenta"/>
      </w:pPr>
      <w:r>
        <w:lastRenderedPageBreak/>
        <w:tab/>
        <w:t>(c)</w:t>
      </w:r>
      <w:r>
        <w:tab/>
        <w:t xml:space="preserve">for a body corporate — section 29(1)(a), (b), (c) and (d). </w:t>
      </w:r>
    </w:p>
    <w:p>
      <w:pPr>
        <w:pStyle w:val="Subsection"/>
        <w:rPr>
          <w:snapToGrid w:val="0"/>
        </w:rPr>
      </w:pPr>
      <w:r>
        <w:rPr>
          <w:snapToGrid w:val="0"/>
        </w:rPr>
        <w:tab/>
        <w:t>(3)</w:t>
      </w:r>
      <w:r>
        <w:rPr>
          <w:snapToGrid w:val="0"/>
        </w:rPr>
        <w:tab/>
        <w:t>At all times during the currency of the triennial certificate —</w:t>
      </w:r>
    </w:p>
    <w:p>
      <w:pPr>
        <w:pStyle w:val="Indenta"/>
      </w:pPr>
      <w:r>
        <w:tab/>
        <w:t>(a)</w:t>
      </w:r>
      <w:r>
        <w:tab/>
        <w:t>if the licensee is an individual, the individual;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No. 62 of 1996 s. 4; No. 58 of 2010 s. 176; No. 23 of 2014 s. 101; No. 25 of 2019 s. 77.]</w:t>
      </w:r>
    </w:p>
    <w:p>
      <w:pPr>
        <w:pStyle w:val="Heading5"/>
        <w:rPr>
          <w:snapToGrid w:val="0"/>
        </w:rPr>
      </w:pPr>
      <w:bookmarkStart w:id="24" w:name="_Toc99522660"/>
      <w:r>
        <w:rPr>
          <w:rStyle w:val="CharSectno"/>
        </w:rPr>
        <w:t>32</w:t>
      </w:r>
      <w:r>
        <w:rPr>
          <w:snapToGrid w:val="0"/>
        </w:rPr>
        <w:t>.</w:t>
      </w:r>
      <w:r>
        <w:rPr>
          <w:snapToGrid w:val="0"/>
        </w:rPr>
        <w:tab/>
        <w:t>Licensee’s triennial certificate: late renewal</w:t>
      </w:r>
      <w:bookmarkEnd w:id="24"/>
    </w:p>
    <w:p>
      <w:pPr>
        <w:pStyle w:val="Subsection"/>
        <w:rPr>
          <w:snapToGrid w:val="0"/>
        </w:rPr>
      </w:pPr>
      <w:r>
        <w:rPr>
          <w:snapToGrid w:val="0"/>
        </w:rPr>
        <w:tab/>
        <w:t>(1)</w:t>
      </w:r>
      <w:r>
        <w:rPr>
          <w:snapToGrid w:val="0"/>
        </w:rPr>
        <w:tab/>
      </w:r>
      <w:r>
        <w:t>If a licensee’s</w:t>
      </w:r>
      <w:r>
        <w:rPr>
          <w:snapToGrid w:val="0"/>
        </w:rPr>
        <w:t xml:space="preserve"> triennial certificate is renewed within the period of one month immediately succeeding the day on which the triennial certificate </w:t>
      </w:r>
      <w:r>
        <w:t>expired or was surrendered, the renewal takes effect</w:t>
      </w:r>
      <w:r>
        <w:rPr>
          <w:snapToGrid w:val="0"/>
        </w:rPr>
        <w:t xml:space="preserve"> on and from the day next succeeding the day on which the triennial certificate </w:t>
      </w:r>
      <w:r>
        <w:t>expired or was surrendered.</w:t>
      </w:r>
    </w:p>
    <w:p>
      <w:pPr>
        <w:pStyle w:val="Subsection"/>
        <w:keepNext/>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pPr>
        <w:pStyle w:val="Indenta"/>
      </w:pPr>
      <w:r>
        <w:tab/>
        <w:t>(a)</w:t>
      </w:r>
      <w:r>
        <w:tab/>
        <w:t>if the Commissioner is satisfied that there is reasonable cause for the renewal to take effect on and from the day after the day on which the triennial certificate expired or was surrendered — on that day; or</w:t>
      </w:r>
    </w:p>
    <w:p>
      <w:pPr>
        <w:pStyle w:val="Indenta"/>
      </w:pPr>
      <w:r>
        <w:tab/>
        <w:t>(b)</w:t>
      </w:r>
      <w:r>
        <w:tab/>
        <w:t>otherwise — on the day the renewal is granted.</w:t>
      </w:r>
    </w:p>
    <w:p>
      <w:pPr>
        <w:pStyle w:val="Footnotesection"/>
      </w:pPr>
      <w:r>
        <w:tab/>
        <w:t>[Section 32 amended: No. 58 of 2010 s. 176; No. 25 of 2019 s. 78.]</w:t>
      </w:r>
    </w:p>
    <w:p>
      <w:pPr>
        <w:pStyle w:val="Heading5"/>
        <w:rPr>
          <w:snapToGrid w:val="0"/>
        </w:rPr>
      </w:pPr>
      <w:bookmarkStart w:id="25" w:name="_Toc99522661"/>
      <w:r>
        <w:rPr>
          <w:rStyle w:val="CharSectno"/>
        </w:rPr>
        <w:t>33</w:t>
      </w:r>
      <w:r>
        <w:rPr>
          <w:snapToGrid w:val="0"/>
        </w:rPr>
        <w:t>.</w:t>
      </w:r>
      <w:r>
        <w:rPr>
          <w:snapToGrid w:val="0"/>
        </w:rPr>
        <w:tab/>
        <w:t>Licensee’s triennial certificate: late renewal after 12 months</w:t>
      </w:r>
      <w:bookmarkEnd w:id="25"/>
    </w:p>
    <w:p>
      <w:pPr>
        <w:pStyle w:val="Subsection"/>
      </w:pPr>
      <w:r>
        <w:tab/>
        <w:t>(1)</w:t>
      </w:r>
      <w:r>
        <w:tab/>
        <w:t xml:space="preserve">This section applies if — </w:t>
      </w:r>
    </w:p>
    <w:p>
      <w:pPr>
        <w:pStyle w:val="Indenta"/>
      </w:pPr>
      <w:r>
        <w:tab/>
        <w:t>(a)</w:t>
      </w:r>
      <w:r>
        <w:tab/>
        <w:t xml:space="preserve">a licensee’s triennial certificate expires or was surrendered; and </w:t>
      </w:r>
    </w:p>
    <w:p>
      <w:pPr>
        <w:pStyle w:val="Indenta"/>
      </w:pPr>
      <w:r>
        <w:lastRenderedPageBreak/>
        <w:tab/>
        <w:t>(b)</w:t>
      </w:r>
      <w:r>
        <w:tab/>
        <w:t xml:space="preserve">the licensee applies to renew the certificate more than 12 months after the day </w:t>
      </w:r>
      <w:r>
        <w:rPr>
          <w:snapToGrid w:val="0"/>
        </w:rPr>
        <w:t xml:space="preserve">on which the triennial certificate expired </w:t>
      </w:r>
      <w:r>
        <w:t>or was surrendered.</w:t>
      </w:r>
    </w:p>
    <w:p>
      <w:pPr>
        <w:pStyle w:val="Subsection"/>
        <w:rPr>
          <w:snapToGrid w:val="0"/>
        </w:rPr>
      </w:pPr>
      <w:r>
        <w:rPr>
          <w:snapToGrid w:val="0"/>
        </w:rPr>
        <w:tab/>
        <w:t>(2)</w:t>
      </w:r>
      <w:r>
        <w:rPr>
          <w:snapToGrid w:val="0"/>
        </w:rPr>
        <w:tab/>
      </w:r>
      <w:r>
        <w:t>The application for renewal must</w:t>
      </w:r>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w:t>
      </w:r>
      <w:r>
        <w:t>licensee must</w:t>
      </w:r>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licensee the opportunity to give additional information in relation to that application.</w:t>
      </w:r>
    </w:p>
    <w:p>
      <w:pPr>
        <w:pStyle w:val="Subsection"/>
        <w:rPr>
          <w:snapToGrid w:val="0"/>
        </w:rPr>
      </w:pPr>
      <w:r>
        <w:tab/>
        <w:t>(6)</w:t>
      </w:r>
      <w:r>
        <w:tab/>
        <w:t>If the triennial certificate is renewed</w:t>
      </w:r>
      <w:r>
        <w:rPr>
          <w:snapToGrid w:val="0"/>
        </w:rPr>
        <w:t>, the renewal takes effect </w:t>
      </w:r>
      <w:r>
        <w:t>on the day the renewal is granted.</w:t>
      </w:r>
    </w:p>
    <w:p>
      <w:pPr>
        <w:pStyle w:val="Footnotesection"/>
      </w:pPr>
      <w:r>
        <w:tab/>
        <w:t>[Section 33 amended: No. 58 of 2010 s. 143 and 176; No. 44 of 2016 s. 40; No. 25 of 2019 s. 79.]</w:t>
      </w:r>
    </w:p>
    <w:p>
      <w:pPr>
        <w:pStyle w:val="Heading5"/>
      </w:pPr>
      <w:bookmarkStart w:id="26" w:name="_Toc99522662"/>
      <w:r>
        <w:rPr>
          <w:rStyle w:val="CharSectno"/>
        </w:rPr>
        <w:t>34</w:t>
      </w:r>
      <w:r>
        <w:t>.</w:t>
      </w:r>
      <w:r>
        <w:tab/>
        <w:t>Conditions on licences and triennial certificates</w:t>
      </w:r>
      <w:bookmarkEnd w:id="26"/>
    </w:p>
    <w:p>
      <w:pPr>
        <w:pStyle w:val="Subsection"/>
      </w:pPr>
      <w:r>
        <w:tab/>
        <w:t>(1)</w:t>
      </w:r>
      <w:r>
        <w:tab/>
        <w:t xml:space="preserve">It is a condition of every licence that the licensee must comply with the provisions of this Act and the settlement agents’ code of conduct. </w:t>
      </w:r>
    </w:p>
    <w:p>
      <w:pPr>
        <w:pStyle w:val="Subsection"/>
      </w:pPr>
      <w:r>
        <w:tab/>
        <w:t>(2)</w:t>
      </w:r>
      <w:r>
        <w:tab/>
        <w:t>It is a condition of every licence that the licensee must comply with any special condition to which the licensee’s licence or triennial certificate is subject under section 34AA.</w:t>
      </w:r>
    </w:p>
    <w:p>
      <w:pPr>
        <w:pStyle w:val="Footnotesection"/>
      </w:pPr>
      <w:r>
        <w:tab/>
        <w:t>[Section 34 inserted: No. 25 of 2019 s. 80.]</w:t>
      </w:r>
    </w:p>
    <w:p>
      <w:pPr>
        <w:pStyle w:val="Heading5"/>
      </w:pPr>
      <w:bookmarkStart w:id="27" w:name="_Toc99522663"/>
      <w:r>
        <w:rPr>
          <w:rStyle w:val="CharSectno"/>
        </w:rPr>
        <w:lastRenderedPageBreak/>
        <w:t>34AA</w:t>
      </w:r>
      <w:r>
        <w:t>.</w:t>
      </w:r>
      <w:r>
        <w:tab/>
        <w:t>Imposing special conditions on licences or triennial certificates</w:t>
      </w:r>
      <w:bookmarkEnd w:id="27"/>
    </w:p>
    <w:p>
      <w:pPr>
        <w:pStyle w:val="Subsection"/>
        <w:keepNext/>
      </w:pPr>
      <w:r>
        <w:tab/>
        <w:t>(1)</w:t>
      </w:r>
      <w:r>
        <w:tab/>
        <w:t xml:space="preserve">In this section — </w:t>
      </w:r>
    </w:p>
    <w:p>
      <w:pPr>
        <w:pStyle w:val="Defstart"/>
      </w:pPr>
      <w:r>
        <w:tab/>
      </w:r>
      <w:r>
        <w:rPr>
          <w:rStyle w:val="CharDefText"/>
        </w:rPr>
        <w:t>licensee</w:t>
      </w:r>
      <w:r>
        <w:t xml:space="preserve"> includes an applicant for a licence.</w:t>
      </w:r>
    </w:p>
    <w:p>
      <w:pPr>
        <w:pStyle w:val="Subsection"/>
      </w:pPr>
      <w:r>
        <w:tab/>
        <w:t>(2)</w:t>
      </w:r>
      <w:r>
        <w:tab/>
        <w:t xml:space="preserve">The Commissioner may, at any time, impose a special condition on a licence or triennial certificate. </w:t>
      </w:r>
    </w:p>
    <w:p>
      <w:pPr>
        <w:pStyle w:val="Subsection"/>
      </w:pPr>
      <w:r>
        <w:tab/>
        <w:t>(3)</w:t>
      </w:r>
      <w:r>
        <w:tab/>
        <w:t xml:space="preserve">Without limiting subsection (2), the Commissioner may impose a condition that relates to — </w:t>
      </w:r>
    </w:p>
    <w:p>
      <w:pPr>
        <w:pStyle w:val="Indenta"/>
      </w:pPr>
      <w:r>
        <w:tab/>
        <w:t>(a)</w:t>
      </w:r>
      <w:r>
        <w:tab/>
        <w:t>the holding of a policy of indemnity insurance or fidelity insurance in a specified amount; or</w:t>
      </w:r>
    </w:p>
    <w:p>
      <w:pPr>
        <w:pStyle w:val="Indenta"/>
      </w:pPr>
      <w:r>
        <w:tab/>
        <w:t>(b)</w:t>
      </w:r>
      <w:r>
        <w:tab/>
        <w:t>the payment of fees under this Act or to contributions to the Account and may vary such prescribed fees or contributions.</w:t>
      </w:r>
    </w:p>
    <w:p>
      <w:pPr>
        <w:pStyle w:val="Subsection"/>
      </w:pPr>
      <w:r>
        <w:tab/>
        <w:t>(4)</w:t>
      </w:r>
      <w:r>
        <w:tab/>
        <w:t xml:space="preserve">Before imposing a special condition on a licence or triennial certificate, the Commissioner must — </w:t>
      </w:r>
    </w:p>
    <w:p>
      <w:pPr>
        <w:pStyle w:val="Indenta"/>
      </w:pPr>
      <w:r>
        <w:tab/>
        <w:t>(a)</w:t>
      </w:r>
      <w:r>
        <w:tab/>
        <w:t xml:space="preserve">give a licensee notice in writing setting out — </w:t>
      </w:r>
    </w:p>
    <w:p>
      <w:pPr>
        <w:pStyle w:val="Indenti"/>
      </w:pPr>
      <w:r>
        <w:tab/>
        <w:t>(i)</w:t>
      </w:r>
      <w:r>
        <w:tab/>
        <w:t>that the Commissioner proposes to impose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(5)</w:t>
      </w:r>
      <w:r>
        <w:tab/>
        <w:t xml:space="preserve">After making a decision under subsection (2), the Commissioner must — </w:t>
      </w:r>
    </w:p>
    <w:p>
      <w:pPr>
        <w:pStyle w:val="Indenta"/>
      </w:pPr>
      <w:r>
        <w:tab/>
        <w:t>(a)</w:t>
      </w:r>
      <w:r>
        <w:tab/>
        <w:t>notify the licensee of the Commissioner’s decision; and</w:t>
      </w:r>
    </w:p>
    <w:p>
      <w:pPr>
        <w:pStyle w:val="Indenta"/>
      </w:pPr>
      <w:r>
        <w:tab/>
        <w:t>(b)</w:t>
      </w:r>
      <w:r>
        <w:tab/>
        <w:t xml:space="preserve">if the decision is to impose the special condition, give the licensee notice in writing setting out — </w:t>
      </w:r>
    </w:p>
    <w:p>
      <w:pPr>
        <w:pStyle w:val="Indenti"/>
      </w:pPr>
      <w:r>
        <w:tab/>
        <w:t>(i)</w:t>
      </w:r>
      <w:r>
        <w:tab/>
        <w:t>the reasons for the decision; and</w:t>
      </w:r>
    </w:p>
    <w:p>
      <w:pPr>
        <w:pStyle w:val="Indenti"/>
      </w:pPr>
      <w:r>
        <w:lastRenderedPageBreak/>
        <w:tab/>
        <w:t>(ii)</w:t>
      </w:r>
      <w:r>
        <w:tab/>
        <w:t>that a person aggrieved by the Commissioner’s decision may apply to the State Administrative Tribunal for a review of the decision under section 23.</w:t>
      </w:r>
    </w:p>
    <w:p>
      <w:pPr>
        <w:pStyle w:val="Footnotesection"/>
      </w:pPr>
      <w:r>
        <w:tab/>
        <w:t>[Section 34AA inserted: No. 25 of 2019 s. 80.]</w:t>
      </w:r>
    </w:p>
    <w:p>
      <w:pPr>
        <w:pStyle w:val="Heading5"/>
      </w:pPr>
      <w:bookmarkStart w:id="28" w:name="_Toc99522664"/>
      <w:r>
        <w:rPr>
          <w:rStyle w:val="CharSectno"/>
        </w:rPr>
        <w:t>34AB</w:t>
      </w:r>
      <w:r>
        <w:t>.</w:t>
      </w:r>
      <w:r>
        <w:tab/>
        <w:t>Removing special conditions on licences or triennial certificates</w:t>
      </w:r>
      <w:bookmarkEnd w:id="28"/>
    </w:p>
    <w:p>
      <w:pPr>
        <w:pStyle w:val="Subsection"/>
      </w:pPr>
      <w:r>
        <w:tab/>
        <w:t>(1)</w:t>
      </w:r>
      <w:r>
        <w:tab/>
        <w:t xml:space="preserve">The Commissioner may remove a special condition imposed on a licensee’s licence or triennial certificate — </w:t>
      </w:r>
    </w:p>
    <w:p>
      <w:pPr>
        <w:pStyle w:val="Indenta"/>
      </w:pPr>
      <w:r>
        <w:tab/>
        <w:t>(a)</w:t>
      </w:r>
      <w:r>
        <w:tab/>
        <w:t>at any time; or</w:t>
      </w:r>
    </w:p>
    <w:p>
      <w:pPr>
        <w:pStyle w:val="Indenta"/>
      </w:pPr>
      <w:r>
        <w:tab/>
        <w:t>(b)</w:t>
      </w:r>
      <w:r>
        <w:tab/>
        <w:t>on application by the licensee.</w:t>
      </w:r>
    </w:p>
    <w:p>
      <w:pPr>
        <w:pStyle w:val="Subsection"/>
      </w:pPr>
      <w:r>
        <w:tab/>
        <w:t>(2)</w:t>
      </w:r>
      <w:r>
        <w:tab/>
        <w:t xml:space="preserve">If the licensee applies under subsection (1)(b), the Commissioner must, before deciding not to remove the special condition on the licensee’s licence or triennial certificate — </w:t>
      </w:r>
    </w:p>
    <w:p>
      <w:pPr>
        <w:pStyle w:val="Indenta"/>
      </w:pPr>
      <w:r>
        <w:tab/>
        <w:t>(a)</w:t>
      </w:r>
      <w:r>
        <w:tab/>
        <w:t xml:space="preserve">give the licensee notice in writing setting out — </w:t>
      </w:r>
    </w:p>
    <w:p>
      <w:pPr>
        <w:pStyle w:val="Indenti"/>
      </w:pPr>
      <w:r>
        <w:tab/>
        <w:t>(i)</w:t>
      </w:r>
      <w:r>
        <w:tab/>
        <w:t>that the Commissioner proposes to make a decision not to remove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(3)</w:t>
      </w:r>
      <w:r>
        <w:tab/>
        <w:t xml:space="preserve">After making a decision on an application by a licensee, the Commissioner must — </w:t>
      </w:r>
    </w:p>
    <w:p>
      <w:pPr>
        <w:pStyle w:val="Indenta"/>
      </w:pPr>
      <w:r>
        <w:tab/>
        <w:t>(a)</w:t>
      </w:r>
      <w:r>
        <w:tab/>
        <w:t>notify the licensee of the Commissioner’s decision; and</w:t>
      </w:r>
    </w:p>
    <w:p>
      <w:pPr>
        <w:pStyle w:val="Indenta"/>
      </w:pPr>
      <w:r>
        <w:tab/>
        <w:t>(b)</w:t>
      </w:r>
      <w:r>
        <w:tab/>
        <w:t xml:space="preserve">if the decision is to not remove the special condition, give the licensee notice in writing setting out — </w:t>
      </w:r>
    </w:p>
    <w:p>
      <w:pPr>
        <w:pStyle w:val="Indenti"/>
      </w:pPr>
      <w:r>
        <w:tab/>
        <w:t>(i)</w:t>
      </w:r>
      <w:r>
        <w:tab/>
        <w:t>the reasons for the decision; and</w:t>
      </w:r>
    </w:p>
    <w:p>
      <w:pPr>
        <w:pStyle w:val="Indenti"/>
      </w:pPr>
      <w:r>
        <w:lastRenderedPageBreak/>
        <w:tab/>
        <w:t>(ii)</w:t>
      </w:r>
      <w:r>
        <w:tab/>
        <w:t>that a person aggrieved by the Commissioner’s decision may apply to the State Administrative Tribunal for a review of the decision under section 23.</w:t>
      </w:r>
    </w:p>
    <w:p>
      <w:pPr>
        <w:pStyle w:val="Footnotesection"/>
      </w:pPr>
      <w:r>
        <w:tab/>
        <w:t>[Section 34AB inserted: No. 25 of 2019 s. 80.]</w:t>
      </w:r>
    </w:p>
    <w:p>
      <w:pPr>
        <w:pStyle w:val="Heading5"/>
      </w:pPr>
      <w:bookmarkStart w:id="29" w:name="_Toc99522665"/>
      <w:r>
        <w:rPr>
          <w:rStyle w:val="CharSectno"/>
        </w:rPr>
        <w:t>34A</w:t>
      </w:r>
      <w:r>
        <w:rPr>
          <w:snapToGrid w:val="0"/>
        </w:rPr>
        <w:t>.</w:t>
      </w:r>
      <w:r>
        <w:tab/>
        <w:t>Commissioner may grant licence or triennial certificate without notice to applicant</w:t>
      </w:r>
      <w:bookmarkEnd w:id="29"/>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No. 55 of 2004 s. 1087; amended: No. 58 of 2010 s. 144 and 176; No. 23 of 2014 s. 102.]</w:t>
      </w:r>
    </w:p>
    <w:p>
      <w:pPr>
        <w:pStyle w:val="Heading5"/>
      </w:pPr>
      <w:bookmarkStart w:id="30" w:name="_Toc99522666"/>
      <w:r>
        <w:rPr>
          <w:rStyle w:val="CharSectno"/>
        </w:rPr>
        <w:t>34B</w:t>
      </w:r>
      <w:r>
        <w:t>.</w:t>
      </w:r>
      <w:r>
        <w:tab/>
        <w:t>SAT may suspend licence in some cases</w:t>
      </w:r>
      <w:bookmarkEnd w:id="30"/>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No. 55 of 2004 s. 1087.]</w:t>
      </w:r>
    </w:p>
    <w:p>
      <w:pPr>
        <w:pStyle w:val="Heading5"/>
      </w:pPr>
      <w:bookmarkStart w:id="31" w:name="_Toc99522667"/>
      <w:r>
        <w:rPr>
          <w:rStyle w:val="CharSectno"/>
        </w:rPr>
        <w:lastRenderedPageBreak/>
        <w:t>34C</w:t>
      </w:r>
      <w:r>
        <w:t>.</w:t>
      </w:r>
      <w:r>
        <w:tab/>
        <w:t>Licensee may surrender licence and triennial certificate</w:t>
      </w:r>
      <w:bookmarkEnd w:id="31"/>
    </w:p>
    <w:p>
      <w:pPr>
        <w:pStyle w:val="Subsection"/>
      </w:pPr>
      <w:r>
        <w:tab/>
      </w:r>
      <w:r>
        <w:tab/>
        <w:t>A licensee may surrender the licensee’s triennial certificate, or licence and triennial certificate held in respect of the licence, at any time.</w:t>
      </w:r>
    </w:p>
    <w:p>
      <w:pPr>
        <w:pStyle w:val="Footnotesection"/>
      </w:pPr>
      <w:r>
        <w:tab/>
        <w:t>[Section 34C inserted: No. 25 of 2019 s. 81.]</w:t>
      </w:r>
    </w:p>
    <w:p>
      <w:pPr>
        <w:pStyle w:val="Heading5"/>
      </w:pPr>
      <w:bookmarkStart w:id="32" w:name="_Toc99522668"/>
      <w:r>
        <w:rPr>
          <w:rStyle w:val="CharSectno"/>
        </w:rPr>
        <w:t>34D</w:t>
      </w:r>
      <w:r>
        <w:t>.</w:t>
      </w:r>
      <w:r>
        <w:tab/>
        <w:t>Firm or body corporate must surrender licence and triennial certificate in certain circumstances</w:t>
      </w:r>
      <w:bookmarkEnd w:id="32"/>
    </w:p>
    <w:p>
      <w:pPr>
        <w:pStyle w:val="Subsection"/>
      </w:pPr>
      <w:r>
        <w:tab/>
        <w:t>(1)</w:t>
      </w:r>
      <w:r>
        <w:tab/>
        <w:t>This section applies to a licensee that is a firm or body corporate if paragraph (c) or (d) of section 28(1) or 29(1) (as is relevant) ceases to apply in relation to the licensee.</w:t>
      </w:r>
    </w:p>
    <w:p>
      <w:pPr>
        <w:pStyle w:val="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pPr>
        <w:pStyle w:val="Subsection"/>
        <w:keepNext/>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pPr>
        <w:pStyle w:val="Footnotesection"/>
      </w:pPr>
      <w:r>
        <w:tab/>
        <w:t>[Section 34D inserted: No. 25 of 2019 s. 81.]</w:t>
      </w:r>
    </w:p>
    <w:p>
      <w:pPr>
        <w:pStyle w:val="Heading5"/>
        <w:spacing w:before="200"/>
        <w:rPr>
          <w:snapToGrid w:val="0"/>
        </w:rPr>
      </w:pPr>
      <w:bookmarkStart w:id="33" w:name="_Toc99522669"/>
      <w:r>
        <w:rPr>
          <w:rStyle w:val="CharSectno"/>
        </w:rPr>
        <w:t>35</w:t>
      </w:r>
      <w:r>
        <w:rPr>
          <w:snapToGrid w:val="0"/>
        </w:rPr>
        <w:t>.</w:t>
      </w:r>
      <w:r>
        <w:rPr>
          <w:snapToGrid w:val="0"/>
        </w:rPr>
        <w:tab/>
        <w:t>Fidelity insurance and professional indemnity insurance for licensees</w:t>
      </w:r>
      <w:bookmarkEnd w:id="33"/>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lastRenderedPageBreak/>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lastRenderedPageBreak/>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lastRenderedPageBreak/>
        <w:tab/>
        <w:t>(9)</w:t>
      </w:r>
      <w:r>
        <w:rPr>
          <w:snapToGrid w:val="0"/>
        </w:rPr>
        <w:tab/>
        <w:t>Nothing in this section affects the right of a settlement agent to take out additional fidelity insurance or professional indemnity insurance.</w:t>
      </w:r>
    </w:p>
    <w:p>
      <w:pPr>
        <w:pStyle w:val="Footnotesection"/>
      </w:pPr>
      <w:r>
        <w:tab/>
        <w:t>[Section 35 amended: No. 51 of 1986 s. 46; No. 58 of 2010 s. 176.]</w:t>
      </w:r>
    </w:p>
    <w:p>
      <w:pPr>
        <w:pStyle w:val="Heading5"/>
        <w:rPr>
          <w:snapToGrid w:val="0"/>
        </w:rPr>
      </w:pPr>
      <w:bookmarkStart w:id="34" w:name="_Toc99522670"/>
      <w:r>
        <w:rPr>
          <w:rStyle w:val="CharSectno"/>
        </w:rPr>
        <w:t>36</w:t>
      </w:r>
      <w:r>
        <w:rPr>
          <w:snapToGrid w:val="0"/>
        </w:rPr>
        <w:t>.</w:t>
      </w:r>
      <w:r>
        <w:rPr>
          <w:snapToGrid w:val="0"/>
        </w:rPr>
        <w:tab/>
        <w:t>Licensees to notify Commissioner of certain changes</w:t>
      </w:r>
      <w:bookmarkEnd w:id="34"/>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keepNext/>
      </w:pPr>
      <w:r>
        <w:lastRenderedPageBreak/>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No. 26 of 1999 s. 102(4); No. 21 of 2003 s. 23; No. 58 of 2010 s. 176; No. 23 of 2014 s. 103.]</w:t>
      </w:r>
    </w:p>
    <w:p>
      <w:pPr>
        <w:pStyle w:val="Heading5"/>
        <w:rPr>
          <w:snapToGrid w:val="0"/>
        </w:rPr>
      </w:pPr>
      <w:bookmarkStart w:id="35" w:name="_Toc99522671"/>
      <w:r>
        <w:rPr>
          <w:rStyle w:val="CharSectno"/>
        </w:rPr>
        <w:t>37</w:t>
      </w:r>
      <w:r>
        <w:rPr>
          <w:snapToGrid w:val="0"/>
        </w:rPr>
        <w:t>.</w:t>
      </w:r>
      <w:r>
        <w:rPr>
          <w:snapToGrid w:val="0"/>
        </w:rPr>
        <w:tab/>
        <w:t>Registered office of licensee</w:t>
      </w:r>
      <w:bookmarkEnd w:id="35"/>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No. 59 of 1995 s. 85; No. 58 of 2010 s. 176.]</w:t>
      </w:r>
    </w:p>
    <w:p>
      <w:pPr>
        <w:pStyle w:val="Heading5"/>
        <w:rPr>
          <w:snapToGrid w:val="0"/>
        </w:rPr>
      </w:pPr>
      <w:bookmarkStart w:id="36" w:name="_Toc99522672"/>
      <w:r>
        <w:rPr>
          <w:rStyle w:val="CharSectno"/>
        </w:rPr>
        <w:t>38</w:t>
      </w:r>
      <w:r>
        <w:rPr>
          <w:snapToGrid w:val="0"/>
        </w:rPr>
        <w:t>.</w:t>
      </w:r>
      <w:r>
        <w:rPr>
          <w:snapToGrid w:val="0"/>
        </w:rPr>
        <w:tab/>
        <w:t>Branch office of licensee</w:t>
      </w:r>
      <w:bookmarkEnd w:id="36"/>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lastRenderedPageBreak/>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No. 59 of 1995 s. 85; No. 58 of 2010 s. 176.]</w:t>
      </w:r>
    </w:p>
    <w:p>
      <w:pPr>
        <w:pStyle w:val="Heading5"/>
        <w:rPr>
          <w:snapToGrid w:val="0"/>
        </w:rPr>
      </w:pPr>
      <w:bookmarkStart w:id="37" w:name="_Toc99522673"/>
      <w:r>
        <w:rPr>
          <w:rStyle w:val="CharSectno"/>
        </w:rPr>
        <w:t>39</w:t>
      </w:r>
      <w:r>
        <w:rPr>
          <w:snapToGrid w:val="0"/>
        </w:rPr>
        <w:t>.</w:t>
      </w:r>
      <w:r>
        <w:rPr>
          <w:snapToGrid w:val="0"/>
        </w:rPr>
        <w:tab/>
        <w:t>Triennial certificates, contents of</w:t>
      </w:r>
      <w:bookmarkEnd w:id="37"/>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38" w:name="_Toc99522674"/>
      <w:r>
        <w:rPr>
          <w:rStyle w:val="CharSectno"/>
        </w:rPr>
        <w:t>40</w:t>
      </w:r>
      <w:r>
        <w:rPr>
          <w:snapToGrid w:val="0"/>
        </w:rPr>
        <w:t>.</w:t>
      </w:r>
      <w:r>
        <w:rPr>
          <w:snapToGrid w:val="0"/>
        </w:rPr>
        <w:tab/>
        <w:t>Licence and triennial certificate not transferable etc.</w:t>
      </w:r>
      <w:bookmarkEnd w:id="38"/>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keepNext/>
        <w:rPr>
          <w:snapToGrid w:val="0"/>
        </w:rPr>
      </w:pPr>
      <w:r>
        <w:rPr>
          <w:snapToGrid w:val="0"/>
        </w:rPr>
        <w:lastRenderedPageBreak/>
        <w:tab/>
        <w:t>(3)</w:t>
      </w:r>
      <w:r>
        <w:rPr>
          <w:snapToGrid w:val="0"/>
        </w:rPr>
        <w:tab/>
        <w:t>A licensee shall not in any way permit, or hold himself out as being willing to permit, another person to use the licence or a triennial certificate of the licensee.</w:t>
      </w:r>
    </w:p>
    <w:p>
      <w:pPr>
        <w:pStyle w:val="Penstart"/>
        <w:keepNext/>
        <w:rPr>
          <w:snapToGrid w:val="0"/>
        </w:rPr>
      </w:pPr>
      <w:r>
        <w:rPr>
          <w:snapToGrid w:val="0"/>
        </w:rPr>
        <w:tab/>
      </w:r>
      <w:r>
        <w:rPr>
          <w:szCs w:val="24"/>
        </w:rPr>
        <w:t xml:space="preserve">Penalty for this subsection: a fine of </w:t>
      </w:r>
      <w:r>
        <w:rPr>
          <w:snapToGrid w:val="0"/>
          <w:szCs w:val="24"/>
        </w:rPr>
        <w:t>$100 000.</w:t>
      </w:r>
    </w:p>
    <w:p>
      <w:pPr>
        <w:pStyle w:val="Footnotesection"/>
        <w:spacing w:before="80"/>
        <w:ind w:left="890" w:hanging="890"/>
      </w:pPr>
      <w:r>
        <w:tab/>
        <w:t>[Section 40 amended: No. 59 of 1995 s. 85; No. 25 of 2019 s. 88.]</w:t>
      </w:r>
    </w:p>
    <w:p>
      <w:pPr>
        <w:pStyle w:val="Heading5"/>
      </w:pPr>
      <w:bookmarkStart w:id="39" w:name="_Toc99522675"/>
      <w:r>
        <w:rPr>
          <w:rStyle w:val="CharSectno"/>
        </w:rPr>
        <w:t>41A</w:t>
      </w:r>
      <w:r>
        <w:t>.</w:t>
      </w:r>
      <w:r>
        <w:tab/>
        <w:t>Duplicate licence or triennial certificate</w:t>
      </w:r>
      <w:bookmarkEnd w:id="39"/>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No. 23 of 2014 s. 104.]</w:t>
      </w:r>
    </w:p>
    <w:p>
      <w:pPr>
        <w:pStyle w:val="Heading5"/>
      </w:pPr>
      <w:bookmarkStart w:id="40" w:name="_Toc99522676"/>
      <w:r>
        <w:rPr>
          <w:rStyle w:val="CharSectno"/>
        </w:rPr>
        <w:t>41B</w:t>
      </w:r>
      <w:r>
        <w:t>.</w:t>
      </w:r>
      <w:r>
        <w:tab/>
        <w:t>Licensee to comply with prescribed educational requirements</w:t>
      </w:r>
      <w:bookmarkEnd w:id="40"/>
    </w:p>
    <w:p>
      <w:pPr>
        <w:pStyle w:val="Subsection"/>
      </w:pPr>
      <w:r>
        <w:tab/>
      </w:r>
      <w:r>
        <w:tab/>
        <w:t xml:space="preserve">A licensee must comply with the educational requirements prescribed by the regulations. </w:t>
      </w:r>
    </w:p>
    <w:p>
      <w:pPr>
        <w:pStyle w:val="Penstart"/>
      </w:pPr>
      <w:r>
        <w:tab/>
        <w:t>Penalty: a fine of $5 000.</w:t>
      </w:r>
    </w:p>
    <w:p>
      <w:pPr>
        <w:pStyle w:val="Footnotesection"/>
        <w:spacing w:before="80"/>
        <w:ind w:left="890" w:hanging="890"/>
      </w:pPr>
      <w:r>
        <w:tab/>
        <w:t>[Section 41B inserted: No. 25 of 2019 s. 82.]</w:t>
      </w:r>
    </w:p>
    <w:p>
      <w:pPr>
        <w:pStyle w:val="Heading5"/>
        <w:rPr>
          <w:snapToGrid w:val="0"/>
        </w:rPr>
      </w:pPr>
      <w:bookmarkStart w:id="41" w:name="_Toc99522677"/>
      <w:r>
        <w:rPr>
          <w:rStyle w:val="CharSectno"/>
        </w:rPr>
        <w:t>41</w:t>
      </w:r>
      <w:r>
        <w:rPr>
          <w:snapToGrid w:val="0"/>
        </w:rPr>
        <w:t>.</w:t>
      </w:r>
      <w:r>
        <w:rPr>
          <w:snapToGrid w:val="0"/>
        </w:rPr>
        <w:tab/>
        <w:t>Use of business names by licensees</w:t>
      </w:r>
      <w:bookmarkEnd w:id="41"/>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keepNext/>
        <w:keepLines/>
        <w:spacing w:before="120"/>
        <w:rPr>
          <w:snapToGrid w:val="0"/>
        </w:rPr>
      </w:pPr>
      <w:r>
        <w:rPr>
          <w:snapToGrid w:val="0"/>
        </w:rPr>
        <w:lastRenderedPageBreak/>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No. 59 of 1995 s. 85; No. 58 of 2010 s. 176.]</w:t>
      </w:r>
    </w:p>
    <w:p>
      <w:pPr>
        <w:pStyle w:val="Heading5"/>
        <w:spacing w:before="200"/>
        <w:rPr>
          <w:snapToGrid w:val="0"/>
        </w:rPr>
      </w:pPr>
      <w:bookmarkStart w:id="42" w:name="_Toc99522678"/>
      <w:r>
        <w:rPr>
          <w:rStyle w:val="CharSectno"/>
        </w:rPr>
        <w:t>42</w:t>
      </w:r>
      <w:r>
        <w:rPr>
          <w:snapToGrid w:val="0"/>
        </w:rPr>
        <w:t>.</w:t>
      </w:r>
      <w:r>
        <w:rPr>
          <w:snapToGrid w:val="0"/>
        </w:rPr>
        <w:tab/>
        <w:t>Notices to be exhibited at offices; particulars to appear on documents</w:t>
      </w:r>
      <w:bookmarkEnd w:id="42"/>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43" w:name="_Toc99521098"/>
      <w:bookmarkStart w:id="44" w:name="_Toc99521400"/>
      <w:bookmarkStart w:id="45" w:name="_Toc99522679"/>
      <w:r>
        <w:rPr>
          <w:rStyle w:val="CharPartNo"/>
        </w:rPr>
        <w:lastRenderedPageBreak/>
        <w:t>Part IV</w:t>
      </w:r>
      <w:r>
        <w:t> — </w:t>
      </w:r>
      <w:r>
        <w:rPr>
          <w:rStyle w:val="CharPartText"/>
        </w:rPr>
        <w:t>Controls</w:t>
      </w:r>
      <w:bookmarkEnd w:id="43"/>
      <w:bookmarkEnd w:id="44"/>
      <w:bookmarkEnd w:id="45"/>
    </w:p>
    <w:p>
      <w:pPr>
        <w:pStyle w:val="Heading3"/>
      </w:pPr>
      <w:bookmarkStart w:id="46" w:name="_Toc99521099"/>
      <w:bookmarkStart w:id="47" w:name="_Toc99521401"/>
      <w:bookmarkStart w:id="48" w:name="_Toc99522680"/>
      <w:r>
        <w:rPr>
          <w:rStyle w:val="CharDivNo"/>
        </w:rPr>
        <w:t>Division 1</w:t>
      </w:r>
      <w:r>
        <w:rPr>
          <w:snapToGrid w:val="0"/>
        </w:rPr>
        <w:t> — </w:t>
      </w:r>
      <w:r>
        <w:rPr>
          <w:rStyle w:val="CharDivText"/>
        </w:rPr>
        <w:t>General</w:t>
      </w:r>
      <w:bookmarkEnd w:id="46"/>
      <w:bookmarkEnd w:id="47"/>
      <w:bookmarkEnd w:id="48"/>
    </w:p>
    <w:p>
      <w:pPr>
        <w:pStyle w:val="Heading5"/>
        <w:rPr>
          <w:snapToGrid w:val="0"/>
        </w:rPr>
      </w:pPr>
      <w:bookmarkStart w:id="49" w:name="_Toc99522681"/>
      <w:r>
        <w:rPr>
          <w:rStyle w:val="CharSectno"/>
        </w:rPr>
        <w:t>43</w:t>
      </w:r>
      <w:r>
        <w:rPr>
          <w:snapToGrid w:val="0"/>
        </w:rPr>
        <w:t>.</w:t>
      </w:r>
      <w:r>
        <w:rPr>
          <w:snapToGrid w:val="0"/>
        </w:rPr>
        <w:tab/>
        <w:t>Remuneration of settlement agents</w:t>
      </w:r>
      <w:bookmarkEnd w:id="49"/>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lastRenderedPageBreak/>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lastRenderedPageBreak/>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No. 59 of 1995 s. 64 and 85; No. 58 of 2010 s. 145.]</w:t>
      </w:r>
    </w:p>
    <w:p>
      <w:pPr>
        <w:pStyle w:val="Heading5"/>
        <w:rPr>
          <w:snapToGrid w:val="0"/>
        </w:rPr>
      </w:pPr>
      <w:bookmarkStart w:id="50" w:name="_Toc99522682"/>
      <w:r>
        <w:rPr>
          <w:rStyle w:val="CharSectno"/>
        </w:rPr>
        <w:t>44</w:t>
      </w:r>
      <w:r>
        <w:rPr>
          <w:snapToGrid w:val="0"/>
        </w:rPr>
        <w:t>.</w:t>
      </w:r>
      <w:r>
        <w:rPr>
          <w:snapToGrid w:val="0"/>
        </w:rPr>
        <w:tab/>
        <w:t>Maximum remuneration, disputes over remuneration etc.</w:t>
      </w:r>
      <w:bookmarkEnd w:id="50"/>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lastRenderedPageBreak/>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No. 59 of 1995 s. 65; No. 58 of 2010 s. 146 and 176.]</w:t>
      </w:r>
    </w:p>
    <w:p>
      <w:pPr>
        <w:pStyle w:val="Heading5"/>
        <w:rPr>
          <w:snapToGrid w:val="0"/>
        </w:rPr>
      </w:pPr>
      <w:bookmarkStart w:id="51" w:name="_Toc99522683"/>
      <w:r>
        <w:rPr>
          <w:rStyle w:val="CharSectno"/>
        </w:rPr>
        <w:lastRenderedPageBreak/>
        <w:t>45</w:t>
      </w:r>
      <w:r>
        <w:rPr>
          <w:snapToGrid w:val="0"/>
        </w:rPr>
        <w:t>.</w:t>
      </w:r>
      <w:r>
        <w:rPr>
          <w:snapToGrid w:val="0"/>
        </w:rPr>
        <w:tab/>
        <w:t>Records and premises, licensees’ duties as to</w:t>
      </w:r>
      <w:bookmarkEnd w:id="51"/>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No. 59 of 1995 s. 85.]</w:t>
      </w:r>
    </w:p>
    <w:p>
      <w:pPr>
        <w:pStyle w:val="Heading5"/>
        <w:rPr>
          <w:snapToGrid w:val="0"/>
        </w:rPr>
      </w:pPr>
      <w:bookmarkStart w:id="52" w:name="_Toc99522684"/>
      <w:r>
        <w:rPr>
          <w:rStyle w:val="CharSectno"/>
        </w:rPr>
        <w:t>46</w:t>
      </w:r>
      <w:r>
        <w:rPr>
          <w:snapToGrid w:val="0"/>
        </w:rPr>
        <w:t>.</w:t>
      </w:r>
      <w:r>
        <w:rPr>
          <w:snapToGrid w:val="0"/>
        </w:rPr>
        <w:tab/>
        <w:t>Real estate settlement agents, functions of</w:t>
      </w:r>
      <w:bookmarkEnd w:id="52"/>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t xml:space="preserve"> or the </w:t>
      </w:r>
      <w:r>
        <w:rPr>
          <w:i/>
        </w:rPr>
        <w:t>Community Titles Act 2018</w:t>
      </w:r>
      <w:r>
        <w:t xml:space="preserve"> or the </w:t>
      </w:r>
      <w:r>
        <w:rPr>
          <w:i/>
        </w:rPr>
        <w:t>Strata Titles Act 1985</w:t>
      </w:r>
      <w:r>
        <w:t>; or</w:t>
      </w:r>
    </w:p>
    <w:p>
      <w:pPr>
        <w:pStyle w:val="Indenta"/>
        <w:rPr>
          <w:snapToGrid w:val="0"/>
        </w:rPr>
      </w:pPr>
      <w:r>
        <w:rPr>
          <w:snapToGrid w:val="0"/>
        </w:rPr>
        <w:tab/>
        <w:t>(b)</w:t>
      </w:r>
      <w:r>
        <w:rPr>
          <w:snapToGrid w:val="0"/>
        </w:rPr>
        <w:tab/>
        <w:t xml:space="preserve">is leasehold (other than land </w:t>
      </w:r>
      <w:r>
        <w:t xml:space="preserve">the subject of a strata lease as defined in the </w:t>
      </w:r>
      <w:r>
        <w:rPr>
          <w:i/>
        </w:rPr>
        <w:t>Strata Titles Act 1985</w:t>
      </w:r>
      <w:r>
        <w:t xml:space="preserve"> section 3(1) or land </w:t>
      </w:r>
      <w:r>
        <w:rPr>
          <w:snapToGrid w:val="0"/>
        </w:rPr>
        <w:t xml:space="preserve">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keepNext/>
        <w:spacing w:before="140"/>
        <w:rPr>
          <w:snapToGrid w:val="0"/>
        </w:rPr>
      </w:pPr>
      <w:r>
        <w:rPr>
          <w:snapToGrid w:val="0"/>
        </w:rPr>
        <w:tab/>
        <w:t>(3)</w:t>
      </w:r>
      <w:r>
        <w:rPr>
          <w:snapToGrid w:val="0"/>
        </w:rPr>
        <w:tab/>
        <w:t xml:space="preserve">A licensee who holds a current triennial certificate may act for either the vendor, the purchaser, or the mortgagee, in a settlement referred to in subsection (1) but may not act for more </w:t>
      </w:r>
      <w:r>
        <w:rPr>
          <w:snapToGrid w:val="0"/>
        </w:rPr>
        <w:lastRenderedPageBreak/>
        <w:t>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lastRenderedPageBreak/>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No. 31 of 1997 s. 141; No. 65 of 2003 s. 66(3); No. 38 of 2005 s. 15; No. 21 of 2008 s. 704(3); No. 19 of 2010 s. 51; No. 2 of 2014 s. 57; No. 30 of 2018 s. 188; No. 32 of 2018 s. 248.]</w:t>
      </w:r>
    </w:p>
    <w:p>
      <w:pPr>
        <w:pStyle w:val="Heading5"/>
        <w:rPr>
          <w:snapToGrid w:val="0"/>
        </w:rPr>
      </w:pPr>
      <w:bookmarkStart w:id="53" w:name="_Toc99522685"/>
      <w:r>
        <w:rPr>
          <w:rStyle w:val="CharSectno"/>
        </w:rPr>
        <w:lastRenderedPageBreak/>
        <w:t>47</w:t>
      </w:r>
      <w:r>
        <w:rPr>
          <w:snapToGrid w:val="0"/>
        </w:rPr>
        <w:t>.</w:t>
      </w:r>
      <w:r>
        <w:rPr>
          <w:snapToGrid w:val="0"/>
        </w:rPr>
        <w:tab/>
        <w:t>Business settlement agents, functions of</w:t>
      </w:r>
      <w:bookmarkEnd w:id="53"/>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 xml:space="preserve">is comprised in whole or in part of real estate not being an interest in leasehold (except </w:t>
      </w:r>
      <w:r>
        <w:t xml:space="preserve">a strata lease as defined in the </w:t>
      </w:r>
      <w:r>
        <w:rPr>
          <w:i/>
        </w:rPr>
        <w:t>Strata Titles Act 1985</w:t>
      </w:r>
      <w:r>
        <w:t xml:space="preserve"> section 3(1) or</w:t>
      </w:r>
      <w:r>
        <w:rPr>
          <w:snapToGrid w:val="0"/>
        </w:rPr>
        <w:t xml:space="preserve">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Footnotesection"/>
        <w:ind w:left="890" w:hanging="890"/>
      </w:pPr>
      <w:r>
        <w:tab/>
        <w:t>[Section 47 amended: No. 30 of 2018 s. 189.]</w:t>
      </w:r>
    </w:p>
    <w:p>
      <w:pPr>
        <w:pStyle w:val="Heading3"/>
        <w:keepLines/>
      </w:pPr>
      <w:bookmarkStart w:id="54" w:name="_Toc99521105"/>
      <w:bookmarkStart w:id="55" w:name="_Toc99521407"/>
      <w:bookmarkStart w:id="56" w:name="_Toc99522686"/>
      <w:r>
        <w:rPr>
          <w:rStyle w:val="CharDivNo"/>
        </w:rPr>
        <w:lastRenderedPageBreak/>
        <w:t>Division 2</w:t>
      </w:r>
      <w:r>
        <w:rPr>
          <w:snapToGrid w:val="0"/>
        </w:rPr>
        <w:t> — </w:t>
      </w:r>
      <w:r>
        <w:rPr>
          <w:rStyle w:val="CharDivText"/>
        </w:rPr>
        <w:t>Trust accounts</w:t>
      </w:r>
      <w:bookmarkEnd w:id="54"/>
      <w:bookmarkEnd w:id="55"/>
      <w:bookmarkEnd w:id="56"/>
    </w:p>
    <w:p>
      <w:pPr>
        <w:pStyle w:val="Heading5"/>
        <w:rPr>
          <w:snapToGrid w:val="0"/>
        </w:rPr>
      </w:pPr>
      <w:bookmarkStart w:id="57" w:name="_Toc99522687"/>
      <w:r>
        <w:rPr>
          <w:rStyle w:val="CharSectno"/>
        </w:rPr>
        <w:t>48</w:t>
      </w:r>
      <w:r>
        <w:rPr>
          <w:snapToGrid w:val="0"/>
        </w:rPr>
        <w:t>.</w:t>
      </w:r>
      <w:r>
        <w:rPr>
          <w:snapToGrid w:val="0"/>
        </w:rPr>
        <w:tab/>
        <w:t>Terms used</w:t>
      </w:r>
      <w:bookmarkEnd w:id="57"/>
    </w:p>
    <w:p>
      <w:pPr>
        <w:pStyle w:val="Subsection"/>
        <w:keepNext/>
        <w:keepLines/>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No. 59 of 1995 s. 66; No. 26 of 1999 s. 102(5).]</w:t>
      </w:r>
    </w:p>
    <w:p>
      <w:pPr>
        <w:pStyle w:val="Heading5"/>
        <w:rPr>
          <w:snapToGrid w:val="0"/>
        </w:rPr>
      </w:pPr>
      <w:bookmarkStart w:id="58" w:name="_Toc99522688"/>
      <w:r>
        <w:rPr>
          <w:rStyle w:val="CharSectno"/>
        </w:rPr>
        <w:t>49</w:t>
      </w:r>
      <w:r>
        <w:rPr>
          <w:snapToGrid w:val="0"/>
        </w:rPr>
        <w:t>.</w:t>
      </w:r>
      <w:r>
        <w:rPr>
          <w:snapToGrid w:val="0"/>
        </w:rPr>
        <w:tab/>
        <w:t>Trust accounts etc. of licensees</w:t>
      </w:r>
      <w:bookmarkEnd w:id="58"/>
    </w:p>
    <w:p>
      <w:pPr>
        <w:pStyle w:val="Subsection"/>
        <w:rPr>
          <w:snapToGrid w:val="0"/>
        </w:rPr>
      </w:pPr>
      <w:r>
        <w:rPr>
          <w:snapToGrid w:val="0"/>
        </w:rPr>
        <w:tab/>
        <w:t>(1)</w:t>
      </w:r>
      <w:r>
        <w:rPr>
          <w:snapToGrid w:val="0"/>
        </w:rPr>
        <w:tab/>
        <w:t xml:space="preserve">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w:t>
      </w:r>
      <w:r>
        <w:rPr>
          <w:snapToGrid w:val="0"/>
        </w:rPr>
        <w:lastRenderedPageBreak/>
        <w:t>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 xml:space="preserve">the settlement agent is authorised in writing by the vendor to make a payment from those moneys to an agent as payment of the whole or part of the commission, reward or remuneration to which the agent </w:t>
      </w:r>
      <w:r>
        <w:lastRenderedPageBreak/>
        <w:t>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No. 59 of 1995 s. 67; No. 69 of 2006 s. 36.]</w:t>
      </w:r>
    </w:p>
    <w:p>
      <w:pPr>
        <w:pStyle w:val="Heading5"/>
        <w:rPr>
          <w:snapToGrid w:val="0"/>
        </w:rPr>
      </w:pPr>
      <w:bookmarkStart w:id="59" w:name="_Toc99522689"/>
      <w:r>
        <w:rPr>
          <w:rStyle w:val="CharSectno"/>
        </w:rPr>
        <w:t>49A</w:t>
      </w:r>
      <w:r>
        <w:rPr>
          <w:snapToGrid w:val="0"/>
        </w:rPr>
        <w:t>.</w:t>
      </w:r>
      <w:r>
        <w:rPr>
          <w:snapToGrid w:val="0"/>
        </w:rPr>
        <w:tab/>
        <w:t>Client may ask settlement agent for separate trust account</w:t>
      </w:r>
      <w:bookmarkEnd w:id="59"/>
    </w:p>
    <w:p>
      <w:pPr>
        <w:pStyle w:val="Subsection"/>
        <w:keepNext/>
        <w:rPr>
          <w:snapToGrid w:val="0"/>
        </w:rPr>
      </w:pPr>
      <w:r>
        <w:rPr>
          <w:snapToGrid w:val="0"/>
        </w:rPr>
        <w:tab/>
        <w:t>(1)</w:t>
      </w:r>
      <w:r>
        <w:rPr>
          <w:snapToGrid w:val="0"/>
        </w:rPr>
        <w:tab/>
        <w:t xml:space="preserve">A person may request that moneys paid by that person to a settlement agent in respect of a transaction be deposited to the </w:t>
      </w:r>
      <w:r>
        <w:rPr>
          <w:snapToGrid w:val="0"/>
        </w:rPr>
        <w:lastRenderedPageBreak/>
        <w:t>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No. 59 of 1995 s. 68.]</w:t>
      </w:r>
    </w:p>
    <w:p>
      <w:pPr>
        <w:pStyle w:val="Heading5"/>
        <w:rPr>
          <w:snapToGrid w:val="0"/>
        </w:rPr>
      </w:pPr>
      <w:bookmarkStart w:id="60" w:name="_Toc99522690"/>
      <w:r>
        <w:rPr>
          <w:rStyle w:val="CharSectno"/>
        </w:rPr>
        <w:t>49B</w:t>
      </w:r>
      <w:r>
        <w:rPr>
          <w:snapToGrid w:val="0"/>
        </w:rPr>
        <w:t xml:space="preserve">. </w:t>
      </w:r>
      <w:r>
        <w:rPr>
          <w:snapToGrid w:val="0"/>
        </w:rPr>
        <w:tab/>
        <w:t>Interest on trust accounts</w:t>
      </w:r>
      <w:bookmarkEnd w:id="60"/>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lastRenderedPageBreak/>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No. 59 of 1995 s. 68; amended: No. 46 of 2009 s. 15(3).]</w:t>
      </w:r>
    </w:p>
    <w:p>
      <w:pPr>
        <w:pStyle w:val="Heading5"/>
        <w:rPr>
          <w:snapToGrid w:val="0"/>
        </w:rPr>
      </w:pPr>
      <w:bookmarkStart w:id="61" w:name="_Toc99522691"/>
      <w:r>
        <w:rPr>
          <w:rStyle w:val="CharSectno"/>
        </w:rPr>
        <w:t>49C</w:t>
      </w:r>
      <w:r>
        <w:rPr>
          <w:snapToGrid w:val="0"/>
        </w:rPr>
        <w:t xml:space="preserve">. </w:t>
      </w:r>
      <w:r>
        <w:rPr>
          <w:snapToGrid w:val="0"/>
        </w:rPr>
        <w:tab/>
        <w:t>Settlement agents to give Commissioner information about trust accounts</w:t>
      </w:r>
      <w:bookmarkEnd w:id="61"/>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No. 59 of 1995 s. 68; amended: No. 58 of 2010 s. 176.]</w:t>
      </w:r>
    </w:p>
    <w:p>
      <w:pPr>
        <w:pStyle w:val="Heading5"/>
        <w:rPr>
          <w:snapToGrid w:val="0"/>
        </w:rPr>
      </w:pPr>
      <w:bookmarkStart w:id="62" w:name="_Toc99522692"/>
      <w:r>
        <w:rPr>
          <w:rStyle w:val="CharSectno"/>
        </w:rPr>
        <w:lastRenderedPageBreak/>
        <w:t>50</w:t>
      </w:r>
      <w:r>
        <w:rPr>
          <w:snapToGrid w:val="0"/>
        </w:rPr>
        <w:t>.</w:t>
      </w:r>
      <w:r>
        <w:rPr>
          <w:snapToGrid w:val="0"/>
        </w:rPr>
        <w:tab/>
        <w:t>Receipts, accounts etc. by settlement agents</w:t>
      </w:r>
      <w:bookmarkEnd w:id="62"/>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No. 59 of 1995 s. 69; No. 58 of 2010 s. 176.]</w:t>
      </w:r>
    </w:p>
    <w:p>
      <w:pPr>
        <w:pStyle w:val="Heading5"/>
        <w:rPr>
          <w:snapToGrid w:val="0"/>
        </w:rPr>
      </w:pPr>
      <w:bookmarkStart w:id="63" w:name="_Toc99522693"/>
      <w:r>
        <w:rPr>
          <w:rStyle w:val="CharSectno"/>
        </w:rPr>
        <w:t>51</w:t>
      </w:r>
      <w:r>
        <w:rPr>
          <w:snapToGrid w:val="0"/>
        </w:rPr>
        <w:t>.</w:t>
      </w:r>
      <w:r>
        <w:rPr>
          <w:snapToGrid w:val="0"/>
        </w:rPr>
        <w:tab/>
        <w:t>Audits of trust accounts</w:t>
      </w:r>
      <w:bookmarkEnd w:id="63"/>
    </w:p>
    <w:p>
      <w:pPr>
        <w:pStyle w:val="Subsection"/>
        <w:spacing w:before="150"/>
        <w:rPr>
          <w:snapToGrid w:val="0"/>
        </w:rPr>
      </w:pPr>
      <w:r>
        <w:rPr>
          <w:snapToGrid w:val="0"/>
        </w:rPr>
        <w:tab/>
        <w:t>(1)</w:t>
      </w:r>
      <w:r>
        <w:rPr>
          <w:snapToGrid w:val="0"/>
        </w:rPr>
        <w:tab/>
        <w:t xml:space="preserve">Every person who carries on business as a settlement agent during the whole or any part of a year shall cause his trust accounts for that year, or part of a year, as the case may be, to </w:t>
      </w:r>
      <w:r>
        <w:rPr>
          <w:snapToGrid w:val="0"/>
        </w:rPr>
        <w:lastRenderedPageBreak/>
        <w:t>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w:t>
      </w:r>
      <w:r>
        <w:rPr>
          <w:snapToGrid w:val="0"/>
        </w:rPr>
        <w:lastRenderedPageBreak/>
        <w:t xml:space="preserve">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No. 58 of 2010 s. 147 and 176.]</w:t>
      </w:r>
    </w:p>
    <w:p>
      <w:pPr>
        <w:pStyle w:val="Heading5"/>
        <w:rPr>
          <w:snapToGrid w:val="0"/>
        </w:rPr>
      </w:pPr>
      <w:bookmarkStart w:id="64" w:name="_Toc99522694"/>
      <w:r>
        <w:rPr>
          <w:rStyle w:val="CharSectno"/>
        </w:rPr>
        <w:t>52</w:t>
      </w:r>
      <w:r>
        <w:rPr>
          <w:snapToGrid w:val="0"/>
        </w:rPr>
        <w:t>.</w:t>
      </w:r>
      <w:r>
        <w:rPr>
          <w:snapToGrid w:val="0"/>
        </w:rPr>
        <w:tab/>
        <w:t>Date of audit, Commissioner may change</w:t>
      </w:r>
      <w:bookmarkEnd w:id="64"/>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keepNext/>
        <w:keepLines/>
        <w:rPr>
          <w:snapToGrid w:val="0"/>
        </w:rPr>
      </w:pPr>
      <w:r>
        <w:rPr>
          <w:snapToGrid w:val="0"/>
        </w:rPr>
        <w:lastRenderedPageBreak/>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No. 58 of 2010 s. 176.]</w:t>
      </w:r>
    </w:p>
    <w:p>
      <w:pPr>
        <w:pStyle w:val="Heading5"/>
        <w:rPr>
          <w:snapToGrid w:val="0"/>
        </w:rPr>
      </w:pPr>
      <w:bookmarkStart w:id="65" w:name="_Toc99522695"/>
      <w:r>
        <w:rPr>
          <w:rStyle w:val="CharSectno"/>
        </w:rPr>
        <w:t>53</w:t>
      </w:r>
      <w:r>
        <w:rPr>
          <w:snapToGrid w:val="0"/>
        </w:rPr>
        <w:t>.</w:t>
      </w:r>
      <w:r>
        <w:rPr>
          <w:snapToGrid w:val="0"/>
        </w:rPr>
        <w:tab/>
        <w:t>Auditors, qualification and approval of</w:t>
      </w:r>
      <w:bookmarkEnd w:id="65"/>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lastRenderedPageBreak/>
        <w:t>Commissioner</w:t>
      </w:r>
      <w:r>
        <w:rPr>
          <w:snapToGrid w:val="0"/>
        </w:rPr>
        <w:t xml:space="preserve"> thinks fit, disqualify that auditor from acting in that particular case.</w:t>
      </w:r>
    </w:p>
    <w:p>
      <w:pPr>
        <w:pStyle w:val="Footnotesection"/>
        <w:spacing w:before="100"/>
      </w:pPr>
      <w:r>
        <w:tab/>
        <w:t>[Section 53 amended: No. 10 of 1982 s. 28; No. 59 of 1995 s. 70; No. 10 of 2001 s. 220; No. 28 of 2003 s. 181; No. 58 of 2010 s. 176.]</w:t>
      </w:r>
    </w:p>
    <w:p>
      <w:pPr>
        <w:pStyle w:val="Heading5"/>
        <w:rPr>
          <w:snapToGrid w:val="0"/>
        </w:rPr>
      </w:pPr>
      <w:bookmarkStart w:id="66" w:name="_Toc99522696"/>
      <w:r>
        <w:rPr>
          <w:rStyle w:val="CharSectno"/>
        </w:rPr>
        <w:t>54</w:t>
      </w:r>
      <w:r>
        <w:rPr>
          <w:snapToGrid w:val="0"/>
        </w:rPr>
        <w:t>.</w:t>
      </w:r>
      <w:r>
        <w:rPr>
          <w:snapToGrid w:val="0"/>
        </w:rPr>
        <w:tab/>
        <w:t>Auditors, appointment of</w:t>
      </w:r>
      <w:bookmarkEnd w:id="66"/>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No. 58 of 2010 s. 176.]</w:t>
      </w:r>
    </w:p>
    <w:p>
      <w:pPr>
        <w:pStyle w:val="Heading5"/>
        <w:rPr>
          <w:snapToGrid w:val="0"/>
        </w:rPr>
      </w:pPr>
      <w:bookmarkStart w:id="67" w:name="_Toc99522697"/>
      <w:r>
        <w:rPr>
          <w:rStyle w:val="CharSectno"/>
        </w:rPr>
        <w:t>55</w:t>
      </w:r>
      <w:r>
        <w:rPr>
          <w:snapToGrid w:val="0"/>
        </w:rPr>
        <w:t>.</w:t>
      </w:r>
      <w:r>
        <w:rPr>
          <w:snapToGrid w:val="0"/>
        </w:rPr>
        <w:tab/>
        <w:t>Audit of business carried on at more than one place, directions as to</w:t>
      </w:r>
      <w:bookmarkEnd w:id="67"/>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No. 58 of 2010 s. 176.]</w:t>
      </w:r>
    </w:p>
    <w:p>
      <w:pPr>
        <w:pStyle w:val="Heading5"/>
        <w:rPr>
          <w:snapToGrid w:val="0"/>
        </w:rPr>
      </w:pPr>
      <w:bookmarkStart w:id="68" w:name="_Toc99522698"/>
      <w:r>
        <w:rPr>
          <w:rStyle w:val="CharSectno"/>
        </w:rPr>
        <w:lastRenderedPageBreak/>
        <w:t>56</w:t>
      </w:r>
      <w:r>
        <w:rPr>
          <w:snapToGrid w:val="0"/>
        </w:rPr>
        <w:t>.</w:t>
      </w:r>
      <w:r>
        <w:rPr>
          <w:snapToGrid w:val="0"/>
        </w:rPr>
        <w:tab/>
        <w:t>Approvals etc. under this Division, Commissioner’s power to cancel etc.</w:t>
      </w:r>
      <w:bookmarkEnd w:id="68"/>
    </w:p>
    <w:p>
      <w:pPr>
        <w:pStyle w:val="Subsection"/>
        <w:keepNext/>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No. 58 of 2010 s. 176.]</w:t>
      </w:r>
    </w:p>
    <w:p>
      <w:pPr>
        <w:pStyle w:val="Ednotesection"/>
      </w:pPr>
      <w:r>
        <w:t>[</w:t>
      </w:r>
      <w:r>
        <w:rPr>
          <w:b/>
        </w:rPr>
        <w:t>57.</w:t>
      </w:r>
      <w:r>
        <w:tab/>
        <w:t>Deleted: No. 55 of 2004 s. 1088.]</w:t>
      </w:r>
    </w:p>
    <w:p>
      <w:pPr>
        <w:pStyle w:val="Heading5"/>
        <w:rPr>
          <w:snapToGrid w:val="0"/>
        </w:rPr>
      </w:pPr>
      <w:bookmarkStart w:id="69" w:name="_Toc99522699"/>
      <w:r>
        <w:rPr>
          <w:rStyle w:val="CharSectno"/>
        </w:rPr>
        <w:t>58</w:t>
      </w:r>
      <w:r>
        <w:rPr>
          <w:snapToGrid w:val="0"/>
        </w:rPr>
        <w:t>.</w:t>
      </w:r>
      <w:r>
        <w:rPr>
          <w:snapToGrid w:val="0"/>
        </w:rPr>
        <w:tab/>
        <w:t>Audits, settlement agents’ duties and auditors’ powers as to</w:t>
      </w:r>
      <w:bookmarkEnd w:id="69"/>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70" w:name="_Toc99522700"/>
      <w:r>
        <w:rPr>
          <w:rStyle w:val="CharSectno"/>
        </w:rPr>
        <w:t>59</w:t>
      </w:r>
      <w:r>
        <w:rPr>
          <w:snapToGrid w:val="0"/>
        </w:rPr>
        <w:t>.</w:t>
      </w:r>
      <w:r>
        <w:rPr>
          <w:snapToGrid w:val="0"/>
        </w:rPr>
        <w:tab/>
        <w:t>Audits, bankers’ duties as to</w:t>
      </w:r>
      <w:bookmarkEnd w:id="70"/>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71" w:name="_Toc99522701"/>
      <w:r>
        <w:rPr>
          <w:rStyle w:val="CharSectno"/>
        </w:rPr>
        <w:lastRenderedPageBreak/>
        <w:t>60</w:t>
      </w:r>
      <w:r>
        <w:rPr>
          <w:snapToGrid w:val="0"/>
        </w:rPr>
        <w:t>.</w:t>
      </w:r>
      <w:r>
        <w:rPr>
          <w:snapToGrid w:val="0"/>
        </w:rPr>
        <w:tab/>
        <w:t>Auditors’ reports, content of</w:t>
      </w:r>
      <w:bookmarkEnd w:id="71"/>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No. 64 of 1982 s. 4; No. 59 of 1995 s. 71; No. 58 of 2010 s. 176.]</w:t>
      </w:r>
    </w:p>
    <w:p>
      <w:pPr>
        <w:pStyle w:val="Heading5"/>
        <w:rPr>
          <w:snapToGrid w:val="0"/>
        </w:rPr>
      </w:pPr>
      <w:bookmarkStart w:id="72" w:name="_Toc99522702"/>
      <w:r>
        <w:rPr>
          <w:rStyle w:val="CharSectno"/>
        </w:rPr>
        <w:t>61</w:t>
      </w:r>
      <w:r>
        <w:rPr>
          <w:snapToGrid w:val="0"/>
        </w:rPr>
        <w:t>.</w:t>
      </w:r>
      <w:r>
        <w:rPr>
          <w:snapToGrid w:val="0"/>
        </w:rPr>
        <w:tab/>
        <w:t>Moneys etc. held on trust, statement of by settlement agents</w:t>
      </w:r>
      <w:bookmarkEnd w:id="72"/>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lastRenderedPageBreak/>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73" w:name="_Toc99522703"/>
      <w:r>
        <w:rPr>
          <w:rStyle w:val="CharSectno"/>
        </w:rPr>
        <w:t>62</w:t>
      </w:r>
      <w:r>
        <w:rPr>
          <w:snapToGrid w:val="0"/>
        </w:rPr>
        <w:t>.</w:t>
      </w:r>
      <w:r>
        <w:rPr>
          <w:snapToGrid w:val="0"/>
        </w:rPr>
        <w:tab/>
        <w:t>Auditor’s report to report breaches of law etc.</w:t>
      </w:r>
      <w:bookmarkEnd w:id="73"/>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No. 58 of 2010 s. 176.]</w:t>
      </w:r>
    </w:p>
    <w:p>
      <w:pPr>
        <w:pStyle w:val="Heading5"/>
        <w:spacing w:before="180"/>
        <w:rPr>
          <w:snapToGrid w:val="0"/>
        </w:rPr>
      </w:pPr>
      <w:bookmarkStart w:id="74" w:name="_Toc99522704"/>
      <w:r>
        <w:rPr>
          <w:rStyle w:val="CharSectno"/>
        </w:rPr>
        <w:lastRenderedPageBreak/>
        <w:t>63</w:t>
      </w:r>
      <w:r>
        <w:rPr>
          <w:snapToGrid w:val="0"/>
        </w:rPr>
        <w:t>.</w:t>
      </w:r>
      <w:r>
        <w:rPr>
          <w:snapToGrid w:val="0"/>
        </w:rPr>
        <w:tab/>
        <w:t>Auditors’ duty of confidentiality</w:t>
      </w:r>
      <w:bookmarkEnd w:id="74"/>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75" w:name="_Toc99522705"/>
      <w:r>
        <w:rPr>
          <w:rStyle w:val="CharSectno"/>
        </w:rPr>
        <w:t>64</w:t>
      </w:r>
      <w:r>
        <w:rPr>
          <w:snapToGrid w:val="0"/>
        </w:rPr>
        <w:t>.</w:t>
      </w:r>
      <w:r>
        <w:rPr>
          <w:snapToGrid w:val="0"/>
        </w:rPr>
        <w:tab/>
        <w:t>Right of some persons to information in auditors’ reports</w:t>
      </w:r>
      <w:bookmarkEnd w:id="75"/>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No. 58 of 2010 s. 148 and 176.]</w:t>
      </w:r>
    </w:p>
    <w:p>
      <w:pPr>
        <w:pStyle w:val="Heading5"/>
        <w:rPr>
          <w:snapToGrid w:val="0"/>
        </w:rPr>
      </w:pPr>
      <w:bookmarkStart w:id="76" w:name="_Toc99522706"/>
      <w:r>
        <w:rPr>
          <w:rStyle w:val="CharSectno"/>
        </w:rPr>
        <w:lastRenderedPageBreak/>
        <w:t>65</w:t>
      </w:r>
      <w:r>
        <w:rPr>
          <w:snapToGrid w:val="0"/>
        </w:rPr>
        <w:t>.</w:t>
      </w:r>
      <w:r>
        <w:rPr>
          <w:snapToGrid w:val="0"/>
        </w:rPr>
        <w:tab/>
        <w:t>Offences under this Division</w:t>
      </w:r>
      <w:bookmarkEnd w:id="76"/>
    </w:p>
    <w:p>
      <w:pPr>
        <w:pStyle w:val="Subsection"/>
        <w:keepNext/>
        <w:rPr>
          <w:snapToGrid w:val="0"/>
        </w:rPr>
      </w:pPr>
      <w:r>
        <w:rPr>
          <w:snapToGrid w:val="0"/>
        </w:rPr>
        <w:tab/>
        <w:t>(1)</w:t>
      </w:r>
      <w:r>
        <w:rPr>
          <w:snapToGrid w:val="0"/>
        </w:rPr>
        <w:tab/>
        <w:t>A person who contravenes or does not observe any of the foregoing provisions of this Division commits an offence.</w:t>
      </w:r>
    </w:p>
    <w:p>
      <w:pPr>
        <w:pStyle w:val="Penstart"/>
        <w:keepNext/>
      </w:pPr>
      <w:r>
        <w:tab/>
        <w:t>Penalty for this subsection:</w:t>
      </w:r>
    </w:p>
    <w:p>
      <w:pPr>
        <w:pStyle w:val="Penpara"/>
      </w:pPr>
      <w:r>
        <w:tab/>
        <w:t>(a)</w:t>
      </w:r>
      <w:r>
        <w:tab/>
        <w:t>in the case of an offence against section 49(4) or (5), a fine of $25 000, or 2 years’ imprisonment;</w:t>
      </w:r>
    </w:p>
    <w:p>
      <w:pPr>
        <w:pStyle w:val="Penpara"/>
      </w:pPr>
      <w:r>
        <w:tab/>
        <w:t>(b)</w:t>
      </w:r>
      <w:r>
        <w:tab/>
        <w:t>in the case of an offence against section 49B(1), a fine of $50 000;</w:t>
      </w:r>
    </w:p>
    <w:p>
      <w:pPr>
        <w:pStyle w:val="Penpara"/>
      </w:pPr>
      <w:r>
        <w:tab/>
        <w:t>(c)</w:t>
      </w:r>
      <w:r>
        <w:tab/>
        <w:t>in any other case, a fine of $25 000.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No. 59 of 1995 s. 72; No. 25 of 2019 s. 83.]</w:t>
      </w:r>
    </w:p>
    <w:p>
      <w:pPr>
        <w:pStyle w:val="Heading5"/>
        <w:rPr>
          <w:snapToGrid w:val="0"/>
        </w:rPr>
      </w:pPr>
      <w:bookmarkStart w:id="77" w:name="_Toc99522707"/>
      <w:r>
        <w:rPr>
          <w:rStyle w:val="CharSectno"/>
        </w:rPr>
        <w:t>66</w:t>
      </w:r>
      <w:r>
        <w:rPr>
          <w:snapToGrid w:val="0"/>
        </w:rPr>
        <w:t>.</w:t>
      </w:r>
      <w:r>
        <w:rPr>
          <w:snapToGrid w:val="0"/>
        </w:rPr>
        <w:tab/>
        <w:t>Auditors’ remuneration</w:t>
      </w:r>
      <w:bookmarkEnd w:id="77"/>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78" w:name="_Toc99522708"/>
      <w:r>
        <w:rPr>
          <w:rStyle w:val="CharSectno"/>
        </w:rPr>
        <w:t>67</w:t>
      </w:r>
      <w:r>
        <w:rPr>
          <w:snapToGrid w:val="0"/>
        </w:rPr>
        <w:t>.</w:t>
      </w:r>
      <w:r>
        <w:rPr>
          <w:snapToGrid w:val="0"/>
        </w:rPr>
        <w:tab/>
        <w:t>Settlement agents with no accounts to audit</w:t>
      </w:r>
      <w:bookmarkEnd w:id="78"/>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No. 58 of 2010 s. 176.]</w:t>
      </w:r>
    </w:p>
    <w:p>
      <w:pPr>
        <w:pStyle w:val="Heading5"/>
        <w:rPr>
          <w:snapToGrid w:val="0"/>
        </w:rPr>
      </w:pPr>
      <w:bookmarkStart w:id="79" w:name="_Toc99522709"/>
      <w:r>
        <w:rPr>
          <w:rStyle w:val="CharSectno"/>
        </w:rPr>
        <w:lastRenderedPageBreak/>
        <w:t>68</w:t>
      </w:r>
      <w:r>
        <w:rPr>
          <w:snapToGrid w:val="0"/>
        </w:rPr>
        <w:t>.</w:t>
      </w:r>
      <w:r>
        <w:rPr>
          <w:snapToGrid w:val="0"/>
        </w:rPr>
        <w:tab/>
        <w:t>Accounts of firm or body corporate or settlement agent with branch office, effect of audits as to</w:t>
      </w:r>
      <w:bookmarkEnd w:id="79"/>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80" w:name="_Toc99522710"/>
      <w:r>
        <w:rPr>
          <w:rStyle w:val="CharSectno"/>
        </w:rPr>
        <w:t>69</w:t>
      </w:r>
      <w:r>
        <w:rPr>
          <w:snapToGrid w:val="0"/>
        </w:rPr>
        <w:t>.</w:t>
      </w:r>
      <w:r>
        <w:rPr>
          <w:snapToGrid w:val="0"/>
        </w:rPr>
        <w:tab/>
        <w:t>Audit of trust account, Commissioner may do</w:t>
      </w:r>
      <w:bookmarkEnd w:id="80"/>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No. 58 of 2010 s. 176.]</w:t>
      </w:r>
    </w:p>
    <w:p>
      <w:pPr>
        <w:pStyle w:val="Heading5"/>
        <w:rPr>
          <w:snapToGrid w:val="0"/>
        </w:rPr>
      </w:pPr>
      <w:bookmarkStart w:id="81" w:name="_Toc99522711"/>
      <w:r>
        <w:rPr>
          <w:rStyle w:val="CharSectno"/>
        </w:rPr>
        <w:lastRenderedPageBreak/>
        <w:t>70</w:t>
      </w:r>
      <w:r>
        <w:rPr>
          <w:snapToGrid w:val="0"/>
        </w:rPr>
        <w:t>.</w:t>
      </w:r>
      <w:r>
        <w:rPr>
          <w:snapToGrid w:val="0"/>
        </w:rPr>
        <w:tab/>
        <w:t>Settlement agent to allow Commissioner’s auditor etc. to inspect accounts etc.</w:t>
      </w:r>
      <w:bookmarkEnd w:id="81"/>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No. 58 of 2010 s. 176.]</w:t>
      </w:r>
    </w:p>
    <w:p>
      <w:pPr>
        <w:pStyle w:val="Heading5"/>
        <w:spacing w:before="240"/>
        <w:rPr>
          <w:snapToGrid w:val="0"/>
        </w:rPr>
      </w:pPr>
      <w:bookmarkStart w:id="82" w:name="_Toc99522712"/>
      <w:r>
        <w:rPr>
          <w:rStyle w:val="CharSectno"/>
        </w:rPr>
        <w:t>71</w:t>
      </w:r>
      <w:r>
        <w:rPr>
          <w:snapToGrid w:val="0"/>
        </w:rPr>
        <w:t>.</w:t>
      </w:r>
      <w:r>
        <w:rPr>
          <w:snapToGrid w:val="0"/>
        </w:rPr>
        <w:tab/>
        <w:t>Cost of audit done under s. 69</w:t>
      </w:r>
      <w:bookmarkEnd w:id="82"/>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No. 59 of 1995 s. 86; No. 77 of 2006 Sch. 1 cl. 156(2); No. 58 of 2010 s. 176.]</w:t>
      </w:r>
    </w:p>
    <w:p>
      <w:pPr>
        <w:pStyle w:val="Heading5"/>
        <w:spacing w:before="240"/>
        <w:rPr>
          <w:snapToGrid w:val="0"/>
        </w:rPr>
      </w:pPr>
      <w:bookmarkStart w:id="83" w:name="_Toc99522713"/>
      <w:r>
        <w:rPr>
          <w:rStyle w:val="CharSectno"/>
        </w:rPr>
        <w:t>72</w:t>
      </w:r>
      <w:r>
        <w:rPr>
          <w:snapToGrid w:val="0"/>
        </w:rPr>
        <w:t>.</w:t>
      </w:r>
      <w:r>
        <w:rPr>
          <w:snapToGrid w:val="0"/>
        </w:rPr>
        <w:tab/>
        <w:t>Application of s. 63 to certain persons</w:t>
      </w:r>
      <w:bookmarkEnd w:id="83"/>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No. 58 of 2010 s. 176.]</w:t>
      </w:r>
    </w:p>
    <w:p>
      <w:pPr>
        <w:pStyle w:val="Heading5"/>
        <w:spacing w:before="240"/>
        <w:rPr>
          <w:snapToGrid w:val="0"/>
        </w:rPr>
      </w:pPr>
      <w:bookmarkStart w:id="84" w:name="_Toc99522714"/>
      <w:r>
        <w:rPr>
          <w:rStyle w:val="CharSectno"/>
        </w:rPr>
        <w:lastRenderedPageBreak/>
        <w:t>73</w:t>
      </w:r>
      <w:r>
        <w:rPr>
          <w:snapToGrid w:val="0"/>
        </w:rPr>
        <w:t>.</w:t>
      </w:r>
      <w:r>
        <w:rPr>
          <w:snapToGrid w:val="0"/>
        </w:rPr>
        <w:tab/>
        <w:t>Restraining bank etc. from dealing with settlement agent’s account, SAT’s powers as to</w:t>
      </w:r>
      <w:bookmarkEnd w:id="84"/>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lastRenderedPageBreak/>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No. 59 of 1995 s. 84; No. 26 of 1999 s. 102(6); No. 55 of 2004 s. 1094; No. 58 of 2010 s. 176.]</w:t>
      </w:r>
    </w:p>
    <w:p>
      <w:pPr>
        <w:pStyle w:val="Heading5"/>
        <w:rPr>
          <w:snapToGrid w:val="0"/>
        </w:rPr>
      </w:pPr>
      <w:bookmarkStart w:id="85" w:name="_Toc99522715"/>
      <w:r>
        <w:rPr>
          <w:rStyle w:val="CharSectno"/>
        </w:rPr>
        <w:t>74</w:t>
      </w:r>
      <w:r>
        <w:rPr>
          <w:snapToGrid w:val="0"/>
        </w:rPr>
        <w:t>.</w:t>
      </w:r>
      <w:r>
        <w:rPr>
          <w:snapToGrid w:val="0"/>
        </w:rPr>
        <w:tab/>
        <w:t>Suspension of settlement agents, appointment of supervisors etc., SAT’s powers as to</w:t>
      </w:r>
      <w:bookmarkEnd w:id="85"/>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lastRenderedPageBreak/>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 xml:space="preserve">take possession of the moneys constituting the trust account of the settlement agent or deceased </w:t>
      </w:r>
      <w:r>
        <w:rPr>
          <w:snapToGrid w:val="0"/>
        </w:rPr>
        <w:lastRenderedPageBreak/>
        <w:t>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No. 59 of 1995 s. 86; No. 55 of 2004 s. 1094; No. 77 of 2006 Sch. 1 cl. 156(4) and (5); No. 58 of 2010 s. 176).]</w:t>
      </w:r>
    </w:p>
    <w:p>
      <w:pPr>
        <w:pStyle w:val="Heading5"/>
        <w:rPr>
          <w:snapToGrid w:val="0"/>
        </w:rPr>
      </w:pPr>
      <w:bookmarkStart w:id="86" w:name="_Toc99522716"/>
      <w:r>
        <w:rPr>
          <w:rStyle w:val="CharSectno"/>
        </w:rPr>
        <w:t>75</w:t>
      </w:r>
      <w:r>
        <w:rPr>
          <w:snapToGrid w:val="0"/>
        </w:rPr>
        <w:t>.</w:t>
      </w:r>
      <w:r>
        <w:rPr>
          <w:snapToGrid w:val="0"/>
        </w:rPr>
        <w:tab/>
        <w:t>Effect of s. 74 orders appointing supervisor</w:t>
      </w:r>
      <w:bookmarkEnd w:id="86"/>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w:t>
      </w:r>
      <w:r>
        <w:rPr>
          <w:snapToGrid w:val="0"/>
        </w:rPr>
        <w:lastRenderedPageBreak/>
        <w:t>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No. 98 of 1985 s. 3; No. 58 of 2010 s. 149 and 176.]</w:t>
      </w:r>
    </w:p>
    <w:p>
      <w:pPr>
        <w:pStyle w:val="Heading5"/>
        <w:rPr>
          <w:snapToGrid w:val="0"/>
        </w:rPr>
      </w:pPr>
      <w:bookmarkStart w:id="87" w:name="_Toc99522717"/>
      <w:r>
        <w:rPr>
          <w:rStyle w:val="CharSectno"/>
        </w:rPr>
        <w:t>76</w:t>
      </w:r>
      <w:r>
        <w:rPr>
          <w:snapToGrid w:val="0"/>
        </w:rPr>
        <w:t>.</w:t>
      </w:r>
      <w:r>
        <w:rPr>
          <w:snapToGrid w:val="0"/>
        </w:rPr>
        <w:tab/>
        <w:t>Supervisors’ duties</w:t>
      </w:r>
      <w:bookmarkEnd w:id="87"/>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 xml:space="preserve">the settlement agent to whom the appointment relates, or any of his clerks, servants, or agents, or in the case of a deceased settlement agent, his personal representative or any of the former </w:t>
      </w:r>
      <w:r>
        <w:rPr>
          <w:snapToGrid w:val="0"/>
        </w:rPr>
        <w:lastRenderedPageBreak/>
        <w:t>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No. 59 of 1995 s. 84; No. 26 of 1999 s. 102(7).]</w:t>
      </w:r>
    </w:p>
    <w:p>
      <w:pPr>
        <w:pStyle w:val="Heading5"/>
        <w:spacing w:before="260"/>
        <w:rPr>
          <w:snapToGrid w:val="0"/>
        </w:rPr>
      </w:pPr>
      <w:bookmarkStart w:id="88" w:name="_Toc99522718"/>
      <w:r>
        <w:rPr>
          <w:rStyle w:val="CharSectno"/>
        </w:rPr>
        <w:t>77</w:t>
      </w:r>
      <w:r>
        <w:rPr>
          <w:snapToGrid w:val="0"/>
        </w:rPr>
        <w:t>.</w:t>
      </w:r>
      <w:r>
        <w:rPr>
          <w:snapToGrid w:val="0"/>
        </w:rPr>
        <w:tab/>
        <w:t>Hindering etc. supervisors, offence</w:t>
      </w:r>
      <w:bookmarkEnd w:id="88"/>
    </w:p>
    <w:p>
      <w:pPr>
        <w:pStyle w:val="Subsection"/>
        <w:rPr>
          <w:snapToGrid w:val="0"/>
        </w:rPr>
      </w:pPr>
      <w:r>
        <w:rPr>
          <w:snapToGrid w:val="0"/>
        </w:rPr>
        <w:tab/>
      </w:r>
      <w:r>
        <w:rPr>
          <w:snapToGrid w:val="0"/>
        </w:rPr>
        <w:tab/>
        <w:t xml:space="preserve">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w:t>
      </w:r>
      <w:r>
        <w:rPr>
          <w:snapToGrid w:val="0"/>
        </w:rPr>
        <w:lastRenderedPageBreak/>
        <w:t>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No. 59 of 1995 s. 85.]</w:t>
      </w:r>
    </w:p>
    <w:p>
      <w:pPr>
        <w:pStyle w:val="Heading5"/>
        <w:rPr>
          <w:snapToGrid w:val="0"/>
        </w:rPr>
      </w:pPr>
      <w:bookmarkStart w:id="89" w:name="_Toc99522719"/>
      <w:r>
        <w:rPr>
          <w:rStyle w:val="CharSectno"/>
        </w:rPr>
        <w:t>78</w:t>
      </w:r>
      <w:r>
        <w:rPr>
          <w:snapToGrid w:val="0"/>
        </w:rPr>
        <w:t>.</w:t>
      </w:r>
      <w:r>
        <w:rPr>
          <w:snapToGrid w:val="0"/>
        </w:rPr>
        <w:tab/>
        <w:t>Discharge or variation of s. 73 or 74 order</w:t>
      </w:r>
      <w:bookmarkEnd w:id="89"/>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No. 55 of 2004 s. 1094.]</w:t>
      </w:r>
    </w:p>
    <w:p>
      <w:pPr>
        <w:pStyle w:val="Heading5"/>
        <w:rPr>
          <w:snapToGrid w:val="0"/>
        </w:rPr>
      </w:pPr>
      <w:bookmarkStart w:id="90" w:name="_Toc99522720"/>
      <w:r>
        <w:rPr>
          <w:rStyle w:val="CharSectno"/>
        </w:rPr>
        <w:t>79</w:t>
      </w:r>
      <w:r>
        <w:rPr>
          <w:snapToGrid w:val="0"/>
        </w:rPr>
        <w:t>.</w:t>
      </w:r>
      <w:r>
        <w:rPr>
          <w:snapToGrid w:val="0"/>
        </w:rPr>
        <w:tab/>
        <w:t>SAT’s additional powers as to s. 73, 74 or 78 orders</w:t>
      </w:r>
      <w:bookmarkEnd w:id="90"/>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keepNext/>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 xml:space="preserve">may prepare a scheme for distributing the moneys as compensation to each person who claims compensation at any time within 6 months after the Treasurer receives </w:t>
      </w:r>
      <w:r>
        <w:rPr>
          <w:snapToGrid w:val="0"/>
        </w:rPr>
        <w:lastRenderedPageBreak/>
        <w:t>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No. 59 of 1995 s. 84 and 86; No. 26 of 1999 s. 102(8); No. 55 of 2004 s. 1094; No. 77 of 2006 Sch. 1 cl. 156(6) and (7); No. 58 of 2010 s. 176.]</w:t>
      </w:r>
    </w:p>
    <w:p>
      <w:pPr>
        <w:pStyle w:val="Heading5"/>
        <w:rPr>
          <w:snapToGrid w:val="0"/>
        </w:rPr>
      </w:pPr>
      <w:bookmarkStart w:id="91" w:name="_Toc99522721"/>
      <w:r>
        <w:rPr>
          <w:rStyle w:val="CharSectno"/>
        </w:rPr>
        <w:t>80</w:t>
      </w:r>
      <w:r>
        <w:rPr>
          <w:snapToGrid w:val="0"/>
        </w:rPr>
        <w:t>.</w:t>
      </w:r>
      <w:r>
        <w:rPr>
          <w:snapToGrid w:val="0"/>
        </w:rPr>
        <w:tab/>
        <w:t>Service of s. 73, 74, 78 and 79 orders; penalty for breach of</w:t>
      </w:r>
      <w:bookmarkEnd w:id="91"/>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lastRenderedPageBreak/>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lastRenderedPageBreak/>
        <w:tab/>
        <w:t>(6)</w:t>
      </w:r>
      <w:r>
        <w:rPr>
          <w:snapToGrid w:val="0"/>
        </w:rPr>
        <w:tab/>
        <w:t>This section is sufficient authority and indemnity for complying with an order so made and served.</w:t>
      </w:r>
    </w:p>
    <w:p>
      <w:pPr>
        <w:pStyle w:val="Footnotesection"/>
      </w:pPr>
      <w:r>
        <w:tab/>
        <w:t>[Section 80 amended: No. 59 of 1995 s. 84 and 85; No. 26 of 1999 s. 102(9)</w:t>
      </w:r>
      <w:r>
        <w:noBreakHyphen/>
        <w:t>(11); No. 58 of 2010 s. 176.]</w:t>
      </w:r>
    </w:p>
    <w:p>
      <w:pPr>
        <w:pStyle w:val="Heading5"/>
      </w:pPr>
      <w:bookmarkStart w:id="92" w:name="_Toc99522722"/>
      <w:r>
        <w:rPr>
          <w:rStyle w:val="CharSectno"/>
        </w:rPr>
        <w:t>81</w:t>
      </w:r>
      <w:r>
        <w:t>.</w:t>
      </w:r>
      <w:r>
        <w:tab/>
        <w:t>Banks etc., duty to disclose certain accounts etc. if required to by authorised person</w:t>
      </w:r>
      <w:bookmarkEnd w:id="92"/>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No. 58 of 2010 s. 150.]</w:t>
      </w:r>
    </w:p>
    <w:p>
      <w:pPr>
        <w:pStyle w:val="Heading5"/>
        <w:rPr>
          <w:snapToGrid w:val="0"/>
        </w:rPr>
      </w:pPr>
      <w:bookmarkStart w:id="93" w:name="_Toc99522723"/>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93"/>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w:t>
      </w:r>
      <w:r>
        <w:rPr>
          <w:snapToGrid w:val="0"/>
        </w:rPr>
        <w:lastRenderedPageBreak/>
        <w:t>trust accounts maintained or formerly maintained by that agent; or</w:t>
      </w:r>
    </w:p>
    <w:p>
      <w:pPr>
        <w:pStyle w:val="Indenta"/>
        <w:keepNext/>
        <w:keepLines/>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Ednotesubsection"/>
      </w:pPr>
      <w:r>
        <w:lastRenderedPageBreak/>
        <w:tab/>
        <w:t>[(4)</w:t>
      </w:r>
      <w:r>
        <w:tab/>
        <w:t>deleted]</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r>
        <w:t>section 111A.</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No. 59 of 1995 s. 73; amended: No. 10 of 2001 s. 220; No. 58 of 2010 s. 176; No. 25 of 2019 s. 84.]</w:t>
      </w:r>
    </w:p>
    <w:p>
      <w:pPr>
        <w:pStyle w:val="Heading3"/>
        <w:rPr>
          <w:snapToGrid w:val="0"/>
        </w:rPr>
      </w:pPr>
      <w:bookmarkStart w:id="94" w:name="_Toc99521143"/>
      <w:bookmarkStart w:id="95" w:name="_Toc99521445"/>
      <w:bookmarkStart w:id="96" w:name="_Toc99522724"/>
      <w:r>
        <w:rPr>
          <w:rStyle w:val="CharDivNo"/>
        </w:rPr>
        <w:t>Division 3</w:t>
      </w:r>
      <w:r>
        <w:rPr>
          <w:snapToGrid w:val="0"/>
        </w:rPr>
        <w:t> — </w:t>
      </w:r>
      <w:r>
        <w:rPr>
          <w:rStyle w:val="CharDivText"/>
        </w:rPr>
        <w:t>Discipline</w:t>
      </w:r>
      <w:bookmarkEnd w:id="94"/>
      <w:bookmarkEnd w:id="95"/>
      <w:bookmarkEnd w:id="96"/>
    </w:p>
    <w:p>
      <w:pPr>
        <w:pStyle w:val="Heading5"/>
        <w:rPr>
          <w:snapToGrid w:val="0"/>
        </w:rPr>
      </w:pPr>
      <w:bookmarkStart w:id="97" w:name="_Toc99522725"/>
      <w:r>
        <w:rPr>
          <w:rStyle w:val="CharSectno"/>
        </w:rPr>
        <w:t>82</w:t>
      </w:r>
      <w:r>
        <w:rPr>
          <w:snapToGrid w:val="0"/>
        </w:rPr>
        <w:t>.</w:t>
      </w:r>
      <w:r>
        <w:rPr>
          <w:snapToGrid w:val="0"/>
        </w:rPr>
        <w:tab/>
        <w:t>Code of conduct for settlement agents</w:t>
      </w:r>
      <w:bookmarkEnd w:id="97"/>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No. 58 of 2010 s. 176.]</w:t>
      </w:r>
    </w:p>
    <w:p>
      <w:pPr>
        <w:pStyle w:val="Heading5"/>
        <w:rPr>
          <w:snapToGrid w:val="0"/>
        </w:rPr>
      </w:pPr>
      <w:bookmarkStart w:id="98" w:name="_Toc99522726"/>
      <w:r>
        <w:rPr>
          <w:rStyle w:val="CharSectno"/>
        </w:rPr>
        <w:t>83</w:t>
      </w:r>
      <w:r>
        <w:rPr>
          <w:snapToGrid w:val="0"/>
        </w:rPr>
        <w:t>.</w:t>
      </w:r>
      <w:r>
        <w:rPr>
          <w:snapToGrid w:val="0"/>
        </w:rPr>
        <w:tab/>
        <w:t>Disciplinary action by SAT, alleging cause for</w:t>
      </w:r>
      <w:bookmarkEnd w:id="98"/>
    </w:p>
    <w:p>
      <w:pPr>
        <w:pStyle w:val="Subsection"/>
        <w:rPr>
          <w:snapToGrid w:val="0"/>
        </w:rPr>
      </w:pPr>
      <w:r>
        <w:tab/>
        <w:t>(1)</w:t>
      </w:r>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Subsection"/>
      </w:pPr>
      <w:r>
        <w:lastRenderedPageBreak/>
        <w:tab/>
        <w:t>(2)</w:t>
      </w:r>
      <w:r>
        <w:tab/>
        <w:t xml:space="preserve">Despite the surrender by a person of a licence or triennial certificate or a licensee ceasing to be licensed or to hold a triennial certificate — </w:t>
      </w:r>
    </w:p>
    <w:p>
      <w:pPr>
        <w:pStyle w:val="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pPr>
        <w:pStyle w:val="Indenta"/>
      </w:pPr>
      <w:r>
        <w:tab/>
        <w:t>(b)</w:t>
      </w:r>
      <w:r>
        <w:tab/>
        <w:t>the State Administrative Tribunal may exercise the powers conferred by section 84, other than the power to suspend or cancel the person’s licence or certificate.</w:t>
      </w:r>
    </w:p>
    <w:p>
      <w:pPr>
        <w:pStyle w:val="Footnotesection"/>
      </w:pPr>
      <w:r>
        <w:tab/>
        <w:t>[Section 83 inserted: No. 55 of 2004 s. 1089; amended: No. 58 of 2010 s. 176; No. 25 of 2019 s. 85.]</w:t>
      </w:r>
    </w:p>
    <w:p>
      <w:pPr>
        <w:pStyle w:val="Heading5"/>
        <w:rPr>
          <w:snapToGrid w:val="0"/>
        </w:rPr>
      </w:pPr>
      <w:bookmarkStart w:id="99" w:name="_Toc99522727"/>
      <w:r>
        <w:rPr>
          <w:rStyle w:val="CharSectno"/>
        </w:rPr>
        <w:t>84</w:t>
      </w:r>
      <w:r>
        <w:rPr>
          <w:snapToGrid w:val="0"/>
        </w:rPr>
        <w:t>.</w:t>
      </w:r>
      <w:r>
        <w:rPr>
          <w:snapToGrid w:val="0"/>
        </w:rPr>
        <w:tab/>
        <w:t>Disciplinary action, SAT’s powers as to</w:t>
      </w:r>
      <w:bookmarkEnd w:id="99"/>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keepNext/>
        <w:keepLines/>
        <w:rPr>
          <w:snapToGrid w:val="0"/>
        </w:rPr>
      </w:pPr>
      <w:r>
        <w:rPr>
          <w:snapToGrid w:val="0"/>
        </w:rPr>
        <w:lastRenderedPageBreak/>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keepNext/>
        <w:rPr>
          <w:snapToGrid w:val="0"/>
        </w:rPr>
      </w:pPr>
      <w:r>
        <w:rPr>
          <w:snapToGrid w:val="0"/>
        </w:rPr>
        <w:tab/>
        <w:t>(3)</w:t>
      </w:r>
      <w:r>
        <w:rPr>
          <w:snapToGrid w:val="0"/>
        </w:rPr>
        <w:tab/>
        <w:t>Where the State Administrative Tribunal suspends or cancels a licence or triennial certificate, or both —</w:t>
      </w:r>
    </w:p>
    <w:p>
      <w:pPr>
        <w:pStyle w:val="Ednotepara"/>
        <w:keepNext/>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No. 59 of 1995 s. 74 and 85; No. 55 of 2004 s. 1090; No. 58 of 2010 s. 176.]</w:t>
      </w:r>
    </w:p>
    <w:p>
      <w:pPr>
        <w:pStyle w:val="Heading5"/>
        <w:rPr>
          <w:snapToGrid w:val="0"/>
        </w:rPr>
      </w:pPr>
      <w:bookmarkStart w:id="100" w:name="_Toc99522728"/>
      <w:r>
        <w:rPr>
          <w:rStyle w:val="CharSectno"/>
        </w:rPr>
        <w:lastRenderedPageBreak/>
        <w:t>85</w:t>
      </w:r>
      <w:r>
        <w:rPr>
          <w:snapToGrid w:val="0"/>
        </w:rPr>
        <w:t>.</w:t>
      </w:r>
      <w:r>
        <w:rPr>
          <w:snapToGrid w:val="0"/>
        </w:rPr>
        <w:tab/>
        <w:t>Offences that cause licence and triennial certificate to be cancelled</w:t>
      </w:r>
      <w:bookmarkEnd w:id="100"/>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No. 59 of 2004 s. 141; No. 58 of 2010 s. 176.]</w:t>
      </w:r>
    </w:p>
    <w:p>
      <w:pPr>
        <w:pStyle w:val="Heading5"/>
        <w:rPr>
          <w:snapToGrid w:val="0"/>
        </w:rPr>
      </w:pPr>
      <w:bookmarkStart w:id="101" w:name="_Toc99522729"/>
      <w:r>
        <w:rPr>
          <w:rStyle w:val="CharSectno"/>
        </w:rPr>
        <w:t>86</w:t>
      </w:r>
      <w:r>
        <w:rPr>
          <w:snapToGrid w:val="0"/>
        </w:rPr>
        <w:t>.</w:t>
      </w:r>
      <w:r>
        <w:rPr>
          <w:snapToGrid w:val="0"/>
        </w:rPr>
        <w:tab/>
        <w:t>Persons with cancelled licences etc., offences by and in respect of</w:t>
      </w:r>
      <w:bookmarkEnd w:id="101"/>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lastRenderedPageBreak/>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No. 59 of 1995 s. 85; No. 58 of 2010 s. 176.]</w:t>
      </w:r>
    </w:p>
    <w:p>
      <w:pPr>
        <w:pStyle w:val="Heading2"/>
      </w:pPr>
      <w:bookmarkStart w:id="102" w:name="_Toc99521149"/>
      <w:bookmarkStart w:id="103" w:name="_Toc99521451"/>
      <w:bookmarkStart w:id="104" w:name="_Toc99522730"/>
      <w:r>
        <w:rPr>
          <w:rStyle w:val="CharPartNo"/>
        </w:rPr>
        <w:lastRenderedPageBreak/>
        <w:t>Part V</w:t>
      </w:r>
      <w:r>
        <w:rPr>
          <w:rStyle w:val="CharDivNo"/>
        </w:rPr>
        <w:t> </w:t>
      </w:r>
      <w:r>
        <w:t>—</w:t>
      </w:r>
      <w:r>
        <w:rPr>
          <w:rStyle w:val="CharDivText"/>
        </w:rPr>
        <w:t> </w:t>
      </w:r>
      <w:r>
        <w:rPr>
          <w:rStyle w:val="CharPartText"/>
        </w:rPr>
        <w:t>Fidelity Guarantee Account</w:t>
      </w:r>
      <w:bookmarkEnd w:id="102"/>
      <w:bookmarkEnd w:id="103"/>
      <w:bookmarkEnd w:id="104"/>
    </w:p>
    <w:p>
      <w:pPr>
        <w:pStyle w:val="Footnoteheading"/>
      </w:pPr>
      <w:r>
        <w:tab/>
        <w:t>[Heading amended: No. 77 of 2006 Sch. 1 cl. 156(8).]</w:t>
      </w:r>
    </w:p>
    <w:p>
      <w:pPr>
        <w:pStyle w:val="Heading5"/>
      </w:pPr>
      <w:bookmarkStart w:id="105" w:name="_Toc99522731"/>
      <w:r>
        <w:rPr>
          <w:rStyle w:val="CharSectno"/>
        </w:rPr>
        <w:t>87</w:t>
      </w:r>
      <w:r>
        <w:t>.</w:t>
      </w:r>
      <w:r>
        <w:tab/>
        <w:t>Account established; administration of Account</w:t>
      </w:r>
      <w:bookmarkEnd w:id="105"/>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No. 77 of 2006 Sch. 1 cl. 156(9); amended: No. 58 of 2010 s. 151.]</w:t>
      </w:r>
    </w:p>
    <w:p>
      <w:pPr>
        <w:pStyle w:val="Heading5"/>
        <w:rPr>
          <w:snapToGrid w:val="0"/>
        </w:rPr>
      </w:pPr>
      <w:bookmarkStart w:id="106" w:name="_Toc99522732"/>
      <w:r>
        <w:rPr>
          <w:rStyle w:val="CharSectno"/>
        </w:rPr>
        <w:t>88</w:t>
      </w:r>
      <w:r>
        <w:rPr>
          <w:snapToGrid w:val="0"/>
        </w:rPr>
        <w:t>.</w:t>
      </w:r>
      <w:r>
        <w:rPr>
          <w:snapToGrid w:val="0"/>
        </w:rPr>
        <w:tab/>
        <w:t xml:space="preserve">Moneys to be credited to </w:t>
      </w:r>
      <w:r>
        <w:t>Account</w:t>
      </w:r>
      <w:bookmarkEnd w:id="106"/>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No. 59 of 1995 s. 76 and 86; No. 77 of 2006 Sch. 1 cl. 156(2); No. 58 of 2010 s. 152.]</w:t>
      </w:r>
    </w:p>
    <w:p>
      <w:pPr>
        <w:pStyle w:val="Heading5"/>
        <w:rPr>
          <w:snapToGrid w:val="0"/>
        </w:rPr>
      </w:pPr>
      <w:bookmarkStart w:id="107" w:name="_Toc99522733"/>
      <w:r>
        <w:rPr>
          <w:rStyle w:val="CharSectno"/>
        </w:rPr>
        <w:lastRenderedPageBreak/>
        <w:t>89</w:t>
      </w:r>
      <w:r>
        <w:rPr>
          <w:snapToGrid w:val="0"/>
        </w:rPr>
        <w:t>.</w:t>
      </w:r>
      <w:r>
        <w:rPr>
          <w:snapToGrid w:val="0"/>
        </w:rPr>
        <w:tab/>
        <w:t xml:space="preserve">Investment of moneys in </w:t>
      </w:r>
      <w:r>
        <w:t>Account</w:t>
      </w:r>
      <w:bookmarkEnd w:id="107"/>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No. 59 of 1995 s. 77; amended: No. 77 of 2006 Sch. 1 cl. 156(2) and (10).]</w:t>
      </w:r>
    </w:p>
    <w:p>
      <w:pPr>
        <w:pStyle w:val="Heading5"/>
        <w:rPr>
          <w:snapToGrid w:val="0"/>
        </w:rPr>
      </w:pPr>
      <w:bookmarkStart w:id="108" w:name="_Toc99522734"/>
      <w:r>
        <w:rPr>
          <w:rStyle w:val="CharSectno"/>
        </w:rPr>
        <w:t>90</w:t>
      </w:r>
      <w:r>
        <w:rPr>
          <w:snapToGrid w:val="0"/>
        </w:rPr>
        <w:t>.</w:t>
      </w:r>
      <w:r>
        <w:rPr>
          <w:snapToGrid w:val="0"/>
        </w:rPr>
        <w:tab/>
        <w:t xml:space="preserve">Expenditure from </w:t>
      </w:r>
      <w:r>
        <w:t>Account</w:t>
      </w:r>
      <w:bookmarkEnd w:id="108"/>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No. 59 of 1995 s. 78 and 86; No. 77 of 2006 Sch. 1 cl. 156(2); No. 58 of 2010 s. 153.]</w:t>
      </w:r>
    </w:p>
    <w:p>
      <w:pPr>
        <w:pStyle w:val="Ednotesection"/>
      </w:pPr>
      <w:r>
        <w:t>[</w:t>
      </w:r>
      <w:r>
        <w:rPr>
          <w:b/>
        </w:rPr>
        <w:t>91.</w:t>
      </w:r>
      <w:r>
        <w:tab/>
        <w:t>Deleted: No. 98 of 1985 s. 3.]</w:t>
      </w:r>
    </w:p>
    <w:p>
      <w:pPr>
        <w:pStyle w:val="Heading5"/>
        <w:rPr>
          <w:snapToGrid w:val="0"/>
        </w:rPr>
      </w:pPr>
      <w:bookmarkStart w:id="109" w:name="_Toc99522735"/>
      <w:r>
        <w:rPr>
          <w:rStyle w:val="CharSectno"/>
        </w:rPr>
        <w:lastRenderedPageBreak/>
        <w:t>92</w:t>
      </w:r>
      <w:r>
        <w:rPr>
          <w:snapToGrid w:val="0"/>
        </w:rPr>
        <w:t>.</w:t>
      </w:r>
      <w:r>
        <w:rPr>
          <w:snapToGrid w:val="0"/>
        </w:rPr>
        <w:tab/>
        <w:t xml:space="preserve">Payments to </w:t>
      </w:r>
      <w:r>
        <w:t>Account by applicants for licences etc.</w:t>
      </w:r>
      <w:bookmarkEnd w:id="109"/>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No. 59 of 1995 s. 86; No. 77 of 2006 Sch. 1 cl. 156(2); No. 58 of 2010 s. 154.]</w:t>
      </w:r>
    </w:p>
    <w:p>
      <w:pPr>
        <w:pStyle w:val="Heading5"/>
        <w:spacing w:before="180"/>
        <w:rPr>
          <w:snapToGrid w:val="0"/>
        </w:rPr>
      </w:pPr>
      <w:bookmarkStart w:id="110" w:name="_Toc99522736"/>
      <w:r>
        <w:rPr>
          <w:rStyle w:val="CharSectno"/>
        </w:rPr>
        <w:t>93</w:t>
      </w:r>
      <w:r>
        <w:rPr>
          <w:snapToGrid w:val="0"/>
        </w:rPr>
        <w:t>.</w:t>
      </w:r>
      <w:r>
        <w:rPr>
          <w:snapToGrid w:val="0"/>
        </w:rPr>
        <w:tab/>
        <w:t xml:space="preserve">Purpose of </w:t>
      </w:r>
      <w:r>
        <w:t>Account; making claims against Account</w:t>
      </w:r>
      <w:bookmarkEnd w:id="110"/>
    </w:p>
    <w:p>
      <w:pPr>
        <w:pStyle w:val="Subsection"/>
      </w:pPr>
      <w:r>
        <w:tab/>
        <w:t>(1)</w:t>
      </w:r>
      <w:r>
        <w:tab/>
        <w:t>The Account is to be held and applied to reimburse a person for the person’s pecuniary or property loss to the extent of the defalcation of —</w:t>
      </w:r>
    </w:p>
    <w:p>
      <w:pPr>
        <w:pStyle w:val="Indenta"/>
      </w:pPr>
      <w:r>
        <w:tab/>
        <w:t>(a)</w:t>
      </w:r>
      <w:r>
        <w:tab/>
        <w:t>a licensee during any period when the licensee was the holder of a current triennial certificate; or</w:t>
      </w:r>
    </w:p>
    <w:p>
      <w:pPr>
        <w:pStyle w:val="Indenta"/>
      </w:pPr>
      <w:r>
        <w:tab/>
        <w:t>(b)</w:t>
      </w:r>
      <w:r>
        <w:tab/>
        <w:t xml:space="preserve">a person who ceased to be the holder of a licence or triennial certificate, if — </w:t>
      </w:r>
    </w:p>
    <w:p>
      <w:pPr>
        <w:pStyle w:val="Indenti"/>
      </w:pPr>
      <w:r>
        <w:tab/>
        <w:t>(i)</w:t>
      </w:r>
      <w:r>
        <w:tab/>
        <w:t>the defalcation occurred during the period of 6 months immediately following the day on which the person ceased to be licensed or the holder of the triennial certificate; and</w:t>
      </w:r>
    </w:p>
    <w:p>
      <w:pPr>
        <w:pStyle w:val="Indenti"/>
      </w:pPr>
      <w:r>
        <w:tab/>
        <w:t>(ii)</w:t>
      </w:r>
      <w:r>
        <w:tab/>
        <w:t>the chief executive officer considers that it is just and reasonable in the circumstances of the claim.</w:t>
      </w:r>
    </w:p>
    <w:p>
      <w:pPr>
        <w:pStyle w:val="Ednotesubsection"/>
      </w:pPr>
      <w:r>
        <w:tab/>
        <w:t>[(2A)</w:t>
      </w:r>
      <w:r>
        <w:tab/>
        <w:t>deleted]</w:t>
      </w:r>
    </w:p>
    <w:p>
      <w:pPr>
        <w:pStyle w:val="Subsection"/>
        <w:spacing w:before="110"/>
      </w:pPr>
      <w:r>
        <w:lastRenderedPageBreak/>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No. 3 of 2000 s. 7(1)</w:t>
      </w:r>
      <w:r>
        <w:rPr>
          <w:vertAlign w:val="superscript"/>
        </w:rPr>
        <w:t> </w:t>
      </w:r>
      <w:r>
        <w:rPr>
          <w:i w:val="0"/>
          <w:vertAlign w:val="superscript"/>
        </w:rPr>
        <w:t>2</w:t>
      </w:r>
      <w:r>
        <w:t>; No. 77 of 2006 Sch. 1 cl. 156(2); No. 58 of 2010 s. 155; No. 23 of 2014 s. 105; No. 25 of 2019 s. 86.]</w:t>
      </w:r>
    </w:p>
    <w:p>
      <w:pPr>
        <w:pStyle w:val="Heading5"/>
        <w:rPr>
          <w:snapToGrid w:val="0"/>
        </w:rPr>
      </w:pPr>
      <w:bookmarkStart w:id="111" w:name="_Toc99522737"/>
      <w:r>
        <w:rPr>
          <w:rStyle w:val="CharSectno"/>
        </w:rPr>
        <w:t>94</w:t>
      </w:r>
      <w:r>
        <w:rPr>
          <w:snapToGrid w:val="0"/>
        </w:rPr>
        <w:t>.</w:t>
      </w:r>
      <w:r>
        <w:rPr>
          <w:snapToGrid w:val="0"/>
        </w:rPr>
        <w:tab/>
        <w:t>Levies for Account against certificate holders</w:t>
      </w:r>
      <w:bookmarkEnd w:id="111"/>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No. 59 of 1995 s. 86; No. 77 of 2006 Sch. 1 cl. 156(2); No. 58 of 2010 s. 156.]</w:t>
      </w:r>
    </w:p>
    <w:p>
      <w:pPr>
        <w:pStyle w:val="Heading5"/>
        <w:rPr>
          <w:snapToGrid w:val="0"/>
        </w:rPr>
      </w:pPr>
      <w:bookmarkStart w:id="112" w:name="_Toc99522738"/>
      <w:r>
        <w:rPr>
          <w:rStyle w:val="CharSectno"/>
        </w:rPr>
        <w:lastRenderedPageBreak/>
        <w:t>95</w:t>
      </w:r>
      <w:r>
        <w:rPr>
          <w:snapToGrid w:val="0"/>
        </w:rPr>
        <w:t>.</w:t>
      </w:r>
      <w:r>
        <w:rPr>
          <w:snapToGrid w:val="0"/>
        </w:rPr>
        <w:tab/>
        <w:t xml:space="preserve">Claims against </w:t>
      </w:r>
      <w:r>
        <w:t>Account; recovery from Account</w:t>
      </w:r>
      <w:bookmarkEnd w:id="112"/>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keepNext/>
        <w:keepLines/>
        <w:rPr>
          <w:snapToGrid w:val="0"/>
        </w:rPr>
      </w:pPr>
      <w:r>
        <w:rPr>
          <w:snapToGrid w:val="0"/>
        </w:rPr>
        <w:lastRenderedPageBreak/>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No. 59 of 1995 s. 86; No. 3 of 2000 s. 8; No. 28 of 2003 s. 182; No. 77 of 2006 Sch. 1 cl. 156(2); No. 58 of 2010 s. 157.]</w:t>
      </w:r>
    </w:p>
    <w:p>
      <w:pPr>
        <w:pStyle w:val="Heading5"/>
        <w:rPr>
          <w:snapToGrid w:val="0"/>
        </w:rPr>
      </w:pPr>
      <w:bookmarkStart w:id="113" w:name="_Toc99522739"/>
      <w:r>
        <w:rPr>
          <w:rStyle w:val="CharSectno"/>
        </w:rPr>
        <w:t>96</w:t>
      </w:r>
      <w:r>
        <w:rPr>
          <w:snapToGrid w:val="0"/>
        </w:rPr>
        <w:t>.</w:t>
      </w:r>
      <w:r>
        <w:rPr>
          <w:snapToGrid w:val="0"/>
        </w:rPr>
        <w:tab/>
        <w:t xml:space="preserve">Defences to claims against </w:t>
      </w:r>
      <w:r>
        <w:t>Account</w:t>
      </w:r>
      <w:bookmarkEnd w:id="113"/>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No. 77 of 2006 Sch. 1 cl. 156(2); No. 58 of 2010 s. 158.]</w:t>
      </w:r>
    </w:p>
    <w:p>
      <w:pPr>
        <w:pStyle w:val="Heading5"/>
        <w:rPr>
          <w:snapToGrid w:val="0"/>
        </w:rPr>
      </w:pPr>
      <w:bookmarkStart w:id="114" w:name="_Toc99522740"/>
      <w:r>
        <w:rPr>
          <w:rStyle w:val="CharSectno"/>
        </w:rPr>
        <w:t>97</w:t>
      </w:r>
      <w:r>
        <w:rPr>
          <w:snapToGrid w:val="0"/>
        </w:rPr>
        <w:t>.</w:t>
      </w:r>
      <w:r>
        <w:rPr>
          <w:snapToGrid w:val="0"/>
        </w:rPr>
        <w:tab/>
        <w:t>Subrogation of rights of claimant against Account</w:t>
      </w:r>
      <w:bookmarkEnd w:id="114"/>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No. 59 of 1995 s. 86; No. 77 of 2006 Sch. 1 cl. 156(2); No. 58 of 2010 s. 159.]</w:t>
      </w:r>
    </w:p>
    <w:p>
      <w:pPr>
        <w:pStyle w:val="Heading5"/>
        <w:spacing w:before="240"/>
        <w:rPr>
          <w:snapToGrid w:val="0"/>
        </w:rPr>
      </w:pPr>
      <w:bookmarkStart w:id="115" w:name="_Toc99522741"/>
      <w:r>
        <w:rPr>
          <w:rStyle w:val="CharSectno"/>
        </w:rPr>
        <w:lastRenderedPageBreak/>
        <w:t>98</w:t>
      </w:r>
      <w:r>
        <w:rPr>
          <w:snapToGrid w:val="0"/>
        </w:rPr>
        <w:t>.</w:t>
      </w:r>
      <w:r>
        <w:rPr>
          <w:snapToGrid w:val="0"/>
        </w:rPr>
        <w:tab/>
        <w:t xml:space="preserve">Insufficiency in </w:t>
      </w:r>
      <w:r>
        <w:t>Account</w:t>
      </w:r>
      <w:bookmarkEnd w:id="115"/>
    </w:p>
    <w:p>
      <w:pPr>
        <w:pStyle w:val="Subsection"/>
        <w:keepNext/>
        <w:keepLines/>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w:t>
      </w:r>
      <w:r>
        <w:rPr>
          <w:snapToGrid w:val="0"/>
        </w:rPr>
        <w:lastRenderedPageBreak/>
        <w:t xml:space="preserve">admitted by the </w:t>
      </w:r>
      <w:r>
        <w:t>chief executive officer,</w:t>
      </w:r>
      <w:r>
        <w:rPr>
          <w:snapToGrid w:val="0"/>
        </w:rPr>
        <w:t xml:space="preserve"> as the case may be.</w:t>
      </w:r>
    </w:p>
    <w:p>
      <w:pPr>
        <w:pStyle w:val="Footnotesection"/>
      </w:pPr>
      <w:r>
        <w:tab/>
        <w:t>[Section 98 amended: No. 59 of 1995 s. 79 and 86; No. 77 of 2006 Sch. 1 cl. 156(2); No. 58 of 2010 s. 160.]</w:t>
      </w:r>
    </w:p>
    <w:p>
      <w:pPr>
        <w:pStyle w:val="Heading5"/>
        <w:rPr>
          <w:snapToGrid w:val="0"/>
        </w:rPr>
      </w:pPr>
      <w:bookmarkStart w:id="116" w:name="_Toc99522742"/>
      <w:r>
        <w:rPr>
          <w:rStyle w:val="CharSectno"/>
        </w:rPr>
        <w:t>99</w:t>
      </w:r>
      <w:r>
        <w:rPr>
          <w:snapToGrid w:val="0"/>
        </w:rPr>
        <w:t>.</w:t>
      </w:r>
      <w:r>
        <w:rPr>
          <w:snapToGrid w:val="0"/>
        </w:rPr>
        <w:tab/>
        <w:t>State may insure against claims</w:t>
      </w:r>
      <w:bookmarkEnd w:id="116"/>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No. 51 of 1986 s. 46(2); No. 58 of 2010 s. 161.]</w:t>
      </w:r>
    </w:p>
    <w:p>
      <w:pPr>
        <w:pStyle w:val="Heading5"/>
        <w:rPr>
          <w:snapToGrid w:val="0"/>
        </w:rPr>
      </w:pPr>
      <w:bookmarkStart w:id="117" w:name="_Toc99522743"/>
      <w:r>
        <w:rPr>
          <w:rStyle w:val="CharSectno"/>
        </w:rPr>
        <w:t>100</w:t>
      </w:r>
      <w:r>
        <w:rPr>
          <w:snapToGrid w:val="0"/>
        </w:rPr>
        <w:t>.</w:t>
      </w:r>
      <w:r>
        <w:rPr>
          <w:snapToGrid w:val="0"/>
        </w:rPr>
        <w:tab/>
        <w:t>Application of insurance money</w:t>
      </w:r>
      <w:bookmarkEnd w:id="117"/>
    </w:p>
    <w:p>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w:t>
      </w:r>
      <w:r>
        <w:rPr>
          <w:snapToGrid w:val="0"/>
        </w:rPr>
        <w:lastRenderedPageBreak/>
        <w:t xml:space="preserve">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No. 59 of 1995 s. 86; No. 77 of 2006 Sch. 1 cl. 156(2).]</w:t>
      </w:r>
    </w:p>
    <w:p>
      <w:pPr>
        <w:pStyle w:val="Heading5"/>
        <w:rPr>
          <w:snapToGrid w:val="0"/>
        </w:rPr>
      </w:pPr>
      <w:bookmarkStart w:id="118" w:name="_Toc99522744"/>
      <w:r>
        <w:rPr>
          <w:rStyle w:val="CharSectno"/>
        </w:rPr>
        <w:t>101</w:t>
      </w:r>
      <w:r>
        <w:rPr>
          <w:snapToGrid w:val="0"/>
        </w:rPr>
        <w:t>.</w:t>
      </w:r>
      <w:r>
        <w:rPr>
          <w:snapToGrid w:val="0"/>
        </w:rPr>
        <w:tab/>
        <w:t>Advertising for claims in relation to defaulting licensee</w:t>
      </w:r>
      <w:bookmarkEnd w:id="118"/>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No. 77 of 2006 Sch. 1 cl. 156(2); No. 58 of 2010 s. 162.]</w:t>
      </w:r>
    </w:p>
    <w:p>
      <w:pPr>
        <w:pStyle w:val="Heading5"/>
        <w:rPr>
          <w:snapToGrid w:val="0"/>
        </w:rPr>
      </w:pPr>
      <w:bookmarkStart w:id="119" w:name="_Toc99522745"/>
      <w:r>
        <w:rPr>
          <w:rStyle w:val="CharSectno"/>
        </w:rPr>
        <w:t>102</w:t>
      </w:r>
      <w:r>
        <w:rPr>
          <w:snapToGrid w:val="0"/>
        </w:rPr>
        <w:t>.</w:t>
      </w:r>
      <w:r>
        <w:rPr>
          <w:snapToGrid w:val="0"/>
        </w:rPr>
        <w:tab/>
        <w:t>Documents etc. to support claims, CEO may require</w:t>
      </w:r>
      <w:bookmarkEnd w:id="119"/>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No. 58 of 2010 s. 163.]</w:t>
      </w:r>
    </w:p>
    <w:p>
      <w:pPr>
        <w:pStyle w:val="Heading5"/>
      </w:pPr>
      <w:bookmarkStart w:id="120" w:name="_Toc99522746"/>
      <w:r>
        <w:rPr>
          <w:rStyle w:val="CharSectno"/>
        </w:rPr>
        <w:lastRenderedPageBreak/>
        <w:t>102AA</w:t>
      </w:r>
      <w:r>
        <w:t>.</w:t>
      </w:r>
      <w:r>
        <w:tab/>
        <w:t>Commissioner may investigate claims against Fidelity Account</w:t>
      </w:r>
      <w:bookmarkEnd w:id="120"/>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No. 23 of 2014 s. 106.]</w:t>
      </w:r>
    </w:p>
    <w:p>
      <w:pPr>
        <w:pStyle w:val="Heading2"/>
      </w:pPr>
      <w:bookmarkStart w:id="121" w:name="_Toc99521166"/>
      <w:bookmarkStart w:id="122" w:name="_Toc99521468"/>
      <w:bookmarkStart w:id="123" w:name="_Toc99522747"/>
      <w:r>
        <w:rPr>
          <w:rStyle w:val="CharPartNo"/>
        </w:rPr>
        <w:lastRenderedPageBreak/>
        <w:t>Part VA</w:t>
      </w:r>
      <w:r>
        <w:rPr>
          <w:rStyle w:val="CharDivNo"/>
        </w:rPr>
        <w:t> </w:t>
      </w:r>
      <w:r>
        <w:t>—</w:t>
      </w:r>
      <w:r>
        <w:rPr>
          <w:rStyle w:val="CharDivText"/>
        </w:rPr>
        <w:t> </w:t>
      </w:r>
      <w:r>
        <w:rPr>
          <w:rStyle w:val="CharPartText"/>
        </w:rPr>
        <w:t>Education and General Purpose Account</w:t>
      </w:r>
      <w:bookmarkEnd w:id="121"/>
      <w:bookmarkEnd w:id="122"/>
      <w:bookmarkEnd w:id="123"/>
    </w:p>
    <w:p>
      <w:pPr>
        <w:pStyle w:val="Footnoteheading"/>
        <w:rPr>
          <w:snapToGrid w:val="0"/>
        </w:rPr>
      </w:pPr>
      <w:r>
        <w:rPr>
          <w:snapToGrid w:val="0"/>
        </w:rPr>
        <w:tab/>
        <w:t>[Heading inserted: No. 59 of 1995 s. 80; amended: No. 77 of 2006 Sch. 1 cl. 156(11).]</w:t>
      </w:r>
    </w:p>
    <w:p>
      <w:pPr>
        <w:pStyle w:val="Heading5"/>
        <w:rPr>
          <w:snapToGrid w:val="0"/>
        </w:rPr>
      </w:pPr>
      <w:bookmarkStart w:id="124" w:name="_Toc99522748"/>
      <w:r>
        <w:rPr>
          <w:rStyle w:val="CharSectno"/>
        </w:rPr>
        <w:t>102A</w:t>
      </w:r>
      <w:r>
        <w:rPr>
          <w:snapToGrid w:val="0"/>
        </w:rPr>
        <w:t xml:space="preserve">. </w:t>
      </w:r>
      <w:r>
        <w:rPr>
          <w:snapToGrid w:val="0"/>
        </w:rPr>
        <w:tab/>
        <w:t>Account established; administration of account</w:t>
      </w:r>
      <w:bookmarkEnd w:id="124"/>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No. 59 of 1995 s. 80; amended: No. 77 of 2006 Sch. 1 cl. 156(2) and (12); No. 58 of 2010 s. 164.]</w:t>
      </w:r>
    </w:p>
    <w:p>
      <w:pPr>
        <w:pStyle w:val="Heading5"/>
        <w:rPr>
          <w:snapToGrid w:val="0"/>
        </w:rPr>
      </w:pPr>
      <w:bookmarkStart w:id="125" w:name="_Toc99522749"/>
      <w:r>
        <w:rPr>
          <w:rStyle w:val="CharSectno"/>
        </w:rPr>
        <w:t>102B</w:t>
      </w:r>
      <w:r>
        <w:rPr>
          <w:snapToGrid w:val="0"/>
        </w:rPr>
        <w:t xml:space="preserve">. </w:t>
      </w:r>
      <w:r>
        <w:rPr>
          <w:snapToGrid w:val="0"/>
        </w:rPr>
        <w:tab/>
        <w:t>Moneys to be credited to a</w:t>
      </w:r>
      <w:r>
        <w:t>ccount</w:t>
      </w:r>
      <w:bookmarkEnd w:id="125"/>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lastRenderedPageBreak/>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No. 59 of 1995 s. 80; amended: No. 55 of 2004 s. 1091; No. 77 of 2006 Sch. 1 cl. 156(2); No. 58 of 2010 s. 165.]</w:t>
      </w:r>
    </w:p>
    <w:p>
      <w:pPr>
        <w:pStyle w:val="Heading5"/>
        <w:rPr>
          <w:snapToGrid w:val="0"/>
        </w:rPr>
      </w:pPr>
      <w:bookmarkStart w:id="126" w:name="_Toc99522750"/>
      <w:r>
        <w:rPr>
          <w:rStyle w:val="CharSectno"/>
        </w:rPr>
        <w:t>102C</w:t>
      </w:r>
      <w:r>
        <w:rPr>
          <w:snapToGrid w:val="0"/>
        </w:rPr>
        <w:t xml:space="preserve">. </w:t>
      </w:r>
      <w:r>
        <w:rPr>
          <w:snapToGrid w:val="0"/>
        </w:rPr>
        <w:tab/>
        <w:t>Expenditure from a</w:t>
      </w:r>
      <w:r>
        <w:t>ccount</w:t>
      </w:r>
      <w:bookmarkEnd w:id="126"/>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No. 59 of 1995 s. 80; amended: No. 77 of 2006 Sch. 1 cl. 156(2); No. 58 of 2010 s. 166; No. 23 of 2014 s. 107.]</w:t>
      </w:r>
    </w:p>
    <w:p>
      <w:pPr>
        <w:pStyle w:val="Heading5"/>
        <w:rPr>
          <w:snapToGrid w:val="0"/>
        </w:rPr>
      </w:pPr>
      <w:bookmarkStart w:id="127" w:name="_Toc99522751"/>
      <w:r>
        <w:rPr>
          <w:rStyle w:val="CharSectno"/>
        </w:rPr>
        <w:t>102D</w:t>
      </w:r>
      <w:r>
        <w:rPr>
          <w:snapToGrid w:val="0"/>
        </w:rPr>
        <w:t xml:space="preserve">. </w:t>
      </w:r>
      <w:r>
        <w:rPr>
          <w:snapToGrid w:val="0"/>
        </w:rPr>
        <w:tab/>
        <w:t>Investment of moneys in a</w:t>
      </w:r>
      <w:r>
        <w:t>ccount</w:t>
      </w:r>
      <w:bookmarkEnd w:id="127"/>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lastRenderedPageBreak/>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No. 59 of 1995 s. 80; amended: No. 77 of 2006 Sch. 1 cl. 156(2) and (13).]</w:t>
      </w:r>
    </w:p>
    <w:p>
      <w:pPr>
        <w:pStyle w:val="Heading2"/>
      </w:pPr>
      <w:bookmarkStart w:id="128" w:name="_Toc99521171"/>
      <w:bookmarkStart w:id="129" w:name="_Toc99521473"/>
      <w:bookmarkStart w:id="130" w:name="_Toc99522752"/>
      <w:r>
        <w:rPr>
          <w:rStyle w:val="CharPartNo"/>
        </w:rPr>
        <w:lastRenderedPageBreak/>
        <w:t>Part VI</w:t>
      </w:r>
      <w:r>
        <w:rPr>
          <w:rStyle w:val="CharDivNo"/>
        </w:rPr>
        <w:t> </w:t>
      </w:r>
      <w:r>
        <w:t>—</w:t>
      </w:r>
      <w:r>
        <w:rPr>
          <w:rStyle w:val="CharDivText"/>
        </w:rPr>
        <w:t> </w:t>
      </w:r>
      <w:r>
        <w:rPr>
          <w:rStyle w:val="CharPartText"/>
        </w:rPr>
        <w:t>Settlement Agents Interest Account</w:t>
      </w:r>
      <w:bookmarkEnd w:id="128"/>
      <w:bookmarkEnd w:id="129"/>
      <w:bookmarkEnd w:id="130"/>
    </w:p>
    <w:p>
      <w:pPr>
        <w:pStyle w:val="Footnoteheading"/>
        <w:rPr>
          <w:snapToGrid w:val="0"/>
        </w:rPr>
      </w:pPr>
      <w:r>
        <w:rPr>
          <w:snapToGrid w:val="0"/>
        </w:rPr>
        <w:tab/>
        <w:t>[Heading inserted: No. 59 of 1995 s. 81; amended: No. 58 of 2010 s. 167.]</w:t>
      </w:r>
    </w:p>
    <w:p>
      <w:pPr>
        <w:pStyle w:val="Heading5"/>
        <w:spacing w:before="180"/>
        <w:rPr>
          <w:snapToGrid w:val="0"/>
        </w:rPr>
      </w:pPr>
      <w:bookmarkStart w:id="131" w:name="_Toc99522753"/>
      <w:r>
        <w:rPr>
          <w:rStyle w:val="CharSectno"/>
        </w:rPr>
        <w:t>103</w:t>
      </w:r>
      <w:r>
        <w:rPr>
          <w:snapToGrid w:val="0"/>
        </w:rPr>
        <w:t>.</w:t>
      </w:r>
      <w:r>
        <w:rPr>
          <w:snapToGrid w:val="0"/>
        </w:rPr>
        <w:tab/>
        <w:t>Account established; administration of account</w:t>
      </w:r>
      <w:bookmarkEnd w:id="131"/>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No. 59 of 1995 s. 81; amended: No. 77 of 2006 Sch. 1 cl. 156(14); No. 46 of 2009 s. 15(3); No. 58 of 2010 s. 168.]</w:t>
      </w:r>
    </w:p>
    <w:p>
      <w:pPr>
        <w:pStyle w:val="Heading5"/>
        <w:rPr>
          <w:snapToGrid w:val="0"/>
        </w:rPr>
      </w:pPr>
      <w:bookmarkStart w:id="132" w:name="_Toc99522754"/>
      <w:r>
        <w:rPr>
          <w:rStyle w:val="CharSectno"/>
        </w:rPr>
        <w:t>104</w:t>
      </w:r>
      <w:r>
        <w:rPr>
          <w:snapToGrid w:val="0"/>
        </w:rPr>
        <w:t>.</w:t>
      </w:r>
      <w:r>
        <w:rPr>
          <w:snapToGrid w:val="0"/>
        </w:rPr>
        <w:tab/>
        <w:t>Moneys to be credited to a</w:t>
      </w:r>
      <w:r>
        <w:t>ccount</w:t>
      </w:r>
      <w:bookmarkEnd w:id="132"/>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No. 59 of 1995 s. 81; amended: No. 46 of 2009 s. 15(3).]</w:t>
      </w:r>
    </w:p>
    <w:p>
      <w:pPr>
        <w:pStyle w:val="Heading5"/>
        <w:rPr>
          <w:snapToGrid w:val="0"/>
        </w:rPr>
      </w:pPr>
      <w:bookmarkStart w:id="133" w:name="_Toc99522755"/>
      <w:r>
        <w:rPr>
          <w:rStyle w:val="CharSectno"/>
        </w:rPr>
        <w:lastRenderedPageBreak/>
        <w:t>105</w:t>
      </w:r>
      <w:r>
        <w:rPr>
          <w:snapToGrid w:val="0"/>
        </w:rPr>
        <w:t>.</w:t>
      </w:r>
      <w:r>
        <w:rPr>
          <w:snapToGrid w:val="0"/>
        </w:rPr>
        <w:tab/>
        <w:t>Expenditure from a</w:t>
      </w:r>
      <w:r>
        <w:t>ccount</w:t>
      </w:r>
      <w:bookmarkEnd w:id="133"/>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No. 59 of 1995 s. 81; amended: No. 77 of 2006 Sch. 1 cl. 156(2); No. 46 of 2009 s. 15(3).]</w:t>
      </w:r>
    </w:p>
    <w:p>
      <w:pPr>
        <w:pStyle w:val="Heading5"/>
        <w:rPr>
          <w:snapToGrid w:val="0"/>
        </w:rPr>
      </w:pPr>
      <w:bookmarkStart w:id="134" w:name="_Toc99522756"/>
      <w:r>
        <w:rPr>
          <w:rStyle w:val="CharSectno"/>
        </w:rPr>
        <w:t>106</w:t>
      </w:r>
      <w:r>
        <w:rPr>
          <w:snapToGrid w:val="0"/>
        </w:rPr>
        <w:t>.</w:t>
      </w:r>
      <w:r>
        <w:rPr>
          <w:snapToGrid w:val="0"/>
        </w:rPr>
        <w:tab/>
        <w:t>Investment of moneys in a</w:t>
      </w:r>
      <w:r>
        <w:t>ccount</w:t>
      </w:r>
      <w:bookmarkEnd w:id="134"/>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No. 59 of 1995 s. 81; amended: No. 77 of 2006 Sch. 1 cl. 156(15); No. 46 of 2009 s. 15(3).]</w:t>
      </w:r>
    </w:p>
    <w:p>
      <w:pPr>
        <w:pStyle w:val="Ednotesection"/>
        <w:tabs>
          <w:tab w:val="clear" w:pos="893"/>
          <w:tab w:val="left" w:pos="1140"/>
        </w:tabs>
      </w:pPr>
      <w:r>
        <w:t>[</w:t>
      </w:r>
      <w:r>
        <w:rPr>
          <w:b/>
        </w:rPr>
        <w:t>107, 108.</w:t>
      </w:r>
      <w:r>
        <w:tab/>
        <w:t>Deleted: No. 59 of 1995 s. 81.]</w:t>
      </w:r>
    </w:p>
    <w:p>
      <w:pPr>
        <w:pStyle w:val="Ednotesection"/>
      </w:pPr>
      <w:r>
        <w:t>[</w:t>
      </w:r>
      <w:r>
        <w:rPr>
          <w:b/>
        </w:rPr>
        <w:t>109.</w:t>
      </w:r>
      <w:r>
        <w:tab/>
        <w:t>Deleted: No. 98 of 1985 s. 3.]</w:t>
      </w:r>
    </w:p>
    <w:p>
      <w:pPr>
        <w:pStyle w:val="Heading2"/>
      </w:pPr>
      <w:bookmarkStart w:id="135" w:name="_Toc99521176"/>
      <w:bookmarkStart w:id="136" w:name="_Toc99521478"/>
      <w:bookmarkStart w:id="137" w:name="_Toc99522757"/>
      <w:r>
        <w:rPr>
          <w:rStyle w:val="CharPartNo"/>
        </w:rPr>
        <w:lastRenderedPageBreak/>
        <w:t>Part VII</w:t>
      </w:r>
      <w:r>
        <w:rPr>
          <w:rStyle w:val="CharDivNo"/>
        </w:rPr>
        <w:t> </w:t>
      </w:r>
      <w:r>
        <w:t>—</w:t>
      </w:r>
      <w:r>
        <w:rPr>
          <w:rStyle w:val="CharDivText"/>
        </w:rPr>
        <w:t> </w:t>
      </w:r>
      <w:r>
        <w:rPr>
          <w:rStyle w:val="CharPartText"/>
        </w:rPr>
        <w:t>Miscellaneous</w:t>
      </w:r>
      <w:bookmarkEnd w:id="135"/>
      <w:bookmarkEnd w:id="136"/>
      <w:bookmarkEnd w:id="137"/>
    </w:p>
    <w:p>
      <w:pPr>
        <w:pStyle w:val="Heading5"/>
        <w:rPr>
          <w:snapToGrid w:val="0"/>
        </w:rPr>
      </w:pPr>
      <w:bookmarkStart w:id="138" w:name="_Toc99522758"/>
      <w:r>
        <w:rPr>
          <w:rStyle w:val="CharSectno"/>
        </w:rPr>
        <w:t>110</w:t>
      </w:r>
      <w:r>
        <w:rPr>
          <w:snapToGrid w:val="0"/>
        </w:rPr>
        <w:t>.</w:t>
      </w:r>
      <w:r>
        <w:rPr>
          <w:snapToGrid w:val="0"/>
        </w:rPr>
        <w:tab/>
        <w:t>Registers of licensees etc., Commissioner to keep etc.</w:t>
      </w:r>
      <w:bookmarkEnd w:id="138"/>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No. 58 of 2010 s. 176.]</w:t>
      </w:r>
    </w:p>
    <w:p>
      <w:pPr>
        <w:pStyle w:val="Heading5"/>
      </w:pPr>
      <w:bookmarkStart w:id="139" w:name="_Toc99522759"/>
      <w:r>
        <w:rPr>
          <w:rStyle w:val="CharSectno"/>
        </w:rPr>
        <w:t>111A</w:t>
      </w:r>
      <w:r>
        <w:t>.</w:t>
      </w:r>
      <w:r>
        <w:tab/>
        <w:t>Offence to give false or misleading information</w:t>
      </w:r>
      <w:bookmarkEnd w:id="139"/>
    </w:p>
    <w:p>
      <w:pPr>
        <w:pStyle w:val="Subsection"/>
      </w:pPr>
      <w:r>
        <w:tab/>
        <w:t>(1)</w:t>
      </w:r>
      <w:r>
        <w:tab/>
        <w:t>A person who gives false or misleading information to the Commissioner or the chief executive officer under this Act commits an offence.</w:t>
      </w:r>
    </w:p>
    <w:p>
      <w:pPr>
        <w:pStyle w:val="Penstart"/>
      </w:pPr>
      <w:r>
        <w:tab/>
        <w:t>Penalty for this subsection: a fine of $20 000.</w:t>
      </w:r>
    </w:p>
    <w:p>
      <w:pPr>
        <w:pStyle w:val="Subsection"/>
      </w:pPr>
      <w:r>
        <w:tab/>
        <w:t>(2)</w:t>
      </w:r>
      <w:r>
        <w:tab/>
        <w:t>For the purposes of subsection (1), a person gives false or misleading information to the Commissioner or the chief executive officer if the person does one or more of the following —</w:t>
      </w:r>
    </w:p>
    <w:p>
      <w:pPr>
        <w:pStyle w:val="Indenta"/>
      </w:pPr>
      <w:r>
        <w:tab/>
        <w:t>(a)</w:t>
      </w:r>
      <w:r>
        <w:tab/>
        <w:t>states anything that the person knows is false or misleading in a material particular;</w:t>
      </w:r>
    </w:p>
    <w:p>
      <w:pPr>
        <w:pStyle w:val="Indenta"/>
      </w:pPr>
      <w:r>
        <w:tab/>
        <w:t>(b)</w:t>
      </w:r>
      <w:r>
        <w:tab/>
        <w:t>omits anything from a statement without which the statement is, to the person’s knowledge, misleading in a material particular;</w:t>
      </w:r>
    </w:p>
    <w:p>
      <w:pPr>
        <w:pStyle w:val="Indenta"/>
        <w:keepNext/>
      </w:pPr>
      <w:r>
        <w:lastRenderedPageBreak/>
        <w:tab/>
        <w:t>(c)</w:t>
      </w:r>
      <w:r>
        <w:tab/>
        <w:t>gives or produces any information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No. 44 of 2016 s. 41; amended: No. 25 of 2019 s. 87.]</w:t>
      </w:r>
    </w:p>
    <w:p>
      <w:pPr>
        <w:pStyle w:val="Heading5"/>
        <w:rPr>
          <w:snapToGrid w:val="0"/>
        </w:rPr>
      </w:pPr>
      <w:bookmarkStart w:id="140" w:name="_Toc99522760"/>
      <w:r>
        <w:rPr>
          <w:rStyle w:val="CharSectno"/>
        </w:rPr>
        <w:t>111</w:t>
      </w:r>
      <w:r>
        <w:rPr>
          <w:snapToGrid w:val="0"/>
        </w:rPr>
        <w:t>.</w:t>
      </w:r>
      <w:r>
        <w:rPr>
          <w:snapToGrid w:val="0"/>
        </w:rPr>
        <w:tab/>
        <w:t>Commissioner’s certificate</w:t>
      </w:r>
      <w:bookmarkEnd w:id="140"/>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No. 58 of 2010 s. 176; No. 23 of 2014 s. 108.]</w:t>
      </w:r>
    </w:p>
    <w:p>
      <w:pPr>
        <w:pStyle w:val="Heading5"/>
        <w:rPr>
          <w:snapToGrid w:val="0"/>
        </w:rPr>
      </w:pPr>
      <w:bookmarkStart w:id="141" w:name="_Toc99522761"/>
      <w:r>
        <w:rPr>
          <w:rStyle w:val="CharSectno"/>
        </w:rPr>
        <w:t>112</w:t>
      </w:r>
      <w:r>
        <w:rPr>
          <w:snapToGrid w:val="0"/>
        </w:rPr>
        <w:t>.</w:t>
      </w:r>
      <w:r>
        <w:rPr>
          <w:snapToGrid w:val="0"/>
        </w:rPr>
        <w:tab/>
        <w:t>Annual report by department</w:t>
      </w:r>
      <w:bookmarkEnd w:id="141"/>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lastRenderedPageBreak/>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No. 98 of 1985 s. 3; amended: No. 59 of 1995 s. 82; No. 55 of 2004 s. 1092; No. 77 of 2006 Sch. 1 cl. 156(16); No. 58 of 2010 s. 169.]</w:t>
      </w:r>
    </w:p>
    <w:p>
      <w:pPr>
        <w:pStyle w:val="Heading5"/>
        <w:rPr>
          <w:snapToGrid w:val="0"/>
        </w:rPr>
      </w:pPr>
      <w:bookmarkStart w:id="142" w:name="_Toc99522762"/>
      <w:r>
        <w:rPr>
          <w:rStyle w:val="CharSectno"/>
        </w:rPr>
        <w:t>113</w:t>
      </w:r>
      <w:r>
        <w:rPr>
          <w:snapToGrid w:val="0"/>
        </w:rPr>
        <w:t>.</w:t>
      </w:r>
      <w:r>
        <w:rPr>
          <w:snapToGrid w:val="0"/>
        </w:rPr>
        <w:tab/>
        <w:t>Reports by Commissioner to Minister</w:t>
      </w:r>
      <w:bookmarkEnd w:id="142"/>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No. 58 of 2010 s. 176.]</w:t>
      </w:r>
    </w:p>
    <w:p>
      <w:pPr>
        <w:pStyle w:val="Heading5"/>
        <w:rPr>
          <w:snapToGrid w:val="0"/>
        </w:rPr>
      </w:pPr>
      <w:bookmarkStart w:id="143" w:name="_Toc99522763"/>
      <w:r>
        <w:rPr>
          <w:rStyle w:val="CharSectno"/>
        </w:rPr>
        <w:t>114</w:t>
      </w:r>
      <w:r>
        <w:rPr>
          <w:snapToGrid w:val="0"/>
        </w:rPr>
        <w:t>.</w:t>
      </w:r>
      <w:r>
        <w:rPr>
          <w:snapToGrid w:val="0"/>
        </w:rPr>
        <w:tab/>
        <w:t>Refunds of fees, Commissioner’s powers as to</w:t>
      </w:r>
      <w:bookmarkEnd w:id="143"/>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No. 77 of 2006 Sch. 1 cl. 156(2); No. 58 of 2010 s. 170 and 176.]</w:t>
      </w:r>
    </w:p>
    <w:p>
      <w:pPr>
        <w:pStyle w:val="Heading5"/>
      </w:pPr>
      <w:bookmarkStart w:id="144" w:name="_Toc99522764"/>
      <w:r>
        <w:rPr>
          <w:rStyle w:val="CharSectno"/>
        </w:rPr>
        <w:lastRenderedPageBreak/>
        <w:t>115</w:t>
      </w:r>
      <w:r>
        <w:t>.</w:t>
      </w:r>
      <w:r>
        <w:tab/>
        <w:t>Protection from personal liability</w:t>
      </w:r>
      <w:bookmarkEnd w:id="144"/>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No. 58 of 2010 s. 171.]</w:t>
      </w:r>
    </w:p>
    <w:p>
      <w:pPr>
        <w:pStyle w:val="Heading5"/>
      </w:pPr>
      <w:bookmarkStart w:id="145" w:name="_Toc99522765"/>
      <w:r>
        <w:rPr>
          <w:rStyle w:val="CharSectno"/>
        </w:rPr>
        <w:t>116</w:t>
      </w:r>
      <w:r>
        <w:t>.</w:t>
      </w:r>
      <w:r>
        <w:tab/>
        <w:t>Confidentiality of information officially obtained</w:t>
      </w:r>
      <w:bookmarkEnd w:id="145"/>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No. 58 of 2010 s. 172.]</w:t>
      </w:r>
    </w:p>
    <w:p>
      <w:pPr>
        <w:pStyle w:val="Heading5"/>
        <w:rPr>
          <w:snapToGrid w:val="0"/>
        </w:rPr>
      </w:pPr>
      <w:bookmarkStart w:id="146" w:name="_Toc99522766"/>
      <w:r>
        <w:rPr>
          <w:rStyle w:val="CharSectno"/>
        </w:rPr>
        <w:t>117</w:t>
      </w:r>
      <w:r>
        <w:rPr>
          <w:snapToGrid w:val="0"/>
        </w:rPr>
        <w:t>.</w:t>
      </w:r>
      <w:r>
        <w:rPr>
          <w:snapToGrid w:val="0"/>
        </w:rPr>
        <w:tab/>
        <w:t>Liability of directors of body corporate for defalcations</w:t>
      </w:r>
      <w:bookmarkEnd w:id="146"/>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47" w:name="_Toc99522767"/>
      <w:r>
        <w:rPr>
          <w:rStyle w:val="CharSectno"/>
        </w:rPr>
        <w:t>118</w:t>
      </w:r>
      <w:r>
        <w:rPr>
          <w:snapToGrid w:val="0"/>
        </w:rPr>
        <w:t>.</w:t>
      </w:r>
      <w:r>
        <w:rPr>
          <w:snapToGrid w:val="0"/>
        </w:rPr>
        <w:tab/>
        <w:t>Other rights and remedies not affected by this Act</w:t>
      </w:r>
      <w:bookmarkEnd w:id="147"/>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48" w:name="_Toc99522768"/>
      <w:r>
        <w:rPr>
          <w:rStyle w:val="CharSectno"/>
        </w:rPr>
        <w:t>119</w:t>
      </w:r>
      <w:r>
        <w:rPr>
          <w:snapToGrid w:val="0"/>
        </w:rPr>
        <w:t>.</w:t>
      </w:r>
      <w:r>
        <w:rPr>
          <w:snapToGrid w:val="0"/>
        </w:rPr>
        <w:tab/>
        <w:t>Rights conferred by Act cannot be waived</w:t>
      </w:r>
      <w:bookmarkEnd w:id="148"/>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49" w:name="_Toc99522769"/>
      <w:r>
        <w:rPr>
          <w:rStyle w:val="CharSectno"/>
        </w:rPr>
        <w:t>120</w:t>
      </w:r>
      <w:r>
        <w:rPr>
          <w:snapToGrid w:val="0"/>
        </w:rPr>
        <w:t>.</w:t>
      </w:r>
      <w:r>
        <w:rPr>
          <w:snapToGrid w:val="0"/>
        </w:rPr>
        <w:tab/>
        <w:t>General penalty for offences</w:t>
      </w:r>
      <w:bookmarkEnd w:id="149"/>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lastRenderedPageBreak/>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No. 59 of 1995 s. 85.]</w:t>
      </w:r>
    </w:p>
    <w:p>
      <w:pPr>
        <w:pStyle w:val="Heading5"/>
        <w:rPr>
          <w:snapToGrid w:val="0"/>
        </w:rPr>
      </w:pPr>
      <w:bookmarkStart w:id="150" w:name="_Toc99522770"/>
      <w:r>
        <w:rPr>
          <w:rStyle w:val="CharSectno"/>
        </w:rPr>
        <w:t>121</w:t>
      </w:r>
      <w:r>
        <w:rPr>
          <w:snapToGrid w:val="0"/>
        </w:rPr>
        <w:t>.</w:t>
      </w:r>
      <w:r>
        <w:rPr>
          <w:snapToGrid w:val="0"/>
        </w:rPr>
        <w:tab/>
        <w:t>Proceedings for offences</w:t>
      </w:r>
      <w:bookmarkEnd w:id="150"/>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No. 59 of 2004 s. 141; No. 84 of 2004 s. 80; No. 58 of 2010 s. 176.]</w:t>
      </w:r>
    </w:p>
    <w:p>
      <w:pPr>
        <w:pStyle w:val="Heading5"/>
        <w:rPr>
          <w:snapToGrid w:val="0"/>
        </w:rPr>
      </w:pPr>
      <w:bookmarkStart w:id="151" w:name="_Toc99522771"/>
      <w:r>
        <w:rPr>
          <w:rStyle w:val="CharSectno"/>
        </w:rPr>
        <w:t>122</w:t>
      </w:r>
      <w:r>
        <w:rPr>
          <w:snapToGrid w:val="0"/>
        </w:rPr>
        <w:t>.</w:t>
      </w:r>
      <w:r>
        <w:rPr>
          <w:snapToGrid w:val="0"/>
        </w:rPr>
        <w:tab/>
        <w:t>Forms</w:t>
      </w:r>
      <w:bookmarkEnd w:id="151"/>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No. 58 of 2010 s. 176.]</w:t>
      </w:r>
    </w:p>
    <w:p>
      <w:pPr>
        <w:pStyle w:val="Heading5"/>
        <w:rPr>
          <w:snapToGrid w:val="0"/>
        </w:rPr>
      </w:pPr>
      <w:bookmarkStart w:id="152" w:name="_Toc99522772"/>
      <w:r>
        <w:rPr>
          <w:rStyle w:val="CharSectno"/>
        </w:rPr>
        <w:t>123</w:t>
      </w:r>
      <w:r>
        <w:rPr>
          <w:snapToGrid w:val="0"/>
        </w:rPr>
        <w:t>.</w:t>
      </w:r>
      <w:r>
        <w:rPr>
          <w:snapToGrid w:val="0"/>
        </w:rPr>
        <w:tab/>
        <w:t>Regulations</w:t>
      </w:r>
      <w:bookmarkEnd w:id="152"/>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keepNext/>
        <w:rPr>
          <w:snapToGrid w:val="0"/>
        </w:rPr>
      </w:pPr>
      <w:r>
        <w:rPr>
          <w:snapToGrid w:val="0"/>
        </w:rPr>
        <w:lastRenderedPageBreak/>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lastRenderedPageBreak/>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No. 65 of 1987 s. 43; No. 59 of 1995 s. 83 and 85; No. 55 of 2004 s. 1093; No. 77 of 2006 Sch. 1 cl. 156(2); No. 58 of 2010 s. 173 and 176.]</w:t>
      </w:r>
    </w:p>
    <w:p>
      <w:pPr>
        <w:pStyle w:val="Heading2"/>
      </w:pPr>
      <w:bookmarkStart w:id="153" w:name="_Toc99521192"/>
      <w:bookmarkStart w:id="154" w:name="_Toc99521494"/>
      <w:bookmarkStart w:id="155" w:name="_Toc99522773"/>
      <w:r>
        <w:rPr>
          <w:rStyle w:val="CharPartNo"/>
        </w:rPr>
        <w:lastRenderedPageBreak/>
        <w:t>Part VIII</w:t>
      </w:r>
      <w:r>
        <w:t> — </w:t>
      </w:r>
      <w:r>
        <w:rPr>
          <w:rStyle w:val="CharPartText"/>
        </w:rPr>
        <w:t>Savings and transitional</w:t>
      </w:r>
      <w:bookmarkEnd w:id="153"/>
      <w:bookmarkEnd w:id="154"/>
      <w:bookmarkEnd w:id="155"/>
    </w:p>
    <w:p>
      <w:pPr>
        <w:pStyle w:val="Footnoteheading"/>
      </w:pPr>
      <w:r>
        <w:tab/>
        <w:t>[Heading inserted: No. 58 of 2010 s. 174.]</w:t>
      </w:r>
    </w:p>
    <w:p>
      <w:pPr>
        <w:pStyle w:val="Heading5"/>
      </w:pPr>
      <w:bookmarkStart w:id="156" w:name="_Toc99522774"/>
      <w:r>
        <w:rPr>
          <w:rStyle w:val="CharSectno"/>
        </w:rPr>
        <w:t>124</w:t>
      </w:r>
      <w:r>
        <w:t>.</w:t>
      </w:r>
      <w:r>
        <w:tab/>
        <w:t>Terms used</w:t>
      </w:r>
      <w:bookmarkEnd w:id="156"/>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No. 58 of 2010 s. 174.]</w:t>
      </w:r>
    </w:p>
    <w:p>
      <w:pPr>
        <w:pStyle w:val="Heading5"/>
      </w:pPr>
      <w:bookmarkStart w:id="157" w:name="_Toc99522775"/>
      <w:r>
        <w:rPr>
          <w:rStyle w:val="CharSectno"/>
        </w:rPr>
        <w:t>125</w:t>
      </w:r>
      <w:r>
        <w:t>.</w:t>
      </w:r>
      <w:r>
        <w:tab/>
        <w:t>Former Board abolished</w:t>
      </w:r>
      <w:bookmarkEnd w:id="157"/>
    </w:p>
    <w:p>
      <w:pPr>
        <w:pStyle w:val="Subsection"/>
      </w:pPr>
      <w:r>
        <w:tab/>
      </w:r>
      <w:r>
        <w:tab/>
        <w:t>Subject to sections 132 and 133, at the beginning of the commencement day, the former Board is abolished and its members go out of office.</w:t>
      </w:r>
    </w:p>
    <w:p>
      <w:pPr>
        <w:pStyle w:val="Footnotesection"/>
      </w:pPr>
      <w:r>
        <w:tab/>
        <w:t>[Section 125 inserted: No. 58 of 2010 s. 174.]</w:t>
      </w:r>
    </w:p>
    <w:p>
      <w:pPr>
        <w:pStyle w:val="Heading5"/>
      </w:pPr>
      <w:bookmarkStart w:id="158" w:name="_Toc99522776"/>
      <w:r>
        <w:rPr>
          <w:rStyle w:val="CharSectno"/>
        </w:rPr>
        <w:t>126</w:t>
      </w:r>
      <w:r>
        <w:t>.</w:t>
      </w:r>
      <w:r>
        <w:tab/>
        <w:t>References to former Board</w:t>
      </w:r>
      <w:bookmarkEnd w:id="158"/>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No. 58 of 2010 s. 174.]</w:t>
      </w:r>
    </w:p>
    <w:p>
      <w:pPr>
        <w:pStyle w:val="Heading5"/>
      </w:pPr>
      <w:bookmarkStart w:id="159" w:name="_Toc99522777"/>
      <w:r>
        <w:rPr>
          <w:rStyle w:val="CharSectno"/>
        </w:rPr>
        <w:lastRenderedPageBreak/>
        <w:t>127</w:t>
      </w:r>
      <w:r>
        <w:t>.</w:t>
      </w:r>
      <w:r>
        <w:tab/>
        <w:t>Immunity continues</w:t>
      </w:r>
      <w:bookmarkEnd w:id="159"/>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No. 58 of 2010 s. 174.]</w:t>
      </w:r>
    </w:p>
    <w:p>
      <w:pPr>
        <w:pStyle w:val="Heading5"/>
      </w:pPr>
      <w:bookmarkStart w:id="160" w:name="_Toc99522778"/>
      <w:r>
        <w:rPr>
          <w:rStyle w:val="CharSectno"/>
        </w:rPr>
        <w:t>128</w:t>
      </w:r>
      <w:r>
        <w:t>.</w:t>
      </w:r>
      <w:r>
        <w:tab/>
        <w:t>Notices and rules made by former Board</w:t>
      </w:r>
      <w:bookmarkEnd w:id="160"/>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No. 58 of 2010 s. 174.]</w:t>
      </w:r>
    </w:p>
    <w:p>
      <w:pPr>
        <w:pStyle w:val="Heading5"/>
      </w:pPr>
      <w:bookmarkStart w:id="161" w:name="_Toc99522779"/>
      <w:r>
        <w:rPr>
          <w:rStyle w:val="CharSectno"/>
        </w:rPr>
        <w:t>129</w:t>
      </w:r>
      <w:r>
        <w:t>.</w:t>
      </w:r>
      <w:r>
        <w:tab/>
        <w:t>References to former Registrar</w:t>
      </w:r>
      <w:bookmarkEnd w:id="161"/>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No. 58 of 2010 s. 174.]</w:t>
      </w:r>
    </w:p>
    <w:p>
      <w:pPr>
        <w:pStyle w:val="Heading5"/>
      </w:pPr>
      <w:bookmarkStart w:id="162" w:name="_Toc99522780"/>
      <w:r>
        <w:rPr>
          <w:rStyle w:val="CharSectno"/>
        </w:rPr>
        <w:lastRenderedPageBreak/>
        <w:t>130</w:t>
      </w:r>
      <w:r>
        <w:t>.</w:t>
      </w:r>
      <w:r>
        <w:tab/>
        <w:t>Unfinished investigations by former Board</w:t>
      </w:r>
      <w:bookmarkEnd w:id="162"/>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No. 58 of 2010 s. 174.]</w:t>
      </w:r>
    </w:p>
    <w:p>
      <w:pPr>
        <w:pStyle w:val="Heading5"/>
      </w:pPr>
      <w:bookmarkStart w:id="163" w:name="_Toc99522781"/>
      <w:r>
        <w:rPr>
          <w:rStyle w:val="CharSectno"/>
        </w:rPr>
        <w:t>131</w:t>
      </w:r>
      <w:r>
        <w:t>.</w:t>
      </w:r>
      <w:r>
        <w:tab/>
        <w:t>Unfinished proceedings by former Board</w:t>
      </w:r>
      <w:bookmarkEnd w:id="163"/>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No. 58 of 2010 s. 174.]</w:t>
      </w:r>
    </w:p>
    <w:p>
      <w:pPr>
        <w:pStyle w:val="Heading5"/>
      </w:pPr>
      <w:bookmarkStart w:id="164" w:name="_Toc99522782"/>
      <w:r>
        <w:rPr>
          <w:rStyle w:val="CharSectno"/>
        </w:rPr>
        <w:t>132</w:t>
      </w:r>
      <w:r>
        <w:t>.</w:t>
      </w:r>
      <w:r>
        <w:tab/>
        <w:t>Winding</w:t>
      </w:r>
      <w:r>
        <w:noBreakHyphen/>
        <w:t>up former Board</w:t>
      </w:r>
      <w:bookmarkEnd w:id="164"/>
    </w:p>
    <w:p>
      <w:pPr>
        <w:pStyle w:val="Subsection"/>
      </w:pPr>
      <w:r>
        <w:tab/>
      </w:r>
      <w:r>
        <w:tab/>
        <w:t>On and after the commencement day —</w:t>
      </w:r>
    </w:p>
    <w:p>
      <w:pPr>
        <w:pStyle w:val="Indenta"/>
      </w:pPr>
      <w:r>
        <w:tab/>
        <w:t>(a)</w:t>
      </w:r>
      <w:r>
        <w:tab/>
        <w:t xml:space="preserve">the Commissioner is to take control of all registers, documents, books and other records (however compiled, recorded or stored) relating to the former Board and the </w:t>
      </w:r>
      <w:r>
        <w:lastRenderedPageBreak/>
        <w:t>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No. 58 of 2010 s. 174.]</w:t>
      </w:r>
    </w:p>
    <w:p>
      <w:pPr>
        <w:pStyle w:val="Heading5"/>
        <w:spacing w:before="700"/>
      </w:pPr>
      <w:bookmarkStart w:id="165" w:name="_Toc99522783"/>
      <w:r>
        <w:rPr>
          <w:rStyle w:val="CharSectno"/>
        </w:rPr>
        <w:lastRenderedPageBreak/>
        <w:t>133</w:t>
      </w:r>
      <w:r>
        <w:t>.</w:t>
      </w:r>
      <w:r>
        <w:tab/>
        <w:t>Final report by former Board</w:t>
      </w:r>
      <w:bookmarkEnd w:id="165"/>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No. 58 of 2010 s. 174.]</w:t>
      </w:r>
    </w:p>
    <w:p>
      <w:pPr>
        <w:pStyle w:val="Heading5"/>
      </w:pPr>
      <w:bookmarkStart w:id="166" w:name="_Toc99522784"/>
      <w:r>
        <w:rPr>
          <w:rStyle w:val="CharSectno"/>
        </w:rPr>
        <w:t>134</w:t>
      </w:r>
      <w:r>
        <w:t>.</w:t>
      </w:r>
      <w:r>
        <w:tab/>
        <w:t>Staff of former Board</w:t>
      </w:r>
      <w:bookmarkEnd w:id="166"/>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No. 58 of 2010 s. 174.]</w:t>
      </w:r>
    </w:p>
    <w:p>
      <w:pPr>
        <w:pStyle w:val="Heading5"/>
      </w:pPr>
      <w:bookmarkStart w:id="167" w:name="_Toc99522785"/>
      <w:r>
        <w:rPr>
          <w:rStyle w:val="CharSectno"/>
        </w:rPr>
        <w:t>135</w:t>
      </w:r>
      <w:r>
        <w:t>.</w:t>
      </w:r>
      <w:r>
        <w:tab/>
        <w:t>Transitional regulations</w:t>
      </w:r>
      <w:bookmarkEnd w:id="167"/>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w:t>
      </w:r>
      <w:r>
        <w:lastRenderedPageBreak/>
        <w:t xml:space="preserve">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No. 58 of 2010 s. 174.]</w:t>
      </w:r>
    </w:p>
    <w:p>
      <w:pPr>
        <w:rPr>
          <w:rStyle w:val="CharDivText"/>
        </w:rPr>
        <w:sectPr>
          <w:headerReference w:type="even" r:id="rId20"/>
          <w:headerReference w:type="default" r:id="rId21"/>
          <w:headerReference w:type="first" r:id="rId22"/>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68" w:name="_Toc99521205"/>
      <w:bookmarkStart w:id="169" w:name="_Toc99521507"/>
      <w:bookmarkStart w:id="170" w:name="_Toc99522786"/>
      <w:r>
        <w:rPr>
          <w:rStyle w:val="CharSchNo"/>
          <w:rFonts w:eastAsia="MS Mincho"/>
        </w:rPr>
        <w:lastRenderedPageBreak/>
        <w:t>Schedule 1</w:t>
      </w:r>
      <w:r>
        <w:rPr>
          <w:rFonts w:eastAsia="MS Mincho"/>
        </w:rPr>
        <w:t> — </w:t>
      </w:r>
      <w:r>
        <w:rPr>
          <w:rStyle w:val="CharSchText"/>
          <w:rFonts w:eastAsia="MS Mincho"/>
        </w:rPr>
        <w:t>Grant of licence</w:t>
      </w:r>
      <w:bookmarkEnd w:id="168"/>
      <w:bookmarkEnd w:id="169"/>
      <w:bookmarkEnd w:id="170"/>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No. 19 of 2010 s. 35(2).]</w:t>
      </w:r>
    </w:p>
    <w:p>
      <w:pPr>
        <w:pStyle w:val="yHeading3"/>
        <w:rPr>
          <w:rFonts w:eastAsia="MS Mincho"/>
        </w:rPr>
      </w:pPr>
      <w:bookmarkStart w:id="171" w:name="_Toc99521206"/>
      <w:bookmarkStart w:id="172" w:name="_Toc99521508"/>
      <w:bookmarkStart w:id="173" w:name="_Toc99522787"/>
      <w:r>
        <w:rPr>
          <w:rStyle w:val="CharSDivNo"/>
          <w:rFonts w:eastAsia="MS Mincho"/>
        </w:rPr>
        <w:t>Division 1</w:t>
      </w:r>
      <w:r>
        <w:rPr>
          <w:rFonts w:eastAsia="MS Mincho"/>
          <w:b w:val="0"/>
        </w:rPr>
        <w:t> — </w:t>
      </w:r>
      <w:r>
        <w:rPr>
          <w:rStyle w:val="CharSDivText"/>
          <w:rFonts w:eastAsia="MS Mincho"/>
        </w:rPr>
        <w:t>Qualifications</w:t>
      </w:r>
      <w:bookmarkEnd w:id="171"/>
      <w:bookmarkEnd w:id="172"/>
      <w:bookmarkEnd w:id="173"/>
    </w:p>
    <w:p>
      <w:pPr>
        <w:pStyle w:val="yFootnoteheading"/>
        <w:rPr>
          <w:rFonts w:eastAsia="MS Mincho"/>
        </w:rPr>
      </w:pPr>
      <w:r>
        <w:rPr>
          <w:rFonts w:eastAsia="MS Mincho"/>
        </w:rPr>
        <w:tab/>
        <w:t>[Heading inserted: No. 19 of 2010 s. 35(2).]</w:t>
      </w:r>
    </w:p>
    <w:p>
      <w:pPr>
        <w:pStyle w:val="yHeading5"/>
        <w:outlineLvl w:val="0"/>
        <w:rPr>
          <w:snapToGrid w:val="0"/>
        </w:rPr>
      </w:pPr>
      <w:bookmarkStart w:id="174" w:name="_Toc99522788"/>
      <w:r>
        <w:rPr>
          <w:rStyle w:val="CharSClsNo"/>
        </w:rPr>
        <w:t>1</w:t>
      </w:r>
      <w:r>
        <w:rPr>
          <w:snapToGrid w:val="0"/>
        </w:rPr>
        <w:t>.</w:t>
      </w:r>
      <w:r>
        <w:rPr>
          <w:snapToGrid w:val="0"/>
        </w:rPr>
        <w:tab/>
        <w:t>Real estate settlement agent</w:t>
      </w:r>
      <w:bookmarkEnd w:id="174"/>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lastRenderedPageBreak/>
        <w:tab/>
        <w:t>[(2)</w:t>
      </w:r>
      <w:r>
        <w:tab/>
        <w:t>deleted]</w:t>
      </w:r>
    </w:p>
    <w:p>
      <w:pPr>
        <w:pStyle w:val="yFootnotesection"/>
        <w:keepLines w:val="0"/>
      </w:pPr>
      <w:r>
        <w:tab/>
        <w:t>[Clause 1 amended: No. 64 of 1982 s. 5(a); No. 28 of 2003 s. 183(1); No. 58 of 2010 s. 175 and 176.]</w:t>
      </w:r>
    </w:p>
    <w:p>
      <w:pPr>
        <w:pStyle w:val="yHeading5"/>
        <w:outlineLvl w:val="0"/>
      </w:pPr>
      <w:bookmarkStart w:id="175" w:name="_Toc99522789"/>
      <w:r>
        <w:rPr>
          <w:rStyle w:val="CharSClsNo"/>
        </w:rPr>
        <w:t>2</w:t>
      </w:r>
      <w:r>
        <w:t xml:space="preserve">. </w:t>
      </w:r>
      <w:r>
        <w:tab/>
        <w:t>Business settlement agent</w:t>
      </w:r>
      <w:bookmarkEnd w:id="17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No. 64 of 1982 s. 5(b); No. 28 of 2003 s. 183(2); No. 58 of 2010 s. 175 and 176.]</w:t>
      </w:r>
    </w:p>
    <w:p>
      <w:pPr>
        <w:pStyle w:val="yHeading5"/>
        <w:outlineLvl w:val="0"/>
      </w:pPr>
      <w:bookmarkStart w:id="176" w:name="_Toc99522790"/>
      <w:r>
        <w:rPr>
          <w:rStyle w:val="CharSClsNo"/>
        </w:rPr>
        <w:lastRenderedPageBreak/>
        <w:t>3</w:t>
      </w:r>
      <w:r>
        <w:t xml:space="preserve">. </w:t>
      </w:r>
      <w:r>
        <w:tab/>
        <w:t>Licence by reason of qualification under cl. 1(1)(c) and 2(1)(c)</w:t>
      </w:r>
      <w:bookmarkEnd w:id="176"/>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77" w:name="_Toc99522791"/>
      <w:r>
        <w:rPr>
          <w:rStyle w:val="CharSClsNo"/>
        </w:rPr>
        <w:t>4</w:t>
      </w:r>
      <w:r>
        <w:t>.</w:t>
      </w:r>
      <w:r>
        <w:tab/>
        <w:t>Licence by reason of qualification under cl. 1(1)(d) and 2(1)(d)</w:t>
      </w:r>
      <w:bookmarkEnd w:id="177"/>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No. 28 of 2003 s. 183(3); No. 58 of 2010 s. 176.]</w:t>
      </w:r>
    </w:p>
    <w:p>
      <w:pPr>
        <w:pStyle w:val="yHeading5"/>
        <w:outlineLvl w:val="0"/>
      </w:pPr>
      <w:bookmarkStart w:id="178" w:name="_Toc99522792"/>
      <w:r>
        <w:rPr>
          <w:rStyle w:val="CharSClsNo"/>
        </w:rPr>
        <w:t>5</w:t>
      </w:r>
      <w:r>
        <w:t xml:space="preserve">. </w:t>
      </w:r>
      <w:r>
        <w:tab/>
        <w:t>Dead or incapacitated licensee, conduct of business of</w:t>
      </w:r>
      <w:bookmarkEnd w:id="178"/>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lastRenderedPageBreak/>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No. 28 of 2003 s. 183(4); No. 58 of 2010 s. 176.]</w:t>
      </w:r>
    </w:p>
    <w:p>
      <w:pPr>
        <w:pStyle w:val="yHeading3"/>
        <w:rPr>
          <w:rFonts w:eastAsia="MS Mincho"/>
        </w:rPr>
      </w:pPr>
      <w:bookmarkStart w:id="179" w:name="_Toc99521212"/>
      <w:bookmarkStart w:id="180" w:name="_Toc99521514"/>
      <w:bookmarkStart w:id="181" w:name="_Toc99522793"/>
      <w:r>
        <w:rPr>
          <w:rStyle w:val="CharSDivNo"/>
          <w:rFonts w:eastAsia="MS Mincho"/>
        </w:rPr>
        <w:t>Division 2</w:t>
      </w:r>
      <w:r>
        <w:rPr>
          <w:rFonts w:eastAsia="MS Mincho"/>
          <w:b w:val="0"/>
        </w:rPr>
        <w:t> — </w:t>
      </w:r>
      <w:r>
        <w:rPr>
          <w:rStyle w:val="CharSDivText"/>
          <w:rFonts w:eastAsia="MS Mincho"/>
        </w:rPr>
        <w:t>Disqualification</w:t>
      </w:r>
      <w:bookmarkEnd w:id="179"/>
      <w:bookmarkEnd w:id="180"/>
      <w:bookmarkEnd w:id="181"/>
    </w:p>
    <w:p>
      <w:pPr>
        <w:pStyle w:val="yFootnoteheading"/>
        <w:rPr>
          <w:rFonts w:eastAsia="MS Mincho"/>
        </w:rPr>
      </w:pPr>
      <w:r>
        <w:rPr>
          <w:rFonts w:eastAsia="MS Mincho"/>
        </w:rPr>
        <w:tab/>
        <w:t>[Heading inserted: No. 19 of 2010 s. 35(3).]</w:t>
      </w:r>
    </w:p>
    <w:p>
      <w:pPr>
        <w:pStyle w:val="yHeading5"/>
        <w:outlineLvl w:val="0"/>
      </w:pPr>
      <w:bookmarkStart w:id="182" w:name="_Toc99522794"/>
      <w:r>
        <w:rPr>
          <w:rStyle w:val="CharSClsNo"/>
        </w:rPr>
        <w:t>6</w:t>
      </w:r>
      <w:r>
        <w:t>.</w:t>
      </w:r>
      <w:r>
        <w:tab/>
        <w:t>Term used: business licence</w:t>
      </w:r>
      <w:bookmarkEnd w:id="182"/>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3</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No. 14 of 2010 s. 79.]</w:t>
      </w:r>
    </w:p>
    <w:p>
      <w:pPr>
        <w:pStyle w:val="yHeading5"/>
        <w:spacing w:before="160"/>
        <w:outlineLvl w:val="0"/>
      </w:pPr>
      <w:bookmarkStart w:id="183" w:name="_Toc99522795"/>
      <w:r>
        <w:rPr>
          <w:rStyle w:val="CharSClsNo"/>
        </w:rPr>
        <w:t>7</w:t>
      </w:r>
      <w:r>
        <w:t xml:space="preserve">. </w:t>
      </w:r>
      <w:r>
        <w:tab/>
        <w:t>Natural persons, disqualification of</w:t>
      </w:r>
      <w:bookmarkEnd w:id="183"/>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lastRenderedPageBreak/>
        <w:tab/>
        <w:t>(c)</w:t>
      </w:r>
      <w:r>
        <w:rPr>
          <w:snapToGrid w:val="0"/>
        </w:rPr>
        <w:tab/>
        <w:t>the applicant has been struck off the roll of legal practitioners in this State or elsewhere in the Commonwealth.</w:t>
      </w:r>
    </w:p>
    <w:p>
      <w:pPr>
        <w:pStyle w:val="yFootnotesection"/>
      </w:pPr>
      <w:r>
        <w:tab/>
        <w:t>[Clause 7 amended: No. 58 of 2010 s. 176.]</w:t>
      </w:r>
    </w:p>
    <w:p>
      <w:pPr>
        <w:pStyle w:val="yHeading5"/>
        <w:spacing w:before="160"/>
        <w:outlineLvl w:val="0"/>
      </w:pPr>
      <w:bookmarkStart w:id="184" w:name="_Toc99522796"/>
      <w:r>
        <w:rPr>
          <w:rStyle w:val="CharSClsNo"/>
        </w:rPr>
        <w:t>8</w:t>
      </w:r>
      <w:r>
        <w:t xml:space="preserve">. </w:t>
      </w:r>
      <w:r>
        <w:tab/>
        <w:t>Bodies corporate, disqualification of</w:t>
      </w:r>
      <w:bookmarkEnd w:id="184"/>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No. 58 of 2010 s. 176.]</w:t>
      </w:r>
    </w:p>
    <w:p>
      <w:pPr>
        <w:pStyle w:val="yHeading5"/>
        <w:outlineLvl w:val="0"/>
      </w:pPr>
      <w:bookmarkStart w:id="185" w:name="_Toc99522797"/>
      <w:r>
        <w:rPr>
          <w:rStyle w:val="CharSClsNo"/>
        </w:rPr>
        <w:t>9</w:t>
      </w:r>
      <w:r>
        <w:t xml:space="preserve">. </w:t>
      </w:r>
      <w:r>
        <w:tab/>
        <w:t>Firms, disqualification of</w:t>
      </w:r>
      <w:bookmarkEnd w:id="185"/>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lastRenderedPageBreak/>
        <w:tab/>
        <w:t>[Clause 9 amended: No. 58 of 2010 s. 176.]</w:t>
      </w:r>
    </w:p>
    <w:p>
      <w:pPr>
        <w:pStyle w:val="yHeading3"/>
      </w:pPr>
      <w:bookmarkStart w:id="186" w:name="_Toc99521217"/>
      <w:bookmarkStart w:id="187" w:name="_Toc99521519"/>
      <w:bookmarkStart w:id="188" w:name="_Toc99522798"/>
      <w:r>
        <w:rPr>
          <w:rStyle w:val="CharSDivNo"/>
        </w:rPr>
        <w:t>Division 3</w:t>
      </w:r>
      <w:r>
        <w:t> — </w:t>
      </w:r>
      <w:r>
        <w:rPr>
          <w:rStyle w:val="CharSDivText"/>
        </w:rPr>
        <w:t>Temporary arrangements</w:t>
      </w:r>
      <w:bookmarkEnd w:id="186"/>
      <w:bookmarkEnd w:id="187"/>
      <w:bookmarkEnd w:id="188"/>
    </w:p>
    <w:p>
      <w:pPr>
        <w:pStyle w:val="yFootnoteheading"/>
        <w:rPr>
          <w:rFonts w:eastAsia="MS Mincho"/>
        </w:rPr>
      </w:pPr>
      <w:r>
        <w:rPr>
          <w:rFonts w:eastAsia="MS Mincho"/>
        </w:rPr>
        <w:tab/>
        <w:t>[Heading inserted: No. 19 of 2010 s. 35(4).]</w:t>
      </w:r>
    </w:p>
    <w:p>
      <w:pPr>
        <w:pStyle w:val="yHeading5"/>
        <w:outlineLvl w:val="0"/>
      </w:pPr>
      <w:bookmarkStart w:id="189" w:name="_Toc99522799"/>
      <w:r>
        <w:rPr>
          <w:rStyle w:val="CharSClsNo"/>
        </w:rPr>
        <w:t>10</w:t>
      </w:r>
      <w:r>
        <w:t xml:space="preserve">. </w:t>
      </w:r>
      <w:r>
        <w:tab/>
        <w:t>Death or withdrawal of partner in firm or director of body corporate, Commissioner to be notified etc.</w:t>
      </w:r>
      <w:bookmarkEnd w:id="189"/>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No. 58 of 2010 s. 176.]</w:t>
      </w:r>
    </w:p>
    <w:p>
      <w:pPr>
        <w:pStyle w:val="yScheduleHeading"/>
        <w:outlineLvl w:val="0"/>
      </w:pPr>
      <w:bookmarkStart w:id="190" w:name="_Toc99521219"/>
      <w:bookmarkStart w:id="191" w:name="_Toc99521521"/>
      <w:bookmarkStart w:id="192" w:name="_Toc99522800"/>
      <w:r>
        <w:rPr>
          <w:rStyle w:val="CharSchNo"/>
        </w:rPr>
        <w:lastRenderedPageBreak/>
        <w:t>Schedule 2</w:t>
      </w:r>
      <w:r>
        <w:rPr>
          <w:rStyle w:val="CharSDivNo"/>
        </w:rPr>
        <w:t> </w:t>
      </w:r>
      <w:r>
        <w:t>—</w:t>
      </w:r>
      <w:r>
        <w:rPr>
          <w:rStyle w:val="CharSDivText"/>
        </w:rPr>
        <w:t xml:space="preserve"> </w:t>
      </w:r>
      <w:r>
        <w:rPr>
          <w:rStyle w:val="CharSchText"/>
        </w:rPr>
        <w:t>Functions of a settlement agent</w:t>
      </w:r>
      <w:bookmarkEnd w:id="190"/>
      <w:bookmarkEnd w:id="191"/>
      <w:bookmarkEnd w:id="192"/>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No. 19 of 2010 s. 35(5).]</w:t>
      </w:r>
    </w:p>
    <w:p>
      <w:pPr>
        <w:pStyle w:val="yHeading5"/>
        <w:outlineLvl w:val="0"/>
      </w:pPr>
      <w:bookmarkStart w:id="193" w:name="_Toc99522801"/>
      <w:r>
        <w:rPr>
          <w:rStyle w:val="CharSClsNo"/>
        </w:rPr>
        <w:t>1</w:t>
      </w:r>
      <w:r>
        <w:t>.</w:t>
      </w:r>
      <w:r>
        <w:tab/>
        <w:t>Real estate settlement agent</w:t>
      </w:r>
      <w:bookmarkEnd w:id="193"/>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lastRenderedPageBreak/>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lastRenderedPageBreak/>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4</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pPr>
      <w:r>
        <w:tab/>
        <w:t>(iia)</w:t>
      </w:r>
      <w:r>
        <w:tab/>
        <w:t xml:space="preserve">the </w:t>
      </w:r>
      <w:r>
        <w:rPr>
          <w:i/>
        </w:rPr>
        <w:t>Community Titles Act 2018</w:t>
      </w:r>
      <w: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No. 58 of 1995 s. 98; No. 14 of 1996 s. 4; No. 62 of 1996 s. 5(1); No. 81 of 1996 s. 153(1); No. 60 of 2006 s. 158; No. 12 of 2008 Sch. 1 cl. 34; No. 2 of 2014 s. 58; No. 32 of 2018 s. 249.]</w:t>
      </w:r>
    </w:p>
    <w:p>
      <w:pPr>
        <w:pStyle w:val="yHeading5"/>
        <w:outlineLvl w:val="0"/>
      </w:pPr>
      <w:bookmarkStart w:id="194" w:name="_Toc99522802"/>
      <w:r>
        <w:rPr>
          <w:rStyle w:val="CharSClsNo"/>
        </w:rPr>
        <w:t>2</w:t>
      </w:r>
      <w:r>
        <w:t xml:space="preserve">. </w:t>
      </w:r>
      <w:r>
        <w:tab/>
        <w:t>Business settlement agent</w:t>
      </w:r>
      <w:bookmarkEnd w:id="194"/>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lastRenderedPageBreak/>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pPr>
      <w:bookmarkStart w:id="196" w:name="_Toc99521222"/>
      <w:bookmarkStart w:id="197" w:name="_Toc99521524"/>
      <w:bookmarkStart w:id="198" w:name="_Toc99522803"/>
      <w:r>
        <w:lastRenderedPageBreak/>
        <w:t>Notes</w:t>
      </w:r>
      <w:bookmarkEnd w:id="196"/>
      <w:bookmarkEnd w:id="197"/>
      <w:bookmarkEnd w:id="198"/>
    </w:p>
    <w:p>
      <w:pPr>
        <w:pStyle w:val="nStatement"/>
      </w:pPr>
      <w:r>
        <w:t xml:space="preserve">This is a compilation of the </w:t>
      </w:r>
      <w:r>
        <w:rPr>
          <w:i/>
          <w:noProof/>
        </w:rPr>
        <w:t>Settlement Agents Act 1981</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99" w:name="_Toc99522804"/>
      <w:r>
        <w:t>Compilation table</w:t>
      </w:r>
      <w:bookmarkEnd w:id="199"/>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lastRenderedPageBreak/>
              <w:t xml:space="preserve">Real Estate Legislation Amendment Act 1995 </w:t>
            </w:r>
            <w:r>
              <w:t>Pt. 4</w:t>
            </w:r>
            <w:r>
              <w:rPr>
                <w:vertAlign w:val="superscript"/>
              </w:rPr>
              <w:t> 5</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2</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6</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lastRenderedPageBreak/>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7</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lastRenderedPageBreak/>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lastRenderedPageBreak/>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pPr>
              <w:pStyle w:val="nTable"/>
              <w:spacing w:after="40"/>
              <w:rPr>
                <w:snapToGrid w:val="0"/>
              </w:rPr>
            </w:pPr>
            <w:r>
              <w:t>44 of 2016</w:t>
            </w:r>
          </w:p>
        </w:tc>
        <w:tc>
          <w:tcPr>
            <w:tcW w:w="1134" w:type="dxa"/>
            <w:tcBorders>
              <w:top w:val="nil"/>
              <w:left w:val="nil"/>
              <w:bottom w:val="nil"/>
              <w:right w:val="nil"/>
            </w:tcBorders>
            <w:shd w:val="clear" w:color="auto" w:fill="auto"/>
          </w:tcPr>
          <w:p>
            <w:pPr>
              <w:pStyle w:val="nTable"/>
              <w:spacing w:after="40"/>
              <w:rPr>
                <w:snapToGrid w:val="0"/>
              </w:rPr>
            </w:pPr>
            <w:r>
              <w:t>1 Dec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Strata Titles Amendment Act 2018</w:t>
            </w:r>
            <w:r>
              <w:t xml:space="preserve"> Pt. 3 Div. 21</w:t>
            </w:r>
          </w:p>
        </w:tc>
        <w:tc>
          <w:tcPr>
            <w:tcW w:w="1134" w:type="dxa"/>
            <w:tcBorders>
              <w:top w:val="nil"/>
              <w:left w:val="nil"/>
              <w:bottom w:val="nil"/>
              <w:right w:val="nil"/>
            </w:tcBorders>
            <w:shd w:val="clear" w:color="auto" w:fill="auto"/>
          </w:tcPr>
          <w:p>
            <w:pPr>
              <w:pStyle w:val="nTable"/>
              <w:spacing w:after="40"/>
            </w:pPr>
            <w:r>
              <w:t>30 of 2018</w:t>
            </w:r>
          </w:p>
        </w:tc>
        <w:tc>
          <w:tcPr>
            <w:tcW w:w="1134" w:type="dxa"/>
            <w:tcBorders>
              <w:top w:val="nil"/>
              <w:left w:val="nil"/>
              <w:bottom w:val="nil"/>
              <w:right w:val="nil"/>
            </w:tcBorders>
            <w:shd w:val="clear" w:color="auto" w:fill="auto"/>
          </w:tcPr>
          <w:p>
            <w:pPr>
              <w:pStyle w:val="nTable"/>
              <w:spacing w:after="40"/>
            </w:pPr>
            <w:r>
              <w:t>19 Nov 2018</w:t>
            </w:r>
          </w:p>
        </w:tc>
        <w:tc>
          <w:tcPr>
            <w:tcW w:w="2552" w:type="dxa"/>
            <w:tcBorders>
              <w:top w:val="nil"/>
              <w:left w:val="nil"/>
              <w:bottom w:val="nil"/>
            </w:tcBorders>
            <w:shd w:val="clear" w:color="auto" w:fill="auto"/>
          </w:tcPr>
          <w:p>
            <w:pPr>
              <w:pStyle w:val="nTable"/>
              <w:spacing w:after="40"/>
              <w:rPr>
                <w:snapToGrid w:val="0"/>
              </w:rPr>
            </w:pPr>
            <w:r>
              <w:rPr>
                <w:snapToGrid w:val="0"/>
              </w:rPr>
              <w:t>1 May 2020 (see s. 2(b) and SL 2020/39 cl. 2)</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Community Titles Act 2018</w:t>
            </w:r>
            <w:r>
              <w:t xml:space="preserve"> Pt. 14 Div. 21</w:t>
            </w:r>
          </w:p>
        </w:tc>
        <w:tc>
          <w:tcPr>
            <w:tcW w:w="1134" w:type="dxa"/>
            <w:tcBorders>
              <w:top w:val="nil"/>
              <w:left w:val="nil"/>
              <w:bottom w:val="nil"/>
              <w:right w:val="nil"/>
            </w:tcBorders>
            <w:shd w:val="clear" w:color="auto" w:fill="auto"/>
          </w:tcPr>
          <w:p>
            <w:pPr>
              <w:pStyle w:val="nTable"/>
              <w:spacing w:after="40"/>
            </w:pPr>
            <w:r>
              <w:t>32 of 2018</w:t>
            </w:r>
          </w:p>
        </w:tc>
        <w:tc>
          <w:tcPr>
            <w:tcW w:w="1134" w:type="dxa"/>
            <w:tcBorders>
              <w:top w:val="nil"/>
              <w:left w:val="nil"/>
              <w:bottom w:val="nil"/>
              <w:right w:val="nil"/>
            </w:tcBorders>
            <w:shd w:val="clear" w:color="auto" w:fill="auto"/>
          </w:tcPr>
          <w:p>
            <w:pPr>
              <w:pStyle w:val="nTable"/>
              <w:spacing w:after="40"/>
            </w:pPr>
            <w:r>
              <w:t>19 Nov 2018</w:t>
            </w:r>
          </w:p>
        </w:tc>
        <w:tc>
          <w:tcPr>
            <w:tcW w:w="2552" w:type="dxa"/>
            <w:tcBorders>
              <w:top w:val="nil"/>
              <w:left w:val="nil"/>
              <w:bottom w:val="nil"/>
            </w:tcBorders>
            <w:shd w:val="clear" w:color="auto" w:fill="auto"/>
          </w:tcPr>
          <w:p>
            <w:pPr>
              <w:pStyle w:val="nTable"/>
              <w:spacing w:after="40"/>
              <w:rPr>
                <w:snapToGrid w:val="0"/>
              </w:rPr>
            </w:pPr>
            <w:r>
              <w:t>30 Jun 2021 (see s. 2(b) and SL 2021/69 cl. 2)</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rPr>
            </w:pPr>
            <w:r>
              <w:rPr>
                <w:i/>
              </w:rPr>
              <w:t xml:space="preserve">Consumer Protection Legislation Amendment Act 2019 </w:t>
            </w:r>
            <w:r>
              <w:t>Pt. 10</w:t>
            </w:r>
          </w:p>
        </w:tc>
        <w:tc>
          <w:tcPr>
            <w:tcW w:w="1134" w:type="dxa"/>
            <w:tcBorders>
              <w:top w:val="nil"/>
              <w:left w:val="nil"/>
              <w:bottom w:val="single" w:sz="4" w:space="0" w:color="auto"/>
              <w:right w:val="nil"/>
            </w:tcBorders>
            <w:shd w:val="clear" w:color="auto" w:fill="auto"/>
          </w:tcPr>
          <w:p>
            <w:pPr>
              <w:pStyle w:val="nTable"/>
              <w:spacing w:after="40"/>
            </w:pPr>
            <w:r>
              <w:t>25 of 2019</w:t>
            </w:r>
          </w:p>
        </w:tc>
        <w:tc>
          <w:tcPr>
            <w:tcW w:w="1134" w:type="dxa"/>
            <w:tcBorders>
              <w:top w:val="nil"/>
              <w:left w:val="nil"/>
              <w:bottom w:val="single" w:sz="4" w:space="0" w:color="auto"/>
              <w:right w:val="nil"/>
            </w:tcBorders>
            <w:shd w:val="clear" w:color="auto" w:fill="auto"/>
          </w:tcPr>
          <w:p>
            <w:pPr>
              <w:pStyle w:val="nTable"/>
              <w:spacing w:after="40"/>
            </w:pPr>
            <w:r>
              <w:t>24 Oct 2019</w:t>
            </w:r>
          </w:p>
        </w:tc>
        <w:tc>
          <w:tcPr>
            <w:tcW w:w="2552" w:type="dxa"/>
            <w:tcBorders>
              <w:top w:val="nil"/>
              <w:left w:val="nil"/>
              <w:bottom w:val="single" w:sz="4" w:space="0" w:color="auto"/>
            </w:tcBorders>
            <w:shd w:val="clear" w:color="auto" w:fill="auto"/>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pPr>
        <w:pStyle w:val="nHeading3"/>
      </w:pPr>
      <w:bookmarkStart w:id="200" w:name="_Toc99522805"/>
      <w:r>
        <w:t>Uncommenced provisions table</w:t>
      </w:r>
      <w:bookmarkEnd w:id="200"/>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 xml:space="preserve">Mutual Recognition (Western Australia) Amendment Act 2022 </w:t>
            </w:r>
            <w:r>
              <w:t>Pt. 3 Div. 12</w:t>
            </w:r>
          </w:p>
        </w:tc>
        <w:tc>
          <w:tcPr>
            <w:tcW w:w="1134" w:type="dxa"/>
          </w:tcPr>
          <w:p>
            <w:pPr>
              <w:pStyle w:val="nTable"/>
              <w:spacing w:after="40"/>
            </w:pPr>
            <w:r>
              <w:t>7 of 2022</w:t>
            </w:r>
          </w:p>
        </w:tc>
        <w:tc>
          <w:tcPr>
            <w:tcW w:w="1134" w:type="dxa"/>
          </w:tcPr>
          <w:p>
            <w:pPr>
              <w:pStyle w:val="nTable"/>
              <w:spacing w:after="40"/>
            </w:pPr>
            <w:r>
              <w:t>29 Mar 2022</w:t>
            </w:r>
          </w:p>
        </w:tc>
        <w:tc>
          <w:tcPr>
            <w:tcW w:w="2552" w:type="dxa"/>
          </w:tcPr>
          <w:p>
            <w:pPr>
              <w:pStyle w:val="nTable"/>
              <w:spacing w:after="40"/>
            </w:pPr>
            <w:r>
              <w:t>To be proclaimed (see s. 2(b))</w:t>
            </w:r>
          </w:p>
        </w:tc>
      </w:tr>
    </w:tbl>
    <w:p>
      <w:pPr>
        <w:pStyle w:val="nHeading3"/>
      </w:pPr>
      <w:bookmarkStart w:id="201" w:name="_Toc99522806"/>
      <w:r>
        <w:t>Other notes</w:t>
      </w:r>
      <w:bookmarkEnd w:id="201"/>
    </w:p>
    <w:p>
      <w:pPr>
        <w:pStyle w:val="nNote"/>
        <w:keepNext/>
        <w:spacing w:before="160"/>
        <w:rPr>
          <w:snapToGrid w:val="0"/>
        </w:rPr>
      </w:pPr>
      <w:r>
        <w:rPr>
          <w:snapToGrid w:val="0"/>
          <w:vertAlign w:val="superscript"/>
        </w:rPr>
        <w:t>1</w:t>
      </w:r>
      <w:r>
        <w:rPr>
          <w:snapToGrid w:val="0"/>
        </w:rPr>
        <w:tab/>
        <w:t xml:space="preserve">The appointed day is 1 Nov 1982, see </w:t>
      </w:r>
      <w:r>
        <w:rPr>
          <w:i/>
          <w:snapToGrid w:val="0"/>
        </w:rPr>
        <w:t>Gazette</w:t>
      </w:r>
      <w:r>
        <w:rPr>
          <w:snapToGrid w:val="0"/>
        </w:rPr>
        <w:t xml:space="preserve"> 29 Oct 1982 p. 4322.</w:t>
      </w:r>
    </w:p>
    <w:p>
      <w:pPr>
        <w:pStyle w:val="nNote"/>
        <w:rPr>
          <w:snapToGrid w:val="0"/>
        </w:rPr>
      </w:pPr>
      <w:r>
        <w:rPr>
          <w:snapToGrid w:val="0"/>
          <w:vertAlign w:val="superscript"/>
        </w:rPr>
        <w:t>2</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lastRenderedPageBreak/>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Note"/>
        <w:rPr>
          <w:snapToGrid w:val="0"/>
        </w:rPr>
      </w:pPr>
      <w:r>
        <w:rPr>
          <w:snapToGrid w:val="0"/>
          <w:vertAlign w:val="superscript"/>
        </w:rPr>
        <w:t>3</w:t>
      </w:r>
      <w:r>
        <w:rPr>
          <w:snapToGrid w:val="0"/>
        </w:rPr>
        <w:tab/>
        <w:t xml:space="preserve">Repealed by the </w:t>
      </w:r>
      <w:r>
        <w:rPr>
          <w:i/>
          <w:snapToGrid w:val="0"/>
        </w:rPr>
        <w:t xml:space="preserve">Real Estate and Business Agents Act 1978 </w:t>
      </w:r>
      <w:r>
        <w:rPr>
          <w:snapToGrid w:val="0"/>
        </w:rPr>
        <w:t>s. 5.</w:t>
      </w:r>
    </w:p>
    <w:p>
      <w:pPr>
        <w:pStyle w:val="nNote"/>
        <w:rPr>
          <w:snapToGrid w:val="0"/>
        </w:rPr>
      </w:pPr>
      <w:r>
        <w:rPr>
          <w:snapToGrid w:val="0"/>
          <w:vertAlign w:val="superscript"/>
        </w:rPr>
        <w:t>4</w:t>
      </w:r>
      <w:r>
        <w:rPr>
          <w:snapToGrid w:val="0"/>
        </w:rPr>
        <w:tab/>
        <w:t xml:space="preserve">Repealed by the </w:t>
      </w:r>
      <w:r>
        <w:rPr>
          <w:i/>
          <w:snapToGrid w:val="0"/>
        </w:rPr>
        <w:t>Land Administration Act 1997</w:t>
      </w:r>
      <w:r>
        <w:rPr>
          <w:snapToGrid w:val="0"/>
        </w:rPr>
        <w:t xml:space="preserve"> s. 281.</w:t>
      </w:r>
    </w:p>
    <w:p>
      <w:pPr>
        <w:pStyle w:val="nNote"/>
        <w:rPr>
          <w:snapToGrid w:val="0"/>
        </w:rPr>
      </w:pPr>
      <w:r>
        <w:rPr>
          <w:snapToGrid w:val="0"/>
          <w:vertAlign w:val="superscript"/>
        </w:rPr>
        <w:t>5</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Note"/>
      </w:pPr>
      <w:r>
        <w:rPr>
          <w:vertAlign w:val="superscript"/>
        </w:rPr>
        <w:t>6</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Note"/>
        <w:keepLines/>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7"/>
          <w:headerReference w:type="default" r:id="rId28"/>
          <w:pgSz w:w="11907" w:h="16840" w:code="9"/>
          <w:pgMar w:top="2376" w:right="2405" w:bottom="3542" w:left="2405" w:header="706" w:footer="3380" w:gutter="0"/>
          <w:cols w:space="720"/>
          <w:noEndnote/>
          <w:docGrid w:linePitch="326"/>
        </w:sectPr>
      </w:pPr>
    </w:p>
    <w:p>
      <w:pPr>
        <w:pStyle w:val="nHeading2"/>
        <w:rPr>
          <w:sz w:val="28"/>
        </w:rPr>
      </w:pPr>
      <w:bookmarkStart w:id="203" w:name="_Toc99521225"/>
      <w:bookmarkStart w:id="204" w:name="_Toc99521528"/>
      <w:bookmarkStart w:id="205" w:name="_Toc99522807"/>
      <w:r>
        <w:rPr>
          <w:sz w:val="28"/>
        </w:rPr>
        <w:lastRenderedPageBreak/>
        <w:t>Defined terms</w:t>
      </w:r>
      <w:bookmarkEnd w:id="203"/>
      <w:bookmarkEnd w:id="204"/>
      <w:bookmarkEnd w:id="20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 34AA(1)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lastRenderedPageBreak/>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07-i0-00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07-i0-00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119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Mar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07-i0-00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72"/>
      <w:gridCol w:w="149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195" w:name="Schedule"/>
    <w:bookmarkEnd w:id="19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02" w:name="Compilation"/>
    <w:bookmarkEnd w:id="202"/>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06" w:name="DefinedTerms"/>
    <w:bookmarkEnd w:id="206"/>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07" w:name="Coversheet"/>
    <w:bookmarkEnd w:id="20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054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30082201"/>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2201123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00220112303_GUID" w:val="e31cde7a-d37f-49de-9dd6-3fce48d69d82"/>
    <w:docVar w:name="WAFER_20210615132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32752_GUID" w:val="8ea02628-bb97-489c-bf0e-a0d05c8c4237"/>
    <w:docVar w:name="WAFER_202106231108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30_GUID" w:val="60993b14-e354-4a7a-94a2-6a0360a5de1c"/>
    <w:docVar w:name="WAFER_202106231108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57_GUID" w:val="6a478109-4e5a-4e41-a2e7-9168d8cc0110"/>
    <w:docVar w:name="WAFER_202203300822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2201_GUID" w:val="0db3a29d-dfed-405b-9d78-3ebfac37bb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473"/>
    <o:shapelayout v:ext="edit">
      <o:idmap v:ext="edit" data="1"/>
    </o:shapelayout>
  </w:shapeDefaults>
  <w:decimalSymbol w:val="."/>
  <w:listSeparator w:val=","/>
  <w15:docId w15:val="{BB591EFB-3553-4A28-A958-F9D721EA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32886</Words>
  <Characters>156868</Characters>
  <Application>Microsoft Office Word</Application>
  <DocSecurity>0</DocSecurity>
  <Lines>4128</Lines>
  <Paragraphs>2108</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187646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1981 - 07-i0-00</dc:title>
  <dc:subject/>
  <dc:creator/>
  <cp:keywords/>
  <dc:description/>
  <cp:lastModifiedBy>Master Repository Process</cp:lastModifiedBy>
  <cp:revision>4</cp:revision>
  <cp:lastPrinted>2015-03-06T04:55:00Z</cp:lastPrinted>
  <dcterms:created xsi:type="dcterms:W3CDTF">2022-03-30T01:28:00Z</dcterms:created>
  <dcterms:modified xsi:type="dcterms:W3CDTF">2022-03-30T01:29:00Z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AsAtDate">
    <vt:lpwstr>29 Mar 2022</vt:lpwstr>
  </property>
  <property fmtid="{D5CDD505-2E9C-101B-9397-08002B2CF9AE}" pid="8" name="Suffix">
    <vt:lpwstr>07-i0-00</vt:lpwstr>
  </property>
  <property fmtid="{D5CDD505-2E9C-101B-9397-08002B2CF9AE}" pid="9" name="CommencementDate">
    <vt:lpwstr>20220329</vt:lpwstr>
  </property>
</Properties>
</file>