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Relations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_Toc98769830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_Toc98769831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off</w:t>
      </w:r>
      <w:r>
        <w:rPr>
          <w:snapToGrid w:val="0"/>
        </w:rPr>
        <w:noBreakHyphen/>
        <w:t>shore</w:t>
      </w:r>
      <w:r>
        <w:tab/>
      </w:r>
      <w:r>
        <w:fldChar w:fldCharType="begin"/>
      </w:r>
      <w:r>
        <w:instrText xml:space="preserve"> PAGEREF _Toc98769832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_Toc98769833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Objects of Act</w:t>
      </w:r>
      <w:r>
        <w:tab/>
      </w:r>
      <w:r>
        <w:fldChar w:fldCharType="begin"/>
      </w:r>
      <w:r>
        <w:instrText xml:space="preserve"> PAGEREF _Toc98769834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_Toc98769835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The Western Australian Industrial Relations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Commission</w:t>
      </w:r>
    </w:p>
    <w:p>
      <w:pPr>
        <w:pStyle w:val="TOC8"/>
        <w:rPr>
          <w:rFonts w:asciiTheme="minorHAnsi" w:eastAsiaTheme="minorEastAsia" w:hAnsiTheme="minorHAnsi" w:cstheme="minorBidi"/>
          <w:szCs w:val="22"/>
        </w:rPr>
      </w:pPr>
      <w:r>
        <w:t>8</w:t>
      </w:r>
      <w:r>
        <w:rPr>
          <w:snapToGrid w:val="0"/>
        </w:rPr>
        <w:t>.</w:t>
      </w:r>
      <w:r>
        <w:rPr>
          <w:snapToGrid w:val="0"/>
        </w:rPr>
        <w:tab/>
        <w:t>Commission constituted</w:t>
      </w:r>
      <w:r>
        <w:tab/>
      </w:r>
      <w:r>
        <w:fldChar w:fldCharType="begin"/>
      </w:r>
      <w:r>
        <w:instrText xml:space="preserve"> PAGEREF _Toc98769838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Qualifications for appointment of Chief Commissioner</w:t>
      </w:r>
      <w:r>
        <w:tab/>
      </w:r>
      <w:r>
        <w:fldChar w:fldCharType="begin"/>
      </w:r>
      <w:r>
        <w:instrText xml:space="preserve"> PAGEREF _Toc98769839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Age limit for commissioners</w:t>
      </w:r>
      <w:r>
        <w:tab/>
      </w:r>
      <w:r>
        <w:fldChar w:fldCharType="begin"/>
      </w:r>
      <w:r>
        <w:instrText xml:space="preserve"> PAGEREF _Toc98769840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Oath of office and secrecy</w:t>
      </w:r>
      <w:r>
        <w:tab/>
      </w:r>
      <w:r>
        <w:fldChar w:fldCharType="begin"/>
      </w:r>
      <w:r>
        <w:instrText xml:space="preserve"> PAGEREF _Toc98769841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 is court of record etc.</w:t>
      </w:r>
      <w:r>
        <w:tab/>
      </w:r>
      <w:r>
        <w:fldChar w:fldCharType="begin"/>
      </w:r>
      <w:r>
        <w:instrText xml:space="preserve"> PAGEREF _Toc98769842 \h </w:instrText>
      </w:r>
      <w:r>
        <w:fldChar w:fldCharType="separate"/>
      </w:r>
      <w:r>
        <w:t>21</w:t>
      </w:r>
      <w:r>
        <w:fldChar w:fldCharType="end"/>
      </w:r>
    </w:p>
    <w:p>
      <w:pPr>
        <w:pStyle w:val="TOC8"/>
        <w:rPr>
          <w:rFonts w:asciiTheme="minorHAnsi" w:eastAsiaTheme="minorEastAsia" w:hAnsiTheme="minorHAnsi" w:cstheme="minorBidi"/>
          <w:szCs w:val="22"/>
        </w:rPr>
      </w:pPr>
      <w:r>
        <w:t>13.</w:t>
      </w:r>
      <w:r>
        <w:tab/>
        <w:t>Protection of commissioners and others</w:t>
      </w:r>
      <w:r>
        <w:tab/>
      </w:r>
      <w:r>
        <w:fldChar w:fldCharType="begin"/>
      </w:r>
      <w:r>
        <w:instrText xml:space="preserve"> PAGEREF _Toc98769843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powers and jurisdiction of Commission</w:t>
      </w:r>
      <w:r>
        <w:tab/>
      </w:r>
      <w:r>
        <w:fldChar w:fldCharType="begin"/>
      </w:r>
      <w:r>
        <w:instrText xml:space="preserve"> PAGEREF _Toc98769844 \h </w:instrText>
      </w:r>
      <w:r>
        <w:fldChar w:fldCharType="separate"/>
      </w:r>
      <w:r>
        <w:t>22</w:t>
      </w:r>
      <w:r>
        <w:fldChar w:fldCharType="end"/>
      </w:r>
    </w:p>
    <w:p>
      <w:pPr>
        <w:pStyle w:val="TOC8"/>
        <w:rPr>
          <w:rFonts w:asciiTheme="minorHAnsi" w:eastAsiaTheme="minorEastAsia" w:hAnsiTheme="minorHAnsi" w:cstheme="minorBidi"/>
          <w:szCs w:val="22"/>
        </w:rPr>
      </w:pPr>
      <w:r>
        <w:t>14A</w:t>
      </w:r>
      <w:r>
        <w:rPr>
          <w:snapToGrid w:val="0"/>
        </w:rPr>
        <w:t xml:space="preserve">. </w:t>
      </w:r>
      <w:r>
        <w:rPr>
          <w:snapToGrid w:val="0"/>
        </w:rPr>
        <w:tab/>
        <w:t>Dual Federal and State appointments</w:t>
      </w:r>
      <w:r>
        <w:tab/>
      </w:r>
      <w:r>
        <w:fldChar w:fldCharType="begin"/>
      </w:r>
      <w:r>
        <w:instrText xml:space="preserve"> PAGEREF _Toc98769845 \h </w:instrText>
      </w:r>
      <w:r>
        <w:fldChar w:fldCharType="separate"/>
      </w:r>
      <w:r>
        <w:t>22</w:t>
      </w:r>
      <w:r>
        <w:fldChar w:fldCharType="end"/>
      </w:r>
    </w:p>
    <w:p>
      <w:pPr>
        <w:pStyle w:val="TOC8"/>
        <w:rPr>
          <w:rFonts w:asciiTheme="minorHAnsi" w:eastAsiaTheme="minorEastAsia" w:hAnsiTheme="minorHAnsi" w:cstheme="minorBidi"/>
          <w:szCs w:val="22"/>
        </w:rPr>
      </w:pPr>
      <w:r>
        <w:t>14B</w:t>
      </w:r>
      <w:r>
        <w:rPr>
          <w:snapToGrid w:val="0"/>
        </w:rPr>
        <w:t xml:space="preserve">. </w:t>
      </w:r>
      <w:r>
        <w:rPr>
          <w:snapToGrid w:val="0"/>
        </w:rPr>
        <w:tab/>
        <w:t>Performance of duties by dual Federal and State appointees</w:t>
      </w:r>
      <w:r>
        <w:tab/>
      </w:r>
      <w:r>
        <w:fldChar w:fldCharType="begin"/>
      </w:r>
      <w:r>
        <w:instrText xml:space="preserve"> PAGEREF _Toc98769846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Constitution of Full Bench and Commission in Court Session</w:t>
      </w:r>
      <w:r>
        <w:tab/>
      </w:r>
      <w:r>
        <w:fldChar w:fldCharType="begin"/>
      </w:r>
      <w:r>
        <w:instrText xml:space="preserve"> PAGEREF _Toc98769847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Chief Commissioner’s functions</w:t>
      </w:r>
      <w:r>
        <w:tab/>
      </w:r>
      <w:r>
        <w:fldChar w:fldCharType="begin"/>
      </w:r>
      <w:r>
        <w:instrText xml:space="preserve"> PAGEREF _Toc98769848 \h </w:instrText>
      </w:r>
      <w:r>
        <w:fldChar w:fldCharType="separate"/>
      </w:r>
      <w:r>
        <w:t>24</w:t>
      </w:r>
      <w:r>
        <w:fldChar w:fldCharType="end"/>
      </w:r>
    </w:p>
    <w:p>
      <w:pPr>
        <w:pStyle w:val="TOC8"/>
        <w:rPr>
          <w:rFonts w:asciiTheme="minorHAnsi" w:eastAsiaTheme="minorEastAsia" w:hAnsiTheme="minorHAnsi" w:cstheme="minorBidi"/>
          <w:szCs w:val="22"/>
        </w:rPr>
      </w:pPr>
      <w:r>
        <w:t>16A.</w:t>
      </w:r>
      <w:r>
        <w:tab/>
        <w:t>Delegation by Chief Commissioner</w:t>
      </w:r>
      <w:r>
        <w:tab/>
      </w:r>
      <w:r>
        <w:fldChar w:fldCharType="begin"/>
      </w:r>
      <w:r>
        <w:instrText xml:space="preserve"> PAGEREF _Toc98769849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acting commissioners</w:t>
      </w:r>
      <w:r>
        <w:tab/>
      </w:r>
      <w:r>
        <w:fldChar w:fldCharType="begin"/>
      </w:r>
      <w:r>
        <w:instrText xml:space="preserve"> PAGEREF _Toc98769850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Extending appointments</w:t>
      </w:r>
      <w:r>
        <w:tab/>
      </w:r>
      <w:r>
        <w:fldChar w:fldCharType="begin"/>
      </w:r>
      <w:r>
        <w:instrText xml:space="preserve"> PAGEREF _Toc98769851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19.</w:t>
      </w:r>
      <w:r>
        <w:tab/>
        <w:t>Duty of commissioners</w:t>
      </w:r>
      <w:r>
        <w:tab/>
      </w:r>
      <w:r>
        <w:fldChar w:fldCharType="begin"/>
      </w:r>
      <w:r>
        <w:instrText xml:space="preserve"> PAGEREF _Toc98769852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of service of commissioners</w:t>
      </w:r>
      <w:r>
        <w:tab/>
      </w:r>
      <w:r>
        <w:fldChar w:fldCharType="begin"/>
      </w:r>
      <w:r>
        <w:instrText xml:space="preserve"> PAGEREF _Toc98769853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Resignation from office</w:t>
      </w:r>
      <w:r>
        <w:tab/>
      </w:r>
      <w:r>
        <w:fldChar w:fldCharType="begin"/>
      </w:r>
      <w:r>
        <w:instrText xml:space="preserve"> PAGEREF _Toc98769854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Tenure subject to good behaviour</w:t>
      </w:r>
      <w:r>
        <w:tab/>
      </w:r>
      <w:r>
        <w:fldChar w:fldCharType="begin"/>
      </w:r>
      <w:r>
        <w:instrText xml:space="preserve"> PAGEREF _Toc98769855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jurisdiction and powers of the Commission</w:t>
      </w:r>
    </w:p>
    <w:p>
      <w:pPr>
        <w:pStyle w:val="TOC8"/>
        <w:rPr>
          <w:rFonts w:asciiTheme="minorHAnsi" w:eastAsiaTheme="minorEastAsia" w:hAnsiTheme="minorHAnsi" w:cstheme="minorBidi"/>
          <w:szCs w:val="22"/>
        </w:rPr>
      </w:pPr>
      <w:r>
        <w:t>22A</w:t>
      </w:r>
      <w:r>
        <w:rPr>
          <w:snapToGrid w:val="0"/>
        </w:rPr>
        <w:t xml:space="preserve">. </w:t>
      </w:r>
      <w:r>
        <w:rPr>
          <w:snapToGrid w:val="0"/>
        </w:rPr>
        <w:tab/>
        <w:t>Terms used</w:t>
      </w:r>
      <w:r>
        <w:tab/>
      </w:r>
      <w:r>
        <w:fldChar w:fldCharType="begin"/>
      </w:r>
      <w:r>
        <w:instrText xml:space="preserve"> PAGEREF _Toc98769857 \h </w:instrText>
      </w:r>
      <w:r>
        <w:fldChar w:fldCharType="separate"/>
      </w:r>
      <w:r>
        <w:t>30</w:t>
      </w:r>
      <w:r>
        <w:fldChar w:fldCharType="end"/>
      </w:r>
    </w:p>
    <w:p>
      <w:pPr>
        <w:pStyle w:val="TOC8"/>
        <w:rPr>
          <w:rFonts w:asciiTheme="minorHAnsi" w:eastAsiaTheme="minorEastAsia" w:hAnsiTheme="minorHAnsi" w:cstheme="minorBidi"/>
          <w:szCs w:val="22"/>
        </w:rPr>
      </w:pPr>
      <w:r>
        <w:t>22B.</w:t>
      </w:r>
      <w:r>
        <w:tab/>
        <w:t>Commission to act with due speed</w:t>
      </w:r>
      <w:r>
        <w:tab/>
      </w:r>
      <w:r>
        <w:fldChar w:fldCharType="begin"/>
      </w:r>
      <w:r>
        <w:instrText xml:space="preserve"> PAGEREF _Toc98769858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Jurisdiction of Commission</w:t>
      </w:r>
      <w:r>
        <w:tab/>
      </w:r>
      <w:r>
        <w:fldChar w:fldCharType="begin"/>
      </w:r>
      <w:r>
        <w:instrText xml:space="preserve"> PAGEREF _Toc98769859 \h </w:instrText>
      </w:r>
      <w:r>
        <w:fldChar w:fldCharType="separate"/>
      </w:r>
      <w:r>
        <w:t>31</w:t>
      </w:r>
      <w:r>
        <w:fldChar w:fldCharType="end"/>
      </w:r>
    </w:p>
    <w:p>
      <w:pPr>
        <w:pStyle w:val="TOC8"/>
        <w:rPr>
          <w:rFonts w:asciiTheme="minorHAnsi" w:eastAsiaTheme="minorEastAsia" w:hAnsiTheme="minorHAnsi" w:cstheme="minorBidi"/>
          <w:szCs w:val="22"/>
        </w:rPr>
      </w:pPr>
      <w:r>
        <w:t>23A.</w:t>
      </w:r>
      <w:r>
        <w:tab/>
        <w:t>Unfair dismissal claims, Commission’s powers on</w:t>
      </w:r>
      <w:r>
        <w:tab/>
      </w:r>
      <w:r>
        <w:fldChar w:fldCharType="begin"/>
      </w:r>
      <w:r>
        <w:instrText xml:space="preserve"> PAGEREF _Toc98769860 \h </w:instrText>
      </w:r>
      <w:r>
        <w:fldChar w:fldCharType="separate"/>
      </w:r>
      <w:r>
        <w:t>33</w:t>
      </w:r>
      <w:r>
        <w:fldChar w:fldCharType="end"/>
      </w:r>
    </w:p>
    <w:p>
      <w:pPr>
        <w:pStyle w:val="TOC8"/>
        <w:rPr>
          <w:rFonts w:asciiTheme="minorHAnsi" w:eastAsiaTheme="minorEastAsia" w:hAnsiTheme="minorHAnsi" w:cstheme="minorBidi"/>
          <w:szCs w:val="22"/>
        </w:rPr>
      </w:pPr>
      <w:r>
        <w:t>23B.</w:t>
      </w:r>
      <w:r>
        <w:tab/>
        <w:t>Third party involvement in employment claim, Commission’s powers to prevent etc.</w:t>
      </w:r>
      <w:r>
        <w:tab/>
      </w:r>
      <w:r>
        <w:fldChar w:fldCharType="begin"/>
      </w:r>
      <w:r>
        <w:instrText xml:space="preserve"> PAGEREF _Toc98769861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Industrial matters, Commission may decide what are</w:t>
      </w:r>
      <w:r>
        <w:tab/>
      </w:r>
      <w:r>
        <w:fldChar w:fldCharType="begin"/>
      </w:r>
      <w:r>
        <w:instrText xml:space="preserve"> PAGEREF _Toc98769862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Allocation of industrial matters by Chief Commissioner</w:t>
      </w:r>
      <w:r>
        <w:tab/>
      </w:r>
      <w:r>
        <w:fldChar w:fldCharType="begin"/>
      </w:r>
      <w:r>
        <w:instrText xml:space="preserve"> PAGEREF _Toc98769863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Commission to act according to equity and good conscience</w:t>
      </w:r>
      <w:r>
        <w:tab/>
      </w:r>
      <w:r>
        <w:fldChar w:fldCharType="begin"/>
      </w:r>
      <w:r>
        <w:instrText xml:space="preserve"> PAGEREF _Toc98769864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Powers of Commission</w:t>
      </w:r>
      <w:r>
        <w:tab/>
      </w:r>
      <w:r>
        <w:fldChar w:fldCharType="begin"/>
      </w:r>
      <w:r>
        <w:instrText xml:space="preserve"> PAGEREF _Toc98769865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in s. 27 may be exercised at any time after matter lodged</w:t>
      </w:r>
      <w:r>
        <w:tab/>
      </w:r>
      <w:r>
        <w:fldChar w:fldCharType="begin"/>
      </w:r>
      <w:r>
        <w:instrText xml:space="preserve"> PAGEREF _Toc98769866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Who may refer industrial matters to Commission</w:t>
      </w:r>
      <w:r>
        <w:tab/>
      </w:r>
      <w:r>
        <w:fldChar w:fldCharType="begin"/>
      </w:r>
      <w:r>
        <w:instrText xml:space="preserve"> PAGEREF _Toc98769867 \h </w:instrText>
      </w:r>
      <w:r>
        <w:fldChar w:fldCharType="separate"/>
      </w:r>
      <w:r>
        <w:t>45</w:t>
      </w:r>
      <w:r>
        <w:fldChar w:fldCharType="end"/>
      </w:r>
    </w:p>
    <w:p>
      <w:pPr>
        <w:pStyle w:val="TOC8"/>
        <w:rPr>
          <w:rFonts w:asciiTheme="minorHAnsi" w:eastAsiaTheme="minorEastAsia" w:hAnsiTheme="minorHAnsi" w:cstheme="minorBidi"/>
          <w:szCs w:val="22"/>
        </w:rPr>
      </w:pPr>
      <w:r>
        <w:t>29AA.</w:t>
      </w:r>
      <w:r>
        <w:tab/>
        <w:t>Certain claims not to be determined</w:t>
      </w:r>
      <w:r>
        <w:tab/>
      </w:r>
      <w:r>
        <w:fldChar w:fldCharType="begin"/>
      </w:r>
      <w:r>
        <w:instrText xml:space="preserve"> PAGEREF _Toc98769868 \h </w:instrText>
      </w:r>
      <w:r>
        <w:fldChar w:fldCharType="separate"/>
      </w:r>
      <w:r>
        <w:t>46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Proposed award etc., service of etc.</w:t>
      </w:r>
      <w:r>
        <w:tab/>
      </w:r>
      <w:r>
        <w:fldChar w:fldCharType="begin"/>
      </w:r>
      <w:r>
        <w:instrText xml:space="preserve"> PAGEREF _Toc98769869 \h </w:instrText>
      </w:r>
      <w:r>
        <w:fldChar w:fldCharType="separate"/>
      </w:r>
      <w:r>
        <w:t>47</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Parties to proceedings</w:t>
      </w:r>
      <w:r>
        <w:tab/>
      </w:r>
      <w:r>
        <w:fldChar w:fldCharType="begin"/>
      </w:r>
      <w:r>
        <w:instrText xml:space="preserve"> PAGEREF _Toc98769870 \h </w:instrText>
      </w:r>
      <w:r>
        <w:fldChar w:fldCharType="separate"/>
      </w:r>
      <w:r>
        <w:t>50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may intervene on behalf of State</w:t>
      </w:r>
      <w:r>
        <w:tab/>
      </w:r>
      <w:r>
        <w:fldChar w:fldCharType="begin"/>
      </w:r>
      <w:r>
        <w:instrText xml:space="preserve"> PAGEREF _Toc98769871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Representation of parties to proceedings</w:t>
      </w:r>
      <w:r>
        <w:tab/>
      </w:r>
      <w:r>
        <w:fldChar w:fldCharType="begin"/>
      </w:r>
      <w:r>
        <w:instrText xml:space="preserve"> PAGEREF _Toc98769872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Conciliation and arbitration of industrial matters</w:t>
      </w:r>
      <w:r>
        <w:tab/>
      </w:r>
      <w:r>
        <w:fldChar w:fldCharType="begin"/>
      </w:r>
      <w:r>
        <w:instrText xml:space="preserve"> PAGEREF _Toc98769873 \h </w:instrText>
      </w:r>
      <w:r>
        <w:fldChar w:fldCharType="separate"/>
      </w:r>
      <w:r>
        <w:t>51</w:t>
      </w:r>
      <w:r>
        <w:fldChar w:fldCharType="end"/>
      </w:r>
    </w:p>
    <w:p>
      <w:pPr>
        <w:pStyle w:val="TOC8"/>
        <w:rPr>
          <w:rFonts w:asciiTheme="minorHAnsi" w:eastAsiaTheme="minorEastAsia" w:hAnsiTheme="minorHAnsi" w:cstheme="minorBidi"/>
          <w:szCs w:val="22"/>
        </w:rPr>
      </w:pPr>
      <w:r>
        <w:t>32A.</w:t>
      </w:r>
      <w:r>
        <w:tab/>
        <w:t>Conciliation and arbitration functions of Commission are unlimited</w:t>
      </w:r>
      <w:r>
        <w:tab/>
      </w:r>
      <w:r>
        <w:fldChar w:fldCharType="begin"/>
      </w:r>
      <w:r>
        <w:instrText xml:space="preserve"> PAGEREF _Toc98769874 \h </w:instrText>
      </w:r>
      <w:r>
        <w:fldChar w:fldCharType="separate"/>
      </w:r>
      <w:r>
        <w:t>54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before Commission</w:t>
      </w:r>
      <w:r>
        <w:tab/>
      </w:r>
      <w:r>
        <w:fldChar w:fldCharType="begin"/>
      </w:r>
      <w:r>
        <w:instrText xml:space="preserve"> PAGEREF _Toc98769875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Decisions of Commission, form of and review of</w:t>
      </w:r>
      <w:r>
        <w:tab/>
      </w:r>
      <w:r>
        <w:fldChar w:fldCharType="begin"/>
      </w:r>
      <w:r>
        <w:instrText xml:space="preserve"> PAGEREF _Toc98769876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Decision to be first drawn up as minutes</w:t>
      </w:r>
      <w:r>
        <w:tab/>
      </w:r>
      <w:r>
        <w:fldChar w:fldCharType="begin"/>
      </w:r>
      <w:r>
        <w:instrText xml:space="preserve"> PAGEREF _Toc98769877 \h </w:instrText>
      </w:r>
      <w:r>
        <w:fldChar w:fldCharType="separate"/>
      </w:r>
      <w:r>
        <w:t>57</w:t>
      </w:r>
      <w:r>
        <w:fldChar w:fldCharType="end"/>
      </w:r>
    </w:p>
    <w:p>
      <w:pPr>
        <w:pStyle w:val="TOC8"/>
        <w:rPr>
          <w:rFonts w:asciiTheme="minorHAnsi" w:eastAsiaTheme="minorEastAsia" w:hAnsiTheme="minorHAnsi" w:cstheme="minorBidi"/>
          <w:szCs w:val="22"/>
        </w:rPr>
      </w:pPr>
      <w:r>
        <w:t>36.</w:t>
      </w:r>
      <w:r>
        <w:tab/>
        <w:t>Copy of decision must be given to parties and be available for inspection</w:t>
      </w:r>
      <w:r>
        <w:tab/>
      </w:r>
      <w:r>
        <w:fldChar w:fldCharType="begin"/>
      </w:r>
      <w:r>
        <w:instrText xml:space="preserve"> PAGEREF _Toc98769878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2A — Awards</w:t>
      </w:r>
    </w:p>
    <w:p>
      <w:pPr>
        <w:pStyle w:val="TOC8"/>
        <w:rPr>
          <w:rFonts w:asciiTheme="minorHAnsi" w:eastAsiaTheme="minorEastAsia" w:hAnsiTheme="minorHAnsi" w:cstheme="minorBidi"/>
          <w:szCs w:val="22"/>
        </w:rPr>
      </w:pPr>
      <w:r>
        <w:t>36A.</w:t>
      </w:r>
      <w:r>
        <w:tab/>
        <w:t>Non</w:t>
      </w:r>
      <w:r>
        <w:noBreakHyphen/>
        <w:t>award employees, interim award for etc.</w:t>
      </w:r>
      <w:r>
        <w:tab/>
      </w:r>
      <w:r>
        <w:fldChar w:fldCharType="begin"/>
      </w:r>
      <w:r>
        <w:instrText xml:space="preserve"> PAGEREF _Toc98769880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area and scope of awards</w:t>
      </w:r>
      <w:r>
        <w:tab/>
      </w:r>
      <w:r>
        <w:fldChar w:fldCharType="begin"/>
      </w:r>
      <w:r>
        <w:instrText xml:space="preserve"> PAGEREF _Toc98769881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Named parties to awards</w:t>
      </w:r>
      <w:r>
        <w:tab/>
      </w:r>
      <w:r>
        <w:fldChar w:fldCharType="begin"/>
      </w:r>
      <w:r>
        <w:instrText xml:space="preserve"> PAGEREF _Toc98769882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When award operates</w:t>
      </w:r>
      <w:r>
        <w:tab/>
      </w:r>
      <w:r>
        <w:fldChar w:fldCharType="begin"/>
      </w:r>
      <w:r>
        <w:instrText xml:space="preserve"> PAGEREF _Toc98769883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Varying and cancelling awards</w:t>
      </w:r>
      <w:r>
        <w:tab/>
      </w:r>
      <w:r>
        <w:fldChar w:fldCharType="begin"/>
      </w:r>
      <w:r>
        <w:instrText xml:space="preserve"> PAGEREF _Toc98769884 \h </w:instrText>
      </w:r>
      <w:r>
        <w:fldChar w:fldCharType="separate"/>
      </w:r>
      <w:r>
        <w:t>62</w:t>
      </w:r>
      <w:r>
        <w:fldChar w:fldCharType="end"/>
      </w:r>
    </w:p>
    <w:p>
      <w:pPr>
        <w:pStyle w:val="TOC8"/>
        <w:rPr>
          <w:rFonts w:asciiTheme="minorHAnsi" w:eastAsiaTheme="minorEastAsia" w:hAnsiTheme="minorHAnsi" w:cstheme="minorBidi"/>
          <w:szCs w:val="22"/>
        </w:rPr>
      </w:pPr>
      <w:r>
        <w:t>40A.</w:t>
      </w:r>
      <w:r>
        <w:tab/>
        <w:t>Incorporation of industrial agreement provisions into awards by consent</w:t>
      </w:r>
      <w:r>
        <w:tab/>
      </w:r>
      <w:r>
        <w:fldChar w:fldCharType="begin"/>
      </w:r>
      <w:r>
        <w:instrText xml:space="preserve"> PAGEREF _Toc98769885 \h </w:instrText>
      </w:r>
      <w:r>
        <w:fldChar w:fldCharType="separate"/>
      </w:r>
      <w:r>
        <w:t>63</w:t>
      </w:r>
      <w:r>
        <w:fldChar w:fldCharType="end"/>
      </w:r>
    </w:p>
    <w:p>
      <w:pPr>
        <w:pStyle w:val="TOC8"/>
        <w:rPr>
          <w:rFonts w:asciiTheme="minorHAnsi" w:eastAsiaTheme="minorEastAsia" w:hAnsiTheme="minorHAnsi" w:cstheme="minorBidi"/>
          <w:szCs w:val="22"/>
        </w:rPr>
      </w:pPr>
      <w:r>
        <w:t>40B.</w:t>
      </w:r>
      <w:r>
        <w:tab/>
        <w:t>Power to vary awards to reflect statutory etc. requirements, to promote efficiency and to facilitate implementation</w:t>
      </w:r>
      <w:r>
        <w:tab/>
      </w:r>
      <w:r>
        <w:fldChar w:fldCharType="begin"/>
      </w:r>
      <w:r>
        <w:instrText xml:space="preserve"> PAGEREF _Toc98769886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2B — Industrial agreements</w:t>
      </w:r>
    </w:p>
    <w:p>
      <w:pPr>
        <w:pStyle w:val="TOC8"/>
        <w:rPr>
          <w:rFonts w:asciiTheme="minorHAnsi" w:eastAsiaTheme="minorEastAsia" w:hAnsiTheme="minorHAnsi" w:cstheme="minorBidi"/>
          <w:szCs w:val="22"/>
        </w:rPr>
      </w:pPr>
      <w:r>
        <w:t>40C.</w:t>
      </w:r>
      <w:r>
        <w:tab/>
        <w:t>Terms used</w:t>
      </w:r>
      <w:r>
        <w:tab/>
      </w:r>
      <w:r>
        <w:fldChar w:fldCharType="begin"/>
      </w:r>
      <w:r>
        <w:instrText xml:space="preserve"> PAGEREF _Toc98769888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Industrial agreements, making, registration and effect of</w:t>
      </w:r>
      <w:r>
        <w:tab/>
      </w:r>
      <w:r>
        <w:fldChar w:fldCharType="begin"/>
      </w:r>
      <w:r>
        <w:instrText xml:space="preserve"> PAGEREF _Toc98769889 \h </w:instrText>
      </w:r>
      <w:r>
        <w:fldChar w:fldCharType="separate"/>
      </w:r>
      <w:r>
        <w:t>65</w:t>
      </w:r>
      <w:r>
        <w:fldChar w:fldCharType="end"/>
      </w:r>
    </w:p>
    <w:p>
      <w:pPr>
        <w:pStyle w:val="TOC8"/>
        <w:rPr>
          <w:rFonts w:asciiTheme="minorHAnsi" w:eastAsiaTheme="minorEastAsia" w:hAnsiTheme="minorHAnsi" w:cstheme="minorBidi"/>
          <w:szCs w:val="22"/>
        </w:rPr>
      </w:pPr>
      <w:r>
        <w:t>41A.</w:t>
      </w:r>
      <w:r>
        <w:tab/>
        <w:t>Which industrial agreements shall not be registered under s. 41</w:t>
      </w:r>
      <w:r>
        <w:tab/>
      </w:r>
      <w:r>
        <w:fldChar w:fldCharType="begin"/>
      </w:r>
      <w:r>
        <w:instrText xml:space="preserve"> PAGEREF _Toc98769890 \h </w:instrText>
      </w:r>
      <w:r>
        <w:fldChar w:fldCharType="separate"/>
      </w:r>
      <w:r>
        <w:t>67</w:t>
      </w:r>
      <w:r>
        <w:fldChar w:fldCharType="end"/>
      </w:r>
    </w:p>
    <w:p>
      <w:pPr>
        <w:pStyle w:val="TOC8"/>
        <w:rPr>
          <w:rFonts w:asciiTheme="minorHAnsi" w:eastAsiaTheme="minorEastAsia" w:hAnsiTheme="minorHAnsi" w:cstheme="minorBidi"/>
          <w:szCs w:val="22"/>
        </w:rPr>
      </w:pPr>
      <w:r>
        <w:t>42.</w:t>
      </w:r>
      <w:r>
        <w:tab/>
        <w:t>Bargaining for industrial agreement, initiating</w:t>
      </w:r>
      <w:r>
        <w:tab/>
      </w:r>
      <w:r>
        <w:fldChar w:fldCharType="begin"/>
      </w:r>
      <w:r>
        <w:instrText xml:space="preserve"> PAGEREF _Toc98769891 \h </w:instrText>
      </w:r>
      <w:r>
        <w:fldChar w:fldCharType="separate"/>
      </w:r>
      <w:r>
        <w:t>68</w:t>
      </w:r>
      <w:r>
        <w:fldChar w:fldCharType="end"/>
      </w:r>
    </w:p>
    <w:p>
      <w:pPr>
        <w:pStyle w:val="TOC8"/>
        <w:rPr>
          <w:rFonts w:asciiTheme="minorHAnsi" w:eastAsiaTheme="minorEastAsia" w:hAnsiTheme="minorHAnsi" w:cstheme="minorBidi"/>
          <w:szCs w:val="22"/>
        </w:rPr>
      </w:pPr>
      <w:r>
        <w:t>42A.</w:t>
      </w:r>
      <w:r>
        <w:tab/>
        <w:t>Response to initiation of bargaining</w:t>
      </w:r>
      <w:r>
        <w:tab/>
      </w:r>
      <w:r>
        <w:fldChar w:fldCharType="begin"/>
      </w:r>
      <w:r>
        <w:instrText xml:space="preserve"> PAGEREF _Toc98769892 \h </w:instrText>
      </w:r>
      <w:r>
        <w:fldChar w:fldCharType="separate"/>
      </w:r>
      <w:r>
        <w:t>69</w:t>
      </w:r>
      <w:r>
        <w:fldChar w:fldCharType="end"/>
      </w:r>
    </w:p>
    <w:p>
      <w:pPr>
        <w:pStyle w:val="TOC8"/>
        <w:rPr>
          <w:rFonts w:asciiTheme="minorHAnsi" w:eastAsiaTheme="minorEastAsia" w:hAnsiTheme="minorHAnsi" w:cstheme="minorBidi"/>
          <w:szCs w:val="22"/>
        </w:rPr>
      </w:pPr>
      <w:r>
        <w:t>42B.</w:t>
      </w:r>
      <w:r>
        <w:tab/>
        <w:t>Bargaining for industrial agreements, good faith required etc.</w:t>
      </w:r>
      <w:r>
        <w:tab/>
      </w:r>
      <w:r>
        <w:fldChar w:fldCharType="begin"/>
      </w:r>
      <w:r>
        <w:instrText xml:space="preserve"> PAGEREF _Toc98769893 \h </w:instrText>
      </w:r>
      <w:r>
        <w:fldChar w:fldCharType="separate"/>
      </w:r>
      <w:r>
        <w:t>70</w:t>
      </w:r>
      <w:r>
        <w:fldChar w:fldCharType="end"/>
      </w:r>
    </w:p>
    <w:p>
      <w:pPr>
        <w:pStyle w:val="TOC8"/>
        <w:rPr>
          <w:rFonts w:asciiTheme="minorHAnsi" w:eastAsiaTheme="minorEastAsia" w:hAnsiTheme="minorHAnsi" w:cstheme="minorBidi"/>
          <w:szCs w:val="22"/>
        </w:rPr>
      </w:pPr>
      <w:r>
        <w:t>42C.</w:t>
      </w:r>
      <w:r>
        <w:tab/>
        <w:t>Code of good faith</w:t>
      </w:r>
      <w:r>
        <w:tab/>
      </w:r>
      <w:r>
        <w:fldChar w:fldCharType="begin"/>
      </w:r>
      <w:r>
        <w:instrText xml:space="preserve"> PAGEREF _Toc98769894 \h </w:instrText>
      </w:r>
      <w:r>
        <w:fldChar w:fldCharType="separate"/>
      </w:r>
      <w:r>
        <w:t>72</w:t>
      </w:r>
      <w:r>
        <w:fldChar w:fldCharType="end"/>
      </w:r>
    </w:p>
    <w:p>
      <w:pPr>
        <w:pStyle w:val="TOC8"/>
        <w:rPr>
          <w:rFonts w:asciiTheme="minorHAnsi" w:eastAsiaTheme="minorEastAsia" w:hAnsiTheme="minorHAnsi" w:cstheme="minorBidi"/>
          <w:szCs w:val="22"/>
        </w:rPr>
      </w:pPr>
      <w:r>
        <w:t>42D.</w:t>
      </w:r>
      <w:r>
        <w:tab/>
        <w:t>Duty of good faith does not require concluded industrial agreement</w:t>
      </w:r>
      <w:r>
        <w:tab/>
      </w:r>
      <w:r>
        <w:fldChar w:fldCharType="begin"/>
      </w:r>
      <w:r>
        <w:instrText xml:space="preserve"> PAGEREF _Toc98769895 \h </w:instrText>
      </w:r>
      <w:r>
        <w:fldChar w:fldCharType="separate"/>
      </w:r>
      <w:r>
        <w:t>72</w:t>
      </w:r>
      <w:r>
        <w:fldChar w:fldCharType="end"/>
      </w:r>
    </w:p>
    <w:p>
      <w:pPr>
        <w:pStyle w:val="TOC8"/>
        <w:rPr>
          <w:rFonts w:asciiTheme="minorHAnsi" w:eastAsiaTheme="minorEastAsia" w:hAnsiTheme="minorHAnsi" w:cstheme="minorBidi"/>
          <w:szCs w:val="22"/>
        </w:rPr>
      </w:pPr>
      <w:r>
        <w:t>42E.</w:t>
      </w:r>
      <w:r>
        <w:tab/>
        <w:t>Commission may assist bargaining</w:t>
      </w:r>
      <w:r>
        <w:tab/>
      </w:r>
      <w:r>
        <w:fldChar w:fldCharType="begin"/>
      </w:r>
      <w:r>
        <w:instrText xml:space="preserve"> PAGEREF _Toc98769896 \h </w:instrText>
      </w:r>
      <w:r>
        <w:fldChar w:fldCharType="separate"/>
      </w:r>
      <w:r>
        <w:t>73</w:t>
      </w:r>
      <w:r>
        <w:fldChar w:fldCharType="end"/>
      </w:r>
    </w:p>
    <w:p>
      <w:pPr>
        <w:pStyle w:val="TOC8"/>
        <w:rPr>
          <w:rFonts w:asciiTheme="minorHAnsi" w:eastAsiaTheme="minorEastAsia" w:hAnsiTheme="minorHAnsi" w:cstheme="minorBidi"/>
          <w:szCs w:val="22"/>
        </w:rPr>
      </w:pPr>
      <w:r>
        <w:t>42F.</w:t>
      </w:r>
      <w:r>
        <w:tab/>
        <w:t>Commission’s power over negotiating parties restricted</w:t>
      </w:r>
      <w:r>
        <w:tab/>
      </w:r>
      <w:r>
        <w:fldChar w:fldCharType="begin"/>
      </w:r>
      <w:r>
        <w:instrText xml:space="preserve"> PAGEREF _Toc98769897 \h </w:instrText>
      </w:r>
      <w:r>
        <w:fldChar w:fldCharType="separate"/>
      </w:r>
      <w:r>
        <w:t>73</w:t>
      </w:r>
      <w:r>
        <w:fldChar w:fldCharType="end"/>
      </w:r>
    </w:p>
    <w:p>
      <w:pPr>
        <w:pStyle w:val="TOC8"/>
        <w:rPr>
          <w:rFonts w:asciiTheme="minorHAnsi" w:eastAsiaTheme="minorEastAsia" w:hAnsiTheme="minorHAnsi" w:cstheme="minorBidi"/>
          <w:szCs w:val="22"/>
        </w:rPr>
      </w:pPr>
      <w:r>
        <w:t>42G.</w:t>
      </w:r>
      <w:r>
        <w:tab/>
        <w:t>Parties may agree to Commission making orders as to terms of agreement</w:t>
      </w:r>
      <w:r>
        <w:tab/>
      </w:r>
      <w:r>
        <w:fldChar w:fldCharType="begin"/>
      </w:r>
      <w:r>
        <w:instrText xml:space="preserve"> PAGEREF _Toc98769898 \h </w:instrText>
      </w:r>
      <w:r>
        <w:fldChar w:fldCharType="separate"/>
      </w:r>
      <w:r>
        <w:t>73</w:t>
      </w:r>
      <w:r>
        <w:fldChar w:fldCharType="end"/>
      </w:r>
    </w:p>
    <w:p>
      <w:pPr>
        <w:pStyle w:val="TOC8"/>
        <w:rPr>
          <w:rFonts w:asciiTheme="minorHAnsi" w:eastAsiaTheme="minorEastAsia" w:hAnsiTheme="minorHAnsi" w:cstheme="minorBidi"/>
          <w:szCs w:val="22"/>
        </w:rPr>
      </w:pPr>
      <w:r>
        <w:t>42H.</w:t>
      </w:r>
      <w:r>
        <w:tab/>
        <w:t>Commission may declare that bargaining has ended</w:t>
      </w:r>
      <w:r>
        <w:tab/>
      </w:r>
      <w:r>
        <w:fldChar w:fldCharType="begin"/>
      </w:r>
      <w:r>
        <w:instrText xml:space="preserve"> PAGEREF _Toc98769899 \h </w:instrText>
      </w:r>
      <w:r>
        <w:fldChar w:fldCharType="separate"/>
      </w:r>
      <w:r>
        <w:t>74</w:t>
      </w:r>
      <w:r>
        <w:fldChar w:fldCharType="end"/>
      </w:r>
    </w:p>
    <w:p>
      <w:pPr>
        <w:pStyle w:val="TOC8"/>
        <w:rPr>
          <w:rFonts w:asciiTheme="minorHAnsi" w:eastAsiaTheme="minorEastAsia" w:hAnsiTheme="minorHAnsi" w:cstheme="minorBidi"/>
          <w:szCs w:val="22"/>
        </w:rPr>
      </w:pPr>
      <w:r>
        <w:t>42I.</w:t>
      </w:r>
      <w:r>
        <w:tab/>
        <w:t>Enterprise order, applying for and making</w:t>
      </w:r>
      <w:r>
        <w:tab/>
      </w:r>
      <w:r>
        <w:fldChar w:fldCharType="begin"/>
      </w:r>
      <w:r>
        <w:instrText xml:space="preserve"> PAGEREF _Toc98769900 \h </w:instrText>
      </w:r>
      <w:r>
        <w:fldChar w:fldCharType="separate"/>
      </w:r>
      <w:r>
        <w:t>75</w:t>
      </w:r>
      <w:r>
        <w:fldChar w:fldCharType="end"/>
      </w:r>
    </w:p>
    <w:p>
      <w:pPr>
        <w:pStyle w:val="TOC8"/>
        <w:rPr>
          <w:rFonts w:asciiTheme="minorHAnsi" w:eastAsiaTheme="minorEastAsia" w:hAnsiTheme="minorHAnsi" w:cstheme="minorBidi"/>
          <w:szCs w:val="22"/>
        </w:rPr>
      </w:pPr>
      <w:r>
        <w:t>42J.</w:t>
      </w:r>
      <w:r>
        <w:tab/>
        <w:t>Enterprise order, effect of</w:t>
      </w:r>
      <w:r>
        <w:tab/>
      </w:r>
      <w:r>
        <w:fldChar w:fldCharType="begin"/>
      </w:r>
      <w:r>
        <w:instrText xml:space="preserve"> PAGEREF _Toc98769901 \h </w:instrText>
      </w:r>
      <w:r>
        <w:fldChar w:fldCharType="separate"/>
      </w:r>
      <w:r>
        <w:t>76</w:t>
      </w:r>
      <w:r>
        <w:fldChar w:fldCharType="end"/>
      </w:r>
    </w:p>
    <w:p>
      <w:pPr>
        <w:pStyle w:val="TOC8"/>
        <w:rPr>
          <w:rFonts w:asciiTheme="minorHAnsi" w:eastAsiaTheme="minorEastAsia" w:hAnsiTheme="minorHAnsi" w:cstheme="minorBidi"/>
          <w:szCs w:val="22"/>
        </w:rPr>
      </w:pPr>
      <w:r>
        <w:t>42K.</w:t>
      </w:r>
      <w:r>
        <w:tab/>
        <w:t>Enterprise order, term of and varying etc.</w:t>
      </w:r>
      <w:r>
        <w:tab/>
      </w:r>
      <w:r>
        <w:fldChar w:fldCharType="begin"/>
      </w:r>
      <w:r>
        <w:instrText xml:space="preserve"> PAGEREF _Toc98769902 \h </w:instrText>
      </w:r>
      <w:r>
        <w:fldChar w:fldCharType="separate"/>
      </w:r>
      <w:r>
        <w:t>77</w:t>
      </w:r>
      <w:r>
        <w:fldChar w:fldCharType="end"/>
      </w:r>
    </w:p>
    <w:p>
      <w:pPr>
        <w:pStyle w:val="TOC8"/>
        <w:rPr>
          <w:rFonts w:asciiTheme="minorHAnsi" w:eastAsiaTheme="minorEastAsia" w:hAnsiTheme="minorHAnsi" w:cstheme="minorBidi"/>
          <w:szCs w:val="22"/>
        </w:rPr>
      </w:pPr>
      <w:r>
        <w:t>42L.</w:t>
      </w:r>
      <w:r>
        <w:tab/>
        <w:t>When bargaining ends</w:t>
      </w:r>
      <w:r>
        <w:tab/>
      </w:r>
      <w:r>
        <w:fldChar w:fldCharType="begin"/>
      </w:r>
      <w:r>
        <w:instrText xml:space="preserve"> PAGEREF _Toc98769903 \h </w:instrText>
      </w:r>
      <w:r>
        <w:fldChar w:fldCharType="separate"/>
      </w:r>
      <w:r>
        <w:t>78</w:t>
      </w:r>
      <w:r>
        <w:fldChar w:fldCharType="end"/>
      </w:r>
    </w:p>
    <w:p>
      <w:pPr>
        <w:pStyle w:val="TOC8"/>
        <w:rPr>
          <w:rFonts w:asciiTheme="minorHAnsi" w:eastAsiaTheme="minorEastAsia" w:hAnsiTheme="minorHAnsi" w:cstheme="minorBidi"/>
          <w:szCs w:val="22"/>
        </w:rPr>
      </w:pPr>
      <w:r>
        <w:t>42M.</w:t>
      </w:r>
      <w:r>
        <w:tab/>
        <w:t>Regulations for this Division</w:t>
      </w:r>
      <w:r>
        <w:tab/>
      </w:r>
      <w:r>
        <w:fldChar w:fldCharType="begin"/>
      </w:r>
      <w:r>
        <w:instrText xml:space="preserve"> PAGEREF _Toc98769904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Industrial agreement, varying, renewing and cancelling</w:t>
      </w:r>
      <w:r>
        <w:tab/>
      </w:r>
      <w:r>
        <w:fldChar w:fldCharType="begin"/>
      </w:r>
      <w:r>
        <w:instrText xml:space="preserve"> PAGEREF _Toc98769905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2C — Holding of compulsory conferences</w:t>
      </w:r>
    </w:p>
    <w:p>
      <w:pPr>
        <w:pStyle w:val="TOC8"/>
        <w:rPr>
          <w:rFonts w:asciiTheme="minorHAnsi" w:eastAsiaTheme="minorEastAsia" w:hAnsiTheme="minorHAnsi" w:cstheme="minorBidi"/>
          <w:szCs w:val="22"/>
        </w:rPr>
      </w:pPr>
      <w:r>
        <w:t>44</w:t>
      </w:r>
      <w:r>
        <w:rPr>
          <w:snapToGrid w:val="0"/>
        </w:rPr>
        <w:t>.</w:t>
      </w:r>
      <w:r>
        <w:rPr>
          <w:snapToGrid w:val="0"/>
        </w:rPr>
        <w:tab/>
        <w:t>Compulsory conference, summoning, holding etc.</w:t>
      </w:r>
      <w:r>
        <w:tab/>
      </w:r>
      <w:r>
        <w:fldChar w:fldCharType="begin"/>
      </w:r>
      <w:r>
        <w:instrText xml:space="preserve"> PAGEREF _Toc98769907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2D — Miscellaneous provisions relating to awards, orders and agreements</w:t>
      </w:r>
    </w:p>
    <w:p>
      <w:pPr>
        <w:pStyle w:val="TOC8"/>
        <w:rPr>
          <w:rFonts w:asciiTheme="minorHAnsi" w:eastAsiaTheme="minorEastAsia" w:hAnsiTheme="minorHAnsi" w:cstheme="minorBidi"/>
          <w:szCs w:val="22"/>
        </w:rPr>
      </w:pPr>
      <w:r>
        <w:t>46</w:t>
      </w:r>
      <w:r>
        <w:rPr>
          <w:snapToGrid w:val="0"/>
        </w:rPr>
        <w:t>.</w:t>
      </w:r>
      <w:r>
        <w:rPr>
          <w:snapToGrid w:val="0"/>
        </w:rPr>
        <w:tab/>
        <w:t>Interpretation of awards and orders by Commission</w:t>
      </w:r>
      <w:r>
        <w:tab/>
      </w:r>
      <w:r>
        <w:fldChar w:fldCharType="begin"/>
      </w:r>
      <w:r>
        <w:instrText xml:space="preserve"> PAGEREF _Toc98769909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Defunct awards etc., cancelling; employers not in business etc., deleting from awards etc.</w:t>
      </w:r>
      <w:r>
        <w:tab/>
      </w:r>
      <w:r>
        <w:fldChar w:fldCharType="begin"/>
      </w:r>
      <w:r>
        <w:instrText xml:space="preserve"> PAGEREF _Toc98769910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Board of Reference for each award</w:t>
      </w:r>
      <w:r>
        <w:tab/>
      </w:r>
      <w:r>
        <w:fldChar w:fldCharType="begin"/>
      </w:r>
      <w:r>
        <w:instrText xml:space="preserve"> PAGEREF _Toc98769911 \h </w:instrText>
      </w:r>
      <w:r>
        <w:fldChar w:fldCharType="separate"/>
      </w:r>
      <w:r>
        <w:t>87</w:t>
      </w:r>
      <w:r>
        <w:fldChar w:fldCharType="end"/>
      </w:r>
    </w:p>
    <w:p>
      <w:pPr>
        <w:pStyle w:val="TOC8"/>
        <w:rPr>
          <w:rFonts w:asciiTheme="minorHAnsi" w:eastAsiaTheme="minorEastAsia" w:hAnsiTheme="minorHAnsi" w:cstheme="minorBidi"/>
          <w:szCs w:val="22"/>
        </w:rPr>
      </w:pPr>
      <w:r>
        <w:t>48A</w:t>
      </w:r>
      <w:r>
        <w:rPr>
          <w:snapToGrid w:val="0"/>
        </w:rPr>
        <w:t xml:space="preserve">. </w:t>
      </w:r>
      <w:r>
        <w:rPr>
          <w:snapToGrid w:val="0"/>
        </w:rPr>
        <w:tab/>
        <w:t>Awards etc. to provide for dispute resolution</w:t>
      </w:r>
      <w:r>
        <w:tab/>
      </w:r>
      <w:r>
        <w:fldChar w:fldCharType="begin"/>
      </w:r>
      <w:r>
        <w:instrText xml:space="preserve"> PAGEREF _Toc98769912 \h </w:instrText>
      </w:r>
      <w:r>
        <w:fldChar w:fldCharType="separate"/>
      </w:r>
      <w:r>
        <w:t>89</w:t>
      </w:r>
      <w:r>
        <w:fldChar w:fldCharType="end"/>
      </w:r>
    </w:p>
    <w:p>
      <w:pPr>
        <w:pStyle w:val="TOC8"/>
        <w:rPr>
          <w:rFonts w:asciiTheme="minorHAnsi" w:eastAsiaTheme="minorEastAsia" w:hAnsiTheme="minorHAnsi" w:cstheme="minorBidi"/>
          <w:szCs w:val="22"/>
        </w:rPr>
      </w:pPr>
      <w:r>
        <w:t>48B.</w:t>
      </w:r>
      <w:r>
        <w:tab/>
        <w:t>Superannuation, provisions about in awards etc.</w:t>
      </w:r>
      <w:r>
        <w:tab/>
      </w:r>
      <w:r>
        <w:fldChar w:fldCharType="begin"/>
      </w:r>
      <w:r>
        <w:instrText xml:space="preserve"> PAGEREF _Toc98769913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2E — Appeals to the Full Bench</w:t>
      </w:r>
    </w:p>
    <w:p>
      <w:pPr>
        <w:pStyle w:val="TOC8"/>
        <w:rPr>
          <w:rFonts w:asciiTheme="minorHAnsi" w:eastAsiaTheme="minorEastAsia" w:hAnsiTheme="minorHAnsi" w:cstheme="minorBidi"/>
          <w:szCs w:val="22"/>
        </w:rPr>
      </w:pPr>
      <w:r>
        <w:t>49</w:t>
      </w:r>
      <w:r>
        <w:rPr>
          <w:snapToGrid w:val="0"/>
        </w:rPr>
        <w:t>.</w:t>
      </w:r>
      <w:r>
        <w:rPr>
          <w:snapToGrid w:val="0"/>
        </w:rPr>
        <w:tab/>
        <w:t>Appeal from Commission’s decision</w:t>
      </w:r>
      <w:r>
        <w:tab/>
      </w:r>
      <w:r>
        <w:fldChar w:fldCharType="begin"/>
      </w:r>
      <w:r>
        <w:instrText xml:space="preserve"> PAGEREF _Toc98769915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2F — Keeping of and access to employment records</w:t>
      </w:r>
    </w:p>
    <w:p>
      <w:pPr>
        <w:pStyle w:val="TOC8"/>
        <w:rPr>
          <w:rFonts w:asciiTheme="minorHAnsi" w:eastAsiaTheme="minorEastAsia" w:hAnsiTheme="minorHAnsi" w:cstheme="minorBidi"/>
          <w:szCs w:val="22"/>
        </w:rPr>
      </w:pPr>
      <w:r>
        <w:t>49D.</w:t>
      </w:r>
      <w:r>
        <w:tab/>
        <w:t>Employer’s duties as to employment records</w:t>
      </w:r>
      <w:r>
        <w:tab/>
      </w:r>
      <w:r>
        <w:fldChar w:fldCharType="begin"/>
      </w:r>
      <w:r>
        <w:instrText xml:space="preserve"> PAGEREF _Toc98769917 \h </w:instrText>
      </w:r>
      <w:r>
        <w:fldChar w:fldCharType="separate"/>
      </w:r>
      <w:r>
        <w:t>95</w:t>
      </w:r>
      <w:r>
        <w:fldChar w:fldCharType="end"/>
      </w:r>
    </w:p>
    <w:p>
      <w:pPr>
        <w:pStyle w:val="TOC8"/>
        <w:rPr>
          <w:rFonts w:asciiTheme="minorHAnsi" w:eastAsiaTheme="minorEastAsia" w:hAnsiTheme="minorHAnsi" w:cstheme="minorBidi"/>
          <w:szCs w:val="22"/>
        </w:rPr>
      </w:pPr>
      <w:r>
        <w:t>49E.</w:t>
      </w:r>
      <w:r>
        <w:tab/>
        <w:t>Access to employment records</w:t>
      </w:r>
      <w:r>
        <w:tab/>
      </w:r>
      <w:r>
        <w:fldChar w:fldCharType="begin"/>
      </w:r>
      <w:r>
        <w:instrText xml:space="preserve"> PAGEREF _Toc98769918 \h </w:instrText>
      </w:r>
      <w:r>
        <w:fldChar w:fldCharType="separate"/>
      </w:r>
      <w:r>
        <w:t>97</w:t>
      </w:r>
      <w:r>
        <w:fldChar w:fldCharType="end"/>
      </w:r>
    </w:p>
    <w:p>
      <w:pPr>
        <w:pStyle w:val="TOC8"/>
        <w:rPr>
          <w:rFonts w:asciiTheme="minorHAnsi" w:eastAsiaTheme="minorEastAsia" w:hAnsiTheme="minorHAnsi" w:cstheme="minorBidi"/>
          <w:szCs w:val="22"/>
        </w:rPr>
      </w:pPr>
      <w:r>
        <w:t>49F.</w:t>
      </w:r>
      <w:r>
        <w:tab/>
        <w:t>Enforcement of this Division</w:t>
      </w:r>
      <w:r>
        <w:tab/>
      </w:r>
      <w:r>
        <w:fldChar w:fldCharType="begin"/>
      </w:r>
      <w:r>
        <w:instrText xml:space="preserve"> PAGEREF _Toc98769919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2G — Right of entry and inspection by authorised representatives</w:t>
      </w:r>
    </w:p>
    <w:p>
      <w:pPr>
        <w:pStyle w:val="TOC8"/>
        <w:rPr>
          <w:rFonts w:asciiTheme="minorHAnsi" w:eastAsiaTheme="minorEastAsia" w:hAnsiTheme="minorHAnsi" w:cstheme="minorBidi"/>
          <w:szCs w:val="22"/>
        </w:rPr>
      </w:pPr>
      <w:r>
        <w:t>49G.</w:t>
      </w:r>
      <w:r>
        <w:tab/>
        <w:t>Terms used</w:t>
      </w:r>
      <w:r>
        <w:tab/>
      </w:r>
      <w:r>
        <w:fldChar w:fldCharType="begin"/>
      </w:r>
      <w:r>
        <w:instrText xml:space="preserve"> PAGEREF _Toc98769921 \h </w:instrText>
      </w:r>
      <w:r>
        <w:fldChar w:fldCharType="separate"/>
      </w:r>
      <w:r>
        <w:t>98</w:t>
      </w:r>
      <w:r>
        <w:fldChar w:fldCharType="end"/>
      </w:r>
    </w:p>
    <w:p>
      <w:pPr>
        <w:pStyle w:val="TOC8"/>
        <w:rPr>
          <w:rFonts w:asciiTheme="minorHAnsi" w:eastAsiaTheme="minorEastAsia" w:hAnsiTheme="minorHAnsi" w:cstheme="minorBidi"/>
          <w:szCs w:val="22"/>
        </w:rPr>
      </w:pPr>
      <w:r>
        <w:t>49H.</w:t>
      </w:r>
      <w:r>
        <w:tab/>
        <w:t>Entry for discussions with employees</w:t>
      </w:r>
      <w:r>
        <w:tab/>
      </w:r>
      <w:r>
        <w:fldChar w:fldCharType="begin"/>
      </w:r>
      <w:r>
        <w:instrText xml:space="preserve"> PAGEREF _Toc98769922 \h </w:instrText>
      </w:r>
      <w:r>
        <w:fldChar w:fldCharType="separate"/>
      </w:r>
      <w:r>
        <w:t>98</w:t>
      </w:r>
      <w:r>
        <w:fldChar w:fldCharType="end"/>
      </w:r>
    </w:p>
    <w:p>
      <w:pPr>
        <w:pStyle w:val="TOC8"/>
        <w:rPr>
          <w:rFonts w:asciiTheme="minorHAnsi" w:eastAsiaTheme="minorEastAsia" w:hAnsiTheme="minorHAnsi" w:cstheme="minorBidi"/>
          <w:szCs w:val="22"/>
        </w:rPr>
      </w:pPr>
      <w:r>
        <w:t>49I.</w:t>
      </w:r>
      <w:r>
        <w:tab/>
        <w:t>Entry to investigate certain breaches</w:t>
      </w:r>
      <w:r>
        <w:tab/>
      </w:r>
      <w:r>
        <w:fldChar w:fldCharType="begin"/>
      </w:r>
      <w:r>
        <w:instrText xml:space="preserve"> PAGEREF _Toc98769923 \h </w:instrText>
      </w:r>
      <w:r>
        <w:fldChar w:fldCharType="separate"/>
      </w:r>
      <w:r>
        <w:t>99</w:t>
      </w:r>
      <w:r>
        <w:fldChar w:fldCharType="end"/>
      </w:r>
    </w:p>
    <w:p>
      <w:pPr>
        <w:pStyle w:val="TOC8"/>
        <w:rPr>
          <w:rFonts w:asciiTheme="minorHAnsi" w:eastAsiaTheme="minorEastAsia" w:hAnsiTheme="minorHAnsi" w:cstheme="minorBidi"/>
          <w:szCs w:val="22"/>
        </w:rPr>
      </w:pPr>
      <w:r>
        <w:t>49J.</w:t>
      </w:r>
      <w:r>
        <w:tab/>
        <w:t>Authorising authorised representatives</w:t>
      </w:r>
      <w:r>
        <w:tab/>
      </w:r>
      <w:r>
        <w:fldChar w:fldCharType="begin"/>
      </w:r>
      <w:r>
        <w:instrText xml:space="preserve"> PAGEREF _Toc98769924 \h </w:instrText>
      </w:r>
      <w:r>
        <w:fldChar w:fldCharType="separate"/>
      </w:r>
      <w:r>
        <w:t>101</w:t>
      </w:r>
      <w:r>
        <w:fldChar w:fldCharType="end"/>
      </w:r>
    </w:p>
    <w:p>
      <w:pPr>
        <w:pStyle w:val="TOC8"/>
        <w:rPr>
          <w:rFonts w:asciiTheme="minorHAnsi" w:eastAsiaTheme="minorEastAsia" w:hAnsiTheme="minorHAnsi" w:cstheme="minorBidi"/>
          <w:szCs w:val="22"/>
        </w:rPr>
      </w:pPr>
      <w:r>
        <w:t>49K.</w:t>
      </w:r>
      <w:r>
        <w:tab/>
        <w:t>No entry to premises used for habitation</w:t>
      </w:r>
      <w:r>
        <w:tab/>
      </w:r>
      <w:r>
        <w:fldChar w:fldCharType="begin"/>
      </w:r>
      <w:r>
        <w:instrText xml:space="preserve"> PAGEREF _Toc98769925 \h </w:instrText>
      </w:r>
      <w:r>
        <w:fldChar w:fldCharType="separate"/>
      </w:r>
      <w:r>
        <w:t>103</w:t>
      </w:r>
      <w:r>
        <w:fldChar w:fldCharType="end"/>
      </w:r>
    </w:p>
    <w:p>
      <w:pPr>
        <w:pStyle w:val="TOC8"/>
        <w:rPr>
          <w:rFonts w:asciiTheme="minorHAnsi" w:eastAsiaTheme="minorEastAsia" w:hAnsiTheme="minorHAnsi" w:cstheme="minorBidi"/>
          <w:szCs w:val="22"/>
        </w:rPr>
      </w:pPr>
      <w:r>
        <w:t>49L.</w:t>
      </w:r>
      <w:r>
        <w:tab/>
        <w:t>Authority must be shown on request</w:t>
      </w:r>
      <w:r>
        <w:tab/>
      </w:r>
      <w:r>
        <w:fldChar w:fldCharType="begin"/>
      </w:r>
      <w:r>
        <w:instrText xml:space="preserve"> PAGEREF _Toc98769926 \h </w:instrText>
      </w:r>
      <w:r>
        <w:fldChar w:fldCharType="separate"/>
      </w:r>
      <w:r>
        <w:t>103</w:t>
      </w:r>
      <w:r>
        <w:fldChar w:fldCharType="end"/>
      </w:r>
    </w:p>
    <w:p>
      <w:pPr>
        <w:pStyle w:val="TOC8"/>
        <w:rPr>
          <w:rFonts w:asciiTheme="minorHAnsi" w:eastAsiaTheme="minorEastAsia" w:hAnsiTheme="minorHAnsi" w:cstheme="minorBidi"/>
          <w:szCs w:val="22"/>
        </w:rPr>
      </w:pPr>
      <w:r>
        <w:t>49M.</w:t>
      </w:r>
      <w:r>
        <w:tab/>
        <w:t>Obstructing etc. rights etc. under this Division etc.</w:t>
      </w:r>
      <w:r>
        <w:tab/>
      </w:r>
      <w:r>
        <w:fldChar w:fldCharType="begin"/>
      </w:r>
      <w:r>
        <w:instrText xml:space="preserve"> PAGEREF _Toc98769927 \h </w:instrText>
      </w:r>
      <w:r>
        <w:fldChar w:fldCharType="separate"/>
      </w:r>
      <w:r>
        <w:t>103</w:t>
      </w:r>
      <w:r>
        <w:fldChar w:fldCharType="end"/>
      </w:r>
    </w:p>
    <w:p>
      <w:pPr>
        <w:pStyle w:val="TOC8"/>
        <w:rPr>
          <w:rFonts w:asciiTheme="minorHAnsi" w:eastAsiaTheme="minorEastAsia" w:hAnsiTheme="minorHAnsi" w:cstheme="minorBidi"/>
          <w:szCs w:val="22"/>
        </w:rPr>
      </w:pPr>
      <w:r>
        <w:t>49N.</w:t>
      </w:r>
      <w:r>
        <w:tab/>
        <w:t>Entry and inspection, provisions in awards etc. as to</w:t>
      </w:r>
      <w:r>
        <w:tab/>
      </w:r>
      <w:r>
        <w:fldChar w:fldCharType="begin"/>
      </w:r>
      <w:r>
        <w:instrText xml:space="preserve"> PAGEREF _Toc98769928 \h </w:instrText>
      </w:r>
      <w:r>
        <w:fldChar w:fldCharType="separate"/>
      </w:r>
      <w:r>
        <w:t>104</w:t>
      </w:r>
      <w:r>
        <w:fldChar w:fldCharType="end"/>
      </w:r>
    </w:p>
    <w:p>
      <w:pPr>
        <w:pStyle w:val="TOC8"/>
        <w:rPr>
          <w:rFonts w:asciiTheme="minorHAnsi" w:eastAsiaTheme="minorEastAsia" w:hAnsiTheme="minorHAnsi" w:cstheme="minorBidi"/>
          <w:szCs w:val="22"/>
        </w:rPr>
      </w:pPr>
      <w:r>
        <w:t>49O.</w:t>
      </w:r>
      <w:r>
        <w:tab/>
        <w:t>Enforcement of this Division</w:t>
      </w:r>
      <w:r>
        <w:tab/>
      </w:r>
      <w:r>
        <w:fldChar w:fldCharType="begin"/>
      </w:r>
      <w:r>
        <w:instrText xml:space="preserve"> PAGEREF _Toc98769929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Orders</w:t>
      </w:r>
    </w:p>
    <w:p>
      <w:pPr>
        <w:pStyle w:val="TOC8"/>
        <w:rPr>
          <w:rFonts w:asciiTheme="minorHAnsi" w:eastAsiaTheme="minorEastAsia" w:hAnsiTheme="minorHAnsi" w:cstheme="minorBidi"/>
          <w:szCs w:val="22"/>
        </w:rPr>
      </w:pPr>
      <w:r>
        <w:t>50</w:t>
      </w:r>
      <w:r>
        <w:rPr>
          <w:snapToGrid w:val="0"/>
        </w:rPr>
        <w:t>.</w:t>
      </w:r>
      <w:r>
        <w:rPr>
          <w:snapToGrid w:val="0"/>
        </w:rPr>
        <w:tab/>
        <w:t>General Orders, nature of and making</w:t>
      </w:r>
      <w:r>
        <w:tab/>
      </w:r>
      <w:r>
        <w:fldChar w:fldCharType="begin"/>
      </w:r>
      <w:r>
        <w:instrText xml:space="preserve"> PAGEREF _Toc98769931 \h </w:instrText>
      </w:r>
      <w:r>
        <w:fldChar w:fldCharType="separate"/>
      </w:r>
      <w:r>
        <w:t>105</w:t>
      </w:r>
      <w:r>
        <w:fldChar w:fldCharType="end"/>
      </w:r>
    </w:p>
    <w:p>
      <w:pPr>
        <w:pStyle w:val="TOC8"/>
        <w:rPr>
          <w:rFonts w:asciiTheme="minorHAnsi" w:eastAsiaTheme="minorEastAsia" w:hAnsiTheme="minorHAnsi" w:cstheme="minorBidi"/>
          <w:szCs w:val="22"/>
        </w:rPr>
      </w:pPr>
      <w:r>
        <w:t>50A.</w:t>
      </w:r>
      <w:r>
        <w:tab/>
        <w:t>Rates of pay etc. for MCE Act and awards, annual State Wage order as to</w:t>
      </w:r>
      <w:r>
        <w:tab/>
      </w:r>
      <w:r>
        <w:fldChar w:fldCharType="begin"/>
      </w:r>
      <w:r>
        <w:instrText xml:space="preserve"> PAGEREF _Toc98769932 \h </w:instrText>
      </w:r>
      <w:r>
        <w:fldChar w:fldCharType="separate"/>
      </w:r>
      <w:r>
        <w:t>106</w:t>
      </w:r>
      <w:r>
        <w:fldChar w:fldCharType="end"/>
      </w:r>
    </w:p>
    <w:p>
      <w:pPr>
        <w:pStyle w:val="TOC8"/>
        <w:rPr>
          <w:rFonts w:asciiTheme="minorHAnsi" w:eastAsiaTheme="minorEastAsia" w:hAnsiTheme="minorHAnsi" w:cstheme="minorBidi"/>
          <w:szCs w:val="22"/>
        </w:rPr>
      </w:pPr>
      <w:r>
        <w:t>50B.</w:t>
      </w:r>
      <w:r>
        <w:tab/>
        <w:t>Apprentices, matters relevant to setting rates for in State Wage order</w:t>
      </w:r>
      <w:r>
        <w:tab/>
      </w:r>
      <w:r>
        <w:fldChar w:fldCharType="begin"/>
      </w:r>
      <w:r>
        <w:instrText xml:space="preserve"> PAGEREF _Toc98769933 \h </w:instrText>
      </w:r>
      <w:r>
        <w:fldChar w:fldCharType="separate"/>
      </w:r>
      <w:r>
        <w:t>108</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Public sector discipline, General Orders as to</w:t>
      </w:r>
      <w:r>
        <w:tab/>
      </w:r>
      <w:r>
        <w:fldChar w:fldCharType="begin"/>
      </w:r>
      <w:r>
        <w:instrText xml:space="preserve"> PAGEREF _Toc98769934 \h </w:instrText>
      </w:r>
      <w:r>
        <w:fldChar w:fldCharType="separate"/>
      </w:r>
      <w:r>
        <w:t>110</w:t>
      </w:r>
      <w:r>
        <w:fldChar w:fldCharType="end"/>
      </w:r>
    </w:p>
    <w:p>
      <w:pPr>
        <w:pStyle w:val="TOC8"/>
        <w:rPr>
          <w:rFonts w:asciiTheme="minorHAnsi" w:eastAsiaTheme="minorEastAsia" w:hAnsiTheme="minorHAnsi" w:cstheme="minorBidi"/>
          <w:szCs w:val="22"/>
        </w:rPr>
      </w:pPr>
      <w:r>
        <w:t>51B.</w:t>
      </w:r>
      <w:r>
        <w:tab/>
        <w:t>General Order not to set minimum condition set by MCE Act</w:t>
      </w:r>
      <w:r>
        <w:tab/>
      </w:r>
      <w:r>
        <w:fldChar w:fldCharType="begin"/>
      </w:r>
      <w:r>
        <w:instrText xml:space="preserve"> PAGEREF _Toc98769935 \h </w:instrText>
      </w:r>
      <w:r>
        <w:fldChar w:fldCharType="separate"/>
      </w:r>
      <w:r>
        <w:t>111</w:t>
      </w:r>
      <w:r>
        <w:fldChar w:fldCharType="end"/>
      </w:r>
    </w:p>
    <w:p>
      <w:pPr>
        <w:pStyle w:val="TOC8"/>
        <w:rPr>
          <w:rFonts w:asciiTheme="minorHAnsi" w:eastAsiaTheme="minorEastAsia" w:hAnsiTheme="minorHAnsi" w:cstheme="minorBidi"/>
          <w:szCs w:val="22"/>
        </w:rPr>
      </w:pPr>
      <w:r>
        <w:t>51BA.</w:t>
      </w:r>
      <w:r>
        <w:tab/>
        <w:t>Notice of hearing to make General Order</w:t>
      </w:r>
      <w:r>
        <w:tab/>
      </w:r>
      <w:r>
        <w:fldChar w:fldCharType="begin"/>
      </w:r>
      <w:r>
        <w:instrText xml:space="preserve"> PAGEREF _Toc98769936 \h </w:instrText>
      </w:r>
      <w:r>
        <w:fldChar w:fldCharType="separate"/>
      </w:r>
      <w:r>
        <w:t>112</w:t>
      </w:r>
      <w:r>
        <w:fldChar w:fldCharType="end"/>
      </w:r>
    </w:p>
    <w:p>
      <w:pPr>
        <w:pStyle w:val="TOC8"/>
        <w:rPr>
          <w:rFonts w:asciiTheme="minorHAnsi" w:eastAsiaTheme="minorEastAsia" w:hAnsiTheme="minorHAnsi" w:cstheme="minorBidi"/>
          <w:szCs w:val="22"/>
        </w:rPr>
      </w:pPr>
      <w:r>
        <w:t>51BB.</w:t>
      </w:r>
      <w:r>
        <w:tab/>
        <w:t>Right to be heard before General Order made</w:t>
      </w:r>
      <w:r>
        <w:tab/>
      </w:r>
      <w:r>
        <w:fldChar w:fldCharType="begin"/>
      </w:r>
      <w:r>
        <w:instrText xml:space="preserve"> PAGEREF _Toc98769937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51BC.</w:t>
      </w:r>
      <w:r>
        <w:tab/>
        <w:t>Commissioner may deal with certain proceedings</w:t>
      </w:r>
      <w:r>
        <w:tab/>
      </w:r>
      <w:r>
        <w:fldChar w:fldCharType="begin"/>
      </w:r>
      <w:r>
        <w:instrText xml:space="preserve"> PAGEREF _Toc98769938 \h </w:instrText>
      </w:r>
      <w:r>
        <w:fldChar w:fldCharType="separate"/>
      </w:r>
      <w:r>
        <w:t>112</w:t>
      </w:r>
      <w:r>
        <w:fldChar w:fldCharType="end"/>
      </w:r>
    </w:p>
    <w:p>
      <w:pPr>
        <w:pStyle w:val="TOC8"/>
        <w:rPr>
          <w:rFonts w:asciiTheme="minorHAnsi" w:eastAsiaTheme="minorEastAsia" w:hAnsiTheme="minorHAnsi" w:cstheme="minorBidi"/>
          <w:szCs w:val="22"/>
        </w:rPr>
      </w:pPr>
      <w:r>
        <w:t>51BD.</w:t>
      </w:r>
      <w:r>
        <w:tab/>
        <w:t>Awards etc. affected by General Order, publication of</w:t>
      </w:r>
      <w:r>
        <w:tab/>
      </w:r>
      <w:r>
        <w:fldChar w:fldCharType="begin"/>
      </w:r>
      <w:r>
        <w:instrText xml:space="preserve"> PAGEREF _Toc98769939 \h </w:instrText>
      </w:r>
      <w:r>
        <w:fldChar w:fldCharType="separate"/>
      </w:r>
      <w:r>
        <w:t>113</w:t>
      </w:r>
      <w:r>
        <w:fldChar w:fldCharType="end"/>
      </w:r>
    </w:p>
    <w:p>
      <w:pPr>
        <w:pStyle w:val="TOC8"/>
        <w:rPr>
          <w:rFonts w:asciiTheme="minorHAnsi" w:eastAsiaTheme="minorEastAsia" w:hAnsiTheme="minorHAnsi" w:cstheme="minorBidi"/>
          <w:szCs w:val="22"/>
        </w:rPr>
      </w:pPr>
      <w:r>
        <w:t>51BE.</w:t>
      </w:r>
      <w:r>
        <w:tab/>
        <w:t>Publication of order</w:t>
      </w:r>
      <w:r>
        <w:tab/>
      </w:r>
      <w:r>
        <w:fldChar w:fldCharType="begin"/>
      </w:r>
      <w:r>
        <w:instrText xml:space="preserve"> PAGEREF _Toc98769940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3A — MCE Act functions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51C.</w:t>
      </w:r>
      <w:r>
        <w:tab/>
        <w:t>Term used: Commission</w:t>
      </w:r>
      <w:r>
        <w:tab/>
      </w:r>
      <w:r>
        <w:fldChar w:fldCharType="begin"/>
      </w:r>
      <w:r>
        <w:instrText xml:space="preserve"> PAGEREF _Toc98769943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Casual employees’ loading</w:t>
      </w:r>
    </w:p>
    <w:p>
      <w:pPr>
        <w:pStyle w:val="TOC8"/>
        <w:rPr>
          <w:rFonts w:asciiTheme="minorHAnsi" w:eastAsiaTheme="minorEastAsia" w:hAnsiTheme="minorHAnsi" w:cstheme="minorBidi"/>
          <w:szCs w:val="22"/>
        </w:rPr>
      </w:pPr>
      <w:r>
        <w:t>51I.</w:t>
      </w:r>
      <w:r>
        <w:tab/>
        <w:t>Casual employees’ loading, setting for MCE Act s. 11</w:t>
      </w:r>
      <w:r>
        <w:tab/>
      </w:r>
      <w:r>
        <w:fldChar w:fldCharType="begin"/>
      </w:r>
      <w:r>
        <w:instrText xml:space="preserve"> PAGEREF _Toc98769945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Orders under this Division generally</w:t>
      </w:r>
    </w:p>
    <w:p>
      <w:pPr>
        <w:pStyle w:val="TOC8"/>
        <w:rPr>
          <w:rFonts w:asciiTheme="minorHAnsi" w:eastAsiaTheme="minorEastAsia" w:hAnsiTheme="minorHAnsi" w:cstheme="minorBidi"/>
          <w:szCs w:val="22"/>
        </w:rPr>
      </w:pPr>
      <w:r>
        <w:t>51J.</w:t>
      </w:r>
      <w:r>
        <w:tab/>
        <w:t>Notice of hearings under this Division</w:t>
      </w:r>
      <w:r>
        <w:tab/>
      </w:r>
      <w:r>
        <w:fldChar w:fldCharType="begin"/>
      </w:r>
      <w:r>
        <w:instrText xml:space="preserve"> PAGEREF _Toc98769947 \h </w:instrText>
      </w:r>
      <w:r>
        <w:fldChar w:fldCharType="separate"/>
      </w:r>
      <w:r>
        <w:t>114</w:t>
      </w:r>
      <w:r>
        <w:fldChar w:fldCharType="end"/>
      </w:r>
    </w:p>
    <w:p>
      <w:pPr>
        <w:pStyle w:val="TOC8"/>
        <w:rPr>
          <w:rFonts w:asciiTheme="minorHAnsi" w:eastAsiaTheme="minorEastAsia" w:hAnsiTheme="minorHAnsi" w:cstheme="minorBidi"/>
          <w:szCs w:val="22"/>
        </w:rPr>
      </w:pPr>
      <w:r>
        <w:t>51K.</w:t>
      </w:r>
      <w:r>
        <w:tab/>
        <w:t>Right to be heard before order made under this Division</w:t>
      </w:r>
      <w:r>
        <w:tab/>
      </w:r>
      <w:r>
        <w:fldChar w:fldCharType="begin"/>
      </w:r>
      <w:r>
        <w:instrText xml:space="preserve"> PAGEREF _Toc98769948 \h </w:instrText>
      </w:r>
      <w:r>
        <w:fldChar w:fldCharType="separate"/>
      </w:r>
      <w:r>
        <w:t>114</w:t>
      </w:r>
      <w:r>
        <w:fldChar w:fldCharType="end"/>
      </w:r>
    </w:p>
    <w:p>
      <w:pPr>
        <w:pStyle w:val="TOC8"/>
        <w:rPr>
          <w:rFonts w:asciiTheme="minorHAnsi" w:eastAsiaTheme="minorEastAsia" w:hAnsiTheme="minorHAnsi" w:cstheme="minorBidi"/>
          <w:szCs w:val="22"/>
        </w:rPr>
      </w:pPr>
      <w:r>
        <w:t>51L.</w:t>
      </w:r>
      <w:r>
        <w:tab/>
        <w:t>Orders under this Division, restrictions on</w:t>
      </w:r>
      <w:r>
        <w:tab/>
      </w:r>
      <w:r>
        <w:fldChar w:fldCharType="begin"/>
      </w:r>
      <w:r>
        <w:instrText xml:space="preserve"> PAGEREF _Toc98769949 \h </w:instrText>
      </w:r>
      <w:r>
        <w:fldChar w:fldCharType="separate"/>
      </w:r>
      <w:r>
        <w:t>115</w:t>
      </w:r>
      <w:r>
        <w:fldChar w:fldCharType="end"/>
      </w:r>
    </w:p>
    <w:p>
      <w:pPr>
        <w:pStyle w:val="TOC8"/>
        <w:rPr>
          <w:rFonts w:asciiTheme="minorHAnsi" w:eastAsiaTheme="minorEastAsia" w:hAnsiTheme="minorHAnsi" w:cstheme="minorBidi"/>
          <w:szCs w:val="22"/>
        </w:rPr>
      </w:pPr>
      <w:r>
        <w:t>51M.</w:t>
      </w:r>
      <w:r>
        <w:tab/>
        <w:t>Publication of orders</w:t>
      </w:r>
      <w:r>
        <w:tab/>
      </w:r>
      <w:r>
        <w:fldChar w:fldCharType="begin"/>
      </w:r>
      <w:r>
        <w:instrText xml:space="preserve"> PAGEREF _Toc98769950 \h </w:instrText>
      </w:r>
      <w:r>
        <w:fldChar w:fldCharType="separate"/>
      </w:r>
      <w:r>
        <w:t>115</w:t>
      </w:r>
      <w:r>
        <w:fldChar w:fldCharType="end"/>
      </w:r>
    </w:p>
    <w:p>
      <w:pPr>
        <w:pStyle w:val="TOC8"/>
        <w:rPr>
          <w:rFonts w:asciiTheme="minorHAnsi" w:eastAsiaTheme="minorEastAsia" w:hAnsiTheme="minorHAnsi" w:cstheme="minorBidi"/>
          <w:szCs w:val="22"/>
        </w:rPr>
      </w:pPr>
      <w:r>
        <w:t>51N.</w:t>
      </w:r>
      <w:r>
        <w:tab/>
        <w:t>Variation and rescission of s. 51I orders</w:t>
      </w:r>
      <w:r>
        <w:tab/>
      </w:r>
      <w:r>
        <w:fldChar w:fldCharType="begin"/>
      </w:r>
      <w:r>
        <w:instrText xml:space="preserve"> PAGEREF _Toc98769951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3B — Collective agreements and good faith bargaining</w:t>
      </w:r>
    </w:p>
    <w:p>
      <w:pPr>
        <w:pStyle w:val="TOC8"/>
        <w:rPr>
          <w:rFonts w:asciiTheme="minorHAnsi" w:eastAsiaTheme="minorEastAsia" w:hAnsiTheme="minorHAnsi" w:cstheme="minorBidi"/>
          <w:szCs w:val="22"/>
        </w:rPr>
      </w:pPr>
      <w:r>
        <w:t>51O.</w:t>
      </w:r>
      <w:r>
        <w:tab/>
        <w:t>Terms used</w:t>
      </w:r>
      <w:r>
        <w:tab/>
      </w:r>
      <w:r>
        <w:fldChar w:fldCharType="begin"/>
      </w:r>
      <w:r>
        <w:instrText xml:space="preserve"> PAGEREF _Toc98769953 \h </w:instrText>
      </w:r>
      <w:r>
        <w:fldChar w:fldCharType="separate"/>
      </w:r>
      <w:r>
        <w:t>116</w:t>
      </w:r>
      <w:r>
        <w:fldChar w:fldCharType="end"/>
      </w:r>
    </w:p>
    <w:p>
      <w:pPr>
        <w:pStyle w:val="TOC8"/>
        <w:rPr>
          <w:rFonts w:asciiTheme="minorHAnsi" w:eastAsiaTheme="minorEastAsia" w:hAnsiTheme="minorHAnsi" w:cstheme="minorBidi"/>
          <w:szCs w:val="22"/>
        </w:rPr>
      </w:pPr>
      <w:r>
        <w:t>51P.</w:t>
      </w:r>
      <w:r>
        <w:tab/>
        <w:t>When organisation may represent employees</w:t>
      </w:r>
      <w:r>
        <w:tab/>
      </w:r>
      <w:r>
        <w:fldChar w:fldCharType="begin"/>
      </w:r>
      <w:r>
        <w:instrText xml:space="preserve"> PAGEREF _Toc98769954 \h </w:instrText>
      </w:r>
      <w:r>
        <w:fldChar w:fldCharType="separate"/>
      </w:r>
      <w:r>
        <w:t>117</w:t>
      </w:r>
      <w:r>
        <w:fldChar w:fldCharType="end"/>
      </w:r>
    </w:p>
    <w:p>
      <w:pPr>
        <w:pStyle w:val="TOC8"/>
        <w:rPr>
          <w:rFonts w:asciiTheme="minorHAnsi" w:eastAsiaTheme="minorEastAsia" w:hAnsiTheme="minorHAnsi" w:cstheme="minorBidi"/>
          <w:szCs w:val="22"/>
        </w:rPr>
      </w:pPr>
      <w:r>
        <w:t>51Q.</w:t>
      </w:r>
      <w:r>
        <w:tab/>
        <w:t>Bargaining agents, appointment of etc.</w:t>
      </w:r>
      <w:r>
        <w:tab/>
      </w:r>
      <w:r>
        <w:fldChar w:fldCharType="begin"/>
      </w:r>
      <w:r>
        <w:instrText xml:space="preserve"> PAGEREF _Toc98769955 \h </w:instrText>
      </w:r>
      <w:r>
        <w:fldChar w:fldCharType="separate"/>
      </w:r>
      <w:r>
        <w:t>117</w:t>
      </w:r>
      <w:r>
        <w:fldChar w:fldCharType="end"/>
      </w:r>
    </w:p>
    <w:p>
      <w:pPr>
        <w:pStyle w:val="TOC8"/>
        <w:rPr>
          <w:rFonts w:asciiTheme="minorHAnsi" w:eastAsiaTheme="minorEastAsia" w:hAnsiTheme="minorHAnsi" w:cstheme="minorBidi"/>
          <w:szCs w:val="22"/>
        </w:rPr>
      </w:pPr>
      <w:r>
        <w:t>51R.</w:t>
      </w:r>
      <w:r>
        <w:tab/>
        <w:t>Bargaining for collective agreement, initiating</w:t>
      </w:r>
      <w:r>
        <w:tab/>
      </w:r>
      <w:r>
        <w:fldChar w:fldCharType="begin"/>
      </w:r>
      <w:r>
        <w:instrText xml:space="preserve"> PAGEREF _Toc98769956 \h </w:instrText>
      </w:r>
      <w:r>
        <w:fldChar w:fldCharType="separate"/>
      </w:r>
      <w:r>
        <w:t>118</w:t>
      </w:r>
      <w:r>
        <w:fldChar w:fldCharType="end"/>
      </w:r>
    </w:p>
    <w:p>
      <w:pPr>
        <w:pStyle w:val="TOC8"/>
        <w:rPr>
          <w:rFonts w:asciiTheme="minorHAnsi" w:eastAsiaTheme="minorEastAsia" w:hAnsiTheme="minorHAnsi" w:cstheme="minorBidi"/>
          <w:szCs w:val="22"/>
        </w:rPr>
      </w:pPr>
      <w:r>
        <w:t>51S.</w:t>
      </w:r>
      <w:r>
        <w:tab/>
        <w:t>Bargaining for collective agreement, good faith required etc.</w:t>
      </w:r>
      <w:r>
        <w:tab/>
      </w:r>
      <w:r>
        <w:fldChar w:fldCharType="begin"/>
      </w:r>
      <w:r>
        <w:instrText xml:space="preserve"> PAGEREF _Toc98769957 \h </w:instrText>
      </w:r>
      <w:r>
        <w:fldChar w:fldCharType="separate"/>
      </w:r>
      <w:r>
        <w:t>119</w:t>
      </w:r>
      <w:r>
        <w:fldChar w:fldCharType="end"/>
      </w:r>
    </w:p>
    <w:p>
      <w:pPr>
        <w:pStyle w:val="TOC8"/>
        <w:rPr>
          <w:rFonts w:asciiTheme="minorHAnsi" w:eastAsiaTheme="minorEastAsia" w:hAnsiTheme="minorHAnsi" w:cstheme="minorBidi"/>
          <w:szCs w:val="22"/>
        </w:rPr>
      </w:pPr>
      <w:r>
        <w:t>51T.</w:t>
      </w:r>
      <w:r>
        <w:tab/>
        <w:t>Application of s. 42D and 42E</w:t>
      </w:r>
      <w:r>
        <w:tab/>
      </w:r>
      <w:r>
        <w:fldChar w:fldCharType="begin"/>
      </w:r>
      <w:r>
        <w:instrText xml:space="preserve"> PAGEREF _Toc98769958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Industrial organisations and associations</w:t>
      </w:r>
    </w:p>
    <w:p>
      <w:pPr>
        <w:pStyle w:val="TOC8"/>
        <w:rPr>
          <w:rFonts w:asciiTheme="minorHAnsi" w:eastAsiaTheme="minorEastAsia" w:hAnsiTheme="minorHAnsi" w:cstheme="minorBidi"/>
          <w:szCs w:val="22"/>
        </w:rPr>
      </w:pPr>
      <w:r>
        <w:t>52</w:t>
      </w:r>
      <w:r>
        <w:rPr>
          <w:snapToGrid w:val="0"/>
        </w:rPr>
        <w:t>.</w:t>
      </w:r>
      <w:r>
        <w:rPr>
          <w:snapToGrid w:val="0"/>
        </w:rPr>
        <w:tab/>
        <w:t>Terms used</w:t>
      </w:r>
      <w:r>
        <w:tab/>
      </w:r>
      <w:r>
        <w:fldChar w:fldCharType="begin"/>
      </w:r>
      <w:r>
        <w:instrText xml:space="preserve"> PAGEREF _Toc98769960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Organisations of employees, which can be registered</w:t>
      </w:r>
      <w:r>
        <w:tab/>
      </w:r>
      <w:r>
        <w:fldChar w:fldCharType="begin"/>
      </w:r>
      <w:r>
        <w:instrText xml:space="preserve"> PAGEREF _Toc98769961 \h </w:instrText>
      </w:r>
      <w:r>
        <w:fldChar w:fldCharType="separate"/>
      </w:r>
      <w:r>
        <w:t>120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Organisations of employers, which can be registered</w:t>
      </w:r>
      <w:r>
        <w:tab/>
      </w:r>
      <w:r>
        <w:fldChar w:fldCharType="begin"/>
      </w:r>
      <w:r>
        <w:instrText xml:space="preserve"> PAGEREF _Toc98769962 \h </w:instrText>
      </w:r>
      <w:r>
        <w:fldChar w:fldCharType="separate"/>
      </w:r>
      <w:r>
        <w:t>121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Applications for registration under s. 53 or 54</w:t>
      </w:r>
      <w:r>
        <w:tab/>
      </w:r>
      <w:r>
        <w:fldChar w:fldCharType="begin"/>
      </w:r>
      <w:r>
        <w:instrText xml:space="preserve"> PAGEREF _Toc98769963 \h </w:instrText>
      </w:r>
      <w:r>
        <w:fldChar w:fldCharType="separate"/>
      </w:r>
      <w:r>
        <w:t>121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organisations to provide for secret ballots etc. at elections</w:t>
      </w:r>
      <w:r>
        <w:tab/>
      </w:r>
      <w:r>
        <w:fldChar w:fldCharType="begin"/>
      </w:r>
      <w:r>
        <w:instrText xml:space="preserve"> PAGEREF _Toc98769964 \h </w:instrText>
      </w:r>
      <w:r>
        <w:fldChar w:fldCharType="separate"/>
      </w:r>
      <w:r>
        <w:t>124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Casual vacancies, rules as to filling</w:t>
      </w:r>
      <w:r>
        <w:tab/>
      </w:r>
      <w:r>
        <w:fldChar w:fldCharType="begin"/>
      </w:r>
      <w:r>
        <w:instrText xml:space="preserve"> PAGEREF _Toc98769965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Elections by direct voting system to be by secret postal ballot</w:t>
      </w:r>
      <w:r>
        <w:tab/>
      </w:r>
      <w:r>
        <w:fldChar w:fldCharType="begin"/>
      </w:r>
      <w:r>
        <w:instrText xml:space="preserve"> PAGEREF _Toc98769966 \h </w:instrText>
      </w:r>
      <w:r>
        <w:fldChar w:fldCharType="separate"/>
      </w:r>
      <w:r>
        <w:t>127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Registering organisations, rules etc.</w:t>
      </w:r>
      <w:r>
        <w:tab/>
      </w:r>
      <w:r>
        <w:fldChar w:fldCharType="begin"/>
      </w:r>
      <w:r>
        <w:instrText xml:space="preserve"> PAGEREF _Toc98769967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Names of registered organisations, restrictions on</w:t>
      </w:r>
      <w:r>
        <w:tab/>
      </w:r>
      <w:r>
        <w:fldChar w:fldCharType="begin"/>
      </w:r>
      <w:r>
        <w:instrText xml:space="preserve"> PAGEREF _Toc98769968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Organisation becomes incorporated on registration</w:t>
      </w:r>
      <w:r>
        <w:tab/>
      </w:r>
      <w:r>
        <w:fldChar w:fldCharType="begin"/>
      </w:r>
      <w:r>
        <w:instrText xml:space="preserve"> PAGEREF _Toc98769969 \h </w:instrText>
      </w:r>
      <w:r>
        <w:fldChar w:fldCharType="separate"/>
      </w:r>
      <w:r>
        <w:t>129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Effect of registration</w:t>
      </w:r>
      <w:r>
        <w:tab/>
      </w:r>
      <w:r>
        <w:fldChar w:fldCharType="begin"/>
      </w:r>
      <w:r>
        <w:instrText xml:space="preserve"> PAGEREF _Toc98769970 \h </w:instrText>
      </w:r>
      <w:r>
        <w:fldChar w:fldCharType="separate"/>
      </w:r>
      <w:r>
        <w:t>130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Altering registered rules</w:t>
      </w:r>
      <w:r>
        <w:tab/>
      </w:r>
      <w:r>
        <w:fldChar w:fldCharType="begin"/>
      </w:r>
      <w:r>
        <w:instrText xml:space="preserve"> PAGEREF _Toc98769971 \h </w:instrText>
      </w:r>
      <w:r>
        <w:fldChar w:fldCharType="separate"/>
      </w:r>
      <w:r>
        <w:t>130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Records, organisations’ duties as to etc.</w:t>
      </w:r>
      <w:r>
        <w:tab/>
      </w:r>
      <w:r>
        <w:fldChar w:fldCharType="begin"/>
      </w:r>
      <w:r>
        <w:instrText xml:space="preserve"> PAGEREF _Toc98769972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Membership register, Registrar may direct rectification of etc.</w:t>
      </w:r>
      <w:r>
        <w:tab/>
      </w:r>
      <w:r>
        <w:fldChar w:fldCharType="begin"/>
      </w:r>
      <w:r>
        <w:instrText xml:space="preserve"> PAGEREF _Toc98769973 \h </w:instrText>
      </w:r>
      <w:r>
        <w:fldChar w:fldCharType="separate"/>
      </w:r>
      <w:r>
        <w:t>132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Resigning from an organisation</w:t>
      </w:r>
      <w:r>
        <w:tab/>
      </w:r>
      <w:r>
        <w:fldChar w:fldCharType="begin"/>
      </w:r>
      <w:r>
        <w:instrText xml:space="preserve"> PAGEREF _Toc98769974 \h </w:instrText>
      </w:r>
      <w:r>
        <w:fldChar w:fldCharType="separate"/>
      </w:r>
      <w:r>
        <w:t>132</w:t>
      </w:r>
      <w:r>
        <w:fldChar w:fldCharType="end"/>
      </w:r>
    </w:p>
    <w:p>
      <w:pPr>
        <w:pStyle w:val="TOC8"/>
        <w:rPr>
          <w:rFonts w:asciiTheme="minorHAnsi" w:eastAsiaTheme="minorEastAsia" w:hAnsiTheme="minorHAnsi" w:cstheme="minorBidi"/>
          <w:szCs w:val="22"/>
        </w:rPr>
      </w:pPr>
      <w:r>
        <w:t>64B</w:t>
      </w:r>
      <w:r>
        <w:rPr>
          <w:snapToGrid w:val="0"/>
        </w:rPr>
        <w:t>.</w:t>
      </w:r>
      <w:r>
        <w:rPr>
          <w:snapToGrid w:val="0"/>
        </w:rPr>
        <w:tab/>
        <w:t>Membership ends if subscription not paid</w:t>
      </w:r>
      <w:r>
        <w:tab/>
      </w:r>
      <w:r>
        <w:fldChar w:fldCharType="begin"/>
      </w:r>
      <w:r>
        <w:instrText xml:space="preserve"> PAGEREF _Toc98769975 \h </w:instrText>
      </w:r>
      <w:r>
        <w:fldChar w:fldCharType="separate"/>
      </w:r>
      <w:r>
        <w:t>133</w:t>
      </w:r>
      <w:r>
        <w:fldChar w:fldCharType="end"/>
      </w:r>
    </w:p>
    <w:p>
      <w:pPr>
        <w:pStyle w:val="TOC8"/>
        <w:rPr>
          <w:rFonts w:asciiTheme="minorHAnsi" w:eastAsiaTheme="minorEastAsia" w:hAnsiTheme="minorHAnsi" w:cstheme="minorBidi"/>
          <w:szCs w:val="22"/>
        </w:rPr>
      </w:pPr>
      <w:r>
        <w:t>64C</w:t>
      </w:r>
      <w:r>
        <w:rPr>
          <w:snapToGrid w:val="0"/>
        </w:rPr>
        <w:t>.</w:t>
      </w:r>
      <w:r>
        <w:rPr>
          <w:snapToGrid w:val="0"/>
        </w:rPr>
        <w:tab/>
        <w:t>Effect of s. 64A and 64B in relation to organisation’s rules</w:t>
      </w:r>
      <w:r>
        <w:tab/>
      </w:r>
      <w:r>
        <w:fldChar w:fldCharType="begin"/>
      </w:r>
      <w:r>
        <w:instrText xml:space="preserve"> PAGEREF _Toc98769976 \h </w:instrText>
      </w:r>
      <w:r>
        <w:fldChar w:fldCharType="separate"/>
      </w:r>
      <w:r>
        <w:t>133</w:t>
      </w:r>
      <w:r>
        <w:fldChar w:fldCharType="end"/>
      </w:r>
    </w:p>
    <w:p>
      <w:pPr>
        <w:pStyle w:val="TOC8"/>
        <w:rPr>
          <w:rFonts w:asciiTheme="minorHAnsi" w:eastAsiaTheme="minorEastAsia" w:hAnsiTheme="minorHAnsi" w:cstheme="minorBidi"/>
          <w:szCs w:val="22"/>
        </w:rPr>
      </w:pPr>
      <w:r>
        <w:t>64D</w:t>
      </w:r>
      <w:r>
        <w:rPr>
          <w:snapToGrid w:val="0"/>
        </w:rPr>
        <w:t>.</w:t>
      </w:r>
      <w:r>
        <w:rPr>
          <w:snapToGrid w:val="0"/>
        </w:rPr>
        <w:tab/>
        <w:t>Purging register, organisation’s rules to provide for</w:t>
      </w:r>
      <w:r>
        <w:tab/>
      </w:r>
      <w:r>
        <w:fldChar w:fldCharType="begin"/>
      </w:r>
      <w:r>
        <w:instrText xml:space="preserve"> PAGEREF _Toc98769977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Accounts of organisation, audit and filing of</w:t>
      </w:r>
      <w:r>
        <w:tab/>
      </w:r>
      <w:r>
        <w:fldChar w:fldCharType="begin"/>
      </w:r>
      <w:r>
        <w:instrText xml:space="preserve"> PAGEREF _Toc98769978 \h </w:instrText>
      </w:r>
      <w:r>
        <w:fldChar w:fldCharType="separate"/>
      </w:r>
      <w:r>
        <w:t>134</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Auditor’s powers</w:t>
      </w:r>
      <w:r>
        <w:tab/>
      </w:r>
      <w:r>
        <w:fldChar w:fldCharType="begin"/>
      </w:r>
      <w:r>
        <w:instrText xml:space="preserve"> PAGEREF _Toc98769979 \h </w:instrText>
      </w:r>
      <w:r>
        <w:fldChar w:fldCharType="separate"/>
      </w:r>
      <w:r>
        <w:t>135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Power of Chief Commissioner to deal with rules of organisation</w:t>
      </w:r>
      <w:r>
        <w:tab/>
      </w:r>
      <w:r>
        <w:fldChar w:fldCharType="begin"/>
      </w:r>
      <w:r>
        <w:instrText xml:space="preserve"> PAGEREF _Toc98769980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Industrial associations, registering</w:t>
      </w:r>
      <w:r>
        <w:tab/>
      </w:r>
      <w:r>
        <w:fldChar w:fldCharType="begin"/>
      </w:r>
      <w:r>
        <w:instrText xml:space="preserve"> PAGEREF _Toc98769981 \h </w:instrText>
      </w:r>
      <w:r>
        <w:fldChar w:fldCharType="separate"/>
      </w:r>
      <w:r>
        <w:t>138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Declaration as to certain functions</w:t>
      </w:r>
      <w:r>
        <w:tab/>
      </w:r>
      <w:r>
        <w:fldChar w:fldCharType="begin"/>
      </w:r>
      <w:r>
        <w:instrText xml:space="preserve"> PAGEREF _Toc98769982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Election, conduct of by Registrar or Electoral Commissioner</w:t>
      </w:r>
      <w:r>
        <w:tab/>
      </w:r>
      <w:r>
        <w:fldChar w:fldCharType="begin"/>
      </w:r>
      <w:r>
        <w:instrText xml:space="preserve"> PAGEREF _Toc98769983 \h </w:instrText>
      </w:r>
      <w:r>
        <w:fldChar w:fldCharType="separate"/>
      </w:r>
      <w:r>
        <w:t>139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in relation to elections</w:t>
      </w:r>
      <w:r>
        <w:tab/>
      </w:r>
      <w:r>
        <w:fldChar w:fldCharType="begin"/>
      </w:r>
      <w:r>
        <w:instrText xml:space="preserve"> PAGEREF _Toc98769984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State branches of Federal organisations, rules of as to membership and offices</w:t>
      </w:r>
      <w:r>
        <w:tab/>
      </w:r>
      <w:r>
        <w:fldChar w:fldCharType="begin"/>
      </w:r>
      <w:r>
        <w:instrText xml:space="preserve"> PAGEREF _Toc98769985 \h </w:instrText>
      </w:r>
      <w:r>
        <w:fldChar w:fldCharType="separate"/>
      </w:r>
      <w:r>
        <w:t>142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Rules of Federal organisation, State organisation may adopt</w:t>
      </w:r>
      <w:r>
        <w:tab/>
      </w:r>
      <w:r>
        <w:fldChar w:fldCharType="begin"/>
      </w:r>
      <w:r>
        <w:instrText xml:space="preserve"> PAGEREF _Toc98769986 \h </w:instrText>
      </w:r>
      <w:r>
        <w:fldChar w:fldCharType="separate"/>
      </w:r>
      <w:r>
        <w:t>146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Amalgamated organisations, registration of</w:t>
      </w:r>
      <w:r>
        <w:tab/>
      </w:r>
      <w:r>
        <w:fldChar w:fldCharType="begin"/>
      </w:r>
      <w:r>
        <w:instrText xml:space="preserve"> PAGEREF _Toc98769987 \h </w:instrText>
      </w:r>
      <w:r>
        <w:fldChar w:fldCharType="separate"/>
      </w:r>
      <w:r>
        <w:t>147</w:t>
      </w:r>
      <w:r>
        <w:fldChar w:fldCharType="end"/>
      </w:r>
    </w:p>
    <w:p>
      <w:pPr>
        <w:pStyle w:val="TOC8"/>
        <w:rPr>
          <w:rFonts w:asciiTheme="minorHAnsi" w:eastAsiaTheme="minorEastAsia" w:hAnsiTheme="minorHAnsi" w:cstheme="minorBidi"/>
          <w:szCs w:val="22"/>
        </w:rPr>
      </w:pPr>
      <w:r>
        <w:t>72A</w:t>
      </w:r>
      <w:r>
        <w:rPr>
          <w:snapToGrid w:val="0"/>
        </w:rPr>
        <w:t>.</w:t>
      </w:r>
      <w:r>
        <w:rPr>
          <w:snapToGrid w:val="0"/>
        </w:rPr>
        <w:tab/>
        <w:t>Employee organisations, orders as to whom they represent</w:t>
      </w:r>
      <w:r>
        <w:tab/>
      </w:r>
      <w:r>
        <w:fldChar w:fldCharType="begin"/>
      </w:r>
      <w:r>
        <w:instrText xml:space="preserve"> PAGEREF _Toc98769988 \h </w:instrText>
      </w:r>
      <w:r>
        <w:fldChar w:fldCharType="separate"/>
      </w:r>
      <w:r>
        <w:t>148</w:t>
      </w:r>
      <w:r>
        <w:fldChar w:fldCharType="end"/>
      </w:r>
    </w:p>
    <w:p>
      <w:pPr>
        <w:pStyle w:val="TOC8"/>
        <w:rPr>
          <w:rFonts w:asciiTheme="minorHAnsi" w:eastAsiaTheme="minorEastAsia" w:hAnsiTheme="minorHAnsi" w:cstheme="minorBidi"/>
          <w:szCs w:val="22"/>
        </w:rPr>
      </w:pPr>
      <w:r>
        <w:t>72B</w:t>
      </w:r>
      <w:r>
        <w:rPr>
          <w:snapToGrid w:val="0"/>
        </w:rPr>
        <w:t xml:space="preserve">. </w:t>
      </w:r>
      <w:r>
        <w:rPr>
          <w:snapToGrid w:val="0"/>
        </w:rPr>
        <w:tab/>
        <w:t>AMA may represent interests of medical practitioners</w:t>
      </w:r>
      <w:r>
        <w:tab/>
      </w:r>
      <w:r>
        <w:fldChar w:fldCharType="begin"/>
      </w:r>
      <w:r>
        <w:instrText xml:space="preserve"> PAGEREF _Toc98769989 \h </w:instrText>
      </w:r>
      <w:r>
        <w:fldChar w:fldCharType="separate"/>
      </w:r>
      <w:r>
        <w:t>150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Cancelling and suspending registration of organisation, procedure for</w:t>
      </w:r>
      <w:r>
        <w:tab/>
      </w:r>
      <w:r>
        <w:fldChar w:fldCharType="begin"/>
      </w:r>
      <w:r>
        <w:instrText xml:space="preserve"> PAGEREF _Toc98769990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Duties of officers of organisations</w:t>
      </w:r>
    </w:p>
    <w:p>
      <w:pPr>
        <w:pStyle w:val="TOC8"/>
        <w:rPr>
          <w:rFonts w:asciiTheme="minorHAnsi" w:eastAsiaTheme="minorEastAsia" w:hAnsiTheme="minorHAnsi" w:cstheme="minorBidi"/>
          <w:szCs w:val="22"/>
        </w:rPr>
      </w:pPr>
      <w:r>
        <w:t>74</w:t>
      </w:r>
      <w:r>
        <w:rPr>
          <w:snapToGrid w:val="0"/>
        </w:rPr>
        <w:t>.</w:t>
      </w:r>
      <w:r>
        <w:rPr>
          <w:snapToGrid w:val="0"/>
        </w:rPr>
        <w:tab/>
        <w:t>Finance official’s duties</w:t>
      </w:r>
      <w:r>
        <w:tab/>
      </w:r>
      <w:r>
        <w:fldChar w:fldCharType="begin"/>
      </w:r>
      <w:r>
        <w:instrText xml:space="preserve"> PAGEREF _Toc98769992 \h </w:instrText>
      </w:r>
      <w:r>
        <w:fldChar w:fldCharType="separate"/>
      </w:r>
      <w:r>
        <w:t>156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Auditor to report on compliance with s. 74 duties</w:t>
      </w:r>
      <w:r>
        <w:tab/>
      </w:r>
      <w:r>
        <w:fldChar w:fldCharType="begin"/>
      </w:r>
      <w:r>
        <w:instrText xml:space="preserve"> PAGEREF _Toc98769993 \h </w:instrText>
      </w:r>
      <w:r>
        <w:fldChar w:fldCharType="separate"/>
      </w:r>
      <w:r>
        <w:t>158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Duty under s. 74, enforcing</w:t>
      </w:r>
      <w:r>
        <w:tab/>
      </w:r>
      <w:r>
        <w:fldChar w:fldCharType="begin"/>
      </w:r>
      <w:r>
        <w:instrText xml:space="preserve"> PAGEREF _Toc98769994 \h </w:instrText>
      </w:r>
      <w:r>
        <w:fldChar w:fldCharType="separate"/>
      </w:r>
      <w:r>
        <w:t>158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Failure to comply with s. 77(2)(e) order</w:t>
      </w:r>
      <w:r>
        <w:tab/>
      </w:r>
      <w:r>
        <w:fldChar w:fldCharType="begin"/>
      </w:r>
      <w:r>
        <w:instrText xml:space="preserve"> PAGEREF _Toc98769995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79</w:t>
      </w:r>
      <w:r>
        <w:rPr>
          <w:snapToGrid w:val="0"/>
        </w:rPr>
        <w:t>.</w:t>
      </w:r>
      <w:r>
        <w:rPr>
          <w:snapToGrid w:val="0"/>
        </w:rPr>
        <w:tab/>
        <w:t>Proceedings under s. 77, effect on or of other proceedings</w:t>
      </w:r>
      <w:r>
        <w:tab/>
      </w:r>
      <w:r>
        <w:fldChar w:fldCharType="begin"/>
      </w:r>
      <w:r>
        <w:instrText xml:space="preserve"> PAGEREF _Toc98769996 \h </w:instrText>
      </w:r>
      <w:r>
        <w:fldChar w:fldCharType="separate"/>
      </w:r>
      <w:r>
        <w:t>160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Disqualification from office for breach of s. 74 duty</w:t>
      </w:r>
      <w:r>
        <w:tab/>
      </w:r>
      <w:r>
        <w:fldChar w:fldCharType="begin"/>
      </w:r>
      <w:r>
        <w:instrText xml:space="preserve"> PAGEREF _Toc98769997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IIA — Constituent authorities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service arbitrator and appeal boards</w:t>
      </w:r>
    </w:p>
    <w:p>
      <w:pPr>
        <w:pStyle w:val="TOC8"/>
        <w:rPr>
          <w:rFonts w:asciiTheme="minorHAnsi" w:eastAsiaTheme="minorEastAsia" w:hAnsiTheme="minorHAnsi" w:cstheme="minorBidi"/>
          <w:szCs w:val="22"/>
        </w:rPr>
      </w:pPr>
      <w:r>
        <w:t>80C</w:t>
      </w:r>
      <w:r>
        <w:rPr>
          <w:snapToGrid w:val="0"/>
        </w:rPr>
        <w:t>.</w:t>
      </w:r>
      <w:r>
        <w:rPr>
          <w:snapToGrid w:val="0"/>
        </w:rPr>
        <w:tab/>
        <w:t>Terms used and construction and application of Division</w:t>
      </w:r>
      <w:r>
        <w:tab/>
      </w:r>
      <w:r>
        <w:fldChar w:fldCharType="begin"/>
      </w:r>
      <w:r>
        <w:instrText xml:space="preserve"> PAGEREF _Toc98770000 \h </w:instrText>
      </w:r>
      <w:r>
        <w:fldChar w:fldCharType="separate"/>
      </w:r>
      <w:r>
        <w:t>163</w:t>
      </w:r>
      <w:r>
        <w:fldChar w:fldCharType="end"/>
      </w:r>
    </w:p>
    <w:p>
      <w:pPr>
        <w:pStyle w:val="TOC8"/>
        <w:rPr>
          <w:rFonts w:asciiTheme="minorHAnsi" w:eastAsiaTheme="minorEastAsia" w:hAnsiTheme="minorHAnsi" w:cstheme="minorBidi"/>
          <w:szCs w:val="22"/>
        </w:rPr>
      </w:pPr>
      <w:r>
        <w:t>80D</w:t>
      </w:r>
      <w:r>
        <w:rPr>
          <w:snapToGrid w:val="0"/>
        </w:rPr>
        <w:t>.</w:t>
      </w:r>
      <w:r>
        <w:rPr>
          <w:snapToGrid w:val="0"/>
        </w:rPr>
        <w:tab/>
        <w:t>Public service arbitrators, appointment of etc.</w:t>
      </w:r>
      <w:r>
        <w:tab/>
      </w:r>
      <w:r>
        <w:fldChar w:fldCharType="begin"/>
      </w:r>
      <w:r>
        <w:instrText xml:space="preserve"> PAGEREF _Toc98770001 \h </w:instrText>
      </w:r>
      <w:r>
        <w:fldChar w:fldCharType="separate"/>
      </w:r>
      <w:r>
        <w:t>166</w:t>
      </w:r>
      <w:r>
        <w:fldChar w:fldCharType="end"/>
      </w:r>
    </w:p>
    <w:p>
      <w:pPr>
        <w:pStyle w:val="TOC8"/>
        <w:rPr>
          <w:rFonts w:asciiTheme="minorHAnsi" w:eastAsiaTheme="minorEastAsia" w:hAnsiTheme="minorHAnsi" w:cstheme="minorBidi"/>
          <w:szCs w:val="22"/>
        </w:rPr>
      </w:pPr>
      <w:r>
        <w:t>80E</w:t>
      </w:r>
      <w:r>
        <w:rPr>
          <w:snapToGrid w:val="0"/>
        </w:rPr>
        <w:t xml:space="preserve">. </w:t>
      </w:r>
      <w:r>
        <w:rPr>
          <w:snapToGrid w:val="0"/>
        </w:rPr>
        <w:tab/>
        <w:t>Jurisdiction of Arbitrator</w:t>
      </w:r>
      <w:r>
        <w:tab/>
      </w:r>
      <w:r>
        <w:fldChar w:fldCharType="begin"/>
      </w:r>
      <w:r>
        <w:instrText xml:space="preserve"> PAGEREF _Toc98770002 \h </w:instrText>
      </w:r>
      <w:r>
        <w:fldChar w:fldCharType="separate"/>
      </w:r>
      <w:r>
        <w:t>166</w:t>
      </w:r>
      <w:r>
        <w:fldChar w:fldCharType="end"/>
      </w:r>
    </w:p>
    <w:p>
      <w:pPr>
        <w:pStyle w:val="TOC8"/>
        <w:rPr>
          <w:rFonts w:asciiTheme="minorHAnsi" w:eastAsiaTheme="minorEastAsia" w:hAnsiTheme="minorHAnsi" w:cstheme="minorBidi"/>
          <w:szCs w:val="22"/>
        </w:rPr>
      </w:pPr>
      <w:r>
        <w:t>80F</w:t>
      </w:r>
      <w:r>
        <w:rPr>
          <w:snapToGrid w:val="0"/>
        </w:rPr>
        <w:t>.</w:t>
      </w:r>
      <w:r>
        <w:rPr>
          <w:snapToGrid w:val="0"/>
        </w:rPr>
        <w:tab/>
        <w:t>Who may refer matters to Arbitrator</w:t>
      </w:r>
      <w:r>
        <w:tab/>
      </w:r>
      <w:r>
        <w:fldChar w:fldCharType="begin"/>
      </w:r>
      <w:r>
        <w:instrText xml:space="preserve"> PAGEREF _Toc98770003 \h </w:instrText>
      </w:r>
      <w:r>
        <w:fldChar w:fldCharType="separate"/>
      </w:r>
      <w:r>
        <w:t>168</w:t>
      </w:r>
      <w:r>
        <w:fldChar w:fldCharType="end"/>
      </w:r>
    </w:p>
    <w:p>
      <w:pPr>
        <w:pStyle w:val="TOC8"/>
        <w:rPr>
          <w:rFonts w:asciiTheme="minorHAnsi" w:eastAsiaTheme="minorEastAsia" w:hAnsiTheme="minorHAnsi" w:cstheme="minorBidi"/>
          <w:szCs w:val="22"/>
        </w:rPr>
      </w:pPr>
      <w:r>
        <w:t>80G</w:t>
      </w:r>
      <w:r>
        <w:rPr>
          <w:snapToGrid w:val="0"/>
        </w:rPr>
        <w:t xml:space="preserve">. </w:t>
      </w:r>
      <w:r>
        <w:rPr>
          <w:snapToGrid w:val="0"/>
        </w:rPr>
        <w:tab/>
        <w:t>Part II Div. 2 to 2G, application of</w:t>
      </w:r>
      <w:r>
        <w:tab/>
      </w:r>
      <w:r>
        <w:fldChar w:fldCharType="begin"/>
      </w:r>
      <w:r>
        <w:instrText xml:space="preserve"> PAGEREF _Toc98770004 \h </w:instrText>
      </w:r>
      <w:r>
        <w:fldChar w:fldCharType="separate"/>
      </w:r>
      <w:r>
        <w:t>169</w:t>
      </w:r>
      <w:r>
        <w:fldChar w:fldCharType="end"/>
      </w:r>
    </w:p>
    <w:p>
      <w:pPr>
        <w:pStyle w:val="TOC8"/>
        <w:rPr>
          <w:rFonts w:asciiTheme="minorHAnsi" w:eastAsiaTheme="minorEastAsia" w:hAnsiTheme="minorHAnsi" w:cstheme="minorBidi"/>
          <w:szCs w:val="22"/>
        </w:rPr>
      </w:pPr>
      <w:r>
        <w:t>80H</w:t>
      </w:r>
      <w:r>
        <w:rPr>
          <w:snapToGrid w:val="0"/>
        </w:rPr>
        <w:t>.</w:t>
      </w:r>
      <w:r>
        <w:rPr>
          <w:snapToGrid w:val="0"/>
        </w:rPr>
        <w:tab/>
        <w:t>Public Service Appeal Board, members of etc.</w:t>
      </w:r>
      <w:r>
        <w:tab/>
      </w:r>
      <w:r>
        <w:fldChar w:fldCharType="begin"/>
      </w:r>
      <w:r>
        <w:instrText xml:space="preserve"> PAGEREF _Toc98770005 \h </w:instrText>
      </w:r>
      <w:r>
        <w:fldChar w:fldCharType="separate"/>
      </w:r>
      <w:r>
        <w:t>169</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Board’s jurisdiction</w:t>
      </w:r>
      <w:r>
        <w:tab/>
      </w:r>
      <w:r>
        <w:fldChar w:fldCharType="begin"/>
      </w:r>
      <w:r>
        <w:instrText xml:space="preserve"> PAGEREF _Toc98770006 \h </w:instrText>
      </w:r>
      <w:r>
        <w:fldChar w:fldCharType="separate"/>
      </w:r>
      <w:r>
        <w:t>170</w:t>
      </w:r>
      <w:r>
        <w:fldChar w:fldCharType="end"/>
      </w:r>
    </w:p>
    <w:p>
      <w:pPr>
        <w:pStyle w:val="TOC8"/>
        <w:rPr>
          <w:rFonts w:asciiTheme="minorHAnsi" w:eastAsiaTheme="minorEastAsia" w:hAnsiTheme="minorHAnsi" w:cstheme="minorBidi"/>
          <w:szCs w:val="22"/>
        </w:rPr>
      </w:pPr>
      <w:r>
        <w:t>80J</w:t>
      </w:r>
      <w:r>
        <w:rPr>
          <w:snapToGrid w:val="0"/>
        </w:rPr>
        <w:t>.</w:t>
      </w:r>
      <w:r>
        <w:rPr>
          <w:snapToGrid w:val="0"/>
        </w:rPr>
        <w:tab/>
        <w:t>Institution of appeals under s. 80I</w:t>
      </w:r>
      <w:r>
        <w:tab/>
      </w:r>
      <w:r>
        <w:fldChar w:fldCharType="begin"/>
      </w:r>
      <w:r>
        <w:instrText xml:space="preserve"> PAGEREF _Toc98770007 \h </w:instrText>
      </w:r>
      <w:r>
        <w:fldChar w:fldCharType="separate"/>
      </w:r>
      <w:r>
        <w:t>171</w:t>
      </w:r>
      <w:r>
        <w:fldChar w:fldCharType="end"/>
      </w:r>
    </w:p>
    <w:p>
      <w:pPr>
        <w:pStyle w:val="TOC8"/>
        <w:rPr>
          <w:rFonts w:asciiTheme="minorHAnsi" w:eastAsiaTheme="minorEastAsia" w:hAnsiTheme="minorHAnsi" w:cstheme="minorBidi"/>
          <w:szCs w:val="22"/>
        </w:rPr>
      </w:pPr>
      <w:r>
        <w:t>80K</w:t>
      </w:r>
      <w:r>
        <w:rPr>
          <w:snapToGrid w:val="0"/>
        </w:rPr>
        <w:t>.</w:t>
      </w:r>
      <w:r>
        <w:rPr>
          <w:snapToGrid w:val="0"/>
        </w:rPr>
        <w:tab/>
        <w:t>Proceedings of Board</w:t>
      </w:r>
      <w:r>
        <w:tab/>
      </w:r>
      <w:r>
        <w:fldChar w:fldCharType="begin"/>
      </w:r>
      <w:r>
        <w:instrText xml:space="preserve"> PAGEREF _Toc98770008 \h </w:instrText>
      </w:r>
      <w:r>
        <w:fldChar w:fldCharType="separate"/>
      </w:r>
      <w:r>
        <w:t>172</w:t>
      </w:r>
      <w:r>
        <w:fldChar w:fldCharType="end"/>
      </w:r>
    </w:p>
    <w:p>
      <w:pPr>
        <w:pStyle w:val="TOC8"/>
        <w:rPr>
          <w:rFonts w:asciiTheme="minorHAnsi" w:eastAsiaTheme="minorEastAsia" w:hAnsiTheme="minorHAnsi" w:cstheme="minorBidi"/>
          <w:szCs w:val="22"/>
        </w:rPr>
      </w:pPr>
      <w:r>
        <w:t>80L</w:t>
      </w:r>
      <w:r>
        <w:rPr>
          <w:snapToGrid w:val="0"/>
        </w:rPr>
        <w:t>.</w:t>
      </w:r>
      <w:r>
        <w:rPr>
          <w:snapToGrid w:val="0"/>
        </w:rPr>
        <w:tab/>
        <w:t>Certain provisions of Part II Div. 2 apply</w:t>
      </w:r>
      <w:r>
        <w:tab/>
      </w:r>
      <w:r>
        <w:fldChar w:fldCharType="begin"/>
      </w:r>
      <w:r>
        <w:instrText xml:space="preserve"> PAGEREF _Toc98770009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Railways Classification Board</w:t>
      </w:r>
    </w:p>
    <w:p>
      <w:pPr>
        <w:pStyle w:val="TOC8"/>
        <w:rPr>
          <w:rFonts w:asciiTheme="minorHAnsi" w:eastAsiaTheme="minorEastAsia" w:hAnsiTheme="minorHAnsi" w:cstheme="minorBidi"/>
          <w:szCs w:val="22"/>
        </w:rPr>
      </w:pPr>
      <w:r>
        <w:t>80M</w:t>
      </w:r>
      <w:r>
        <w:rPr>
          <w:snapToGrid w:val="0"/>
        </w:rPr>
        <w:t xml:space="preserve">. </w:t>
      </w:r>
      <w:r>
        <w:rPr>
          <w:snapToGrid w:val="0"/>
        </w:rPr>
        <w:tab/>
        <w:t>Terms used</w:t>
      </w:r>
      <w:r>
        <w:tab/>
      </w:r>
      <w:r>
        <w:fldChar w:fldCharType="begin"/>
      </w:r>
      <w:r>
        <w:instrText xml:space="preserve"> PAGEREF _Toc98770011 \h </w:instrText>
      </w:r>
      <w:r>
        <w:fldChar w:fldCharType="separate"/>
      </w:r>
      <w:r>
        <w:t>173</w:t>
      </w:r>
      <w:r>
        <w:fldChar w:fldCharType="end"/>
      </w:r>
    </w:p>
    <w:p>
      <w:pPr>
        <w:pStyle w:val="TOC8"/>
        <w:rPr>
          <w:rFonts w:asciiTheme="minorHAnsi" w:eastAsiaTheme="minorEastAsia" w:hAnsiTheme="minorHAnsi" w:cstheme="minorBidi"/>
          <w:szCs w:val="22"/>
        </w:rPr>
      </w:pPr>
      <w:r>
        <w:t>80N</w:t>
      </w:r>
      <w:r>
        <w:rPr>
          <w:snapToGrid w:val="0"/>
        </w:rPr>
        <w:t>.</w:t>
      </w:r>
      <w:r>
        <w:rPr>
          <w:snapToGrid w:val="0"/>
        </w:rPr>
        <w:tab/>
        <w:t>Railways Classification Board, members of etc.</w:t>
      </w:r>
      <w:r>
        <w:tab/>
      </w:r>
      <w:r>
        <w:fldChar w:fldCharType="begin"/>
      </w:r>
      <w:r>
        <w:instrText xml:space="preserve"> PAGEREF _Toc98770012 \h </w:instrText>
      </w:r>
      <w:r>
        <w:fldChar w:fldCharType="separate"/>
      </w:r>
      <w:r>
        <w:t>174</w:t>
      </w:r>
      <w:r>
        <w:fldChar w:fldCharType="end"/>
      </w:r>
    </w:p>
    <w:p>
      <w:pPr>
        <w:pStyle w:val="TOC8"/>
        <w:rPr>
          <w:rFonts w:asciiTheme="minorHAnsi" w:eastAsiaTheme="minorEastAsia" w:hAnsiTheme="minorHAnsi" w:cstheme="minorBidi"/>
          <w:szCs w:val="22"/>
        </w:rPr>
      </w:pPr>
      <w:r>
        <w:t>80O</w:t>
      </w:r>
      <w:r>
        <w:rPr>
          <w:snapToGrid w:val="0"/>
        </w:rPr>
        <w:t>.</w:t>
      </w:r>
      <w:r>
        <w:rPr>
          <w:snapToGrid w:val="0"/>
        </w:rPr>
        <w:tab/>
        <w:t>Terms of office etc.</w:t>
      </w:r>
      <w:r>
        <w:tab/>
      </w:r>
      <w:r>
        <w:fldChar w:fldCharType="begin"/>
      </w:r>
      <w:r>
        <w:instrText xml:space="preserve"> PAGEREF _Toc98770013 \h </w:instrText>
      </w:r>
      <w:r>
        <w:fldChar w:fldCharType="separate"/>
      </w:r>
      <w:r>
        <w:t>176</w:t>
      </w:r>
      <w:r>
        <w:fldChar w:fldCharType="end"/>
      </w:r>
    </w:p>
    <w:p>
      <w:pPr>
        <w:pStyle w:val="TOC8"/>
        <w:rPr>
          <w:rFonts w:asciiTheme="minorHAnsi" w:eastAsiaTheme="minorEastAsia" w:hAnsiTheme="minorHAnsi" w:cstheme="minorBidi"/>
          <w:szCs w:val="22"/>
        </w:rPr>
      </w:pPr>
      <w:r>
        <w:t>80P</w:t>
      </w:r>
      <w:r>
        <w:rPr>
          <w:snapToGrid w:val="0"/>
        </w:rPr>
        <w:t>.</w:t>
      </w:r>
      <w:r>
        <w:rPr>
          <w:snapToGrid w:val="0"/>
        </w:rPr>
        <w:tab/>
        <w:t>Extending appointments</w:t>
      </w:r>
      <w:r>
        <w:tab/>
      </w:r>
      <w:r>
        <w:fldChar w:fldCharType="begin"/>
      </w:r>
      <w:r>
        <w:instrText xml:space="preserve"> PAGEREF _Toc98770014 \h </w:instrText>
      </w:r>
      <w:r>
        <w:fldChar w:fldCharType="separate"/>
      </w:r>
      <w:r>
        <w:t>177</w:t>
      </w:r>
      <w:r>
        <w:fldChar w:fldCharType="end"/>
      </w:r>
    </w:p>
    <w:p>
      <w:pPr>
        <w:pStyle w:val="TOC8"/>
        <w:rPr>
          <w:rFonts w:asciiTheme="minorHAnsi" w:eastAsiaTheme="minorEastAsia" w:hAnsiTheme="minorHAnsi" w:cstheme="minorBidi"/>
          <w:szCs w:val="22"/>
        </w:rPr>
      </w:pPr>
      <w:r>
        <w:t>80Q</w:t>
      </w:r>
      <w:r>
        <w:rPr>
          <w:snapToGrid w:val="0"/>
        </w:rPr>
        <w:t xml:space="preserve">. </w:t>
      </w:r>
      <w:r>
        <w:rPr>
          <w:snapToGrid w:val="0"/>
        </w:rPr>
        <w:tab/>
        <w:t>Validity of acts of Board</w:t>
      </w:r>
      <w:r>
        <w:tab/>
      </w:r>
      <w:r>
        <w:fldChar w:fldCharType="begin"/>
      </w:r>
      <w:r>
        <w:instrText xml:space="preserve"> PAGEREF _Toc98770015 \h </w:instrText>
      </w:r>
      <w:r>
        <w:fldChar w:fldCharType="separate"/>
      </w:r>
      <w:r>
        <w:t>178</w:t>
      </w:r>
      <w:r>
        <w:fldChar w:fldCharType="end"/>
      </w:r>
    </w:p>
    <w:p>
      <w:pPr>
        <w:pStyle w:val="TOC8"/>
        <w:rPr>
          <w:rFonts w:asciiTheme="minorHAnsi" w:eastAsiaTheme="minorEastAsia" w:hAnsiTheme="minorHAnsi" w:cstheme="minorBidi"/>
          <w:szCs w:val="22"/>
        </w:rPr>
      </w:pPr>
      <w:r>
        <w:t>80R</w:t>
      </w:r>
      <w:r>
        <w:rPr>
          <w:snapToGrid w:val="0"/>
        </w:rPr>
        <w:t>.</w:t>
      </w:r>
      <w:r>
        <w:rPr>
          <w:snapToGrid w:val="0"/>
        </w:rPr>
        <w:tab/>
        <w:t>Board’s jurisdiction</w:t>
      </w:r>
      <w:r>
        <w:tab/>
      </w:r>
      <w:r>
        <w:fldChar w:fldCharType="begin"/>
      </w:r>
      <w:r>
        <w:instrText xml:space="preserve"> PAGEREF _Toc98770016 \h </w:instrText>
      </w:r>
      <w:r>
        <w:fldChar w:fldCharType="separate"/>
      </w:r>
      <w:r>
        <w:t>178</w:t>
      </w:r>
      <w:r>
        <w:fldChar w:fldCharType="end"/>
      </w:r>
    </w:p>
    <w:p>
      <w:pPr>
        <w:pStyle w:val="TOC8"/>
        <w:rPr>
          <w:rFonts w:asciiTheme="minorHAnsi" w:eastAsiaTheme="minorEastAsia" w:hAnsiTheme="minorHAnsi" w:cstheme="minorBidi"/>
          <w:szCs w:val="22"/>
        </w:rPr>
      </w:pPr>
      <w:r>
        <w:t>80S</w:t>
      </w:r>
      <w:r>
        <w:rPr>
          <w:snapToGrid w:val="0"/>
        </w:rPr>
        <w:t>.</w:t>
      </w:r>
      <w:r>
        <w:rPr>
          <w:snapToGrid w:val="0"/>
        </w:rPr>
        <w:tab/>
        <w:t>Who may refer matters to Board</w:t>
      </w:r>
      <w:r>
        <w:tab/>
      </w:r>
      <w:r>
        <w:fldChar w:fldCharType="begin"/>
      </w:r>
      <w:r>
        <w:instrText xml:space="preserve"> PAGEREF _Toc98770017 \h </w:instrText>
      </w:r>
      <w:r>
        <w:fldChar w:fldCharType="separate"/>
      </w:r>
      <w:r>
        <w:t>181</w:t>
      </w:r>
      <w:r>
        <w:fldChar w:fldCharType="end"/>
      </w:r>
    </w:p>
    <w:p>
      <w:pPr>
        <w:pStyle w:val="TOC8"/>
        <w:rPr>
          <w:rFonts w:asciiTheme="minorHAnsi" w:eastAsiaTheme="minorEastAsia" w:hAnsiTheme="minorHAnsi" w:cstheme="minorBidi"/>
          <w:szCs w:val="22"/>
        </w:rPr>
      </w:pPr>
      <w:r>
        <w:t>80U</w:t>
      </w:r>
      <w:r>
        <w:rPr>
          <w:snapToGrid w:val="0"/>
        </w:rPr>
        <w:t>.</w:t>
      </w:r>
      <w:r>
        <w:rPr>
          <w:snapToGrid w:val="0"/>
        </w:rPr>
        <w:tab/>
        <w:t>Vacant salaried position, reclassification of</w:t>
      </w:r>
      <w:r>
        <w:tab/>
      </w:r>
      <w:r>
        <w:fldChar w:fldCharType="begin"/>
      </w:r>
      <w:r>
        <w:instrText xml:space="preserve"> PAGEREF _Toc98770018 \h </w:instrText>
      </w:r>
      <w:r>
        <w:fldChar w:fldCharType="separate"/>
      </w:r>
      <w:r>
        <w:t>181</w:t>
      </w:r>
      <w:r>
        <w:fldChar w:fldCharType="end"/>
      </w:r>
    </w:p>
    <w:p>
      <w:pPr>
        <w:pStyle w:val="TOC8"/>
        <w:rPr>
          <w:rFonts w:asciiTheme="minorHAnsi" w:eastAsiaTheme="minorEastAsia" w:hAnsiTheme="minorHAnsi" w:cstheme="minorBidi"/>
          <w:szCs w:val="22"/>
        </w:rPr>
      </w:pPr>
      <w:r>
        <w:t>80V</w:t>
      </w:r>
      <w:r>
        <w:rPr>
          <w:snapToGrid w:val="0"/>
        </w:rPr>
        <w:t xml:space="preserve">. </w:t>
      </w:r>
      <w:r>
        <w:rPr>
          <w:snapToGrid w:val="0"/>
        </w:rPr>
        <w:tab/>
        <w:t>Proceedings of Board</w:t>
      </w:r>
      <w:r>
        <w:tab/>
      </w:r>
      <w:r>
        <w:fldChar w:fldCharType="begin"/>
      </w:r>
      <w:r>
        <w:instrText xml:space="preserve"> PAGEREF _Toc98770019 \h </w:instrText>
      </w:r>
      <w:r>
        <w:fldChar w:fldCharType="separate"/>
      </w:r>
      <w:r>
        <w:t>182</w:t>
      </w:r>
      <w:r>
        <w:fldChar w:fldCharType="end"/>
      </w:r>
    </w:p>
    <w:p>
      <w:pPr>
        <w:pStyle w:val="TOC8"/>
        <w:rPr>
          <w:rFonts w:asciiTheme="minorHAnsi" w:eastAsiaTheme="minorEastAsia" w:hAnsiTheme="minorHAnsi" w:cstheme="minorBidi"/>
          <w:szCs w:val="22"/>
        </w:rPr>
      </w:pPr>
      <w:r>
        <w:t>80W</w:t>
      </w:r>
      <w:r>
        <w:rPr>
          <w:snapToGrid w:val="0"/>
        </w:rPr>
        <w:t>.</w:t>
      </w:r>
      <w:r>
        <w:rPr>
          <w:snapToGrid w:val="0"/>
        </w:rPr>
        <w:tab/>
        <w:t>Part II Div. 2 to 2G, application of</w:t>
      </w:r>
      <w:r>
        <w:tab/>
      </w:r>
      <w:r>
        <w:fldChar w:fldCharType="begin"/>
      </w:r>
      <w:r>
        <w:instrText xml:space="preserve"> PAGEREF _Toc98770020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IIB — Enquiries</w:t>
      </w:r>
    </w:p>
    <w:p>
      <w:pPr>
        <w:pStyle w:val="TOC8"/>
        <w:rPr>
          <w:rFonts w:asciiTheme="minorHAnsi" w:eastAsiaTheme="minorEastAsia" w:hAnsiTheme="minorHAnsi" w:cstheme="minorBidi"/>
          <w:szCs w:val="22"/>
        </w:rPr>
      </w:pPr>
      <w:r>
        <w:t>80ZE</w:t>
      </w:r>
      <w:r>
        <w:rPr>
          <w:snapToGrid w:val="0"/>
        </w:rPr>
        <w:t>.</w:t>
      </w:r>
      <w:r>
        <w:rPr>
          <w:snapToGrid w:val="0"/>
        </w:rPr>
        <w:tab/>
        <w:t>Minister may refer matter to Commission for enquiry</w:t>
      </w:r>
      <w:r>
        <w:tab/>
      </w:r>
      <w:r>
        <w:fldChar w:fldCharType="begin"/>
      </w:r>
      <w:r>
        <w:instrText xml:space="preserve"> PAGEREF _Toc98770022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IIC — Arrangements with other industrial authorities</w:t>
      </w:r>
    </w:p>
    <w:p>
      <w:pPr>
        <w:pStyle w:val="TOC8"/>
        <w:rPr>
          <w:rFonts w:asciiTheme="minorHAnsi" w:eastAsiaTheme="minorEastAsia" w:hAnsiTheme="minorHAnsi" w:cstheme="minorBidi"/>
          <w:szCs w:val="22"/>
        </w:rPr>
      </w:pPr>
      <w:r>
        <w:t>80ZF.</w:t>
      </w:r>
      <w:r>
        <w:tab/>
        <w:t>Term used: Fair Work Commission</w:t>
      </w:r>
      <w:r>
        <w:tab/>
      </w:r>
      <w:r>
        <w:fldChar w:fldCharType="begin"/>
      </w:r>
      <w:r>
        <w:instrText xml:space="preserve"> PAGEREF _Toc98770024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80ZG</w:t>
      </w:r>
      <w:r>
        <w:rPr>
          <w:snapToGrid w:val="0"/>
        </w:rPr>
        <w:t>.</w:t>
      </w:r>
      <w:r>
        <w:rPr>
          <w:snapToGrid w:val="0"/>
        </w:rPr>
        <w:tab/>
        <w:t>Joint proceedings of Commission and Fair Work Commission</w:t>
      </w:r>
      <w:r>
        <w:tab/>
      </w:r>
      <w:r>
        <w:fldChar w:fldCharType="begin"/>
      </w:r>
      <w:r>
        <w:instrText xml:space="preserve"> PAGEREF _Toc98770025 \h </w:instrText>
      </w:r>
      <w:r>
        <w:fldChar w:fldCharType="separate"/>
      </w:r>
      <w:r>
        <w:t>185</w:t>
      </w:r>
      <w:r>
        <w:fldChar w:fldCharType="end"/>
      </w:r>
    </w:p>
    <w:p>
      <w:pPr>
        <w:pStyle w:val="TOC8"/>
        <w:rPr>
          <w:rFonts w:asciiTheme="minorHAnsi" w:eastAsiaTheme="minorEastAsia" w:hAnsiTheme="minorHAnsi" w:cstheme="minorBidi"/>
          <w:szCs w:val="22"/>
        </w:rPr>
      </w:pPr>
      <w:r>
        <w:t>80ZH</w:t>
      </w:r>
      <w:r>
        <w:rPr>
          <w:snapToGrid w:val="0"/>
        </w:rPr>
        <w:t>.</w:t>
      </w:r>
      <w:r>
        <w:rPr>
          <w:snapToGrid w:val="0"/>
        </w:rPr>
        <w:tab/>
      </w:r>
      <w:r>
        <w:t>Referring matters to Fair Work Commission for determination under this Act</w:t>
      </w:r>
      <w:r>
        <w:tab/>
      </w:r>
      <w:r>
        <w:fldChar w:fldCharType="begin"/>
      </w:r>
      <w:r>
        <w:instrText xml:space="preserve"> PAGEREF _Toc98770026 \h </w:instrText>
      </w:r>
      <w:r>
        <w:fldChar w:fldCharType="separate"/>
      </w:r>
      <w:r>
        <w:t>186</w:t>
      </w:r>
      <w:r>
        <w:fldChar w:fldCharType="end"/>
      </w:r>
    </w:p>
    <w:p>
      <w:pPr>
        <w:pStyle w:val="TOC8"/>
        <w:rPr>
          <w:rFonts w:asciiTheme="minorHAnsi" w:eastAsiaTheme="minorEastAsia" w:hAnsiTheme="minorHAnsi" w:cstheme="minorBidi"/>
          <w:szCs w:val="22"/>
        </w:rPr>
      </w:pPr>
      <w:r>
        <w:t>80ZI</w:t>
      </w:r>
      <w:r>
        <w:rPr>
          <w:snapToGrid w:val="0"/>
        </w:rPr>
        <w:t>.</w:t>
      </w:r>
      <w:r>
        <w:rPr>
          <w:snapToGrid w:val="0"/>
        </w:rPr>
        <w:tab/>
        <w:t>Conferences with other industrial authorities</w:t>
      </w:r>
      <w:r>
        <w:tab/>
      </w:r>
      <w:r>
        <w:fldChar w:fldCharType="begin"/>
      </w:r>
      <w:r>
        <w:instrText xml:space="preserve"> PAGEREF _Toc98770027 \h </w:instrText>
      </w:r>
      <w:r>
        <w:fldChar w:fldCharType="separate"/>
      </w:r>
      <w:r>
        <w:t>187</w:t>
      </w:r>
      <w:r>
        <w:fldChar w:fldCharType="end"/>
      </w:r>
    </w:p>
    <w:p>
      <w:pPr>
        <w:pStyle w:val="TOC8"/>
        <w:rPr>
          <w:rFonts w:asciiTheme="minorHAnsi" w:eastAsiaTheme="minorEastAsia" w:hAnsiTheme="minorHAnsi" w:cstheme="minorBidi"/>
          <w:szCs w:val="22"/>
        </w:rPr>
      </w:pPr>
      <w:r>
        <w:t>80ZJ</w:t>
      </w:r>
      <w:r>
        <w:rPr>
          <w:snapToGrid w:val="0"/>
        </w:rPr>
        <w:t>.</w:t>
      </w:r>
      <w:r>
        <w:rPr>
          <w:snapToGrid w:val="0"/>
        </w:rPr>
        <w:tab/>
      </w:r>
      <w:r>
        <w:t xml:space="preserve">Commission may exercise powers conferred by </w:t>
      </w:r>
      <w:r>
        <w:rPr>
          <w:i/>
        </w:rPr>
        <w:t>Fair Work Act 2009</w:t>
      </w:r>
      <w:r>
        <w:t xml:space="preserve"> (Cwlth) etc.</w:t>
      </w:r>
      <w:r>
        <w:tab/>
      </w:r>
      <w:r>
        <w:fldChar w:fldCharType="begin"/>
      </w:r>
      <w:r>
        <w:instrText xml:space="preserve"> PAGEREF _Toc98770028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 of Act, awards, industrial agreements and orders</w:t>
      </w:r>
    </w:p>
    <w:p>
      <w:pPr>
        <w:pStyle w:val="TOC8"/>
        <w:rPr>
          <w:rFonts w:asciiTheme="minorHAnsi" w:eastAsiaTheme="minorEastAsia" w:hAnsiTheme="minorHAnsi" w:cstheme="minorBidi"/>
          <w:szCs w:val="22"/>
        </w:rPr>
      </w:pPr>
      <w:r>
        <w:t>81</w:t>
      </w:r>
      <w:r>
        <w:rPr>
          <w:snapToGrid w:val="0"/>
        </w:rPr>
        <w:t>.</w:t>
      </w:r>
      <w:r>
        <w:rPr>
          <w:snapToGrid w:val="0"/>
        </w:rPr>
        <w:tab/>
        <w:t>Industrial magistrate’s courts established</w:t>
      </w:r>
      <w:r>
        <w:tab/>
      </w:r>
      <w:r>
        <w:fldChar w:fldCharType="begin"/>
      </w:r>
      <w:r>
        <w:instrText xml:space="preserve"> PAGEREF _Toc98770030 \h </w:instrText>
      </w:r>
      <w:r>
        <w:fldChar w:fldCharType="separate"/>
      </w:r>
      <w:r>
        <w:t>189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Jurisdiction under this Act of industrial magistrate’s court</w:t>
      </w:r>
      <w:r>
        <w:tab/>
      </w:r>
      <w:r>
        <w:fldChar w:fldCharType="begin"/>
      </w:r>
      <w:r>
        <w:instrText xml:space="preserve"> PAGEREF _Toc98770031 \h </w:instrText>
      </w:r>
      <w:r>
        <w:fldChar w:fldCharType="separate"/>
      </w:r>
      <w:r>
        <w:t>189</w:t>
      </w:r>
      <w:r>
        <w:fldChar w:fldCharType="end"/>
      </w:r>
    </w:p>
    <w:p>
      <w:pPr>
        <w:pStyle w:val="TOC8"/>
        <w:rPr>
          <w:rFonts w:asciiTheme="minorHAnsi" w:eastAsiaTheme="minorEastAsia" w:hAnsiTheme="minorHAnsi" w:cstheme="minorBidi"/>
          <w:szCs w:val="22"/>
        </w:rPr>
      </w:pPr>
      <w:r>
        <w:t>81AA</w:t>
      </w:r>
      <w:r>
        <w:rPr>
          <w:snapToGrid w:val="0"/>
        </w:rPr>
        <w:t>.</w:t>
      </w:r>
      <w:r>
        <w:rPr>
          <w:snapToGrid w:val="0"/>
        </w:rPr>
        <w:tab/>
        <w:t>Jurisdiction under other Acts of industrial magistrate’s court</w:t>
      </w:r>
      <w:r>
        <w:tab/>
      </w:r>
      <w:r>
        <w:fldChar w:fldCharType="begin"/>
      </w:r>
      <w:r>
        <w:instrText xml:space="preserve"> PAGEREF _Toc98770032 \h </w:instrText>
      </w:r>
      <w:r>
        <w:fldChar w:fldCharType="separate"/>
      </w:r>
      <w:r>
        <w:t>189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Industrial magistrate’s courts, constitution of</w:t>
      </w:r>
      <w:r>
        <w:tab/>
      </w:r>
      <w:r>
        <w:fldChar w:fldCharType="begin"/>
      </w:r>
      <w:r>
        <w:instrText xml:space="preserve"> PAGEREF _Toc98770033 \h </w:instrText>
      </w:r>
      <w:r>
        <w:fldChar w:fldCharType="separate"/>
      </w:r>
      <w:r>
        <w:t>190</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Sittings of industrial magistrate’s courts</w:t>
      </w:r>
      <w:r>
        <w:tab/>
      </w:r>
      <w:r>
        <w:fldChar w:fldCharType="begin"/>
      </w:r>
      <w:r>
        <w:instrText xml:space="preserve"> PAGEREF _Toc98770034 \h </w:instrText>
      </w:r>
      <w:r>
        <w:fldChar w:fldCharType="separate"/>
      </w:r>
      <w:r>
        <w:t>191</w:t>
      </w:r>
      <w:r>
        <w:fldChar w:fldCharType="end"/>
      </w:r>
    </w:p>
    <w:p>
      <w:pPr>
        <w:pStyle w:val="TOC8"/>
        <w:rPr>
          <w:rFonts w:asciiTheme="minorHAnsi" w:eastAsiaTheme="minorEastAsia" w:hAnsiTheme="minorHAnsi" w:cstheme="minorBidi"/>
          <w:szCs w:val="22"/>
        </w:rPr>
      </w:pPr>
      <w:r>
        <w:t>81CA</w:t>
      </w:r>
      <w:r>
        <w:rPr>
          <w:snapToGrid w:val="0"/>
        </w:rPr>
        <w:t>.</w:t>
      </w:r>
      <w:r>
        <w:rPr>
          <w:snapToGrid w:val="0"/>
        </w:rPr>
        <w:tab/>
        <w:t>Procedure etc. of industrial magistrate’s courts</w:t>
      </w:r>
      <w:r>
        <w:tab/>
      </w:r>
      <w:r>
        <w:fldChar w:fldCharType="begin"/>
      </w:r>
      <w:r>
        <w:instrText xml:space="preserve"> PAGEREF _Toc98770035 \h </w:instrText>
      </w:r>
      <w:r>
        <w:fldChar w:fldCharType="separate"/>
      </w:r>
      <w:r>
        <w:t>191</w:t>
      </w:r>
      <w:r>
        <w:fldChar w:fldCharType="end"/>
      </w:r>
    </w:p>
    <w:p>
      <w:pPr>
        <w:pStyle w:val="TOC8"/>
        <w:rPr>
          <w:rFonts w:asciiTheme="minorHAnsi" w:eastAsiaTheme="minorEastAsia" w:hAnsiTheme="minorHAnsi" w:cstheme="minorBidi"/>
          <w:szCs w:val="22"/>
        </w:rPr>
      </w:pPr>
      <w:r>
        <w:t>81CB.</w:t>
      </w:r>
      <w:r>
        <w:tab/>
        <w:t>Industrial magistrate’s court judgments, enforcement of</w:t>
      </w:r>
      <w:r>
        <w:tab/>
      </w:r>
      <w:r>
        <w:fldChar w:fldCharType="begin"/>
      </w:r>
      <w:r>
        <w:instrText xml:space="preserve"> PAGEREF _Toc98770036 \h </w:instrText>
      </w:r>
      <w:r>
        <w:fldChar w:fldCharType="separate"/>
      </w:r>
      <w:r>
        <w:t>193</w:t>
      </w:r>
      <w:r>
        <w:fldChar w:fldCharType="end"/>
      </w:r>
    </w:p>
    <w:p>
      <w:pPr>
        <w:pStyle w:val="TOC8"/>
        <w:rPr>
          <w:rFonts w:asciiTheme="minorHAnsi" w:eastAsiaTheme="minorEastAsia" w:hAnsiTheme="minorHAnsi" w:cstheme="minorBidi"/>
          <w:szCs w:val="22"/>
        </w:rPr>
      </w:pPr>
      <w:r>
        <w:t>81D</w:t>
      </w:r>
      <w:r>
        <w:rPr>
          <w:snapToGrid w:val="0"/>
        </w:rPr>
        <w:t xml:space="preserve">. </w:t>
      </w:r>
      <w:r>
        <w:rPr>
          <w:snapToGrid w:val="0"/>
        </w:rPr>
        <w:tab/>
        <w:t>Clerks of industrial magistrate’s courts</w:t>
      </w:r>
      <w:r>
        <w:tab/>
      </w:r>
      <w:r>
        <w:fldChar w:fldCharType="begin"/>
      </w:r>
      <w:r>
        <w:instrText xml:space="preserve"> PAGEREF _Toc98770037 \h </w:instrText>
      </w:r>
      <w:r>
        <w:fldChar w:fldCharType="separate"/>
      </w:r>
      <w:r>
        <w:t>193</w:t>
      </w:r>
      <w:r>
        <w:fldChar w:fldCharType="end"/>
      </w:r>
    </w:p>
    <w:p>
      <w:pPr>
        <w:pStyle w:val="TOC8"/>
        <w:rPr>
          <w:rFonts w:asciiTheme="minorHAnsi" w:eastAsiaTheme="minorEastAsia" w:hAnsiTheme="minorHAnsi" w:cstheme="minorBidi"/>
          <w:szCs w:val="22"/>
        </w:rPr>
      </w:pPr>
      <w:r>
        <w:t>81E.</w:t>
      </w:r>
      <w:r>
        <w:tab/>
        <w:t>Representation of parties in industrial magistrate’s court</w:t>
      </w:r>
      <w:r>
        <w:tab/>
      </w:r>
      <w:r>
        <w:fldChar w:fldCharType="begin"/>
      </w:r>
      <w:r>
        <w:instrText xml:space="preserve"> PAGEREF _Toc98770038 \h </w:instrText>
      </w:r>
      <w:r>
        <w:fldChar w:fldCharType="separate"/>
      </w:r>
      <w:r>
        <w:t>194</w:t>
      </w:r>
      <w:r>
        <w:fldChar w:fldCharType="end"/>
      </w:r>
    </w:p>
    <w:p>
      <w:pPr>
        <w:pStyle w:val="TOC8"/>
        <w:rPr>
          <w:rFonts w:asciiTheme="minorHAnsi" w:eastAsiaTheme="minorEastAsia" w:hAnsiTheme="minorHAnsi" w:cstheme="minorBidi"/>
          <w:szCs w:val="22"/>
        </w:rPr>
      </w:pPr>
      <w:r>
        <w:t>81F.</w:t>
      </w:r>
      <w:r>
        <w:tab/>
        <w:t>Industrial magistrate’s court records, access to</w:t>
      </w:r>
      <w:r>
        <w:tab/>
      </w:r>
      <w:r>
        <w:fldChar w:fldCharType="begin"/>
      </w:r>
      <w:r>
        <w:instrText xml:space="preserve"> PAGEREF _Toc98770039 \h </w:instrText>
      </w:r>
      <w:r>
        <w:fldChar w:fldCharType="separate"/>
      </w:r>
      <w:r>
        <w:t>194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Jurisdiction of Full Bench</w:t>
      </w:r>
      <w:r>
        <w:tab/>
      </w:r>
      <w:r>
        <w:fldChar w:fldCharType="begin"/>
      </w:r>
      <w:r>
        <w:instrText xml:space="preserve"> PAGEREF _Toc98770040 \h </w:instrText>
      </w:r>
      <w:r>
        <w:fldChar w:fldCharType="separate"/>
      </w:r>
      <w:r>
        <w:t>195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Time limit for certain applications</w:t>
      </w:r>
      <w:r>
        <w:tab/>
      </w:r>
      <w:r>
        <w:fldChar w:fldCharType="begin"/>
      </w:r>
      <w:r>
        <w:instrText xml:space="preserve"> PAGEREF _Toc98770041 \h </w:instrText>
      </w:r>
      <w:r>
        <w:fldChar w:fldCharType="separate"/>
      </w:r>
      <w:r>
        <w:t>196</w:t>
      </w:r>
      <w:r>
        <w:fldChar w:fldCharType="end"/>
      </w:r>
    </w:p>
    <w:p>
      <w:pPr>
        <w:pStyle w:val="TOC8"/>
        <w:rPr>
          <w:rFonts w:asciiTheme="minorHAnsi" w:eastAsiaTheme="minorEastAsia" w:hAnsiTheme="minorHAnsi" w:cstheme="minorBidi"/>
          <w:szCs w:val="22"/>
        </w:rPr>
      </w:pPr>
      <w:r>
        <w:t>83.</w:t>
      </w:r>
      <w:r>
        <w:tab/>
        <w:t>Enforcing awards etc.</w:t>
      </w:r>
      <w:r>
        <w:tab/>
      </w:r>
      <w:r>
        <w:fldChar w:fldCharType="begin"/>
      </w:r>
      <w:r>
        <w:instrText xml:space="preserve"> PAGEREF _Toc98770042 \h </w:instrText>
      </w:r>
      <w:r>
        <w:fldChar w:fldCharType="separate"/>
      </w:r>
      <w:r>
        <w:t>196</w:t>
      </w:r>
      <w:r>
        <w:fldChar w:fldCharType="end"/>
      </w:r>
    </w:p>
    <w:p>
      <w:pPr>
        <w:pStyle w:val="TOC8"/>
        <w:rPr>
          <w:rFonts w:asciiTheme="minorHAnsi" w:eastAsiaTheme="minorEastAsia" w:hAnsiTheme="minorHAnsi" w:cstheme="minorBidi"/>
          <w:szCs w:val="22"/>
        </w:rPr>
      </w:pPr>
      <w:r>
        <w:t>83A.</w:t>
      </w:r>
      <w:r>
        <w:tab/>
        <w:t>Underpayment of employee, orders to remedy</w:t>
      </w:r>
      <w:r>
        <w:tab/>
      </w:r>
      <w:r>
        <w:fldChar w:fldCharType="begin"/>
      </w:r>
      <w:r>
        <w:instrText xml:space="preserve"> PAGEREF _Toc98770043 \h </w:instrText>
      </w:r>
      <w:r>
        <w:fldChar w:fldCharType="separate"/>
      </w:r>
      <w:r>
        <w:t>198</w:t>
      </w:r>
      <w:r>
        <w:fldChar w:fldCharType="end"/>
      </w:r>
    </w:p>
    <w:p>
      <w:pPr>
        <w:pStyle w:val="TOC8"/>
        <w:rPr>
          <w:rFonts w:asciiTheme="minorHAnsi" w:eastAsiaTheme="minorEastAsia" w:hAnsiTheme="minorHAnsi" w:cstheme="minorBidi"/>
          <w:szCs w:val="22"/>
        </w:rPr>
      </w:pPr>
      <w:r>
        <w:t>83B.</w:t>
      </w:r>
      <w:r>
        <w:tab/>
        <w:t>Unfair dismissal, enforcing s. 23A order as to</w:t>
      </w:r>
      <w:r>
        <w:tab/>
      </w:r>
      <w:r>
        <w:fldChar w:fldCharType="begin"/>
      </w:r>
      <w:r>
        <w:instrText xml:space="preserve"> PAGEREF _Toc98770044 \h </w:instrText>
      </w:r>
      <w:r>
        <w:fldChar w:fldCharType="separate"/>
      </w:r>
      <w:r>
        <w:t>199</w:t>
      </w:r>
      <w:r>
        <w:fldChar w:fldCharType="end"/>
      </w:r>
    </w:p>
    <w:p>
      <w:pPr>
        <w:pStyle w:val="TOC8"/>
        <w:rPr>
          <w:rFonts w:asciiTheme="minorHAnsi" w:eastAsiaTheme="minorEastAsia" w:hAnsiTheme="minorHAnsi" w:cstheme="minorBidi"/>
          <w:szCs w:val="22"/>
        </w:rPr>
      </w:pPr>
      <w:r>
        <w:t>83C.</w:t>
      </w:r>
      <w:r>
        <w:tab/>
        <w:t>Costs of enforcement orders under s. 83, 83A and 83B</w:t>
      </w:r>
      <w:r>
        <w:tab/>
      </w:r>
      <w:r>
        <w:fldChar w:fldCharType="begin"/>
      </w:r>
      <w:r>
        <w:instrText xml:space="preserve"> PAGEREF _Toc98770045 \h </w:instrText>
      </w:r>
      <w:r>
        <w:fldChar w:fldCharType="separate"/>
      </w:r>
      <w:r>
        <w:t>202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Offences under this Act, jurisdiction as to</w:t>
      </w:r>
      <w:r>
        <w:tab/>
      </w:r>
      <w:r>
        <w:fldChar w:fldCharType="begin"/>
      </w:r>
      <w:r>
        <w:instrText xml:space="preserve"> PAGEREF _Toc98770046 \h </w:instrText>
      </w:r>
      <w:r>
        <w:fldChar w:fldCharType="separate"/>
      </w:r>
      <w:r>
        <w:t>202</w:t>
      </w:r>
      <w:r>
        <w:fldChar w:fldCharType="end"/>
      </w:r>
    </w:p>
    <w:p>
      <w:pPr>
        <w:pStyle w:val="TOC8"/>
        <w:rPr>
          <w:rFonts w:asciiTheme="minorHAnsi" w:eastAsiaTheme="minorEastAsia" w:hAnsiTheme="minorHAnsi" w:cstheme="minorBidi"/>
          <w:szCs w:val="22"/>
        </w:rPr>
      </w:pPr>
      <w:r>
        <w:t>83E.</w:t>
      </w:r>
      <w:r>
        <w:tab/>
        <w:t>Civil penalty provision, proceedings for contravening</w:t>
      </w:r>
      <w:r>
        <w:tab/>
      </w:r>
      <w:r>
        <w:fldChar w:fldCharType="begin"/>
      </w:r>
      <w:r>
        <w:instrText xml:space="preserve"> PAGEREF _Toc98770047 \h </w:instrText>
      </w:r>
      <w:r>
        <w:fldChar w:fldCharType="separate"/>
      </w:r>
      <w:r>
        <w:t>202</w:t>
      </w:r>
      <w:r>
        <w:fldChar w:fldCharType="end"/>
      </w:r>
    </w:p>
    <w:p>
      <w:pPr>
        <w:pStyle w:val="TOC8"/>
        <w:rPr>
          <w:rFonts w:asciiTheme="minorHAnsi" w:eastAsiaTheme="minorEastAsia" w:hAnsiTheme="minorHAnsi" w:cstheme="minorBidi"/>
          <w:szCs w:val="22"/>
        </w:rPr>
      </w:pPr>
      <w:r>
        <w:t>83F.</w:t>
      </w:r>
      <w:r>
        <w:tab/>
        <w:t>Costs and penalties, payment of</w:t>
      </w:r>
      <w:r>
        <w:tab/>
      </w:r>
      <w:r>
        <w:fldChar w:fldCharType="begin"/>
      </w:r>
      <w:r>
        <w:instrText xml:space="preserve"> PAGEREF _Toc98770048 \h </w:instrText>
      </w:r>
      <w:r>
        <w:fldChar w:fldCharType="separate"/>
      </w:r>
      <w:r>
        <w:t>205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Appeal from industrial magistrate’s court to Full Bench</w:t>
      </w:r>
      <w:r>
        <w:tab/>
      </w:r>
      <w:r>
        <w:fldChar w:fldCharType="begin"/>
      </w:r>
      <w:r>
        <w:instrText xml:space="preserve"> PAGEREF _Toc98770049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84A</w:t>
      </w:r>
      <w:r>
        <w:rPr>
          <w:snapToGrid w:val="0"/>
        </w:rPr>
        <w:t>.</w:t>
      </w:r>
      <w:r>
        <w:rPr>
          <w:snapToGrid w:val="0"/>
        </w:rPr>
        <w:tab/>
        <w:t>Certain contraventions of Act, enforcement of before Full Bench</w:t>
      </w:r>
      <w:r>
        <w:tab/>
      </w:r>
      <w:r>
        <w:fldChar w:fldCharType="begin"/>
      </w:r>
      <w:r>
        <w:instrText xml:space="preserve"> PAGEREF _Toc98770050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IV — Western Australian Industrial Appeal Court</w:t>
      </w:r>
    </w:p>
    <w:p>
      <w:pPr>
        <w:pStyle w:val="TOC8"/>
        <w:rPr>
          <w:rFonts w:asciiTheme="minorHAnsi" w:eastAsiaTheme="minorEastAsia" w:hAnsiTheme="minorHAnsi" w:cstheme="minorBidi"/>
          <w:szCs w:val="22"/>
        </w:rPr>
      </w:pPr>
      <w:r>
        <w:t>85</w:t>
      </w:r>
      <w:r>
        <w:rPr>
          <w:snapToGrid w:val="0"/>
        </w:rPr>
        <w:t>.</w:t>
      </w:r>
      <w:r>
        <w:rPr>
          <w:snapToGrid w:val="0"/>
        </w:rPr>
        <w:tab/>
        <w:t>Constitution of Court</w:t>
      </w:r>
      <w:r>
        <w:tab/>
      </w:r>
      <w:r>
        <w:fldChar w:fldCharType="begin"/>
      </w:r>
      <w:r>
        <w:instrText xml:space="preserve"> PAGEREF _Toc98770052 \h </w:instrText>
      </w:r>
      <w:r>
        <w:fldChar w:fldCharType="separate"/>
      </w:r>
      <w:r>
        <w:t>209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Jurisdiction of Court</w:t>
      </w:r>
      <w:r>
        <w:tab/>
      </w:r>
      <w:r>
        <w:fldChar w:fldCharType="begin"/>
      </w:r>
      <w:r>
        <w:instrText xml:space="preserve"> PAGEREF _Toc98770053 \h </w:instrText>
      </w:r>
      <w:r>
        <w:fldChar w:fldCharType="separate"/>
      </w:r>
      <w:r>
        <w:t>210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Decision of Court</w:t>
      </w:r>
      <w:r>
        <w:tab/>
      </w:r>
      <w:r>
        <w:fldChar w:fldCharType="begin"/>
      </w:r>
      <w:r>
        <w:instrText xml:space="preserve"> PAGEREF _Toc98770054 \h </w:instrText>
      </w:r>
      <w:r>
        <w:fldChar w:fldCharType="separate"/>
      </w:r>
      <w:r>
        <w:t>211</w:t>
      </w:r>
      <w:r>
        <w:fldChar w:fldCharType="end"/>
      </w:r>
    </w:p>
    <w:p>
      <w:pPr>
        <w:pStyle w:val="TOC8"/>
        <w:rPr>
          <w:rFonts w:asciiTheme="minorHAnsi" w:eastAsiaTheme="minorEastAsia" w:hAnsiTheme="minorHAnsi" w:cstheme="minorBidi"/>
          <w:szCs w:val="22"/>
        </w:rPr>
      </w:pPr>
      <w:r>
        <w:t>88.</w:t>
      </w:r>
      <w:r>
        <w:tab/>
        <w:t>Judgments, enforcement of</w:t>
      </w:r>
      <w:r>
        <w:tab/>
      </w:r>
      <w:r>
        <w:fldChar w:fldCharType="begin"/>
      </w:r>
      <w:r>
        <w:instrText xml:space="preserve"> PAGEREF _Toc98770055 \h </w:instrText>
      </w:r>
      <w:r>
        <w:fldChar w:fldCharType="separate"/>
      </w:r>
      <w:r>
        <w:t>211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Appeal from Commission to Court</w:t>
      </w:r>
      <w:r>
        <w:tab/>
      </w:r>
      <w:r>
        <w:fldChar w:fldCharType="begin"/>
      </w:r>
      <w:r>
        <w:instrText xml:space="preserve"> PAGEREF _Toc98770056 \h </w:instrText>
      </w:r>
      <w:r>
        <w:fldChar w:fldCharType="separate"/>
      </w:r>
      <w:r>
        <w:t>212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Representation before Court</w:t>
      </w:r>
      <w:r>
        <w:tab/>
      </w:r>
      <w:r>
        <w:fldChar w:fldCharType="begin"/>
      </w:r>
      <w:r>
        <w:instrText xml:space="preserve"> PAGEREF _Toc98770057 \h </w:instrText>
      </w:r>
      <w:r>
        <w:fldChar w:fldCharType="separate"/>
      </w:r>
      <w:r>
        <w:t>213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Contempt, Court’s powers as to</w:t>
      </w:r>
      <w:r>
        <w:tab/>
      </w:r>
      <w:r>
        <w:fldChar w:fldCharType="begin"/>
      </w:r>
      <w:r>
        <w:instrText xml:space="preserve"> PAGEREF _Toc98770058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V — The Registrar and other officers of the Commission</w:t>
      </w:r>
    </w:p>
    <w:p>
      <w:pPr>
        <w:pStyle w:val="TOC8"/>
        <w:rPr>
          <w:rFonts w:asciiTheme="minorHAnsi" w:eastAsiaTheme="minorEastAsia" w:hAnsiTheme="minorHAnsi" w:cstheme="minorBidi"/>
          <w:szCs w:val="22"/>
        </w:rPr>
      </w:pPr>
      <w:r>
        <w:t>93</w:t>
      </w:r>
      <w:r>
        <w:rPr>
          <w:snapToGrid w:val="0"/>
        </w:rPr>
        <w:t>.</w:t>
      </w:r>
      <w:r>
        <w:rPr>
          <w:snapToGrid w:val="0"/>
        </w:rPr>
        <w:tab/>
        <w:t>Appointment and duties of officers</w:t>
      </w:r>
      <w:r>
        <w:tab/>
      </w:r>
      <w:r>
        <w:fldChar w:fldCharType="begin"/>
      </w:r>
      <w:r>
        <w:instrText xml:space="preserve"> PAGEREF _Toc98770060 \h </w:instrText>
      </w:r>
      <w:r>
        <w:fldChar w:fldCharType="separate"/>
      </w:r>
      <w:r>
        <w:t>215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Authority of officers to do acts as directed</w:t>
      </w:r>
      <w:r>
        <w:tab/>
      </w:r>
      <w:r>
        <w:fldChar w:fldCharType="begin"/>
      </w:r>
      <w:r>
        <w:instrText xml:space="preserve"> PAGEREF _Toc98770061 \h </w:instrText>
      </w:r>
      <w:r>
        <w:fldChar w:fldCharType="separate"/>
      </w:r>
      <w:r>
        <w:t>217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Deputy registrar’s functions</w:t>
      </w:r>
      <w:r>
        <w:tab/>
      </w:r>
      <w:r>
        <w:fldChar w:fldCharType="begin"/>
      </w:r>
      <w:r>
        <w:instrText xml:space="preserve"> PAGEREF _Toc98770062 \h </w:instrText>
      </w:r>
      <w:r>
        <w:fldChar w:fldCharType="separate"/>
      </w:r>
      <w:r>
        <w:t>218</w:t>
      </w:r>
      <w:r>
        <w:fldChar w:fldCharType="end"/>
      </w:r>
    </w:p>
    <w:p>
      <w:pPr>
        <w:pStyle w:val="TOC8"/>
        <w:rPr>
          <w:rFonts w:asciiTheme="minorHAnsi" w:eastAsiaTheme="minorEastAsia" w:hAnsiTheme="minorHAnsi" w:cstheme="minorBidi"/>
          <w:szCs w:val="22"/>
        </w:rPr>
      </w:pPr>
      <w:r>
        <w:t>96.</w:t>
      </w:r>
      <w:r>
        <w:tab/>
        <w:t>Delegation by Commission to Registrar</w:t>
      </w:r>
      <w:r>
        <w:tab/>
      </w:r>
      <w:r>
        <w:fldChar w:fldCharType="begin"/>
      </w:r>
      <w:r>
        <w:instrText xml:space="preserve"> PAGEREF _Toc98770063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VIA — Freedom of association</w:t>
      </w:r>
    </w:p>
    <w:p>
      <w:pPr>
        <w:pStyle w:val="TOC8"/>
        <w:rPr>
          <w:rFonts w:asciiTheme="minorHAnsi" w:eastAsiaTheme="minorEastAsia" w:hAnsiTheme="minorHAnsi" w:cstheme="minorBidi"/>
          <w:szCs w:val="22"/>
        </w:rPr>
      </w:pPr>
      <w:r>
        <w:t>96A</w:t>
      </w:r>
      <w:r>
        <w:rPr>
          <w:snapToGrid w:val="0"/>
        </w:rPr>
        <w:t>.</w:t>
      </w:r>
      <w:r>
        <w:rPr>
          <w:snapToGrid w:val="0"/>
        </w:rPr>
        <w:tab/>
        <w:t>Terms used</w:t>
      </w:r>
      <w:r>
        <w:tab/>
      </w:r>
      <w:r>
        <w:fldChar w:fldCharType="begin"/>
      </w:r>
      <w:r>
        <w:instrText xml:space="preserve"> PAGEREF _Toc98770065 \h </w:instrText>
      </w:r>
      <w:r>
        <w:fldChar w:fldCharType="separate"/>
      </w:r>
      <w:r>
        <w:t>221</w:t>
      </w:r>
      <w:r>
        <w:fldChar w:fldCharType="end"/>
      </w:r>
    </w:p>
    <w:p>
      <w:pPr>
        <w:pStyle w:val="TOC8"/>
        <w:rPr>
          <w:rFonts w:asciiTheme="minorHAnsi" w:eastAsiaTheme="minorEastAsia" w:hAnsiTheme="minorHAnsi" w:cstheme="minorBidi"/>
          <w:szCs w:val="22"/>
        </w:rPr>
      </w:pPr>
      <w:r>
        <w:t>96B</w:t>
      </w:r>
      <w:r>
        <w:rPr>
          <w:snapToGrid w:val="0"/>
        </w:rPr>
        <w:t>.</w:t>
      </w:r>
      <w:r>
        <w:rPr>
          <w:snapToGrid w:val="0"/>
        </w:rPr>
        <w:tab/>
        <w:t>Awards etc. not to contain certain provisions about membership of organisations</w:t>
      </w:r>
      <w:r>
        <w:tab/>
      </w:r>
      <w:r>
        <w:fldChar w:fldCharType="begin"/>
      </w:r>
      <w:r>
        <w:instrText xml:space="preserve"> PAGEREF _Toc98770066 \h </w:instrText>
      </w:r>
      <w:r>
        <w:fldChar w:fldCharType="separate"/>
      </w:r>
      <w:r>
        <w:t>221</w:t>
      </w:r>
      <w:r>
        <w:fldChar w:fldCharType="end"/>
      </w:r>
    </w:p>
    <w:p>
      <w:pPr>
        <w:pStyle w:val="TOC8"/>
        <w:rPr>
          <w:rFonts w:asciiTheme="minorHAnsi" w:eastAsiaTheme="minorEastAsia" w:hAnsiTheme="minorHAnsi" w:cstheme="minorBidi"/>
          <w:szCs w:val="22"/>
        </w:rPr>
      </w:pPr>
      <w:r>
        <w:t>96C</w:t>
      </w:r>
      <w:r>
        <w:rPr>
          <w:snapToGrid w:val="0"/>
        </w:rPr>
        <w:t>.</w:t>
      </w:r>
      <w:r>
        <w:rPr>
          <w:snapToGrid w:val="0"/>
        </w:rPr>
        <w:tab/>
        <w:t>Discrimination because of membership of organisation, offence</w:t>
      </w:r>
      <w:r>
        <w:tab/>
      </w:r>
      <w:r>
        <w:fldChar w:fldCharType="begin"/>
      </w:r>
      <w:r>
        <w:instrText xml:space="preserve"> PAGEREF _Toc98770067 \h </w:instrText>
      </w:r>
      <w:r>
        <w:fldChar w:fldCharType="separate"/>
      </w:r>
      <w:r>
        <w:t>222</w:t>
      </w:r>
      <w:r>
        <w:fldChar w:fldCharType="end"/>
      </w:r>
    </w:p>
    <w:p>
      <w:pPr>
        <w:pStyle w:val="TOC8"/>
        <w:rPr>
          <w:rFonts w:asciiTheme="minorHAnsi" w:eastAsiaTheme="minorEastAsia" w:hAnsiTheme="minorHAnsi" w:cstheme="minorBidi"/>
          <w:szCs w:val="22"/>
        </w:rPr>
      </w:pPr>
      <w: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r>
        <w:tab/>
      </w:r>
      <w:r>
        <w:fldChar w:fldCharType="begin"/>
      </w:r>
      <w:r>
        <w:instrText xml:space="preserve"> PAGEREF _Toc98770068 \h </w:instrText>
      </w:r>
      <w:r>
        <w:fldChar w:fldCharType="separate"/>
      </w:r>
      <w:r>
        <w:t>223</w:t>
      </w:r>
      <w:r>
        <w:fldChar w:fldCharType="end"/>
      </w:r>
    </w:p>
    <w:p>
      <w:pPr>
        <w:pStyle w:val="TOC8"/>
        <w:rPr>
          <w:rFonts w:asciiTheme="minorHAnsi" w:eastAsiaTheme="minorEastAsia" w:hAnsiTheme="minorHAnsi" w:cstheme="minorBidi"/>
          <w:szCs w:val="22"/>
        </w:rPr>
      </w:pPr>
      <w:r>
        <w:t>96E</w:t>
      </w:r>
      <w:r>
        <w:rPr>
          <w:snapToGrid w:val="0"/>
        </w:rPr>
        <w:t>.</w:t>
      </w:r>
      <w:r>
        <w:rPr>
          <w:snapToGrid w:val="0"/>
        </w:rPr>
        <w:tab/>
        <w:t>Discriminatory etc. acts against persons because of non</w:t>
      </w:r>
      <w:r>
        <w:rPr>
          <w:snapToGrid w:val="0"/>
        </w:rPr>
        <w:noBreakHyphen/>
        <w:t>membership of employee organisation, offence</w:t>
      </w:r>
      <w:r>
        <w:tab/>
      </w:r>
      <w:r>
        <w:fldChar w:fldCharType="begin"/>
      </w:r>
      <w:r>
        <w:instrText xml:space="preserve"> PAGEREF _Toc98770069 \h </w:instrText>
      </w:r>
      <w:r>
        <w:fldChar w:fldCharType="separate"/>
      </w:r>
      <w:r>
        <w:t>224</w:t>
      </w:r>
      <w:r>
        <w:fldChar w:fldCharType="end"/>
      </w:r>
    </w:p>
    <w:p>
      <w:pPr>
        <w:pStyle w:val="TOC8"/>
        <w:rPr>
          <w:rFonts w:asciiTheme="minorHAnsi" w:eastAsiaTheme="minorEastAsia" w:hAnsiTheme="minorHAnsi" w:cstheme="minorBidi"/>
          <w:szCs w:val="22"/>
        </w:rPr>
      </w:pPr>
      <w:r>
        <w:t>96F</w:t>
      </w:r>
      <w:r>
        <w:rPr>
          <w:snapToGrid w:val="0"/>
        </w:rPr>
        <w:t>.</w:t>
      </w:r>
      <w:r>
        <w:rPr>
          <w:snapToGrid w:val="0"/>
        </w:rPr>
        <w:tab/>
        <w:t>Penalties under s. 96C, 96D and 96E, provisions about</w:t>
      </w:r>
      <w:r>
        <w:tab/>
      </w:r>
      <w:r>
        <w:fldChar w:fldCharType="begin"/>
      </w:r>
      <w:r>
        <w:instrText xml:space="preserve"> PAGEREF _Toc98770070 \h </w:instrText>
      </w:r>
      <w:r>
        <w:fldChar w:fldCharType="separate"/>
      </w:r>
      <w:r>
        <w:t>225</w:t>
      </w:r>
      <w:r>
        <w:fldChar w:fldCharType="end"/>
      </w:r>
    </w:p>
    <w:p>
      <w:pPr>
        <w:pStyle w:val="TOC8"/>
        <w:rPr>
          <w:rFonts w:asciiTheme="minorHAnsi" w:eastAsiaTheme="minorEastAsia" w:hAnsiTheme="minorHAnsi" w:cstheme="minorBidi"/>
          <w:szCs w:val="22"/>
        </w:rPr>
      </w:pPr>
      <w:r>
        <w:t>96G</w:t>
      </w:r>
      <w:r>
        <w:rPr>
          <w:snapToGrid w:val="0"/>
        </w:rPr>
        <w:t>.</w:t>
      </w:r>
      <w:r>
        <w:rPr>
          <w:snapToGrid w:val="0"/>
        </w:rPr>
        <w:tab/>
        <w:t>Criminal responsibility of officers etc. for offences in s. 96C, 96D and 96E</w:t>
      </w:r>
      <w:r>
        <w:tab/>
      </w:r>
      <w:r>
        <w:fldChar w:fldCharType="begin"/>
      </w:r>
      <w:r>
        <w:instrText xml:space="preserve"> PAGEREF _Toc98770071 \h </w:instrText>
      </w:r>
      <w:r>
        <w:fldChar w:fldCharType="separate"/>
      </w:r>
      <w:r>
        <w:t>226</w:t>
      </w:r>
      <w:r>
        <w:fldChar w:fldCharType="end"/>
      </w:r>
    </w:p>
    <w:p>
      <w:pPr>
        <w:pStyle w:val="TOC8"/>
        <w:rPr>
          <w:rFonts w:asciiTheme="minorHAnsi" w:eastAsiaTheme="minorEastAsia" w:hAnsiTheme="minorHAnsi" w:cstheme="minorBidi"/>
          <w:szCs w:val="22"/>
        </w:rPr>
      </w:pPr>
      <w:r>
        <w:t>96H</w:t>
      </w:r>
      <w:r>
        <w:rPr>
          <w:snapToGrid w:val="0"/>
        </w:rPr>
        <w:t>.</w:t>
      </w:r>
      <w:r>
        <w:rPr>
          <w:snapToGrid w:val="0"/>
        </w:rPr>
        <w:tab/>
        <w:t>Criminal responsibility of corporations etc. for offences in s. 96C, 96D and 96E</w:t>
      </w:r>
      <w:r>
        <w:tab/>
      </w:r>
      <w:r>
        <w:fldChar w:fldCharType="begin"/>
      </w:r>
      <w:r>
        <w:instrText xml:space="preserve"> PAGEREF _Toc98770072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96I</w:t>
      </w:r>
      <w:r>
        <w:rPr>
          <w:snapToGrid w:val="0"/>
        </w:rPr>
        <w:t>.</w:t>
      </w:r>
      <w:r>
        <w:rPr>
          <w:snapToGrid w:val="0"/>
        </w:rPr>
        <w:tab/>
        <w:t>Evidentiary provisions for s. 96C, 96D and 96E</w:t>
      </w:r>
      <w:r>
        <w:tab/>
      </w:r>
      <w:r>
        <w:fldChar w:fldCharType="begin"/>
      </w:r>
      <w:r>
        <w:instrText xml:space="preserve"> PAGEREF _Toc98770073 \h </w:instrText>
      </w:r>
      <w:r>
        <w:fldChar w:fldCharType="separate"/>
      </w:r>
      <w:r>
        <w:t>227</w:t>
      </w:r>
      <w:r>
        <w:fldChar w:fldCharType="end"/>
      </w:r>
    </w:p>
    <w:p>
      <w:pPr>
        <w:pStyle w:val="TOC8"/>
        <w:rPr>
          <w:rFonts w:asciiTheme="minorHAnsi" w:eastAsiaTheme="minorEastAsia" w:hAnsiTheme="minorHAnsi" w:cstheme="minorBidi"/>
          <w:szCs w:val="22"/>
        </w:rPr>
      </w:pPr>
      <w:r>
        <w:t>96J</w:t>
      </w:r>
      <w:r>
        <w:rPr>
          <w:snapToGrid w:val="0"/>
        </w:rPr>
        <w:t>.</w:t>
      </w:r>
      <w:r>
        <w:rPr>
          <w:snapToGrid w:val="0"/>
        </w:rPr>
        <w:tab/>
        <w:t>Court may order compliance with s. 96C, 96D or 96E</w:t>
      </w:r>
      <w:r>
        <w:tab/>
      </w:r>
      <w:r>
        <w:fldChar w:fldCharType="begin"/>
      </w:r>
      <w:r>
        <w:instrText xml:space="preserve"> PAGEREF _Toc98770074 \h </w:instrText>
      </w:r>
      <w:r>
        <w:fldChar w:fldCharType="separate"/>
      </w:r>
      <w:r>
        <w:t>228</w:t>
      </w:r>
      <w:r>
        <w:fldChar w:fldCharType="end"/>
      </w:r>
    </w:p>
    <w:p>
      <w:pPr>
        <w:pStyle w:val="TOC8"/>
        <w:rPr>
          <w:rFonts w:asciiTheme="minorHAnsi" w:eastAsiaTheme="minorEastAsia" w:hAnsiTheme="minorHAnsi" w:cstheme="minorBidi"/>
          <w:szCs w:val="22"/>
        </w:rPr>
      </w:pPr>
      <w:r>
        <w:t>96K</w:t>
      </w:r>
      <w:r>
        <w:rPr>
          <w:snapToGrid w:val="0"/>
        </w:rPr>
        <w:t>.</w:t>
      </w:r>
      <w:r>
        <w:rPr>
          <w:snapToGrid w:val="0"/>
        </w:rPr>
        <w:tab/>
        <w:t>Appeal against decision under s. 96J</w:t>
      </w:r>
      <w:r>
        <w:tab/>
      </w:r>
      <w:r>
        <w:fldChar w:fldCharType="begin"/>
      </w:r>
      <w:r>
        <w:instrText xml:space="preserve"> PAGEREF _Toc98770075 \h </w:instrText>
      </w:r>
      <w:r>
        <w:fldChar w:fldCharType="separate"/>
      </w:r>
      <w:r>
        <w:t>229</w:t>
      </w:r>
      <w:r>
        <w:fldChar w:fldCharType="end"/>
      </w:r>
    </w:p>
    <w:p>
      <w:pPr>
        <w:pStyle w:val="TOC8"/>
        <w:rPr>
          <w:rFonts w:asciiTheme="minorHAnsi" w:eastAsiaTheme="minorEastAsia" w:hAnsiTheme="minorHAnsi" w:cstheme="minorBidi"/>
          <w:szCs w:val="22"/>
        </w:rPr>
      </w:pPr>
      <w:r>
        <w:t>96L</w:t>
      </w:r>
      <w:r>
        <w:rPr>
          <w:snapToGrid w:val="0"/>
        </w:rPr>
        <w:t>.</w:t>
      </w:r>
      <w:r>
        <w:rPr>
          <w:snapToGrid w:val="0"/>
        </w:rPr>
        <w:tab/>
        <w:t>Other court orders after conviction under s. 96C, 96D or 96E</w:t>
      </w:r>
      <w:r>
        <w:tab/>
      </w:r>
      <w:r>
        <w:fldChar w:fldCharType="begin"/>
      </w:r>
      <w:r>
        <w:instrText xml:space="preserve"> PAGEREF _Toc98770076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VID — Employer</w:t>
      </w:r>
      <w:r>
        <w:noBreakHyphen/>
        <w:t>employee agreements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97U.</w:t>
      </w:r>
      <w:r>
        <w:tab/>
        <w:t>Terms used</w:t>
      </w:r>
      <w:r>
        <w:tab/>
      </w:r>
      <w:r>
        <w:fldChar w:fldCharType="begin"/>
      </w:r>
      <w:r>
        <w:instrText xml:space="preserve"> PAGEREF _Toc98770079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The making of an EEA</w:t>
      </w:r>
    </w:p>
    <w:p>
      <w:pPr>
        <w:pStyle w:val="TOC8"/>
        <w:rPr>
          <w:rFonts w:asciiTheme="minorHAnsi" w:eastAsiaTheme="minorEastAsia" w:hAnsiTheme="minorHAnsi" w:cstheme="minorBidi"/>
          <w:szCs w:val="22"/>
        </w:rPr>
      </w:pPr>
      <w:r>
        <w:t>97UA.</w:t>
      </w:r>
      <w:r>
        <w:tab/>
        <w:t>Employer and employee may make EEA</w:t>
      </w:r>
      <w:r>
        <w:tab/>
      </w:r>
      <w:r>
        <w:fldChar w:fldCharType="begin"/>
      </w:r>
      <w:r>
        <w:instrText xml:space="preserve"> PAGEREF _Toc98770081 \h </w:instrText>
      </w:r>
      <w:r>
        <w:fldChar w:fldCharType="separate"/>
      </w:r>
      <w:r>
        <w:t>233</w:t>
      </w:r>
      <w:r>
        <w:fldChar w:fldCharType="end"/>
      </w:r>
    </w:p>
    <w:p>
      <w:pPr>
        <w:pStyle w:val="TOC8"/>
        <w:rPr>
          <w:rFonts w:asciiTheme="minorHAnsi" w:eastAsiaTheme="minorEastAsia" w:hAnsiTheme="minorHAnsi" w:cstheme="minorBidi"/>
          <w:szCs w:val="22"/>
        </w:rPr>
      </w:pPr>
      <w:r>
        <w:t>97UB.</w:t>
      </w:r>
      <w:r>
        <w:tab/>
        <w:t>EEA may deal with post</w:t>
      </w:r>
      <w:r>
        <w:noBreakHyphen/>
        <w:t>employment matters</w:t>
      </w:r>
      <w:r>
        <w:tab/>
      </w:r>
      <w:r>
        <w:fldChar w:fldCharType="begin"/>
      </w:r>
      <w:r>
        <w:instrText xml:space="preserve"> PAGEREF _Toc98770082 \h </w:instrText>
      </w:r>
      <w:r>
        <w:fldChar w:fldCharType="separate"/>
      </w:r>
      <w:r>
        <w:t>233</w:t>
      </w:r>
      <w:r>
        <w:fldChar w:fldCharType="end"/>
      </w:r>
    </w:p>
    <w:p>
      <w:pPr>
        <w:pStyle w:val="TOC8"/>
        <w:rPr>
          <w:rFonts w:asciiTheme="minorHAnsi" w:eastAsiaTheme="minorEastAsia" w:hAnsiTheme="minorHAnsi" w:cstheme="minorBidi"/>
          <w:szCs w:val="22"/>
        </w:rPr>
      </w:pPr>
      <w:r>
        <w:t>97UC.</w:t>
      </w:r>
      <w:r>
        <w:tab/>
        <w:t>Other provisions about making EEA</w:t>
      </w:r>
      <w:r>
        <w:tab/>
      </w:r>
      <w:r>
        <w:fldChar w:fldCharType="begin"/>
      </w:r>
      <w:r>
        <w:instrText xml:space="preserve"> PAGEREF _Toc98770083 \h </w:instrText>
      </w:r>
      <w:r>
        <w:fldChar w:fldCharType="separate"/>
      </w:r>
      <w:r>
        <w:t>234</w:t>
      </w:r>
      <w:r>
        <w:fldChar w:fldCharType="end"/>
      </w:r>
    </w:p>
    <w:p>
      <w:pPr>
        <w:pStyle w:val="TOC8"/>
        <w:rPr>
          <w:rFonts w:asciiTheme="minorHAnsi" w:eastAsiaTheme="minorEastAsia" w:hAnsiTheme="minorHAnsi" w:cstheme="minorBidi"/>
          <w:szCs w:val="22"/>
        </w:rPr>
      </w:pPr>
      <w:r>
        <w:t>97UD.</w:t>
      </w:r>
      <w:r>
        <w:tab/>
        <w:t>Making of EEA by person with a mental disability</w:t>
      </w:r>
      <w:r>
        <w:tab/>
      </w:r>
      <w:r>
        <w:fldChar w:fldCharType="begin"/>
      </w:r>
      <w:r>
        <w:instrText xml:space="preserve"> PAGEREF _Toc98770084 \h </w:instrText>
      </w:r>
      <w:r>
        <w:fldChar w:fldCharType="separate"/>
      </w:r>
      <w:r>
        <w:t>234</w:t>
      </w:r>
      <w:r>
        <w:fldChar w:fldCharType="end"/>
      </w:r>
    </w:p>
    <w:p>
      <w:pPr>
        <w:pStyle w:val="TOC8"/>
        <w:rPr>
          <w:rFonts w:asciiTheme="minorHAnsi" w:eastAsiaTheme="minorEastAsia" w:hAnsiTheme="minorHAnsi" w:cstheme="minorBidi"/>
          <w:szCs w:val="22"/>
        </w:rPr>
      </w:pPr>
      <w:r>
        <w:t>97UE.</w:t>
      </w:r>
      <w:r>
        <w:tab/>
        <w:t>Effect of EEA</w:t>
      </w:r>
      <w:r>
        <w:tab/>
      </w:r>
      <w:r>
        <w:fldChar w:fldCharType="begin"/>
      </w:r>
      <w:r>
        <w:instrText xml:space="preserve"> PAGEREF _Toc98770085 \h </w:instrText>
      </w:r>
      <w:r>
        <w:fldChar w:fldCharType="separate"/>
      </w:r>
      <w:r>
        <w:t>234</w:t>
      </w:r>
      <w:r>
        <w:fldChar w:fldCharType="end"/>
      </w:r>
    </w:p>
    <w:p>
      <w:pPr>
        <w:pStyle w:val="TOC8"/>
        <w:rPr>
          <w:rFonts w:asciiTheme="minorHAnsi" w:eastAsiaTheme="minorEastAsia" w:hAnsiTheme="minorHAnsi" w:cstheme="minorBidi"/>
          <w:szCs w:val="22"/>
        </w:rPr>
      </w:pPr>
      <w:r>
        <w:t>97UF.</w:t>
      </w:r>
      <w:r>
        <w:tab/>
        <w:t>EEA not to be made while industrial agreement in operation</w:t>
      </w:r>
      <w:r>
        <w:tab/>
      </w:r>
      <w:r>
        <w:fldChar w:fldCharType="begin"/>
      </w:r>
      <w:r>
        <w:instrText xml:space="preserve"> PAGEREF _Toc98770086 \h </w:instrText>
      </w:r>
      <w:r>
        <w:fldChar w:fldCharType="separate"/>
      </w:r>
      <w:r>
        <w:t>235</w:t>
      </w:r>
      <w:r>
        <w:fldChar w:fldCharType="end"/>
      </w:r>
    </w:p>
    <w:p>
      <w:pPr>
        <w:pStyle w:val="TOC8"/>
        <w:rPr>
          <w:rFonts w:asciiTheme="minorHAnsi" w:eastAsiaTheme="minorEastAsia" w:hAnsiTheme="minorHAnsi" w:cstheme="minorBidi"/>
          <w:szCs w:val="22"/>
        </w:rPr>
      </w:pPr>
      <w:r>
        <w:t>97UG.</w:t>
      </w:r>
      <w:r>
        <w:tab/>
        <w:t>Documents etc. to be given to employee before EEA signed</w:t>
      </w:r>
      <w:r>
        <w:tab/>
      </w:r>
      <w:r>
        <w:fldChar w:fldCharType="begin"/>
      </w:r>
      <w:r>
        <w:instrText xml:space="preserve"> PAGEREF _Toc98770087 \h </w:instrText>
      </w:r>
      <w:r>
        <w:fldChar w:fldCharType="separate"/>
      </w:r>
      <w:r>
        <w:t>236</w:t>
      </w:r>
      <w:r>
        <w:fldChar w:fldCharType="end"/>
      </w:r>
    </w:p>
    <w:p>
      <w:pPr>
        <w:pStyle w:val="TOC8"/>
        <w:rPr>
          <w:rFonts w:asciiTheme="minorHAnsi" w:eastAsiaTheme="minorEastAsia" w:hAnsiTheme="minorHAnsi" w:cstheme="minorBidi"/>
          <w:szCs w:val="22"/>
        </w:rPr>
      </w:pPr>
      <w:r>
        <w:t>97UH.</w:t>
      </w:r>
      <w:r>
        <w:tab/>
        <w:t>Application of s. 97UG if draft EEA amended</w:t>
      </w:r>
      <w:r>
        <w:tab/>
      </w:r>
      <w:r>
        <w:fldChar w:fldCharType="begin"/>
      </w:r>
      <w:r>
        <w:instrText xml:space="preserve"> PAGEREF _Toc98770088 \h </w:instrText>
      </w:r>
      <w:r>
        <w:fldChar w:fldCharType="separate"/>
      </w:r>
      <w:r>
        <w:t>237</w:t>
      </w:r>
      <w:r>
        <w:fldChar w:fldCharType="end"/>
      </w:r>
    </w:p>
    <w:p>
      <w:pPr>
        <w:pStyle w:val="TOC8"/>
        <w:rPr>
          <w:rFonts w:asciiTheme="minorHAnsi" w:eastAsiaTheme="minorEastAsia" w:hAnsiTheme="minorHAnsi" w:cstheme="minorBidi"/>
          <w:szCs w:val="22"/>
        </w:rPr>
      </w:pPr>
      <w:r>
        <w:t>97UI.</w:t>
      </w:r>
      <w:r>
        <w:tab/>
        <w:t>EEA information statement, form of (s. 97UG(2)(b))</w:t>
      </w:r>
      <w:r>
        <w:tab/>
      </w:r>
      <w:r>
        <w:fldChar w:fldCharType="begin"/>
      </w:r>
      <w:r>
        <w:instrText xml:space="preserve"> PAGEREF _Toc98770089 \h </w:instrText>
      </w:r>
      <w:r>
        <w:fldChar w:fldCharType="separate"/>
      </w:r>
      <w:r>
        <w:t>237</w:t>
      </w:r>
      <w:r>
        <w:fldChar w:fldCharType="end"/>
      </w:r>
    </w:p>
    <w:p>
      <w:pPr>
        <w:pStyle w:val="TOC8"/>
        <w:rPr>
          <w:rFonts w:asciiTheme="minorHAnsi" w:eastAsiaTheme="minorEastAsia" w:hAnsiTheme="minorHAnsi" w:cstheme="minorBidi"/>
          <w:szCs w:val="22"/>
        </w:rPr>
      </w:pPr>
      <w:r>
        <w:t>97UJ.</w:t>
      </w:r>
      <w:r>
        <w:tab/>
        <w:t>Bargaining agents, appointing etc.</w:t>
      </w:r>
      <w:r>
        <w:tab/>
      </w:r>
      <w:r>
        <w:fldChar w:fldCharType="begin"/>
      </w:r>
      <w:r>
        <w:instrText xml:space="preserve"> PAGEREF _Toc98770090 \h </w:instrText>
      </w:r>
      <w:r>
        <w:fldChar w:fldCharType="separate"/>
      </w:r>
      <w:r>
        <w:t>238</w:t>
      </w:r>
      <w:r>
        <w:fldChar w:fldCharType="end"/>
      </w:r>
    </w:p>
    <w:p>
      <w:pPr>
        <w:pStyle w:val="TOC8"/>
        <w:rPr>
          <w:rFonts w:asciiTheme="minorHAnsi" w:eastAsiaTheme="minorEastAsia" w:hAnsiTheme="minorHAnsi" w:cstheme="minorBidi"/>
          <w:szCs w:val="22"/>
        </w:rPr>
      </w:pPr>
      <w:r>
        <w:t>97UK.</w:t>
      </w:r>
      <w:r>
        <w:tab/>
        <w:t>Prohibited conduct relating to bargaining agents</w:t>
      </w:r>
      <w:r>
        <w:tab/>
      </w:r>
      <w:r>
        <w:fldChar w:fldCharType="begin"/>
      </w:r>
      <w:r>
        <w:instrText xml:space="preserve"> PAGEREF _Toc98770091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Form and content of EEA</w:t>
      </w:r>
    </w:p>
    <w:p>
      <w:pPr>
        <w:pStyle w:val="TOC8"/>
        <w:rPr>
          <w:rFonts w:asciiTheme="minorHAnsi" w:eastAsiaTheme="minorEastAsia" w:hAnsiTheme="minorHAnsi" w:cstheme="minorBidi"/>
          <w:szCs w:val="22"/>
        </w:rPr>
      </w:pPr>
      <w:r>
        <w:t>97UL.</w:t>
      </w:r>
      <w:r>
        <w:tab/>
        <w:t>Form of EEA</w:t>
      </w:r>
      <w:r>
        <w:tab/>
      </w:r>
      <w:r>
        <w:fldChar w:fldCharType="begin"/>
      </w:r>
      <w:r>
        <w:instrText xml:space="preserve"> PAGEREF _Toc98770093 \h </w:instrText>
      </w:r>
      <w:r>
        <w:fldChar w:fldCharType="separate"/>
      </w:r>
      <w:r>
        <w:t>239</w:t>
      </w:r>
      <w:r>
        <w:fldChar w:fldCharType="end"/>
      </w:r>
    </w:p>
    <w:p>
      <w:pPr>
        <w:pStyle w:val="TOC8"/>
        <w:rPr>
          <w:rFonts w:asciiTheme="minorHAnsi" w:eastAsiaTheme="minorEastAsia" w:hAnsiTheme="minorHAnsi" w:cstheme="minorBidi"/>
          <w:szCs w:val="22"/>
        </w:rPr>
      </w:pPr>
      <w:r>
        <w:t>97UM.</w:t>
      </w:r>
      <w:r>
        <w:tab/>
        <w:t>Additional formalities for EEA made with employee under 18</w:t>
      </w:r>
      <w:r>
        <w:tab/>
      </w:r>
      <w:r>
        <w:fldChar w:fldCharType="begin"/>
      </w:r>
      <w:r>
        <w:instrText xml:space="preserve"> PAGEREF _Toc98770094 \h </w:instrText>
      </w:r>
      <w:r>
        <w:fldChar w:fldCharType="separate"/>
      </w:r>
      <w:r>
        <w:t>240</w:t>
      </w:r>
      <w:r>
        <w:fldChar w:fldCharType="end"/>
      </w:r>
    </w:p>
    <w:p>
      <w:pPr>
        <w:pStyle w:val="TOC8"/>
        <w:rPr>
          <w:rFonts w:asciiTheme="minorHAnsi" w:eastAsiaTheme="minorEastAsia" w:hAnsiTheme="minorHAnsi" w:cstheme="minorBidi"/>
          <w:szCs w:val="22"/>
        </w:rPr>
      </w:pPr>
      <w:r>
        <w:t>97UN.</w:t>
      </w:r>
      <w:r>
        <w:tab/>
        <w:t>EEA must provide for resolution of disputes</w:t>
      </w:r>
      <w:r>
        <w:tab/>
      </w:r>
      <w:r>
        <w:fldChar w:fldCharType="begin"/>
      </w:r>
      <w:r>
        <w:instrText xml:space="preserve"> PAGEREF _Toc98770095 \h </w:instrText>
      </w:r>
      <w:r>
        <w:fldChar w:fldCharType="separate"/>
      </w:r>
      <w:r>
        <w:t>241</w:t>
      </w:r>
      <w:r>
        <w:fldChar w:fldCharType="end"/>
      </w:r>
    </w:p>
    <w:p>
      <w:pPr>
        <w:pStyle w:val="TOC8"/>
        <w:rPr>
          <w:rFonts w:asciiTheme="minorHAnsi" w:eastAsiaTheme="minorEastAsia" w:hAnsiTheme="minorHAnsi" w:cstheme="minorBidi"/>
          <w:szCs w:val="22"/>
        </w:rPr>
      </w:pPr>
      <w:r>
        <w:t>97UO.</w:t>
      </w:r>
      <w:r>
        <w:tab/>
        <w:t>EEA dispute provisions, content of</w:t>
      </w:r>
      <w:r>
        <w:tab/>
      </w:r>
      <w:r>
        <w:fldChar w:fldCharType="begin"/>
      </w:r>
      <w:r>
        <w:instrText xml:space="preserve"> PAGEREF _Toc98770096 \h </w:instrText>
      </w:r>
      <w:r>
        <w:fldChar w:fldCharType="separate"/>
      </w:r>
      <w:r>
        <w:t>241</w:t>
      </w:r>
      <w:r>
        <w:fldChar w:fldCharType="end"/>
      </w:r>
    </w:p>
    <w:p>
      <w:pPr>
        <w:pStyle w:val="TOC8"/>
        <w:rPr>
          <w:rFonts w:asciiTheme="minorHAnsi" w:eastAsiaTheme="minorEastAsia" w:hAnsiTheme="minorHAnsi" w:cstheme="minorBidi"/>
          <w:szCs w:val="22"/>
        </w:rPr>
      </w:pPr>
      <w:r>
        <w:t>97UP.</w:t>
      </w:r>
      <w:r>
        <w:tab/>
        <w:t>Industrial authority may be specified as arbitrator</w:t>
      </w:r>
      <w:r>
        <w:tab/>
      </w:r>
      <w:r>
        <w:fldChar w:fldCharType="begin"/>
      </w:r>
      <w:r>
        <w:instrText xml:space="preserve"> PAGEREF _Toc98770097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4 — Commencement, duration and variation</w:t>
      </w:r>
    </w:p>
    <w:p>
      <w:pPr>
        <w:pStyle w:val="TOC8"/>
        <w:rPr>
          <w:rFonts w:asciiTheme="minorHAnsi" w:eastAsiaTheme="minorEastAsia" w:hAnsiTheme="minorHAnsi" w:cstheme="minorBidi"/>
          <w:szCs w:val="22"/>
        </w:rPr>
      </w:pPr>
      <w:r>
        <w:t>97UQ.</w:t>
      </w:r>
      <w:r>
        <w:tab/>
        <w:t>New employee, when EEA commences</w:t>
      </w:r>
      <w:r>
        <w:tab/>
      </w:r>
      <w:r>
        <w:fldChar w:fldCharType="begin"/>
      </w:r>
      <w:r>
        <w:instrText xml:space="preserve"> PAGEREF _Toc98770099 \h </w:instrText>
      </w:r>
      <w:r>
        <w:fldChar w:fldCharType="separate"/>
      </w:r>
      <w:r>
        <w:t>243</w:t>
      </w:r>
      <w:r>
        <w:fldChar w:fldCharType="end"/>
      </w:r>
    </w:p>
    <w:p>
      <w:pPr>
        <w:pStyle w:val="TOC8"/>
        <w:rPr>
          <w:rFonts w:asciiTheme="minorHAnsi" w:eastAsiaTheme="minorEastAsia" w:hAnsiTheme="minorHAnsi" w:cstheme="minorBidi"/>
          <w:szCs w:val="22"/>
        </w:rPr>
      </w:pPr>
      <w:r>
        <w:t>97UR.</w:t>
      </w:r>
      <w:r>
        <w:tab/>
        <w:t>Existing employee, when EEA commences</w:t>
      </w:r>
      <w:r>
        <w:tab/>
      </w:r>
      <w:r>
        <w:fldChar w:fldCharType="begin"/>
      </w:r>
      <w:r>
        <w:instrText xml:space="preserve"> PAGEREF _Toc98770100 \h </w:instrText>
      </w:r>
      <w:r>
        <w:fldChar w:fldCharType="separate"/>
      </w:r>
      <w:r>
        <w:t>243</w:t>
      </w:r>
      <w:r>
        <w:fldChar w:fldCharType="end"/>
      </w:r>
    </w:p>
    <w:p>
      <w:pPr>
        <w:pStyle w:val="TOC8"/>
        <w:rPr>
          <w:rFonts w:asciiTheme="minorHAnsi" w:eastAsiaTheme="minorEastAsia" w:hAnsiTheme="minorHAnsi" w:cstheme="minorBidi"/>
          <w:szCs w:val="22"/>
        </w:rPr>
      </w:pPr>
      <w:r>
        <w:t>97US.</w:t>
      </w:r>
      <w:r>
        <w:tab/>
        <w:t>Expiry of EEA</w:t>
      </w:r>
      <w:r>
        <w:tab/>
      </w:r>
      <w:r>
        <w:fldChar w:fldCharType="begin"/>
      </w:r>
      <w:r>
        <w:instrText xml:space="preserve"> PAGEREF _Toc98770101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97UT.</w:t>
      </w:r>
      <w:r>
        <w:tab/>
        <w:t>Employment conditions applicable on expiry of EEA</w:t>
      </w:r>
      <w:r>
        <w:tab/>
      </w:r>
      <w:r>
        <w:fldChar w:fldCharType="begin"/>
      </w:r>
      <w:r>
        <w:instrText xml:space="preserve"> PAGEREF _Toc98770102 \h </w:instrText>
      </w:r>
      <w:r>
        <w:fldChar w:fldCharType="separate"/>
      </w:r>
      <w:r>
        <w:t>244</w:t>
      </w:r>
      <w:r>
        <w:fldChar w:fldCharType="end"/>
      </w:r>
    </w:p>
    <w:p>
      <w:pPr>
        <w:pStyle w:val="TOC8"/>
        <w:rPr>
          <w:rFonts w:asciiTheme="minorHAnsi" w:eastAsiaTheme="minorEastAsia" w:hAnsiTheme="minorHAnsi" w:cstheme="minorBidi"/>
          <w:szCs w:val="22"/>
        </w:rPr>
      </w:pPr>
      <w:r>
        <w:t>97UU.</w:t>
      </w:r>
      <w:r>
        <w:tab/>
        <w:t>EEA cannot be varied</w:t>
      </w:r>
      <w:r>
        <w:tab/>
      </w:r>
      <w:r>
        <w:fldChar w:fldCharType="begin"/>
      </w:r>
      <w:r>
        <w:instrText xml:space="preserve"> PAGEREF _Toc98770103 \h </w:instrText>
      </w:r>
      <w:r>
        <w:fldChar w:fldCharType="separate"/>
      </w:r>
      <w:r>
        <w:t>244</w:t>
      </w:r>
      <w:r>
        <w:fldChar w:fldCharType="end"/>
      </w:r>
    </w:p>
    <w:p>
      <w:pPr>
        <w:pStyle w:val="TOC8"/>
        <w:rPr>
          <w:rFonts w:asciiTheme="minorHAnsi" w:eastAsiaTheme="minorEastAsia" w:hAnsiTheme="minorHAnsi" w:cstheme="minorBidi"/>
          <w:szCs w:val="22"/>
        </w:rPr>
      </w:pPr>
      <w:r>
        <w:t>97UV.</w:t>
      </w:r>
      <w:r>
        <w:tab/>
        <w:t>Cancelling EEA</w:t>
      </w:r>
      <w:r>
        <w:tab/>
      </w:r>
      <w:r>
        <w:fldChar w:fldCharType="begin"/>
      </w:r>
      <w:r>
        <w:instrText xml:space="preserve"> PAGEREF _Toc98770104 \h </w:instrText>
      </w:r>
      <w:r>
        <w:fldChar w:fldCharType="separate"/>
      </w:r>
      <w:r>
        <w:t>245</w:t>
      </w:r>
      <w:r>
        <w:fldChar w:fldCharType="end"/>
      </w:r>
    </w:p>
    <w:p>
      <w:pPr>
        <w:pStyle w:val="TOC8"/>
        <w:rPr>
          <w:rFonts w:asciiTheme="minorHAnsi" w:eastAsiaTheme="minorEastAsia" w:hAnsiTheme="minorHAnsi" w:cstheme="minorBidi"/>
          <w:szCs w:val="22"/>
        </w:rPr>
      </w:pPr>
      <w:r>
        <w:t>97UW.</w:t>
      </w:r>
      <w:r>
        <w:tab/>
        <w:t>Termination of employment, effect of on EEA</w:t>
      </w:r>
      <w:r>
        <w:tab/>
      </w:r>
      <w:r>
        <w:fldChar w:fldCharType="begin"/>
      </w:r>
      <w:r>
        <w:instrText xml:space="preserve"> PAGEREF _Toc98770105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EEAs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97UX.</w:t>
      </w:r>
      <w:r>
        <w:tab/>
        <w:t>Delegation by Registrar</w:t>
      </w:r>
      <w:r>
        <w:tab/>
      </w:r>
      <w:r>
        <w:fldChar w:fldCharType="begin"/>
      </w:r>
      <w:r>
        <w:instrText xml:space="preserve"> PAGEREF _Toc98770108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w:t>
      </w:r>
    </w:p>
    <w:p>
      <w:pPr>
        <w:pStyle w:val="TOC8"/>
        <w:rPr>
          <w:rFonts w:asciiTheme="minorHAnsi" w:eastAsiaTheme="minorEastAsia" w:hAnsiTheme="minorHAnsi" w:cstheme="minorBidi"/>
          <w:szCs w:val="22"/>
        </w:rPr>
      </w:pPr>
      <w:r>
        <w:t>97UY.</w:t>
      </w:r>
      <w:r>
        <w:tab/>
        <w:t>Lodgment of EEA for registration</w:t>
      </w:r>
      <w:r>
        <w:tab/>
      </w:r>
      <w:r>
        <w:fldChar w:fldCharType="begin"/>
      </w:r>
      <w:r>
        <w:instrText xml:space="preserve"> PAGEREF _Toc98770110 \h </w:instrText>
      </w:r>
      <w:r>
        <w:fldChar w:fldCharType="separate"/>
      </w:r>
      <w:r>
        <w:t>246</w:t>
      </w:r>
      <w:r>
        <w:fldChar w:fldCharType="end"/>
      </w:r>
    </w:p>
    <w:p>
      <w:pPr>
        <w:pStyle w:val="TOC8"/>
        <w:rPr>
          <w:rFonts w:asciiTheme="minorHAnsi" w:eastAsiaTheme="minorEastAsia" w:hAnsiTheme="minorHAnsi" w:cstheme="minorBidi"/>
          <w:szCs w:val="22"/>
        </w:rPr>
      </w:pPr>
      <w:r>
        <w:t>97UZ.</w:t>
      </w:r>
      <w:r>
        <w:tab/>
        <w:t>EEA with new employee, effect of not lodging</w:t>
      </w:r>
      <w:r>
        <w:tab/>
      </w:r>
      <w:r>
        <w:fldChar w:fldCharType="begin"/>
      </w:r>
      <w:r>
        <w:instrText xml:space="preserve"> PAGEREF _Toc98770111 \h </w:instrText>
      </w:r>
      <w:r>
        <w:fldChar w:fldCharType="separate"/>
      </w:r>
      <w:r>
        <w:t>247</w:t>
      </w:r>
      <w:r>
        <w:fldChar w:fldCharType="end"/>
      </w:r>
    </w:p>
    <w:p>
      <w:pPr>
        <w:pStyle w:val="TOC8"/>
        <w:rPr>
          <w:rFonts w:asciiTheme="minorHAnsi" w:eastAsiaTheme="minorEastAsia" w:hAnsiTheme="minorHAnsi" w:cstheme="minorBidi"/>
          <w:szCs w:val="22"/>
        </w:rPr>
      </w:pPr>
      <w:r>
        <w:t>97V</w:t>
      </w:r>
      <w:r>
        <w:rPr>
          <w:snapToGrid w:val="0"/>
        </w:rPr>
        <w:t>.</w:t>
      </w:r>
      <w:r>
        <w:rPr>
          <w:snapToGrid w:val="0"/>
        </w:rPr>
        <w:tab/>
        <w:t>Recovery of money if s. 97UZ applies</w:t>
      </w:r>
      <w:r>
        <w:tab/>
      </w:r>
      <w:r>
        <w:fldChar w:fldCharType="begin"/>
      </w:r>
      <w:r>
        <w:instrText xml:space="preserve"> PAGEREF _Toc98770112 \h </w:instrText>
      </w:r>
      <w:r>
        <w:fldChar w:fldCharType="separate"/>
      </w:r>
      <w:r>
        <w:t>247</w:t>
      </w:r>
      <w:r>
        <w:fldChar w:fldCharType="end"/>
      </w:r>
    </w:p>
    <w:p>
      <w:pPr>
        <w:pStyle w:val="TOC8"/>
        <w:rPr>
          <w:rFonts w:asciiTheme="minorHAnsi" w:eastAsiaTheme="minorEastAsia" w:hAnsiTheme="minorHAnsi" w:cstheme="minorBidi"/>
          <w:szCs w:val="22"/>
        </w:rPr>
      </w:pPr>
      <w:r>
        <w:t>97VA.</w:t>
      </w:r>
      <w:r>
        <w:tab/>
        <w:t>Employment conditions of new employee if EEA not lodged</w:t>
      </w:r>
      <w:r>
        <w:tab/>
      </w:r>
      <w:r>
        <w:fldChar w:fldCharType="begin"/>
      </w:r>
      <w:r>
        <w:instrText xml:space="preserve"> PAGEREF _Toc98770113 \h </w:instrText>
      </w:r>
      <w:r>
        <w:fldChar w:fldCharType="separate"/>
      </w:r>
      <w:r>
        <w:t>248</w:t>
      </w:r>
      <w:r>
        <w:fldChar w:fldCharType="end"/>
      </w:r>
    </w:p>
    <w:p>
      <w:pPr>
        <w:pStyle w:val="TOC8"/>
        <w:rPr>
          <w:rFonts w:asciiTheme="minorHAnsi" w:eastAsiaTheme="minorEastAsia" w:hAnsiTheme="minorHAnsi" w:cstheme="minorBidi"/>
          <w:szCs w:val="22"/>
        </w:rPr>
      </w:pPr>
      <w:r>
        <w:t>97VB.</w:t>
      </w:r>
      <w:r>
        <w:tab/>
        <w:t>Registrar to be satisfied EEA is in order for registration</w:t>
      </w:r>
      <w:r>
        <w:tab/>
      </w:r>
      <w:r>
        <w:fldChar w:fldCharType="begin"/>
      </w:r>
      <w:r>
        <w:instrText xml:space="preserve"> PAGEREF _Toc98770114 \h </w:instrText>
      </w:r>
      <w:r>
        <w:fldChar w:fldCharType="separate"/>
      </w:r>
      <w:r>
        <w:t>248</w:t>
      </w:r>
      <w:r>
        <w:fldChar w:fldCharType="end"/>
      </w:r>
    </w:p>
    <w:p>
      <w:pPr>
        <w:pStyle w:val="TOC8"/>
        <w:rPr>
          <w:rFonts w:asciiTheme="minorHAnsi" w:eastAsiaTheme="minorEastAsia" w:hAnsiTheme="minorHAnsi" w:cstheme="minorBidi"/>
          <w:szCs w:val="22"/>
        </w:rPr>
      </w:pPr>
      <w:r>
        <w:t>97VC.</w:t>
      </w:r>
      <w:r>
        <w:tab/>
        <w:t>Registrar’s powers for s. 97VB</w:t>
      </w:r>
      <w:r>
        <w:tab/>
      </w:r>
      <w:r>
        <w:fldChar w:fldCharType="begin"/>
      </w:r>
      <w:r>
        <w:instrText xml:space="preserve"> PAGEREF _Toc98770115 \h </w:instrText>
      </w:r>
      <w:r>
        <w:fldChar w:fldCharType="separate"/>
      </w:r>
      <w:r>
        <w:t>249</w:t>
      </w:r>
      <w:r>
        <w:fldChar w:fldCharType="end"/>
      </w:r>
    </w:p>
    <w:p>
      <w:pPr>
        <w:pStyle w:val="TOC8"/>
        <w:rPr>
          <w:rFonts w:asciiTheme="minorHAnsi" w:eastAsiaTheme="minorEastAsia" w:hAnsiTheme="minorHAnsi" w:cstheme="minorBidi"/>
          <w:szCs w:val="22"/>
        </w:rPr>
      </w:pPr>
      <w:r>
        <w:t>97VD.</w:t>
      </w:r>
      <w:r>
        <w:tab/>
        <w:t>Registrar to notify parties of certain deficiencies in EEA</w:t>
      </w:r>
      <w:r>
        <w:tab/>
      </w:r>
      <w:r>
        <w:fldChar w:fldCharType="begin"/>
      </w:r>
      <w:r>
        <w:instrText xml:space="preserve"> PAGEREF _Toc98770116 \h </w:instrText>
      </w:r>
      <w:r>
        <w:fldChar w:fldCharType="separate"/>
      </w:r>
      <w:r>
        <w:t>249</w:t>
      </w:r>
      <w:r>
        <w:fldChar w:fldCharType="end"/>
      </w:r>
    </w:p>
    <w:p>
      <w:pPr>
        <w:pStyle w:val="TOC8"/>
        <w:rPr>
          <w:rFonts w:asciiTheme="minorHAnsi" w:eastAsiaTheme="minorEastAsia" w:hAnsiTheme="minorHAnsi" w:cstheme="minorBidi"/>
          <w:szCs w:val="22"/>
        </w:rPr>
      </w:pPr>
      <w:r>
        <w:t>97VE.</w:t>
      </w:r>
      <w:r>
        <w:tab/>
        <w:t>Parties may correct deficiencies in EEA</w:t>
      </w:r>
      <w:r>
        <w:tab/>
      </w:r>
      <w:r>
        <w:fldChar w:fldCharType="begin"/>
      </w:r>
      <w:r>
        <w:instrText xml:space="preserve"> PAGEREF _Toc98770117 \h </w:instrText>
      </w:r>
      <w:r>
        <w:fldChar w:fldCharType="separate"/>
      </w:r>
      <w:r>
        <w:t>250</w:t>
      </w:r>
      <w:r>
        <w:fldChar w:fldCharType="end"/>
      </w:r>
    </w:p>
    <w:p>
      <w:pPr>
        <w:pStyle w:val="TOC8"/>
        <w:rPr>
          <w:rFonts w:asciiTheme="minorHAnsi" w:eastAsiaTheme="minorEastAsia" w:hAnsiTheme="minorHAnsi" w:cstheme="minorBidi"/>
          <w:szCs w:val="22"/>
        </w:rPr>
      </w:pPr>
      <w:r>
        <w:t>97VF.</w:t>
      </w:r>
      <w:r>
        <w:tab/>
        <w:t>Registration of EEA</w:t>
      </w:r>
      <w:r>
        <w:tab/>
      </w:r>
      <w:r>
        <w:fldChar w:fldCharType="begin"/>
      </w:r>
      <w:r>
        <w:instrText xml:space="preserve"> PAGEREF _Toc98770118 \h </w:instrText>
      </w:r>
      <w:r>
        <w:fldChar w:fldCharType="separate"/>
      </w:r>
      <w:r>
        <w:t>250</w:t>
      </w:r>
      <w:r>
        <w:fldChar w:fldCharType="end"/>
      </w:r>
    </w:p>
    <w:p>
      <w:pPr>
        <w:pStyle w:val="TOC8"/>
        <w:rPr>
          <w:rFonts w:asciiTheme="minorHAnsi" w:eastAsiaTheme="minorEastAsia" w:hAnsiTheme="minorHAnsi" w:cstheme="minorBidi"/>
          <w:szCs w:val="22"/>
        </w:rPr>
      </w:pPr>
      <w:r>
        <w:t>97VG.</w:t>
      </w:r>
      <w:r>
        <w:tab/>
        <w:t>Refusal of registration of EEA</w:t>
      </w:r>
      <w:r>
        <w:tab/>
      </w:r>
      <w:r>
        <w:fldChar w:fldCharType="begin"/>
      </w:r>
      <w:r>
        <w:instrText xml:space="preserve"> PAGEREF _Toc98770119 \h </w:instrText>
      </w:r>
      <w:r>
        <w:fldChar w:fldCharType="separate"/>
      </w:r>
      <w:r>
        <w:t>251</w:t>
      </w:r>
      <w:r>
        <w:fldChar w:fldCharType="end"/>
      </w:r>
    </w:p>
    <w:p>
      <w:pPr>
        <w:pStyle w:val="TOC8"/>
        <w:rPr>
          <w:rFonts w:asciiTheme="minorHAnsi" w:eastAsiaTheme="minorEastAsia" w:hAnsiTheme="minorHAnsi" w:cstheme="minorBidi"/>
          <w:szCs w:val="22"/>
        </w:rPr>
      </w:pPr>
      <w:r>
        <w:t>97VH.</w:t>
      </w:r>
      <w:r>
        <w:tab/>
        <w:t>When refusal has effect</w:t>
      </w:r>
      <w:r>
        <w:tab/>
      </w:r>
      <w:r>
        <w:fldChar w:fldCharType="begin"/>
      </w:r>
      <w:r>
        <w:instrText xml:space="preserve"> PAGEREF _Toc98770120 \h </w:instrText>
      </w:r>
      <w:r>
        <w:fldChar w:fldCharType="separate"/>
      </w:r>
      <w:r>
        <w:t>251</w:t>
      </w:r>
      <w:r>
        <w:fldChar w:fldCharType="end"/>
      </w:r>
    </w:p>
    <w:p>
      <w:pPr>
        <w:pStyle w:val="TOC8"/>
        <w:rPr>
          <w:rFonts w:asciiTheme="minorHAnsi" w:eastAsiaTheme="minorEastAsia" w:hAnsiTheme="minorHAnsi" w:cstheme="minorBidi"/>
          <w:szCs w:val="22"/>
        </w:rPr>
      </w:pPr>
      <w:r>
        <w:t>97VI.</w:t>
      </w:r>
      <w:r>
        <w:tab/>
        <w:t>EEA for new employee refused registration, effect ceases</w:t>
      </w:r>
      <w:r>
        <w:tab/>
      </w:r>
      <w:r>
        <w:fldChar w:fldCharType="begin"/>
      </w:r>
      <w:r>
        <w:instrText xml:space="preserve"> PAGEREF _Toc98770121 \h </w:instrText>
      </w:r>
      <w:r>
        <w:fldChar w:fldCharType="separate"/>
      </w:r>
      <w:r>
        <w:t>251</w:t>
      </w:r>
      <w:r>
        <w:fldChar w:fldCharType="end"/>
      </w:r>
    </w:p>
    <w:p>
      <w:pPr>
        <w:pStyle w:val="TOC8"/>
        <w:rPr>
          <w:rFonts w:asciiTheme="minorHAnsi" w:eastAsiaTheme="minorEastAsia" w:hAnsiTheme="minorHAnsi" w:cstheme="minorBidi"/>
          <w:szCs w:val="22"/>
        </w:rPr>
      </w:pPr>
      <w:r>
        <w:t>97VJ</w:t>
      </w:r>
      <w:r>
        <w:rPr>
          <w:snapToGrid w:val="0"/>
        </w:rPr>
        <w:t>.</w:t>
      </w:r>
      <w:r>
        <w:rPr>
          <w:snapToGrid w:val="0"/>
        </w:rPr>
        <w:tab/>
        <w:t>Recovery of money if s. 97VI applies</w:t>
      </w:r>
      <w:r>
        <w:tab/>
      </w:r>
      <w:r>
        <w:fldChar w:fldCharType="begin"/>
      </w:r>
      <w:r>
        <w:instrText xml:space="preserve"> PAGEREF _Toc98770122 \h </w:instrText>
      </w:r>
      <w:r>
        <w:fldChar w:fldCharType="separate"/>
      </w:r>
      <w:r>
        <w:t>252</w:t>
      </w:r>
      <w:r>
        <w:fldChar w:fldCharType="end"/>
      </w:r>
    </w:p>
    <w:p>
      <w:pPr>
        <w:pStyle w:val="TOC8"/>
        <w:rPr>
          <w:rFonts w:asciiTheme="minorHAnsi" w:eastAsiaTheme="minorEastAsia" w:hAnsiTheme="minorHAnsi" w:cstheme="minorBidi"/>
          <w:szCs w:val="22"/>
        </w:rPr>
      </w:pPr>
      <w:r>
        <w:t>97VK.</w:t>
      </w:r>
      <w:r>
        <w:tab/>
        <w:t>Employment conditions of new employee if registration refused</w:t>
      </w:r>
      <w:r>
        <w:tab/>
      </w:r>
      <w:r>
        <w:fldChar w:fldCharType="begin"/>
      </w:r>
      <w:r>
        <w:instrText xml:space="preserve"> PAGEREF _Toc98770123 \h </w:instrText>
      </w:r>
      <w:r>
        <w:fldChar w:fldCharType="separate"/>
      </w:r>
      <w:r>
        <w:t>252</w:t>
      </w:r>
      <w:r>
        <w:fldChar w:fldCharType="end"/>
      </w:r>
    </w:p>
    <w:p>
      <w:pPr>
        <w:pStyle w:val="TOC8"/>
        <w:rPr>
          <w:rFonts w:asciiTheme="minorHAnsi" w:eastAsiaTheme="minorEastAsia" w:hAnsiTheme="minorHAnsi" w:cstheme="minorBidi"/>
          <w:szCs w:val="22"/>
        </w:rPr>
      </w:pPr>
      <w:r>
        <w:t>97VL.</w:t>
      </w:r>
      <w:r>
        <w:tab/>
        <w:t>Registrar to provide copy of registered EEA</w:t>
      </w:r>
      <w:r>
        <w:tab/>
      </w:r>
      <w:r>
        <w:fldChar w:fldCharType="begin"/>
      </w:r>
      <w:r>
        <w:instrText xml:space="preserve"> PAGEREF _Toc98770124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refusal of registration</w:t>
      </w:r>
    </w:p>
    <w:p>
      <w:pPr>
        <w:pStyle w:val="TOC8"/>
        <w:rPr>
          <w:rFonts w:asciiTheme="minorHAnsi" w:eastAsiaTheme="minorEastAsia" w:hAnsiTheme="minorHAnsi" w:cstheme="minorBidi"/>
          <w:szCs w:val="22"/>
        </w:rPr>
      </w:pPr>
      <w:r>
        <w:t>97VM.</w:t>
      </w:r>
      <w:r>
        <w:tab/>
        <w:t>Appeal against refusal of registration</w:t>
      </w:r>
      <w:r>
        <w:tab/>
      </w:r>
      <w:r>
        <w:fldChar w:fldCharType="begin"/>
      </w:r>
      <w:r>
        <w:instrText xml:space="preserve"> PAGEREF _Toc98770126 \h </w:instrText>
      </w:r>
      <w:r>
        <w:fldChar w:fldCharType="separate"/>
      </w:r>
      <w:r>
        <w:t>253</w:t>
      </w:r>
      <w:r>
        <w:fldChar w:fldCharType="end"/>
      </w:r>
    </w:p>
    <w:p>
      <w:pPr>
        <w:pStyle w:val="TOC8"/>
        <w:rPr>
          <w:rFonts w:asciiTheme="minorHAnsi" w:eastAsiaTheme="minorEastAsia" w:hAnsiTheme="minorHAnsi" w:cstheme="minorBidi"/>
          <w:szCs w:val="22"/>
        </w:rPr>
      </w:pPr>
      <w:r>
        <w:t>97VN.</w:t>
      </w:r>
      <w:r>
        <w:tab/>
        <w:t>Relevant industrial authority to notify parties of certain deficiencies in EEA</w:t>
      </w:r>
      <w:r>
        <w:tab/>
      </w:r>
      <w:r>
        <w:fldChar w:fldCharType="begin"/>
      </w:r>
      <w:r>
        <w:instrText xml:space="preserve"> PAGEREF _Toc98770127 \h </w:instrText>
      </w:r>
      <w:r>
        <w:fldChar w:fldCharType="separate"/>
      </w:r>
      <w:r>
        <w:t>254</w:t>
      </w:r>
      <w:r>
        <w:fldChar w:fldCharType="end"/>
      </w:r>
    </w:p>
    <w:p>
      <w:pPr>
        <w:pStyle w:val="TOC8"/>
        <w:rPr>
          <w:rFonts w:asciiTheme="minorHAnsi" w:eastAsiaTheme="minorEastAsia" w:hAnsiTheme="minorHAnsi" w:cstheme="minorBidi"/>
          <w:szCs w:val="22"/>
        </w:rPr>
      </w:pPr>
      <w:r>
        <w:t>97VO.</w:t>
      </w:r>
      <w:r>
        <w:tab/>
        <w:t>Parties may correct deficiencies in EEA</w:t>
      </w:r>
      <w:r>
        <w:tab/>
      </w:r>
      <w:r>
        <w:fldChar w:fldCharType="begin"/>
      </w:r>
      <w:r>
        <w:instrText xml:space="preserve"> PAGEREF _Toc98770128 \h </w:instrText>
      </w:r>
      <w:r>
        <w:fldChar w:fldCharType="separate"/>
      </w:r>
      <w:r>
        <w:t>254</w:t>
      </w:r>
      <w:r>
        <w:fldChar w:fldCharType="end"/>
      </w:r>
    </w:p>
    <w:p>
      <w:pPr>
        <w:pStyle w:val="TOC8"/>
        <w:rPr>
          <w:rFonts w:asciiTheme="minorHAnsi" w:eastAsiaTheme="minorEastAsia" w:hAnsiTheme="minorHAnsi" w:cstheme="minorBidi"/>
          <w:szCs w:val="22"/>
        </w:rPr>
      </w:pPr>
      <w:r>
        <w:t>97VP.</w:t>
      </w:r>
      <w:r>
        <w:tab/>
        <w:t>Determination of appeal</w:t>
      </w:r>
      <w:r>
        <w:tab/>
      </w:r>
      <w:r>
        <w:fldChar w:fldCharType="begin"/>
      </w:r>
      <w:r>
        <w:instrText xml:space="preserve"> PAGEREF _Toc98770129 \h </w:instrText>
      </w:r>
      <w:r>
        <w:fldChar w:fldCharType="separate"/>
      </w:r>
      <w:r>
        <w:t>255</w:t>
      </w:r>
      <w:r>
        <w:fldChar w:fldCharType="end"/>
      </w:r>
    </w:p>
    <w:p>
      <w:pPr>
        <w:pStyle w:val="TOC8"/>
        <w:rPr>
          <w:rFonts w:asciiTheme="minorHAnsi" w:eastAsiaTheme="minorEastAsia" w:hAnsiTheme="minorHAnsi" w:cstheme="minorBidi"/>
          <w:szCs w:val="22"/>
        </w:rPr>
      </w:pPr>
      <w:r>
        <w:t>97VQ.</w:t>
      </w:r>
      <w:r>
        <w:tab/>
        <w:t>Procedure on appeal</w:t>
      </w:r>
      <w:r>
        <w:tab/>
      </w:r>
      <w:r>
        <w:fldChar w:fldCharType="begin"/>
      </w:r>
      <w:r>
        <w:instrText xml:space="preserve"> PAGEREF _Toc98770130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No</w:t>
      </w:r>
      <w:r>
        <w:noBreakHyphen/>
        <w:t>disadvantage test</w:t>
      </w:r>
    </w:p>
    <w:p>
      <w:pPr>
        <w:pStyle w:val="TOC6"/>
        <w:tabs>
          <w:tab w:val="right" w:leader="dot" w:pos="7077"/>
        </w:tabs>
        <w:rPr>
          <w:rFonts w:asciiTheme="minorHAnsi" w:eastAsiaTheme="minorEastAsia" w:hAnsiTheme="minorHAnsi" w:cstheme="minorBidi"/>
          <w:b w:val="0"/>
          <w:sz w:val="22"/>
          <w:szCs w:val="22"/>
        </w:rPr>
      </w:pPr>
      <w:r>
        <w:t>Subdivision 1 — Definition</w:t>
      </w:r>
    </w:p>
    <w:p>
      <w:pPr>
        <w:pStyle w:val="TOC8"/>
        <w:rPr>
          <w:rFonts w:asciiTheme="minorHAnsi" w:eastAsiaTheme="minorEastAsia" w:hAnsiTheme="minorHAnsi" w:cstheme="minorBidi"/>
          <w:szCs w:val="22"/>
        </w:rPr>
      </w:pPr>
      <w:r>
        <w:t>97VR.</w:t>
      </w:r>
      <w:r>
        <w:tab/>
        <w:t>Terms used</w:t>
      </w:r>
      <w:r>
        <w:tab/>
      </w:r>
      <w:r>
        <w:fldChar w:fldCharType="begin"/>
      </w:r>
      <w:r>
        <w:instrText xml:space="preserve"> PAGEREF _Toc98770133 \h </w:instrText>
      </w:r>
      <w:r>
        <w:fldChar w:fldCharType="separate"/>
      </w:r>
      <w:r>
        <w:t>256</w:t>
      </w:r>
      <w:r>
        <w:fldChar w:fldCharType="end"/>
      </w:r>
    </w:p>
    <w:p>
      <w:pPr>
        <w:pStyle w:val="TOC8"/>
        <w:rPr>
          <w:rFonts w:asciiTheme="minorHAnsi" w:eastAsiaTheme="minorEastAsia" w:hAnsiTheme="minorHAnsi" w:cstheme="minorBidi"/>
          <w:szCs w:val="22"/>
        </w:rPr>
      </w:pPr>
      <w:r>
        <w:t>97VS.</w:t>
      </w:r>
      <w:r>
        <w:tab/>
        <w:t>No</w:t>
      </w:r>
      <w:r>
        <w:noBreakHyphen/>
        <w:t>disadvantage test defined</w:t>
      </w:r>
      <w:r>
        <w:tab/>
      </w:r>
      <w:r>
        <w:fldChar w:fldCharType="begin"/>
      </w:r>
      <w:r>
        <w:instrText xml:space="preserve"> PAGEREF _Toc98770134 \h </w:instrText>
      </w:r>
      <w:r>
        <w:fldChar w:fldCharType="separate"/>
      </w:r>
      <w:r>
        <w:t>256</w:t>
      </w:r>
      <w:r>
        <w:fldChar w:fldCharType="end"/>
      </w:r>
    </w:p>
    <w:p>
      <w:pPr>
        <w:pStyle w:val="TOC8"/>
        <w:rPr>
          <w:rFonts w:asciiTheme="minorHAnsi" w:eastAsiaTheme="minorEastAsia" w:hAnsiTheme="minorHAnsi" w:cstheme="minorBidi"/>
          <w:szCs w:val="22"/>
        </w:rPr>
      </w:pPr>
      <w:r>
        <w:t>97VT.</w:t>
      </w:r>
      <w:r>
        <w:tab/>
        <w:t>Determining which award etc. is relevant for s. 97VS</w:t>
      </w:r>
      <w:r>
        <w:tab/>
      </w:r>
      <w:r>
        <w:fldChar w:fldCharType="begin"/>
      </w:r>
      <w:r>
        <w:instrText xml:space="preserve"> PAGEREF _Toc98770135 \h </w:instrText>
      </w:r>
      <w:r>
        <w:fldChar w:fldCharType="separate"/>
      </w:r>
      <w:r>
        <w:t>258</w:t>
      </w:r>
      <w:r>
        <w:fldChar w:fldCharType="end"/>
      </w:r>
    </w:p>
    <w:p>
      <w:pPr>
        <w:pStyle w:val="TOC8"/>
        <w:rPr>
          <w:rFonts w:asciiTheme="minorHAnsi" w:eastAsiaTheme="minorEastAsia" w:hAnsiTheme="minorHAnsi" w:cstheme="minorBidi"/>
          <w:szCs w:val="22"/>
        </w:rPr>
      </w:pPr>
      <w:r>
        <w:t>97VU.</w:t>
      </w:r>
      <w:r>
        <w:tab/>
        <w:t>All entitlements to be considered</w:t>
      </w:r>
      <w:r>
        <w:tab/>
      </w:r>
      <w:r>
        <w:fldChar w:fldCharType="begin"/>
      </w:r>
      <w:r>
        <w:instrText xml:space="preserve"> PAGEREF _Toc98770136 \h </w:instrText>
      </w:r>
      <w:r>
        <w:fldChar w:fldCharType="separate"/>
      </w:r>
      <w:r>
        <w:t>259</w:t>
      </w:r>
      <w:r>
        <w:fldChar w:fldCharType="end"/>
      </w:r>
    </w:p>
    <w:p>
      <w:pPr>
        <w:pStyle w:val="TOC8"/>
        <w:rPr>
          <w:rFonts w:asciiTheme="minorHAnsi" w:eastAsiaTheme="minorEastAsia" w:hAnsiTheme="minorHAnsi" w:cstheme="minorBidi"/>
          <w:szCs w:val="22"/>
        </w:rPr>
      </w:pPr>
      <w:r>
        <w:t>97VV.</w:t>
      </w:r>
      <w:r>
        <w:tab/>
        <w:t>Application of test if Supported Wage System applies</w:t>
      </w:r>
      <w:r>
        <w:tab/>
      </w:r>
      <w:r>
        <w:fldChar w:fldCharType="begin"/>
      </w:r>
      <w:r>
        <w:instrText xml:space="preserve"> PAGEREF _Toc98770137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to be followed in application of no</w:t>
      </w:r>
      <w:r>
        <w:noBreakHyphen/>
        <w:t>disadvantage test</w:t>
      </w:r>
    </w:p>
    <w:p>
      <w:pPr>
        <w:pStyle w:val="TOC8"/>
        <w:rPr>
          <w:rFonts w:asciiTheme="minorHAnsi" w:eastAsiaTheme="minorEastAsia" w:hAnsiTheme="minorHAnsi" w:cstheme="minorBidi"/>
          <w:szCs w:val="22"/>
        </w:rPr>
      </w:pPr>
      <w:r>
        <w:t>97VW.</w:t>
      </w:r>
      <w:r>
        <w:tab/>
      </w:r>
      <w:r>
        <w:rPr>
          <w:snapToGrid w:val="0"/>
        </w:rPr>
        <w:t>Term used: Commission</w:t>
      </w:r>
      <w:r>
        <w:tab/>
      </w:r>
      <w:r>
        <w:fldChar w:fldCharType="begin"/>
      </w:r>
      <w:r>
        <w:instrText xml:space="preserve"> PAGEREF _Toc98770139 \h </w:instrText>
      </w:r>
      <w:r>
        <w:fldChar w:fldCharType="separate"/>
      </w:r>
      <w:r>
        <w:t>260</w:t>
      </w:r>
      <w:r>
        <w:fldChar w:fldCharType="end"/>
      </w:r>
    </w:p>
    <w:p>
      <w:pPr>
        <w:pStyle w:val="TOC8"/>
        <w:rPr>
          <w:rFonts w:asciiTheme="minorHAnsi" w:eastAsiaTheme="minorEastAsia" w:hAnsiTheme="minorHAnsi" w:cstheme="minorBidi"/>
          <w:szCs w:val="22"/>
        </w:rPr>
      </w:pPr>
      <w:r>
        <w:t>97VX.</w:t>
      </w:r>
      <w:r>
        <w:tab/>
        <w:t>Commission to establish principles and guidelines</w:t>
      </w:r>
      <w:r>
        <w:tab/>
      </w:r>
      <w:r>
        <w:fldChar w:fldCharType="begin"/>
      </w:r>
      <w:r>
        <w:instrText xml:space="preserve"> PAGEREF _Toc98770140 \h </w:instrText>
      </w:r>
      <w:r>
        <w:fldChar w:fldCharType="separate"/>
      </w:r>
      <w:r>
        <w:t>260</w:t>
      </w:r>
      <w:r>
        <w:fldChar w:fldCharType="end"/>
      </w:r>
    </w:p>
    <w:p>
      <w:pPr>
        <w:pStyle w:val="TOC8"/>
        <w:rPr>
          <w:rFonts w:asciiTheme="minorHAnsi" w:eastAsiaTheme="minorEastAsia" w:hAnsiTheme="minorHAnsi" w:cstheme="minorBidi"/>
          <w:szCs w:val="22"/>
        </w:rPr>
      </w:pPr>
      <w:r>
        <w:t>97VY.</w:t>
      </w:r>
      <w:r>
        <w:tab/>
        <w:t>Registrar and Commission to give effect to s. 97VX instrument</w:t>
      </w:r>
      <w:r>
        <w:tab/>
      </w:r>
      <w:r>
        <w:fldChar w:fldCharType="begin"/>
      </w:r>
      <w:r>
        <w:instrText xml:space="preserve"> PAGEREF _Toc98770141 \h </w:instrText>
      </w:r>
      <w:r>
        <w:fldChar w:fldCharType="separate"/>
      </w:r>
      <w:r>
        <w:t>260</w:t>
      </w:r>
      <w:r>
        <w:fldChar w:fldCharType="end"/>
      </w:r>
    </w:p>
    <w:p>
      <w:pPr>
        <w:pStyle w:val="TOC8"/>
        <w:rPr>
          <w:rFonts w:asciiTheme="minorHAnsi" w:eastAsiaTheme="minorEastAsia" w:hAnsiTheme="minorHAnsi" w:cstheme="minorBidi"/>
          <w:szCs w:val="22"/>
        </w:rPr>
      </w:pPr>
      <w:r>
        <w:t>97VZ.</w:t>
      </w:r>
      <w:r>
        <w:tab/>
        <w:t>Minister or peak industry body may seek amendment etc. of s. 97VX instrument</w:t>
      </w:r>
      <w:r>
        <w:tab/>
      </w:r>
      <w:r>
        <w:fldChar w:fldCharType="begin"/>
      </w:r>
      <w:r>
        <w:instrText xml:space="preserve"> PAGEREF _Toc98770142 \h </w:instrText>
      </w:r>
      <w:r>
        <w:fldChar w:fldCharType="separate"/>
      </w:r>
      <w:r>
        <w:t>261</w:t>
      </w:r>
      <w:r>
        <w:fldChar w:fldCharType="end"/>
      </w:r>
    </w:p>
    <w:p>
      <w:pPr>
        <w:pStyle w:val="TOC8"/>
        <w:rPr>
          <w:rFonts w:asciiTheme="minorHAnsi" w:eastAsiaTheme="minorEastAsia" w:hAnsiTheme="minorHAnsi" w:cstheme="minorBidi"/>
          <w:szCs w:val="22"/>
        </w:rPr>
      </w:pPr>
      <w:r>
        <w:t>97W.</w:t>
      </w:r>
      <w:r>
        <w:tab/>
        <w:t>Public comment to be sought before s. 97VX instrument amended etc.</w:t>
      </w:r>
      <w:r>
        <w:tab/>
      </w:r>
      <w:r>
        <w:fldChar w:fldCharType="begin"/>
      </w:r>
      <w:r>
        <w:instrText xml:space="preserve"> PAGEREF _Toc98770143 \h </w:instrText>
      </w:r>
      <w:r>
        <w:fldChar w:fldCharType="separate"/>
      </w:r>
      <w:r>
        <w:t>261</w:t>
      </w:r>
      <w:r>
        <w:fldChar w:fldCharType="end"/>
      </w:r>
    </w:p>
    <w:p>
      <w:pPr>
        <w:pStyle w:val="TOC8"/>
        <w:rPr>
          <w:rFonts w:asciiTheme="minorHAnsi" w:eastAsiaTheme="minorEastAsia" w:hAnsiTheme="minorHAnsi" w:cstheme="minorBidi"/>
          <w:szCs w:val="22"/>
        </w:rPr>
      </w:pPr>
      <w:r>
        <w:t>97WA.</w:t>
      </w:r>
      <w:r>
        <w:tab/>
        <w:t>How public comment to be sought</w:t>
      </w:r>
      <w:r>
        <w:tab/>
      </w:r>
      <w:r>
        <w:fldChar w:fldCharType="begin"/>
      </w:r>
      <w:r>
        <w:instrText xml:space="preserve"> PAGEREF _Toc98770144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7 — Register</w:t>
      </w:r>
    </w:p>
    <w:p>
      <w:pPr>
        <w:pStyle w:val="TOC8"/>
        <w:rPr>
          <w:rFonts w:asciiTheme="minorHAnsi" w:eastAsiaTheme="minorEastAsia" w:hAnsiTheme="minorHAnsi" w:cstheme="minorBidi"/>
          <w:szCs w:val="22"/>
        </w:rPr>
      </w:pPr>
      <w:r>
        <w:t>97WB.</w:t>
      </w:r>
      <w:r>
        <w:tab/>
      </w:r>
      <w:r>
        <w:rPr>
          <w:snapToGrid w:val="0"/>
        </w:rPr>
        <w:t>Terms used</w:t>
      </w:r>
      <w:r>
        <w:tab/>
      </w:r>
      <w:r>
        <w:fldChar w:fldCharType="begin"/>
      </w:r>
      <w:r>
        <w:instrText xml:space="preserve"> PAGEREF _Toc98770146 \h </w:instrText>
      </w:r>
      <w:r>
        <w:fldChar w:fldCharType="separate"/>
      </w:r>
      <w:r>
        <w:t>263</w:t>
      </w:r>
      <w:r>
        <w:fldChar w:fldCharType="end"/>
      </w:r>
    </w:p>
    <w:p>
      <w:pPr>
        <w:pStyle w:val="TOC8"/>
        <w:rPr>
          <w:rFonts w:asciiTheme="minorHAnsi" w:eastAsiaTheme="minorEastAsia" w:hAnsiTheme="minorHAnsi" w:cstheme="minorBidi"/>
          <w:szCs w:val="22"/>
        </w:rPr>
      </w:pPr>
      <w:r>
        <w:t>97WC.</w:t>
      </w:r>
      <w:r>
        <w:tab/>
        <w:t>Register of EEAs</w:t>
      </w:r>
      <w:r>
        <w:tab/>
      </w:r>
      <w:r>
        <w:fldChar w:fldCharType="begin"/>
      </w:r>
      <w:r>
        <w:instrText xml:space="preserve"> PAGEREF _Toc98770147 \h </w:instrText>
      </w:r>
      <w:r>
        <w:fldChar w:fldCharType="separate"/>
      </w:r>
      <w:r>
        <w:t>263</w:t>
      </w:r>
      <w:r>
        <w:fldChar w:fldCharType="end"/>
      </w:r>
    </w:p>
    <w:p>
      <w:pPr>
        <w:pStyle w:val="TOC8"/>
        <w:rPr>
          <w:rFonts w:asciiTheme="minorHAnsi" w:eastAsiaTheme="minorEastAsia" w:hAnsiTheme="minorHAnsi" w:cstheme="minorBidi"/>
          <w:szCs w:val="22"/>
        </w:rPr>
      </w:pPr>
      <w:r>
        <w:t>97WD.</w:t>
      </w:r>
      <w:r>
        <w:tab/>
        <w:t>Inspection of register</w:t>
      </w:r>
      <w:r>
        <w:tab/>
      </w:r>
      <w:r>
        <w:fldChar w:fldCharType="begin"/>
      </w:r>
      <w:r>
        <w:instrText xml:space="preserve"> PAGEREF _Toc98770148 \h </w:instrText>
      </w:r>
      <w:r>
        <w:fldChar w:fldCharType="separate"/>
      </w:r>
      <w:r>
        <w:t>264</w:t>
      </w:r>
      <w:r>
        <w:fldChar w:fldCharType="end"/>
      </w:r>
    </w:p>
    <w:p>
      <w:pPr>
        <w:pStyle w:val="TOC8"/>
        <w:rPr>
          <w:rFonts w:asciiTheme="minorHAnsi" w:eastAsiaTheme="minorEastAsia" w:hAnsiTheme="minorHAnsi" w:cstheme="minorBidi"/>
          <w:szCs w:val="22"/>
        </w:rPr>
      </w:pPr>
      <w:r>
        <w:t>97WE.</w:t>
      </w:r>
      <w:r>
        <w:tab/>
        <w:t>Commission may exempt an EEA from inspection</w:t>
      </w:r>
      <w:r>
        <w:tab/>
      </w:r>
      <w:r>
        <w:fldChar w:fldCharType="begin"/>
      </w:r>
      <w:r>
        <w:instrText xml:space="preserve"> PAGEREF _Toc98770149 \h </w:instrText>
      </w:r>
      <w:r>
        <w:fldChar w:fldCharType="separate"/>
      </w:r>
      <w:r>
        <w:t>264</w:t>
      </w:r>
      <w:r>
        <w:fldChar w:fldCharType="end"/>
      </w:r>
    </w:p>
    <w:p>
      <w:pPr>
        <w:pStyle w:val="TOC8"/>
        <w:rPr>
          <w:rFonts w:asciiTheme="minorHAnsi" w:eastAsiaTheme="minorEastAsia" w:hAnsiTheme="minorHAnsi" w:cstheme="minorBidi"/>
          <w:szCs w:val="22"/>
        </w:rPr>
      </w:pPr>
      <w:r>
        <w:t>97WF.</w:t>
      </w:r>
      <w:r>
        <w:tab/>
        <w:t>Protected information not to be disclosed</w:t>
      </w:r>
      <w:r>
        <w:tab/>
      </w:r>
      <w:r>
        <w:fldChar w:fldCharType="begin"/>
      </w:r>
      <w:r>
        <w:instrText xml:space="preserve"> PAGEREF _Toc98770150 \h </w:instrText>
      </w:r>
      <w:r>
        <w:fldChar w:fldCharType="separate"/>
      </w:r>
      <w:r>
        <w:t>264</w:t>
      </w:r>
      <w:r>
        <w:fldChar w:fldCharType="end"/>
      </w:r>
    </w:p>
    <w:p>
      <w:pPr>
        <w:pStyle w:val="TOC8"/>
        <w:rPr>
          <w:rFonts w:asciiTheme="minorHAnsi" w:eastAsiaTheme="minorEastAsia" w:hAnsiTheme="minorHAnsi" w:cstheme="minorBidi"/>
          <w:szCs w:val="22"/>
        </w:rPr>
      </w:pPr>
      <w:r>
        <w:t>97WG.</w:t>
      </w:r>
      <w:r>
        <w:tab/>
        <w:t>Certified copies of EEAs</w:t>
      </w:r>
      <w:r>
        <w:tab/>
      </w:r>
      <w:r>
        <w:fldChar w:fldCharType="begin"/>
      </w:r>
      <w:r>
        <w:instrText xml:space="preserve"> PAGEREF _Toc98770151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8 — Disputes</w:t>
      </w:r>
    </w:p>
    <w:p>
      <w:pPr>
        <w:pStyle w:val="TOC8"/>
        <w:rPr>
          <w:rFonts w:asciiTheme="minorHAnsi" w:eastAsiaTheme="minorEastAsia" w:hAnsiTheme="minorHAnsi" w:cstheme="minorBidi"/>
          <w:szCs w:val="22"/>
        </w:rPr>
      </w:pPr>
      <w:r>
        <w:t>97WH.</w:t>
      </w:r>
      <w:r>
        <w:tab/>
      </w:r>
      <w:r>
        <w:rPr>
          <w:snapToGrid w:val="0"/>
        </w:rPr>
        <w:t>Terms used</w:t>
      </w:r>
      <w:r>
        <w:tab/>
      </w:r>
      <w:r>
        <w:fldChar w:fldCharType="begin"/>
      </w:r>
      <w:r>
        <w:instrText xml:space="preserve"> PAGEREF _Toc98770153 \h </w:instrText>
      </w:r>
      <w:r>
        <w:fldChar w:fldCharType="separate"/>
      </w:r>
      <w:r>
        <w:t>265</w:t>
      </w:r>
      <w:r>
        <w:fldChar w:fldCharType="end"/>
      </w:r>
    </w:p>
    <w:p>
      <w:pPr>
        <w:pStyle w:val="TOC8"/>
        <w:rPr>
          <w:rFonts w:asciiTheme="minorHAnsi" w:eastAsiaTheme="minorEastAsia" w:hAnsiTheme="minorHAnsi" w:cstheme="minorBidi"/>
          <w:szCs w:val="22"/>
        </w:rPr>
      </w:pPr>
      <w:r>
        <w:t>97WI.</w:t>
      </w:r>
      <w:r>
        <w:tab/>
        <w:t>Arbitration jurisdiction of relevant industrial authority</w:t>
      </w:r>
      <w:r>
        <w:tab/>
      </w:r>
      <w:r>
        <w:fldChar w:fldCharType="begin"/>
      </w:r>
      <w:r>
        <w:instrText xml:space="preserve"> PAGEREF _Toc98770154 \h </w:instrText>
      </w:r>
      <w:r>
        <w:fldChar w:fldCharType="separate"/>
      </w:r>
      <w:r>
        <w:t>266</w:t>
      </w:r>
      <w:r>
        <w:fldChar w:fldCharType="end"/>
      </w:r>
    </w:p>
    <w:p>
      <w:pPr>
        <w:pStyle w:val="TOC8"/>
        <w:rPr>
          <w:rFonts w:asciiTheme="minorHAnsi" w:eastAsiaTheme="minorEastAsia" w:hAnsiTheme="minorHAnsi" w:cstheme="minorBidi"/>
          <w:szCs w:val="22"/>
        </w:rPr>
      </w:pPr>
      <w:r>
        <w:t>97WJ.</w:t>
      </w:r>
      <w:r>
        <w:tab/>
        <w:t>Representation of parties</w:t>
      </w:r>
      <w:r>
        <w:tab/>
      </w:r>
      <w:r>
        <w:fldChar w:fldCharType="begin"/>
      </w:r>
      <w:r>
        <w:instrText xml:space="preserve"> PAGEREF _Toc98770155 \h </w:instrText>
      </w:r>
      <w:r>
        <w:fldChar w:fldCharType="separate"/>
      </w:r>
      <w:r>
        <w:t>266</w:t>
      </w:r>
      <w:r>
        <w:fldChar w:fldCharType="end"/>
      </w:r>
    </w:p>
    <w:p>
      <w:pPr>
        <w:pStyle w:val="TOC8"/>
        <w:rPr>
          <w:rFonts w:asciiTheme="minorHAnsi" w:eastAsiaTheme="minorEastAsia" w:hAnsiTheme="minorHAnsi" w:cstheme="minorBidi"/>
          <w:szCs w:val="22"/>
        </w:rPr>
      </w:pPr>
      <w:r>
        <w:t>97WK.</w:t>
      </w:r>
      <w:r>
        <w:tab/>
        <w:t>Alleged delay in dispute resolution, referral of to relevant industrial authority etc.</w:t>
      </w:r>
      <w:r>
        <w:tab/>
      </w:r>
      <w:r>
        <w:fldChar w:fldCharType="begin"/>
      </w:r>
      <w:r>
        <w:instrText xml:space="preserve"> PAGEREF _Toc98770156 \h </w:instrText>
      </w:r>
      <w:r>
        <w:fldChar w:fldCharType="separate"/>
      </w:r>
      <w:r>
        <w:t>266</w:t>
      </w:r>
      <w:r>
        <w:fldChar w:fldCharType="end"/>
      </w:r>
    </w:p>
    <w:p>
      <w:pPr>
        <w:pStyle w:val="TOC8"/>
        <w:rPr>
          <w:rFonts w:asciiTheme="minorHAnsi" w:eastAsiaTheme="minorEastAsia" w:hAnsiTheme="minorHAnsi" w:cstheme="minorBidi"/>
          <w:szCs w:val="22"/>
        </w:rPr>
      </w:pPr>
      <w:r>
        <w:t>97WL.</w:t>
      </w:r>
      <w:r>
        <w:tab/>
        <w:t>Several disputes may be subject of one arbitration</w:t>
      </w:r>
      <w:r>
        <w:tab/>
      </w:r>
      <w:r>
        <w:fldChar w:fldCharType="begin"/>
      </w:r>
      <w:r>
        <w:instrText xml:space="preserve"> PAGEREF _Toc98770157 \h </w:instrText>
      </w:r>
      <w:r>
        <w:fldChar w:fldCharType="separate"/>
      </w:r>
      <w:r>
        <w:t>267</w:t>
      </w:r>
      <w:r>
        <w:fldChar w:fldCharType="end"/>
      </w:r>
    </w:p>
    <w:p>
      <w:pPr>
        <w:pStyle w:val="TOC8"/>
        <w:rPr>
          <w:rFonts w:asciiTheme="minorHAnsi" w:eastAsiaTheme="minorEastAsia" w:hAnsiTheme="minorHAnsi" w:cstheme="minorBidi"/>
          <w:szCs w:val="22"/>
        </w:rPr>
      </w:pPr>
      <w:r>
        <w:t>97WM.</w:t>
      </w:r>
      <w:r>
        <w:tab/>
        <w:t>Arbitrator’s power to obtain information</w:t>
      </w:r>
      <w:r>
        <w:tab/>
      </w:r>
      <w:r>
        <w:fldChar w:fldCharType="begin"/>
      </w:r>
      <w:r>
        <w:instrText xml:space="preserve"> PAGEREF _Toc98770158 \h </w:instrText>
      </w:r>
      <w:r>
        <w:fldChar w:fldCharType="separate"/>
      </w:r>
      <w:r>
        <w:t>268</w:t>
      </w:r>
      <w:r>
        <w:fldChar w:fldCharType="end"/>
      </w:r>
    </w:p>
    <w:p>
      <w:pPr>
        <w:pStyle w:val="TOC8"/>
        <w:rPr>
          <w:rFonts w:asciiTheme="minorHAnsi" w:eastAsiaTheme="minorEastAsia" w:hAnsiTheme="minorHAnsi" w:cstheme="minorBidi"/>
          <w:szCs w:val="22"/>
        </w:rPr>
      </w:pPr>
      <w:r>
        <w:t>97WN.</w:t>
      </w:r>
      <w:r>
        <w:tab/>
        <w:t>Orders and determinations of arbitrators</w:t>
      </w:r>
      <w:r>
        <w:tab/>
      </w:r>
      <w:r>
        <w:fldChar w:fldCharType="begin"/>
      </w:r>
      <w:r>
        <w:instrText xml:space="preserve"> PAGEREF _Toc98770159 \h </w:instrText>
      </w:r>
      <w:r>
        <w:fldChar w:fldCharType="separate"/>
      </w:r>
      <w:r>
        <w:t>268</w:t>
      </w:r>
      <w:r>
        <w:fldChar w:fldCharType="end"/>
      </w:r>
    </w:p>
    <w:p>
      <w:pPr>
        <w:pStyle w:val="TOC8"/>
        <w:rPr>
          <w:rFonts w:asciiTheme="minorHAnsi" w:eastAsiaTheme="minorEastAsia" w:hAnsiTheme="minorHAnsi" w:cstheme="minorBidi"/>
          <w:szCs w:val="22"/>
        </w:rPr>
      </w:pPr>
      <w:r>
        <w:t>97WO.</w:t>
      </w:r>
      <w:r>
        <w:tab/>
        <w:t>Orders and determinations, form of etc.</w:t>
      </w:r>
      <w:r>
        <w:tab/>
      </w:r>
      <w:r>
        <w:fldChar w:fldCharType="begin"/>
      </w:r>
      <w:r>
        <w:instrText xml:space="preserve"> PAGEREF _Toc98770160 \h </w:instrText>
      </w:r>
      <w:r>
        <w:fldChar w:fldCharType="separate"/>
      </w:r>
      <w:r>
        <w:t>269</w:t>
      </w:r>
      <w:r>
        <w:fldChar w:fldCharType="end"/>
      </w:r>
    </w:p>
    <w:p>
      <w:pPr>
        <w:pStyle w:val="TOC8"/>
        <w:rPr>
          <w:rFonts w:asciiTheme="minorHAnsi" w:eastAsiaTheme="minorEastAsia" w:hAnsiTheme="minorHAnsi" w:cstheme="minorBidi"/>
          <w:szCs w:val="22"/>
        </w:rPr>
      </w:pPr>
      <w:r>
        <w:t>97WP.</w:t>
      </w:r>
      <w:r>
        <w:tab/>
        <w:t>Enforcing orders and determinations</w:t>
      </w:r>
      <w:r>
        <w:tab/>
      </w:r>
      <w:r>
        <w:fldChar w:fldCharType="begin"/>
      </w:r>
      <w:r>
        <w:instrText xml:space="preserve"> PAGEREF _Toc98770161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97WQ.</w:t>
      </w:r>
      <w:r>
        <w:tab/>
        <w:t>Industrial magistrate’s court not bound by arbitrator’s interpretation of EEA</w:t>
      </w:r>
      <w:r>
        <w:tab/>
      </w:r>
      <w:r>
        <w:fldChar w:fldCharType="begin"/>
      </w:r>
      <w:r>
        <w:instrText xml:space="preserve"> PAGEREF _Toc98770162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9 — EEAs for persons with mental disabilities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97WR.</w:t>
      </w:r>
      <w:r>
        <w:tab/>
        <w:t>Terms used</w:t>
      </w:r>
      <w:r>
        <w:tab/>
      </w:r>
      <w:r>
        <w:fldChar w:fldCharType="begin"/>
      </w:r>
      <w:r>
        <w:instrText xml:space="preserve"> PAGEREF _Toc98770165 \h </w:instrText>
      </w:r>
      <w:r>
        <w:fldChar w:fldCharType="separate"/>
      </w:r>
      <w:r>
        <w:t>270</w:t>
      </w:r>
      <w:r>
        <w:fldChar w:fldCharType="end"/>
      </w:r>
    </w:p>
    <w:p>
      <w:pPr>
        <w:pStyle w:val="TOC8"/>
        <w:rPr>
          <w:rFonts w:asciiTheme="minorHAnsi" w:eastAsiaTheme="minorEastAsia" w:hAnsiTheme="minorHAnsi" w:cstheme="minorBidi"/>
          <w:szCs w:val="22"/>
        </w:rPr>
      </w:pPr>
      <w:r>
        <w:t>97WS.</w:t>
      </w:r>
      <w:r>
        <w:tab/>
      </w:r>
      <w:r>
        <w:rPr>
          <w:i/>
        </w:rPr>
        <w:t>Guardianship and Administration Act 1990</w:t>
      </w:r>
      <w:r>
        <w:t>, relationship of this Division to</w:t>
      </w:r>
      <w:r>
        <w:tab/>
      </w:r>
      <w:r>
        <w:fldChar w:fldCharType="begin"/>
      </w:r>
      <w:r>
        <w:instrText xml:space="preserve"> PAGEREF _Toc98770166 \h </w:instrText>
      </w:r>
      <w:r>
        <w:fldChar w:fldCharType="separate"/>
      </w:r>
      <w:r>
        <w:t>271</w:t>
      </w:r>
      <w:r>
        <w:fldChar w:fldCharType="end"/>
      </w:r>
    </w:p>
    <w:p>
      <w:pPr>
        <w:pStyle w:val="TOC8"/>
        <w:rPr>
          <w:rFonts w:asciiTheme="minorHAnsi" w:eastAsiaTheme="minorEastAsia" w:hAnsiTheme="minorHAnsi" w:cstheme="minorBidi"/>
          <w:szCs w:val="22"/>
        </w:rPr>
      </w:pPr>
      <w:r>
        <w:t>97WT.</w:t>
      </w:r>
      <w:r>
        <w:tab/>
        <w:t>Registrar to notify Public Advocate of applications and orders for approval of representative</w:t>
      </w:r>
      <w:r>
        <w:tab/>
      </w:r>
      <w:r>
        <w:fldChar w:fldCharType="begin"/>
      </w:r>
      <w:r>
        <w:instrText xml:space="preserve"> PAGEREF _Toc98770167 \h </w:instrText>
      </w:r>
      <w:r>
        <w:fldChar w:fldCharType="separate"/>
      </w:r>
      <w:r>
        <w:t>272</w:t>
      </w:r>
      <w:r>
        <w:fldChar w:fldCharType="end"/>
      </w:r>
    </w:p>
    <w:p>
      <w:pPr>
        <w:pStyle w:val="TOC8"/>
        <w:rPr>
          <w:rFonts w:asciiTheme="minorHAnsi" w:eastAsiaTheme="minorEastAsia" w:hAnsiTheme="minorHAnsi" w:cstheme="minorBidi"/>
          <w:szCs w:val="22"/>
        </w:rPr>
      </w:pPr>
      <w:r>
        <w:t>97WU.</w:t>
      </w:r>
      <w:r>
        <w:tab/>
        <w:t>Public Advocate to notify Registrar of relevant guardianship orders</w:t>
      </w:r>
      <w:r>
        <w:tab/>
      </w:r>
      <w:r>
        <w:fldChar w:fldCharType="begin"/>
      </w:r>
      <w:r>
        <w:instrText xml:space="preserve"> PAGEREF _Toc98770168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person to act on behalf of person with a mental disability</w:t>
      </w:r>
    </w:p>
    <w:p>
      <w:pPr>
        <w:pStyle w:val="TOC8"/>
        <w:rPr>
          <w:rFonts w:asciiTheme="minorHAnsi" w:eastAsiaTheme="minorEastAsia" w:hAnsiTheme="minorHAnsi" w:cstheme="minorBidi"/>
          <w:szCs w:val="22"/>
        </w:rPr>
      </w:pPr>
      <w:r>
        <w:t>97WV.</w:t>
      </w:r>
      <w:r>
        <w:tab/>
        <w:t>Application for approval</w:t>
      </w:r>
      <w:r>
        <w:tab/>
      </w:r>
      <w:r>
        <w:fldChar w:fldCharType="begin"/>
      </w:r>
      <w:r>
        <w:instrText xml:space="preserve"> PAGEREF _Toc98770170 \h </w:instrText>
      </w:r>
      <w:r>
        <w:fldChar w:fldCharType="separate"/>
      </w:r>
      <w:r>
        <w:t>274</w:t>
      </w:r>
      <w:r>
        <w:fldChar w:fldCharType="end"/>
      </w:r>
    </w:p>
    <w:p>
      <w:pPr>
        <w:pStyle w:val="TOC8"/>
        <w:rPr>
          <w:rFonts w:asciiTheme="minorHAnsi" w:eastAsiaTheme="minorEastAsia" w:hAnsiTheme="minorHAnsi" w:cstheme="minorBidi"/>
          <w:szCs w:val="22"/>
        </w:rPr>
      </w:pPr>
      <w:r>
        <w:t>97WW.</w:t>
      </w:r>
      <w:r>
        <w:tab/>
        <w:t>Requirements for s. 97WV application</w:t>
      </w:r>
      <w:r>
        <w:tab/>
      </w:r>
      <w:r>
        <w:fldChar w:fldCharType="begin"/>
      </w:r>
      <w:r>
        <w:instrText xml:space="preserve"> PAGEREF _Toc98770171 \h </w:instrText>
      </w:r>
      <w:r>
        <w:fldChar w:fldCharType="separate"/>
      </w:r>
      <w:r>
        <w:t>274</w:t>
      </w:r>
      <w:r>
        <w:fldChar w:fldCharType="end"/>
      </w:r>
    </w:p>
    <w:p>
      <w:pPr>
        <w:pStyle w:val="TOC8"/>
        <w:rPr>
          <w:rFonts w:asciiTheme="minorHAnsi" w:eastAsiaTheme="minorEastAsia" w:hAnsiTheme="minorHAnsi" w:cstheme="minorBidi"/>
          <w:szCs w:val="22"/>
        </w:rPr>
      </w:pPr>
      <w:r>
        <w:t>97WX.</w:t>
      </w:r>
      <w:r>
        <w:tab/>
        <w:t>Forms for s. 97WW to be prescribed</w:t>
      </w:r>
      <w:r>
        <w:tab/>
      </w:r>
      <w:r>
        <w:fldChar w:fldCharType="begin"/>
      </w:r>
      <w:r>
        <w:instrText xml:space="preserve"> PAGEREF _Toc98770172 \h </w:instrText>
      </w:r>
      <w:r>
        <w:fldChar w:fldCharType="separate"/>
      </w:r>
      <w:r>
        <w:t>275</w:t>
      </w:r>
      <w:r>
        <w:fldChar w:fldCharType="end"/>
      </w:r>
    </w:p>
    <w:p>
      <w:pPr>
        <w:pStyle w:val="TOC8"/>
        <w:rPr>
          <w:rFonts w:asciiTheme="minorHAnsi" w:eastAsiaTheme="minorEastAsia" w:hAnsiTheme="minorHAnsi" w:cstheme="minorBidi"/>
          <w:szCs w:val="22"/>
        </w:rPr>
      </w:pPr>
      <w:r>
        <w:t>97WY.</w:t>
      </w:r>
      <w:r>
        <w:tab/>
        <w:t>Who may be approved as a representative</w:t>
      </w:r>
      <w:r>
        <w:tab/>
      </w:r>
      <w:r>
        <w:fldChar w:fldCharType="begin"/>
      </w:r>
      <w:r>
        <w:instrText xml:space="preserve"> PAGEREF _Toc98770173 \h </w:instrText>
      </w:r>
      <w:r>
        <w:fldChar w:fldCharType="separate"/>
      </w:r>
      <w:r>
        <w:t>275</w:t>
      </w:r>
      <w:r>
        <w:fldChar w:fldCharType="end"/>
      </w:r>
    </w:p>
    <w:p>
      <w:pPr>
        <w:pStyle w:val="TOC8"/>
        <w:rPr>
          <w:rFonts w:asciiTheme="minorHAnsi" w:eastAsiaTheme="minorEastAsia" w:hAnsiTheme="minorHAnsi" w:cstheme="minorBidi"/>
          <w:szCs w:val="22"/>
        </w:rPr>
      </w:pPr>
      <w:r>
        <w:t>97WZ.</w:t>
      </w:r>
      <w:r>
        <w:tab/>
        <w:t>Approval of representative</w:t>
      </w:r>
      <w:r>
        <w:tab/>
      </w:r>
      <w:r>
        <w:fldChar w:fldCharType="begin"/>
      </w:r>
      <w:r>
        <w:instrText xml:space="preserve"> PAGEREF _Toc98770174 \h </w:instrText>
      </w:r>
      <w:r>
        <w:fldChar w:fldCharType="separate"/>
      </w:r>
      <w:r>
        <w:t>276</w:t>
      </w:r>
      <w:r>
        <w:fldChar w:fldCharType="end"/>
      </w:r>
    </w:p>
    <w:p>
      <w:pPr>
        <w:pStyle w:val="TOC8"/>
        <w:rPr>
          <w:rFonts w:asciiTheme="minorHAnsi" w:eastAsiaTheme="minorEastAsia" w:hAnsiTheme="minorHAnsi" w:cstheme="minorBidi"/>
          <w:szCs w:val="22"/>
        </w:rPr>
      </w:pPr>
      <w:r>
        <w:t>97X.</w:t>
      </w:r>
      <w:r>
        <w:tab/>
        <w:t>Effect of s. 97WZ order</w:t>
      </w:r>
      <w:r>
        <w:tab/>
      </w:r>
      <w:r>
        <w:fldChar w:fldCharType="begin"/>
      </w:r>
      <w:r>
        <w:instrText xml:space="preserve"> PAGEREF _Toc98770175 \h </w:instrText>
      </w:r>
      <w:r>
        <w:fldChar w:fldCharType="separate"/>
      </w:r>
      <w:r>
        <w:t>277</w:t>
      </w:r>
      <w:r>
        <w:fldChar w:fldCharType="end"/>
      </w:r>
    </w:p>
    <w:p>
      <w:pPr>
        <w:pStyle w:val="TOC8"/>
        <w:rPr>
          <w:rFonts w:asciiTheme="minorHAnsi" w:eastAsiaTheme="minorEastAsia" w:hAnsiTheme="minorHAnsi" w:cstheme="minorBidi"/>
          <w:szCs w:val="22"/>
        </w:rPr>
      </w:pPr>
      <w:r>
        <w:t>97XA.</w:t>
      </w:r>
      <w:r>
        <w:tab/>
        <w:t>Refusal of approval</w:t>
      </w:r>
      <w:r>
        <w:tab/>
      </w:r>
      <w:r>
        <w:fldChar w:fldCharType="begin"/>
      </w:r>
      <w:r>
        <w:instrText xml:space="preserve"> PAGEREF _Toc98770176 \h </w:instrText>
      </w:r>
      <w:r>
        <w:fldChar w:fldCharType="separate"/>
      </w:r>
      <w:r>
        <w:t>277</w:t>
      </w:r>
      <w:r>
        <w:fldChar w:fldCharType="end"/>
      </w:r>
    </w:p>
    <w:p>
      <w:pPr>
        <w:pStyle w:val="TOC8"/>
        <w:rPr>
          <w:rFonts w:asciiTheme="minorHAnsi" w:eastAsiaTheme="minorEastAsia" w:hAnsiTheme="minorHAnsi" w:cstheme="minorBidi"/>
          <w:szCs w:val="22"/>
        </w:rPr>
      </w:pPr>
      <w:r>
        <w:t>97XB.</w:t>
      </w:r>
      <w:r>
        <w:tab/>
        <w:t>Appeal against refusal of approval</w:t>
      </w:r>
      <w:r>
        <w:tab/>
      </w:r>
      <w:r>
        <w:fldChar w:fldCharType="begin"/>
      </w:r>
      <w:r>
        <w:instrText xml:space="preserve"> PAGEREF _Toc98770177 \h </w:instrText>
      </w:r>
      <w:r>
        <w:fldChar w:fldCharType="separate"/>
      </w:r>
      <w:r>
        <w:t>277</w:t>
      </w:r>
      <w:r>
        <w:fldChar w:fldCharType="end"/>
      </w:r>
    </w:p>
    <w:p>
      <w:pPr>
        <w:pStyle w:val="TOC8"/>
        <w:rPr>
          <w:rFonts w:asciiTheme="minorHAnsi" w:eastAsiaTheme="minorEastAsia" w:hAnsiTheme="minorHAnsi" w:cstheme="minorBidi"/>
          <w:szCs w:val="22"/>
        </w:rPr>
      </w:pPr>
      <w:r>
        <w:t>97XC.</w:t>
      </w:r>
      <w:r>
        <w:tab/>
        <w:t>Determination of appeal</w:t>
      </w:r>
      <w:r>
        <w:tab/>
      </w:r>
      <w:r>
        <w:fldChar w:fldCharType="begin"/>
      </w:r>
      <w:r>
        <w:instrText xml:space="preserve"> PAGEREF _Toc98770178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Functions of representative</w:t>
      </w:r>
    </w:p>
    <w:p>
      <w:pPr>
        <w:pStyle w:val="TOC8"/>
        <w:rPr>
          <w:rFonts w:asciiTheme="minorHAnsi" w:eastAsiaTheme="minorEastAsia" w:hAnsiTheme="minorHAnsi" w:cstheme="minorBidi"/>
          <w:szCs w:val="22"/>
        </w:rPr>
      </w:pPr>
      <w:r>
        <w:t>97XD.</w:t>
      </w:r>
      <w:r>
        <w:tab/>
        <w:t>Functions</w:t>
      </w:r>
      <w:r>
        <w:tab/>
      </w:r>
      <w:r>
        <w:fldChar w:fldCharType="begin"/>
      </w:r>
      <w:r>
        <w:instrText xml:space="preserve"> PAGEREF _Toc98770180 \h </w:instrText>
      </w:r>
      <w:r>
        <w:fldChar w:fldCharType="separate"/>
      </w:r>
      <w:r>
        <w:t>278</w:t>
      </w:r>
      <w:r>
        <w:fldChar w:fldCharType="end"/>
      </w:r>
    </w:p>
    <w:p>
      <w:pPr>
        <w:pStyle w:val="TOC8"/>
        <w:rPr>
          <w:rFonts w:asciiTheme="minorHAnsi" w:eastAsiaTheme="minorEastAsia" w:hAnsiTheme="minorHAnsi" w:cstheme="minorBidi"/>
          <w:szCs w:val="22"/>
        </w:rPr>
      </w:pPr>
      <w:r>
        <w:t>97XE.</w:t>
      </w:r>
      <w:r>
        <w:tab/>
        <w:t>Effect of acts of representative</w:t>
      </w:r>
      <w:r>
        <w:tab/>
      </w:r>
      <w:r>
        <w:fldChar w:fldCharType="begin"/>
      </w:r>
      <w:r>
        <w:instrText xml:space="preserve"> PAGEREF _Toc98770181 \h </w:instrText>
      </w:r>
      <w:r>
        <w:fldChar w:fldCharType="separate"/>
      </w:r>
      <w:r>
        <w:t>279</w:t>
      </w:r>
      <w:r>
        <w:fldChar w:fldCharType="end"/>
      </w:r>
    </w:p>
    <w:p>
      <w:pPr>
        <w:pStyle w:val="TOC8"/>
        <w:rPr>
          <w:rFonts w:asciiTheme="minorHAnsi" w:eastAsiaTheme="minorEastAsia" w:hAnsiTheme="minorHAnsi" w:cstheme="minorBidi"/>
          <w:szCs w:val="22"/>
        </w:rPr>
      </w:pPr>
      <w:r>
        <w:t>97XF.</w:t>
      </w:r>
      <w:r>
        <w:tab/>
        <w:t>Duties of representative</w:t>
      </w:r>
      <w:r>
        <w:tab/>
      </w:r>
      <w:r>
        <w:fldChar w:fldCharType="begin"/>
      </w:r>
      <w:r>
        <w:instrText xml:space="preserve"> PAGEREF _Toc98770182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Termination of representative’s authority to act</w:t>
      </w:r>
    </w:p>
    <w:p>
      <w:pPr>
        <w:pStyle w:val="TOC8"/>
        <w:rPr>
          <w:rFonts w:asciiTheme="minorHAnsi" w:eastAsiaTheme="minorEastAsia" w:hAnsiTheme="minorHAnsi" w:cstheme="minorBidi"/>
          <w:szCs w:val="22"/>
        </w:rPr>
      </w:pPr>
      <w:r>
        <w:t>97XG.</w:t>
      </w:r>
      <w:r>
        <w:tab/>
        <w:t>Duration of order approving representative</w:t>
      </w:r>
      <w:r>
        <w:tab/>
      </w:r>
      <w:r>
        <w:fldChar w:fldCharType="begin"/>
      </w:r>
      <w:r>
        <w:instrText xml:space="preserve"> PAGEREF _Toc98770184 \h </w:instrText>
      </w:r>
      <w:r>
        <w:fldChar w:fldCharType="separate"/>
      </w:r>
      <w:r>
        <w:t>280</w:t>
      </w:r>
      <w:r>
        <w:fldChar w:fldCharType="end"/>
      </w:r>
    </w:p>
    <w:p>
      <w:pPr>
        <w:pStyle w:val="TOC8"/>
        <w:rPr>
          <w:rFonts w:asciiTheme="minorHAnsi" w:eastAsiaTheme="minorEastAsia" w:hAnsiTheme="minorHAnsi" w:cstheme="minorBidi"/>
          <w:szCs w:val="22"/>
        </w:rPr>
      </w:pPr>
      <w:r>
        <w:t>97XH.</w:t>
      </w:r>
      <w:r>
        <w:tab/>
        <w:t>Resignation of representative</w:t>
      </w:r>
      <w:r>
        <w:tab/>
      </w:r>
      <w:r>
        <w:fldChar w:fldCharType="begin"/>
      </w:r>
      <w:r>
        <w:instrText xml:space="preserve"> PAGEREF _Toc98770185 \h </w:instrText>
      </w:r>
      <w:r>
        <w:fldChar w:fldCharType="separate"/>
      </w:r>
      <w:r>
        <w:t>281</w:t>
      </w:r>
      <w:r>
        <w:fldChar w:fldCharType="end"/>
      </w:r>
    </w:p>
    <w:p>
      <w:pPr>
        <w:pStyle w:val="TOC8"/>
        <w:rPr>
          <w:rFonts w:asciiTheme="minorHAnsi" w:eastAsiaTheme="minorEastAsia" w:hAnsiTheme="minorHAnsi" w:cstheme="minorBidi"/>
          <w:szCs w:val="22"/>
        </w:rPr>
      </w:pPr>
      <w:r>
        <w:t>97XI.</w:t>
      </w:r>
      <w:r>
        <w:tab/>
        <w:t>Revocation order, application to SAT for</w:t>
      </w:r>
      <w:r>
        <w:tab/>
      </w:r>
      <w:r>
        <w:fldChar w:fldCharType="begin"/>
      </w:r>
      <w:r>
        <w:instrText xml:space="preserve"> PAGEREF _Toc98770186 \h </w:instrText>
      </w:r>
      <w:r>
        <w:fldChar w:fldCharType="separate"/>
      </w:r>
      <w:r>
        <w:t>281</w:t>
      </w:r>
      <w:r>
        <w:fldChar w:fldCharType="end"/>
      </w:r>
    </w:p>
    <w:p>
      <w:pPr>
        <w:pStyle w:val="TOC8"/>
        <w:rPr>
          <w:rFonts w:asciiTheme="minorHAnsi" w:eastAsiaTheme="minorEastAsia" w:hAnsiTheme="minorHAnsi" w:cstheme="minorBidi"/>
          <w:szCs w:val="22"/>
        </w:rPr>
      </w:pPr>
      <w:r>
        <w:t>97XJ.</w:t>
      </w:r>
      <w:r>
        <w:tab/>
        <w:t>Right to be heard on s. 97XI application</w:t>
      </w:r>
      <w:r>
        <w:tab/>
      </w:r>
      <w:r>
        <w:fldChar w:fldCharType="begin"/>
      </w:r>
      <w:r>
        <w:instrText xml:space="preserve"> PAGEREF _Toc98770187 \h </w:instrText>
      </w:r>
      <w:r>
        <w:fldChar w:fldCharType="separate"/>
      </w:r>
      <w:r>
        <w:t>282</w:t>
      </w:r>
      <w:r>
        <w:fldChar w:fldCharType="end"/>
      </w:r>
    </w:p>
    <w:p>
      <w:pPr>
        <w:pStyle w:val="TOC8"/>
        <w:rPr>
          <w:rFonts w:asciiTheme="minorHAnsi" w:eastAsiaTheme="minorEastAsia" w:hAnsiTheme="minorHAnsi" w:cstheme="minorBidi"/>
          <w:szCs w:val="22"/>
        </w:rPr>
      </w:pPr>
      <w:r>
        <w:t>97XK.</w:t>
      </w:r>
      <w:r>
        <w:tab/>
        <w:t>SAT may make revocation order</w:t>
      </w:r>
      <w:r>
        <w:tab/>
      </w:r>
      <w:r>
        <w:fldChar w:fldCharType="begin"/>
      </w:r>
      <w:r>
        <w:instrText xml:space="preserve"> PAGEREF _Toc98770188 \h </w:instrText>
      </w:r>
      <w:r>
        <w:fldChar w:fldCharType="separate"/>
      </w:r>
      <w:r>
        <w:t>282</w:t>
      </w:r>
      <w:r>
        <w:fldChar w:fldCharType="end"/>
      </w:r>
    </w:p>
    <w:p>
      <w:pPr>
        <w:pStyle w:val="TOC8"/>
        <w:rPr>
          <w:rFonts w:asciiTheme="minorHAnsi" w:eastAsiaTheme="minorEastAsia" w:hAnsiTheme="minorHAnsi" w:cstheme="minorBidi"/>
          <w:szCs w:val="22"/>
        </w:rPr>
      </w:pPr>
      <w:r>
        <w:t>97XL.</w:t>
      </w:r>
      <w:r>
        <w:tab/>
      </w:r>
      <w:r>
        <w:rPr>
          <w:i/>
        </w:rPr>
        <w:t>Guardianship and Administration Act 1990</w:t>
      </w:r>
      <w:r>
        <w:t>, application of for s. 97XK</w:t>
      </w:r>
      <w:r>
        <w:tab/>
      </w:r>
      <w:r>
        <w:fldChar w:fldCharType="begin"/>
      </w:r>
      <w:r>
        <w:instrText xml:space="preserve"> PAGEREF _Toc98770189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of new representative</w:t>
      </w:r>
    </w:p>
    <w:p>
      <w:pPr>
        <w:pStyle w:val="TOC8"/>
        <w:rPr>
          <w:rFonts w:asciiTheme="minorHAnsi" w:eastAsiaTheme="minorEastAsia" w:hAnsiTheme="minorHAnsi" w:cstheme="minorBidi"/>
          <w:szCs w:val="22"/>
        </w:rPr>
      </w:pPr>
      <w:r>
        <w:t>97XM.</w:t>
      </w:r>
      <w:r>
        <w:tab/>
        <w:t>Application for new approval where representative dies or approval is revoked</w:t>
      </w:r>
      <w:r>
        <w:tab/>
      </w:r>
      <w:r>
        <w:fldChar w:fldCharType="begin"/>
      </w:r>
      <w:r>
        <w:instrText xml:space="preserve"> PAGEREF _Toc98770191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97XN.</w:t>
      </w:r>
      <w:r>
        <w:tab/>
        <w:t>Approval of representative</w:t>
      </w:r>
      <w:r>
        <w:tab/>
      </w:r>
      <w:r>
        <w:fldChar w:fldCharType="begin"/>
      </w:r>
      <w:r>
        <w:instrText xml:space="preserve"> PAGEREF _Toc98770192 \h </w:instrText>
      </w:r>
      <w:r>
        <w:fldChar w:fldCharType="separate"/>
      </w:r>
      <w:r>
        <w:t>284</w:t>
      </w:r>
      <w:r>
        <w:fldChar w:fldCharType="end"/>
      </w:r>
    </w:p>
    <w:p>
      <w:pPr>
        <w:pStyle w:val="TOC8"/>
        <w:rPr>
          <w:rFonts w:asciiTheme="minorHAnsi" w:eastAsiaTheme="minorEastAsia" w:hAnsiTheme="minorHAnsi" w:cstheme="minorBidi"/>
          <w:szCs w:val="22"/>
        </w:rPr>
      </w:pPr>
      <w:r>
        <w:t>97XO.</w:t>
      </w:r>
      <w:r>
        <w:tab/>
        <w:t>Effect of s. 97XN order</w:t>
      </w:r>
      <w:r>
        <w:tab/>
      </w:r>
      <w:r>
        <w:fldChar w:fldCharType="begin"/>
      </w:r>
      <w:r>
        <w:instrText xml:space="preserve"> PAGEREF _Toc98770193 \h </w:instrText>
      </w:r>
      <w:r>
        <w:fldChar w:fldCharType="separate"/>
      </w:r>
      <w:r>
        <w:t>285</w:t>
      </w:r>
      <w:r>
        <w:fldChar w:fldCharType="end"/>
      </w:r>
    </w:p>
    <w:p>
      <w:pPr>
        <w:pStyle w:val="TOC8"/>
        <w:rPr>
          <w:rFonts w:asciiTheme="minorHAnsi" w:eastAsiaTheme="minorEastAsia" w:hAnsiTheme="minorHAnsi" w:cstheme="minorBidi"/>
          <w:szCs w:val="22"/>
        </w:rPr>
      </w:pPr>
      <w:r>
        <w:t>97XP.</w:t>
      </w:r>
      <w:r>
        <w:tab/>
        <w:t>Refusal of approval</w:t>
      </w:r>
      <w:r>
        <w:tab/>
      </w:r>
      <w:r>
        <w:fldChar w:fldCharType="begin"/>
      </w:r>
      <w:r>
        <w:instrText xml:space="preserve"> PAGEREF _Toc98770194 \h </w:instrText>
      </w:r>
      <w:r>
        <w:fldChar w:fldCharType="separate"/>
      </w:r>
      <w:r>
        <w:t>285</w:t>
      </w:r>
      <w:r>
        <w:fldChar w:fldCharType="end"/>
      </w:r>
    </w:p>
    <w:p>
      <w:pPr>
        <w:pStyle w:val="TOC8"/>
        <w:rPr>
          <w:rFonts w:asciiTheme="minorHAnsi" w:eastAsiaTheme="minorEastAsia" w:hAnsiTheme="minorHAnsi" w:cstheme="minorBidi"/>
          <w:szCs w:val="22"/>
        </w:rPr>
      </w:pPr>
      <w:r>
        <w:t>97XQ.</w:t>
      </w:r>
      <w:r>
        <w:tab/>
        <w:t>Appeal against refusal of approval</w:t>
      </w:r>
      <w:r>
        <w:tab/>
      </w:r>
      <w:r>
        <w:fldChar w:fldCharType="begin"/>
      </w:r>
      <w:r>
        <w:instrText xml:space="preserve"> PAGEREF _Toc98770195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97XR.</w:t>
      </w:r>
      <w:r>
        <w:tab/>
        <w:t>Registrar’s powers for s. 97WV and 97XM</w:t>
      </w:r>
      <w:r>
        <w:tab/>
      </w:r>
      <w:r>
        <w:fldChar w:fldCharType="begin"/>
      </w:r>
      <w:r>
        <w:instrText xml:space="preserve"> PAGEREF _Toc98770197 \h </w:instrText>
      </w:r>
      <w:r>
        <w:fldChar w:fldCharType="separate"/>
      </w:r>
      <w:r>
        <w:t>286</w:t>
      </w:r>
      <w:r>
        <w:fldChar w:fldCharType="end"/>
      </w:r>
    </w:p>
    <w:p>
      <w:pPr>
        <w:pStyle w:val="TOC8"/>
        <w:rPr>
          <w:rFonts w:asciiTheme="minorHAnsi" w:eastAsiaTheme="minorEastAsia" w:hAnsiTheme="minorHAnsi" w:cstheme="minorBidi"/>
          <w:szCs w:val="22"/>
        </w:rPr>
      </w:pPr>
      <w:r>
        <w:t>97XS.</w:t>
      </w:r>
      <w:r>
        <w:tab/>
        <w:t>EEA not affected by revocation of order or vacancy in position of representative</w:t>
      </w:r>
      <w:r>
        <w:tab/>
      </w:r>
      <w:r>
        <w:fldChar w:fldCharType="begin"/>
      </w:r>
      <w:r>
        <w:instrText xml:space="preserve"> PAGEREF _Toc98770198 \h </w:instrText>
      </w:r>
      <w:r>
        <w:fldChar w:fldCharType="separate"/>
      </w:r>
      <w:r>
        <w:t>286</w:t>
      </w:r>
      <w:r>
        <w:fldChar w:fldCharType="end"/>
      </w:r>
    </w:p>
    <w:p>
      <w:pPr>
        <w:pStyle w:val="TOC8"/>
        <w:rPr>
          <w:rFonts w:asciiTheme="minorHAnsi" w:eastAsiaTheme="minorEastAsia" w:hAnsiTheme="minorHAnsi" w:cstheme="minorBidi"/>
          <w:szCs w:val="22"/>
        </w:rPr>
      </w:pPr>
      <w:r>
        <w:t>97XT.</w:t>
      </w:r>
      <w:r>
        <w:tab/>
        <w:t>Register of s. 97WZ and 97XN orders</w:t>
      </w:r>
      <w:r>
        <w:tab/>
      </w:r>
      <w:r>
        <w:fldChar w:fldCharType="begin"/>
      </w:r>
      <w:r>
        <w:instrText xml:space="preserve"> PAGEREF _Toc98770199 \h </w:instrText>
      </w:r>
      <w:r>
        <w:fldChar w:fldCharType="separate"/>
      </w:r>
      <w:r>
        <w:t>286</w:t>
      </w:r>
      <w:r>
        <w:fldChar w:fldCharType="end"/>
      </w:r>
    </w:p>
    <w:p>
      <w:pPr>
        <w:pStyle w:val="TOC8"/>
        <w:rPr>
          <w:rFonts w:asciiTheme="minorHAnsi" w:eastAsiaTheme="minorEastAsia" w:hAnsiTheme="minorHAnsi" w:cstheme="minorBidi"/>
          <w:szCs w:val="22"/>
        </w:rPr>
      </w:pPr>
      <w:r>
        <w:t>97XU.</w:t>
      </w:r>
      <w:r>
        <w:tab/>
        <w:t>Certified copies of registered entry</w:t>
      </w:r>
      <w:r>
        <w:tab/>
      </w:r>
      <w:r>
        <w:fldChar w:fldCharType="begin"/>
      </w:r>
      <w:r>
        <w:instrText xml:space="preserve"> PAGEREF _Toc98770200 \h </w:instrText>
      </w:r>
      <w:r>
        <w:fldChar w:fldCharType="separate"/>
      </w:r>
      <w:r>
        <w:t>287</w:t>
      </w:r>
      <w:r>
        <w:fldChar w:fldCharType="end"/>
      </w:r>
    </w:p>
    <w:p>
      <w:pPr>
        <w:pStyle w:val="TOC8"/>
        <w:rPr>
          <w:rFonts w:asciiTheme="minorHAnsi" w:eastAsiaTheme="minorEastAsia" w:hAnsiTheme="minorHAnsi" w:cstheme="minorBidi"/>
          <w:szCs w:val="22"/>
        </w:rPr>
      </w:pPr>
      <w:r>
        <w:t>97XV.</w:t>
      </w:r>
      <w:r>
        <w:tab/>
        <w:t>Information obtained under this Division not to be disclosed</w:t>
      </w:r>
      <w:r>
        <w:tab/>
      </w:r>
      <w:r>
        <w:fldChar w:fldCharType="begin"/>
      </w:r>
      <w:r>
        <w:instrText xml:space="preserve"> PAGEREF _Toc98770201 \h </w:instrText>
      </w:r>
      <w:r>
        <w:fldChar w:fldCharType="separate"/>
      </w:r>
      <w:r>
        <w:t>287</w:t>
      </w:r>
      <w:r>
        <w:fldChar w:fldCharType="end"/>
      </w:r>
    </w:p>
    <w:p>
      <w:pPr>
        <w:pStyle w:val="TOC8"/>
        <w:rPr>
          <w:rFonts w:asciiTheme="minorHAnsi" w:eastAsiaTheme="minorEastAsia" w:hAnsiTheme="minorHAnsi" w:cstheme="minorBidi"/>
          <w:szCs w:val="22"/>
        </w:rPr>
      </w:pPr>
      <w:r>
        <w:t>97XW.</w:t>
      </w:r>
      <w:r>
        <w:tab/>
        <w:t>Procedure in proceedings under this Division</w:t>
      </w:r>
      <w:r>
        <w:tab/>
      </w:r>
      <w:r>
        <w:fldChar w:fldCharType="begin"/>
      </w:r>
      <w:r>
        <w:instrText xml:space="preserve"> PAGEREF _Toc98770202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10 — Certain conduct prohibited</w:t>
      </w:r>
    </w:p>
    <w:p>
      <w:pPr>
        <w:pStyle w:val="TOC8"/>
        <w:rPr>
          <w:rFonts w:asciiTheme="minorHAnsi" w:eastAsiaTheme="minorEastAsia" w:hAnsiTheme="minorHAnsi" w:cstheme="minorBidi"/>
          <w:szCs w:val="22"/>
        </w:rPr>
      </w:pPr>
      <w:r>
        <w:t>97XX.</w:t>
      </w:r>
      <w:r>
        <w:tab/>
        <w:t>Purpose of this Division</w:t>
      </w:r>
      <w:r>
        <w:tab/>
      </w:r>
      <w:r>
        <w:fldChar w:fldCharType="begin"/>
      </w:r>
      <w:r>
        <w:instrText xml:space="preserve"> PAGEREF _Toc98770204 \h </w:instrText>
      </w:r>
      <w:r>
        <w:fldChar w:fldCharType="separate"/>
      </w:r>
      <w:r>
        <w:t>288</w:t>
      </w:r>
      <w:r>
        <w:fldChar w:fldCharType="end"/>
      </w:r>
    </w:p>
    <w:p>
      <w:pPr>
        <w:pStyle w:val="TOC8"/>
        <w:rPr>
          <w:rFonts w:asciiTheme="minorHAnsi" w:eastAsiaTheme="minorEastAsia" w:hAnsiTheme="minorHAnsi" w:cstheme="minorBidi"/>
          <w:szCs w:val="22"/>
        </w:rPr>
      </w:pPr>
      <w:r>
        <w:t>97XY.</w:t>
      </w:r>
      <w:r>
        <w:tab/>
        <w:t>Enforcing prohibitions in this Division</w:t>
      </w:r>
      <w:r>
        <w:tab/>
      </w:r>
      <w:r>
        <w:fldChar w:fldCharType="begin"/>
      </w:r>
      <w:r>
        <w:instrText xml:space="preserve"> PAGEREF _Toc98770205 \h </w:instrText>
      </w:r>
      <w:r>
        <w:fldChar w:fldCharType="separate"/>
      </w:r>
      <w:r>
        <w:t>289</w:t>
      </w:r>
      <w:r>
        <w:fldChar w:fldCharType="end"/>
      </w:r>
    </w:p>
    <w:p>
      <w:pPr>
        <w:pStyle w:val="TOC8"/>
        <w:rPr>
          <w:rFonts w:asciiTheme="minorHAnsi" w:eastAsiaTheme="minorEastAsia" w:hAnsiTheme="minorHAnsi" w:cstheme="minorBidi"/>
          <w:szCs w:val="22"/>
        </w:rPr>
      </w:pPr>
      <w:r>
        <w:t>97XZ.</w:t>
      </w:r>
      <w:r>
        <w:tab/>
        <w:t>Making employment etc. conditional on EEA being entered into prohibited</w:t>
      </w:r>
      <w:r>
        <w:tab/>
      </w:r>
      <w:r>
        <w:fldChar w:fldCharType="begin"/>
      </w:r>
      <w:r>
        <w:instrText xml:space="preserve"> PAGEREF _Toc98770206 \h </w:instrText>
      </w:r>
      <w:r>
        <w:fldChar w:fldCharType="separate"/>
      </w:r>
      <w:r>
        <w:t>289</w:t>
      </w:r>
      <w:r>
        <w:fldChar w:fldCharType="end"/>
      </w:r>
    </w:p>
    <w:p>
      <w:pPr>
        <w:pStyle w:val="TOC8"/>
        <w:rPr>
          <w:rFonts w:asciiTheme="minorHAnsi" w:eastAsiaTheme="minorEastAsia" w:hAnsiTheme="minorHAnsi" w:cstheme="minorBidi"/>
          <w:szCs w:val="22"/>
        </w:rPr>
      </w:pPr>
      <w:r>
        <w:t>97Y.</w:t>
      </w:r>
      <w:r>
        <w:tab/>
        <w:t>Certain advertising prohibited</w:t>
      </w:r>
      <w:r>
        <w:tab/>
      </w:r>
      <w:r>
        <w:fldChar w:fldCharType="begin"/>
      </w:r>
      <w:r>
        <w:instrText xml:space="preserve"> PAGEREF _Toc98770207 \h </w:instrText>
      </w:r>
      <w:r>
        <w:fldChar w:fldCharType="separate"/>
      </w:r>
      <w:r>
        <w:t>290</w:t>
      </w:r>
      <w:r>
        <w:fldChar w:fldCharType="end"/>
      </w:r>
    </w:p>
    <w:p>
      <w:pPr>
        <w:pStyle w:val="TOC8"/>
        <w:rPr>
          <w:rFonts w:asciiTheme="minorHAnsi" w:eastAsiaTheme="minorEastAsia" w:hAnsiTheme="minorHAnsi" w:cstheme="minorBidi"/>
          <w:szCs w:val="22"/>
        </w:rPr>
      </w:pPr>
      <w:r>
        <w:t>97YA.</w:t>
      </w:r>
      <w:r>
        <w:tab/>
        <w:t>Exception to s. 97XZ and 97YB</w:t>
      </w:r>
      <w:r>
        <w:tab/>
      </w:r>
      <w:r>
        <w:fldChar w:fldCharType="begin"/>
      </w:r>
      <w:r>
        <w:instrText xml:space="preserve"> PAGEREF _Toc98770208 \h </w:instrText>
      </w:r>
      <w:r>
        <w:fldChar w:fldCharType="separate"/>
      </w:r>
      <w:r>
        <w:t>290</w:t>
      </w:r>
      <w:r>
        <w:fldChar w:fldCharType="end"/>
      </w:r>
    </w:p>
    <w:p>
      <w:pPr>
        <w:pStyle w:val="TOC8"/>
        <w:rPr>
          <w:rFonts w:asciiTheme="minorHAnsi" w:eastAsiaTheme="minorEastAsia" w:hAnsiTheme="minorHAnsi" w:cstheme="minorBidi"/>
          <w:szCs w:val="22"/>
        </w:rPr>
      </w:pPr>
      <w:r>
        <w:t>97YB.</w:t>
      </w:r>
      <w:r>
        <w:tab/>
        <w:t>Employer offering EEA to also offer other employment arrangements</w:t>
      </w:r>
      <w:r>
        <w:tab/>
      </w:r>
      <w:r>
        <w:fldChar w:fldCharType="begin"/>
      </w:r>
      <w:r>
        <w:instrText xml:space="preserve"> PAGEREF _Toc98770209 \h </w:instrText>
      </w:r>
      <w:r>
        <w:fldChar w:fldCharType="separate"/>
      </w:r>
      <w:r>
        <w:t>291</w:t>
      </w:r>
      <w:r>
        <w:fldChar w:fldCharType="end"/>
      </w:r>
    </w:p>
    <w:p>
      <w:pPr>
        <w:pStyle w:val="TOC8"/>
        <w:rPr>
          <w:rFonts w:asciiTheme="minorHAnsi" w:eastAsiaTheme="minorEastAsia" w:hAnsiTheme="minorHAnsi" w:cstheme="minorBidi"/>
          <w:szCs w:val="22"/>
        </w:rPr>
      </w:pPr>
      <w:r>
        <w:t>97YC.</w:t>
      </w:r>
      <w:r>
        <w:tab/>
        <w:t>Order for compliance with s. 97YB</w:t>
      </w:r>
      <w:r>
        <w:tab/>
      </w:r>
      <w:r>
        <w:fldChar w:fldCharType="begin"/>
      </w:r>
      <w:r>
        <w:instrText xml:space="preserve"> PAGEREF _Toc98770210 \h </w:instrText>
      </w:r>
      <w:r>
        <w:fldChar w:fldCharType="separate"/>
      </w:r>
      <w:r>
        <w:t>291</w:t>
      </w:r>
      <w:r>
        <w:fldChar w:fldCharType="end"/>
      </w:r>
    </w:p>
    <w:p>
      <w:pPr>
        <w:pStyle w:val="TOC8"/>
        <w:rPr>
          <w:rFonts w:asciiTheme="minorHAnsi" w:eastAsiaTheme="minorEastAsia" w:hAnsiTheme="minorHAnsi" w:cstheme="minorBidi"/>
          <w:szCs w:val="22"/>
        </w:rPr>
      </w:pPr>
      <w:r>
        <w:t>97YD.</w:t>
      </w:r>
      <w:r>
        <w:tab/>
        <w:t>Threats and intimidation as to EEA prohibited</w:t>
      </w:r>
      <w:r>
        <w:tab/>
      </w:r>
      <w:r>
        <w:fldChar w:fldCharType="begin"/>
      </w:r>
      <w:r>
        <w:instrText xml:space="preserve"> PAGEREF _Toc98770211 \h </w:instrText>
      </w:r>
      <w:r>
        <w:fldChar w:fldCharType="separate"/>
      </w:r>
      <w:r>
        <w:t>292</w:t>
      </w:r>
      <w:r>
        <w:fldChar w:fldCharType="end"/>
      </w:r>
    </w:p>
    <w:p>
      <w:pPr>
        <w:pStyle w:val="TOC8"/>
        <w:rPr>
          <w:rFonts w:asciiTheme="minorHAnsi" w:eastAsiaTheme="minorEastAsia" w:hAnsiTheme="minorHAnsi" w:cstheme="minorBidi"/>
          <w:szCs w:val="22"/>
        </w:rPr>
      </w:pPr>
      <w:r>
        <w:t>97YE.</w:t>
      </w:r>
      <w:r>
        <w:tab/>
        <w:t>Misinformation prohibited</w:t>
      </w:r>
      <w:r>
        <w:tab/>
      </w:r>
      <w:r>
        <w:fldChar w:fldCharType="begin"/>
      </w:r>
      <w:r>
        <w:instrText xml:space="preserve"> PAGEREF _Toc98770212 \h </w:instrText>
      </w:r>
      <w:r>
        <w:fldChar w:fldCharType="separate"/>
      </w:r>
      <w:r>
        <w:t>293</w:t>
      </w:r>
      <w:r>
        <w:fldChar w:fldCharType="end"/>
      </w:r>
    </w:p>
    <w:p>
      <w:pPr>
        <w:pStyle w:val="TOC8"/>
        <w:rPr>
          <w:rFonts w:asciiTheme="minorHAnsi" w:eastAsiaTheme="minorEastAsia" w:hAnsiTheme="minorHAnsi" w:cstheme="minorBidi"/>
          <w:szCs w:val="22"/>
        </w:rPr>
      </w:pPr>
      <w:r>
        <w:t>97YF.</w:t>
      </w:r>
      <w:r>
        <w:tab/>
        <w:t>Dismissal etc. because of refusal to make or cancel EEA prohibited</w:t>
      </w:r>
      <w:r>
        <w:tab/>
      </w:r>
      <w:r>
        <w:fldChar w:fldCharType="begin"/>
      </w:r>
      <w:r>
        <w:instrText xml:space="preserve"> PAGEREF _Toc98770213 \h </w:instrText>
      </w:r>
      <w:r>
        <w:fldChar w:fldCharType="separate"/>
      </w:r>
      <w:r>
        <w:t>293</w:t>
      </w:r>
      <w:r>
        <w:fldChar w:fldCharType="end"/>
      </w:r>
    </w:p>
    <w:p>
      <w:pPr>
        <w:pStyle w:val="TOC8"/>
        <w:rPr>
          <w:rFonts w:asciiTheme="minorHAnsi" w:eastAsiaTheme="minorEastAsia" w:hAnsiTheme="minorHAnsi" w:cstheme="minorBidi"/>
          <w:szCs w:val="22"/>
        </w:rPr>
      </w:pPr>
      <w:r>
        <w:t>97YG.</w:t>
      </w:r>
      <w:r>
        <w:tab/>
        <w:t>Breach of s. 97YF, court orders that may be made for</w:t>
      </w:r>
      <w:r>
        <w:tab/>
      </w:r>
      <w:r>
        <w:fldChar w:fldCharType="begin"/>
      </w:r>
      <w:r>
        <w:instrText xml:space="preserve"> PAGEREF _Toc98770214 \h </w:instrText>
      </w:r>
      <w:r>
        <w:fldChar w:fldCharType="separate"/>
      </w:r>
      <w:r>
        <w:t>293</w:t>
      </w:r>
      <w:r>
        <w:fldChar w:fldCharType="end"/>
      </w:r>
    </w:p>
    <w:p>
      <w:pPr>
        <w:pStyle w:val="TOC8"/>
        <w:rPr>
          <w:rFonts w:asciiTheme="minorHAnsi" w:eastAsiaTheme="minorEastAsia" w:hAnsiTheme="minorHAnsi" w:cstheme="minorBidi"/>
          <w:szCs w:val="22"/>
        </w:rPr>
      </w:pPr>
      <w:r>
        <w:t>97YH.</w:t>
      </w:r>
      <w:r>
        <w:tab/>
        <w:t>Burden of proof in s. 97YF proceedings</w:t>
      </w:r>
      <w:r>
        <w:tab/>
      </w:r>
      <w:r>
        <w:fldChar w:fldCharType="begin"/>
      </w:r>
      <w:r>
        <w:instrText xml:space="preserve"> PAGEREF _Toc98770215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General</w:t>
      </w:r>
    </w:p>
    <w:p>
      <w:pPr>
        <w:pStyle w:val="TOC8"/>
        <w:rPr>
          <w:rFonts w:asciiTheme="minorHAnsi" w:eastAsiaTheme="minorEastAsia" w:hAnsiTheme="minorHAnsi" w:cstheme="minorBidi"/>
          <w:szCs w:val="22"/>
        </w:rPr>
      </w:pPr>
      <w:r>
        <w:t>97YI.</w:t>
      </w:r>
      <w:r>
        <w:tab/>
        <w:t>Review of Div. 5, 6 and 7</w:t>
      </w:r>
      <w:r>
        <w:tab/>
      </w:r>
      <w:r>
        <w:fldChar w:fldCharType="begin"/>
      </w:r>
      <w:r>
        <w:instrText xml:space="preserve"> PAGEREF _Toc98770217 \h </w:instrText>
      </w:r>
      <w:r>
        <w:fldChar w:fldCharType="separate"/>
      </w:r>
      <w:r>
        <w:t>295</w:t>
      </w:r>
      <w:r>
        <w:fldChar w:fldCharType="end"/>
      </w:r>
    </w:p>
    <w:p>
      <w:pPr>
        <w:pStyle w:val="TOC8"/>
        <w:rPr>
          <w:rFonts w:asciiTheme="minorHAnsi" w:eastAsiaTheme="minorEastAsia" w:hAnsiTheme="minorHAnsi" w:cstheme="minorBidi"/>
          <w:szCs w:val="22"/>
        </w:rPr>
      </w:pPr>
      <w:r>
        <w:t>97YJ.</w:t>
      </w:r>
      <w:r>
        <w:tab/>
        <w:t>Regulations</w:t>
      </w:r>
      <w:r>
        <w:tab/>
      </w:r>
      <w:r>
        <w:fldChar w:fldCharType="begin"/>
      </w:r>
      <w:r>
        <w:instrText xml:space="preserve"> PAGEREF _Toc98770218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98</w:t>
      </w:r>
      <w:r>
        <w:rPr>
          <w:snapToGrid w:val="0"/>
        </w:rPr>
        <w:t>.</w:t>
      </w:r>
      <w:r>
        <w:rPr>
          <w:snapToGrid w:val="0"/>
        </w:rPr>
        <w:tab/>
        <w:t>Industrial inspectors, designation and functions of etc.</w:t>
      </w:r>
      <w:r>
        <w:tab/>
      </w:r>
      <w:r>
        <w:fldChar w:fldCharType="begin"/>
      </w:r>
      <w:r>
        <w:instrText xml:space="preserve"> PAGEREF _Toc98770220 \h </w:instrText>
      </w:r>
      <w:r>
        <w:fldChar w:fldCharType="separate"/>
      </w:r>
      <w:r>
        <w:t>296</w:t>
      </w:r>
      <w:r>
        <w:fldChar w:fldCharType="end"/>
      </w:r>
    </w:p>
    <w:p>
      <w:pPr>
        <w:pStyle w:val="TOC8"/>
        <w:rPr>
          <w:rFonts w:asciiTheme="minorHAnsi" w:eastAsiaTheme="minorEastAsia" w:hAnsiTheme="minorHAnsi" w:cstheme="minorBidi"/>
          <w:szCs w:val="22"/>
        </w:rPr>
      </w:pPr>
      <w:r>
        <w:t>99A.</w:t>
      </w:r>
      <w:r>
        <w:tab/>
        <w:t>Identity cards for industrial inspectors</w:t>
      </w:r>
      <w:r>
        <w:tab/>
      </w:r>
      <w:r>
        <w:fldChar w:fldCharType="begin"/>
      </w:r>
      <w:r>
        <w:instrText xml:space="preserve"> PAGEREF _Toc98770221 \h </w:instrText>
      </w:r>
      <w:r>
        <w:fldChar w:fldCharType="separate"/>
      </w:r>
      <w:r>
        <w:t>298</w:t>
      </w:r>
      <w:r>
        <w:fldChar w:fldCharType="end"/>
      </w:r>
    </w:p>
    <w:p>
      <w:pPr>
        <w:pStyle w:val="TOC8"/>
        <w:rPr>
          <w:rFonts w:asciiTheme="minorHAnsi" w:eastAsiaTheme="minorEastAsia" w:hAnsiTheme="minorHAnsi" w:cstheme="minorBidi"/>
          <w:szCs w:val="22"/>
        </w:rPr>
      </w:pPr>
      <w:r>
        <w:t>99B.</w:t>
      </w:r>
      <w:r>
        <w:tab/>
        <w:t>Production of identity card</w:t>
      </w:r>
      <w:r>
        <w:tab/>
      </w:r>
      <w:r>
        <w:fldChar w:fldCharType="begin"/>
      </w:r>
      <w:r>
        <w:instrText xml:space="preserve"> PAGEREF _Toc98770222 \h </w:instrText>
      </w:r>
      <w:r>
        <w:fldChar w:fldCharType="separate"/>
      </w:r>
      <w:r>
        <w:t>299</w:t>
      </w:r>
      <w:r>
        <w:fldChar w:fldCharType="end"/>
      </w:r>
    </w:p>
    <w:p>
      <w:pPr>
        <w:pStyle w:val="TOC8"/>
        <w:rPr>
          <w:rFonts w:asciiTheme="minorHAnsi" w:eastAsiaTheme="minorEastAsia" w:hAnsiTheme="minorHAnsi" w:cstheme="minorBidi"/>
          <w:szCs w:val="22"/>
        </w:rPr>
      </w:pPr>
      <w:r>
        <w:lastRenderedPageBreak/>
        <w:t>99C.</w:t>
      </w:r>
      <w:r>
        <w:tab/>
        <w:t>Staff for Department</w:t>
      </w:r>
      <w:r>
        <w:tab/>
      </w:r>
      <w:r>
        <w:fldChar w:fldCharType="begin"/>
      </w:r>
      <w:r>
        <w:instrText xml:space="preserve"> PAGEREF _Toc98770223 \h </w:instrText>
      </w:r>
      <w:r>
        <w:fldChar w:fldCharType="separate"/>
      </w:r>
      <w:r>
        <w:t>299</w:t>
      </w:r>
      <w:r>
        <w:fldChar w:fldCharType="end"/>
      </w:r>
    </w:p>
    <w:p>
      <w:pPr>
        <w:pStyle w:val="TOC8"/>
        <w:rPr>
          <w:rFonts w:asciiTheme="minorHAnsi" w:eastAsiaTheme="minorEastAsia" w:hAnsiTheme="minorHAnsi" w:cstheme="minorBidi"/>
          <w:szCs w:val="22"/>
        </w:rPr>
      </w:pPr>
      <w:r>
        <w:t>99D.</w:t>
      </w:r>
      <w:r>
        <w:tab/>
        <w:t>Designation of officers, generally</w:t>
      </w:r>
      <w:r>
        <w:tab/>
      </w:r>
      <w:r>
        <w:fldChar w:fldCharType="begin"/>
      </w:r>
      <w:r>
        <w:instrText xml:space="preserve"> PAGEREF _Toc98770224 \h </w:instrText>
      </w:r>
      <w:r>
        <w:fldChar w:fldCharType="separate"/>
      </w:r>
      <w:r>
        <w:t>300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Wage rates in awards not affected by repeal of basic wage provisions</w:t>
      </w:r>
      <w:r>
        <w:tab/>
      </w:r>
      <w:r>
        <w:fldChar w:fldCharType="begin"/>
      </w:r>
      <w:r>
        <w:instrText xml:space="preserve"> PAGEREF _Toc98770225 \h </w:instrText>
      </w:r>
      <w:r>
        <w:fldChar w:fldCharType="separate"/>
      </w:r>
      <w:r>
        <w:t>300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Obstruction etc. prohibited</w:t>
      </w:r>
      <w:r>
        <w:tab/>
      </w:r>
      <w:r>
        <w:fldChar w:fldCharType="begin"/>
      </w:r>
      <w:r>
        <w:instrText xml:space="preserve"> PAGEREF _Toc98770226 \h </w:instrText>
      </w:r>
      <w:r>
        <w:fldChar w:fldCharType="separate"/>
      </w:r>
      <w:r>
        <w:t>301</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Institution of certain proceedings, powers of Registrar etc. for</w:t>
      </w:r>
      <w:r>
        <w:tab/>
      </w:r>
      <w:r>
        <w:fldChar w:fldCharType="begin"/>
      </w:r>
      <w:r>
        <w:instrText xml:space="preserve"> PAGEREF _Toc98770227 \h </w:instrText>
      </w:r>
      <w:r>
        <w:fldChar w:fldCharType="separate"/>
      </w:r>
      <w:r>
        <w:t>302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Certain applications may relate to more than one breach</w:t>
      </w:r>
      <w:r>
        <w:tab/>
      </w:r>
      <w:r>
        <w:fldChar w:fldCharType="begin"/>
      </w:r>
      <w:r>
        <w:instrText xml:space="preserve"> PAGEREF _Toc98770228 \h </w:instrText>
      </w:r>
      <w:r>
        <w:fldChar w:fldCharType="separate"/>
      </w:r>
      <w:r>
        <w:t>302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Prosecutions</w:t>
      </w:r>
      <w:r>
        <w:tab/>
      </w:r>
      <w:r>
        <w:fldChar w:fldCharType="begin"/>
      </w:r>
      <w:r>
        <w:instrText xml:space="preserve"> PAGEREF _Toc98770229 \h </w:instrText>
      </w:r>
      <w:r>
        <w:fldChar w:fldCharType="separate"/>
      </w:r>
      <w:r>
        <w:t>303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Awards etc., evidence of</w:t>
      </w:r>
      <w:r>
        <w:tab/>
      </w:r>
      <w:r>
        <w:fldChar w:fldCharType="begin"/>
      </w:r>
      <w:r>
        <w:instrText xml:space="preserve"> PAGEREF _Toc98770230 \h </w:instrText>
      </w:r>
      <w:r>
        <w:fldChar w:fldCharType="separate"/>
      </w:r>
      <w:r>
        <w:t>303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Official signatures and appointments, judicial notice of</w:t>
      </w:r>
      <w:r>
        <w:tab/>
      </w:r>
      <w:r>
        <w:fldChar w:fldCharType="begin"/>
      </w:r>
      <w:r>
        <w:instrText xml:space="preserve"> PAGEREF _Toc98770231 \h </w:instrText>
      </w:r>
      <w:r>
        <w:fldChar w:fldCharType="separate"/>
      </w:r>
      <w:r>
        <w:t>304</w:t>
      </w:r>
      <w:r>
        <w:fldChar w:fldCharType="end"/>
      </w:r>
    </w:p>
    <w:p>
      <w:pPr>
        <w:pStyle w:val="TOC8"/>
        <w:rPr>
          <w:rFonts w:asciiTheme="minorHAnsi" w:eastAsiaTheme="minorEastAsia" w:hAnsiTheme="minorHAnsi" w:cstheme="minorBidi"/>
          <w:szCs w:val="22"/>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_Toc98770232 \h </w:instrText>
      </w:r>
      <w:r>
        <w:fldChar w:fldCharType="separate"/>
      </w:r>
      <w:r>
        <w:t>304</w:t>
      </w:r>
      <w:r>
        <w:fldChar w:fldCharType="end"/>
      </w:r>
    </w:p>
    <w:p>
      <w:pPr>
        <w:pStyle w:val="TOC8"/>
        <w:rPr>
          <w:rFonts w:asciiTheme="minorHAnsi" w:eastAsiaTheme="minorEastAsia" w:hAnsiTheme="minorHAnsi" w:cstheme="minorBidi"/>
          <w:szCs w:val="22"/>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_Toc98770233 \h </w:instrText>
      </w:r>
      <w:r>
        <w:fldChar w:fldCharType="separate"/>
      </w:r>
      <w:r>
        <w:t>304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Dues payable to organisation or association may be sued for</w:t>
      </w:r>
      <w:r>
        <w:tab/>
      </w:r>
      <w:r>
        <w:fldChar w:fldCharType="begin"/>
      </w:r>
      <w:r>
        <w:instrText xml:space="preserve"> PAGEREF _Toc98770234 \h </w:instrText>
      </w:r>
      <w:r>
        <w:fldChar w:fldCharType="separate"/>
      </w:r>
      <w:r>
        <w:t>305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Disputes between organisation or association and its members, how to be determined</w:t>
      </w:r>
      <w:r>
        <w:tab/>
      </w:r>
      <w:r>
        <w:fldChar w:fldCharType="begin"/>
      </w:r>
      <w:r>
        <w:instrText xml:space="preserve"> PAGEREF _Toc98770235 \h </w:instrText>
      </w:r>
      <w:r>
        <w:fldChar w:fldCharType="separate"/>
      </w:r>
      <w:r>
        <w:t>305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premiums etc. to be taken for employment</w:t>
      </w:r>
      <w:r>
        <w:tab/>
      </w:r>
      <w:r>
        <w:fldChar w:fldCharType="begin"/>
      </w:r>
      <w:r>
        <w:instrText xml:space="preserve"> PAGEREF _Toc98770236 \h </w:instrText>
      </w:r>
      <w:r>
        <w:fldChar w:fldCharType="separate"/>
      </w:r>
      <w:r>
        <w:t>306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Certain rules of organisation as to penalties invalid</w:t>
      </w:r>
      <w:r>
        <w:tab/>
      </w:r>
      <w:r>
        <w:fldChar w:fldCharType="begin"/>
      </w:r>
      <w:r>
        <w:instrText xml:space="preserve"> PAGEREF _Toc98770237 \h </w:instrText>
      </w:r>
      <w:r>
        <w:fldChar w:fldCharType="separate"/>
      </w:r>
      <w:r>
        <w:t>306</w:t>
      </w:r>
      <w:r>
        <w:fldChar w:fldCharType="end"/>
      </w:r>
    </w:p>
    <w:p>
      <w:pPr>
        <w:pStyle w:val="TOC8"/>
        <w:rPr>
          <w:rFonts w:asciiTheme="minorHAnsi" w:eastAsiaTheme="minorEastAsia" w:hAnsiTheme="minorHAnsi" w:cstheme="minorBidi"/>
          <w:szCs w:val="22"/>
        </w:rPr>
      </w:pPr>
      <w:r>
        <w:t>112A.</w:t>
      </w:r>
      <w:r>
        <w:tab/>
        <w:t>Industrial agents, registration of</w:t>
      </w:r>
      <w:r>
        <w:tab/>
      </w:r>
      <w:r>
        <w:fldChar w:fldCharType="begin"/>
      </w:r>
      <w:r>
        <w:instrText xml:space="preserve"> PAGEREF _Toc98770238 \h </w:instrText>
      </w:r>
      <w:r>
        <w:fldChar w:fldCharType="separate"/>
      </w:r>
      <w:r>
        <w:t>307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w:t>
      </w:r>
      <w:r>
        <w:tab/>
      </w:r>
      <w:r>
        <w:fldChar w:fldCharType="begin"/>
      </w:r>
      <w:r>
        <w:instrText xml:space="preserve"> PAGEREF _Toc98770239 \h </w:instrText>
      </w:r>
      <w:r>
        <w:fldChar w:fldCharType="separate"/>
      </w:r>
      <w:r>
        <w:t>309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Contracting out from awards etc. prohibited</w:t>
      </w:r>
      <w:r>
        <w:tab/>
      </w:r>
      <w:r>
        <w:fldChar w:fldCharType="begin"/>
      </w:r>
      <w:r>
        <w:instrText xml:space="preserve"> PAGEREF _Toc98770240 \h </w:instrText>
      </w:r>
      <w:r>
        <w:fldChar w:fldCharType="separate"/>
      </w:r>
      <w:r>
        <w:t>312</w:t>
      </w:r>
      <w:r>
        <w:fldChar w:fldCharType="end"/>
      </w:r>
    </w:p>
    <w:p>
      <w:pPr>
        <w:pStyle w:val="TOC8"/>
        <w:rPr>
          <w:rFonts w:asciiTheme="minorHAnsi" w:eastAsiaTheme="minorEastAsia" w:hAnsiTheme="minorHAnsi" w:cstheme="minorBidi"/>
          <w:szCs w:val="22"/>
        </w:rPr>
      </w:pPr>
      <w:r>
        <w:t>115.</w:t>
      </w:r>
      <w:r>
        <w:tab/>
        <w:t>Police officers, application of Act to (Sch. 3)</w:t>
      </w:r>
      <w:r>
        <w:tab/>
      </w:r>
      <w:r>
        <w:fldChar w:fldCharType="begin"/>
      </w:r>
      <w:r>
        <w:instrText xml:space="preserve"> PAGEREF _Toc98770241 \h </w:instrText>
      </w:r>
      <w:r>
        <w:fldChar w:fldCharType="separate"/>
      </w:r>
      <w:r>
        <w:t>312</w:t>
      </w:r>
      <w:r>
        <w:fldChar w:fldCharType="end"/>
      </w:r>
    </w:p>
    <w:p>
      <w:pPr>
        <w:pStyle w:val="TOC8"/>
        <w:rPr>
          <w:rFonts w:asciiTheme="minorHAnsi" w:eastAsiaTheme="minorEastAsia" w:hAnsiTheme="minorHAnsi" w:cstheme="minorBidi"/>
          <w:szCs w:val="22"/>
        </w:rPr>
      </w:pPr>
      <w:r>
        <w:t>116.</w:t>
      </w:r>
      <w:r>
        <w:tab/>
        <w:t xml:space="preserve">Transitional provisions for </w:t>
      </w:r>
      <w:r>
        <w:rPr>
          <w:i/>
        </w:rPr>
        <w:t>Industrial Relations Amendment Act 2018</w:t>
      </w:r>
      <w:r>
        <w:tab/>
      </w:r>
      <w:r>
        <w:fldChar w:fldCharType="begin"/>
      </w:r>
      <w:r>
        <w:instrText xml:space="preserve"> PAGEREF _Toc98770242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published in the “</w:t>
      </w:r>
      <w:r>
        <w:rPr>
          <w:i/>
          <w:iCs/>
        </w:rPr>
        <w:t>Western Australian Industrial Gazette</w:t>
      </w:r>
      <w:r>
        <w:t>”</w:t>
      </w:r>
    </w:p>
    <w:p>
      <w:pPr>
        <w:pStyle w:val="TOC2"/>
        <w:tabs>
          <w:tab w:val="right" w:leader="dot" w:pos="7077"/>
        </w:tabs>
        <w:rPr>
          <w:rFonts w:asciiTheme="minorHAnsi" w:eastAsiaTheme="minorEastAsia" w:hAnsiTheme="minorHAnsi" w:cstheme="minorBidi"/>
          <w:b w:val="0"/>
          <w:sz w:val="22"/>
          <w:szCs w:val="22"/>
        </w:rPr>
      </w:pPr>
      <w:r>
        <w:t>Schedule 3 — Police officers</w:t>
      </w:r>
    </w:p>
    <w:p>
      <w:pPr>
        <w:pStyle w:val="TOC8"/>
        <w:rPr>
          <w:rFonts w:asciiTheme="minorHAnsi" w:eastAsiaTheme="minorEastAsia" w:hAnsiTheme="minorHAnsi" w:cstheme="minorBidi"/>
          <w:szCs w:val="22"/>
        </w:rPr>
      </w:pPr>
      <w:r>
        <w:t>1.</w:t>
      </w:r>
      <w:r>
        <w:tab/>
        <w:t>Term used: Arbitrator</w:t>
      </w:r>
      <w:r>
        <w:tab/>
      </w:r>
      <w:r>
        <w:fldChar w:fldCharType="begin"/>
      </w:r>
      <w:r>
        <w:instrText xml:space="preserve"> PAGEREF _Toc98770245 \h </w:instrText>
      </w:r>
      <w:r>
        <w:fldChar w:fldCharType="separate"/>
      </w:r>
      <w:r>
        <w:t>315</w:t>
      </w:r>
      <w:r>
        <w:fldChar w:fldCharType="end"/>
      </w:r>
    </w:p>
    <w:p>
      <w:pPr>
        <w:pStyle w:val="TOC8"/>
        <w:rPr>
          <w:rFonts w:asciiTheme="minorHAnsi" w:eastAsiaTheme="minorEastAsia" w:hAnsiTheme="minorHAnsi" w:cstheme="minorBidi"/>
          <w:szCs w:val="22"/>
        </w:rPr>
      </w:pPr>
      <w:r>
        <w:t>2.</w:t>
      </w:r>
      <w:r>
        <w:tab/>
        <w:t>Application of Act to police officer</w:t>
      </w:r>
      <w:r>
        <w:tab/>
      </w:r>
      <w:r>
        <w:fldChar w:fldCharType="begin"/>
      </w:r>
      <w:r>
        <w:instrText xml:space="preserve"> PAGEREF _Toc98770246 \h </w:instrText>
      </w:r>
      <w:r>
        <w:fldChar w:fldCharType="separate"/>
      </w:r>
      <w:r>
        <w:t>315</w:t>
      </w:r>
      <w:r>
        <w:fldChar w:fldCharType="end"/>
      </w:r>
    </w:p>
    <w:p>
      <w:pPr>
        <w:pStyle w:val="TOC8"/>
        <w:rPr>
          <w:rFonts w:asciiTheme="minorHAnsi" w:eastAsiaTheme="minorEastAsia" w:hAnsiTheme="minorHAnsi" w:cstheme="minorBidi"/>
          <w:szCs w:val="22"/>
        </w:rPr>
      </w:pPr>
      <w:r>
        <w:t>3.</w:t>
      </w:r>
      <w:r>
        <w:tab/>
        <w:t>Western Australian Police Union of Workers, status of</w:t>
      </w:r>
      <w:r>
        <w:tab/>
      </w:r>
      <w:r>
        <w:fldChar w:fldCharType="begin"/>
      </w:r>
      <w:r>
        <w:instrText xml:space="preserve"> PAGEREF _Toc98770247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Registration requirements for EEAs</w:t>
      </w:r>
    </w:p>
    <w:p>
      <w:pPr>
        <w:pStyle w:val="TOC8"/>
        <w:rPr>
          <w:rFonts w:asciiTheme="minorHAnsi" w:eastAsiaTheme="minorEastAsia" w:hAnsiTheme="minorHAnsi" w:cstheme="minorBidi"/>
          <w:szCs w:val="22"/>
        </w:rPr>
      </w:pPr>
      <w:r>
        <w:t>1.</w:t>
      </w:r>
      <w:r>
        <w:tab/>
        <w:t>When EEA is in order for registration</w:t>
      </w:r>
      <w:r>
        <w:tab/>
      </w:r>
      <w:r>
        <w:fldChar w:fldCharType="begin"/>
      </w:r>
      <w:r>
        <w:instrText xml:space="preserve"> PAGEREF _Toc98770249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5 — Powers to obtain information, and related provisions</w:t>
      </w:r>
    </w:p>
    <w:p>
      <w:pPr>
        <w:pStyle w:val="TOC8"/>
        <w:rPr>
          <w:rFonts w:asciiTheme="minorHAnsi" w:eastAsiaTheme="minorEastAsia" w:hAnsiTheme="minorHAnsi" w:cstheme="minorBidi"/>
          <w:szCs w:val="22"/>
        </w:rPr>
      </w:pPr>
      <w:r>
        <w:t>1</w:t>
      </w:r>
      <w:r>
        <w:rPr>
          <w:snapToGrid w:val="0"/>
        </w:rPr>
        <w:t>.</w:t>
      </w:r>
      <w:r>
        <w:rPr>
          <w:snapToGrid w:val="0"/>
        </w:rPr>
        <w:tab/>
        <w:t xml:space="preserve">Authorised person’s powers to obtain </w:t>
      </w:r>
      <w:r>
        <w:t>information</w:t>
      </w:r>
      <w:r>
        <w:tab/>
      </w:r>
      <w:r>
        <w:fldChar w:fldCharType="begin"/>
      </w:r>
      <w:r>
        <w:instrText xml:space="preserve"> PAGEREF _Toc98770251 \h </w:instrText>
      </w:r>
      <w:r>
        <w:fldChar w:fldCharType="separate"/>
      </w:r>
      <w:r>
        <w:t>319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Obstructing authorised person</w:t>
      </w:r>
      <w:r>
        <w:tab/>
      </w:r>
      <w:r>
        <w:fldChar w:fldCharType="begin"/>
      </w:r>
      <w:r>
        <w:instrText xml:space="preserve"> PAGEREF _Toc98770252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False </w:t>
      </w:r>
      <w:r>
        <w:t>statement to authorised person</w:t>
      </w:r>
      <w:r>
        <w:tab/>
      </w:r>
      <w:r>
        <w:fldChar w:fldCharType="begin"/>
      </w:r>
      <w:r>
        <w:instrText xml:space="preserve"> PAGEREF _Toc98770253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Failure to comply with cl. 1 requirement</w:t>
      </w:r>
      <w:r>
        <w:tab/>
      </w:r>
      <w:r>
        <w:fldChar w:fldCharType="begin"/>
      </w:r>
      <w:r>
        <w:instrText xml:space="preserve"> PAGEREF _Toc98770254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Legal </w:t>
      </w:r>
      <w:r>
        <w:t>professional</w:t>
      </w:r>
      <w:r>
        <w:rPr>
          <w:snapToGrid w:val="0"/>
        </w:rPr>
        <w:t xml:space="preserve"> privilege overridden</w:t>
      </w:r>
      <w:r>
        <w:tab/>
      </w:r>
      <w:r>
        <w:fldChar w:fldCharType="begin"/>
      </w:r>
      <w:r>
        <w:instrText xml:space="preserve"> PAGEREF _Toc98770255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_Toc98770256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Schedule 6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_Toc98770259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for President</w:t>
      </w:r>
    </w:p>
    <w:p>
      <w:pPr>
        <w:pStyle w:val="TOC8"/>
        <w:rPr>
          <w:rFonts w:asciiTheme="minorHAnsi" w:eastAsiaTheme="minorEastAsia" w:hAnsiTheme="minorHAnsi" w:cstheme="minorBidi"/>
          <w:szCs w:val="22"/>
        </w:rPr>
      </w:pPr>
      <w:r>
        <w:t>2.</w:t>
      </w:r>
      <w:r>
        <w:tab/>
        <w:t>Acting President: continuation in office</w:t>
      </w:r>
      <w:r>
        <w:tab/>
      </w:r>
      <w:r>
        <w:fldChar w:fldCharType="begin"/>
      </w:r>
      <w:r>
        <w:instrText xml:space="preserve"> PAGEREF _Toc98770261 \h </w:instrText>
      </w:r>
      <w:r>
        <w:fldChar w:fldCharType="separate"/>
      </w:r>
      <w:r>
        <w:t>321</w:t>
      </w:r>
      <w:r>
        <w:fldChar w:fldCharType="end"/>
      </w:r>
    </w:p>
    <w:p>
      <w:pPr>
        <w:pStyle w:val="TOC8"/>
        <w:rPr>
          <w:rFonts w:asciiTheme="minorHAnsi" w:eastAsiaTheme="minorEastAsia" w:hAnsiTheme="minorHAnsi" w:cstheme="minorBidi"/>
          <w:szCs w:val="22"/>
        </w:rPr>
      </w:pPr>
      <w:r>
        <w:t>3.</w:t>
      </w:r>
      <w:r>
        <w:tab/>
        <w:t>Past President’s pension entitlements</w:t>
      </w:r>
      <w:r>
        <w:tab/>
      </w:r>
      <w:r>
        <w:fldChar w:fldCharType="begin"/>
      </w:r>
      <w:r>
        <w:instrText xml:space="preserve"> PAGEREF _Toc98770262 \h </w:instrText>
      </w:r>
      <w:r>
        <w:fldChar w:fldCharType="separate"/>
      </w:r>
      <w:r>
        <w:t>322</w:t>
      </w:r>
      <w:r>
        <w:fldChar w:fldCharType="end"/>
      </w:r>
    </w:p>
    <w:p>
      <w:pPr>
        <w:pStyle w:val="TOC8"/>
        <w:rPr>
          <w:rFonts w:asciiTheme="minorHAnsi" w:eastAsiaTheme="minorEastAsia" w:hAnsiTheme="minorHAnsi" w:cstheme="minorBidi"/>
          <w:szCs w:val="22"/>
        </w:rPr>
      </w:pPr>
      <w:r>
        <w:t>4.</w:t>
      </w:r>
      <w:r>
        <w:tab/>
        <w:t>Judicial notice of signature and appointment of President</w:t>
      </w:r>
      <w:r>
        <w:tab/>
      </w:r>
      <w:r>
        <w:fldChar w:fldCharType="begin"/>
      </w:r>
      <w:r>
        <w:instrText xml:space="preserve"> PAGEREF _Toc98770263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pending matters</w:t>
      </w:r>
    </w:p>
    <w:p>
      <w:pPr>
        <w:pStyle w:val="TOC8"/>
        <w:rPr>
          <w:rFonts w:asciiTheme="minorHAnsi" w:eastAsiaTheme="minorEastAsia" w:hAnsiTheme="minorHAnsi" w:cstheme="minorBidi"/>
          <w:szCs w:val="22"/>
        </w:rPr>
      </w:pPr>
      <w:r>
        <w:t>5.</w:t>
      </w:r>
      <w:r>
        <w:tab/>
        <w:t>Pending matters</w:t>
      </w:r>
      <w:r>
        <w:tab/>
      </w:r>
      <w:r>
        <w:fldChar w:fldCharType="begin"/>
      </w:r>
      <w:r>
        <w:instrText xml:space="preserve"> PAGEREF _Toc98770265 \h </w:instrText>
      </w:r>
      <w:r>
        <w:fldChar w:fldCharType="separate"/>
      </w:r>
      <w:r>
        <w:t>322</w:t>
      </w:r>
      <w:r>
        <w:fldChar w:fldCharType="end"/>
      </w:r>
    </w:p>
    <w:p>
      <w:pPr>
        <w:pStyle w:val="TOC8"/>
        <w:rPr>
          <w:rFonts w:asciiTheme="minorHAnsi" w:eastAsiaTheme="minorEastAsia" w:hAnsiTheme="minorHAnsi" w:cstheme="minorBidi"/>
          <w:szCs w:val="22"/>
        </w:rPr>
      </w:pPr>
      <w:r>
        <w:t>6.</w:t>
      </w:r>
      <w:r>
        <w:tab/>
        <w:t>Order under former s. 49 does not begin hearing of appeal</w:t>
      </w:r>
      <w:r>
        <w:tab/>
      </w:r>
      <w:r>
        <w:fldChar w:fldCharType="begin"/>
      </w:r>
      <w:r>
        <w:instrText xml:space="preserve"> PAGEREF _Toc98770266 \h </w:instrText>
      </w:r>
      <w:r>
        <w:fldChar w:fldCharType="separate"/>
      </w:r>
      <w:r>
        <w:t>323</w:t>
      </w:r>
      <w:r>
        <w:fldChar w:fldCharType="end"/>
      </w:r>
    </w:p>
    <w:p>
      <w:pPr>
        <w:pStyle w:val="TOC8"/>
        <w:rPr>
          <w:rFonts w:asciiTheme="minorHAnsi" w:eastAsiaTheme="minorEastAsia" w:hAnsiTheme="minorHAnsi" w:cstheme="minorBidi"/>
          <w:szCs w:val="22"/>
        </w:rPr>
      </w:pPr>
      <w:r>
        <w:t>7.</w:t>
      </w:r>
      <w:r>
        <w:tab/>
        <w:t>Notices and applications under former s. 55</w:t>
      </w:r>
      <w:r>
        <w:tab/>
      </w:r>
      <w:r>
        <w:fldChar w:fldCharType="begin"/>
      </w:r>
      <w:r>
        <w:instrText xml:space="preserve"> PAGEREF _Toc98770267 \h </w:instrText>
      </w:r>
      <w:r>
        <w:fldChar w:fldCharType="separate"/>
      </w:r>
      <w:r>
        <w:t>323</w:t>
      </w:r>
      <w:r>
        <w:fldChar w:fldCharType="end"/>
      </w:r>
    </w:p>
    <w:p>
      <w:pPr>
        <w:pStyle w:val="TOC8"/>
        <w:rPr>
          <w:rFonts w:asciiTheme="minorHAnsi" w:eastAsiaTheme="minorEastAsia" w:hAnsiTheme="minorHAnsi" w:cstheme="minorBidi"/>
          <w:szCs w:val="22"/>
        </w:rPr>
      </w:pPr>
      <w:r>
        <w:t>8.</w:t>
      </w:r>
      <w:r>
        <w:tab/>
        <w:t>Summonses under former s. 73</w:t>
      </w:r>
      <w:r>
        <w:tab/>
      </w:r>
      <w:r>
        <w:fldChar w:fldCharType="begin"/>
      </w:r>
      <w:r>
        <w:instrText xml:space="preserve"> PAGEREF _Toc98770268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_Toc98770270 \h </w:instrText>
      </w:r>
      <w:r>
        <w:fldChar w:fldCharType="separate"/>
      </w:r>
      <w:r>
        <w:t>325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_Toc98770271 \h </w:instrText>
      </w:r>
      <w:r>
        <w:fldChar w:fldCharType="separate"/>
      </w:r>
      <w:r>
        <w:t>333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_Toc98770272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600" w:after="1400"/>
      </w:pPr>
      <w:r>
        <w:lastRenderedPageBreak/>
        <w:t>Industrial Relations Act 1979</w:t>
      </w:r>
    </w:p>
    <w:p>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pPr>
        <w:pStyle w:val="Heading2"/>
      </w:pPr>
      <w:bookmarkStart w:id="3" w:name="_Toc98504912"/>
      <w:bookmarkStart w:id="4" w:name="_Toc98506611"/>
      <w:bookmarkStart w:id="5" w:name="_Toc98507774"/>
      <w:bookmarkStart w:id="6" w:name="_Toc98769829"/>
      <w:r>
        <w:rPr>
          <w:rStyle w:val="CharPartNo"/>
        </w:rPr>
        <w:lastRenderedPageBreak/>
        <w:t>Part I</w:t>
      </w:r>
      <w:r>
        <w:rPr>
          <w:rStyle w:val="CharDivNo"/>
        </w:rPr>
        <w:t> </w:t>
      </w:r>
      <w:r>
        <w:t>—</w:t>
      </w:r>
      <w:r>
        <w:rPr>
          <w:rStyle w:val="CharDivText"/>
        </w:rPr>
        <w:t> </w:t>
      </w:r>
      <w:r>
        <w:rPr>
          <w:rStyle w:val="CharPartText"/>
        </w:rPr>
        <w:t>Introductory</w:t>
      </w:r>
      <w:bookmarkEnd w:id="3"/>
      <w:bookmarkEnd w:id="4"/>
      <w:bookmarkEnd w:id="5"/>
      <w:bookmarkEnd w:id="6"/>
    </w:p>
    <w:p>
      <w:pPr>
        <w:pStyle w:val="Heading5"/>
        <w:spacing w:before="180"/>
        <w:rPr>
          <w:snapToGrid w:val="0"/>
        </w:rPr>
      </w:pPr>
      <w:bookmarkStart w:id="7" w:name="_Toc98769830"/>
      <w:r>
        <w:rPr>
          <w:rStyle w:val="CharSectno"/>
        </w:rPr>
        <w:t>1</w:t>
      </w:r>
      <w:r>
        <w:rPr>
          <w:snapToGrid w:val="0"/>
        </w:rPr>
        <w:t>.</w:t>
      </w:r>
      <w:r>
        <w:rPr>
          <w:snapToGrid w:val="0"/>
        </w:rPr>
        <w:tab/>
        <w:t>Short title</w:t>
      </w:r>
      <w:bookmarkEnd w:id="7"/>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w:t>
      </w:r>
    </w:p>
    <w:p>
      <w:pPr>
        <w:pStyle w:val="Footnotesection"/>
      </w:pPr>
      <w:r>
        <w:tab/>
        <w:t>[Section 1 amended: No. 94 of 1984 s. 4.]</w:t>
      </w:r>
    </w:p>
    <w:p>
      <w:pPr>
        <w:pStyle w:val="Heading5"/>
        <w:spacing w:before="180"/>
        <w:rPr>
          <w:snapToGrid w:val="0"/>
        </w:rPr>
      </w:pPr>
      <w:bookmarkStart w:id="8" w:name="_Toc98769831"/>
      <w:r>
        <w:rPr>
          <w:rStyle w:val="CharSectno"/>
        </w:rPr>
        <w:t>2</w:t>
      </w:r>
      <w:r>
        <w:rPr>
          <w:snapToGrid w:val="0"/>
        </w:rPr>
        <w:t>.</w:t>
      </w:r>
      <w:r>
        <w:rPr>
          <w:snapToGrid w:val="0"/>
        </w:rPr>
        <w:tab/>
        <w:t>Commencement</w:t>
      </w:r>
      <w:bookmarkEnd w:id="8"/>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180"/>
        <w:rPr>
          <w:snapToGrid w:val="0"/>
        </w:rPr>
      </w:pPr>
      <w:bookmarkStart w:id="9" w:name="_Toc98769832"/>
      <w:r>
        <w:rPr>
          <w:rStyle w:val="CharSectno"/>
        </w:rPr>
        <w:t>3</w:t>
      </w:r>
      <w:r>
        <w:rPr>
          <w:snapToGrid w:val="0"/>
        </w:rPr>
        <w:t>.</w:t>
      </w:r>
      <w:r>
        <w:rPr>
          <w:snapToGrid w:val="0"/>
        </w:rPr>
        <w:tab/>
        <w:t>Application of Act off</w:t>
      </w:r>
      <w:r>
        <w:rPr>
          <w:snapToGrid w:val="0"/>
        </w:rPr>
        <w:noBreakHyphen/>
        <w:t>shore</w:t>
      </w:r>
      <w:bookmarkEnd w:id="9"/>
    </w:p>
    <w:p>
      <w:pPr>
        <w:pStyle w:val="Subsection"/>
        <w:spacing w:before="120"/>
        <w:rPr>
          <w:snapToGrid w:val="0"/>
        </w:rPr>
      </w:pPr>
      <w:r>
        <w:rPr>
          <w:snapToGrid w:val="0"/>
        </w:rPr>
        <w:tab/>
        <w:t>(1)</w:t>
      </w:r>
      <w:r>
        <w:rPr>
          <w:snapToGrid w:val="0"/>
        </w:rPr>
        <w:tab/>
        <w:t>Subject to subsections (5) and (6) where any industry is carried on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pPr>
        <w:pStyle w:val="Indenti"/>
        <w:spacing w:before="60"/>
        <w:rPr>
          <w:snapToGrid w:val="0"/>
        </w:rPr>
      </w:pPr>
      <w:r>
        <w:rPr>
          <w:snapToGrid w:val="0"/>
        </w:rPr>
        <w:tab/>
        <w:t>(ii)</w:t>
      </w:r>
      <w:r>
        <w:rPr>
          <w:snapToGrid w:val="0"/>
        </w:rPr>
        <w:tab/>
        <w:t>the employer concerned is connected with the State; or</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lastRenderedPageBreak/>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w:t>
      </w:r>
    </w:p>
    <w:p>
      <w:pPr>
        <w:pStyle w:val="Indenta"/>
        <w:rPr>
          <w:snapToGrid w:val="0"/>
        </w:rPr>
      </w:pPr>
      <w:r>
        <w:rPr>
          <w:snapToGrid w:val="0"/>
        </w:rPr>
        <w:tab/>
        <w:t>(a)</w:t>
      </w:r>
      <w:r>
        <w:rPr>
          <w:snapToGrid w:val="0"/>
        </w:rPr>
        <w:tab/>
        <w:t>is domiciled in the State; or</w:t>
      </w:r>
    </w:p>
    <w:p>
      <w:pPr>
        <w:pStyle w:val="Indenta"/>
        <w:rPr>
          <w:snapToGrid w:val="0"/>
        </w:rPr>
      </w:pPr>
      <w:r>
        <w:rPr>
          <w:snapToGrid w:val="0"/>
        </w:rPr>
        <w:tab/>
        <w:t>(b)</w:t>
      </w:r>
      <w:r>
        <w:rPr>
          <w:snapToGrid w:val="0"/>
        </w:rPr>
        <w:tab/>
        <w:t>is resident in the State, normally or temporarily; or</w:t>
      </w:r>
    </w:p>
    <w:p>
      <w:pPr>
        <w:pStyle w:val="Indenta"/>
      </w:pPr>
      <w:r>
        <w:tab/>
        <w:t>(c)</w:t>
      </w:r>
      <w:r>
        <w:tab/>
        <w:t>being a body corporate, is —</w:t>
      </w:r>
    </w:p>
    <w:p>
      <w:pPr>
        <w:pStyle w:val="Indenti"/>
      </w:pPr>
      <w:r>
        <w:tab/>
        <w:t>(i)</w:t>
      </w:r>
      <w:r>
        <w:tab/>
        <w:t>registered, incorporated, or established under a law of the State; or</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lastRenderedPageBreak/>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[Section 3 amended: No. 10 of 1982 s. 28; No. 10 of 2001 s. 111.]</w:t>
      </w:r>
    </w:p>
    <w:p>
      <w:pPr>
        <w:pStyle w:val="Heading5"/>
        <w:pageBreakBefore/>
        <w:spacing w:before="0"/>
        <w:rPr>
          <w:snapToGrid w:val="0"/>
        </w:rPr>
      </w:pPr>
      <w:bookmarkStart w:id="10" w:name="_Toc98769833"/>
      <w:r>
        <w:rPr>
          <w:rStyle w:val="CharSectno"/>
        </w:rPr>
        <w:lastRenderedPageBreak/>
        <w:t>4</w:t>
      </w:r>
      <w:r>
        <w:rPr>
          <w:snapToGrid w:val="0"/>
        </w:rPr>
        <w:t>.</w:t>
      </w:r>
      <w:r>
        <w:rPr>
          <w:snapToGrid w:val="0"/>
        </w:rPr>
        <w:tab/>
        <w:t>Repeal</w:t>
      </w:r>
      <w:bookmarkEnd w:id="10"/>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Deleted: No. 79 of 1995 s. 66(2).]</w:t>
      </w:r>
    </w:p>
    <w:p>
      <w:pPr>
        <w:pStyle w:val="Heading5"/>
        <w:rPr>
          <w:snapToGrid w:val="0"/>
        </w:rPr>
      </w:pPr>
      <w:bookmarkStart w:id="11" w:name="_Toc98769834"/>
      <w:r>
        <w:rPr>
          <w:rStyle w:val="CharSectno"/>
        </w:rPr>
        <w:t>6</w:t>
      </w:r>
      <w:r>
        <w:rPr>
          <w:snapToGrid w:val="0"/>
        </w:rPr>
        <w:t>.</w:t>
      </w:r>
      <w:r>
        <w:rPr>
          <w:snapToGrid w:val="0"/>
        </w:rPr>
        <w:tab/>
        <w:t>Objects of Act</w:t>
      </w:r>
      <w:bookmarkEnd w:id="11"/>
    </w:p>
    <w:p>
      <w:pPr>
        <w:pStyle w:val="Subsection"/>
        <w:rPr>
          <w:snapToGrid w:val="0"/>
        </w:rPr>
      </w:pPr>
      <w:r>
        <w:rPr>
          <w:snapToGrid w:val="0"/>
        </w:rPr>
        <w:tab/>
      </w:r>
      <w:r>
        <w:rPr>
          <w:snapToGrid w:val="0"/>
        </w:rPr>
        <w:tab/>
        <w:t>The principal objects of this Act are —</w:t>
      </w:r>
    </w:p>
    <w:p>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pPr>
        <w:pStyle w:val="Indenta"/>
        <w:spacing w:before="70"/>
      </w:pPr>
      <w:r>
        <w:tab/>
        <w:t>(aa)</w:t>
      </w:r>
      <w:r>
        <w:tab/>
        <w:t>to provide for rights and obligations in relation to good faith bargaining; and</w:t>
      </w:r>
    </w:p>
    <w:p>
      <w:pPr>
        <w:pStyle w:val="Indenta"/>
        <w:spacing w:before="70"/>
      </w:pPr>
      <w:r>
        <w:tab/>
        <w:t>(ab)</w:t>
      </w:r>
      <w:r>
        <w:tab/>
        <w:t>to promote the principles of freedom of association and the right to organise; and</w:t>
      </w:r>
    </w:p>
    <w:p>
      <w:pPr>
        <w:pStyle w:val="Indenta"/>
        <w:spacing w:before="70"/>
      </w:pPr>
      <w:r>
        <w:tab/>
        <w:t>(ac)</w:t>
      </w:r>
      <w:r>
        <w:tab/>
        <w:t>to promote equal remuneration for men and women for work of equal value; and</w:t>
      </w:r>
    </w:p>
    <w:p>
      <w:pPr>
        <w:pStyle w:val="Indenta"/>
        <w:spacing w:before="70"/>
      </w:pPr>
      <w:r>
        <w:tab/>
        <w:t>(ad)</w:t>
      </w:r>
      <w:r>
        <w:tab/>
        <w:t>to promote collective bargaining and to establish the primacy of collective agreements over individual agreements; and</w:t>
      </w:r>
    </w:p>
    <w:p>
      <w:pPr>
        <w:pStyle w:val="Indenta"/>
        <w:spacing w:before="70"/>
      </w:pPr>
      <w:r>
        <w:tab/>
        <w:t>(ae)</w:t>
      </w:r>
      <w:r>
        <w:tab/>
        <w:t>to ensure all agreements registered under this Act provide for fair terms and conditions of employment; and</w:t>
      </w:r>
    </w:p>
    <w:p>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pPr>
        <w:pStyle w:val="Indenta"/>
        <w:spacing w:before="70"/>
      </w:pPr>
      <w:r>
        <w:tab/>
        <w:t>(ag)</w:t>
      </w:r>
      <w:r>
        <w:tab/>
        <w:t>to encourage employers, employees and organisations to reach agreements appropriate to the needs of enterprises within industry and the employees in those enterprises; and</w:t>
      </w:r>
    </w:p>
    <w:p>
      <w:pPr>
        <w:pStyle w:val="Indenta"/>
        <w:spacing w:before="70"/>
        <w:rPr>
          <w:snapToGrid w:val="0"/>
        </w:rPr>
      </w:pPr>
      <w:r>
        <w:rPr>
          <w:snapToGrid w:val="0"/>
        </w:rPr>
        <w:tab/>
        <w:t>(b)</w:t>
      </w:r>
      <w:r>
        <w:rPr>
          <w:snapToGrid w:val="0"/>
        </w:rPr>
        <w:tab/>
        <w:t>to encourage, and provide means for, conciliation with a view to amicable agreement, thereby preventing and settling industrial disputes; and</w:t>
      </w:r>
    </w:p>
    <w:p>
      <w:pPr>
        <w:pStyle w:val="Indenta"/>
        <w:spacing w:before="70"/>
        <w:rPr>
          <w:snapToGrid w:val="0"/>
        </w:rPr>
      </w:pPr>
      <w:r>
        <w:rPr>
          <w:snapToGrid w:val="0"/>
        </w:rPr>
        <w:tab/>
        <w:t>(c)</w:t>
      </w:r>
      <w:r>
        <w:rPr>
          <w:snapToGrid w:val="0"/>
        </w:rPr>
        <w:tab/>
        <w:t xml:space="preserve">to provide means for preventing and settling industrial disputes not resolved by amicable agreement, including </w:t>
      </w:r>
      <w:r>
        <w:rPr>
          <w:snapToGrid w:val="0"/>
        </w:rPr>
        <w:lastRenderedPageBreak/>
        <w:t>threatened, impending and probable industrial disputes, with the maximum of expedition and the minimum of legal form and technicality; and</w:t>
      </w:r>
    </w:p>
    <w:p>
      <w:pPr>
        <w:pStyle w:val="Indenta"/>
        <w:rPr>
          <w:snapToGrid w:val="0"/>
        </w:rPr>
      </w:pPr>
      <w:r>
        <w:tab/>
        <w:t>(ca)</w:t>
      </w:r>
      <w:r>
        <w:tab/>
        <w:t>to provide a system of fair wages and conditions of employment; and</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 and</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[Section 6 inserted: No. 94 of 1984 s. 5; amended: No. 20 of 2002 s. 114 and 127.]</w:t>
      </w:r>
    </w:p>
    <w:p>
      <w:pPr>
        <w:pStyle w:val="Heading5"/>
        <w:rPr>
          <w:snapToGrid w:val="0"/>
        </w:rPr>
      </w:pPr>
      <w:bookmarkStart w:id="12" w:name="_Toc98769835"/>
      <w:r>
        <w:rPr>
          <w:rStyle w:val="CharSectno"/>
        </w:rPr>
        <w:t>7</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lastRenderedPageBreak/>
        <w:tab/>
      </w:r>
      <w:r>
        <w:rPr>
          <w:rStyle w:val="CharDefText"/>
        </w:rPr>
        <w:t>association</w:t>
      </w:r>
      <w:r>
        <w:t xml:space="preserve"> means an association that is registered under Division 4 of Part II;</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rPr>
          <w:vertAlign w:val="superscript"/>
        </w:rPr>
        <w:t> 4</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lastRenderedPageBreak/>
        <w:tab/>
      </w:r>
      <w:r>
        <w:rPr>
          <w:rStyle w:val="CharDefText"/>
        </w:rPr>
        <w:t>Court</w:t>
      </w:r>
      <w:r>
        <w:t xml:space="preserve"> means the Western Australian Industrial Appeal Court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rPr>
          <w:b/>
        </w:rPr>
        <w:tab/>
      </w:r>
      <w:r>
        <w:rPr>
          <w:rStyle w:val="CharDefText"/>
        </w:rPr>
        <w:t>employee</w:t>
      </w:r>
      <w:r>
        <w:t xml:space="preserve"> means —</w:t>
      </w:r>
    </w:p>
    <w:p>
      <w:pPr>
        <w:pStyle w:val="Defpara"/>
      </w:pPr>
      <w:r>
        <w:tab/>
        <w:t>(a)</w:t>
      </w:r>
      <w:r>
        <w:tab/>
        <w:t>any person employed by an employer to do work for hire or reward including an apprentice; or</w:t>
      </w:r>
    </w:p>
    <w:p>
      <w:pPr>
        <w:pStyle w:val="Defpara"/>
      </w:pPr>
      <w:r>
        <w:tab/>
        <w:t>(b)</w:t>
      </w:r>
      <w:r>
        <w:tab/>
        <w:t>any person whose usual status is that of an employee; or</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keepNext/>
      </w:pPr>
      <w:r>
        <w:rPr>
          <w:b/>
        </w:rPr>
        <w:lastRenderedPageBreak/>
        <w:tab/>
      </w:r>
      <w:r>
        <w:rPr>
          <w:rStyle w:val="CharDefText"/>
        </w:rPr>
        <w:t>employer</w:t>
      </w:r>
      <w:r>
        <w:t xml:space="preserve"> includes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spacing w:before="90"/>
      </w:pPr>
      <w:r>
        <w:tab/>
      </w:r>
      <w:r>
        <w:rPr>
          <w:rStyle w:val="CharDefText"/>
        </w:rPr>
        <w:t>employment record</w:t>
      </w:r>
      <w:r>
        <w:t xml:space="preserve"> means a record kept under section 49D;</w:t>
      </w:r>
    </w:p>
    <w:p>
      <w:pPr>
        <w:pStyle w:val="Defstart"/>
        <w:spacing w:before="90"/>
      </w:pPr>
      <w:r>
        <w:tab/>
      </w:r>
      <w:r>
        <w:rPr>
          <w:rStyle w:val="CharDefText"/>
        </w:rPr>
        <w:t>enterprise order</w:t>
      </w:r>
      <w:r>
        <w:t xml:space="preserve"> has the meaning given by section 42I(1);</w:t>
      </w:r>
    </w:p>
    <w:p>
      <w:pPr>
        <w:pStyle w:val="Defstart"/>
      </w:pPr>
      <w:r>
        <w:tab/>
      </w:r>
      <w:r>
        <w:rPr>
          <w:rStyle w:val="CharDefText"/>
        </w:rPr>
        <w:t>Fair Work Commission</w:t>
      </w:r>
      <w:r>
        <w:t xml:space="preserve"> means the body established by the </w:t>
      </w:r>
      <w:r>
        <w:rPr>
          <w:i/>
        </w:rPr>
        <w:t>Fair Work Act 2009</w:t>
      </w:r>
      <w:r>
        <w:t xml:space="preserve"> (Commonwealth) section 575;</w:t>
      </w:r>
    </w:p>
    <w:p>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spacing w:before="90"/>
      </w:pPr>
      <w:r>
        <w:rPr>
          <w:b/>
        </w:rPr>
        <w:tab/>
      </w:r>
      <w:r>
        <w:rPr>
          <w:rStyle w:val="CharDefText"/>
        </w:rPr>
        <w:t>Full Bench</w:t>
      </w:r>
      <w:r>
        <w:t xml:space="preserve"> means the Commission constituted as provided by section 15(1);</w:t>
      </w:r>
    </w:p>
    <w:p>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keepNext/>
        <w:keepLines/>
      </w:pPr>
      <w:r>
        <w:rPr>
          <w:b/>
        </w:rPr>
        <w:lastRenderedPageBreak/>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lastRenderedPageBreak/>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any matter relating to the collection of subscriptions to an organisation of employees with the agreement of the employee from whom the subscriptions are collected including —</w:t>
      </w:r>
    </w:p>
    <w:p>
      <w:pPr>
        <w:pStyle w:val="Defsubpara"/>
      </w:pPr>
      <w:r>
        <w:tab/>
        <w:t>(i)</w:t>
      </w:r>
      <w:r>
        <w:tab/>
        <w:t>the restoration of a practice of collecting subscriptions to an organisation of employees where that practice has been stopped by an employer; or</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right" w:pos="1320"/>
        </w:tabs>
      </w:pPr>
      <w:r>
        <w:tab/>
        <w:t>[(h)</w:t>
      </w:r>
      <w:r>
        <w:tab/>
        <w:t>deleted]</w:t>
      </w:r>
    </w:p>
    <w:p>
      <w:pPr>
        <w:pStyle w:val="Defpara"/>
      </w:pPr>
      <w:r>
        <w:lastRenderedPageBreak/>
        <w:tab/>
        <w:t>(i)</w:t>
      </w:r>
      <w:r>
        <w:tab/>
        <w:t>any matter, whether falling within the preceding part of this interpretation or not, where —</w:t>
      </w:r>
    </w:p>
    <w:p>
      <w:pPr>
        <w:pStyle w:val="Defsubpara"/>
        <w:keepLines w:val="0"/>
        <w:spacing w:before="60"/>
      </w:pPr>
      <w:r>
        <w:tab/>
        <w:t>(i)</w:t>
      </w:r>
      <w:r>
        <w:tab/>
        <w:t>an organisation of employees and an employer agree that it is desirable for the matter to be dealt with as if it were an industrial matter; and</w:t>
      </w:r>
    </w:p>
    <w:p>
      <w:pPr>
        <w:pStyle w:val="Defsubpara"/>
        <w:keepLines w:val="0"/>
      </w:pPr>
      <w:r>
        <w:tab/>
        <w:t>(ii)</w:t>
      </w:r>
      <w: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w:t>
      </w:r>
    </w:p>
    <w:p>
      <w:pPr>
        <w:pStyle w:val="Defpara"/>
      </w:pPr>
      <w:r>
        <w:tab/>
        <w:t>(j)</w:t>
      </w:r>
      <w:r>
        <w:tab/>
        <w:t>compulsion to join an organisation of employees to obtain or hold employment; or</w:t>
      </w:r>
    </w:p>
    <w:p>
      <w:pPr>
        <w:pStyle w:val="Defpara"/>
      </w:pPr>
      <w:r>
        <w:tab/>
        <w:t>(k)</w:t>
      </w:r>
      <w:r>
        <w:tab/>
        <w:t>preference of employment at the time of, or during, employment by reason of being or not being a member of an organisation of employees; or</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w:t>
      </w:r>
    </w:p>
    <w:p>
      <w:pPr>
        <w:pStyle w:val="Defpara"/>
      </w:pPr>
      <w:r>
        <w:tab/>
        <w:t>(d)</w:t>
      </w:r>
      <w:r>
        <w:tab/>
        <w:t>a branch of an industry or a group of industries;</w:t>
      </w:r>
    </w:p>
    <w:p>
      <w:pPr>
        <w:pStyle w:val="Defstart"/>
        <w:keepLines/>
      </w:pPr>
      <w:r>
        <w:rPr>
          <w:b/>
        </w:rPr>
        <w:lastRenderedPageBreak/>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w:t>
      </w:r>
    </w:p>
    <w:p>
      <w:pPr>
        <w:pStyle w:val="Defpara"/>
      </w:pPr>
      <w:r>
        <w:tab/>
        <w:t>(a)</w:t>
      </w:r>
      <w:r>
        <w:tab/>
        <w:t>the office of a member of the committee of management of the organisation; and</w:t>
      </w:r>
    </w:p>
    <w:p>
      <w:pPr>
        <w:pStyle w:val="Defpara"/>
      </w:pPr>
      <w:r>
        <w:tab/>
        <w:t>(b)</w:t>
      </w:r>
      <w:r>
        <w:tab/>
        <w:t>the office of president, vice president, secretary, assistant secretary, or other executive office by whatever name called of the organisation; and</w:t>
      </w:r>
    </w:p>
    <w:p>
      <w:pPr>
        <w:pStyle w:val="Defpara"/>
      </w:pPr>
      <w:r>
        <w:tab/>
        <w:t>(c)</w:t>
      </w:r>
      <w:r>
        <w:tab/>
        <w:t>the office of a person holding, whether as trustee or otherwise, property of the organisation, or property in which the organisation has any beneficial interest; and</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Commission under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lastRenderedPageBreak/>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w:t>
      </w:r>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tab/>
      </w:r>
      <w:r>
        <w:rPr>
          <w:rStyle w:val="CharDefText"/>
        </w:rPr>
        <w:t>presiding commissioner</w:t>
      </w:r>
      <w:r>
        <w:t>, of the Full Bench, means the presiding commissioner under section 15(1A);</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 xml:space="preserve">Parliamentary and Electorate Staff (Employment) </w:t>
      </w:r>
      <w:r>
        <w:rPr>
          <w:i/>
        </w:rPr>
        <w:lastRenderedPageBreak/>
        <w:t>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Commission in Court Session;</w:t>
      </w:r>
    </w:p>
    <w:p>
      <w:pPr>
        <w:pStyle w:val="Defstart"/>
      </w:pPr>
      <w:r>
        <w:rPr>
          <w:b/>
        </w:rPr>
        <w:lastRenderedPageBreak/>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tab/>
      </w:r>
      <w:r>
        <w:rPr>
          <w:rStyle w:val="CharDefText"/>
        </w:rPr>
        <w:t>secondary office</w:t>
      </w:r>
      <w:r>
        <w:t>, in relation to a person who holds the office of commissioner and is subsequently appointed to an office of the Fair Work Commission under section 14A, means the office of member of the Fair Work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Subsection"/>
        <w:rPr>
          <w:snapToGrid w:val="0"/>
        </w:rPr>
      </w:pPr>
      <w:r>
        <w:rPr>
          <w:snapToGrid w:val="0"/>
        </w:rPr>
        <w:tab/>
        <w:t>(4)</w:t>
      </w:r>
      <w:r>
        <w:rPr>
          <w:snapToGrid w:val="0"/>
        </w:rPr>
        <w:tab/>
        <w:t xml:space="preserve">Subsections (3) and (4) of section 34 do not apply to a determination that is made contrary to </w:t>
      </w:r>
      <w:r>
        <w:t xml:space="preserve">subsection (3) </w:t>
      </w:r>
      <w:r>
        <w:rPr>
          <w:snapToGrid w:val="0"/>
        </w:rPr>
        <w:t>or to any proceeding based on that determination, and in the determination of any application for a prerogative writ or declaratory judgment no regard shall be had to the existence of any right of appeal under this Act.</w:t>
      </w:r>
    </w:p>
    <w:p>
      <w:pPr>
        <w:pStyle w:val="Subsection"/>
      </w:pPr>
      <w:r>
        <w:lastRenderedPageBreak/>
        <w:tab/>
        <w:t>(5)</w:t>
      </w:r>
      <w:r>
        <w:tab/>
        <w:t>In this Act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keepNext/>
      </w:pPr>
      <w:r>
        <w:tab/>
        <w:t>(8)</w:t>
      </w:r>
      <w:r>
        <w:tab/>
        <w:t>Notes in this Act are provided to assist understanding and do not form part of the Act.</w:t>
      </w:r>
    </w:p>
    <w:p>
      <w:pPr>
        <w:pStyle w:val="Footnotesection"/>
        <w:keepLines w:val="0"/>
        <w:ind w:left="890" w:hanging="890"/>
      </w:pPr>
      <w:r>
        <w:tab/>
        <w:t>[Section 7 inserted: No. 94 of 1984 s. 6; amended: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Gazette 15 Aug 2003 p. 3686; No. 65 of 2003 s. 41(2); No. 51 of 2004 s. 70(2); No. 59 of 2004 s. 112; No. 68 of 2004 s. 87(2); </w:t>
      </w:r>
      <w:r>
        <w:lastRenderedPageBreak/>
        <w:t>No. 13 of 2005 s. 49(2)(b); No. 36 of 2006 s. 24 and 67; No. 35 of 2007 s. 97(2); No. 21 of 2008 s. 668(2); No. 44 of 2008 s. 53(2)</w:t>
      </w:r>
      <w:r>
        <w:noBreakHyphen/>
        <w:t>(6); No. 53 of 2011 s. 32, 39 and 40; No. 11 of 2016 s. 295(2); No. 26 of 2016 s. 62; No. 32 of 2016 s. 183; No. 39 or 2018 s. 4; No. 36 of 2020 s. 358.]</w:t>
      </w:r>
    </w:p>
    <w:p>
      <w:pPr>
        <w:pStyle w:val="Ednotepart"/>
      </w:pPr>
      <w:r>
        <w:t>[Part 1A (s. 7A</w:t>
      </w:r>
      <w:r>
        <w:noBreakHyphen/>
        <w:t>7G) deleted: No. 20 of 2002 s. 111(4) and 113(1).]</w:t>
      </w:r>
    </w:p>
    <w:p>
      <w:pPr>
        <w:pStyle w:val="Heading2"/>
      </w:pPr>
      <w:bookmarkStart w:id="13" w:name="_Toc98504919"/>
      <w:bookmarkStart w:id="14" w:name="_Toc98506618"/>
      <w:bookmarkStart w:id="15" w:name="_Toc98507781"/>
      <w:bookmarkStart w:id="16" w:name="_Toc98769836"/>
      <w:r>
        <w:rPr>
          <w:rStyle w:val="CharPartNo"/>
        </w:rPr>
        <w:lastRenderedPageBreak/>
        <w:t>Part II</w:t>
      </w:r>
      <w:r>
        <w:t> — </w:t>
      </w:r>
      <w:r>
        <w:rPr>
          <w:rStyle w:val="CharPartText"/>
        </w:rPr>
        <w:t>The Western Australian Industrial Relations Commission</w:t>
      </w:r>
      <w:bookmarkEnd w:id="13"/>
      <w:bookmarkEnd w:id="14"/>
      <w:bookmarkEnd w:id="15"/>
      <w:bookmarkEnd w:id="16"/>
    </w:p>
    <w:p>
      <w:pPr>
        <w:pStyle w:val="Footnoteheading"/>
        <w:tabs>
          <w:tab w:val="left" w:pos="966"/>
        </w:tabs>
        <w:rPr>
          <w:snapToGrid w:val="0"/>
        </w:rPr>
      </w:pPr>
      <w:r>
        <w:rPr>
          <w:snapToGrid w:val="0"/>
        </w:rPr>
        <w:tab/>
        <w:t>[Heading amended: No. 94 of 1984 s. 7.]</w:t>
      </w:r>
    </w:p>
    <w:p>
      <w:pPr>
        <w:pStyle w:val="Heading3"/>
        <w:rPr>
          <w:snapToGrid w:val="0"/>
        </w:rPr>
      </w:pPr>
      <w:bookmarkStart w:id="17" w:name="_Toc98504920"/>
      <w:bookmarkStart w:id="18" w:name="_Toc98506619"/>
      <w:bookmarkStart w:id="19" w:name="_Toc98507782"/>
      <w:bookmarkStart w:id="20" w:name="_Toc98769837"/>
      <w:r>
        <w:rPr>
          <w:rStyle w:val="CharDivNo"/>
        </w:rPr>
        <w:t>Division 1</w:t>
      </w:r>
      <w:r>
        <w:rPr>
          <w:snapToGrid w:val="0"/>
        </w:rPr>
        <w:t> — </w:t>
      </w:r>
      <w:r>
        <w:rPr>
          <w:rStyle w:val="CharDivText"/>
        </w:rPr>
        <w:t>Constitution of the Commission</w:t>
      </w:r>
      <w:bookmarkEnd w:id="17"/>
      <w:bookmarkEnd w:id="18"/>
      <w:bookmarkEnd w:id="19"/>
      <w:bookmarkEnd w:id="20"/>
    </w:p>
    <w:p>
      <w:pPr>
        <w:pStyle w:val="Heading5"/>
        <w:rPr>
          <w:snapToGrid w:val="0"/>
        </w:rPr>
      </w:pPr>
      <w:bookmarkStart w:id="21" w:name="_Toc98769838"/>
      <w:r>
        <w:rPr>
          <w:rStyle w:val="CharSectno"/>
        </w:rPr>
        <w:t>8</w:t>
      </w:r>
      <w:r>
        <w:rPr>
          <w:snapToGrid w:val="0"/>
        </w:rPr>
        <w:t>.</w:t>
      </w:r>
      <w:r>
        <w:rPr>
          <w:snapToGrid w:val="0"/>
        </w:rPr>
        <w:tab/>
        <w:t>Commission constituted</w:t>
      </w:r>
      <w:bookmarkEnd w:id="21"/>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 xml:space="preserve">The Commission </w:t>
      </w:r>
      <w:r>
        <w:t>is to consist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Chief Commissioner; and</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 xml:space="preserve">who </w:t>
      </w:r>
      <w:r>
        <w:t>are</w:t>
      </w:r>
      <w:r>
        <w:rPr>
          <w:snapToGrid w:val="0"/>
        </w:rPr>
        <w:t xml:space="preserve"> respectively appointed to their offices by the Governor by commission </w:t>
      </w:r>
      <w:r>
        <w:t>under the Public Seal of the State.</w:t>
      </w:r>
    </w:p>
    <w:p>
      <w:pPr>
        <w:pStyle w:val="Subsection"/>
      </w:pPr>
      <w:r>
        <w:tab/>
        <w:t>(3A)</w:t>
      </w:r>
      <w:r>
        <w:tab/>
        <w:t xml:space="preserve">At least 1 commissioner must, in addition to the other attributes required for appointment, have — </w:t>
      </w:r>
    </w:p>
    <w:p>
      <w:pPr>
        <w:pStyle w:val="Indenta"/>
      </w:pPr>
      <w:r>
        <w:tab/>
        <w:t>(a)</w:t>
      </w:r>
      <w:r>
        <w:tab/>
        <w:t>knowledge of, or experience in, the field of work health and safety; and</w:t>
      </w:r>
    </w:p>
    <w:p>
      <w:pPr>
        <w:pStyle w:val="Indenta"/>
      </w:pPr>
      <w:r>
        <w:tab/>
        <w:t>(b)</w:t>
      </w:r>
      <w:r>
        <w:tab/>
        <w:t xml:space="preserve">knowledge of the </w:t>
      </w:r>
      <w:r>
        <w:rPr>
          <w:i/>
        </w:rPr>
        <w:t>Work Health and Safety Act 2020</w:t>
      </w:r>
      <w:r>
        <w:t>,</w:t>
      </w:r>
    </w:p>
    <w:p>
      <w:pPr>
        <w:pStyle w:val="Subsection"/>
      </w:pPr>
      <w:r>
        <w:tab/>
      </w:r>
      <w:r>
        <w:tab/>
        <w:t>sufficient for exercising the jurisdiction that the commissioner designated under section 16(2A) is required to exercise.</w:t>
      </w:r>
    </w:p>
    <w:p>
      <w:pPr>
        <w:pStyle w:val="Subsection"/>
        <w:keepNext/>
        <w:rPr>
          <w:snapToGrid w:val="0"/>
        </w:rPr>
      </w:pPr>
      <w:r>
        <w:rPr>
          <w:snapToGrid w:val="0"/>
        </w:rPr>
        <w:tab/>
        <w:t>(3)</w:t>
      </w:r>
      <w:r>
        <w:rPr>
          <w:snapToGrid w:val="0"/>
        </w:rPr>
        <w:tab/>
        <w:t>The order of seniority of commissioners is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lastRenderedPageBreak/>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[Section 8 amended: No. 94 of 1984 s. 8 and 66; No. 51 of 2004 s. 70(3); No. 68 of 2004 s. 87(3); No. 13 of 2005 s. 49(3); No. 35 of 2007 s. 97(3); No. 36 of 2009 s. 18; No. 39 of 2018 s. 5; No. 36 of 2020 s. 359.]</w:t>
      </w:r>
    </w:p>
    <w:p>
      <w:pPr>
        <w:pStyle w:val="Heading5"/>
        <w:rPr>
          <w:snapToGrid w:val="0"/>
        </w:rPr>
      </w:pPr>
      <w:bookmarkStart w:id="22" w:name="_Toc98769839"/>
      <w:r>
        <w:rPr>
          <w:rStyle w:val="CharSectno"/>
        </w:rPr>
        <w:t>9</w:t>
      </w:r>
      <w:r>
        <w:rPr>
          <w:snapToGrid w:val="0"/>
        </w:rPr>
        <w:t>.</w:t>
      </w:r>
      <w:r>
        <w:rPr>
          <w:snapToGrid w:val="0"/>
        </w:rPr>
        <w:tab/>
        <w:t>Qualifications for appointment of Chief Commissioner</w:t>
      </w:r>
      <w:bookmarkEnd w:id="22"/>
    </w:p>
    <w:p>
      <w:pPr>
        <w:pStyle w:val="Ednotesubsection"/>
      </w:pPr>
      <w:r>
        <w:tab/>
        <w:t>[(1)-(1a)</w:t>
      </w:r>
      <w:r>
        <w:tab/>
      </w:r>
      <w:r>
        <w:tab/>
        <w:t>deleted]</w:t>
      </w:r>
    </w:p>
    <w:p>
      <w:pPr>
        <w:pStyle w:val="Subsection"/>
        <w:rPr>
          <w:snapToGrid w:val="0"/>
        </w:rPr>
      </w:pPr>
      <w:r>
        <w:rPr>
          <w:snapToGrid w:val="0"/>
        </w:rPr>
        <w:tab/>
        <w:t>(2)</w:t>
      </w:r>
      <w:r>
        <w:rPr>
          <w:snapToGrid w:val="0"/>
        </w:rPr>
        <w:tab/>
        <w:t>A person shall not be appointed Chief Commissioner unless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[Section 9 inserted: No. 94 of 1984 s. 9; amended: No. 99 of 1990 s. 5; No. 21 of 2008 s. 668(3); No. 39 of 2018 s. 6.]</w:t>
      </w:r>
    </w:p>
    <w:p>
      <w:pPr>
        <w:pStyle w:val="Heading5"/>
        <w:rPr>
          <w:snapToGrid w:val="0"/>
        </w:rPr>
      </w:pPr>
      <w:bookmarkStart w:id="23" w:name="_Toc98769840"/>
      <w:r>
        <w:rPr>
          <w:rStyle w:val="CharSectno"/>
        </w:rPr>
        <w:t>10</w:t>
      </w:r>
      <w:r>
        <w:rPr>
          <w:snapToGrid w:val="0"/>
        </w:rPr>
        <w:t>.</w:t>
      </w:r>
      <w:r>
        <w:rPr>
          <w:snapToGrid w:val="0"/>
        </w:rPr>
        <w:tab/>
        <w:t>Age limit for commissioners</w:t>
      </w:r>
      <w:bookmarkEnd w:id="23"/>
    </w:p>
    <w:p>
      <w:pPr>
        <w:pStyle w:val="Subsection"/>
        <w:keepNext/>
        <w:keepLines/>
        <w:rPr>
          <w:snapToGrid w:val="0"/>
        </w:rPr>
      </w:pPr>
      <w:r>
        <w:rPr>
          <w:snapToGrid w:val="0"/>
        </w:rPr>
        <w:tab/>
      </w:r>
      <w:r>
        <w:rPr>
          <w:snapToGrid w:val="0"/>
        </w:rPr>
        <w:tab/>
        <w:t xml:space="preserve">A person who has attained the age of 65 years is ineligible for appointment as a </w:t>
      </w:r>
      <w:r>
        <w:t>commissioner and each commissioner must retire from</w:t>
      </w:r>
      <w:r>
        <w:rPr>
          <w:snapToGrid w:val="0"/>
        </w:rPr>
        <w:t xml:space="preserve"> office upon attaining the age of 65 years.</w:t>
      </w:r>
    </w:p>
    <w:p>
      <w:pPr>
        <w:pStyle w:val="Footnotesection"/>
      </w:pPr>
      <w:r>
        <w:tab/>
        <w:t>[Section 10 inserted: No. 94 of 1984 s. 9; amended: No. 39 of 2018 s. 7.]</w:t>
      </w:r>
    </w:p>
    <w:p>
      <w:pPr>
        <w:pStyle w:val="Heading5"/>
        <w:pageBreakBefore/>
        <w:spacing w:before="0"/>
        <w:rPr>
          <w:snapToGrid w:val="0"/>
        </w:rPr>
      </w:pPr>
      <w:bookmarkStart w:id="24" w:name="_Toc98769841"/>
      <w:r>
        <w:rPr>
          <w:rStyle w:val="CharSectno"/>
        </w:rPr>
        <w:lastRenderedPageBreak/>
        <w:t>11</w:t>
      </w:r>
      <w:r>
        <w:rPr>
          <w:snapToGrid w:val="0"/>
        </w:rPr>
        <w:t>.</w:t>
      </w:r>
      <w:r>
        <w:rPr>
          <w:snapToGrid w:val="0"/>
        </w:rPr>
        <w:tab/>
        <w:t>Oath of office and secrecy</w:t>
      </w:r>
      <w:bookmarkEnd w:id="24"/>
    </w:p>
    <w:p>
      <w:pPr>
        <w:pStyle w:val="Subsection"/>
        <w:rPr>
          <w:snapToGrid w:val="0"/>
        </w:rPr>
      </w:pPr>
      <w:r>
        <w:rPr>
          <w:snapToGrid w:val="0"/>
        </w:rPr>
        <w:tab/>
        <w:t>(1)</w:t>
      </w:r>
      <w:r>
        <w:rPr>
          <w:snapToGrid w:val="0"/>
        </w:rPr>
        <w:tab/>
        <w:t xml:space="preserve">Subject to subsection (2), before entering upon </w:t>
      </w:r>
      <w:r>
        <w:t>office each commissioner must make oath before a judge that the commissioner will faithfully and impartially perform the duties of office of commissioner and</w:t>
      </w:r>
      <w:r>
        <w:rPr>
          <w:snapToGrid w:val="0"/>
        </w:rPr>
        <w:t xml:space="preserv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[Section 11 amended: No. 94 of 1984 s. 66; No. 39 of 2018 s. 8.]</w:t>
      </w:r>
    </w:p>
    <w:p>
      <w:pPr>
        <w:pStyle w:val="Heading5"/>
        <w:rPr>
          <w:snapToGrid w:val="0"/>
        </w:rPr>
      </w:pPr>
      <w:bookmarkStart w:id="25" w:name="_Toc98769842"/>
      <w:r>
        <w:rPr>
          <w:rStyle w:val="CharSectno"/>
        </w:rPr>
        <w:t>12</w:t>
      </w:r>
      <w:r>
        <w:rPr>
          <w:snapToGrid w:val="0"/>
        </w:rPr>
        <w:t>.</w:t>
      </w:r>
      <w:r>
        <w:rPr>
          <w:snapToGrid w:val="0"/>
        </w:rPr>
        <w:tab/>
        <w:t>Commission is court of record etc.</w:t>
      </w:r>
      <w:bookmarkEnd w:id="25"/>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pPr>
      <w:bookmarkStart w:id="26" w:name="_Toc98769843"/>
      <w:r>
        <w:rPr>
          <w:rStyle w:val="CharSectno"/>
        </w:rPr>
        <w:t>13</w:t>
      </w:r>
      <w:r>
        <w:t>.</w:t>
      </w:r>
      <w:r>
        <w:tab/>
        <w:t>Protection of commissioners and others</w:t>
      </w:r>
      <w:bookmarkEnd w:id="26"/>
    </w:p>
    <w:p>
      <w:pPr>
        <w:pStyle w:val="Subsection"/>
      </w:pPr>
      <w:r>
        <w:tab/>
      </w:r>
      <w:r>
        <w:tab/>
        <w:t xml:space="preserve">Each of the following persons has the same protection and immunity as a judge has when performing functions of a judge — </w:t>
      </w:r>
    </w:p>
    <w:p>
      <w:pPr>
        <w:pStyle w:val="Indenta"/>
      </w:pPr>
      <w:r>
        <w:tab/>
        <w:t>(a)</w:t>
      </w:r>
      <w:r>
        <w:tab/>
        <w:t>a commissioner when performing the functions of a commissioner;</w:t>
      </w:r>
    </w:p>
    <w:p>
      <w:pPr>
        <w:pStyle w:val="Indenta"/>
      </w:pPr>
      <w:r>
        <w:tab/>
        <w:t>(b)</w:t>
      </w:r>
      <w:r>
        <w:tab/>
        <w:t>an industrial magistrate appointed under section 81B when performing the functions of an industrial magistrate;</w:t>
      </w:r>
    </w:p>
    <w:p>
      <w:pPr>
        <w:pStyle w:val="Indenta"/>
      </w:pPr>
      <w:r>
        <w:tab/>
        <w:t>(c)</w:t>
      </w:r>
      <w:r>
        <w:tab/>
        <w:t>a member of a Board of Reference referred to in section 48 when performing the functions of a member of a Board of Reference;</w:t>
      </w:r>
    </w:p>
    <w:p>
      <w:pPr>
        <w:pStyle w:val="Indenta"/>
      </w:pPr>
      <w:r>
        <w:lastRenderedPageBreak/>
        <w:tab/>
        <w:t>(d)</w:t>
      </w:r>
      <w:r>
        <w:tab/>
        <w:t>a constituent authority or a member of a constituent authority, as the case requires, when performing the functions of a constituent authority or a member of a constituent authority.</w:t>
      </w:r>
    </w:p>
    <w:p>
      <w:pPr>
        <w:pStyle w:val="Footnotesection"/>
        <w:spacing w:before="80"/>
        <w:ind w:left="890" w:hanging="890"/>
      </w:pPr>
      <w:r>
        <w:tab/>
        <w:t>[Section 13 inserted: No. 39 of 2018 s. 9.]</w:t>
      </w:r>
    </w:p>
    <w:p>
      <w:pPr>
        <w:pStyle w:val="Heading5"/>
        <w:rPr>
          <w:snapToGrid w:val="0"/>
        </w:rPr>
      </w:pPr>
      <w:bookmarkStart w:id="27" w:name="_Toc98769844"/>
      <w:r>
        <w:rPr>
          <w:rStyle w:val="CharSectno"/>
        </w:rPr>
        <w:t>14</w:t>
      </w:r>
      <w:r>
        <w:rPr>
          <w:snapToGrid w:val="0"/>
        </w:rPr>
        <w:t>.</w:t>
      </w:r>
      <w:r>
        <w:rPr>
          <w:snapToGrid w:val="0"/>
        </w:rPr>
        <w:tab/>
        <w:t>Exercise of powers and jurisdiction of Commission</w:t>
      </w:r>
      <w:bookmarkEnd w:id="27"/>
    </w:p>
    <w:p>
      <w:pPr>
        <w:pStyle w:val="Ednotesubsection"/>
      </w:pPr>
      <w:r>
        <w:tab/>
        <w:t>[(1)</w:t>
      </w:r>
      <w:r>
        <w:tab/>
        <w:t>deleted]</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keepLines/>
        <w:rPr>
          <w:snapToGrid w:val="0"/>
        </w:rPr>
      </w:pPr>
      <w:r>
        <w:rPr>
          <w:snapToGrid w:val="0"/>
        </w:rPr>
        <w:tab/>
        <w:t>(3)</w:t>
      </w:r>
      <w:r>
        <w:rPr>
          <w:snapToGrid w:val="0"/>
        </w:rPr>
        <w:tab/>
        <w:t xml:space="preserve">Where more than one </w:t>
      </w:r>
      <w:r>
        <w:t>commissioner</w:t>
      </w:r>
      <w:r>
        <w:rPr>
          <w:snapToGrid w:val="0"/>
        </w:rPr>
        <w:t xml:space="preserve"> is sitting or acting at the same time in the exercise of the jurisdiction of the Commission, each such </w:t>
      </w:r>
      <w:r>
        <w:t>commissioner</w:t>
      </w:r>
      <w:r>
        <w:rPr>
          <w:snapToGrid w:val="0"/>
        </w:rPr>
        <w:t xml:space="preserve"> constitutes the Commission.</w:t>
      </w:r>
    </w:p>
    <w:p>
      <w:pPr>
        <w:pStyle w:val="Footnotesection"/>
        <w:spacing w:before="80"/>
        <w:ind w:left="890" w:hanging="890"/>
      </w:pPr>
      <w:r>
        <w:tab/>
        <w:t>[Section 14 amended: No. 39 of 2018 s. 10.]</w:t>
      </w:r>
    </w:p>
    <w:p>
      <w:pPr>
        <w:pStyle w:val="Heading5"/>
        <w:rPr>
          <w:snapToGrid w:val="0"/>
        </w:rPr>
      </w:pPr>
      <w:bookmarkStart w:id="28" w:name="_Toc98769845"/>
      <w:r>
        <w:rPr>
          <w:rStyle w:val="CharSectno"/>
        </w:rPr>
        <w:t>14A</w:t>
      </w:r>
      <w:r>
        <w:rPr>
          <w:snapToGrid w:val="0"/>
        </w:rPr>
        <w:t xml:space="preserve">. </w:t>
      </w:r>
      <w:r>
        <w:rPr>
          <w:snapToGrid w:val="0"/>
        </w:rPr>
        <w:tab/>
        <w:t>Dual Federal and State appointments</w:t>
      </w:r>
      <w:bookmarkEnd w:id="28"/>
    </w:p>
    <w:p>
      <w:pPr>
        <w:pStyle w:val="Subsection"/>
        <w:keepNext/>
        <w:spacing w:before="120"/>
        <w:rPr>
          <w:snapToGrid w:val="0"/>
        </w:rPr>
      </w:pPr>
      <w:r>
        <w:rPr>
          <w:snapToGrid w:val="0"/>
        </w:rPr>
        <w:tab/>
      </w:r>
      <w:r>
        <w:rPr>
          <w:snapToGrid w:val="0"/>
        </w:rPr>
        <w:tab/>
      </w:r>
      <w:r>
        <w:t>A commissioner</w:t>
      </w:r>
      <w:r>
        <w:rPr>
          <w:snapToGrid w:val="0"/>
        </w:rPr>
        <w:t xml:space="preserve"> may be appointed as a member of</w:t>
      </w:r>
      <w:r>
        <w:t xml:space="preserve"> the Fair Work Commission, </w:t>
      </w:r>
      <w:r>
        <w:rPr>
          <w:snapToGrid w:val="0"/>
        </w:rPr>
        <w:t xml:space="preserve">and a person so appointed may, subject to section 22(2)(c), at the same time hold </w:t>
      </w:r>
      <w:r>
        <w:t>the office of commissioner</w:t>
      </w:r>
      <w:r>
        <w:rPr>
          <w:snapToGrid w:val="0"/>
        </w:rPr>
        <w:t xml:space="preserve"> and member of </w:t>
      </w:r>
      <w:r>
        <w:t xml:space="preserve">the Fair Work Commission but </w:t>
      </w:r>
      <w:r>
        <w:rPr>
          <w:snapToGrid w:val="0"/>
        </w:rPr>
        <w:t>not otherwise.</w:t>
      </w:r>
    </w:p>
    <w:p>
      <w:pPr>
        <w:pStyle w:val="Footnotesection"/>
      </w:pPr>
      <w:r>
        <w:tab/>
        <w:t>[Section 14A inserted: No. 99 of 1990 s. 6; amended: No. 53 of 2011 s. 39; No. 39 of 2018 s. 11.]</w:t>
      </w:r>
    </w:p>
    <w:p>
      <w:pPr>
        <w:pStyle w:val="Heading5"/>
        <w:rPr>
          <w:snapToGrid w:val="0"/>
        </w:rPr>
      </w:pPr>
      <w:bookmarkStart w:id="29" w:name="_Toc98769846"/>
      <w:r>
        <w:rPr>
          <w:rStyle w:val="CharSectno"/>
        </w:rPr>
        <w:t>14B</w:t>
      </w:r>
      <w:r>
        <w:rPr>
          <w:snapToGrid w:val="0"/>
        </w:rPr>
        <w:t xml:space="preserve">. </w:t>
      </w:r>
      <w:r>
        <w:rPr>
          <w:snapToGrid w:val="0"/>
        </w:rPr>
        <w:tab/>
        <w:t>Performance of duties by dual Federal and State appointees</w:t>
      </w:r>
      <w:bookmarkEnd w:id="29"/>
    </w:p>
    <w:p>
      <w:pPr>
        <w:pStyle w:val="Subsection"/>
      </w:pPr>
      <w:r>
        <w:tab/>
        <w:t>(1)</w:t>
      </w:r>
      <w:r>
        <w:tab/>
        <w:t xml:space="preserve">As agreed from time to time by the Chief Commissioner and the President of the Fair Work Commission, a person who holds the office of commissioner and an office of member of the Fair Work Commission — </w:t>
      </w:r>
    </w:p>
    <w:p>
      <w:pPr>
        <w:pStyle w:val="Indenta"/>
      </w:pPr>
      <w:r>
        <w:tab/>
        <w:t>(a)</w:t>
      </w:r>
      <w:r>
        <w:tab/>
        <w:t>may perform the duties of the secondary office; and</w:t>
      </w:r>
    </w:p>
    <w:p>
      <w:pPr>
        <w:pStyle w:val="Indenta"/>
        <w:keepNext/>
      </w:pPr>
      <w:r>
        <w:lastRenderedPageBreak/>
        <w:tab/>
        <w:t>(b)</w:t>
      </w:r>
      <w:r>
        <w:tab/>
        <w:t xml:space="preserve">may exercise, in relation to a particular matter — </w:t>
      </w:r>
    </w:p>
    <w:p>
      <w:pPr>
        <w:pStyle w:val="Indenti"/>
      </w:pPr>
      <w:r>
        <w:tab/>
        <w:t>(i)</w:t>
      </w:r>
      <w:r>
        <w:tab/>
        <w:t>any powers that the person has as a commissioner; and</w:t>
      </w:r>
    </w:p>
    <w:p>
      <w:pPr>
        <w:pStyle w:val="Indenti"/>
      </w:pPr>
      <w:r>
        <w:tab/>
        <w:t>(ii)</w:t>
      </w:r>
      <w:r>
        <w:tab/>
        <w:t>any powers that the person has as a member of the Fair Work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spacing w:before="100"/>
        <w:ind w:left="890" w:hanging="890"/>
      </w:pPr>
      <w:r>
        <w:tab/>
        <w:t>[Section 14B inserted: No. 99 of 1990 s. 6; amended: No. 53 of 2011 s. 39; No. 39 of 2018 s. 12.]</w:t>
      </w:r>
    </w:p>
    <w:p>
      <w:pPr>
        <w:pStyle w:val="Heading5"/>
        <w:spacing w:before="200"/>
        <w:rPr>
          <w:snapToGrid w:val="0"/>
        </w:rPr>
      </w:pPr>
      <w:bookmarkStart w:id="30" w:name="_Toc98769847"/>
      <w:r>
        <w:rPr>
          <w:rStyle w:val="CharSectno"/>
        </w:rPr>
        <w:t>15</w:t>
      </w:r>
      <w:r>
        <w:rPr>
          <w:snapToGrid w:val="0"/>
        </w:rPr>
        <w:t>.</w:t>
      </w:r>
      <w:r>
        <w:rPr>
          <w:snapToGrid w:val="0"/>
        </w:rPr>
        <w:tab/>
        <w:t>Constitution of Full Bench and Commission in Court Session</w:t>
      </w:r>
      <w:bookmarkEnd w:id="30"/>
    </w:p>
    <w:p>
      <w:pPr>
        <w:pStyle w:val="Subsection"/>
      </w:pPr>
      <w:r>
        <w:tab/>
        <w:t>(1)</w:t>
      </w:r>
      <w:r>
        <w:tab/>
        <w:t>The Full Bench is to be constituted by 3 commissioners, at least 1 of whom must be the Chief Commissioner or the Senior Commissioner, sitting or acting together.</w:t>
      </w:r>
    </w:p>
    <w:p>
      <w:pPr>
        <w:pStyle w:val="Subsection"/>
      </w:pPr>
      <w:r>
        <w:tab/>
        <w:t>(1A)</w:t>
      </w:r>
      <w:r>
        <w:tab/>
        <w:t>The presiding commissioner of the Full Bench is the most senior of the commissioners who constitute the Full Bench.</w:t>
      </w:r>
    </w:p>
    <w:p>
      <w:pPr>
        <w:pStyle w:val="Subsection"/>
        <w:spacing w:before="140"/>
        <w:rPr>
          <w:snapToGrid w:val="0"/>
        </w:rPr>
      </w:pPr>
      <w:r>
        <w:rPr>
          <w:snapToGrid w:val="0"/>
        </w:rPr>
        <w:tab/>
        <w:t>(2)</w:t>
      </w:r>
      <w:r>
        <w:rPr>
          <w:snapToGrid w:val="0"/>
        </w:rPr>
        <w:tab/>
        <w:t>The Commission in Court Session shall be constituted by not less than 3 commissioners sitting or acting together.</w:t>
      </w:r>
    </w:p>
    <w:p>
      <w:pPr>
        <w:pStyle w:val="Footnotesection"/>
        <w:spacing w:before="100"/>
        <w:ind w:left="890" w:hanging="890"/>
      </w:pPr>
      <w:r>
        <w:tab/>
        <w:t>[Section 15 amended: No. 39 of 2018 s. 13.]</w:t>
      </w:r>
    </w:p>
    <w:p>
      <w:pPr>
        <w:pStyle w:val="Heading5"/>
        <w:pageBreakBefore/>
        <w:spacing w:before="0"/>
        <w:rPr>
          <w:snapToGrid w:val="0"/>
        </w:rPr>
      </w:pPr>
      <w:bookmarkStart w:id="31" w:name="_Toc98769848"/>
      <w:r>
        <w:rPr>
          <w:rStyle w:val="CharSectno"/>
        </w:rPr>
        <w:lastRenderedPageBreak/>
        <w:t>16</w:t>
      </w:r>
      <w:r>
        <w:rPr>
          <w:snapToGrid w:val="0"/>
        </w:rPr>
        <w:t>.</w:t>
      </w:r>
      <w:r>
        <w:rPr>
          <w:snapToGrid w:val="0"/>
        </w:rPr>
        <w:tab/>
        <w:t>Chief Commissioner’s functions</w:t>
      </w:r>
      <w:bookmarkEnd w:id="31"/>
    </w:p>
    <w:p>
      <w:pPr>
        <w:pStyle w:val="Subsection"/>
        <w:spacing w:before="140"/>
      </w:pPr>
      <w:r>
        <w:tab/>
        <w:t>(1)</w:t>
      </w:r>
      <w:r>
        <w:tab/>
        <w:t>In subsections (1aa) to (1ac) —</w:t>
      </w:r>
    </w:p>
    <w:p>
      <w:pPr>
        <w:pStyle w:val="Defstart"/>
      </w:pPr>
      <w:r>
        <w:rPr>
          <w:b/>
        </w:rPr>
        <w:tab/>
      </w:r>
      <w:r>
        <w:rPr>
          <w:rStyle w:val="CharDefText"/>
        </w:rPr>
        <w:t>Commission</w:t>
      </w:r>
      <w:r>
        <w:t xml:space="preserve"> includes the Full Bench, the Commission in Court Session and a constituent authority.</w:t>
      </w:r>
    </w:p>
    <w:p>
      <w:pPr>
        <w:pStyle w:val="Subsection"/>
        <w:spacing w:before="140"/>
        <w:rPr>
          <w:snapToGrid w:val="0"/>
        </w:rPr>
      </w:pPr>
      <w:r>
        <w:rPr>
          <w:snapToGrid w:val="0"/>
        </w:rPr>
        <w:tab/>
        <w:t>(1aa)</w:t>
      </w:r>
      <w:r>
        <w:rPr>
          <w:snapToGrid w:val="0"/>
        </w:rPr>
        <w:tab/>
        <w:t xml:space="preserve">The Chief Commissioner is responsible for matters of an administrative nature relating to the Commission and </w:t>
      </w:r>
      <w:r>
        <w:t>commissioners.</w:t>
      </w:r>
    </w:p>
    <w:p>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pPr>
        <w:pStyle w:val="Indenta"/>
        <w:spacing w:before="60"/>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Subsection"/>
      </w:pPr>
      <w:r>
        <w:tab/>
        <w:t>(2AA)</w:t>
      </w:r>
      <w:r>
        <w:tab/>
        <w:t>Without limiting subsection (2A), the Chief Commissioner may be designated under that subsection.</w:t>
      </w:r>
    </w:p>
    <w:p>
      <w:pPr>
        <w:pStyle w:val="Subsection"/>
        <w:keepNext/>
      </w:pPr>
      <w:r>
        <w:lastRenderedPageBreak/>
        <w:tab/>
        <w:t>(2B)</w:t>
      </w:r>
      <w:r>
        <w:tab/>
        <w:t xml:space="preserve">Without affecting the Chief Commissioner’s duty under subsection (2A) to ensure that, at any one time, one commissioner </w:t>
      </w:r>
      <w:r>
        <w:rPr>
          <w:iCs/>
        </w:rPr>
        <w:t xml:space="preserve">is designated, </w:t>
      </w:r>
      <w:r>
        <w:t>the Chief Commissioner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rPr>
        <w:t>Work Health and Safety Act 2020</w:t>
      </w:r>
      <w:r>
        <w:t xml:space="preserve"> Schedule 1 clause 27(1) does not preclude the commissioner from also performing other functions as a commissioner under this Act.</w:t>
      </w:r>
    </w:p>
    <w:p>
      <w:pPr>
        <w:pStyle w:val="Ednotesubsection"/>
      </w:pPr>
      <w:r>
        <w:tab/>
        <w:t>[(2D), (2E)</w:t>
      </w:r>
      <w:r>
        <w:tab/>
        <w:t>deleted]</w:t>
      </w:r>
    </w:p>
    <w:p>
      <w:pPr>
        <w:pStyle w:val="Subsection"/>
        <w:keepNext/>
        <w:rPr>
          <w:snapToGrid w:val="0"/>
        </w:rPr>
      </w:pPr>
      <w:r>
        <w:rPr>
          <w:snapToGrid w:val="0"/>
        </w:rPr>
        <w:tab/>
        <w:t>(2)</w:t>
      </w:r>
      <w:r>
        <w:rPr>
          <w:snapToGrid w:val="0"/>
        </w:rPr>
        <w:tab/>
        <w:t>The Chief Commissioner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[Section 16 amended: No. 121 of 1982 s. 4; No. 94 of 1984 s. 10 and 66; No. 1 of 1995 s. 53; No. 14 of 2005 s. 4; No. 36 of 2009 s. 19; No. 39 of 2018 s. 14; No. 36 of 2020 s. 360.]</w:t>
      </w:r>
    </w:p>
    <w:p>
      <w:pPr>
        <w:pStyle w:val="Heading5"/>
      </w:pPr>
      <w:bookmarkStart w:id="32" w:name="_Toc98769849"/>
      <w:r>
        <w:rPr>
          <w:rStyle w:val="CharSectno"/>
        </w:rPr>
        <w:lastRenderedPageBreak/>
        <w:t>16A</w:t>
      </w:r>
      <w:r>
        <w:t>.</w:t>
      </w:r>
      <w:r>
        <w:tab/>
        <w:t>Delegation by Chief Commissioner</w:t>
      </w:r>
      <w:bookmarkEnd w:id="32"/>
    </w:p>
    <w:p>
      <w:pPr>
        <w:pStyle w:val="Subsection"/>
        <w:rPr>
          <w:snapToGrid w:val="0"/>
        </w:rPr>
      </w:pPr>
      <w:r>
        <w:rPr>
          <w:snapToGrid w:val="0"/>
        </w:rPr>
        <w:tab/>
        <w:t>(1)</w:t>
      </w:r>
      <w:r>
        <w:rPr>
          <w:snapToGrid w:val="0"/>
        </w:rPr>
        <w:tab/>
        <w:t xml:space="preserve">The Chief Commissioner may delegate to another </w:t>
      </w:r>
      <w:r>
        <w:t>commissioner</w:t>
      </w:r>
      <w:r>
        <w:rPr>
          <w:snapToGrid w:val="0"/>
        </w:rPr>
        <w:t xml:space="preserve">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No. 14 of 2005 s. 5; amended: No. 39 of 2018 s. 15.]</w:t>
      </w:r>
    </w:p>
    <w:p>
      <w:pPr>
        <w:pStyle w:val="Heading5"/>
        <w:rPr>
          <w:snapToGrid w:val="0"/>
        </w:rPr>
      </w:pPr>
      <w:bookmarkStart w:id="33" w:name="_Toc98769850"/>
      <w:r>
        <w:rPr>
          <w:rStyle w:val="CharSectno"/>
        </w:rPr>
        <w:t>17</w:t>
      </w:r>
      <w:r>
        <w:rPr>
          <w:snapToGrid w:val="0"/>
        </w:rPr>
        <w:t>.</w:t>
      </w:r>
      <w:r>
        <w:rPr>
          <w:snapToGrid w:val="0"/>
        </w:rPr>
        <w:tab/>
        <w:t>Appointment of acting commissioners</w:t>
      </w:r>
      <w:bookmarkEnd w:id="33"/>
    </w:p>
    <w:p>
      <w:pPr>
        <w:pStyle w:val="Subsection"/>
        <w:rPr>
          <w:snapToGrid w:val="0"/>
        </w:rPr>
      </w:pPr>
      <w:r>
        <w:rPr>
          <w:snapToGrid w:val="0"/>
        </w:rPr>
        <w:tab/>
        <w:t>(1)</w:t>
      </w:r>
      <w:r>
        <w:rPr>
          <w:snapToGrid w:val="0"/>
        </w:rPr>
        <w:tab/>
        <w:t xml:space="preserve">Where a </w:t>
      </w:r>
      <w:r>
        <w:t>commissioner is, or is expected to be, unable to attend to their</w:t>
      </w:r>
      <w:r>
        <w:rPr>
          <w:snapToGrid w:val="0"/>
        </w:rPr>
        <w:t xml:space="preserve"> duties under this Act, whether on account of illness or otherwise, the Governor may appoint a person to be acting Chief Commissioner, acting Senior Commissioner or an acting commissioner, as the case may require, for such period as the Governor determines.</w:t>
      </w:r>
    </w:p>
    <w:p>
      <w:pPr>
        <w:pStyle w:val="Subsection"/>
        <w:rPr>
          <w:snapToGrid w:val="0"/>
        </w:rPr>
      </w:pPr>
      <w:r>
        <w:rPr>
          <w:snapToGrid w:val="0"/>
        </w:rPr>
        <w:tab/>
        <w:t>(2)</w:t>
      </w:r>
      <w:r>
        <w:rPr>
          <w:snapToGrid w:val="0"/>
        </w:rPr>
        <w:tab/>
        <w:t xml:space="preserve">A person </w:t>
      </w:r>
      <w:r>
        <w:t>must not be appointed acting Chief Commissioner unless the person</w:t>
      </w:r>
      <w:r>
        <w:rPr>
          <w:snapToGrid w:val="0"/>
        </w:rPr>
        <w:t xml:space="preserv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lastRenderedPageBreak/>
        <w:tab/>
        <w:t>[Section 17 amended: No. 121 of 1982 s. 5; No. 94 of 1984 s. 11; No. 1 of 1995 s. 53; No. 14 of 2005 s. 6; No. 39 of 2018 s. 16.]</w:t>
      </w:r>
    </w:p>
    <w:p>
      <w:pPr>
        <w:pStyle w:val="Heading5"/>
        <w:rPr>
          <w:snapToGrid w:val="0"/>
        </w:rPr>
      </w:pPr>
      <w:bookmarkStart w:id="34" w:name="_Toc98769851"/>
      <w:r>
        <w:rPr>
          <w:rStyle w:val="CharSectno"/>
        </w:rPr>
        <w:t>18</w:t>
      </w:r>
      <w:r>
        <w:rPr>
          <w:snapToGrid w:val="0"/>
        </w:rPr>
        <w:t>.</w:t>
      </w:r>
      <w:r>
        <w:rPr>
          <w:snapToGrid w:val="0"/>
        </w:rPr>
        <w:tab/>
        <w:t>Extending appointments</w:t>
      </w:r>
      <w:bookmarkEnd w:id="34"/>
    </w:p>
    <w:p>
      <w:pPr>
        <w:pStyle w:val="Subsection"/>
        <w:rPr>
          <w:snapToGrid w:val="0"/>
        </w:rPr>
      </w:pPr>
      <w:r>
        <w:rPr>
          <w:snapToGrid w:val="0"/>
        </w:rPr>
        <w:tab/>
        <w:t>(1)</w:t>
      </w:r>
      <w:r>
        <w:rPr>
          <w:snapToGrid w:val="0"/>
        </w:rPr>
        <w:tab/>
        <w:t xml:space="preserve">Notwithstanding the retirement of a </w:t>
      </w:r>
      <w:r>
        <w:t>commissioner</w:t>
      </w:r>
      <w:r>
        <w:rPr>
          <w:snapToGrid w:val="0"/>
        </w:rPr>
        <w:t xml:space="preserve"> or the expiry of the period for which an acting </w:t>
      </w:r>
      <w:r>
        <w:t>commissioner</w:t>
      </w:r>
      <w:r>
        <w:rPr>
          <w:snapToGrid w:val="0"/>
        </w:rPr>
        <w:t xml:space="preserve"> has been appointed under this Act, the Governor may extend </w:t>
      </w:r>
      <w:r>
        <w:t>the commissioner’s period</w:t>
      </w:r>
      <w:r>
        <w:rPr>
          <w:snapToGrid w:val="0"/>
        </w:rPr>
        <w:t xml:space="preserve"> of office for such further period as the Governor determines, in order to </w:t>
      </w:r>
      <w:r>
        <w:t>enable the commissioner</w:t>
      </w:r>
      <w:r>
        <w:rPr>
          <w:snapToGrid w:val="0"/>
        </w:rPr>
        <w:t xml:space="preserve"> to complete all matters, proceedings, or inquiries that </w:t>
      </w:r>
      <w:r>
        <w:t>the commissioner has</w:t>
      </w:r>
      <w:r>
        <w:rPr>
          <w:snapToGrid w:val="0"/>
        </w:rPr>
        <w:t xml:space="preserve">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tab/>
        <w:t>(3)</w:t>
      </w:r>
      <w:r>
        <w:tab/>
        <w:t>The continuation in office of a retired commissioner under subsection (1) does not prevent the appointment of a person to fill the office from which the commissioner retired.</w:t>
      </w:r>
    </w:p>
    <w:p>
      <w:pPr>
        <w:pStyle w:val="Subsection"/>
      </w:pPr>
      <w:r>
        <w:tab/>
        <w:t>(4)</w:t>
      </w:r>
      <w:r>
        <w:tab/>
        <w:t>The continuation in office of an acting commissioner under subsection (1) does not prevent the appointment of another person to act in the office in which the acting commissioner acted.</w:t>
      </w:r>
    </w:p>
    <w:p>
      <w:pPr>
        <w:pStyle w:val="Footnotesection"/>
      </w:pPr>
      <w:r>
        <w:tab/>
        <w:t>[Section 18 amended: No. 94 of 1984 s. 12; No. 14 of 2005 s. 7; No. 39 of 2018 s. 17.]</w:t>
      </w:r>
    </w:p>
    <w:p>
      <w:pPr>
        <w:pStyle w:val="Heading5"/>
      </w:pPr>
      <w:bookmarkStart w:id="35" w:name="_Toc98769852"/>
      <w:r>
        <w:rPr>
          <w:rStyle w:val="CharSectno"/>
        </w:rPr>
        <w:t>19</w:t>
      </w:r>
      <w:r>
        <w:t>.</w:t>
      </w:r>
      <w:r>
        <w:tab/>
        <w:t>Duty of commissioners</w:t>
      </w:r>
      <w:bookmarkEnd w:id="35"/>
    </w:p>
    <w:p>
      <w:pPr>
        <w:pStyle w:val="Subsection"/>
      </w:pPr>
      <w:r>
        <w:tab/>
      </w:r>
      <w:r>
        <w:tab/>
        <w:t>Each commissioner must keep acquainted with industrial affairs and conditions.</w:t>
      </w:r>
    </w:p>
    <w:p>
      <w:pPr>
        <w:pStyle w:val="Footnotesection"/>
      </w:pPr>
      <w:r>
        <w:tab/>
        <w:t>[Section 19 inserted: No. 39 of 2018 s. 18.]</w:t>
      </w:r>
    </w:p>
    <w:p>
      <w:pPr>
        <w:pStyle w:val="Heading5"/>
        <w:keepLines w:val="0"/>
        <w:rPr>
          <w:snapToGrid w:val="0"/>
        </w:rPr>
      </w:pPr>
      <w:bookmarkStart w:id="36" w:name="_Toc98769853"/>
      <w:r>
        <w:rPr>
          <w:rStyle w:val="CharSectno"/>
        </w:rPr>
        <w:lastRenderedPageBreak/>
        <w:t>20</w:t>
      </w:r>
      <w:r>
        <w:rPr>
          <w:snapToGrid w:val="0"/>
        </w:rPr>
        <w:t>.</w:t>
      </w:r>
      <w:r>
        <w:rPr>
          <w:snapToGrid w:val="0"/>
        </w:rPr>
        <w:tab/>
        <w:t>Conditions of service of commissioners</w:t>
      </w:r>
      <w:bookmarkEnd w:id="36"/>
    </w:p>
    <w:p>
      <w:pPr>
        <w:pStyle w:val="Ednotesubsection"/>
      </w:pPr>
      <w:r>
        <w:tab/>
        <w:t>[(1)</w:t>
      </w:r>
      <w:r>
        <w:tab/>
        <w:t>deleted]</w:t>
      </w:r>
    </w:p>
    <w:p>
      <w:pPr>
        <w:pStyle w:val="Subsection"/>
      </w:pPr>
      <w:r>
        <w:tab/>
        <w:t>(2)</w:t>
      </w:r>
      <w:r>
        <w:tab/>
        <w:t>The offices of commissioners</w:t>
      </w:r>
      <w:r>
        <w:rPr>
          <w:snapToGrid w:val="0"/>
        </w:rPr>
        <w:t xml:space="preserve"> </w:t>
      </w:r>
      <w:r>
        <w:t>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snapToGrid w:val="0"/>
          <w:vertAlign w:val="superscript"/>
        </w:rPr>
        <w:t>6</w:t>
      </w:r>
      <w:r>
        <w:rPr>
          <w:snapToGrid w:val="0"/>
        </w:rPr>
        <w:t xml:space="preserve"> the duration of —</w:t>
      </w:r>
    </w:p>
    <w:p>
      <w:pPr>
        <w:pStyle w:val="Indenta"/>
        <w:rPr>
          <w:snapToGrid w:val="0"/>
        </w:rPr>
      </w:pPr>
      <w:r>
        <w:rPr>
          <w:snapToGrid w:val="0"/>
        </w:rPr>
        <w:tab/>
        <w:t>(a)</w:t>
      </w:r>
      <w:r>
        <w:rPr>
          <w:snapToGrid w:val="0"/>
        </w:rPr>
        <w:tab/>
        <w:t>any service by a person as a commissioner that occurs after the commencement day; and</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keepNext/>
        <w:rPr>
          <w:snapToGrid w:val="0"/>
        </w:rPr>
      </w:pPr>
      <w:r>
        <w:rPr>
          <w:snapToGrid w:val="0"/>
        </w:rPr>
        <w:tab/>
        <w:t>(c)</w:t>
      </w:r>
      <w:r>
        <w:rPr>
          <w:snapToGrid w:val="0"/>
        </w:rPr>
        <w:tab/>
        <w:t>any period for which a person might have remained in service under the State but for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pPr>
        <w:pStyle w:val="Subsection"/>
        <w:rPr>
          <w:snapToGrid w:val="0"/>
        </w:rPr>
      </w:pPr>
      <w:r>
        <w:rPr>
          <w:snapToGrid w:val="0"/>
        </w:rPr>
        <w:lastRenderedPageBreak/>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Footnotesection"/>
      </w:pPr>
      <w:r>
        <w:tab/>
        <w:t>[Section 20 amended: No. 121 of 1982 s. 6; No. 92 of 1984 s. 3 and 4; No. 82 of 1987 s. 8; No. 99 of 1990 s. 7; No. 20 of 2002 s. 186(1); No. 28 of 2003 s. 89; No. 39 of 2018 s. 19.]</w:t>
      </w:r>
    </w:p>
    <w:p>
      <w:pPr>
        <w:pStyle w:val="Heading5"/>
        <w:rPr>
          <w:snapToGrid w:val="0"/>
        </w:rPr>
      </w:pPr>
      <w:bookmarkStart w:id="37" w:name="_Toc98769854"/>
      <w:r>
        <w:rPr>
          <w:rStyle w:val="CharSectno"/>
        </w:rPr>
        <w:t>21</w:t>
      </w:r>
      <w:r>
        <w:rPr>
          <w:snapToGrid w:val="0"/>
        </w:rPr>
        <w:t>.</w:t>
      </w:r>
      <w:r>
        <w:rPr>
          <w:snapToGrid w:val="0"/>
        </w:rPr>
        <w:tab/>
        <w:t>Resignation from office</w:t>
      </w:r>
      <w:bookmarkEnd w:id="37"/>
    </w:p>
    <w:p>
      <w:pPr>
        <w:pStyle w:val="Subsection"/>
        <w:rPr>
          <w:snapToGrid w:val="0"/>
        </w:rPr>
      </w:pPr>
      <w:r>
        <w:rPr>
          <w:snapToGrid w:val="0"/>
        </w:rPr>
        <w:tab/>
      </w:r>
      <w:r>
        <w:rPr>
          <w:snapToGrid w:val="0"/>
        </w:rPr>
        <w:tab/>
      </w:r>
      <w:r>
        <w:t>A commissioner may resign office by writing</w:t>
      </w:r>
      <w:r>
        <w:rPr>
          <w:snapToGrid w:val="0"/>
        </w:rPr>
        <w:t xml:space="preserve"> addressed to the Governor and the resignation takes effect on the day on which it is received by the Governor or such later day as is specified in the writing.</w:t>
      </w:r>
    </w:p>
    <w:p>
      <w:pPr>
        <w:pStyle w:val="Footnotesection"/>
      </w:pPr>
      <w:r>
        <w:tab/>
        <w:t>[Section 21 amended: No. 39 of 2018 s. 20.]</w:t>
      </w:r>
    </w:p>
    <w:p>
      <w:pPr>
        <w:pStyle w:val="Heading5"/>
        <w:pageBreakBefore/>
        <w:spacing w:before="0"/>
        <w:rPr>
          <w:snapToGrid w:val="0"/>
        </w:rPr>
      </w:pPr>
      <w:bookmarkStart w:id="38" w:name="_Toc98769855"/>
      <w:r>
        <w:rPr>
          <w:rStyle w:val="CharSectno"/>
        </w:rPr>
        <w:lastRenderedPageBreak/>
        <w:t>22</w:t>
      </w:r>
      <w:r>
        <w:rPr>
          <w:snapToGrid w:val="0"/>
        </w:rPr>
        <w:t>.</w:t>
      </w:r>
      <w:r>
        <w:rPr>
          <w:snapToGrid w:val="0"/>
        </w:rPr>
        <w:tab/>
        <w:t>Tenure subject to good behaviour</w:t>
      </w:r>
      <w:bookmarkEnd w:id="38"/>
    </w:p>
    <w:p>
      <w:pPr>
        <w:pStyle w:val="Subsection"/>
        <w:rPr>
          <w:snapToGrid w:val="0"/>
        </w:rPr>
      </w:pPr>
      <w:r>
        <w:rPr>
          <w:snapToGrid w:val="0"/>
        </w:rPr>
        <w:tab/>
        <w:t>(1)</w:t>
      </w:r>
      <w:r>
        <w:rPr>
          <w:snapToGrid w:val="0"/>
        </w:rPr>
        <w:tab/>
        <w:t xml:space="preserve">Subject to subsection (2)(c), </w:t>
      </w:r>
      <w:r>
        <w:t>commissioners</w:t>
      </w:r>
      <w:r>
        <w:rPr>
          <w:snapToGrid w:val="0"/>
        </w:rPr>
        <w:t xml:space="preserve"> hold their offices during good behaviour, subject to a power of removal by the Governor upon the address of both Houses of Parliament.</w:t>
      </w:r>
    </w:p>
    <w:p>
      <w:pPr>
        <w:pStyle w:val="Subsection"/>
      </w:pPr>
      <w:r>
        <w:tab/>
        <w:t>(2)</w:t>
      </w:r>
      <w:r>
        <w:tab/>
        <w:t xml:space="preserve">The office of a commissioner becomes vacant if the commissioner — </w:t>
      </w:r>
    </w:p>
    <w:p>
      <w:pPr>
        <w:pStyle w:val="Indenta"/>
      </w:pPr>
      <w:r>
        <w:tab/>
        <w:t>(a)</w:t>
      </w:r>
      <w:r>
        <w:tab/>
        <w:t>is removed from office under subsection (1); or</w:t>
      </w:r>
    </w:p>
    <w:p>
      <w:pPr>
        <w:pStyle w:val="Indenta"/>
      </w:pPr>
      <w:r>
        <w:tab/>
        <w:t>(b)</w:t>
      </w:r>
      <w:r>
        <w:tab/>
        <w:t>retires under section 10 or resigns under section 21; or</w:t>
      </w:r>
    </w:p>
    <w:p>
      <w:pPr>
        <w:pStyle w:val="Indenta"/>
      </w:pPr>
      <w:r>
        <w:tab/>
        <w:t>(c)</w:t>
      </w:r>
      <w:r>
        <w:tab/>
        <w:t>except with the approval of the Governor, accepts the office of member of the Fair Work Commission.</w:t>
      </w:r>
    </w:p>
    <w:p>
      <w:pPr>
        <w:pStyle w:val="Footnotesection"/>
        <w:ind w:left="890" w:hanging="890"/>
      </w:pPr>
      <w:r>
        <w:tab/>
        <w:t>[Section 22 amended: No. 94 of 1984 s. 13; No. 99 of 1990 s. 8; No. 1 of 1995 s. 53; No. 53 of 2011 s. 39; No. 39 of 2018 s. 21.]</w:t>
      </w:r>
    </w:p>
    <w:p>
      <w:pPr>
        <w:pStyle w:val="Heading3"/>
      </w:pPr>
      <w:bookmarkStart w:id="39" w:name="_Toc98504939"/>
      <w:bookmarkStart w:id="40" w:name="_Toc98506638"/>
      <w:bookmarkStart w:id="41" w:name="_Toc98507801"/>
      <w:bookmarkStart w:id="42" w:name="_Toc98769856"/>
      <w:r>
        <w:rPr>
          <w:rStyle w:val="CharDivNo"/>
        </w:rPr>
        <w:t>Division 2</w:t>
      </w:r>
      <w:r>
        <w:rPr>
          <w:snapToGrid w:val="0"/>
        </w:rPr>
        <w:t> — </w:t>
      </w:r>
      <w:r>
        <w:rPr>
          <w:rStyle w:val="CharDivText"/>
        </w:rPr>
        <w:t>General jurisdiction and powers of the Commission</w:t>
      </w:r>
      <w:bookmarkEnd w:id="39"/>
      <w:bookmarkEnd w:id="40"/>
      <w:bookmarkEnd w:id="41"/>
      <w:bookmarkEnd w:id="42"/>
    </w:p>
    <w:p>
      <w:pPr>
        <w:pStyle w:val="Heading5"/>
        <w:rPr>
          <w:snapToGrid w:val="0"/>
        </w:rPr>
      </w:pPr>
      <w:bookmarkStart w:id="43" w:name="_Toc98769857"/>
      <w:r>
        <w:rPr>
          <w:rStyle w:val="CharSectno"/>
        </w:rPr>
        <w:t>22A</w:t>
      </w:r>
      <w:r>
        <w:rPr>
          <w:snapToGrid w:val="0"/>
        </w:rPr>
        <w:t xml:space="preserve">. </w:t>
      </w:r>
      <w:r>
        <w:rPr>
          <w:snapToGrid w:val="0"/>
        </w:rPr>
        <w:tab/>
        <w:t>Terms used</w:t>
      </w:r>
      <w:bookmarkEnd w:id="43"/>
    </w:p>
    <w:p>
      <w:pPr>
        <w:pStyle w:val="Subsection"/>
        <w:rPr>
          <w:snapToGrid w:val="0"/>
        </w:rPr>
      </w:pPr>
      <w:r>
        <w:rPr>
          <w:snapToGrid w:val="0"/>
        </w:rPr>
        <w:tab/>
      </w:r>
      <w:r>
        <w:rPr>
          <w:snapToGrid w:val="0"/>
        </w:rPr>
        <w:tab/>
        <w:t>In this Division</w:t>
      </w:r>
      <w:r>
        <w:t xml:space="preserve"> and Divisions 2A to 2G</w:t>
      </w:r>
      <w:r>
        <w:rPr>
          <w:snapToGrid w:val="0"/>
        </w:rPr>
        <w:t>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[Section 22A inserted: No. 94 of 1984 s. 14; amended: No. 20 of 2002 s. 121(1).]</w:t>
      </w:r>
    </w:p>
    <w:p>
      <w:pPr>
        <w:pStyle w:val="Heading5"/>
      </w:pPr>
      <w:bookmarkStart w:id="44" w:name="_Toc98769858"/>
      <w:r>
        <w:rPr>
          <w:rStyle w:val="CharSectno"/>
        </w:rPr>
        <w:t>22B</w:t>
      </w:r>
      <w:r>
        <w:t>.</w:t>
      </w:r>
      <w:r>
        <w:tab/>
        <w:t>Commission to act with due speed</w:t>
      </w:r>
      <w:bookmarkEnd w:id="44"/>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No. 20 of 2002 s. 150.]</w:t>
      </w:r>
    </w:p>
    <w:p>
      <w:pPr>
        <w:pStyle w:val="Heading5"/>
        <w:pageBreakBefore/>
        <w:spacing w:before="0"/>
        <w:rPr>
          <w:snapToGrid w:val="0"/>
        </w:rPr>
      </w:pPr>
      <w:bookmarkStart w:id="45" w:name="_Toc98769859"/>
      <w:r>
        <w:rPr>
          <w:rStyle w:val="CharSectno"/>
        </w:rPr>
        <w:lastRenderedPageBreak/>
        <w:t>23</w:t>
      </w:r>
      <w:r>
        <w:rPr>
          <w:snapToGrid w:val="0"/>
        </w:rPr>
        <w:t>.</w:t>
      </w:r>
      <w:r>
        <w:rPr>
          <w:snapToGrid w:val="0"/>
        </w:rPr>
        <w:tab/>
        <w:t>Jurisdiction of Commission</w:t>
      </w:r>
      <w:bookmarkEnd w:id="45"/>
    </w:p>
    <w:p>
      <w:pPr>
        <w:pStyle w:val="Subsection"/>
        <w:spacing w:before="100"/>
        <w:rPr>
          <w:snapToGrid w:val="0"/>
        </w:rPr>
      </w:pPr>
      <w:r>
        <w:rPr>
          <w:snapToGrid w:val="0"/>
        </w:rPr>
        <w:tab/>
        <w:t>(1)</w:t>
      </w:r>
      <w:r>
        <w:rPr>
          <w:snapToGrid w:val="0"/>
        </w:rPr>
        <w:tab/>
        <w:t>Subject to this Act, the Commission has cognizance of and authority to enquire into and deal with any industrial matter.</w:t>
      </w:r>
    </w:p>
    <w:p>
      <w:pPr>
        <w:pStyle w:val="Subsection"/>
        <w:spacing w:before="1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spacing w:before="100"/>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spacing w:before="100"/>
        <w:rPr>
          <w:snapToGrid w:val="0"/>
        </w:rPr>
      </w:pPr>
      <w:r>
        <w:rPr>
          <w:snapToGrid w:val="0"/>
        </w:rPr>
        <w:tab/>
        <w:t>(3)</w:t>
      </w:r>
      <w:r>
        <w:rPr>
          <w:snapToGrid w:val="0"/>
        </w:rPr>
        <w:tab/>
        <w:t>The Commission in the exercise of the jurisdiction conferred on it by this Part shall not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pPr>
        <w:pStyle w:val="Indenti"/>
        <w:rPr>
          <w:snapToGrid w:val="0"/>
        </w:rPr>
      </w:pPr>
      <w:r>
        <w:rPr>
          <w:snapToGrid w:val="0"/>
        </w:rPr>
        <w:tab/>
        <w:t>(i)</w:t>
      </w:r>
      <w:r>
        <w:rPr>
          <w:snapToGrid w:val="0"/>
        </w:rPr>
        <w:tab/>
        <w:t xml:space="preserve">prevents the registration with the Commission of any industrial agreement that contains or </w:t>
      </w:r>
      <w:r>
        <w:rPr>
          <w:snapToGrid w:val="0"/>
        </w:rPr>
        <w:lastRenderedPageBreak/>
        <w:t>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lastRenderedPageBreak/>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on a claim of harsh, oppressive or unfair dismissal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w:t>
      </w:r>
    </w:p>
    <w:p>
      <w:pPr>
        <w:pStyle w:val="Ednotesection"/>
      </w:pPr>
      <w:r>
        <w:t>[</w:t>
      </w:r>
      <w:r>
        <w:rPr>
          <w:b/>
        </w:rPr>
        <w:t>23AA.</w:t>
      </w:r>
      <w:r>
        <w:tab/>
        <w:t>Deleted: No. 3 of 1997 s. 22</w:t>
      </w:r>
      <w:r>
        <w:rPr>
          <w:i w:val="0"/>
          <w:vertAlign w:val="superscript"/>
        </w:rPr>
        <w:t> 5</w:t>
      </w:r>
      <w:r>
        <w:t>.]</w:t>
      </w:r>
    </w:p>
    <w:p>
      <w:pPr>
        <w:pStyle w:val="Heading5"/>
      </w:pPr>
      <w:bookmarkStart w:id="46" w:name="_Toc98769860"/>
      <w:r>
        <w:rPr>
          <w:rStyle w:val="CharSectno"/>
        </w:rPr>
        <w:t>23A</w:t>
      </w:r>
      <w:r>
        <w:t>.</w:t>
      </w:r>
      <w:r>
        <w:tab/>
        <w:t>Unfair dismissal claims, Commission’s powers on</w:t>
      </w:r>
      <w:bookmarkEnd w:id="46"/>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In determining whether the dismissal of an employee was harsh, oppressive or unfair the Commission shall have regard to whether the employee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spacing w:before="180"/>
      </w:pPr>
      <w:r>
        <w:tab/>
        <w:t>(3)</w:t>
      </w:r>
      <w:r>
        <w:tab/>
        <w:t xml:space="preserve">The Commission may order the employer to reinstate the employee to the employee’s former position on conditions at </w:t>
      </w:r>
      <w:r>
        <w:lastRenderedPageBreak/>
        <w:t>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pPr>
        <w:pStyle w:val="Indenta"/>
      </w:pPr>
      <w:r>
        <w:tab/>
        <w:t>(a)</w:t>
      </w:r>
      <w:r>
        <w:tab/>
        <w:t>the employer has available; and</w:t>
      </w:r>
    </w:p>
    <w:p>
      <w:pPr>
        <w:pStyle w:val="Indenta"/>
      </w:pPr>
      <w:r>
        <w:tab/>
        <w:t>(b)</w:t>
      </w:r>
      <w:r>
        <w:tab/>
        <w:t>is suitable.</w:t>
      </w:r>
    </w:p>
    <w:p>
      <w:pPr>
        <w:pStyle w:val="Subsection"/>
        <w:spacing w:before="180"/>
      </w:pPr>
      <w:r>
        <w:tab/>
        <w:t>(5)</w:t>
      </w:r>
      <w:r>
        <w:tab/>
        <w:t>The Commission may, in addition to making an order under subsection (3) or (4), make either or both of the following orders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In deciding an amount of compensation for the purposes of making an order under subsection (6), the Commission is to have regard to —</w:t>
      </w:r>
    </w:p>
    <w:p>
      <w:pPr>
        <w:pStyle w:val="Indenta"/>
      </w:pPr>
      <w:r>
        <w:tab/>
        <w:t>(a)</w:t>
      </w:r>
      <w:r>
        <w:tab/>
        <w:t>the efforts (if any) of the employer and employee to mitigate the loss suffered by the employee as a result of the dismissal; and</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lastRenderedPageBreak/>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No. 20 of 2002 s. 138(1).]</w:t>
      </w:r>
    </w:p>
    <w:p>
      <w:pPr>
        <w:pStyle w:val="Heading5"/>
      </w:pPr>
      <w:bookmarkStart w:id="47" w:name="_Toc98769861"/>
      <w:r>
        <w:rPr>
          <w:rStyle w:val="CharSectno"/>
        </w:rPr>
        <w:t>23B</w:t>
      </w:r>
      <w:r>
        <w:t>.</w:t>
      </w:r>
      <w:r>
        <w:tab/>
        <w:t>Third party involvement in employment claim, Commission’s powers to prevent etc.</w:t>
      </w:r>
      <w:bookmarkEnd w:id="47"/>
    </w:p>
    <w:p>
      <w:pPr>
        <w:pStyle w:val="Subsection"/>
      </w:pPr>
      <w:r>
        <w:tab/>
        <w:t>(1)</w:t>
      </w:r>
      <w:r>
        <w:tab/>
        <w:t>In this section —</w:t>
      </w:r>
    </w:p>
    <w:p>
      <w:pPr>
        <w:pStyle w:val="Defstart"/>
      </w:pPr>
      <w:r>
        <w:tab/>
      </w:r>
      <w:r>
        <w:rPr>
          <w:rStyle w:val="CharDefText"/>
        </w:rPr>
        <w:t>employment claim</w:t>
      </w:r>
      <w:r>
        <w:t xml:space="preserve"> means a claim made to the Commission in which any of the following is an issue —</w:t>
      </w:r>
    </w:p>
    <w:p>
      <w:pPr>
        <w:pStyle w:val="Defpara"/>
      </w:pPr>
      <w:r>
        <w:tab/>
        <w:t>(a)</w:t>
      </w:r>
      <w:r>
        <w:tab/>
        <w:t xml:space="preserve">the refusal or failure of an employer to employ a person (the </w:t>
      </w:r>
      <w:r>
        <w:rPr>
          <w:rStyle w:val="CharDefText"/>
        </w:rPr>
        <w:t>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rStyle w:val="CharDefText"/>
        </w:rPr>
        <w:t>third party</w:t>
      </w:r>
      <w:r>
        <w:t>, in relation to an employment claim, means any person, other than the employer on whom a copy of the claim has been served.</w:t>
      </w:r>
    </w:p>
    <w:p>
      <w:pPr>
        <w:pStyle w:val="Subsection"/>
      </w:pPr>
      <w:r>
        <w:lastRenderedPageBreak/>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pPr>
        <w:pStyle w:val="Indenta"/>
        <w:spacing w:before="60"/>
      </w:pPr>
      <w:r>
        <w:tab/>
      </w:r>
      <w:r>
        <w:rPr>
          <w:snapToGrid w:val="0"/>
        </w:rPr>
        <w:t>(a)</w:t>
      </w:r>
      <w:r>
        <w:tab/>
        <w:t>the employment of the affected person; or</w:t>
      </w:r>
    </w:p>
    <w:p>
      <w:pPr>
        <w:pStyle w:val="Indenta"/>
        <w:spacing w:before="60"/>
      </w:pPr>
      <w:r>
        <w:tab/>
        <w:t>(b)</w:t>
      </w:r>
      <w:r>
        <w:tab/>
        <w:t>the employment or transfer of the employee to work at a particular place or site; or</w:t>
      </w:r>
    </w:p>
    <w:p>
      <w:pPr>
        <w:pStyle w:val="Indenta"/>
        <w:spacing w:before="60"/>
      </w:pPr>
      <w:r>
        <w:tab/>
      </w:r>
      <w:r>
        <w:rPr>
          <w:snapToGrid w:val="0"/>
        </w:rPr>
        <w:t>(c)</w:t>
      </w:r>
      <w:r>
        <w:tab/>
        <w:t>the reinstatement or re</w:t>
      </w:r>
      <w:r>
        <w:noBreakHyphen/>
        <w:t>employment of the employee.</w:t>
      </w:r>
    </w:p>
    <w:p>
      <w:pPr>
        <w:pStyle w:val="Subsection"/>
        <w:spacing w:before="120"/>
      </w:pPr>
      <w:r>
        <w:tab/>
        <w:t>(3)</w:t>
      </w:r>
      <w:r>
        <w:tab/>
        <w:t>Subsection (2) is not to be taken as limiting the persons in respect of whom the Commission can make other orders under this Act.</w:t>
      </w:r>
    </w:p>
    <w:p>
      <w:pPr>
        <w:pStyle w:val="Footnotesection"/>
      </w:pPr>
      <w:r>
        <w:tab/>
        <w:t>[Section 23B inserted: No. 20 of 2002 s. 138(1).]</w:t>
      </w:r>
    </w:p>
    <w:p>
      <w:pPr>
        <w:pStyle w:val="Heading5"/>
        <w:rPr>
          <w:snapToGrid w:val="0"/>
        </w:rPr>
      </w:pPr>
      <w:bookmarkStart w:id="48" w:name="_Toc98769862"/>
      <w:r>
        <w:rPr>
          <w:rStyle w:val="CharSectno"/>
        </w:rPr>
        <w:t>24</w:t>
      </w:r>
      <w:r>
        <w:rPr>
          <w:snapToGrid w:val="0"/>
        </w:rPr>
        <w:t>.</w:t>
      </w:r>
      <w:r>
        <w:rPr>
          <w:snapToGrid w:val="0"/>
        </w:rPr>
        <w:tab/>
        <w:t>Industrial matters, Commission may decide what are</w:t>
      </w:r>
      <w:bookmarkEnd w:id="48"/>
    </w:p>
    <w:p>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spacing w:before="120"/>
        <w:rPr>
          <w:snapToGrid w:val="0"/>
        </w:rPr>
      </w:pPr>
      <w:r>
        <w:rPr>
          <w:snapToGrid w:val="0"/>
        </w:rPr>
        <w:tab/>
        <w:t>(2)</w:t>
      </w:r>
      <w:r>
        <w:rPr>
          <w:snapToGrid w:val="0"/>
        </w:rPr>
        <w:tab/>
        <w:t>A determination under subsection (1) is not a decision for the purposes of section 49 or 90 unless and until —</w:t>
      </w:r>
    </w:p>
    <w:p>
      <w:pPr>
        <w:pStyle w:val="Indenta"/>
        <w:spacing w:before="60"/>
        <w:rPr>
          <w:snapToGrid w:val="0"/>
        </w:rPr>
      </w:pPr>
      <w:r>
        <w:rPr>
          <w:snapToGrid w:val="0"/>
        </w:rPr>
        <w:tab/>
        <w:t>(a)</w:t>
      </w:r>
      <w:r>
        <w:rPr>
          <w:snapToGrid w:val="0"/>
        </w:rPr>
        <w:tab/>
        <w:t>those proceedings have been concluded; or</w:t>
      </w:r>
    </w:p>
    <w:p>
      <w:pPr>
        <w:pStyle w:val="Indenta"/>
        <w:spacing w:before="60"/>
        <w:rPr>
          <w:snapToGrid w:val="0"/>
        </w:rPr>
      </w:pPr>
      <w:r>
        <w:rPr>
          <w:snapToGrid w:val="0"/>
        </w:rPr>
        <w:tab/>
        <w:t>(b)</w:t>
      </w:r>
      <w:r>
        <w:rPr>
          <w:snapToGrid w:val="0"/>
        </w:rPr>
        <w:tab/>
        <w:t>leave to appeal is granted by the Commission making that determination.</w:t>
      </w:r>
    </w:p>
    <w:p>
      <w:pPr>
        <w:pStyle w:val="Footnotesection"/>
      </w:pPr>
      <w:r>
        <w:tab/>
        <w:t>[Section 24 amended: No. 15 of 1993 s. 8; amended: Gazette 15 Aug 2003 p. 3686.]</w:t>
      </w:r>
    </w:p>
    <w:p>
      <w:pPr>
        <w:pStyle w:val="Heading5"/>
        <w:rPr>
          <w:snapToGrid w:val="0"/>
        </w:rPr>
      </w:pPr>
      <w:bookmarkStart w:id="49" w:name="_Toc98769863"/>
      <w:r>
        <w:rPr>
          <w:rStyle w:val="CharSectno"/>
        </w:rPr>
        <w:t>25</w:t>
      </w:r>
      <w:r>
        <w:rPr>
          <w:snapToGrid w:val="0"/>
        </w:rPr>
        <w:t>.</w:t>
      </w:r>
      <w:r>
        <w:rPr>
          <w:snapToGrid w:val="0"/>
        </w:rPr>
        <w:tab/>
        <w:t>Allocation of industrial matters by Chief Commissioner</w:t>
      </w:r>
      <w:bookmarkEnd w:id="49"/>
    </w:p>
    <w:p>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pPr>
        <w:pStyle w:val="Indenta"/>
        <w:spacing w:before="60"/>
        <w:rPr>
          <w:snapToGrid w:val="0"/>
        </w:rPr>
      </w:pPr>
      <w:r>
        <w:rPr>
          <w:snapToGrid w:val="0"/>
        </w:rPr>
        <w:tab/>
        <w:t>(a)</w:t>
      </w:r>
      <w:r>
        <w:rPr>
          <w:snapToGrid w:val="0"/>
        </w:rPr>
        <w:tab/>
        <w:t>allocate matters to a commissioner; and</w:t>
      </w:r>
    </w:p>
    <w:p>
      <w:pPr>
        <w:pStyle w:val="Indenta"/>
        <w:rPr>
          <w:snapToGrid w:val="0"/>
        </w:rPr>
      </w:pPr>
      <w:r>
        <w:rPr>
          <w:snapToGrid w:val="0"/>
        </w:rPr>
        <w:lastRenderedPageBreak/>
        <w:tab/>
        <w:t>(b)</w:t>
      </w:r>
      <w:r>
        <w:rPr>
          <w:snapToGrid w:val="0"/>
        </w:rPr>
        <w:tab/>
        <w:t>allocate matters directly to the Commission in Court Session; and</w:t>
      </w:r>
    </w:p>
    <w:p>
      <w:pPr>
        <w:pStyle w:val="Indenta"/>
        <w:spacing w:before="60"/>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keepNext/>
        <w:keepLines/>
      </w:pPr>
      <w:r>
        <w:tab/>
        <w:t>(2)</w:t>
      </w:r>
      <w:r>
        <w:tab/>
        <w:t>Subsection (1) —</w:t>
      </w:r>
    </w:p>
    <w:p>
      <w:pPr>
        <w:pStyle w:val="Indenta"/>
        <w:keepNext/>
        <w:keepLines/>
        <w:spacing w:before="60"/>
      </w:pPr>
      <w:r>
        <w:tab/>
        <w:t>(a)</w:t>
      </w:r>
      <w:r>
        <w:tab/>
        <w:t>has effect subject to any provision of this Division or Division 2A to 2G under which the Commission is to be constituted in a particular way; and</w:t>
      </w:r>
    </w:p>
    <w:p>
      <w:pPr>
        <w:pStyle w:val="Indenta"/>
        <w:keepNext/>
        <w:spacing w:before="60"/>
        <w:rPr>
          <w:snapToGrid w:val="0"/>
        </w:rPr>
      </w:pPr>
      <w:r>
        <w:tab/>
        <w:t>(b)</w:t>
      </w:r>
      <w:r>
        <w:tab/>
        <w:t>does not affect the operation of Part IIC.</w:t>
      </w:r>
    </w:p>
    <w:p>
      <w:pPr>
        <w:pStyle w:val="Footnotesection"/>
        <w:ind w:left="890" w:hanging="890"/>
      </w:pPr>
      <w:r>
        <w:tab/>
        <w:t>[Section 25 inserted: No. 94 of 1984 s. 16; amended: No. 20 of 2002 s. 121(2) and (3); No. 14 of 2005 s. 8.]</w:t>
      </w:r>
    </w:p>
    <w:p>
      <w:pPr>
        <w:pStyle w:val="Heading5"/>
        <w:rPr>
          <w:snapToGrid w:val="0"/>
        </w:rPr>
      </w:pPr>
      <w:bookmarkStart w:id="50" w:name="_Toc98769864"/>
      <w:r>
        <w:rPr>
          <w:rStyle w:val="CharSectno"/>
        </w:rPr>
        <w:t>26</w:t>
      </w:r>
      <w:r>
        <w:rPr>
          <w:snapToGrid w:val="0"/>
        </w:rPr>
        <w:t>.</w:t>
      </w:r>
      <w:r>
        <w:rPr>
          <w:snapToGrid w:val="0"/>
        </w:rPr>
        <w:tab/>
        <w:t>Commission to act according to equity and good conscience</w:t>
      </w:r>
      <w:bookmarkEnd w:id="50"/>
    </w:p>
    <w:p>
      <w:pPr>
        <w:pStyle w:val="Subsection"/>
        <w:rPr>
          <w:snapToGrid w:val="0"/>
        </w:rPr>
      </w:pPr>
      <w:r>
        <w:rPr>
          <w:snapToGrid w:val="0"/>
        </w:rPr>
        <w:tab/>
        <w:t>(1)</w:t>
      </w:r>
      <w:r>
        <w:rPr>
          <w:snapToGrid w:val="0"/>
        </w:rPr>
        <w:tab/>
        <w:t>In the exercise of its jurisdiction under this Act the Commission —</w:t>
      </w:r>
    </w:p>
    <w:p>
      <w:pPr>
        <w:pStyle w:val="Indenta"/>
        <w:spacing w:before="60"/>
        <w:rPr>
          <w:snapToGrid w:val="0"/>
        </w:rPr>
      </w:pPr>
      <w:r>
        <w:rPr>
          <w:snapToGrid w:val="0"/>
        </w:rPr>
        <w:tab/>
        <w:t>(a)</w:t>
      </w:r>
      <w:r>
        <w:rPr>
          <w:snapToGrid w:val="0"/>
        </w:rPr>
        <w:tab/>
        <w:t>shall act according to equity, good conscience, and the substantial merits of the case without regard to technicalities or legal forms; and</w:t>
      </w:r>
    </w:p>
    <w:p>
      <w:pPr>
        <w:pStyle w:val="Indenta"/>
        <w:spacing w:before="60"/>
        <w:rPr>
          <w:snapToGrid w:val="0"/>
        </w:rPr>
      </w:pPr>
      <w:r>
        <w:rPr>
          <w:snapToGrid w:val="0"/>
        </w:rPr>
        <w:tab/>
        <w:t>(b)</w:t>
      </w:r>
      <w:r>
        <w:rPr>
          <w:snapToGrid w:val="0"/>
        </w:rPr>
        <w:tab/>
        <w:t>shall not be bound by any rules of evidence, but may inform itself on any matter in such a way as it thinks just; and</w:t>
      </w:r>
    </w:p>
    <w:p>
      <w:pPr>
        <w:pStyle w:val="Indenta"/>
        <w:spacing w:before="60"/>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spacing w:before="60"/>
        <w:rPr>
          <w:snapToGrid w:val="0"/>
        </w:rPr>
      </w:pPr>
      <w:r>
        <w:rPr>
          <w:snapToGrid w:val="0"/>
        </w:rPr>
        <w:tab/>
        <w:t>(d)</w:t>
      </w:r>
      <w:r>
        <w:rPr>
          <w:snapToGrid w:val="0"/>
        </w:rPr>
        <w:tab/>
        <w:t>shall take into consideration to the extent that it is relevant —</w:t>
      </w:r>
    </w:p>
    <w:p>
      <w:pPr>
        <w:pStyle w:val="Indenti"/>
        <w:spacing w:before="60"/>
        <w:rPr>
          <w:snapToGrid w:val="0"/>
        </w:rPr>
      </w:pPr>
      <w:r>
        <w:rPr>
          <w:snapToGrid w:val="0"/>
        </w:rPr>
        <w:tab/>
        <w:t>(i)</w:t>
      </w:r>
      <w:r>
        <w:rPr>
          <w:snapToGrid w:val="0"/>
        </w:rPr>
        <w:tab/>
        <w:t>the state of the national economy;</w:t>
      </w:r>
    </w:p>
    <w:p>
      <w:pPr>
        <w:pStyle w:val="Indenti"/>
        <w:spacing w:before="60"/>
        <w:rPr>
          <w:snapToGrid w:val="0"/>
        </w:rPr>
      </w:pPr>
      <w:r>
        <w:rPr>
          <w:snapToGrid w:val="0"/>
        </w:rPr>
        <w:tab/>
        <w:t>(ii)</w:t>
      </w:r>
      <w:r>
        <w:rPr>
          <w:snapToGrid w:val="0"/>
        </w:rPr>
        <w:tab/>
        <w:t>the state of the economy of Western Australia;</w:t>
      </w:r>
    </w:p>
    <w:p>
      <w:pPr>
        <w:pStyle w:val="Indenti"/>
        <w:spacing w:before="60"/>
        <w:rPr>
          <w:snapToGrid w:val="0"/>
        </w:rPr>
      </w:pPr>
      <w:r>
        <w:rPr>
          <w:snapToGrid w:val="0"/>
        </w:rPr>
        <w:tab/>
        <w:t>(iii)</w:t>
      </w:r>
      <w:r>
        <w:rPr>
          <w:snapToGrid w:val="0"/>
        </w:rPr>
        <w:tab/>
        <w:t xml:space="preserve">the capacity of employers as a whole or of an individual employer to pay wages, salaries, allowances or other remuneration and to bear the </w:t>
      </w:r>
      <w:r>
        <w:rPr>
          <w:snapToGrid w:val="0"/>
        </w:rPr>
        <w:lastRenderedPageBreak/>
        <w:t>cost of improved or additional conditions of employment;</w:t>
      </w:r>
    </w:p>
    <w:p>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spacing w:before="60"/>
        <w:rPr>
          <w:snapToGrid w:val="0"/>
        </w:rPr>
      </w:pPr>
      <w:r>
        <w:rPr>
          <w:snapToGrid w:val="0"/>
        </w:rPr>
        <w:tab/>
        <w:t>(v)</w:t>
      </w:r>
      <w:r>
        <w:rPr>
          <w:snapToGrid w:val="0"/>
        </w:rPr>
        <w:tab/>
        <w:t>any changes in productivity that have occurred or are likely to occur;</w:t>
      </w:r>
    </w:p>
    <w:p>
      <w:pPr>
        <w:pStyle w:val="Indenti"/>
        <w:spacing w:before="60"/>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spacing w:before="60"/>
        <w:rPr>
          <w:snapToGrid w:val="0"/>
        </w:rPr>
      </w:pPr>
      <w:r>
        <w:tab/>
        <w:t>(vii)</w:t>
      </w:r>
      <w:r>
        <w:tab/>
        <w:t>the need to encourage employers, employees and organisations to reach agreements appropriate to the needs of enterprises and the employees in those enterprises.</w:t>
      </w:r>
    </w:p>
    <w:p>
      <w:pPr>
        <w:pStyle w:val="Subsection"/>
      </w:pPr>
      <w:r>
        <w:tab/>
        <w:t>(2A)</w:t>
      </w:r>
      <w:r>
        <w:tab/>
        <w:t xml:space="preserve">In making a public sector decision the Commission must take into consideration the following — </w:t>
      </w:r>
    </w:p>
    <w:p>
      <w:pPr>
        <w:pStyle w:val="Indenta"/>
      </w:pPr>
      <w:r>
        <w:tab/>
        <w:t>(a)</w:t>
      </w:r>
      <w:r>
        <w:tab/>
        <w:t>any Public Sector Wages Policy Statement that is applicable in relation to negotiations with the public sector entity;</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Commission on behalf of the public sector entity or the State government;</w:t>
      </w:r>
    </w:p>
    <w:p>
      <w:pPr>
        <w:pStyle w:val="Indenta"/>
      </w:pPr>
      <w:r>
        <w:lastRenderedPageBreak/>
        <w:tab/>
        <w:t>(c)</w:t>
      </w:r>
      <w:r>
        <w:tab/>
        <w:t xml:space="preserve">the financial position of the public sector entity as set out in the following — </w:t>
      </w:r>
    </w:p>
    <w:p>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pPr>
        <w:pStyle w:val="Indenti"/>
      </w:pPr>
      <w:r>
        <w:tab/>
        <w:t>(ii)</w:t>
      </w:r>
      <w:r>
        <w:tab/>
        <w:t>any submissions made to the Commission on behalf of the public sector entity or the State government.</w:t>
      </w:r>
    </w:p>
    <w:p>
      <w:pPr>
        <w:pStyle w:val="Subsection"/>
        <w:keepNext/>
      </w:pPr>
      <w:r>
        <w:tab/>
        <w:t>(2B)</w:t>
      </w:r>
      <w:r>
        <w:tab/>
        <w:t xml:space="preserve">In subsection (2A)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Defsubpara"/>
      </w:pPr>
      <w:r>
        <w:tab/>
        <w:t>(i)</w:t>
      </w:r>
      <w:r>
        <w:tab/>
        <w:t xml:space="preserve">released under the </w:t>
      </w:r>
      <w:r>
        <w:rPr>
          <w:i/>
        </w:rPr>
        <w:t>Government Financial Responsibility Act 2000</w:t>
      </w:r>
      <w:r>
        <w:t xml:space="preserve"> section 12(1); and</w:t>
      </w:r>
    </w:p>
    <w:p>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Defsubpara"/>
      </w:pPr>
      <w:r>
        <w:tab/>
        <w:t>(i)</w:t>
      </w:r>
      <w:r>
        <w:tab/>
        <w:t xml:space="preserve">released under the </w:t>
      </w:r>
      <w:r>
        <w:rPr>
          <w:i/>
        </w:rPr>
        <w:t>Government Financial Responsibility Act 2000</w:t>
      </w:r>
      <w:r>
        <w:t xml:space="preserve"> section 13(1); and</w:t>
      </w:r>
    </w:p>
    <w:p>
      <w:pPr>
        <w:pStyle w:val="Defsubpara"/>
      </w:pPr>
      <w:r>
        <w:tab/>
        <w:t>(ii)</w:t>
      </w:r>
      <w:r>
        <w:tab/>
        <w:t>made publicly available under section 9 of that Act;</w:t>
      </w:r>
    </w:p>
    <w:p>
      <w:pPr>
        <w:pStyle w:val="Defstart"/>
      </w:pPr>
      <w:r>
        <w:tab/>
      </w:r>
      <w:r>
        <w:rPr>
          <w:rStyle w:val="CharDefText"/>
        </w:rPr>
        <w:t>public sector decision</w:t>
      </w:r>
      <w:r>
        <w:t xml:space="preserve"> means any of the following — </w:t>
      </w:r>
    </w:p>
    <w:p>
      <w:pPr>
        <w:pStyle w:val="Defpara"/>
      </w:pPr>
      <w:r>
        <w:tab/>
        <w:t>(a)</w:t>
      </w:r>
      <w:r>
        <w:tab/>
        <w:t xml:space="preserve">an order made under section 42G that will be included in an agreement that will extend to and bind a public sector </w:t>
      </w:r>
      <w:r>
        <w:lastRenderedPageBreak/>
        <w:t xml:space="preserve">entity or its employing authority (as defined in the </w:t>
      </w:r>
      <w:r>
        <w:rPr>
          <w:i/>
        </w:rPr>
        <w:t>Public Sector Management Act 1994</w:t>
      </w:r>
      <w:r>
        <w:t xml:space="preserve"> section 5);</w:t>
      </w:r>
    </w:p>
    <w:p>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pPr>
        <w:pStyle w:val="Defpara"/>
      </w:pPr>
      <w:r>
        <w:tab/>
        <w:t>(c)</w:t>
      </w:r>
      <w:r>
        <w:tab/>
        <w:t xml:space="preserve">if the matters set out in subsection (2A)(a), (b) and (c) are relevant to the decision, any other decision that will extend to and bind a public sector entity or its employing authority (as defined in the </w:t>
      </w:r>
      <w:r>
        <w:rPr>
          <w:i/>
        </w:rPr>
        <w:t>Public Sector Management Act 1994</w:t>
      </w:r>
      <w:r>
        <w:t xml:space="preserve"> section 5);</w:t>
      </w:r>
    </w:p>
    <w:p>
      <w:pPr>
        <w:pStyle w:val="Defstart"/>
        <w:keepNext/>
      </w:pPr>
      <w:r>
        <w:tab/>
      </w:r>
      <w:r>
        <w:rPr>
          <w:rStyle w:val="CharDefText"/>
        </w:rPr>
        <w:t>public sector entity</w:t>
      </w:r>
      <w:r>
        <w:t xml:space="preserve"> means either of the following — </w:t>
      </w:r>
    </w:p>
    <w:p>
      <w:pPr>
        <w:pStyle w:val="Defpara"/>
      </w:pPr>
      <w:r>
        <w:tab/>
        <w:t>(a)</w:t>
      </w:r>
      <w:r>
        <w:tab/>
        <w:t xml:space="preserve">a public sector body as defined in the </w:t>
      </w:r>
      <w:r>
        <w:rPr>
          <w:i/>
        </w:rPr>
        <w:t>Public Sector Management Act 1994</w:t>
      </w:r>
      <w:r>
        <w:t xml:space="preserve"> section 3(1);</w:t>
      </w:r>
    </w:p>
    <w:p>
      <w:pPr>
        <w:pStyle w:val="Defpara"/>
      </w:pPr>
      <w:r>
        <w:tab/>
        <w:t>(b)</w:t>
      </w:r>
      <w:r>
        <w:tab/>
        <w:t xml:space="preserve">an entity that is — </w:t>
      </w:r>
    </w:p>
    <w:p>
      <w:pPr>
        <w:pStyle w:val="Defsubpara"/>
      </w:pPr>
      <w:r>
        <w:tab/>
        <w:t>(i)</w:t>
      </w:r>
      <w:r>
        <w:tab/>
        <w:t xml:space="preserve">mentioned in the </w:t>
      </w:r>
      <w:r>
        <w:rPr>
          <w:i/>
        </w:rPr>
        <w:t xml:space="preserve">Public Sector Management Act 1994 </w:t>
      </w:r>
      <w:r>
        <w:t>Schedule 1; and</w:t>
      </w:r>
    </w:p>
    <w:p>
      <w:pPr>
        <w:pStyle w:val="Defsubpara"/>
      </w:pPr>
      <w:r>
        <w:tab/>
        <w:t>(ii)</w:t>
      </w:r>
      <w:r>
        <w:tab/>
        <w:t>prescribed by regulations made by the Governor;</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(2C)</w:t>
      </w:r>
      <w:r>
        <w:tab/>
        <w:t>The matters the Commission is required to take into consideration under subsection (2A) are in addition to any matter it is required to take into consideration under subsection (1)(d).</w:t>
      </w:r>
    </w:p>
    <w:p>
      <w:pPr>
        <w:pStyle w:val="Subsection"/>
      </w:pPr>
      <w:r>
        <w:tab/>
        <w:t>(2D)</w:t>
      </w:r>
      <w:r>
        <w:tab/>
        <w:t xml:space="preserve">Subsection (2A) — </w:t>
      </w:r>
    </w:p>
    <w:p>
      <w:pPr>
        <w:pStyle w:val="Indenta"/>
      </w:pPr>
      <w:r>
        <w:tab/>
        <w:t>(a)</w:t>
      </w:r>
      <w:r>
        <w:tab/>
        <w:t xml:space="preserve">does not apply in relation to — </w:t>
      </w:r>
    </w:p>
    <w:p>
      <w:pPr>
        <w:pStyle w:val="Indenti"/>
      </w:pPr>
      <w:r>
        <w:tab/>
        <w:t>(i)</w:t>
      </w:r>
      <w:r>
        <w:tab/>
        <w:t xml:space="preserve">an order made under section 42G in respect of an agreement proposed to be made in substitution for an industrial agreement that specifies a </w:t>
      </w:r>
      <w:r>
        <w:lastRenderedPageBreak/>
        <w:t>nominal expiry date that is earlier than 1 November 2013; or</w:t>
      </w:r>
    </w:p>
    <w:p>
      <w:pPr>
        <w:pStyle w:val="Indenti"/>
      </w:pPr>
      <w:r>
        <w:tab/>
        <w:t>(ii)</w:t>
      </w:r>
      <w:r>
        <w:tab/>
        <w:t>an enterprise order made in substitution for an enterprise order that provides for an expiry day that is earlier than 1 November 2013;</w:t>
      </w:r>
    </w:p>
    <w:p>
      <w:pPr>
        <w:pStyle w:val="Indenta"/>
      </w:pPr>
      <w:r>
        <w:tab/>
      </w:r>
      <w:r>
        <w:tab/>
        <w:t>but</w:t>
      </w:r>
    </w:p>
    <w:p>
      <w:pPr>
        <w:pStyle w:val="Indenta"/>
      </w:pPr>
      <w:r>
        <w:tab/>
        <w:t>(b)</w:t>
      </w:r>
      <w:r>
        <w:tab/>
        <w:t xml:space="preserve">except as provided in paragraph (a), applies in relation to any public sector decision in respect of a matter arising before, on or after the commencement of the </w:t>
      </w:r>
      <w:r>
        <w:rPr>
          <w:i/>
        </w:rPr>
        <w:t>Workforce Reform Act 2014</w:t>
      </w:r>
      <w:r>
        <w:t xml:space="preserve"> section 4.</w:t>
      </w:r>
    </w:p>
    <w:p>
      <w:pPr>
        <w:pStyle w:val="Subsection"/>
      </w:pPr>
      <w:r>
        <w:tab/>
        <w:t>(2E)</w:t>
      </w:r>
      <w:r>
        <w:tab/>
        <w:t>Subsections (1)(d) and (2A) do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[Section 26 amended: No. 121 of 1982 s. 9; No. 94 of 1984 s. 17; No. 79 of 1995 s. 9; No. 20 of 2002 s. 129; No. 36 of 2006 s. 10; No. 8 of 2014 s. 4.]</w:t>
      </w:r>
    </w:p>
    <w:p>
      <w:pPr>
        <w:pStyle w:val="Ednotesection"/>
        <w:ind w:left="890" w:hanging="890"/>
      </w:pPr>
      <w:r>
        <w:t>[</w:t>
      </w:r>
      <w:r>
        <w:rPr>
          <w:b/>
        </w:rPr>
        <w:t>26A.</w:t>
      </w:r>
      <w:r>
        <w:tab/>
        <w:t>Deleted: No. 20 of 2002 s. 111(6).]</w:t>
      </w:r>
    </w:p>
    <w:p>
      <w:pPr>
        <w:pStyle w:val="Heading5"/>
        <w:pageBreakBefore/>
        <w:spacing w:before="0"/>
        <w:rPr>
          <w:snapToGrid w:val="0"/>
        </w:rPr>
      </w:pPr>
      <w:bookmarkStart w:id="51" w:name="_Toc98769865"/>
      <w:r>
        <w:rPr>
          <w:rStyle w:val="CharSectno"/>
        </w:rPr>
        <w:lastRenderedPageBreak/>
        <w:t>27</w:t>
      </w:r>
      <w:r>
        <w:rPr>
          <w:snapToGrid w:val="0"/>
        </w:rPr>
        <w:t>.</w:t>
      </w:r>
      <w:r>
        <w:rPr>
          <w:snapToGrid w:val="0"/>
        </w:rPr>
        <w:tab/>
        <w:t>Powers of Commission</w:t>
      </w:r>
      <w:bookmarkEnd w:id="51"/>
    </w:p>
    <w:p>
      <w:pPr>
        <w:pStyle w:val="Subsection"/>
        <w:keepNext/>
        <w:rPr>
          <w:snapToGrid w:val="0"/>
        </w:rPr>
      </w:pPr>
      <w:r>
        <w:rPr>
          <w:snapToGrid w:val="0"/>
        </w:rPr>
        <w:tab/>
        <w:t>(1)</w:t>
      </w:r>
      <w:r>
        <w:rPr>
          <w:snapToGrid w:val="0"/>
        </w:rPr>
        <w:tab/>
        <w:t>Except as otherwise provided in this Act, the Commission may, in relation to any matter before it —</w:t>
      </w:r>
    </w:p>
    <w:p>
      <w:pPr>
        <w:pStyle w:val="Indenta"/>
        <w:spacing w:before="60"/>
        <w:rPr>
          <w:snapToGrid w:val="0"/>
        </w:rPr>
      </w:pPr>
      <w:r>
        <w:rPr>
          <w:snapToGrid w:val="0"/>
        </w:rPr>
        <w:tab/>
        <w:t>(a)</w:t>
      </w:r>
      <w:r>
        <w:rPr>
          <w:snapToGrid w:val="0"/>
        </w:rPr>
        <w:tab/>
        <w:t>at any stage of the proceedings dismiss the matter or any part thereof or refrain from further hearing or determining the matter or part if it is satisfied —</w:t>
      </w:r>
    </w:p>
    <w:p>
      <w:pPr>
        <w:pStyle w:val="Indenti"/>
        <w:spacing w:before="60"/>
        <w:rPr>
          <w:snapToGrid w:val="0"/>
        </w:rPr>
      </w:pPr>
      <w:r>
        <w:rPr>
          <w:snapToGrid w:val="0"/>
        </w:rPr>
        <w:tab/>
        <w:t>(i)</w:t>
      </w:r>
      <w:r>
        <w:rPr>
          <w:snapToGrid w:val="0"/>
        </w:rPr>
        <w:tab/>
        <w:t>that the matter or part thereof is trivial; or</w:t>
      </w:r>
    </w:p>
    <w:p>
      <w:pPr>
        <w:pStyle w:val="Indenti"/>
        <w:spacing w:before="60"/>
        <w:rPr>
          <w:snapToGrid w:val="0"/>
        </w:rPr>
      </w:pPr>
      <w:r>
        <w:rPr>
          <w:snapToGrid w:val="0"/>
        </w:rPr>
        <w:tab/>
        <w:t>(ii)</w:t>
      </w:r>
      <w:r>
        <w:rPr>
          <w:snapToGrid w:val="0"/>
        </w:rPr>
        <w:tab/>
        <w:t>that further proceedings are not necessary or desirable in the public interest; or</w:t>
      </w:r>
    </w:p>
    <w:p>
      <w:pPr>
        <w:pStyle w:val="Indenti"/>
        <w:spacing w:before="6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6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take evidence on oath or affirmation; and</w:t>
      </w:r>
    </w:p>
    <w:p>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 and</w:t>
      </w:r>
    </w:p>
    <w:p>
      <w:pPr>
        <w:pStyle w:val="Indenta"/>
        <w:spacing w:before="6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 and</w:t>
      </w:r>
    </w:p>
    <w:p>
      <w:pPr>
        <w:pStyle w:val="Indenta"/>
        <w:spacing w:before="60"/>
        <w:rPr>
          <w:snapToGrid w:val="0"/>
        </w:rPr>
      </w:pPr>
      <w:r>
        <w:rPr>
          <w:snapToGrid w:val="0"/>
        </w:rPr>
        <w:tab/>
        <w:t>(e)</w:t>
      </w:r>
      <w:r>
        <w:rPr>
          <w:snapToGrid w:val="0"/>
        </w:rPr>
        <w:tab/>
        <w:t>sit at any time and place; and</w:t>
      </w:r>
    </w:p>
    <w:p>
      <w:pPr>
        <w:pStyle w:val="Indenta"/>
        <w:spacing w:before="60"/>
        <w:rPr>
          <w:snapToGrid w:val="0"/>
        </w:rPr>
      </w:pPr>
      <w:r>
        <w:rPr>
          <w:snapToGrid w:val="0"/>
        </w:rPr>
        <w:tab/>
        <w:t>(f)</w:t>
      </w:r>
      <w:r>
        <w:rPr>
          <w:snapToGrid w:val="0"/>
        </w:rPr>
        <w:tab/>
        <w:t>adjourn to any time and place; and</w:t>
      </w:r>
    </w:p>
    <w:p>
      <w:pPr>
        <w:pStyle w:val="Ednotepara"/>
        <w:spacing w:before="60"/>
        <w:rPr>
          <w:snapToGrid w:val="0"/>
        </w:rPr>
      </w:pPr>
      <w:r>
        <w:rPr>
          <w:snapToGrid w:val="0"/>
        </w:rPr>
        <w:tab/>
        <w:t>[(g)</w:t>
      </w:r>
      <w:r>
        <w:rPr>
          <w:snapToGrid w:val="0"/>
        </w:rPr>
        <w:tab/>
        <w:t>deleted]</w:t>
      </w:r>
    </w:p>
    <w:p>
      <w:pPr>
        <w:pStyle w:val="Indenta"/>
        <w:spacing w:before="60"/>
        <w:rPr>
          <w:snapToGrid w:val="0"/>
        </w:rPr>
      </w:pPr>
      <w:r>
        <w:rPr>
          <w:snapToGrid w:val="0"/>
        </w:rPr>
        <w:tab/>
        <w:t>(h)</w:t>
      </w:r>
      <w:r>
        <w:rPr>
          <w:snapToGrid w:val="0"/>
        </w:rPr>
        <w:tab/>
        <w:t>direct any person, whether a witness or intending witness or not, to leave the place wherein the proceedings are being conducted; and</w:t>
      </w:r>
    </w:p>
    <w:p>
      <w:pPr>
        <w:pStyle w:val="Indenta"/>
      </w:pPr>
      <w:r>
        <w:tab/>
        <w:t>(ha)</w:t>
      </w:r>
      <w:r>
        <w:tab/>
        <w:t xml:space="preserve">determine the periods that are reasonably necessary for the fair and adequate presentation of the respective cases </w:t>
      </w:r>
      <w:r>
        <w:lastRenderedPageBreak/>
        <w:t>of the parties to the proceedings and require that the cases be presented within the respective periods; and</w:t>
      </w:r>
    </w:p>
    <w:p>
      <w:pPr>
        <w:pStyle w:val="Indenta"/>
      </w:pPr>
      <w:r>
        <w:tab/>
        <w:t>(hb)</w:t>
      </w:r>
      <w:r>
        <w:tab/>
        <w:t>require evidence or argument to be presented in writing, and decide the matters on which it will hear oral evidence or argument; and</w:t>
      </w:r>
    </w:p>
    <w:p>
      <w:pPr>
        <w:pStyle w:val="Indenta"/>
        <w:rPr>
          <w:snapToGrid w:val="0"/>
        </w:rPr>
      </w:pPr>
      <w:r>
        <w:rPr>
          <w:snapToGrid w:val="0"/>
        </w:rPr>
        <w:tab/>
        <w:t>(i)</w:t>
      </w:r>
      <w:r>
        <w:rPr>
          <w:snapToGrid w:val="0"/>
        </w:rPr>
        <w:tab/>
        <w:t>refer any matter to an expert and accept his report as evidence; and</w:t>
      </w:r>
    </w:p>
    <w:p>
      <w:pPr>
        <w:pStyle w:val="Indenta"/>
        <w:rPr>
          <w:snapToGrid w:val="0"/>
        </w:rPr>
      </w:pPr>
      <w:r>
        <w:rPr>
          <w:snapToGrid w:val="0"/>
        </w:rPr>
        <w:tab/>
        <w:t>(j)</w:t>
      </w:r>
      <w:r>
        <w:rPr>
          <w:snapToGrid w:val="0"/>
        </w:rPr>
        <w:tab/>
        <w:t>direct parties to be struck out or persons to be joined; and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 and</w:t>
      </w:r>
    </w:p>
    <w:p>
      <w:pPr>
        <w:pStyle w:val="Indenta"/>
        <w:rPr>
          <w:snapToGrid w:val="0"/>
        </w:rPr>
      </w:pPr>
      <w:r>
        <w:rPr>
          <w:snapToGrid w:val="0"/>
        </w:rPr>
        <w:tab/>
        <w:t>(l)</w:t>
      </w:r>
      <w:r>
        <w:rPr>
          <w:snapToGrid w:val="0"/>
        </w:rPr>
        <w:tab/>
        <w:t>allow the amendment of any proceedings on such terms as it thinks fit; and</w:t>
      </w:r>
    </w:p>
    <w:p>
      <w:pPr>
        <w:pStyle w:val="Indenta"/>
        <w:rPr>
          <w:snapToGrid w:val="0"/>
        </w:rPr>
      </w:pPr>
      <w:r>
        <w:rPr>
          <w:snapToGrid w:val="0"/>
        </w:rPr>
        <w:tab/>
        <w:t>(m)</w:t>
      </w:r>
      <w:r>
        <w:rPr>
          <w:snapToGrid w:val="0"/>
        </w:rPr>
        <w:tab/>
        <w:t>correct, amend, or waive any error, defect, or irregularity whether in substance or in form; and</w:t>
      </w:r>
    </w:p>
    <w:p>
      <w:pPr>
        <w:pStyle w:val="Indenta"/>
        <w:rPr>
          <w:snapToGrid w:val="0"/>
        </w:rPr>
      </w:pPr>
      <w:r>
        <w:rPr>
          <w:snapToGrid w:val="0"/>
        </w:rPr>
        <w:tab/>
        <w:t>(n)</w:t>
      </w:r>
      <w:r>
        <w:rPr>
          <w:snapToGrid w:val="0"/>
        </w:rPr>
        <w:tab/>
        <w:t>extend any prescribed time or any time fixed by an order of the Commission; and</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 and</w:t>
      </w:r>
    </w:p>
    <w:p>
      <w:pPr>
        <w:pStyle w:val="Indenta"/>
        <w:rPr>
          <w:snapToGrid w:val="0"/>
        </w:rPr>
      </w:pPr>
      <w:r>
        <w:rPr>
          <w:snapToGrid w:val="0"/>
        </w:rPr>
        <w:lastRenderedPageBreak/>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 and</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pPr>
        <w:pStyle w:val="Indenta"/>
        <w:rPr>
          <w:snapToGrid w:val="0"/>
        </w:rPr>
      </w:pPr>
      <w:r>
        <w:rPr>
          <w:snapToGrid w:val="0"/>
        </w:rPr>
        <w:tab/>
        <w:t>(s)</w:t>
      </w:r>
      <w:r>
        <w:rPr>
          <w:snapToGrid w:val="0"/>
        </w:rPr>
        <w:tab/>
        <w:t>consolidate or divide proceedings relating to the same industry and all or any matters before the Commission; and</w:t>
      </w:r>
    </w:p>
    <w:p>
      <w:pPr>
        <w:pStyle w:val="Indenta"/>
        <w:rPr>
          <w:snapToGrid w:val="0"/>
        </w:rPr>
      </w:pPr>
      <w:r>
        <w:rPr>
          <w:snapToGrid w:val="0"/>
        </w:rPr>
        <w:tab/>
        <w:t>(t)</w:t>
      </w:r>
      <w:r>
        <w:rPr>
          <w:snapToGrid w:val="0"/>
        </w:rPr>
        <w:tab/>
        <w:t xml:space="preserve">with the consent of the Chief Commissioner refer the matter or any part </w:t>
      </w:r>
      <w:r>
        <w:t xml:space="preserve">of the matter, including any question of interpretation of the rules of an organisation arising in the matter, </w:t>
      </w:r>
      <w:r>
        <w:rPr>
          <w:snapToGrid w:val="0"/>
        </w:rPr>
        <w:t>to the Commission in Court Session for hearing and determination by the Commission in Court Session; and</w:t>
      </w:r>
    </w:p>
    <w:p>
      <w:pPr>
        <w:pStyle w:val="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spacing w:before="100"/>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spacing w:before="100"/>
        <w:rPr>
          <w:snapToGrid w:val="0"/>
        </w:rPr>
      </w:pPr>
      <w:r>
        <w:rPr>
          <w:snapToGrid w:val="0"/>
        </w:rPr>
        <w:tab/>
        <w:t>(2)</w:t>
      </w:r>
      <w:r>
        <w:rPr>
          <w:snapToGrid w:val="0"/>
        </w:rPr>
        <w:tab/>
        <w:t xml:space="preserve">The powers contained in subsection (1)(p), (q) and (r) may, if the Commission so directs in any case, be exercised by an </w:t>
      </w:r>
      <w:r>
        <w:rPr>
          <w:snapToGrid w:val="0"/>
        </w:rPr>
        <w:lastRenderedPageBreak/>
        <w:t>officer of the Commission or by an expert to whom any matter has been referred by the Commission.</w:t>
      </w:r>
    </w:p>
    <w:p>
      <w:pPr>
        <w:pStyle w:val="Footnotesection"/>
        <w:ind w:left="890" w:hanging="890"/>
      </w:pPr>
      <w:r>
        <w:tab/>
        <w:t>[Section 27 amended: No. 121 of 1982 s. 10; No. 94 of 1984 s. 18 and 66; No. 20 of 2002 s. 122; No. 39 of 2018 s. 22.]</w:t>
      </w:r>
    </w:p>
    <w:p>
      <w:pPr>
        <w:pStyle w:val="Heading5"/>
        <w:rPr>
          <w:snapToGrid w:val="0"/>
        </w:rPr>
      </w:pPr>
      <w:bookmarkStart w:id="52" w:name="_Toc98769866"/>
      <w:r>
        <w:rPr>
          <w:rStyle w:val="CharSectno"/>
        </w:rPr>
        <w:t>28</w:t>
      </w:r>
      <w:r>
        <w:rPr>
          <w:snapToGrid w:val="0"/>
        </w:rPr>
        <w:t>.</w:t>
      </w:r>
      <w:r>
        <w:rPr>
          <w:snapToGrid w:val="0"/>
        </w:rPr>
        <w:tab/>
        <w:t>Powers in s. 27 may be exercised at any time after matter lodged</w:t>
      </w:r>
      <w:bookmarkEnd w:id="52"/>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3" w:name="_Toc98769867"/>
      <w:r>
        <w:rPr>
          <w:rStyle w:val="CharSectno"/>
        </w:rPr>
        <w:t>29</w:t>
      </w:r>
      <w:r>
        <w:rPr>
          <w:snapToGrid w:val="0"/>
        </w:rPr>
        <w:t>.</w:t>
      </w:r>
      <w:r>
        <w:rPr>
          <w:snapToGrid w:val="0"/>
        </w:rPr>
        <w:tab/>
        <w:t>Who may refer industrial matters to Commission</w:t>
      </w:r>
      <w:bookmarkEnd w:id="53"/>
    </w:p>
    <w:p>
      <w:pPr>
        <w:pStyle w:val="Subsection"/>
        <w:rPr>
          <w:snapToGrid w:val="0"/>
        </w:rPr>
      </w:pPr>
      <w:r>
        <w:rPr>
          <w:snapToGrid w:val="0"/>
        </w:rPr>
        <w:tab/>
        <w:t>(1)</w:t>
      </w:r>
      <w:r>
        <w:rPr>
          <w:snapToGrid w:val="0"/>
        </w:rPr>
        <w:tab/>
        <w:t>An industrial matter may be referred to the Commission —</w:t>
      </w:r>
    </w:p>
    <w:p>
      <w:pPr>
        <w:pStyle w:val="Indenta"/>
        <w:rPr>
          <w:snapToGrid w:val="0"/>
        </w:rPr>
      </w:pPr>
      <w:r>
        <w:rPr>
          <w:snapToGrid w:val="0"/>
        </w:rPr>
        <w:tab/>
        <w:t>(a)</w:t>
      </w:r>
      <w:r>
        <w:rPr>
          <w:snapToGrid w:val="0"/>
        </w:rPr>
        <w:tab/>
        <w:t>in any case, by —</w:t>
      </w:r>
    </w:p>
    <w:p>
      <w:pPr>
        <w:pStyle w:val="Indenti"/>
        <w:spacing w:before="100"/>
        <w:rPr>
          <w:snapToGrid w:val="0"/>
        </w:rPr>
      </w:pPr>
      <w:r>
        <w:rPr>
          <w:snapToGrid w:val="0"/>
        </w:rPr>
        <w:tab/>
        <w:t>(i)</w:t>
      </w:r>
      <w:r>
        <w:rPr>
          <w:snapToGrid w:val="0"/>
        </w:rPr>
        <w:tab/>
        <w:t>an employer with a sufficient interest in the industrial matter; or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keepNext/>
      </w:pPr>
      <w:r>
        <w:lastRenderedPageBreak/>
        <w:tab/>
        <w:t>(1a)</w:t>
      </w:r>
      <w:r>
        <w:tab/>
        <w:t xml:space="preserve">A party to an </w:t>
      </w:r>
      <w:r>
        <w:rPr>
          <w:snapToGrid w:val="0"/>
        </w:rPr>
        <w:t>employer</w:t>
      </w:r>
      <w:r>
        <w:noBreakHyphen/>
        <w:t>employee agreement has the right to refer to the Commission constituted by a commissioner where the Commission so constituted is the relevant industrial authority under Part VID —</w:t>
      </w:r>
    </w:p>
    <w:p>
      <w:pPr>
        <w:pStyle w:val="Indenta"/>
        <w:spacing w:before="60"/>
      </w:pPr>
      <w:r>
        <w:tab/>
        <w:t>(a)</w:t>
      </w:r>
      <w:r>
        <w:tab/>
        <w:t>any question, dispute or difficulty that the Commission as so constituted has jurisdiction to determine under section 97WI; or</w:t>
      </w:r>
    </w:p>
    <w:p>
      <w:pPr>
        <w:pStyle w:val="Indenta"/>
        <w:spacing w:before="60"/>
      </w:pPr>
      <w:r>
        <w:tab/>
        <w:t>(b)</w:t>
      </w:r>
      <w:r>
        <w:tab/>
        <w:t>an allegation referred to in section 97WK(2).</w:t>
      </w:r>
    </w:p>
    <w:p>
      <w:pPr>
        <w:pStyle w:val="Subsection"/>
        <w:spacing w:before="120"/>
      </w:pPr>
      <w:r>
        <w:tab/>
        <w:t>(2)</w:t>
      </w:r>
      <w:r>
        <w:tab/>
        <w:t>Subject to subsection (3), a referral under subsection (1)(b)(i) is to be made not later than 28 days after the day on which the employee’s employment is terminated.</w:t>
      </w:r>
    </w:p>
    <w:p>
      <w:pPr>
        <w:pStyle w:val="Subsection"/>
        <w:spacing w:before="120"/>
      </w:pPr>
      <w:r>
        <w:tab/>
        <w:t>(3)</w:t>
      </w:r>
      <w:r>
        <w:tab/>
        <w:t>The Commission may accept a referral by an employee under subsection (1)(b)(i) that is out of time if the Commission considers that it would be unfair not to do so.</w:t>
      </w:r>
    </w:p>
    <w:p>
      <w:pPr>
        <w:pStyle w:val="Footnotesection"/>
        <w:spacing w:before="100"/>
        <w:ind w:left="890" w:hanging="890"/>
      </w:pPr>
      <w:r>
        <w:tab/>
        <w:t>[Section 29 inserted: No. 94 of 1984 s. 19; amended: No. 15 of 1993 s. 10; No. 1 of 1995 s. 7 and 43; No. 3 of 1997 s. 24; No. 36 of 1999 s. 247; No. 20 of 2002 s. 7 and 139.]</w:t>
      </w:r>
    </w:p>
    <w:p>
      <w:pPr>
        <w:pStyle w:val="Heading5"/>
      </w:pPr>
      <w:bookmarkStart w:id="54" w:name="_Toc98769868"/>
      <w:r>
        <w:rPr>
          <w:rStyle w:val="CharSectno"/>
        </w:rPr>
        <w:t>29AA</w:t>
      </w:r>
      <w:r>
        <w:t>.</w:t>
      </w:r>
      <w:r>
        <w:tab/>
        <w:t>Certain claims not to be determined</w:t>
      </w:r>
      <w:bookmarkEnd w:id="54"/>
    </w:p>
    <w:p>
      <w:pPr>
        <w:pStyle w:val="Subsection"/>
        <w:spacing w:before="120"/>
      </w:pPr>
      <w:r>
        <w:tab/>
        <w:t>(1)</w:t>
      </w:r>
      <w:r>
        <w:tab/>
        <w:t>Subject to subsection (2), the Commission must not determine a claim of harsh, oppressive or unfair dismissal from employment if the dismissed employee has lodged an application with the Fair Work Commission for relief in respect of the termination of that employment.</w:t>
      </w:r>
    </w:p>
    <w:p>
      <w:pPr>
        <w:pStyle w:val="Subsection"/>
        <w:spacing w:before="120"/>
      </w:pPr>
      <w:r>
        <w:tab/>
        <w:t>(2)</w:t>
      </w:r>
      <w:r>
        <w:tab/>
        <w:t>Despite subsection (1) the Commission may determine the claim if the application to the Fair Work Commission is —</w:t>
      </w:r>
    </w:p>
    <w:p>
      <w:pPr>
        <w:pStyle w:val="Indenta"/>
        <w:spacing w:before="60"/>
      </w:pPr>
      <w:r>
        <w:tab/>
        <w:t>(a)</w:t>
      </w:r>
      <w:r>
        <w:tab/>
        <w:t>withdrawn; or</w:t>
      </w:r>
    </w:p>
    <w:p>
      <w:pPr>
        <w:pStyle w:val="Indenta"/>
        <w:spacing w:before="60"/>
      </w:pPr>
      <w:r>
        <w:tab/>
        <w:t>(b)</w:t>
      </w:r>
      <w:r>
        <w:tab/>
        <w:t>rejected or dismissed on the ground that it is not within the jurisdiction of the Fair Work Commission to determine the application.</w:t>
      </w:r>
    </w:p>
    <w:p>
      <w:pPr>
        <w:pStyle w:val="Subsection"/>
        <w:spacing w:before="140"/>
      </w:pPr>
      <w:r>
        <w:tab/>
        <w:t>(3)</w:t>
      </w:r>
      <w:r>
        <w:tab/>
        <w:t>The Commission must not determine a claim of harsh, oppressive or unfair dismissal from employment if —</w:t>
      </w:r>
    </w:p>
    <w:p>
      <w:pPr>
        <w:pStyle w:val="Indenta"/>
        <w:spacing w:before="60"/>
      </w:pPr>
      <w:r>
        <w:tab/>
        <w:t>(a)</w:t>
      </w:r>
      <w:r>
        <w:tab/>
        <w:t>an industrial instrument does not apply to the employment of the employee; and</w:t>
      </w:r>
    </w:p>
    <w:p>
      <w:pPr>
        <w:pStyle w:val="Indenta"/>
      </w:pPr>
      <w:r>
        <w:lastRenderedPageBreak/>
        <w:tab/>
        <w:t>(b)</w:t>
      </w:r>
      <w:r>
        <w:tab/>
        <w:t>the employee’s contract of employment provides for a salary exceeding the prescribed amount.</w:t>
      </w:r>
    </w:p>
    <w:p>
      <w:pPr>
        <w:pStyle w:val="Subsection"/>
      </w:pPr>
      <w:r>
        <w:tab/>
        <w:t>(4)</w:t>
      </w:r>
      <w:r>
        <w:tab/>
        <w:t>The Commission must not determine a claim that an employee has not been allowed by his or her employer a benefit to which the employee is entitled under a contract of employment if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In this section —</w:t>
      </w:r>
    </w:p>
    <w:p>
      <w:pPr>
        <w:pStyle w:val="Defstart"/>
      </w:pPr>
      <w:r>
        <w:tab/>
      </w:r>
      <w:r>
        <w:rPr>
          <w:rStyle w:val="CharDefText"/>
        </w:rPr>
        <w:t>industrial instrument</w:t>
      </w:r>
      <w:r>
        <w:t xml:space="preserve"> means —</w:t>
      </w:r>
    </w:p>
    <w:p>
      <w:pPr>
        <w:pStyle w:val="Defpara"/>
      </w:pPr>
      <w:r>
        <w:tab/>
        <w:t>(a)</w:t>
      </w:r>
      <w:r>
        <w:tab/>
        <w:t>an award; or</w:t>
      </w:r>
    </w:p>
    <w:p>
      <w:pPr>
        <w:pStyle w:val="Defpara"/>
      </w:pPr>
      <w:r>
        <w:tab/>
        <w:t>(b)</w:t>
      </w:r>
      <w:r>
        <w:tab/>
        <w:t>an order of the Commission under this Act that is not an order prescribed by regulations made by the Governor for the purposes of this section; or</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No. 20 of 2002 s. 140(1); amended: No. 53 of 2011 s. 39; No. 39 of 2018 s. 23; amended: Gazette 15 Aug 2003 p. 3686.]</w:t>
      </w:r>
    </w:p>
    <w:p>
      <w:pPr>
        <w:pStyle w:val="Heading5"/>
        <w:keepLines w:val="0"/>
        <w:rPr>
          <w:snapToGrid w:val="0"/>
        </w:rPr>
      </w:pPr>
      <w:bookmarkStart w:id="55" w:name="_Toc98769869"/>
      <w:r>
        <w:rPr>
          <w:rStyle w:val="CharSectno"/>
        </w:rPr>
        <w:t>29A</w:t>
      </w:r>
      <w:r>
        <w:rPr>
          <w:snapToGrid w:val="0"/>
        </w:rPr>
        <w:t>.</w:t>
      </w:r>
      <w:r>
        <w:rPr>
          <w:snapToGrid w:val="0"/>
        </w:rPr>
        <w:tab/>
        <w:t>Proposed award etc., service of etc.</w:t>
      </w:r>
      <w:bookmarkEnd w:id="55"/>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lastRenderedPageBreak/>
        <w:tab/>
        <w:t>(1a)</w:t>
      </w:r>
      <w:r>
        <w:tab/>
        <w:t>In this section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Subject to subsection (2A) —</w:t>
      </w:r>
    </w:p>
    <w:p>
      <w:pPr>
        <w:pStyle w:val="Indenta"/>
        <w:spacing w:before="70"/>
      </w:pPr>
      <w:r>
        <w:tab/>
        <w:t>(a)</w:t>
      </w:r>
      <w:r>
        <w:tab/>
        <w:t>area and scope provisions of a proposed award or industrial agreement; and</w:t>
      </w:r>
    </w:p>
    <w:p>
      <w:pPr>
        <w:pStyle w:val="Indenta"/>
        <w:keepNext/>
        <w:spacing w:before="70"/>
      </w:pPr>
      <w:r>
        <w:tab/>
        <w:t>(b)</w:t>
      </w:r>
      <w:r>
        <w:tab/>
        <w:t>proposed variations to the area and scope provisions of an existing award or industrial agreement,</w:t>
      </w:r>
    </w:p>
    <w:p>
      <w:pPr>
        <w:pStyle w:val="Subsection"/>
        <w:spacing w:before="120"/>
        <w:rPr>
          <w:snapToGrid w:val="0"/>
        </w:rPr>
      </w:pPr>
      <w:r>
        <w:tab/>
      </w:r>
      <w:r>
        <w:tab/>
        <w:t>shall be published in the required manner.</w:t>
      </w:r>
    </w:p>
    <w:p>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p>
    <w:p>
      <w:pPr>
        <w:pStyle w:val="Indenta"/>
        <w:spacing w:before="70"/>
        <w:rPr>
          <w:snapToGrid w:val="0"/>
        </w:rPr>
      </w:pPr>
      <w:r>
        <w:rPr>
          <w:snapToGrid w:val="0"/>
        </w:rPr>
        <w:tab/>
        <w:t>(a)</w:t>
      </w:r>
      <w:r>
        <w:rPr>
          <w:snapToGrid w:val="0"/>
        </w:rPr>
        <w:tab/>
        <w:t>in the case of a proposed award or variation of an award, on —</w:t>
      </w:r>
    </w:p>
    <w:p>
      <w:pPr>
        <w:pStyle w:val="Indenti"/>
        <w:spacing w:before="70"/>
        <w:rPr>
          <w:snapToGrid w:val="0"/>
        </w:rPr>
      </w:pPr>
      <w:r>
        <w:rPr>
          <w:snapToGrid w:val="0"/>
        </w:rPr>
        <w:tab/>
        <w:t>(i)</w:t>
      </w:r>
      <w:r>
        <w:rPr>
          <w:snapToGrid w:val="0"/>
        </w:rPr>
        <w:tab/>
      </w:r>
      <w:r>
        <w:t>UnionsWA</w:t>
      </w:r>
      <w:r>
        <w:rPr>
          <w:snapToGrid w:val="0"/>
        </w:rPr>
        <w:t>, the Chamber, the Mines and Metals Association and the Minister; and</w:t>
      </w:r>
    </w:p>
    <w:p>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lastRenderedPageBreak/>
        <w:tab/>
        <w:t>(2A)</w:t>
      </w:r>
      <w:r>
        <w:tab/>
        <w:t>The Chief Commissioner may, if of the opinion that it is appropriate to do so in the circumstances, direct that the area and scope provisions of the proposed award or industrial agreement —</w:t>
      </w:r>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[Section 29A inserted: No. 94 of 1984 s. 19; amended: No. 119 of 1987 s. 8; No. 15 of 1993 s. 31; No. 20 of 2002 s. 115; No. 53 of 2011 s. 41 and 48.]</w:t>
      </w:r>
    </w:p>
    <w:p>
      <w:pPr>
        <w:pStyle w:val="Heading5"/>
        <w:pageBreakBefore/>
        <w:spacing w:before="0"/>
        <w:rPr>
          <w:snapToGrid w:val="0"/>
        </w:rPr>
      </w:pPr>
      <w:bookmarkStart w:id="56" w:name="_Toc98769870"/>
      <w:r>
        <w:rPr>
          <w:rStyle w:val="CharSectno"/>
        </w:rPr>
        <w:lastRenderedPageBreak/>
        <w:t>29B</w:t>
      </w:r>
      <w:r>
        <w:rPr>
          <w:snapToGrid w:val="0"/>
        </w:rPr>
        <w:t>.</w:t>
      </w:r>
      <w:r>
        <w:rPr>
          <w:snapToGrid w:val="0"/>
        </w:rPr>
        <w:tab/>
        <w:t>Parties to proceedings</w:t>
      </w:r>
      <w:bookmarkEnd w:id="56"/>
    </w:p>
    <w:p>
      <w:pPr>
        <w:pStyle w:val="Subsection"/>
        <w:rPr>
          <w:snapToGrid w:val="0"/>
        </w:rPr>
      </w:pPr>
      <w:r>
        <w:rPr>
          <w:snapToGrid w:val="0"/>
        </w:rPr>
        <w:tab/>
      </w:r>
      <w:r>
        <w:rPr>
          <w:snapToGrid w:val="0"/>
        </w:rPr>
        <w:tab/>
        <w:t>Subject to section 27(1)(j) the parties to proceedings before the Commission shall be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[Section 29B inserted: No. 94 of 1984 s. 19.]</w:t>
      </w:r>
    </w:p>
    <w:p>
      <w:pPr>
        <w:pStyle w:val="Heading5"/>
        <w:rPr>
          <w:snapToGrid w:val="0"/>
        </w:rPr>
      </w:pPr>
      <w:bookmarkStart w:id="57" w:name="_Toc98769871"/>
      <w:r>
        <w:rPr>
          <w:rStyle w:val="CharSectno"/>
        </w:rPr>
        <w:t>30</w:t>
      </w:r>
      <w:r>
        <w:rPr>
          <w:snapToGrid w:val="0"/>
        </w:rPr>
        <w:t>.</w:t>
      </w:r>
      <w:r>
        <w:rPr>
          <w:snapToGrid w:val="0"/>
        </w:rPr>
        <w:tab/>
        <w:t>Minister may intervene on behalf of State</w:t>
      </w:r>
      <w:bookmarkEnd w:id="57"/>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[Section 30 inserted: No. 94 of 1984 s. 19; amended: No. 36 of 2006 s. 11.]</w:t>
      </w:r>
    </w:p>
    <w:p>
      <w:pPr>
        <w:pStyle w:val="Heading5"/>
        <w:spacing w:before="180"/>
        <w:rPr>
          <w:snapToGrid w:val="0"/>
        </w:rPr>
      </w:pPr>
      <w:bookmarkStart w:id="58" w:name="_Toc98769872"/>
      <w:r>
        <w:rPr>
          <w:rStyle w:val="CharSectno"/>
        </w:rPr>
        <w:t>31</w:t>
      </w:r>
      <w:r>
        <w:rPr>
          <w:snapToGrid w:val="0"/>
        </w:rPr>
        <w:t>.</w:t>
      </w:r>
      <w:r>
        <w:rPr>
          <w:snapToGrid w:val="0"/>
        </w:rPr>
        <w:tab/>
        <w:t>Representation of parties to proceedings</w:t>
      </w:r>
      <w:bookmarkEnd w:id="58"/>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w:t>
      </w:r>
      <w:r>
        <w:rPr>
          <w:snapToGrid w:val="0"/>
        </w:rPr>
        <w:lastRenderedPageBreak/>
        <w:t xml:space="preserve">the administration of the </w:t>
      </w:r>
      <w:r>
        <w:rPr>
          <w:i/>
        </w:rPr>
        <w:t>Fair Work Act 2009</w:t>
      </w:r>
      <w:r>
        <w:t xml:space="preserve"> (Commonwealth);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keepNext/>
        <w:keepLines/>
        <w:rPr>
          <w:snapToGrid w:val="0"/>
        </w:rPr>
      </w:pPr>
      <w:r>
        <w:rPr>
          <w:snapToGrid w:val="0"/>
        </w:rPr>
        <w:tab/>
        <w:t>(iv)</w:t>
      </w:r>
      <w:r>
        <w:rPr>
          <w:snapToGrid w:val="0"/>
        </w:rPr>
        <w:tab/>
        <w:t>the Commission, under subsection (4), allows legal practitioners to appear and be heard in the proceedings,</w:t>
      </w:r>
    </w:p>
    <w:p>
      <w:pPr>
        <w:pStyle w:val="Indenta"/>
        <w:keepNext/>
        <w:keepLines/>
        <w:rPr>
          <w:snapToGrid w:val="0"/>
        </w:rPr>
      </w:pPr>
      <w:r>
        <w:rPr>
          <w:snapToGrid w:val="0"/>
        </w:rPr>
        <w:tab/>
      </w:r>
      <w:r>
        <w:rPr>
          <w:snapToGrid w:val="0"/>
        </w:rPr>
        <w:tab/>
        <w:t>by a legal practitioner.</w:t>
      </w:r>
    </w:p>
    <w:p>
      <w:pPr>
        <w:pStyle w:val="Subsection"/>
        <w:rPr>
          <w:color w:val="000000"/>
          <w:szCs w:val="24"/>
        </w:rPr>
      </w:pPr>
      <w:r>
        <w:rPr>
          <w:color w:val="000000"/>
          <w:szCs w:val="24"/>
        </w:rPr>
        <w:tab/>
        <w:t>(2)</w:t>
      </w:r>
      <w:r>
        <w:rPr>
          <w:color w:val="000000"/>
          <w:szCs w:val="24"/>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[Section 31 amended: No. 121 of 1982 s. 12; No. 94 of 1984 s. 20 and 66; No. 15 of 1993 s. 31; No. 1 of 1995 s. 8; No. 36 of 1999 s. 247; No. 21 of 2008 s. 668(4); No. 53 of 2011 s. 33 and 48.]</w:t>
      </w:r>
    </w:p>
    <w:p>
      <w:pPr>
        <w:pStyle w:val="Heading5"/>
        <w:rPr>
          <w:snapToGrid w:val="0"/>
        </w:rPr>
      </w:pPr>
      <w:bookmarkStart w:id="59" w:name="_Toc98769873"/>
      <w:r>
        <w:rPr>
          <w:rStyle w:val="CharSectno"/>
        </w:rPr>
        <w:t>32</w:t>
      </w:r>
      <w:r>
        <w:rPr>
          <w:snapToGrid w:val="0"/>
        </w:rPr>
        <w:t>.</w:t>
      </w:r>
      <w:r>
        <w:rPr>
          <w:snapToGrid w:val="0"/>
        </w:rPr>
        <w:tab/>
        <w:t>Conciliation and arbitration of industrial matters</w:t>
      </w:r>
      <w:bookmarkEnd w:id="59"/>
    </w:p>
    <w:p>
      <w:pPr>
        <w:pStyle w:val="Subsection"/>
        <w:rPr>
          <w:snapToGrid w:val="0"/>
        </w:rPr>
      </w:pPr>
      <w:r>
        <w:rPr>
          <w:snapToGrid w:val="0"/>
        </w:rPr>
        <w:tab/>
        <w:t>(1)</w:t>
      </w:r>
      <w:r>
        <w:rPr>
          <w:snapToGrid w:val="0"/>
        </w:rPr>
        <w:tab/>
        <w:t xml:space="preserve">Where an industrial matter has been referred to the Commission the Commission shall, unless it is satisfied that the resolution of </w:t>
      </w:r>
      <w:r>
        <w:rPr>
          <w:snapToGrid w:val="0"/>
        </w:rPr>
        <w:lastRenderedPageBreak/>
        <w:t>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keepNext/>
        <w:rPr>
          <w:snapToGrid w:val="0"/>
        </w:rPr>
      </w:pPr>
      <w:r>
        <w:rPr>
          <w:snapToGrid w:val="0"/>
        </w:rPr>
        <w:tab/>
        <w:t>(3)</w:t>
      </w:r>
      <w:r>
        <w:rPr>
          <w:snapToGrid w:val="0"/>
        </w:rPr>
        <w:tab/>
        <w:t>Without limiting the generality of subsection (2) the Commission may, for the purposes of that subsection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w:t>
      </w:r>
    </w:p>
    <w:p>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 and</w:t>
      </w:r>
    </w:p>
    <w:p>
      <w:pPr>
        <w:pStyle w:val="Indenta"/>
        <w:spacing w:before="70"/>
        <w:rPr>
          <w:snapToGrid w:val="0"/>
        </w:rPr>
      </w:pPr>
      <w:r>
        <w:rPr>
          <w:snapToGrid w:val="0"/>
        </w:rPr>
        <w:tab/>
        <w:t>(b)</w:t>
      </w:r>
      <w:r>
        <w:rPr>
          <w:snapToGrid w:val="0"/>
        </w:rPr>
        <w:tab/>
        <w:t>preface each direction, order or declaration given or made by it under subsection (8) —</w:t>
      </w:r>
    </w:p>
    <w:p>
      <w:pPr>
        <w:pStyle w:val="Indenti"/>
        <w:spacing w:before="70"/>
        <w:rPr>
          <w:snapToGrid w:val="0"/>
        </w:rPr>
      </w:pPr>
      <w:r>
        <w:rPr>
          <w:snapToGrid w:val="0"/>
        </w:rPr>
        <w:tab/>
        <w:t>(i)</w:t>
      </w:r>
      <w:r>
        <w:rPr>
          <w:snapToGrid w:val="0"/>
        </w:rPr>
        <w:tab/>
        <w:t>if so given or made in writing, at the time of that giving or making; or</w:t>
      </w:r>
    </w:p>
    <w:p>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spacing w:before="70"/>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deleted]</w:t>
      </w:r>
    </w:p>
    <w:p>
      <w:pPr>
        <w:pStyle w:val="Subsection"/>
        <w:rPr>
          <w:snapToGrid w:val="0"/>
        </w:rPr>
      </w:pPr>
      <w:r>
        <w:rPr>
          <w:snapToGrid w:val="0"/>
        </w:rPr>
        <w:lastRenderedPageBreak/>
        <w:tab/>
        <w:t>(6)</w:t>
      </w:r>
      <w:r>
        <w:rPr>
          <w:snapToGrid w:val="0"/>
        </w:rPr>
        <w:tab/>
        <w:t>Where the Commission does not endeavour to resolve a matter by conciliation or, having endeavoured to do so —</w:t>
      </w:r>
    </w:p>
    <w:p>
      <w:pPr>
        <w:pStyle w:val="Indenta"/>
        <w:spacing w:before="60"/>
        <w:rPr>
          <w:snapToGrid w:val="0"/>
        </w:rPr>
      </w:pPr>
      <w:r>
        <w:rPr>
          <w:snapToGrid w:val="0"/>
        </w:rPr>
        <w:tab/>
        <w:t>(a)</w:t>
      </w:r>
      <w:r>
        <w:rPr>
          <w:snapToGrid w:val="0"/>
        </w:rPr>
        <w:tab/>
        <w:t>is satisfied that further resort to conciliation would be unavailing; or</w:t>
      </w:r>
    </w:p>
    <w:p>
      <w:pPr>
        <w:pStyle w:val="Indenta"/>
        <w:keepNext/>
        <w:spacing w:before="60"/>
        <w:rPr>
          <w:snapToGrid w:val="0"/>
        </w:rPr>
      </w:pPr>
      <w:r>
        <w:rPr>
          <w:snapToGrid w:val="0"/>
        </w:rPr>
        <w:tab/>
        <w:t>(b)</w:t>
      </w:r>
      <w:r>
        <w:rPr>
          <w:snapToGrid w:val="0"/>
        </w:rPr>
        <w:tab/>
        <w:t>is requested by all the parties to the proceedings to decide the matter by arbitration,</w:t>
      </w:r>
    </w:p>
    <w:p>
      <w:pPr>
        <w:pStyle w:val="Subsection"/>
        <w:spacing w:before="120"/>
        <w:rPr>
          <w:snapToGrid w:val="0"/>
        </w:rPr>
      </w:pPr>
      <w:r>
        <w:rPr>
          <w:snapToGrid w:val="0"/>
        </w:rPr>
        <w:tab/>
      </w:r>
      <w:r>
        <w:rPr>
          <w:snapToGrid w:val="0"/>
        </w:rPr>
        <w:tab/>
        <w:t>the Commission may decide the matter by arbitration.</w:t>
      </w:r>
    </w:p>
    <w:p>
      <w:pPr>
        <w:pStyle w:val="Subsection"/>
        <w:keepNext/>
        <w:keepLines/>
        <w:spacing w:before="130"/>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spacing w:before="130"/>
      </w:pPr>
      <w:r>
        <w:tab/>
        <w:t>(8)</w:t>
      </w:r>
      <w:r>
        <w:tab/>
        <w:t>For the purposes of this section the Commission may —</w:t>
      </w:r>
    </w:p>
    <w:p>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spacing w:before="100"/>
        <w:ind w:left="890" w:hanging="890"/>
      </w:pPr>
      <w:r>
        <w:tab/>
        <w:t>[Section 32 inserted: No. 94 of 1984 s. 21; amended: No. 119 of 1987 s. 9; No. 3 of 1997 s. 36; No. 20 of 2002 s. 187 and 194(3) and (4); No. 8 of 2009 s. 77(2)</w:t>
      </w:r>
      <w:r>
        <w:noBreakHyphen/>
        <w:t>(4).]</w:t>
      </w:r>
    </w:p>
    <w:p>
      <w:pPr>
        <w:pStyle w:val="Heading5"/>
        <w:keepNext w:val="0"/>
        <w:pageBreakBefore/>
        <w:spacing w:before="0"/>
      </w:pPr>
      <w:bookmarkStart w:id="60" w:name="_Toc98769874"/>
      <w:r>
        <w:rPr>
          <w:rStyle w:val="CharSectno"/>
        </w:rPr>
        <w:lastRenderedPageBreak/>
        <w:t>32A</w:t>
      </w:r>
      <w:r>
        <w:t>.</w:t>
      </w:r>
      <w:r>
        <w:tab/>
        <w:t>Conciliation and arbitration functions of Commission are unlimited</w:t>
      </w:r>
      <w:bookmarkEnd w:id="60"/>
    </w:p>
    <w:p>
      <w:pPr>
        <w:pStyle w:val="Subsection"/>
        <w:spacing w:before="10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keepNext/>
      </w:pPr>
      <w:r>
        <w:tab/>
        <w:t>(2)</w:t>
      </w:r>
      <w:r>
        <w:tab/>
        <w:t>Without limiting subsection (1), nothing in this Act prevents the performance of conciliation functions merely because arbitration functions are being or have been performed.</w:t>
      </w:r>
    </w:p>
    <w:p>
      <w:pPr>
        <w:pStyle w:val="Footnotesection"/>
        <w:keepNext/>
      </w:pPr>
      <w:r>
        <w:tab/>
        <w:t>[Section 32A inserted: No. 20 of 2002 s. 123.]</w:t>
      </w:r>
    </w:p>
    <w:p>
      <w:pPr>
        <w:pStyle w:val="Heading5"/>
        <w:rPr>
          <w:snapToGrid w:val="0"/>
        </w:rPr>
      </w:pPr>
      <w:bookmarkStart w:id="61" w:name="_Toc98769875"/>
      <w:r>
        <w:rPr>
          <w:rStyle w:val="CharSectno"/>
        </w:rPr>
        <w:t>33</w:t>
      </w:r>
      <w:r>
        <w:rPr>
          <w:snapToGrid w:val="0"/>
        </w:rPr>
        <w:t>.</w:t>
      </w:r>
      <w:r>
        <w:rPr>
          <w:snapToGrid w:val="0"/>
        </w:rPr>
        <w:tab/>
        <w:t>Evidence before Commission</w:t>
      </w:r>
      <w:bookmarkEnd w:id="61"/>
    </w:p>
    <w:p>
      <w:pPr>
        <w:pStyle w:val="Subsection"/>
        <w:rPr>
          <w:snapToGrid w:val="0"/>
        </w:rPr>
      </w:pPr>
      <w:r>
        <w:rPr>
          <w:snapToGrid w:val="0"/>
        </w:rPr>
        <w:tab/>
        <w:t>(1)</w:t>
      </w:r>
      <w:r>
        <w:rPr>
          <w:snapToGrid w:val="0"/>
        </w:rPr>
        <w:tab/>
        <w:t>With respect to evidence in proceedings before the Commission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 and</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 and</w:t>
      </w:r>
    </w:p>
    <w:p>
      <w:pPr>
        <w:pStyle w:val="Indenta"/>
        <w:rPr>
          <w:snapToGrid w:val="0"/>
        </w:rPr>
      </w:pPr>
      <w:r>
        <w:rPr>
          <w:snapToGrid w:val="0"/>
        </w:rPr>
        <w:tab/>
        <w:t>(c)</w:t>
      </w:r>
      <w:r>
        <w:rPr>
          <w:snapToGrid w:val="0"/>
        </w:rPr>
        <w:tab/>
        <w:t xml:space="preserve">subject to subsection (2), a person duly served with such summons, shall not without good cause, proof of which is on him, fail to attend or to duly produce any book, paper, or document as required or refuse to be sworn as </w:t>
      </w:r>
      <w:r>
        <w:rPr>
          <w:snapToGrid w:val="0"/>
        </w:rPr>
        <w:lastRenderedPageBreak/>
        <w:t>a witness or to answer any question which he is required by the Commission to answer; and</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lastRenderedPageBreak/>
        <w:tab/>
        <w:t>(6)</w:t>
      </w:r>
      <w:r>
        <w:rPr>
          <w:snapToGrid w:val="0"/>
        </w:rPr>
        <w:tab/>
        <w:t>Subsection (1)(a), (b), and (c) do not apply to or in relation to a summons issued pursuant to section 44.</w:t>
      </w:r>
    </w:p>
    <w:p>
      <w:pPr>
        <w:pStyle w:val="Footnotesection"/>
      </w:pPr>
      <w:r>
        <w:tab/>
        <w:t>[Section 33 amended: No. 121 of 1982 s. 13; No. 94 of 1984 s. 22 and 65.]</w:t>
      </w:r>
    </w:p>
    <w:p>
      <w:pPr>
        <w:pStyle w:val="Heading5"/>
        <w:rPr>
          <w:snapToGrid w:val="0"/>
        </w:rPr>
      </w:pPr>
      <w:bookmarkStart w:id="62" w:name="_Toc98769876"/>
      <w:r>
        <w:rPr>
          <w:rStyle w:val="CharSectno"/>
        </w:rPr>
        <w:t>34</w:t>
      </w:r>
      <w:r>
        <w:rPr>
          <w:snapToGrid w:val="0"/>
        </w:rPr>
        <w:t>.</w:t>
      </w:r>
      <w:r>
        <w:rPr>
          <w:snapToGrid w:val="0"/>
        </w:rPr>
        <w:tab/>
        <w:t>Decisions of Commission, form of and review of</w:t>
      </w:r>
      <w:bookmarkEnd w:id="62"/>
    </w:p>
    <w:p>
      <w:pPr>
        <w:pStyle w:val="Subsection"/>
        <w:keepNext/>
        <w:keepLines/>
      </w:pPr>
      <w:r>
        <w:tab/>
        <w:t>(1)</w:t>
      </w:r>
      <w:r>
        <w:tab/>
        <w:t>The decision of the Commission must be made in the form of an award, order or declaration and must be signed and dated at the time it is made —</w:t>
      </w:r>
    </w:p>
    <w:p>
      <w:pPr>
        <w:pStyle w:val="Indenta"/>
        <w:keepNext/>
        <w:keepLines/>
      </w:pPr>
      <w:r>
        <w:tab/>
        <w:t>(a)</w:t>
      </w:r>
      <w:r>
        <w:tab/>
        <w:t>in the case of a decision made by the Commission constituted by a single commissioner — by the commissioner; or</w:t>
      </w:r>
    </w:p>
    <w:p>
      <w:pPr>
        <w:pStyle w:val="Indenta"/>
      </w:pPr>
      <w:r>
        <w:tab/>
        <w:t>(b)</w:t>
      </w:r>
      <w:r>
        <w:tab/>
        <w:t xml:space="preserve">in the case of a decision of the Commission in Court Session — by the most senior commissioner of the commissioners who constitute the Commission in Court Session; or </w:t>
      </w:r>
    </w:p>
    <w:p>
      <w:pPr>
        <w:pStyle w:val="Indenta"/>
      </w:pPr>
      <w:r>
        <w:tab/>
        <w:t>(c)</w:t>
      </w:r>
      <w:r>
        <w:tab/>
        <w:t>in the case of a decision by the Full Bench or its presiding commissioner — by the presiding commissioner of the Full Bench.</w:t>
      </w:r>
    </w:p>
    <w:p>
      <w:pPr>
        <w:pStyle w:val="Subsection"/>
      </w:pPr>
      <w:r>
        <w:tab/>
        <w:t>(1A)</w:t>
      </w:r>
      <w:r>
        <w:tab/>
        <w:t>A decision of the Commission must be sealed with the seal of the Commission.</w:t>
      </w:r>
    </w:p>
    <w:p>
      <w:pPr>
        <w:pStyle w:val="Subsection"/>
      </w:pPr>
      <w:r>
        <w:tab/>
        <w:t>(2)</w:t>
      </w:r>
      <w:r>
        <w:tab/>
      </w:r>
      <w:r>
        <w:rPr>
          <w:snapToGrid w:val="0"/>
        </w:rPr>
        <w:t>When the commissioners who constitute the Commission in Court Session are divided in opinion on a question, the question must be decided according to the decision of the majority of the commissioners.</w:t>
      </w:r>
    </w:p>
    <w:p>
      <w:pPr>
        <w:pStyle w:val="Subsection"/>
      </w:pPr>
      <w:r>
        <w:rPr>
          <w:snapToGrid w:val="0"/>
        </w:rPr>
        <w:tab/>
        <w:t>(3)</w:t>
      </w:r>
      <w:r>
        <w:rPr>
          <w:snapToGrid w:val="0"/>
        </w:rPr>
        <w:tab/>
        <w:t xml:space="preserve">Proceedings before the Commission shall not be impeached or held bad for want of form nor shall they be removable to any court by </w:t>
      </w:r>
      <w:r>
        <w:rPr>
          <w:i/>
          <w:snapToGrid w:val="0"/>
        </w:rPr>
        <w:t>certiorari</w:t>
      </w:r>
      <w:r>
        <w:rPr>
          <w:snapToGrid w:val="0"/>
        </w:rPr>
        <w:t xml:space="preserve"> or </w:t>
      </w:r>
      <w:r>
        <w:t>otherwise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Commission shall be liable to be </w:t>
      </w:r>
      <w:r>
        <w:rPr>
          <w:snapToGrid w:val="0"/>
        </w:rPr>
        <w:lastRenderedPageBreak/>
        <w:t xml:space="preserve">challenged, appealed against, reviewed, quashed, or called in </w:t>
      </w:r>
      <w:r>
        <w:t>question by or in any</w:t>
      </w:r>
      <w:r>
        <w:rPr>
          <w:snapToGrid w:val="0"/>
        </w:rPr>
        <w:t xml:space="preserve"> </w:t>
      </w:r>
      <w:r>
        <w:t>court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[Section 34 amended: No. 94 of 1984 s. 23; No. 20 of 2002 s. 124; No. 39 of 2018 s. 24.]</w:t>
      </w:r>
    </w:p>
    <w:p>
      <w:pPr>
        <w:pStyle w:val="Heading5"/>
        <w:rPr>
          <w:snapToGrid w:val="0"/>
        </w:rPr>
      </w:pPr>
      <w:bookmarkStart w:id="63" w:name="_Toc98769877"/>
      <w:r>
        <w:rPr>
          <w:rStyle w:val="CharSectno"/>
        </w:rPr>
        <w:t>35</w:t>
      </w:r>
      <w:r>
        <w:rPr>
          <w:snapToGrid w:val="0"/>
        </w:rPr>
        <w:t>.</w:t>
      </w:r>
      <w:r>
        <w:rPr>
          <w:snapToGrid w:val="0"/>
        </w:rPr>
        <w:tab/>
        <w:t>Decision to be first drawn up as minutes</w:t>
      </w:r>
      <w:bookmarkEnd w:id="63"/>
    </w:p>
    <w:p>
      <w:pPr>
        <w:pStyle w:val="Subsection"/>
        <w:keepNext/>
      </w:pPr>
      <w:r>
        <w:tab/>
        <w:t>(1A)</w:t>
      </w:r>
      <w:r>
        <w:tab/>
        <w:t xml:space="preserve">In this section — </w:t>
      </w:r>
    </w:p>
    <w:p>
      <w:pPr>
        <w:pStyle w:val="Defstart"/>
        <w:keepNext/>
      </w:pPr>
      <w:r>
        <w:tab/>
      </w:r>
      <w:r>
        <w:rPr>
          <w:rStyle w:val="CharDefText"/>
        </w:rPr>
        <w:t>final decision</w:t>
      </w:r>
      <w:r>
        <w:t xml:space="preserve"> means a decision, determination or ruling in proceedings that finally decides, determines or disposes of the matter to which the proceedings relate.</w:t>
      </w:r>
    </w:p>
    <w:p>
      <w:pPr>
        <w:pStyle w:val="Subsection"/>
        <w:keepNext/>
        <w:keepLines/>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pPr>
        <w:pStyle w:val="Subsection"/>
        <w:keepNext/>
      </w:pPr>
      <w:r>
        <w:tab/>
        <w:t>(1AB)</w:t>
      </w:r>
      <w:r>
        <w:tab/>
        <w:t xml:space="preserve">Subsection (1) does not apply to an order made for the purposes of section 27(1)(a) or an </w:t>
      </w:r>
      <w:r>
        <w:rPr>
          <w:snapToGrid w:val="0"/>
        </w:rPr>
        <w:t>order or declaration made under section 32(8).</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 xml:space="preserve">The parties concerned shall, at a time fixed by the Commission, be entitled to speak to matters contained in the minutes of the decision and the Commission may, after hearing the parties, vary the terms of those minutes before </w:t>
      </w:r>
      <w:r>
        <w:t>the final decision is made in the terms of the minutes.</w:t>
      </w:r>
    </w:p>
    <w:p>
      <w:pPr>
        <w:pStyle w:val="Subsection"/>
        <w:keepNext/>
        <w:keepLines/>
        <w:rPr>
          <w:snapToGrid w:val="0"/>
        </w:rPr>
      </w:pPr>
      <w:r>
        <w:rPr>
          <w:snapToGrid w:val="0"/>
        </w:rPr>
        <w:lastRenderedPageBreak/>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[Section 35 amended: No. 121 of 1982 s. 14; No. 94 of 1984 s. 24 and 66; No. 39 of 2018 s. 25.]</w:t>
      </w:r>
    </w:p>
    <w:p>
      <w:pPr>
        <w:pStyle w:val="Heading5"/>
      </w:pPr>
      <w:bookmarkStart w:id="64" w:name="_Toc98769878"/>
      <w:r>
        <w:rPr>
          <w:rStyle w:val="CharSectno"/>
        </w:rPr>
        <w:t>36</w:t>
      </w:r>
      <w:r>
        <w:t>.</w:t>
      </w:r>
      <w:r>
        <w:tab/>
        <w:t>Copy of decision must be given to parties and be available for inspection</w:t>
      </w:r>
      <w:bookmarkEnd w:id="64"/>
    </w:p>
    <w:p>
      <w:pPr>
        <w:pStyle w:val="Subsection"/>
      </w:pPr>
      <w:r>
        <w:tab/>
        <w:t>(1)</w:t>
      </w:r>
      <w:r>
        <w:tab/>
        <w:t xml:space="preserve">The Commission must, as soon as practicable after making a decision — </w:t>
      </w:r>
    </w:p>
    <w:p>
      <w:pPr>
        <w:pStyle w:val="Indenta"/>
      </w:pPr>
      <w:r>
        <w:tab/>
        <w:t>(a)</w:t>
      </w:r>
      <w:r>
        <w:tab/>
        <w:t>give a copy of the decision to each party to the proceeding; and</w:t>
      </w:r>
    </w:p>
    <w:p>
      <w:pPr>
        <w:pStyle w:val="Indenta"/>
      </w:pPr>
      <w:r>
        <w:tab/>
        <w:t>(b)</w:t>
      </w:r>
      <w:r>
        <w:tab/>
        <w:t>deposit a copy of the decision in the office of the Registrar.</w:t>
      </w:r>
    </w:p>
    <w:p>
      <w:pPr>
        <w:pStyle w:val="Subsection"/>
      </w:pPr>
      <w:r>
        <w:tab/>
        <w:t>(2)</w:t>
      </w:r>
      <w:r>
        <w:tab/>
        <w:t>A copy of each decision of the Commission lodged in the office of the Registrar must be open to inspection without charge during office hours by any person interested.</w:t>
      </w:r>
    </w:p>
    <w:p>
      <w:pPr>
        <w:pStyle w:val="Footnotesection"/>
      </w:pPr>
      <w:r>
        <w:tab/>
        <w:t>[Section 36 inserted: No. 39 of 2018 s. 26.]</w:t>
      </w:r>
    </w:p>
    <w:p>
      <w:pPr>
        <w:pStyle w:val="Heading3"/>
      </w:pPr>
      <w:bookmarkStart w:id="65" w:name="_Toc98504962"/>
      <w:bookmarkStart w:id="66" w:name="_Toc98506661"/>
      <w:bookmarkStart w:id="67" w:name="_Toc98507824"/>
      <w:bookmarkStart w:id="68" w:name="_Toc98769879"/>
      <w:r>
        <w:rPr>
          <w:rStyle w:val="CharDivNo"/>
        </w:rPr>
        <w:t>Division 2A</w:t>
      </w:r>
      <w:r>
        <w:t xml:space="preserve"> — </w:t>
      </w:r>
      <w:r>
        <w:rPr>
          <w:rStyle w:val="CharDivText"/>
        </w:rPr>
        <w:t>Awards</w:t>
      </w:r>
      <w:bookmarkEnd w:id="65"/>
      <w:bookmarkEnd w:id="66"/>
      <w:bookmarkEnd w:id="67"/>
      <w:bookmarkEnd w:id="68"/>
    </w:p>
    <w:p>
      <w:pPr>
        <w:pStyle w:val="Footnoteheading"/>
        <w:keepNext/>
        <w:tabs>
          <w:tab w:val="left" w:pos="851"/>
        </w:tabs>
      </w:pPr>
      <w:r>
        <w:tab/>
        <w:t>[Heading inserted: No. 20 of 2002 s. 116.]</w:t>
      </w:r>
    </w:p>
    <w:p>
      <w:pPr>
        <w:pStyle w:val="Heading5"/>
      </w:pPr>
      <w:bookmarkStart w:id="69" w:name="_Toc98769880"/>
      <w:r>
        <w:rPr>
          <w:rStyle w:val="CharSectno"/>
        </w:rPr>
        <w:t>36A</w:t>
      </w:r>
      <w:r>
        <w:t>.</w:t>
      </w:r>
      <w:r>
        <w:tab/>
        <w:t>Non</w:t>
      </w:r>
      <w:r>
        <w:noBreakHyphen/>
        <w:t>award employees, interim award for etc.</w:t>
      </w:r>
      <w:bookmarkEnd w:id="69"/>
    </w:p>
    <w:p>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keepNext/>
      </w:pPr>
      <w:r>
        <w:lastRenderedPageBreak/>
        <w:tab/>
        <w:t>(3)</w:t>
      </w:r>
      <w:r>
        <w:tab/>
        <w:t>An interim award may be made if the Commission considers —</w:t>
      </w:r>
    </w:p>
    <w:p>
      <w:pPr>
        <w:pStyle w:val="Indenta"/>
      </w:pPr>
      <w:r>
        <w:tab/>
        <w:t>(a)</w:t>
      </w:r>
      <w:r>
        <w:tab/>
        <w:t>that it would provide a fair basis for the application of the no</w:t>
      </w:r>
      <w:r>
        <w:noBreakHyphen/>
        <w:t>disadvantage test provided for by Part VID Division 6 Subdivision 1; or</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No. 20 of 2002 s. 116.]</w:t>
      </w:r>
    </w:p>
    <w:p>
      <w:pPr>
        <w:pStyle w:val="Heading5"/>
        <w:rPr>
          <w:snapToGrid w:val="0"/>
        </w:rPr>
      </w:pPr>
      <w:bookmarkStart w:id="70" w:name="_Toc98769881"/>
      <w:r>
        <w:rPr>
          <w:rStyle w:val="CharSectno"/>
        </w:rPr>
        <w:t>37</w:t>
      </w:r>
      <w:r>
        <w:rPr>
          <w:snapToGrid w:val="0"/>
        </w:rPr>
        <w:t>.</w:t>
      </w:r>
      <w:r>
        <w:rPr>
          <w:snapToGrid w:val="0"/>
        </w:rPr>
        <w:tab/>
        <w:t>Effect, area and scope of awards</w:t>
      </w:r>
      <w:bookmarkEnd w:id="70"/>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w:t>
      </w:r>
    </w:p>
    <w:p>
      <w:pPr>
        <w:pStyle w:val="Indenta"/>
        <w:rPr>
          <w:snapToGrid w:val="0"/>
        </w:rPr>
      </w:pPr>
      <w:r>
        <w:rPr>
          <w:snapToGrid w:val="0"/>
        </w:rPr>
        <w:tab/>
        <w:t>(a)</w:t>
      </w:r>
      <w:r>
        <w:rPr>
          <w:snapToGrid w:val="0"/>
        </w:rPr>
        <w:tab/>
        <w:t>extend to and bind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keepNext/>
        <w:rPr>
          <w:snapToGrid w:val="0"/>
        </w:rPr>
      </w:pPr>
      <w:r>
        <w:rPr>
          <w:snapToGrid w:val="0"/>
        </w:rPr>
        <w:tab/>
        <w:t>(ii)</w:t>
      </w:r>
      <w:r>
        <w:rPr>
          <w:snapToGrid w:val="0"/>
        </w:rPr>
        <w:tab/>
        <w:t>all employers employing those employees;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operate throughout the State, other than in the areas to which section 3(1) applies.</w:t>
      </w:r>
    </w:p>
    <w:p>
      <w:pPr>
        <w:pStyle w:val="Ednotesubsection"/>
      </w:pPr>
      <w:r>
        <w:tab/>
        <w:t>[(2), (3)</w:t>
      </w:r>
      <w:r>
        <w:tab/>
        <w:t>deleted]</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keepNext/>
        <w:rPr>
          <w:snapToGrid w:val="0"/>
        </w:rPr>
      </w:pPr>
      <w:r>
        <w:rPr>
          <w:snapToGrid w:val="0"/>
        </w:rPr>
        <w:lastRenderedPageBreak/>
        <w:tab/>
        <w:t>(5)</w:t>
      </w:r>
      <w:r>
        <w:rPr>
          <w:snapToGrid w:val="0"/>
        </w:rPr>
        <w:tab/>
        <w:t>Subsection (4) does not prevent the cancellation, suspension, or replacement of an award in part.</w:t>
      </w:r>
    </w:p>
    <w:p>
      <w:pPr>
        <w:pStyle w:val="Footnotesection"/>
      </w:pPr>
      <w:r>
        <w:tab/>
        <w:t>[Section 37 amended: No. 94 of 1984 s. 66.]</w:t>
      </w:r>
    </w:p>
    <w:p>
      <w:pPr>
        <w:pStyle w:val="Ednotesection"/>
      </w:pPr>
      <w:r>
        <w:t>[</w:t>
      </w:r>
      <w:r>
        <w:rPr>
          <w:b/>
        </w:rPr>
        <w:t>37A.</w:t>
      </w:r>
      <w:r>
        <w:tab/>
        <w:t>Deleted: No. 20 of 2002 s. 188.]</w:t>
      </w:r>
    </w:p>
    <w:p>
      <w:pPr>
        <w:pStyle w:val="Heading5"/>
        <w:rPr>
          <w:snapToGrid w:val="0"/>
        </w:rPr>
      </w:pPr>
      <w:bookmarkStart w:id="71" w:name="_Toc98769882"/>
      <w:r>
        <w:rPr>
          <w:rStyle w:val="CharSectno"/>
        </w:rPr>
        <w:t>38</w:t>
      </w:r>
      <w:r>
        <w:rPr>
          <w:snapToGrid w:val="0"/>
        </w:rPr>
        <w:t>.</w:t>
      </w:r>
      <w:r>
        <w:rPr>
          <w:snapToGrid w:val="0"/>
        </w:rPr>
        <w:tab/>
        <w:t>Named parties to awards</w:t>
      </w:r>
      <w:bookmarkEnd w:id="71"/>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w:t>
      </w:r>
    </w:p>
    <w:p>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20"/>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w:t>
      </w:r>
    </w:p>
    <w:p>
      <w:pPr>
        <w:pStyle w:val="Indenta"/>
        <w:rPr>
          <w:snapToGrid w:val="0"/>
        </w:rPr>
      </w:pPr>
      <w:r>
        <w:rPr>
          <w:snapToGrid w:val="0"/>
        </w:rPr>
        <w:tab/>
        <w:t>(a)</w:t>
      </w:r>
      <w:r>
        <w:rPr>
          <w:snapToGrid w:val="0"/>
        </w:rPr>
        <w:tab/>
        <w:t>any employer who, in the opinion of the Commission, has a sufficient interest in the matter; or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20"/>
        <w:rPr>
          <w:snapToGrid w:val="0"/>
        </w:rPr>
      </w:pPr>
      <w:r>
        <w:rPr>
          <w:snapToGrid w:val="0"/>
        </w:rPr>
        <w:tab/>
      </w:r>
      <w:r>
        <w:rPr>
          <w:snapToGrid w:val="0"/>
        </w:rPr>
        <w:tab/>
        <w:t>add as a named party to the award any employer, organisation or association.</w:t>
      </w:r>
    </w:p>
    <w:p>
      <w:pPr>
        <w:pStyle w:val="Subsection"/>
      </w:pPr>
      <w:r>
        <w:lastRenderedPageBreak/>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No. 94 of 1984 s. 25; amended: No. 15 of 1993 s. 12 and 31; No. 20 of 2002 s. 117(1); No. 53 of 2011 s. 48.]</w:t>
      </w:r>
    </w:p>
    <w:p>
      <w:pPr>
        <w:pStyle w:val="Heading5"/>
        <w:rPr>
          <w:snapToGrid w:val="0"/>
        </w:rPr>
      </w:pPr>
      <w:bookmarkStart w:id="72" w:name="_Toc98769883"/>
      <w:r>
        <w:rPr>
          <w:rStyle w:val="CharSectno"/>
        </w:rPr>
        <w:t>39</w:t>
      </w:r>
      <w:r>
        <w:rPr>
          <w:snapToGrid w:val="0"/>
        </w:rPr>
        <w:t>.</w:t>
      </w:r>
      <w:r>
        <w:rPr>
          <w:snapToGrid w:val="0"/>
        </w:rPr>
        <w:tab/>
        <w:t>When award operates</w:t>
      </w:r>
      <w:bookmarkEnd w:id="72"/>
    </w:p>
    <w:p>
      <w:pPr>
        <w:pStyle w:val="Subsection"/>
        <w:rPr>
          <w:snapToGrid w:val="0"/>
        </w:rPr>
      </w:pPr>
      <w:r>
        <w:tab/>
        <w:t>(1)</w:t>
      </w:r>
      <w:r>
        <w:tab/>
      </w:r>
      <w:r>
        <w:rPr>
          <w:snapToGrid w:val="0"/>
        </w:rPr>
        <w:t xml:space="preserve">An award comes into operation — </w:t>
      </w:r>
    </w:p>
    <w:p>
      <w:pPr>
        <w:pStyle w:val="Indenta"/>
        <w:rPr>
          <w:snapToGrid w:val="0"/>
        </w:rPr>
      </w:pPr>
      <w:r>
        <w:rPr>
          <w:snapToGrid w:val="0"/>
        </w:rPr>
        <w:tab/>
        <w:t>(a)</w:t>
      </w:r>
      <w:r>
        <w:rPr>
          <w:snapToGrid w:val="0"/>
        </w:rPr>
        <w:tab/>
        <w:t>on the day on which it is made; or</w:t>
      </w:r>
    </w:p>
    <w:p>
      <w:pPr>
        <w:pStyle w:val="Indenta"/>
        <w:rPr>
          <w:snapToGrid w:val="0"/>
        </w:rPr>
      </w:pPr>
      <w:r>
        <w:rPr>
          <w:snapToGrid w:val="0"/>
        </w:rPr>
        <w:tab/>
        <w:t>(b)</w:t>
      </w:r>
      <w:r>
        <w:rPr>
          <w:snapToGrid w:val="0"/>
        </w:rPr>
        <w:tab/>
        <w:t>on such day or days as the Commission fixes and specifies in the award.</w:t>
      </w:r>
    </w:p>
    <w:p>
      <w:pPr>
        <w:pStyle w:val="Ednotesubsection"/>
      </w:pPr>
      <w:r>
        <w:tab/>
        <w:t>[(2)</w:t>
      </w:r>
      <w:r>
        <w:tab/>
        <w:t>deleted]</w:t>
      </w:r>
    </w:p>
    <w:p>
      <w:pPr>
        <w:pStyle w:val="Subsection"/>
        <w:keepNext/>
        <w:keepLines/>
        <w:rPr>
          <w:snapToGrid w:val="0"/>
        </w:rPr>
      </w:pPr>
      <w:r>
        <w:rPr>
          <w:snapToGrid w:val="0"/>
        </w:rPr>
        <w:tab/>
        <w:t>(3)</w:t>
      </w:r>
      <w:r>
        <w:rPr>
          <w:snapToGrid w:val="0"/>
        </w:rPr>
        <w:tab/>
        <w:t>The Commission may, by its award, give retrospective effect to the whole or any part of the award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keepNext/>
        <w:rPr>
          <w:snapToGrid w:val="0"/>
        </w:rPr>
      </w:pPr>
      <w:r>
        <w:rPr>
          <w:snapToGrid w:val="0"/>
        </w:rPr>
        <w:lastRenderedPageBreak/>
        <w:tab/>
        <w:t>(4)</w:t>
      </w:r>
      <w:r>
        <w:rPr>
          <w:snapToGrid w:val="0"/>
        </w:rPr>
        <w:tab/>
        <w:t xml:space="preserve">For the purpose of subsection (3), an award or a provision of it has retrospective effect if and only if it has effect from a date earlier than the day on which the award is </w:t>
      </w:r>
      <w:r>
        <w:t>made.</w:t>
      </w:r>
    </w:p>
    <w:p>
      <w:pPr>
        <w:pStyle w:val="Footnotesection"/>
      </w:pPr>
      <w:r>
        <w:tab/>
        <w:t>[Section 39 amended: No. 39 of 2018 s. 27.]</w:t>
      </w:r>
    </w:p>
    <w:p>
      <w:pPr>
        <w:pStyle w:val="Heading5"/>
        <w:keepNext w:val="0"/>
        <w:keepLines w:val="0"/>
        <w:rPr>
          <w:snapToGrid w:val="0"/>
        </w:rPr>
      </w:pPr>
      <w:bookmarkStart w:id="73" w:name="_Toc98769884"/>
      <w:r>
        <w:rPr>
          <w:rStyle w:val="CharSectno"/>
        </w:rPr>
        <w:t>40</w:t>
      </w:r>
      <w:r>
        <w:rPr>
          <w:snapToGrid w:val="0"/>
        </w:rPr>
        <w:t>.</w:t>
      </w:r>
      <w:r>
        <w:rPr>
          <w:snapToGrid w:val="0"/>
        </w:rPr>
        <w:tab/>
        <w:t>Varying and cancelling awards</w:t>
      </w:r>
      <w:bookmarkEnd w:id="73"/>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pPr>
        <w:pStyle w:val="Indenta"/>
        <w:rPr>
          <w:snapToGrid w:val="0"/>
        </w:rPr>
      </w:pPr>
      <w:r>
        <w:rPr>
          <w:snapToGrid w:val="0"/>
        </w:rPr>
        <w:tab/>
        <w:t>(b)</w:t>
      </w:r>
      <w:r>
        <w:rPr>
          <w:snapToGrid w:val="0"/>
        </w:rPr>
        <w:tab/>
        <w:t>shall not, within the specified term, vary the award or that provision, as the case may be, unless and to the extent that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the parties to the award agree that the award or provision should be varied;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keepNext/>
        <w:rPr>
          <w:snapToGrid w:val="0"/>
        </w:rPr>
      </w:pPr>
      <w:r>
        <w:rPr>
          <w:snapToGrid w:val="0"/>
        </w:rPr>
        <w:lastRenderedPageBreak/>
        <w:tab/>
        <w:t>(4)</w:t>
      </w:r>
      <w:r>
        <w:rPr>
          <w:snapToGrid w:val="0"/>
        </w:rPr>
        <w:tab/>
        <w:t>Section 39 applies, with such modifications as are necessary, to and in relation to an order made under this section.</w:t>
      </w:r>
    </w:p>
    <w:p>
      <w:pPr>
        <w:pStyle w:val="Footnotesection"/>
      </w:pPr>
      <w:r>
        <w:tab/>
        <w:t>[Section 40 amended: No. 94 of 1984 s. 66.]</w:t>
      </w:r>
    </w:p>
    <w:p>
      <w:pPr>
        <w:pStyle w:val="Heading5"/>
      </w:pPr>
      <w:bookmarkStart w:id="74" w:name="_Toc98769885"/>
      <w:r>
        <w:rPr>
          <w:rStyle w:val="CharSectno"/>
        </w:rPr>
        <w:t>40A</w:t>
      </w:r>
      <w:r>
        <w:t>.</w:t>
      </w:r>
      <w:r>
        <w:tab/>
        <w:t>Incorporation of industrial agreement provisions into awards by consent</w:t>
      </w:r>
      <w:bookmarkEnd w:id="74"/>
    </w:p>
    <w:p>
      <w:pPr>
        <w:pStyle w:val="Subsection"/>
      </w:pPr>
      <w:r>
        <w:tab/>
        <w:t>(1)</w:t>
      </w:r>
      <w:r>
        <w:tab/>
        <w:t>If —</w:t>
      </w:r>
    </w:p>
    <w:p>
      <w:pPr>
        <w:pStyle w:val="Indenta"/>
      </w:pPr>
      <w:r>
        <w:tab/>
        <w:t>(a)</w:t>
      </w:r>
      <w:r>
        <w:tab/>
        <w:t>an award extends to employees to whom an industrial agreement extends; and</w:t>
      </w:r>
    </w:p>
    <w:p>
      <w:pPr>
        <w:pStyle w:val="Indenta"/>
        <w:keepLines/>
      </w:pPr>
      <w:r>
        <w:tab/>
        <w:t>(b)</w:t>
      </w:r>
      <w:r>
        <w:tab/>
        <w:t>a named party to the award who is also a party to the agreement applies to the Commission for the incorporation of some or all of the provisions of the agreement into the award; and</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No. 20 of 2002 s. 118.]</w:t>
      </w:r>
    </w:p>
    <w:p>
      <w:pPr>
        <w:pStyle w:val="Heading5"/>
      </w:pPr>
      <w:bookmarkStart w:id="75" w:name="_Toc98769886"/>
      <w:r>
        <w:rPr>
          <w:rStyle w:val="CharSectno"/>
        </w:rPr>
        <w:t>40B</w:t>
      </w:r>
      <w:r>
        <w:t>.</w:t>
      </w:r>
      <w:r>
        <w:tab/>
        <w:t>Power to vary awards to reflect statutory etc. requirements, to promote efficiency and to facilitate implementation</w:t>
      </w:r>
      <w:bookmarkEnd w:id="75"/>
    </w:p>
    <w:p>
      <w:pPr>
        <w:pStyle w:val="Subsection"/>
      </w:pPr>
      <w:r>
        <w:tab/>
        <w:t>(1)</w:t>
      </w:r>
      <w:r>
        <w:tab/>
        <w:t>The Commission, of its own motion, may by order at any time vary an award for any one or more of the following purposes —</w:t>
      </w:r>
    </w:p>
    <w:p>
      <w:pPr>
        <w:pStyle w:val="Indenta"/>
      </w:pPr>
      <w:r>
        <w:tab/>
        <w:t>(a)</w:t>
      </w:r>
      <w:r>
        <w:tab/>
        <w:t>to ensure that the award does not contain wages that are less than the minimum award wage as ordered by the Commission under section 50A;</w:t>
      </w:r>
    </w:p>
    <w:p>
      <w:pPr>
        <w:pStyle w:val="Indenta"/>
      </w:pPr>
      <w:r>
        <w:lastRenderedPageBreak/>
        <w:tab/>
        <w:t>(b)</w:t>
      </w:r>
      <w:r>
        <w:tab/>
        <w:t>to ensure that the award does not contain conditions of employment that are less favourable than those provided by the MCE Act;</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to ensure that the award does not contain provisions that are obsolete or need updating;</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The Commission shall cause a copy of an order made under this section to be —</w:t>
      </w:r>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Section 39 applies to and in relation to an order made under this section —</w:t>
      </w:r>
    </w:p>
    <w:p>
      <w:pPr>
        <w:pStyle w:val="Indenta"/>
      </w:pPr>
      <w:r>
        <w:tab/>
        <w:t>(a)</w:t>
      </w:r>
      <w:r>
        <w:tab/>
        <w:t>as if the reference in section 39(3) to the date on which an application was lodged in the Commission were a reference to the date on which notice was first given under subsection (2); and</w:t>
      </w:r>
    </w:p>
    <w:p>
      <w:pPr>
        <w:pStyle w:val="Indenta"/>
      </w:pPr>
      <w:r>
        <w:tab/>
        <w:t>(b)</w:t>
      </w:r>
      <w:r>
        <w:tab/>
        <w:t>with such other modifications as are necessary.</w:t>
      </w:r>
    </w:p>
    <w:p>
      <w:pPr>
        <w:pStyle w:val="Subsection"/>
      </w:pPr>
      <w:r>
        <w:lastRenderedPageBreak/>
        <w:tab/>
        <w:t>(5)</w:t>
      </w:r>
      <w:r>
        <w:tab/>
        <w:t>This section does not prevent or affect the making of an application under section 40 to vary an award for a purpose mentioned in subsection (1).</w:t>
      </w:r>
    </w:p>
    <w:p>
      <w:pPr>
        <w:pStyle w:val="Footnotesection"/>
      </w:pPr>
      <w:r>
        <w:tab/>
        <w:t>[Section 40B inserted: No. 20 of 2002 s. 118; amended: No. 36 of 2006 s. 12; No. 53 of 2011 s. 48.]</w:t>
      </w:r>
    </w:p>
    <w:p>
      <w:pPr>
        <w:pStyle w:val="Heading3"/>
        <w:keepLines/>
        <w:spacing w:before="220"/>
      </w:pPr>
      <w:bookmarkStart w:id="76" w:name="_Toc98504970"/>
      <w:bookmarkStart w:id="77" w:name="_Toc98506669"/>
      <w:bookmarkStart w:id="78" w:name="_Toc98507832"/>
      <w:bookmarkStart w:id="79" w:name="_Toc98769887"/>
      <w:r>
        <w:rPr>
          <w:rStyle w:val="CharDivNo"/>
        </w:rPr>
        <w:t>Division 2B</w:t>
      </w:r>
      <w:r>
        <w:t xml:space="preserve"> — </w:t>
      </w:r>
      <w:r>
        <w:rPr>
          <w:rStyle w:val="CharDivText"/>
        </w:rPr>
        <w:t>Industrial agreements</w:t>
      </w:r>
      <w:bookmarkEnd w:id="76"/>
      <w:bookmarkEnd w:id="77"/>
      <w:bookmarkEnd w:id="78"/>
      <w:bookmarkEnd w:id="79"/>
    </w:p>
    <w:p>
      <w:pPr>
        <w:pStyle w:val="Footnoteheading"/>
        <w:keepNext/>
        <w:keepLines/>
        <w:tabs>
          <w:tab w:val="left" w:pos="851"/>
        </w:tabs>
      </w:pPr>
      <w:r>
        <w:tab/>
        <w:t>[Heading inserted: No. 20 of 2002 s. 130.]</w:t>
      </w:r>
    </w:p>
    <w:p>
      <w:pPr>
        <w:pStyle w:val="Heading5"/>
      </w:pPr>
      <w:bookmarkStart w:id="80" w:name="_Toc98769888"/>
      <w:r>
        <w:rPr>
          <w:rStyle w:val="CharSectno"/>
        </w:rPr>
        <w:t>40C</w:t>
      </w:r>
      <w:r>
        <w:t>.</w:t>
      </w:r>
      <w:r>
        <w:tab/>
        <w:t>Terms used</w:t>
      </w:r>
      <w:bookmarkEnd w:id="80"/>
    </w:p>
    <w:p>
      <w:pPr>
        <w:pStyle w:val="Subsection"/>
        <w:keepNext/>
      </w:pPr>
      <w:r>
        <w:tab/>
      </w:r>
      <w:r>
        <w:tab/>
        <w:t>In this Division —</w:t>
      </w:r>
    </w:p>
    <w:p>
      <w:pPr>
        <w:pStyle w:val="Defstart"/>
        <w:keepNex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in relation to a proposed industrial agreement, means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No. 20 of 2002 s. 130.]</w:t>
      </w:r>
    </w:p>
    <w:p>
      <w:pPr>
        <w:pStyle w:val="Heading5"/>
        <w:rPr>
          <w:snapToGrid w:val="0"/>
        </w:rPr>
      </w:pPr>
      <w:bookmarkStart w:id="81" w:name="_Toc98769889"/>
      <w:r>
        <w:rPr>
          <w:rStyle w:val="CharSectno"/>
        </w:rPr>
        <w:t>41</w:t>
      </w:r>
      <w:r>
        <w:rPr>
          <w:snapToGrid w:val="0"/>
        </w:rPr>
        <w:t>.</w:t>
      </w:r>
      <w:r>
        <w:rPr>
          <w:snapToGrid w:val="0"/>
        </w:rPr>
        <w:tab/>
        <w:t>Industrial agreements, making, registration and effect of</w:t>
      </w:r>
      <w:bookmarkEnd w:id="81"/>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lastRenderedPageBreak/>
        <w:tab/>
        <w:t>(1b)</w:t>
      </w:r>
      <w:r>
        <w:tab/>
        <w:t>For the purposes of subsection (1a) an agreement applies to more than a single enterprise if it applies to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w:t>
      </w:r>
    </w:p>
    <w:p>
      <w:pPr>
        <w:pStyle w:val="Indenta"/>
        <w:rPr>
          <w:snapToGrid w:val="0"/>
        </w:rPr>
      </w:pPr>
      <w:r>
        <w:rPr>
          <w:snapToGrid w:val="0"/>
        </w:rPr>
        <w:tab/>
        <w:t>(a)</w:t>
      </w:r>
      <w:r>
        <w:rPr>
          <w:snapToGrid w:val="0"/>
        </w:rPr>
        <w:tab/>
        <w:t>all employees who are employed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keepNext/>
        <w:rPr>
          <w:snapToGrid w:val="0"/>
        </w:rPr>
      </w:pPr>
      <w:r>
        <w:rPr>
          <w:snapToGrid w:val="0"/>
        </w:rPr>
        <w:lastRenderedPageBreak/>
        <w:tab/>
        <w:t>(5)</w:t>
      </w:r>
      <w:r>
        <w:rPr>
          <w:snapToGrid w:val="0"/>
        </w:rPr>
        <w:tab/>
        <w:t>An industrial agreement shall operate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[Section 41 inserted: No. 94 of 1984 s. 26; amended: No. 15 of 1993 s. 13; No. 20 of 2002 s. 131 and 144.]</w:t>
      </w:r>
    </w:p>
    <w:p>
      <w:pPr>
        <w:pStyle w:val="Heading5"/>
      </w:pPr>
      <w:bookmarkStart w:id="82" w:name="_Toc98769890"/>
      <w:r>
        <w:rPr>
          <w:rStyle w:val="CharSectno"/>
        </w:rPr>
        <w:t>41A</w:t>
      </w:r>
      <w:r>
        <w:t>.</w:t>
      </w:r>
      <w:r>
        <w:tab/>
        <w:t>Which industrial agreements shall not be registered under s. 41</w:t>
      </w:r>
      <w:bookmarkEnd w:id="82"/>
    </w:p>
    <w:p>
      <w:pPr>
        <w:pStyle w:val="Subsection"/>
      </w:pPr>
      <w:r>
        <w:tab/>
        <w:t>(1)</w:t>
      </w:r>
      <w:r>
        <w:tab/>
        <w:t>The Commission shall not under section 41 register an agreement as an industrial agreement unless the agreement —</w:t>
      </w:r>
    </w:p>
    <w:p>
      <w:pPr>
        <w:pStyle w:val="Indenta"/>
      </w:pPr>
      <w:r>
        <w:tab/>
        <w:t>(a)</w:t>
      </w:r>
      <w:r>
        <w:tab/>
        <w:t>specifies a nominal expiry date that is no later than 3 years after the date on which the agreement will come into operation; and</w:t>
      </w:r>
    </w:p>
    <w:p>
      <w:pPr>
        <w:pStyle w:val="Indenta"/>
      </w:pPr>
      <w:r>
        <w:lastRenderedPageBreak/>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No. 20 of 2002 s. 132.]</w:t>
      </w:r>
    </w:p>
    <w:p>
      <w:pPr>
        <w:pStyle w:val="Heading5"/>
      </w:pPr>
      <w:bookmarkStart w:id="83" w:name="_Toc98769891"/>
      <w:r>
        <w:rPr>
          <w:rStyle w:val="CharSectno"/>
        </w:rPr>
        <w:t>42</w:t>
      </w:r>
      <w:r>
        <w:t>.</w:t>
      </w:r>
      <w:r>
        <w:tab/>
        <w:t>Bargaining for industrial agreement, initiating</w:t>
      </w:r>
      <w:bookmarkEnd w:id="83"/>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A notice complies with this subsection if it is accompanied by particulars of —</w:t>
      </w:r>
    </w:p>
    <w:p>
      <w:pPr>
        <w:pStyle w:val="Indenta"/>
        <w:spacing w:before="60"/>
      </w:pPr>
      <w:r>
        <w:tab/>
        <w:t>(a)</w:t>
      </w:r>
      <w:r>
        <w:tab/>
        <w:t>the types of employment to be covered by the agreement; and</w:t>
      </w:r>
    </w:p>
    <w:p>
      <w:pPr>
        <w:pStyle w:val="Indenta"/>
        <w:spacing w:before="60"/>
      </w:pPr>
      <w:r>
        <w:tab/>
        <w:t>(b)</w:t>
      </w:r>
      <w:r>
        <w:tab/>
        <w:t>the area in which the agreement is to operate; and</w:t>
      </w:r>
    </w:p>
    <w:p>
      <w:pPr>
        <w:pStyle w:val="Indenta"/>
        <w:spacing w:before="60"/>
      </w:pPr>
      <w:r>
        <w:tab/>
        <w:t>(c)</w:t>
      </w:r>
      <w:r>
        <w:tab/>
        <w:t>the intended parties to the agreement; and</w:t>
      </w:r>
    </w:p>
    <w:p>
      <w:pPr>
        <w:pStyle w:val="Indenta"/>
        <w:spacing w:before="60"/>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lastRenderedPageBreak/>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In subsection (5)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No. 20 of 2002 s. 133.]</w:t>
      </w:r>
    </w:p>
    <w:p>
      <w:pPr>
        <w:pStyle w:val="Heading5"/>
      </w:pPr>
      <w:bookmarkStart w:id="84" w:name="_Toc98769892"/>
      <w:r>
        <w:rPr>
          <w:rStyle w:val="CharSectno"/>
        </w:rPr>
        <w:t>42A</w:t>
      </w:r>
      <w:r>
        <w:t>.</w:t>
      </w:r>
      <w:r>
        <w:tab/>
        <w:t>Response to initiation of bargaining</w:t>
      </w:r>
      <w:bookmarkEnd w:id="84"/>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lastRenderedPageBreak/>
        <w:tab/>
        <w:t>(5)</w:t>
      </w:r>
      <w:r>
        <w:tab/>
        <w:t>An application under subsection (2) operates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No. 20 of 2002 s. 133.]</w:t>
      </w:r>
    </w:p>
    <w:p>
      <w:pPr>
        <w:pStyle w:val="Heading5"/>
      </w:pPr>
      <w:bookmarkStart w:id="85" w:name="_Toc98769893"/>
      <w:r>
        <w:rPr>
          <w:rStyle w:val="CharSectno"/>
        </w:rPr>
        <w:t>42B</w:t>
      </w:r>
      <w:r>
        <w:t>.</w:t>
      </w:r>
      <w:r>
        <w:tab/>
        <w:t>Bargaining for industrial agreements, good faith required etc.</w:t>
      </w:r>
      <w:bookmarkEnd w:id="85"/>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lastRenderedPageBreak/>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For the purposes of this section, a person is a bargaining agent if —</w:t>
      </w:r>
    </w:p>
    <w:p>
      <w:pPr>
        <w:pStyle w:val="Indenta"/>
        <w:spacing w:before="70"/>
      </w:pPr>
      <w:r>
        <w:tab/>
        <w:t>(a)</w:t>
      </w:r>
      <w:r>
        <w:tab/>
        <w:t>that person has been appointed in writing by a negotiating party to an agreement as a bargaining agent of that party in relation to the agreement; and</w:t>
      </w:r>
    </w:p>
    <w:p>
      <w:pPr>
        <w:pStyle w:val="Indenta"/>
        <w:spacing w:before="70"/>
      </w:pPr>
      <w:r>
        <w:tab/>
        <w:t>(b)</w:t>
      </w:r>
      <w:r>
        <w:tab/>
        <w:t>a copy of the appointment has been provided to the other negotiating party to the agreement; and</w:t>
      </w:r>
    </w:p>
    <w:p>
      <w:pPr>
        <w:pStyle w:val="Indenta"/>
        <w:spacing w:before="70"/>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spacing w:before="100"/>
        <w:ind w:left="890" w:hanging="890"/>
      </w:pPr>
      <w:r>
        <w:tab/>
        <w:t>[Section 42B inserted: No. 20 of 2002 s. 133; amended: No. 65 of 2003 s. 41(3); No. 21 of 2008 s. 668(5).]</w:t>
      </w:r>
    </w:p>
    <w:p>
      <w:pPr>
        <w:pStyle w:val="Heading5"/>
        <w:pageBreakBefore/>
        <w:spacing w:before="0"/>
      </w:pPr>
      <w:bookmarkStart w:id="86" w:name="_Toc98769894"/>
      <w:r>
        <w:rPr>
          <w:rStyle w:val="CharSectno"/>
        </w:rPr>
        <w:lastRenderedPageBreak/>
        <w:t>42C</w:t>
      </w:r>
      <w:r>
        <w:t>.</w:t>
      </w:r>
      <w:r>
        <w:tab/>
        <w:t>Code of good faith</w:t>
      </w:r>
      <w:bookmarkEnd w:id="86"/>
    </w:p>
    <w:p>
      <w:pPr>
        <w:pStyle w:val="Subsection"/>
      </w:pPr>
      <w:r>
        <w:tab/>
        <w:t>(1)</w:t>
      </w:r>
      <w:r>
        <w:tab/>
        <w:t>The Commission may make a code of good faith to provide guidance about the application of the duty of good faith under section 42B in relation to bargaining for an industrial agreement —</w:t>
      </w:r>
    </w:p>
    <w:p>
      <w:pPr>
        <w:pStyle w:val="Indenta"/>
      </w:pPr>
      <w:r>
        <w:tab/>
        <w:t>(a)</w:t>
      </w:r>
      <w:r>
        <w:tab/>
        <w:t>generally; or</w:t>
      </w:r>
    </w:p>
    <w:p>
      <w:pPr>
        <w:pStyle w:val="Indenta"/>
      </w:pPr>
      <w:r>
        <w:tab/>
        <w:t>(b)</w:t>
      </w:r>
      <w:r>
        <w:tab/>
        <w:t>in relation to particular types of situations.</w:t>
      </w:r>
    </w:p>
    <w:p>
      <w:pPr>
        <w:pStyle w:val="Subsection"/>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In this section —</w:t>
      </w:r>
    </w:p>
    <w:p>
      <w:pPr>
        <w:pStyle w:val="Defstart"/>
      </w:pPr>
      <w:r>
        <w:tab/>
      </w:r>
      <w:r>
        <w:rPr>
          <w:rStyle w:val="CharDefText"/>
        </w:rPr>
        <w:t>Commission</w:t>
      </w:r>
      <w:r>
        <w:t xml:space="preserve"> means the Commission in Court Session.</w:t>
      </w:r>
    </w:p>
    <w:p>
      <w:pPr>
        <w:pStyle w:val="Footnotesection"/>
        <w:ind w:left="890" w:hanging="890"/>
      </w:pPr>
      <w:r>
        <w:tab/>
        <w:t>[Section 42C inserted: No. 20 of 2002 s. 133.]</w:t>
      </w:r>
    </w:p>
    <w:p>
      <w:pPr>
        <w:pStyle w:val="Heading5"/>
      </w:pPr>
      <w:bookmarkStart w:id="87" w:name="_Toc98769895"/>
      <w:r>
        <w:rPr>
          <w:rStyle w:val="CharSectno"/>
        </w:rPr>
        <w:t>42D</w:t>
      </w:r>
      <w:r>
        <w:t>.</w:t>
      </w:r>
      <w:r>
        <w:tab/>
        <w:t>Duty of good faith does not require concluded industrial agreement</w:t>
      </w:r>
      <w:bookmarkEnd w:id="87"/>
    </w:p>
    <w:p>
      <w:pPr>
        <w:pStyle w:val="Subsection"/>
      </w:pPr>
      <w:r>
        <w:tab/>
      </w:r>
      <w:r>
        <w:tab/>
        <w:t>The duty of good faith in section 42B does not require a negotiating party —</w:t>
      </w:r>
    </w:p>
    <w:p>
      <w:pPr>
        <w:pStyle w:val="Indenta"/>
        <w:spacing w:before="60"/>
      </w:pPr>
      <w:r>
        <w:tab/>
        <w:t>(a)</w:t>
      </w:r>
      <w:r>
        <w:tab/>
        <w:t>to agree on any matter for inclusion in, or exclusion from, an industrial agreement; or</w:t>
      </w:r>
    </w:p>
    <w:p>
      <w:pPr>
        <w:pStyle w:val="Indenta"/>
        <w:spacing w:before="60"/>
      </w:pPr>
      <w:r>
        <w:tab/>
        <w:t>(b)</w:t>
      </w:r>
      <w:r>
        <w:tab/>
        <w:t>to enter into an industrial agreement.</w:t>
      </w:r>
    </w:p>
    <w:p>
      <w:pPr>
        <w:pStyle w:val="Footnotesection"/>
      </w:pPr>
      <w:r>
        <w:tab/>
        <w:t>[Section 42D inserted: No. 20 of 2002 s. 133.]</w:t>
      </w:r>
    </w:p>
    <w:p>
      <w:pPr>
        <w:pStyle w:val="Heading5"/>
        <w:pageBreakBefore/>
        <w:spacing w:before="0"/>
      </w:pPr>
      <w:bookmarkStart w:id="88" w:name="_Toc98769896"/>
      <w:r>
        <w:rPr>
          <w:rStyle w:val="CharSectno"/>
        </w:rPr>
        <w:lastRenderedPageBreak/>
        <w:t>42E</w:t>
      </w:r>
      <w:r>
        <w:t>.</w:t>
      </w:r>
      <w:r>
        <w:tab/>
        <w:t>Commission may assist bargaining</w:t>
      </w:r>
      <w:bookmarkEnd w:id="88"/>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Without limiting subsection (1) the Commission may make orders and give directions for the purpose of —</w:t>
      </w:r>
    </w:p>
    <w:p>
      <w:pPr>
        <w:pStyle w:val="Indenta"/>
        <w:spacing w:before="60"/>
      </w:pPr>
      <w:r>
        <w:tab/>
        <w:t>(a)</w:t>
      </w:r>
      <w:r>
        <w:tab/>
        <w:t>ensuring that the negotiating parties bargain in good faith; and</w:t>
      </w:r>
    </w:p>
    <w:p>
      <w:pPr>
        <w:pStyle w:val="Indenta"/>
        <w:spacing w:before="60"/>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No. 20 of 2002 s. 133.]</w:t>
      </w:r>
    </w:p>
    <w:p>
      <w:pPr>
        <w:pStyle w:val="Heading5"/>
      </w:pPr>
      <w:bookmarkStart w:id="89" w:name="_Toc98769897"/>
      <w:r>
        <w:rPr>
          <w:rStyle w:val="CharSectno"/>
        </w:rPr>
        <w:t>42F</w:t>
      </w:r>
      <w:r>
        <w:t>.</w:t>
      </w:r>
      <w:r>
        <w:tab/>
        <w:t>Commission’s power over negotiating parties restricted</w:t>
      </w:r>
      <w:bookmarkEnd w:id="89"/>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No. 20 of 2002 s. 133.]</w:t>
      </w:r>
    </w:p>
    <w:p>
      <w:pPr>
        <w:pStyle w:val="Heading5"/>
        <w:spacing w:before="180"/>
      </w:pPr>
      <w:bookmarkStart w:id="90" w:name="_Toc98769898"/>
      <w:r>
        <w:rPr>
          <w:rStyle w:val="CharSectno"/>
        </w:rPr>
        <w:t>42G</w:t>
      </w:r>
      <w:r>
        <w:t>.</w:t>
      </w:r>
      <w:r>
        <w:tab/>
        <w:t>Parties may agree to Commission making orders as to terms of agreement</w:t>
      </w:r>
      <w:bookmarkEnd w:id="90"/>
    </w:p>
    <w:p>
      <w:pPr>
        <w:pStyle w:val="Subsection"/>
        <w:spacing w:before="120"/>
      </w:pPr>
      <w:r>
        <w:tab/>
        <w:t>(1)</w:t>
      </w:r>
      <w:r>
        <w:tab/>
        <w:t>This section applies where —</w:t>
      </w:r>
    </w:p>
    <w:p>
      <w:pPr>
        <w:pStyle w:val="Indenta"/>
      </w:pPr>
      <w:r>
        <w:tab/>
        <w:t>(a)</w:t>
      </w:r>
      <w:r>
        <w:tab/>
        <w:t>negotiating parties have reached agreement on some, but not all, of the provisions of a proposed agreement; and</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lastRenderedPageBreak/>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No. 20 of 2002 s. 133.]</w:t>
      </w:r>
    </w:p>
    <w:p>
      <w:pPr>
        <w:pStyle w:val="Heading5"/>
        <w:spacing w:before="180"/>
      </w:pPr>
      <w:bookmarkStart w:id="91" w:name="_Toc98769899"/>
      <w:r>
        <w:rPr>
          <w:rStyle w:val="CharSectno"/>
        </w:rPr>
        <w:t>42H</w:t>
      </w:r>
      <w:r>
        <w:t>.</w:t>
      </w:r>
      <w:r>
        <w:tab/>
        <w:t>Commission may declare that bargaining has ended</w:t>
      </w:r>
      <w:bookmarkEnd w:id="91"/>
    </w:p>
    <w:p>
      <w:pPr>
        <w:pStyle w:val="Subsection"/>
      </w:pPr>
      <w:r>
        <w:tab/>
        <w:t>(1)</w:t>
      </w:r>
      <w:r>
        <w:tab/>
        <w:t>If, on the application of a negotiating party, the Commission constituted by a single commissioner determines that —</w:t>
      </w:r>
    </w:p>
    <w:p>
      <w:pPr>
        <w:pStyle w:val="Indenta"/>
      </w:pPr>
      <w:r>
        <w:tab/>
        <w:t>(a)</w:t>
      </w:r>
      <w:r>
        <w:tab/>
        <w:t>the applicant has bargained in good faith; and</w:t>
      </w:r>
    </w:p>
    <w:p>
      <w:pPr>
        <w:pStyle w:val="Indenta"/>
      </w:pPr>
      <w:r>
        <w:tab/>
        <w:t>(b)</w:t>
      </w:r>
      <w:r>
        <w:tab/>
        <w:t>bargaining between the applicant and another negotiating party has failed; and</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No. 20 of 2002 s. 133.]</w:t>
      </w:r>
    </w:p>
    <w:p>
      <w:pPr>
        <w:pStyle w:val="Heading5"/>
        <w:pageBreakBefore/>
        <w:spacing w:before="0"/>
      </w:pPr>
      <w:bookmarkStart w:id="92" w:name="_Toc98769900"/>
      <w:r>
        <w:rPr>
          <w:rStyle w:val="CharSectno"/>
        </w:rPr>
        <w:lastRenderedPageBreak/>
        <w:t>42I</w:t>
      </w:r>
      <w:r>
        <w:t>.</w:t>
      </w:r>
      <w:r>
        <w:tab/>
        <w:t>Enterprise order, applying for and making</w:t>
      </w:r>
      <w:bookmarkEnd w:id="92"/>
    </w:p>
    <w:p>
      <w:pPr>
        <w:pStyle w:val="Subsection"/>
        <w:spacing w:before="120"/>
      </w:pPr>
      <w:r>
        <w:tab/>
        <w:t>(1)</w:t>
      </w:r>
      <w:r>
        <w:tab/>
        <w:t>If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An application for an enterprise order may be made —</w:t>
      </w:r>
    </w:p>
    <w:p>
      <w:pPr>
        <w:pStyle w:val="Indenta"/>
      </w:pPr>
      <w:r>
        <w:tab/>
        <w:t>(a)</w:t>
      </w:r>
      <w:r>
        <w:tab/>
        <w:t>where subsection (1)(a) applies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where subsection (1)(b) applies —</w:t>
      </w:r>
    </w:p>
    <w:p>
      <w:pPr>
        <w:pStyle w:val="Indenti"/>
      </w:pPr>
      <w:r>
        <w:tab/>
        <w:t>(i)</w:t>
      </w:r>
      <w:r>
        <w:tab/>
        <w:t>if the initiating party is not an organisation or association of employers, by the initiating party;</w:t>
      </w:r>
    </w:p>
    <w:p>
      <w:pPr>
        <w:pStyle w:val="Indenti"/>
      </w:pPr>
      <w:r>
        <w:lastRenderedPageBreak/>
        <w:tab/>
        <w:t>(ii)</w:t>
      </w:r>
      <w:r>
        <w:tab/>
        <w:t>if the initiating party is an organisation or association of employers, by an employer who is a member of the initiating party.</w:t>
      </w:r>
    </w:p>
    <w:p>
      <w:pPr>
        <w:pStyle w:val="Subsection"/>
        <w:spacing w:before="180"/>
      </w:pPr>
      <w:r>
        <w:tab/>
        <w:t>(3)</w:t>
      </w:r>
      <w:r>
        <w:tab/>
        <w:t>An application for an enterprise order may be made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No. 20 of 2002 s. 133.]</w:t>
      </w:r>
    </w:p>
    <w:p>
      <w:pPr>
        <w:pStyle w:val="Heading5"/>
      </w:pPr>
      <w:bookmarkStart w:id="93" w:name="_Toc98769901"/>
      <w:r>
        <w:rPr>
          <w:rStyle w:val="CharSectno"/>
        </w:rPr>
        <w:t>42J</w:t>
      </w:r>
      <w:r>
        <w:t>.</w:t>
      </w:r>
      <w:r>
        <w:tab/>
        <w:t>Enterprise order, effect of</w:t>
      </w:r>
      <w:bookmarkEnd w:id="93"/>
    </w:p>
    <w:p>
      <w:pPr>
        <w:pStyle w:val="Subsection"/>
        <w:keepNext/>
        <w:keepLines/>
      </w:pPr>
      <w:r>
        <w:tab/>
        <w:t>(1)</w:t>
      </w:r>
      <w:r>
        <w:tab/>
        <w:t>An enterprise order extends to and binds —</w:t>
      </w:r>
    </w:p>
    <w:p>
      <w:pPr>
        <w:pStyle w:val="Indenta"/>
        <w:spacing w:before="70"/>
      </w:pPr>
      <w:r>
        <w:tab/>
        <w:t>(a)</w:t>
      </w:r>
      <w:r>
        <w:tab/>
        <w:t>all employees who are employed —</w:t>
      </w:r>
    </w:p>
    <w:p>
      <w:pPr>
        <w:pStyle w:val="Indenti"/>
        <w:spacing w:before="70"/>
      </w:pPr>
      <w:r>
        <w:tab/>
        <w:t>(i)</w:t>
      </w:r>
      <w:r>
        <w:tab/>
        <w:t>in any calling mentioned in the enterprise order in the industry or industries to which the enterprise order applies; and</w:t>
      </w:r>
    </w:p>
    <w:p>
      <w:pPr>
        <w:pStyle w:val="Indenti"/>
        <w:spacing w:before="70"/>
      </w:pPr>
      <w:r>
        <w:tab/>
        <w:t>(ii)</w:t>
      </w:r>
      <w:r>
        <w:tab/>
        <w:t>by the employer specified in the order under subsection (5)(a);</w:t>
      </w:r>
    </w:p>
    <w:p>
      <w:pPr>
        <w:pStyle w:val="Indenta"/>
        <w:spacing w:before="70"/>
      </w:pPr>
      <w:r>
        <w:tab/>
      </w:r>
      <w:r>
        <w:tab/>
        <w:t>and</w:t>
      </w:r>
    </w:p>
    <w:p>
      <w:pPr>
        <w:pStyle w:val="Indenta"/>
        <w:spacing w:before="70"/>
      </w:pPr>
      <w:r>
        <w:tab/>
        <w:t>(b)</w:t>
      </w:r>
      <w:r>
        <w:tab/>
        <w:t>the employer specified in the order under subsection (5)(a),</w:t>
      </w:r>
    </w:p>
    <w:p>
      <w:pPr>
        <w:pStyle w:val="Subsection"/>
        <w:spacing w:before="140"/>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lastRenderedPageBreak/>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The Commission is to specify in the enterprise order —</w:t>
      </w:r>
    </w:p>
    <w:p>
      <w:pPr>
        <w:pStyle w:val="Indenta"/>
        <w:spacing w:before="70"/>
      </w:pPr>
      <w:r>
        <w:tab/>
        <w:t>(a)</w:t>
      </w:r>
      <w:r>
        <w:tab/>
        <w:t>the employer to whom the enterprise order extends and who is bound by the enterprise order; and</w:t>
      </w:r>
    </w:p>
    <w:p>
      <w:pPr>
        <w:pStyle w:val="Indenta"/>
        <w:spacing w:before="70"/>
      </w:pPr>
      <w:r>
        <w:tab/>
        <w:t>(b)</w:t>
      </w:r>
      <w:r>
        <w:tab/>
        <w:t>any organisation or association of employees that is a relevant negotiating party or person referred to in section 42I(1)(b), as the case requires.</w:t>
      </w:r>
    </w:p>
    <w:p>
      <w:pPr>
        <w:pStyle w:val="Subsection"/>
      </w:pPr>
      <w:r>
        <w:tab/>
        <w:t>(6)</w:t>
      </w:r>
      <w:r>
        <w:tab/>
        <w:t>The employer specified under subsection (5)(a) is to be —</w:t>
      </w:r>
    </w:p>
    <w:p>
      <w:pPr>
        <w:pStyle w:val="Indenta"/>
        <w:spacing w:before="70"/>
      </w:pPr>
      <w:r>
        <w:tab/>
        <w:t>(a)</w:t>
      </w:r>
      <w:r>
        <w:tab/>
        <w:t>the applicant for the enterprise order; or</w:t>
      </w:r>
    </w:p>
    <w:p>
      <w:pPr>
        <w:pStyle w:val="Indenta"/>
        <w:spacing w:before="70"/>
      </w:pPr>
      <w:r>
        <w:tab/>
        <w:t>(b)</w:t>
      </w:r>
      <w:r>
        <w:tab/>
        <w:t>if the applicant for the enterprise order was an organisation or association of employees —</w:t>
      </w:r>
    </w:p>
    <w:p>
      <w:pPr>
        <w:pStyle w:val="Indenti"/>
        <w:spacing w:before="70"/>
      </w:pPr>
      <w:r>
        <w:tab/>
        <w:t>(i)</w:t>
      </w:r>
      <w:r>
        <w:tab/>
        <w:t>the negotiating party; or</w:t>
      </w:r>
    </w:p>
    <w:p>
      <w:pPr>
        <w:pStyle w:val="Indenti"/>
      </w:pPr>
      <w:r>
        <w:tab/>
        <w:t>(ii)</w:t>
      </w:r>
      <w:r>
        <w:tab/>
        <w:t>the person referred to in section 42I(1)(b); or</w:t>
      </w:r>
    </w:p>
    <w:p>
      <w:pPr>
        <w:pStyle w:val="Indenti"/>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spacing w:before="100"/>
        <w:ind w:left="890" w:hanging="890"/>
      </w:pPr>
      <w:r>
        <w:tab/>
        <w:t>[Section 42J inserted: No. 20 of 2002 s. 133.]</w:t>
      </w:r>
    </w:p>
    <w:p>
      <w:pPr>
        <w:pStyle w:val="Heading5"/>
      </w:pPr>
      <w:bookmarkStart w:id="94" w:name="_Toc98769902"/>
      <w:r>
        <w:rPr>
          <w:rStyle w:val="CharSectno"/>
        </w:rPr>
        <w:t>42K</w:t>
      </w:r>
      <w:r>
        <w:t>.</w:t>
      </w:r>
      <w:r>
        <w:tab/>
        <w:t>Enterprise order, term of and varying etc.</w:t>
      </w:r>
      <w:bookmarkEnd w:id="94"/>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lastRenderedPageBreak/>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The Commission is not to register an industrial agreement in substitution for an enterprise order unless —</w:t>
      </w:r>
    </w:p>
    <w:p>
      <w:pPr>
        <w:pStyle w:val="Indenta"/>
        <w:spacing w:before="70"/>
      </w:pPr>
      <w:r>
        <w:tab/>
        <w:t>(a)</w:t>
      </w:r>
      <w:r>
        <w:tab/>
        <w:t>the application to the Commission to register the industrial agreement is made by each of the persons specified in the order under section 42J(5); or</w:t>
      </w:r>
    </w:p>
    <w:p>
      <w:pPr>
        <w:pStyle w:val="Indenta"/>
        <w:spacing w:before="70"/>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No. 20 of 2002 s. 133.]</w:t>
      </w:r>
    </w:p>
    <w:p>
      <w:pPr>
        <w:pStyle w:val="Heading5"/>
      </w:pPr>
      <w:bookmarkStart w:id="95" w:name="_Toc98769903"/>
      <w:r>
        <w:rPr>
          <w:rStyle w:val="CharSectno"/>
        </w:rPr>
        <w:t>42L</w:t>
      </w:r>
      <w:r>
        <w:t>.</w:t>
      </w:r>
      <w:r>
        <w:tab/>
        <w:t>When bargaining ends</w:t>
      </w:r>
      <w:bookmarkEnd w:id="95"/>
    </w:p>
    <w:p>
      <w:pPr>
        <w:pStyle w:val="Subsection"/>
      </w:pPr>
      <w:r>
        <w:tab/>
      </w:r>
      <w:r>
        <w:tab/>
        <w:t>Bargaining initiated under section 42(1) ends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No. 20 of 2002 s. 133.]</w:t>
      </w:r>
    </w:p>
    <w:p>
      <w:pPr>
        <w:pStyle w:val="Heading5"/>
        <w:pageBreakBefore/>
        <w:spacing w:before="0"/>
      </w:pPr>
      <w:bookmarkStart w:id="96" w:name="_Toc98769904"/>
      <w:r>
        <w:rPr>
          <w:rStyle w:val="CharSectno"/>
        </w:rPr>
        <w:lastRenderedPageBreak/>
        <w:t>42M</w:t>
      </w:r>
      <w:r>
        <w:t>.</w:t>
      </w:r>
      <w:r>
        <w:tab/>
        <w:t>Regulations for this Division</w:t>
      </w:r>
      <w:bookmarkEnd w:id="96"/>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No. 20 of 2002 s. 133.]</w:t>
      </w:r>
    </w:p>
    <w:p>
      <w:pPr>
        <w:pStyle w:val="Heading5"/>
        <w:spacing w:before="240"/>
        <w:rPr>
          <w:snapToGrid w:val="0"/>
        </w:rPr>
      </w:pPr>
      <w:bookmarkStart w:id="97" w:name="_Toc98769905"/>
      <w:r>
        <w:rPr>
          <w:rStyle w:val="CharSectno"/>
        </w:rPr>
        <w:t>43</w:t>
      </w:r>
      <w:r>
        <w:rPr>
          <w:snapToGrid w:val="0"/>
        </w:rPr>
        <w:t>.</w:t>
      </w:r>
      <w:r>
        <w:rPr>
          <w:snapToGrid w:val="0"/>
        </w:rPr>
        <w:tab/>
        <w:t>Industrial agreement, varying, renewing and cancelling</w:t>
      </w:r>
      <w:bookmarkEnd w:id="97"/>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[Section 43 inserted: No. 94 of 1984 s. 26; amended: No. 15 of 1993 s. 16; No. 1 of 1995 s. 50.]</w:t>
      </w:r>
    </w:p>
    <w:p>
      <w:pPr>
        <w:pStyle w:val="Heading3"/>
        <w:keepLines/>
        <w:pageBreakBefore/>
        <w:spacing w:before="0"/>
      </w:pPr>
      <w:bookmarkStart w:id="98" w:name="_Toc98504989"/>
      <w:bookmarkStart w:id="99" w:name="_Toc98506688"/>
      <w:bookmarkStart w:id="100" w:name="_Toc98507851"/>
      <w:bookmarkStart w:id="101" w:name="_Toc98769906"/>
      <w:r>
        <w:rPr>
          <w:rStyle w:val="CharDivNo"/>
        </w:rPr>
        <w:lastRenderedPageBreak/>
        <w:t>Division 2C</w:t>
      </w:r>
      <w:r>
        <w:t xml:space="preserve"> — </w:t>
      </w:r>
      <w:r>
        <w:rPr>
          <w:rStyle w:val="CharDivText"/>
        </w:rPr>
        <w:t>Holding of compulsory conferences</w:t>
      </w:r>
      <w:bookmarkEnd w:id="98"/>
      <w:bookmarkEnd w:id="99"/>
      <w:bookmarkEnd w:id="100"/>
      <w:bookmarkEnd w:id="101"/>
    </w:p>
    <w:p>
      <w:pPr>
        <w:pStyle w:val="Footnoteheading"/>
        <w:keepNext/>
        <w:keepLines/>
        <w:tabs>
          <w:tab w:val="left" w:pos="851"/>
        </w:tabs>
      </w:pPr>
      <w:r>
        <w:tab/>
        <w:t>[Heading inserted: No. 20 of 2002 s. 119(1).]</w:t>
      </w:r>
    </w:p>
    <w:p>
      <w:pPr>
        <w:pStyle w:val="Heading5"/>
        <w:rPr>
          <w:snapToGrid w:val="0"/>
        </w:rPr>
      </w:pPr>
      <w:bookmarkStart w:id="102" w:name="_Toc98769907"/>
      <w:r>
        <w:rPr>
          <w:rStyle w:val="CharSectno"/>
        </w:rPr>
        <w:t>44</w:t>
      </w:r>
      <w:r>
        <w:rPr>
          <w:snapToGrid w:val="0"/>
        </w:rPr>
        <w:t>.</w:t>
      </w:r>
      <w:r>
        <w:rPr>
          <w:snapToGrid w:val="0"/>
        </w:rPr>
        <w:tab/>
        <w:t>Compulsory conference, summoning, holding etc.</w:t>
      </w:r>
      <w:bookmarkEnd w:id="102"/>
    </w:p>
    <w:p>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spacing w:before="140"/>
        <w:rPr>
          <w:snapToGrid w:val="0"/>
        </w:rPr>
      </w:pPr>
      <w:r>
        <w:rPr>
          <w:snapToGrid w:val="0"/>
        </w:rPr>
        <w:tab/>
        <w:t>(2)</w:t>
      </w:r>
      <w:r>
        <w:rPr>
          <w:snapToGrid w:val="0"/>
        </w:rPr>
        <w:tab/>
        <w:t>A summons under this section —</w:t>
      </w:r>
    </w:p>
    <w:p>
      <w:pPr>
        <w:pStyle w:val="Indenta"/>
        <w:spacing w:before="60"/>
        <w:rPr>
          <w:snapToGrid w:val="0"/>
        </w:rPr>
      </w:pPr>
      <w:r>
        <w:rPr>
          <w:snapToGrid w:val="0"/>
        </w:rPr>
        <w:tab/>
        <w:t>(a)</w:t>
      </w:r>
      <w:r>
        <w:rPr>
          <w:snapToGrid w:val="0"/>
        </w:rPr>
        <w:tab/>
        <w:t>may be given in the prescribed manner; and</w:t>
      </w:r>
    </w:p>
    <w:p>
      <w:pPr>
        <w:pStyle w:val="Indenta"/>
        <w:spacing w:before="60"/>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spacing w:before="140"/>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Next/>
        <w:keepLines/>
        <w:rPr>
          <w:snapToGrid w:val="0"/>
        </w:rPr>
      </w:pPr>
      <w:r>
        <w:rPr>
          <w:snapToGrid w:val="0"/>
        </w:rPr>
        <w:lastRenderedPageBreak/>
        <w:tab/>
        <w:t>(6)</w:t>
      </w:r>
      <w:r>
        <w:rPr>
          <w:snapToGrid w:val="0"/>
        </w:rPr>
        <w:tab/>
        <w:t>The Commission may, at or in relation to a conference under this section, make such suggestions and give such directions as it considers appropriate and, without limiting the generality of the foregoing may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 and</w:t>
      </w:r>
    </w:p>
    <w:p>
      <w:pPr>
        <w:pStyle w:val="Indenta"/>
        <w:rPr>
          <w:snapToGrid w:val="0"/>
        </w:rPr>
      </w:pPr>
      <w:r>
        <w:rPr>
          <w:snapToGrid w:val="0"/>
        </w:rPr>
        <w:tab/>
        <w:t>(b)</w:t>
      </w:r>
      <w:r>
        <w:rPr>
          <w:snapToGrid w:val="0"/>
        </w:rPr>
        <w:tab/>
        <w:t>direct that disclosure of any matter discussed at the conference be limited in such manner as the Commission may specify; and</w:t>
      </w:r>
    </w:p>
    <w:p>
      <w:pPr>
        <w:pStyle w:val="Indenta"/>
        <w:rPr>
          <w:snapToGrid w:val="0"/>
        </w:rPr>
      </w:pPr>
      <w:r>
        <w:rPr>
          <w:snapToGrid w:val="0"/>
        </w:rPr>
        <w:tab/>
        <w:t>(ba)</w:t>
      </w:r>
      <w:r>
        <w:rPr>
          <w:snapToGrid w:val="0"/>
        </w:rPr>
        <w:tab/>
        <w:t>with respect to industrial matters, give such directions and make such orders as will in the opinion of the Commission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 or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r>
      <w:r>
        <w:tab/>
        <w:t>and</w:t>
      </w:r>
    </w:p>
    <w:p>
      <w:pPr>
        <w:pStyle w:val="Indenta"/>
      </w:pPr>
      <w:r>
        <w:tab/>
        <w:t>(bb)</w:t>
      </w:r>
      <w:r>
        <w:tab/>
        <w:t>with respect to industrial matters —</w:t>
      </w:r>
    </w:p>
    <w:p>
      <w:pPr>
        <w:pStyle w:val="Indenti"/>
      </w:pPr>
      <w:r>
        <w:tab/>
        <w:t>(i)</w:t>
      </w:r>
      <w:r>
        <w:tab/>
        <w:t>give any direction or make any order or declaration which the Commission is otherwise authorised to give or make under this Act; and</w:t>
      </w:r>
    </w:p>
    <w:p>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pPr>
        <w:pStyle w:val="Indenta"/>
      </w:pPr>
      <w:r>
        <w:lastRenderedPageBreak/>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w:t>
      </w:r>
    </w:p>
    <w:p>
      <w:pPr>
        <w:pStyle w:val="Indenta"/>
        <w:rPr>
          <w:snapToGrid w:val="0"/>
        </w:rPr>
      </w:pPr>
      <w:r>
        <w:rPr>
          <w:snapToGrid w:val="0"/>
        </w:rPr>
        <w:tab/>
        <w:t>(a)</w:t>
      </w:r>
      <w:r>
        <w:rPr>
          <w:snapToGrid w:val="0"/>
        </w:rPr>
        <w:tab/>
        <w:t>on the application of —</w:t>
      </w:r>
    </w:p>
    <w:p>
      <w:pPr>
        <w:pStyle w:val="Indenti"/>
        <w:rPr>
          <w:snapToGrid w:val="0"/>
        </w:rPr>
      </w:pPr>
      <w:r>
        <w:rPr>
          <w:snapToGrid w:val="0"/>
        </w:rPr>
        <w:tab/>
        <w:t>(i)</w:t>
      </w:r>
      <w:r>
        <w:rPr>
          <w:snapToGrid w:val="0"/>
        </w:rPr>
        <w:tab/>
        <w:t>any organisation, association or employer; or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lastRenderedPageBreak/>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w:t>
      </w:r>
    </w:p>
    <w:p>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spacing w:before="60"/>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spacing w:before="140"/>
        <w:rPr>
          <w:snapToGrid w:val="0"/>
        </w:rPr>
      </w:pPr>
      <w:r>
        <w:rPr>
          <w:snapToGrid w:val="0"/>
        </w:rPr>
        <w:tab/>
        <w:t>(12a)</w:t>
      </w:r>
      <w:r>
        <w:rPr>
          <w:snapToGrid w:val="0"/>
        </w:rPr>
        <w:tab/>
        <w:t xml:space="preserve">Where, at the conclusion of a conference held in accordance with this section, any question, dispute, or disagreement in </w:t>
      </w:r>
      <w:r>
        <w:rPr>
          <w:snapToGrid w:val="0"/>
        </w:rPr>
        <w:lastRenderedPageBreak/>
        <w:t>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spacing w:before="140"/>
        <w:rPr>
          <w:snapToGrid w:val="0"/>
        </w:rPr>
      </w:pPr>
      <w:r>
        <w:rPr>
          <w:snapToGrid w:val="0"/>
        </w:rPr>
        <w:tab/>
        <w:t>(12c)</w:t>
      </w:r>
      <w:r>
        <w:rPr>
          <w:snapToGrid w:val="0"/>
        </w:rPr>
        <w:tab/>
        <w:t>Notwithstanding section 49 no appeal shall lie from an order made under subsection (12a).</w:t>
      </w:r>
    </w:p>
    <w:p>
      <w:pPr>
        <w:pStyle w:val="Subsection"/>
        <w:spacing w:before="140"/>
      </w:pPr>
      <w:r>
        <w:tab/>
        <w:t>(12d)</w:t>
      </w:r>
      <w:r>
        <w:tab/>
        <w:t>As soon as is practicable after giving or making a direction, order or declaration orally under this section, the Commission shall —</w:t>
      </w:r>
    </w:p>
    <w:p>
      <w:pPr>
        <w:pStyle w:val="Indenta"/>
        <w:spacing w:before="60"/>
      </w:pPr>
      <w:r>
        <w:tab/>
        <w:t>(a)</w:t>
      </w:r>
      <w:r>
        <w:tab/>
        <w:t>reduce the direction, order or declaration to writing; and</w:t>
      </w:r>
    </w:p>
    <w:p>
      <w:pPr>
        <w:pStyle w:val="Indenta"/>
        <w:spacing w:before="60"/>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No. 121 of 1982 s. 18; No. 94 of 1984 s. 27, 65 and 66; No. 119 of 1987 s. 10; No. 15 of 1993 s. 17; No. 3 of 1997 s. 37; No. 20 of 2002 s. 141(1), 151 and 194(5); amended: Gazette 15 Aug 2003 p. 3686.]</w:t>
      </w:r>
    </w:p>
    <w:p>
      <w:pPr>
        <w:pStyle w:val="Ednotesection"/>
      </w:pPr>
      <w:r>
        <w:t>[</w:t>
      </w:r>
      <w:r>
        <w:rPr>
          <w:b/>
        </w:rPr>
        <w:t>45.</w:t>
      </w:r>
      <w:r>
        <w:tab/>
        <w:t>Deleted: No. 94 of 1984 s. 66.]</w:t>
      </w:r>
    </w:p>
    <w:p>
      <w:pPr>
        <w:pStyle w:val="Heading3"/>
        <w:pageBreakBefore/>
        <w:spacing w:before="0"/>
      </w:pPr>
      <w:bookmarkStart w:id="103" w:name="_Toc98504991"/>
      <w:bookmarkStart w:id="104" w:name="_Toc98506690"/>
      <w:bookmarkStart w:id="105" w:name="_Toc98507853"/>
      <w:bookmarkStart w:id="106" w:name="_Toc98769908"/>
      <w:r>
        <w:rPr>
          <w:rStyle w:val="CharDivNo"/>
        </w:rPr>
        <w:lastRenderedPageBreak/>
        <w:t>Division 2D</w:t>
      </w:r>
      <w:r>
        <w:t xml:space="preserve"> — </w:t>
      </w:r>
      <w:r>
        <w:rPr>
          <w:rStyle w:val="CharDivText"/>
        </w:rPr>
        <w:t>Miscellaneous provisions relating to awards, orders and agreements</w:t>
      </w:r>
      <w:bookmarkEnd w:id="103"/>
      <w:bookmarkEnd w:id="104"/>
      <w:bookmarkEnd w:id="105"/>
      <w:bookmarkEnd w:id="106"/>
    </w:p>
    <w:p>
      <w:pPr>
        <w:pStyle w:val="Footnoteheading"/>
        <w:tabs>
          <w:tab w:val="left" w:pos="851"/>
        </w:tabs>
      </w:pPr>
      <w:r>
        <w:tab/>
        <w:t>[Heading inserted: No. 20 of 2002 s. 119(2).]</w:t>
      </w:r>
    </w:p>
    <w:p>
      <w:pPr>
        <w:pStyle w:val="Heading5"/>
        <w:keepNext w:val="0"/>
        <w:keepLines w:val="0"/>
        <w:rPr>
          <w:snapToGrid w:val="0"/>
        </w:rPr>
      </w:pPr>
      <w:bookmarkStart w:id="107" w:name="_Toc98769909"/>
      <w:r>
        <w:rPr>
          <w:rStyle w:val="CharSectno"/>
        </w:rPr>
        <w:t>46</w:t>
      </w:r>
      <w:r>
        <w:rPr>
          <w:snapToGrid w:val="0"/>
        </w:rPr>
        <w:t>.</w:t>
      </w:r>
      <w:r>
        <w:rPr>
          <w:snapToGrid w:val="0"/>
        </w:rPr>
        <w:tab/>
        <w:t>Interpretation of awards and orders by Commission</w:t>
      </w:r>
      <w:bookmarkEnd w:id="107"/>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spacing w:before="100"/>
        <w:ind w:left="890" w:hanging="890"/>
      </w:pPr>
      <w:r>
        <w:tab/>
        <w:t>[Section 46 amended: No. 94 of 1984 s. 66.]</w:t>
      </w:r>
    </w:p>
    <w:p>
      <w:pPr>
        <w:pStyle w:val="Heading5"/>
        <w:spacing w:before="200"/>
        <w:rPr>
          <w:snapToGrid w:val="0"/>
        </w:rPr>
      </w:pPr>
      <w:bookmarkStart w:id="108" w:name="_Toc98769910"/>
      <w:r>
        <w:rPr>
          <w:rStyle w:val="CharSectno"/>
        </w:rPr>
        <w:t>47</w:t>
      </w:r>
      <w:r>
        <w:rPr>
          <w:snapToGrid w:val="0"/>
        </w:rPr>
        <w:t>.</w:t>
      </w:r>
      <w:r>
        <w:rPr>
          <w:snapToGrid w:val="0"/>
        </w:rPr>
        <w:tab/>
        <w:t>Defunct awards etc., cancelling; employers not in business etc., deleting from awards etc.</w:t>
      </w:r>
      <w:bookmarkEnd w:id="108"/>
    </w:p>
    <w:p>
      <w:pPr>
        <w:pStyle w:val="Subsection"/>
        <w:spacing w:before="120"/>
        <w:rPr>
          <w:snapToGrid w:val="0"/>
        </w:rPr>
      </w:pPr>
      <w:r>
        <w:rPr>
          <w:snapToGrid w:val="0"/>
        </w:rPr>
        <w:tab/>
        <w:t>(1)</w:t>
      </w:r>
      <w:r>
        <w:rPr>
          <w:snapToGrid w:val="0"/>
        </w:rPr>
        <w:tab/>
        <w:t xml:space="preserve">Subject to subsections (3), (4) and (5), where, in the opinion of the Commission, there is no employee to whom an award or </w:t>
      </w:r>
      <w:r>
        <w:rPr>
          <w:snapToGrid w:val="0"/>
        </w:rPr>
        <w:lastRenderedPageBreak/>
        <w:t>industrial agreement applies, the Commission may on its own motion, by order, cancel that award or industrial agreement.</w:t>
      </w:r>
    </w:p>
    <w:p>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spacing w:before="120"/>
        <w:rPr>
          <w:snapToGrid w:val="0"/>
        </w:rPr>
      </w:pPr>
      <w:r>
        <w:rPr>
          <w:snapToGrid w:val="0"/>
        </w:rPr>
        <w:tab/>
        <w:t>(3)</w:t>
      </w:r>
      <w:r>
        <w:rPr>
          <w:snapToGrid w:val="0"/>
        </w:rPr>
        <w:tab/>
        <w:t>The Commission shall not make an order under subsection (1), (2) or (2a) unless before making the order —</w:t>
      </w:r>
    </w:p>
    <w:p>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spacing w:before="60"/>
        <w:rPr>
          <w:snapToGrid w:val="0"/>
        </w:rPr>
      </w:pPr>
      <w:r>
        <w:rPr>
          <w:snapToGrid w:val="0"/>
        </w:rPr>
        <w:tab/>
        <w:t>(b)</w:t>
      </w:r>
      <w:r>
        <w:rPr>
          <w:snapToGrid w:val="0"/>
        </w:rPr>
        <w:tab/>
        <w:t>after receiving the report of the Registrar, the Commission has —</w:t>
      </w:r>
    </w:p>
    <w:p>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lastRenderedPageBreak/>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No. 94 of 1984 s. 28 and 66; No. 15 of 1993 s. 31; No. 1 of </w:t>
      </w:r>
      <w:r>
        <w:rPr>
          <w:spacing w:val="-4"/>
        </w:rPr>
        <w:t>1995 s. 53; No. 20 of 2002 s. 190(2) and (3); No. 53 of 2011 s. 48.]</w:t>
      </w:r>
    </w:p>
    <w:p>
      <w:pPr>
        <w:pStyle w:val="Heading5"/>
        <w:rPr>
          <w:snapToGrid w:val="0"/>
        </w:rPr>
      </w:pPr>
      <w:bookmarkStart w:id="109" w:name="_Toc98769911"/>
      <w:r>
        <w:rPr>
          <w:rStyle w:val="CharSectno"/>
        </w:rPr>
        <w:t>48</w:t>
      </w:r>
      <w:r>
        <w:rPr>
          <w:snapToGrid w:val="0"/>
        </w:rPr>
        <w:t>.</w:t>
      </w:r>
      <w:r>
        <w:rPr>
          <w:snapToGrid w:val="0"/>
        </w:rPr>
        <w:tab/>
        <w:t>Board of Reference for each award</w:t>
      </w:r>
      <w:bookmarkEnd w:id="109"/>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 xml:space="preserve">and, in the case of an appointment in accordance with paragraph (b) may terminate such appointment and make </w:t>
      </w:r>
      <w:r>
        <w:rPr>
          <w:snapToGrid w:val="0"/>
        </w:rPr>
        <w:lastRenderedPageBreak/>
        <w:t>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lastRenderedPageBreak/>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[Section 48 amended: No. 94 of 1984 s. 29 and 66; No. 119 of 1987 s. 11.]</w:t>
      </w:r>
    </w:p>
    <w:p>
      <w:pPr>
        <w:pStyle w:val="Heading5"/>
        <w:rPr>
          <w:snapToGrid w:val="0"/>
        </w:rPr>
      </w:pPr>
      <w:bookmarkStart w:id="110" w:name="_Toc98769912"/>
      <w:r>
        <w:rPr>
          <w:rStyle w:val="CharSectno"/>
        </w:rPr>
        <w:t>48A</w:t>
      </w:r>
      <w:r>
        <w:rPr>
          <w:snapToGrid w:val="0"/>
        </w:rPr>
        <w:t xml:space="preserve">. </w:t>
      </w:r>
      <w:r>
        <w:rPr>
          <w:snapToGrid w:val="0"/>
        </w:rPr>
        <w:tab/>
        <w:t>Awards etc. to provide for dispute resolution</w:t>
      </w:r>
      <w:bookmarkEnd w:id="110"/>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lastRenderedPageBreak/>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No. 79 of 1995 s. 11; amended: No. 3 of 1997 s. 31 </w:t>
      </w:r>
      <w:r>
        <w:rPr>
          <w:i w:val="0"/>
          <w:vertAlign w:val="superscript"/>
        </w:rPr>
        <w:t>5</w:t>
      </w:r>
      <w:r>
        <w:t>; renumbered as section 48A: No. 20 of 2002 s. 120.]</w:t>
      </w:r>
    </w:p>
    <w:p>
      <w:pPr>
        <w:pStyle w:val="Heading5"/>
      </w:pPr>
      <w:bookmarkStart w:id="111" w:name="_Toc98769913"/>
      <w:r>
        <w:rPr>
          <w:rStyle w:val="CharSectno"/>
        </w:rPr>
        <w:t>48B</w:t>
      </w:r>
      <w:r>
        <w:t>.</w:t>
      </w:r>
      <w:r>
        <w:tab/>
        <w:t>Superannuation, provisions about in awards etc.</w:t>
      </w:r>
      <w:bookmarkEnd w:id="111"/>
    </w:p>
    <w:p>
      <w:pPr>
        <w:pStyle w:val="Subsection"/>
        <w:keepNext/>
      </w:pPr>
      <w:r>
        <w:tab/>
        <w:t>(1)</w:t>
      </w:r>
      <w:r>
        <w:tab/>
        <w:t>In this section —</w:t>
      </w:r>
    </w:p>
    <w:p>
      <w:pPr>
        <w:pStyle w:val="Defstart"/>
      </w:pPr>
      <w:r>
        <w:tab/>
      </w:r>
      <w:r>
        <w:rPr>
          <w:rStyle w:val="CharDefText"/>
        </w:rPr>
        <w:t>complying superannuation fund or scheme</w:t>
      </w:r>
      <w:r>
        <w:t xml:space="preserve"> means a superannuation fund or scheme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w:t>
      </w:r>
    </w:p>
    <w:p>
      <w:pPr>
        <w:pStyle w:val="Indenta"/>
        <w:spacing w:before="60"/>
      </w:pPr>
      <w:r>
        <w:tab/>
        <w:t>(a)</w:t>
      </w:r>
      <w:r>
        <w:tab/>
        <w:t>permits the employee to nominate a complying superannuation fund or scheme; and</w:t>
      </w:r>
    </w:p>
    <w:p>
      <w:pPr>
        <w:pStyle w:val="Indenta"/>
        <w:spacing w:before="60"/>
      </w:pPr>
      <w:r>
        <w:tab/>
        <w:t>(b)</w:t>
      </w:r>
      <w:r>
        <w:tab/>
        <w:t>requires the employer to notify the employee of the entitlement to nominate a complying superannuation fund or scheme; and</w:t>
      </w:r>
    </w:p>
    <w:p>
      <w:pPr>
        <w:pStyle w:val="Indenta"/>
        <w:keepNext/>
        <w:spacing w:before="60"/>
      </w:pPr>
      <w:r>
        <w:lastRenderedPageBreak/>
        <w:tab/>
        <w:t>(c)</w:t>
      </w:r>
      <w:r>
        <w:tab/>
        <w:t>requires the employer —</w:t>
      </w:r>
    </w:p>
    <w:p>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spacing w:before="60"/>
      </w:pPr>
      <w:r>
        <w:tab/>
      </w:r>
      <w:r>
        <w:tab/>
        <w:t>and</w:t>
      </w:r>
    </w:p>
    <w:p>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spacing w:before="60"/>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w:t>
      </w:r>
    </w:p>
    <w:p>
      <w:pPr>
        <w:pStyle w:val="Indenta"/>
        <w:spacing w:before="6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pPr>
      <w:r>
        <w:tab/>
        <w:t>(4)</w:t>
      </w:r>
      <w:r>
        <w:tab/>
        <w:t>A person shall not by threats or intimidation persuade or attempt to persuade —</w:t>
      </w:r>
    </w:p>
    <w:p>
      <w:pPr>
        <w:pStyle w:val="Indenta"/>
      </w:pPr>
      <w:r>
        <w:tab/>
        <w:t>(a)</w:t>
      </w:r>
      <w:r>
        <w:tab/>
        <w:t>an employee or prospective employee to nominate a particular superannuation fund or scheme; or</w:t>
      </w:r>
    </w:p>
    <w:p>
      <w:pPr>
        <w:pStyle w:val="Indenta"/>
      </w:pPr>
      <w:r>
        <w:lastRenderedPageBreak/>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pPr>
      <w:r>
        <w:tab/>
        <w:t>(5)</w:t>
      </w:r>
      <w:r>
        <w:tab/>
        <w:t>In subsection (4)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ind w:left="890" w:hanging="890"/>
      </w:pPr>
      <w:r>
        <w:tab/>
        <w:t>[Section 48B inserted as section 49C: No. 79 of 1995 s. 13(1); renumbered as section 48B: No. 20 of 2002 s. 120.]</w:t>
      </w:r>
    </w:p>
    <w:p>
      <w:pPr>
        <w:pStyle w:val="Heading3"/>
        <w:keepLines/>
      </w:pPr>
      <w:bookmarkStart w:id="112" w:name="_Toc98504997"/>
      <w:bookmarkStart w:id="113" w:name="_Toc98506696"/>
      <w:bookmarkStart w:id="114" w:name="_Toc98507859"/>
      <w:bookmarkStart w:id="115" w:name="_Toc98769914"/>
      <w:r>
        <w:rPr>
          <w:rStyle w:val="CharDivNo"/>
        </w:rPr>
        <w:t>Division 2E</w:t>
      </w:r>
      <w:r>
        <w:t xml:space="preserve"> — </w:t>
      </w:r>
      <w:r>
        <w:rPr>
          <w:rStyle w:val="CharDivText"/>
        </w:rPr>
        <w:t>Appeals to the Full Bench</w:t>
      </w:r>
      <w:bookmarkEnd w:id="112"/>
      <w:bookmarkEnd w:id="113"/>
      <w:bookmarkEnd w:id="114"/>
      <w:bookmarkEnd w:id="115"/>
    </w:p>
    <w:p>
      <w:pPr>
        <w:pStyle w:val="Footnoteheading"/>
        <w:keepNext/>
        <w:keepLines/>
        <w:tabs>
          <w:tab w:val="left" w:pos="851"/>
        </w:tabs>
      </w:pPr>
      <w:r>
        <w:tab/>
        <w:t>[Heading inserted: No. 20 of 2002 s. 119(3).]</w:t>
      </w:r>
    </w:p>
    <w:p>
      <w:pPr>
        <w:pStyle w:val="Heading5"/>
        <w:rPr>
          <w:snapToGrid w:val="0"/>
        </w:rPr>
      </w:pPr>
      <w:bookmarkStart w:id="116" w:name="_Toc98769915"/>
      <w:r>
        <w:rPr>
          <w:rStyle w:val="CharSectno"/>
        </w:rPr>
        <w:t>49</w:t>
      </w:r>
      <w:r>
        <w:rPr>
          <w:snapToGrid w:val="0"/>
        </w:rPr>
        <w:t>.</w:t>
      </w:r>
      <w:r>
        <w:rPr>
          <w:snapToGrid w:val="0"/>
        </w:rPr>
        <w:tab/>
        <w:t>Appeal from Commission’s decision</w:t>
      </w:r>
      <w:bookmarkEnd w:id="116"/>
    </w:p>
    <w:p>
      <w:pPr>
        <w:pStyle w:val="Subsection"/>
        <w:rPr>
          <w:snapToGrid w:val="0"/>
        </w:rPr>
      </w:pPr>
      <w:r>
        <w:rPr>
          <w:snapToGrid w:val="0"/>
        </w:rPr>
        <w:tab/>
        <w:t>(1)</w:t>
      </w:r>
      <w:r>
        <w:rPr>
          <w:snapToGrid w:val="0"/>
        </w:rPr>
        <w:tab/>
        <w:t xml:space="preserve">In </w:t>
      </w:r>
      <w:r>
        <w:t xml:space="preserve">subsections (2) to (6a) the </w:t>
      </w:r>
      <w:r>
        <w:rPr>
          <w:rStyle w:val="CharDefText"/>
        </w:rPr>
        <w:t>Commission</w:t>
      </w:r>
      <w:r>
        <w:rPr>
          <w:snapToGrid w:val="0"/>
        </w:rPr>
        <w:t xml:space="preserve"> means the Commission constituted by a commissioner, but does not include the Commission exercising jurisdiction under </w:t>
      </w:r>
      <w:r>
        <w:t>section 80ZE or subsection (11).</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An appeal does not lie under this section from a determination —</w:t>
      </w:r>
    </w:p>
    <w:p>
      <w:pPr>
        <w:pStyle w:val="Indenta"/>
      </w:pPr>
      <w:r>
        <w:tab/>
        <w:t>(a)</w:t>
      </w:r>
      <w:r>
        <w:tab/>
        <w:t>of a relevant industrial authority —</w:t>
      </w:r>
    </w:p>
    <w:p>
      <w:pPr>
        <w:pStyle w:val="Indenti"/>
      </w:pPr>
      <w:r>
        <w:tab/>
        <w:t>(i)</w:t>
      </w:r>
      <w:r>
        <w:tab/>
        <w:t>under section 97VP; or</w:t>
      </w:r>
    </w:p>
    <w:p>
      <w:pPr>
        <w:pStyle w:val="Indenti"/>
      </w:pPr>
      <w:r>
        <w:lastRenderedPageBreak/>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w:t>
      </w:r>
    </w:p>
    <w:p>
      <w:pPr>
        <w:pStyle w:val="Indenta"/>
        <w:spacing w:before="70"/>
        <w:rPr>
          <w:snapToGrid w:val="0"/>
        </w:rPr>
      </w:pPr>
      <w:r>
        <w:rPr>
          <w:snapToGrid w:val="0"/>
        </w:rPr>
        <w:tab/>
        <w:t>(a)</w:t>
      </w:r>
      <w:r>
        <w:rPr>
          <w:snapToGrid w:val="0"/>
        </w:rPr>
        <w:tab/>
        <w:t>any party to the proceedings wherein the decision was made; or</w:t>
      </w:r>
    </w:p>
    <w:p>
      <w:pPr>
        <w:pStyle w:val="Indenta"/>
        <w:spacing w:before="70"/>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w:t>
      </w:r>
    </w:p>
    <w:p>
      <w:pPr>
        <w:pStyle w:val="Indenta"/>
        <w:spacing w:before="70"/>
        <w:rPr>
          <w:snapToGrid w:val="0"/>
        </w:rPr>
      </w:pPr>
      <w:r>
        <w:rPr>
          <w:snapToGrid w:val="0"/>
        </w:rPr>
        <w:tab/>
        <w:t>(a)</w:t>
      </w:r>
      <w:r>
        <w:rPr>
          <w:snapToGrid w:val="0"/>
        </w:rPr>
        <w:tab/>
        <w:t>shall be heard and determined on the evidence and matters raised in the proceedings before the Commission; and</w:t>
      </w:r>
    </w:p>
    <w:p>
      <w:pPr>
        <w:pStyle w:val="Indenta"/>
        <w:spacing w:before="70"/>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w:t>
      </w:r>
    </w:p>
    <w:p>
      <w:pPr>
        <w:pStyle w:val="Indenta"/>
        <w:spacing w:before="70"/>
        <w:rPr>
          <w:snapToGrid w:val="0"/>
        </w:rPr>
      </w:pPr>
      <w:r>
        <w:rPr>
          <w:snapToGrid w:val="0"/>
        </w:rPr>
        <w:tab/>
        <w:t>(a)</w:t>
      </w:r>
      <w:r>
        <w:rPr>
          <w:snapToGrid w:val="0"/>
        </w:rPr>
        <w:tab/>
        <w:t>dismiss the appeal; or</w:t>
      </w:r>
    </w:p>
    <w:p>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lastRenderedPageBreak/>
        <w:tab/>
        <w:t>(6a)</w:t>
      </w:r>
      <w:r>
        <w:tab/>
        <w:t>The Full Bench is not to remit a case to the Commission under subsection (5)(c) unless it considers that it is unable to make its own decision on the merits of the case because of lack of evidence or for other good reason.</w:t>
      </w:r>
    </w:p>
    <w:p>
      <w:pPr>
        <w:pStyle w:val="Ednotesubsection"/>
      </w:pPr>
      <w:r>
        <w:tab/>
        <w:t>[(7)</w:t>
      </w:r>
      <w:r>
        <w:tab/>
        <w:t>deleted]</w:t>
      </w:r>
    </w:p>
    <w:p>
      <w:pPr>
        <w:pStyle w:val="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pPr>
        <w:pStyle w:val="Subsection"/>
        <w:spacing w:before="180"/>
        <w:rPr>
          <w:snapToGrid w:val="0"/>
        </w:rPr>
      </w:pPr>
      <w:r>
        <w:rPr>
          <w:snapToGrid w:val="0"/>
        </w:rPr>
        <w:tab/>
        <w:t>(9)</w:t>
      </w:r>
      <w:r>
        <w:rPr>
          <w:snapToGrid w:val="0"/>
        </w:rPr>
        <w:tab/>
        <w:t xml:space="preserve">When any question of law arises in any proceedings before the Full Bench, the </w:t>
      </w:r>
      <w:r>
        <w:t>presiding commissioner of the Full Bench may state a case for the decision of the Court and must</w:t>
      </w:r>
      <w:r>
        <w:rPr>
          <w:snapToGrid w:val="0"/>
        </w:rPr>
        <w:t xml:space="preserve"> do so if a majority of the members of the Full Bench so request.</w:t>
      </w:r>
    </w:p>
    <w:p>
      <w:pPr>
        <w:pStyle w:val="Subsection"/>
        <w:spacing w:before="180"/>
        <w:rPr>
          <w:snapToGrid w:val="0"/>
        </w:rPr>
      </w:pPr>
      <w:r>
        <w:rPr>
          <w:snapToGrid w:val="0"/>
        </w:rPr>
        <w:tab/>
        <w:t>(10)</w:t>
      </w:r>
      <w:r>
        <w:rPr>
          <w:snapToGrid w:val="0"/>
        </w:rPr>
        <w:tab/>
        <w:t>Subsections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pPr>
        <w:pStyle w:val="Footnotesection"/>
      </w:pPr>
      <w:r>
        <w:tab/>
        <w:t>[Section 49 amended: No. 121 of 1982 s. 20; No. 94 of 1984 s. 30 and 66; No. 119 of 1987 s. 12; No. 1 of 1995 s. 9; No. 36 of 1999 s. 247; No. 20 of 2002 s. 8 and 125; No. 39 of 2018 s. 28.]</w:t>
      </w:r>
    </w:p>
    <w:p>
      <w:pPr>
        <w:pStyle w:val="Ednotesection"/>
        <w:spacing w:before="240"/>
        <w:ind w:left="890" w:hanging="890"/>
      </w:pPr>
      <w:r>
        <w:t>[</w:t>
      </w:r>
      <w:r>
        <w:rPr>
          <w:b/>
        </w:rPr>
        <w:t>49A.</w:t>
      </w:r>
      <w:r>
        <w:tab/>
        <w:t>Renumbered as section 48A: No. 20 of 2002 s. 120.]</w:t>
      </w:r>
    </w:p>
    <w:p>
      <w:pPr>
        <w:pStyle w:val="Ednotesection"/>
        <w:pageBreakBefore/>
        <w:spacing w:before="0"/>
        <w:ind w:left="890" w:hanging="890"/>
      </w:pPr>
      <w:r>
        <w:lastRenderedPageBreak/>
        <w:t>[</w:t>
      </w:r>
      <w:r>
        <w:rPr>
          <w:b/>
        </w:rPr>
        <w:t>49AB,</w:t>
      </w:r>
      <w:r>
        <w:t xml:space="preserve"> </w:t>
      </w:r>
      <w:r>
        <w:rPr>
          <w:b/>
        </w:rPr>
        <w:t>49B.</w:t>
      </w:r>
      <w:r>
        <w:rPr>
          <w:b/>
        </w:rPr>
        <w:tab/>
      </w:r>
      <w:r>
        <w:t>Deleted: No. 20 of 2002 s. 145.]</w:t>
      </w:r>
    </w:p>
    <w:p>
      <w:pPr>
        <w:pStyle w:val="Ednotesection"/>
        <w:spacing w:before="240"/>
        <w:ind w:left="890" w:hanging="890"/>
      </w:pPr>
      <w:r>
        <w:t>[</w:t>
      </w:r>
      <w:r>
        <w:rPr>
          <w:b/>
        </w:rPr>
        <w:t>49C.</w:t>
      </w:r>
      <w:r>
        <w:tab/>
        <w:t>Renumbered as section 48B: No. 20 of 2002 s. 120.]</w:t>
      </w:r>
    </w:p>
    <w:p>
      <w:pPr>
        <w:pStyle w:val="Heading3"/>
        <w:keepLines/>
      </w:pPr>
      <w:bookmarkStart w:id="117" w:name="_Toc98504999"/>
      <w:bookmarkStart w:id="118" w:name="_Toc98506698"/>
      <w:bookmarkStart w:id="119" w:name="_Toc98507861"/>
      <w:bookmarkStart w:id="120" w:name="_Toc98769916"/>
      <w:r>
        <w:rPr>
          <w:rStyle w:val="CharDivNo"/>
        </w:rPr>
        <w:t>Division 2F</w:t>
      </w:r>
      <w:r>
        <w:t xml:space="preserve"> — </w:t>
      </w:r>
      <w:r>
        <w:rPr>
          <w:rStyle w:val="CharDivText"/>
        </w:rPr>
        <w:t>Keeping of and access to employment records</w:t>
      </w:r>
      <w:bookmarkEnd w:id="117"/>
      <w:bookmarkEnd w:id="118"/>
      <w:bookmarkEnd w:id="119"/>
      <w:bookmarkEnd w:id="120"/>
    </w:p>
    <w:p>
      <w:pPr>
        <w:pStyle w:val="Footnoteheading"/>
        <w:keepNext/>
        <w:keepLines/>
        <w:tabs>
          <w:tab w:val="left" w:pos="851"/>
        </w:tabs>
      </w:pPr>
      <w:r>
        <w:tab/>
        <w:t>[Heading inserted: No. 20 of 2002 s. 146(1).]</w:t>
      </w:r>
    </w:p>
    <w:p>
      <w:pPr>
        <w:pStyle w:val="Heading5"/>
      </w:pPr>
      <w:bookmarkStart w:id="121" w:name="_Toc98769917"/>
      <w:r>
        <w:rPr>
          <w:rStyle w:val="CharSectno"/>
        </w:rPr>
        <w:t>49D</w:t>
      </w:r>
      <w:r>
        <w:t>.</w:t>
      </w:r>
      <w:r>
        <w:tab/>
        <w:t>Employer’s duties as to employment records</w:t>
      </w:r>
      <w:bookmarkEnd w:id="121"/>
    </w:p>
    <w:p>
      <w:pPr>
        <w:pStyle w:val="Subsection"/>
      </w:pPr>
      <w:r>
        <w:tab/>
        <w:t>(1)</w:t>
      </w:r>
      <w:r>
        <w:tab/>
        <w:t>Subsection (2) applies to an employee during any period when an industrial instrument applies to his or her employment.</w:t>
      </w:r>
    </w:p>
    <w:p>
      <w:pPr>
        <w:pStyle w:val="Subsection"/>
        <w:keepNext/>
      </w:pPr>
      <w:r>
        <w:tab/>
        <w:t>(2)</w:t>
      </w:r>
      <w:r>
        <w:tab/>
        <w:t>An employer must ensure that details are recorded of —</w:t>
      </w:r>
    </w:p>
    <w:p>
      <w:pPr>
        <w:pStyle w:val="Indenta"/>
      </w:pPr>
      <w:r>
        <w:tab/>
        <w:t>(a)</w:t>
      </w:r>
      <w:r>
        <w:tab/>
        <w:t>the employee’s name and, if the employee is under 21 years of age, his or her date of birth; and</w:t>
      </w:r>
    </w:p>
    <w:p>
      <w:pPr>
        <w:pStyle w:val="Indenta"/>
      </w:pPr>
      <w:r>
        <w:tab/>
        <w:t>(b)</w:t>
      </w:r>
      <w:r>
        <w:tab/>
        <w:t>any industrial instrument that applies; and</w:t>
      </w:r>
    </w:p>
    <w:p>
      <w:pPr>
        <w:pStyle w:val="Indenta"/>
      </w:pPr>
      <w:r>
        <w:tab/>
        <w:t>(c)</w:t>
      </w:r>
      <w:r>
        <w:tab/>
        <w:t>the date on which the employee commenced employment with the employer; and</w:t>
      </w:r>
    </w:p>
    <w:p>
      <w:pPr>
        <w:pStyle w:val="Indenta"/>
        <w:keepNext/>
      </w:pPr>
      <w:r>
        <w:tab/>
        <w:t>(d)</w:t>
      </w:r>
      <w:r>
        <w:tab/>
        <w:t>for each day —</w:t>
      </w:r>
    </w:p>
    <w:p>
      <w:pPr>
        <w:pStyle w:val="Indenti"/>
      </w:pPr>
      <w:r>
        <w:tab/>
        <w:t>(i)</w:t>
      </w:r>
      <w:r>
        <w:tab/>
        <w:t>the time at which the employee started and finished work; and</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r>
      <w:r>
        <w:tab/>
        <w:t>and</w:t>
      </w:r>
    </w:p>
    <w:p>
      <w:pPr>
        <w:pStyle w:val="Indenta"/>
      </w:pPr>
      <w:r>
        <w:tab/>
        <w:t>(e)</w:t>
      </w:r>
      <w:r>
        <w:tab/>
        <w:t>for each pay period —</w:t>
      </w:r>
    </w:p>
    <w:p>
      <w:pPr>
        <w:pStyle w:val="Indenti"/>
      </w:pPr>
      <w:r>
        <w:tab/>
        <w:t>(i)</w:t>
      </w:r>
      <w:r>
        <w:tab/>
        <w:t>the employee’s designation; and</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r>
      <w:r>
        <w:tab/>
        <w:t>and</w:t>
      </w:r>
    </w:p>
    <w:p>
      <w:pPr>
        <w:pStyle w:val="Indenta"/>
      </w:pPr>
      <w:r>
        <w:tab/>
        <w:t>(f)</w:t>
      </w:r>
      <w:r>
        <w:tab/>
        <w:t>all leave taken by the employee, whether paid, partly paid or unpaid; and</w:t>
      </w:r>
    </w:p>
    <w:p>
      <w:pPr>
        <w:pStyle w:val="Indenta"/>
      </w:pPr>
      <w:r>
        <w:lastRenderedPageBreak/>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and</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The employer must ensure that —</w:t>
      </w:r>
    </w:p>
    <w:p>
      <w:pPr>
        <w:pStyle w:val="Indenta"/>
      </w:pPr>
      <w:r>
        <w:tab/>
        <w:t>(a)</w:t>
      </w:r>
      <w:r>
        <w:tab/>
        <w:t>the employment records are kept in accordance with regulations made by the Governor; and</w:t>
      </w:r>
    </w:p>
    <w:p>
      <w:pPr>
        <w:pStyle w:val="Indenta"/>
      </w:pPr>
      <w:r>
        <w:tab/>
        <w:t>(b)</w:t>
      </w:r>
      <w:r>
        <w:tab/>
        <w:t>each entry in relation to long service leave is retained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keepNext/>
      </w:pPr>
      <w:r>
        <w:tab/>
        <w:t>(4)</w:t>
      </w:r>
      <w:r>
        <w:tab/>
        <w:t>In this section —</w:t>
      </w:r>
    </w:p>
    <w:p>
      <w:pPr>
        <w:pStyle w:val="Defstart"/>
        <w:keepNext/>
      </w:pPr>
      <w:r>
        <w:tab/>
      </w:r>
      <w:r>
        <w:rPr>
          <w:rStyle w:val="CharDefText"/>
        </w:rPr>
        <w:t>industrial instrument</w:t>
      </w:r>
      <w:r>
        <w:t xml:space="preserve"> means —</w:t>
      </w:r>
    </w:p>
    <w:p>
      <w:pPr>
        <w:pStyle w:val="Defpara"/>
        <w:keepNext/>
      </w:pPr>
      <w:r>
        <w:tab/>
        <w:t>(a)</w:t>
      </w:r>
      <w:r>
        <w:tab/>
        <w:t>an award; or</w:t>
      </w:r>
    </w:p>
    <w:p>
      <w:pPr>
        <w:pStyle w:val="Defpara"/>
        <w:keepNext/>
      </w:pPr>
      <w:r>
        <w:tab/>
        <w:t>(b)</w:t>
      </w:r>
      <w:r>
        <w:tab/>
        <w:t>an order of the Commission under this Act; or</w:t>
      </w:r>
    </w:p>
    <w:p>
      <w:pPr>
        <w:pStyle w:val="Defpara"/>
      </w:pPr>
      <w:r>
        <w:tab/>
        <w:t>(c)</w:t>
      </w:r>
      <w:r>
        <w:tab/>
        <w:t>an industrial agreement; or</w:t>
      </w:r>
    </w:p>
    <w:p>
      <w:pPr>
        <w:pStyle w:val="Defpara"/>
      </w:pPr>
      <w:r>
        <w:tab/>
        <w:t>(d)</w:t>
      </w:r>
      <w:r>
        <w:tab/>
        <w:t>an employer</w:t>
      </w:r>
      <w:r>
        <w:noBreakHyphen/>
        <w:t>employee agreement.</w:t>
      </w:r>
    </w:p>
    <w:p>
      <w:pPr>
        <w:pStyle w:val="Footnotesection"/>
      </w:pPr>
      <w:r>
        <w:tab/>
        <w:t>[Section 49D inserted: No. 20 of 2002 s. 146(1).]</w:t>
      </w:r>
    </w:p>
    <w:p>
      <w:pPr>
        <w:pStyle w:val="Heading5"/>
        <w:pageBreakBefore/>
        <w:spacing w:before="0"/>
      </w:pPr>
      <w:bookmarkStart w:id="122" w:name="_Toc98769918"/>
      <w:r>
        <w:rPr>
          <w:rStyle w:val="CharSectno"/>
        </w:rPr>
        <w:lastRenderedPageBreak/>
        <w:t>49E</w:t>
      </w:r>
      <w:r>
        <w:t>.</w:t>
      </w:r>
      <w:r>
        <w:tab/>
        <w:t>Access to employment records</w:t>
      </w:r>
      <w:bookmarkEnd w:id="122"/>
    </w:p>
    <w:p>
      <w:pPr>
        <w:pStyle w:val="Subsection"/>
      </w:pPr>
      <w:r>
        <w:tab/>
        <w:t>(1)</w:t>
      </w:r>
      <w:r>
        <w:tab/>
        <w:t>An employer, on written request by a relevant person, must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The duty placed on an employer by subsection (1) —</w:t>
      </w:r>
    </w:p>
    <w:p>
      <w:pPr>
        <w:pStyle w:val="Indenta"/>
      </w:pPr>
      <w:r>
        <w:tab/>
        <w:t>(a)</w:t>
      </w:r>
      <w:r>
        <w:tab/>
        <w:t>continues so long as the records are required to be kept under section 49D(3); and</w:t>
      </w:r>
    </w:p>
    <w:p>
      <w:pPr>
        <w:pStyle w:val="Indenta"/>
      </w:pPr>
      <w:r>
        <w:tab/>
        <w:t>(b)</w:t>
      </w:r>
      <w:r>
        <w:tab/>
        <w:t>is not affected by the fact that the employee is no longer employed by the employer or that the industrial instrument no longer applies to him or her; and</w:t>
      </w:r>
    </w:p>
    <w:p>
      <w:pPr>
        <w:pStyle w:val="Indenta"/>
        <w:keepNext/>
      </w:pPr>
      <w:r>
        <w:tab/>
        <w:t>(c)</w:t>
      </w:r>
      <w:r>
        <w:tab/>
        <w:t>includes the further duties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must be complied with not later than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In this section —</w:t>
      </w:r>
    </w:p>
    <w:p>
      <w:pPr>
        <w:pStyle w:val="Defstart"/>
      </w:pPr>
      <w:r>
        <w:tab/>
      </w:r>
      <w:r>
        <w:rPr>
          <w:rStyle w:val="CharDefText"/>
        </w:rPr>
        <w:t>relevant person</w:t>
      </w:r>
      <w:r>
        <w:t xml:space="preserve"> means —</w:t>
      </w:r>
    </w:p>
    <w:p>
      <w:pPr>
        <w:pStyle w:val="Defpara"/>
      </w:pPr>
      <w:r>
        <w:tab/>
        <w:t>(a)</w:t>
      </w:r>
      <w:r>
        <w:tab/>
        <w:t>the employee concerned; and</w:t>
      </w:r>
    </w:p>
    <w:p>
      <w:pPr>
        <w:pStyle w:val="Defpara"/>
      </w:pPr>
      <w:r>
        <w:tab/>
        <w:t>(b)</w:t>
      </w:r>
      <w:r>
        <w:tab/>
        <w:t>if the employee is a represented person, his or her representative; and</w:t>
      </w:r>
    </w:p>
    <w:p>
      <w:pPr>
        <w:pStyle w:val="Defpara"/>
      </w:pPr>
      <w:r>
        <w:lastRenderedPageBreak/>
        <w:tab/>
        <w:t>(c)</w:t>
      </w:r>
      <w:r>
        <w:tab/>
        <w:t>a person authorised in writing by the employee; and</w:t>
      </w:r>
    </w:p>
    <w:p>
      <w:pPr>
        <w:pStyle w:val="Defpara"/>
      </w:pPr>
      <w:r>
        <w:tab/>
        <w:t>(d)</w:t>
      </w:r>
      <w:r>
        <w:tab/>
        <w:t>a Registrar’s Department officer authorised in writing by the Registrar.</w:t>
      </w:r>
    </w:p>
    <w:p>
      <w:pPr>
        <w:pStyle w:val="Footnotesection"/>
        <w:ind w:left="890" w:hanging="890"/>
      </w:pPr>
      <w:r>
        <w:tab/>
        <w:t>[Section 49E inserted: No. 20 of 2002 s. 146(1); amended: No. 39 of 2018 s. 29.]</w:t>
      </w:r>
    </w:p>
    <w:p>
      <w:pPr>
        <w:pStyle w:val="Heading5"/>
      </w:pPr>
      <w:bookmarkStart w:id="123" w:name="_Toc98769919"/>
      <w:r>
        <w:rPr>
          <w:rStyle w:val="CharSectno"/>
        </w:rPr>
        <w:t>49F</w:t>
      </w:r>
      <w:r>
        <w:t>.</w:t>
      </w:r>
      <w:r>
        <w:tab/>
        <w:t>Enforcement of this Division</w:t>
      </w:r>
      <w:bookmarkEnd w:id="123"/>
    </w:p>
    <w:p>
      <w:pPr>
        <w:pStyle w:val="Subsection"/>
      </w:pPr>
      <w:r>
        <w:tab/>
      </w:r>
      <w:r>
        <w:tab/>
        <w:t>A contravention of section 49D(2), 49D(3) or 49E(1) is not an offence but those subsections are civil penalty provisions for the purposes of section 83E.</w:t>
      </w:r>
    </w:p>
    <w:p>
      <w:pPr>
        <w:pStyle w:val="Footnotesection"/>
      </w:pPr>
      <w:r>
        <w:tab/>
        <w:t>[Section 49F inserted: No. 20 of 2002 s. 146(1).]</w:t>
      </w:r>
    </w:p>
    <w:p>
      <w:pPr>
        <w:pStyle w:val="Heading3"/>
        <w:spacing w:before="300"/>
      </w:pPr>
      <w:bookmarkStart w:id="124" w:name="_Toc98505003"/>
      <w:bookmarkStart w:id="125" w:name="_Toc98506702"/>
      <w:bookmarkStart w:id="126" w:name="_Toc98507865"/>
      <w:bookmarkStart w:id="127" w:name="_Toc98769920"/>
      <w:r>
        <w:rPr>
          <w:rStyle w:val="CharDivNo"/>
        </w:rPr>
        <w:t>Division 2G</w:t>
      </w:r>
      <w:r>
        <w:t xml:space="preserve"> — </w:t>
      </w:r>
      <w:r>
        <w:rPr>
          <w:rStyle w:val="CharDivText"/>
        </w:rPr>
        <w:t>Right of entry and inspection by authorised representatives</w:t>
      </w:r>
      <w:bookmarkEnd w:id="124"/>
      <w:bookmarkEnd w:id="125"/>
      <w:bookmarkEnd w:id="126"/>
      <w:bookmarkEnd w:id="127"/>
    </w:p>
    <w:p>
      <w:pPr>
        <w:pStyle w:val="Footnoteheading"/>
        <w:tabs>
          <w:tab w:val="left" w:pos="851"/>
        </w:tabs>
      </w:pPr>
      <w:r>
        <w:tab/>
        <w:t>[Heading inserted: No. 20 of 2002 s. 146(1).]</w:t>
      </w:r>
    </w:p>
    <w:p>
      <w:pPr>
        <w:pStyle w:val="Heading5"/>
      </w:pPr>
      <w:bookmarkStart w:id="128" w:name="_Toc98769921"/>
      <w:r>
        <w:rPr>
          <w:rStyle w:val="CharSectno"/>
        </w:rPr>
        <w:t>49G</w:t>
      </w:r>
      <w:r>
        <w:t>.</w:t>
      </w:r>
      <w:r>
        <w:tab/>
        <w:t>Terms used</w:t>
      </w:r>
      <w:bookmarkEnd w:id="128"/>
    </w:p>
    <w:p>
      <w:pPr>
        <w:pStyle w:val="Subsection"/>
      </w:pPr>
      <w:r>
        <w:tab/>
      </w:r>
      <w:r>
        <w:tab/>
        <w:t>In this Division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[Section 49G inserted: No. 20 of 2002 s. 146(1).]</w:t>
      </w:r>
    </w:p>
    <w:p>
      <w:pPr>
        <w:pStyle w:val="Heading5"/>
      </w:pPr>
      <w:bookmarkStart w:id="129" w:name="_Toc98769922"/>
      <w:r>
        <w:rPr>
          <w:rStyle w:val="CharSectno"/>
        </w:rPr>
        <w:t>49H</w:t>
      </w:r>
      <w:r>
        <w:t>.</w:t>
      </w:r>
      <w:r>
        <w:tab/>
        <w:t>Entry for discussions with employees</w:t>
      </w:r>
      <w:bookmarkEnd w:id="129"/>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lastRenderedPageBreak/>
        <w:tab/>
        <w:t>(2)</w:t>
      </w:r>
      <w:r>
        <w:tab/>
        <w:t>If an award, order or industrial agreement that extends to the relevant employees makes provision as to entry onto premises by an authorised representative and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[Section 49H inserted: No. 20 of 2002 s. 146(1).]</w:t>
      </w:r>
    </w:p>
    <w:p>
      <w:pPr>
        <w:pStyle w:val="Heading5"/>
      </w:pPr>
      <w:bookmarkStart w:id="130" w:name="_Toc98769923"/>
      <w:r>
        <w:rPr>
          <w:rStyle w:val="CharSectno"/>
        </w:rPr>
        <w:t>49I</w:t>
      </w:r>
      <w:r>
        <w:t>.</w:t>
      </w:r>
      <w:r>
        <w:tab/>
        <w:t>Entry to investigate certain breaches</w:t>
      </w:r>
      <w:bookmarkEnd w:id="130"/>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Work Health and Safety Act 2020</w:t>
      </w:r>
      <w:r>
        <w:t xml:space="preserve"> or an award, order, industrial agreement or employer</w:t>
      </w:r>
      <w:r>
        <w:noBreakHyphen/>
        <w:t>employee agreement that applies to any such employee.</w:t>
      </w:r>
    </w:p>
    <w:p>
      <w:pPr>
        <w:pStyle w:val="Subsection"/>
      </w:pPr>
      <w:r>
        <w:tab/>
        <w:t>(2)</w:t>
      </w:r>
      <w:r>
        <w:tab/>
        <w:t>For the purpose of investigating any such suspected breach, the authorised representative may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pPr>
        <w:pStyle w:val="Indenta"/>
      </w:pPr>
      <w:r>
        <w:tab/>
        <w:t>(b)</w:t>
      </w:r>
      <w:r>
        <w:tab/>
        <w:t>make copies of the entries in the employment records or documents related to the suspected breach; and</w:t>
      </w:r>
    </w:p>
    <w:p>
      <w:pPr>
        <w:pStyle w:val="Indenta"/>
      </w:pPr>
      <w:r>
        <w:lastRenderedPageBreak/>
        <w:tab/>
        <w:t>(c)</w:t>
      </w:r>
      <w:r>
        <w:tab/>
        <w:t>during working hours, inspect or view any work, material, machinery, or appliance, that is relevant to the suspected breach.</w:t>
      </w:r>
    </w:p>
    <w:p>
      <w:pPr>
        <w:pStyle w:val="Subsection"/>
      </w:pPr>
      <w:r>
        <w:tab/>
        <w:t>(3)</w:t>
      </w:r>
      <w:r>
        <w:tab/>
        <w:t>The authorised representative is not entitled to require an employer to produce an employment record of an employee if the employee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A written request under subsection (3)(b)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 xml:space="preserve">The Commission may, on the ex parte application of an authorised representative, waive the requirement to give the employer concerned notice of an intended exercise of a power under subsection (6) if the Commission is satisfied that to give </w:t>
      </w:r>
      <w:r>
        <w:lastRenderedPageBreak/>
        <w:t>such notice would defeat the purpose for which the power is intended to be exercised.</w:t>
      </w:r>
    </w:p>
    <w:p>
      <w:pPr>
        <w:pStyle w:val="Subsection"/>
        <w:keepNext/>
        <w:spacing w:before="120"/>
      </w:pPr>
      <w:r>
        <w:tab/>
        <w:t>(8)</w:t>
      </w:r>
      <w:r>
        <w:tab/>
        <w:t>If the requirement for notice is waived under subsection (7)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[Section 49I inserted: No. 20 of 2002 s. 146(1); amended: Gazette 15 Aug 2003 p. 3686; No. 36 of 2020 s. 361.]</w:t>
      </w:r>
    </w:p>
    <w:p>
      <w:pPr>
        <w:pStyle w:val="Heading5"/>
      </w:pPr>
      <w:bookmarkStart w:id="131" w:name="_Toc98769924"/>
      <w:r>
        <w:rPr>
          <w:rStyle w:val="CharSectno"/>
        </w:rPr>
        <w:t>49J</w:t>
      </w:r>
      <w:r>
        <w:t>.</w:t>
      </w:r>
      <w:r>
        <w:tab/>
        <w:t>Authorising authorised representatives</w:t>
      </w:r>
      <w:bookmarkEnd w:id="131"/>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keepNext/>
      </w:pPr>
      <w:r>
        <w:tab/>
        <w:t>(5)</w:t>
      </w:r>
      <w:r>
        <w:tab/>
        <w:t xml:space="preserve">The Commission constituted by a commissioner may, by order, on application by any person, revoke, or suspend for a period </w:t>
      </w:r>
      <w:r>
        <w:lastRenderedPageBreak/>
        <w:t>determined by the Commission, the authority if satisfied that the person to whom it was issued has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The Registrar must not revoke an authority under subsection (6) if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Despite section 49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keepNext/>
      </w:pPr>
      <w:r>
        <w:tab/>
        <w:t>(9)</w:t>
      </w:r>
      <w:r>
        <w:tab/>
        <w:t>A person to whom an authority has been issued under this section must, within 14 days after the revocation of the authority, return the authority to the Registrar.</w:t>
      </w:r>
    </w:p>
    <w:p>
      <w:pPr>
        <w:pStyle w:val="Footnotesection"/>
      </w:pPr>
      <w:r>
        <w:tab/>
        <w:t>[Section 49J inserted: No. 20 of 2002 s. 146(1); amended: No. 36 of 2006 s. 8.]</w:t>
      </w:r>
    </w:p>
    <w:p>
      <w:pPr>
        <w:pStyle w:val="Heading5"/>
        <w:spacing w:before="260"/>
      </w:pPr>
      <w:bookmarkStart w:id="132" w:name="_Toc98769925"/>
      <w:r>
        <w:rPr>
          <w:rStyle w:val="CharSectno"/>
        </w:rPr>
        <w:lastRenderedPageBreak/>
        <w:t>49K</w:t>
      </w:r>
      <w:r>
        <w:t>.</w:t>
      </w:r>
      <w:r>
        <w:tab/>
        <w:t>No entry to premises used for habitation</w:t>
      </w:r>
      <w:bookmarkEnd w:id="132"/>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[Section 49K inserted: No. 20 of 2002 s. 146(1).]</w:t>
      </w:r>
    </w:p>
    <w:p>
      <w:pPr>
        <w:pStyle w:val="Heading5"/>
        <w:spacing w:before="260"/>
      </w:pPr>
      <w:bookmarkStart w:id="133" w:name="_Toc98769926"/>
      <w:r>
        <w:rPr>
          <w:rStyle w:val="CharSectno"/>
        </w:rPr>
        <w:t>49L</w:t>
      </w:r>
      <w:r>
        <w:t>.</w:t>
      </w:r>
      <w:r>
        <w:tab/>
        <w:t>Authority must be shown on request</w:t>
      </w:r>
      <w:bookmarkEnd w:id="133"/>
    </w:p>
    <w:p>
      <w:pPr>
        <w:pStyle w:val="Subsection"/>
        <w:keepNext/>
        <w:keepLines/>
      </w:pPr>
      <w:r>
        <w:tab/>
        <w:t>(1)</w:t>
      </w:r>
      <w:r>
        <w:tab/>
        <w:t>If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In this section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[Section 49L inserted: No. 20 of 2002 s. 146(1).]</w:t>
      </w:r>
    </w:p>
    <w:p>
      <w:pPr>
        <w:pStyle w:val="Heading5"/>
        <w:spacing w:before="260"/>
      </w:pPr>
      <w:bookmarkStart w:id="134" w:name="_Toc98769927"/>
      <w:r>
        <w:rPr>
          <w:rStyle w:val="CharSectno"/>
        </w:rPr>
        <w:t>49M</w:t>
      </w:r>
      <w:r>
        <w:t>.</w:t>
      </w:r>
      <w:r>
        <w:tab/>
        <w:t>Obstructing etc. rights etc. under this Division etc.</w:t>
      </w:r>
      <w:bookmarkEnd w:id="134"/>
    </w:p>
    <w:p>
      <w:pPr>
        <w:pStyle w:val="Subsection"/>
      </w:pPr>
      <w:r>
        <w:tab/>
        <w:t>(1)</w:t>
      </w:r>
      <w:r>
        <w:tab/>
        <w:t>The occupier of premises must not refuse, or intentionally and unduly delay, entry to the premises by a person entitled to enter the premises under section 49H or 49I.</w:t>
      </w:r>
    </w:p>
    <w:p>
      <w:pPr>
        <w:pStyle w:val="Subsection"/>
        <w:spacing w:before="180"/>
      </w:pPr>
      <w:r>
        <w:tab/>
        <w:t>(2)</w:t>
      </w:r>
      <w:r>
        <w:tab/>
        <w:t>A person must not intentionally and unduly hinder or obstruct an authorised representative in the exercise of the powers conferred by this Division.</w:t>
      </w:r>
    </w:p>
    <w:p>
      <w:pPr>
        <w:pStyle w:val="Subsection"/>
        <w:keepNext/>
        <w:spacing w:before="180"/>
      </w:pPr>
      <w:r>
        <w:tab/>
        <w:t>(3)</w:t>
      </w:r>
      <w:r>
        <w:tab/>
        <w:t xml:space="preserve">A person must not purport to exercise the powers of an authorised representative under this Division if the person is not </w:t>
      </w:r>
      <w:r>
        <w:lastRenderedPageBreak/>
        <w:t>the holder of a current authority issued by the Registrar under this Division.</w:t>
      </w:r>
    </w:p>
    <w:p>
      <w:pPr>
        <w:pStyle w:val="Footnotesection"/>
        <w:keepNext/>
      </w:pPr>
      <w:r>
        <w:tab/>
        <w:t>[Section 49M inserted: No. 20 of 2002 s. 146(1).]</w:t>
      </w:r>
    </w:p>
    <w:p>
      <w:pPr>
        <w:pStyle w:val="Heading5"/>
        <w:keepLines w:val="0"/>
        <w:spacing w:before="260"/>
      </w:pPr>
      <w:bookmarkStart w:id="135" w:name="_Toc98769928"/>
      <w:r>
        <w:rPr>
          <w:rStyle w:val="CharSectno"/>
        </w:rPr>
        <w:t>49N</w:t>
      </w:r>
      <w:r>
        <w:t>.</w:t>
      </w:r>
      <w:r>
        <w:tab/>
        <w:t>Entry and inspection, provisions in awards etc. as to</w:t>
      </w:r>
      <w:bookmarkEnd w:id="135"/>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To the extent that the provisions of an award, order or industrial agreement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No. 20 of 2002 s. 146(1); amended: No. 50 of 2016 s. 16.]</w:t>
      </w:r>
    </w:p>
    <w:p>
      <w:pPr>
        <w:pStyle w:val="Heading5"/>
        <w:keepNext w:val="0"/>
        <w:keepLines w:val="0"/>
        <w:spacing w:before="260"/>
      </w:pPr>
      <w:bookmarkStart w:id="136" w:name="_Toc98769929"/>
      <w:r>
        <w:rPr>
          <w:rStyle w:val="CharSectno"/>
        </w:rPr>
        <w:t>49O</w:t>
      </w:r>
      <w:r>
        <w:t>.</w:t>
      </w:r>
      <w:r>
        <w:tab/>
        <w:t>Enforcement of this Division</w:t>
      </w:r>
      <w:bookmarkEnd w:id="136"/>
    </w:p>
    <w:p>
      <w:pPr>
        <w:pStyle w:val="Subsection"/>
      </w:pPr>
      <w:r>
        <w:tab/>
      </w:r>
      <w:r>
        <w:tab/>
        <w:t>A contravention of section 49J(9) or 49M(1), (2) or (3) is not an offence but those subsections are civil penalty provisions for the purposes of section 83E.</w:t>
      </w:r>
    </w:p>
    <w:p>
      <w:pPr>
        <w:pStyle w:val="Footnotesection"/>
        <w:keepLines w:val="0"/>
        <w:ind w:left="890" w:hanging="890"/>
      </w:pPr>
      <w:r>
        <w:tab/>
        <w:t>[Section 49O inserted: No. 20 of 2002 s. 146(1).]</w:t>
      </w:r>
    </w:p>
    <w:p>
      <w:pPr>
        <w:pStyle w:val="Heading3"/>
        <w:keepLines/>
        <w:spacing w:before="280"/>
      </w:pPr>
      <w:bookmarkStart w:id="137" w:name="_Toc98505013"/>
      <w:bookmarkStart w:id="138" w:name="_Toc98506712"/>
      <w:bookmarkStart w:id="139" w:name="_Toc98507875"/>
      <w:bookmarkStart w:id="140" w:name="_Toc98769930"/>
      <w:r>
        <w:rPr>
          <w:rStyle w:val="CharDivNo"/>
        </w:rPr>
        <w:lastRenderedPageBreak/>
        <w:t>Division 3</w:t>
      </w:r>
      <w:r>
        <w:rPr>
          <w:snapToGrid w:val="0"/>
        </w:rPr>
        <w:t> — </w:t>
      </w:r>
      <w:r>
        <w:rPr>
          <w:rStyle w:val="CharDivText"/>
        </w:rPr>
        <w:t>General Orders</w:t>
      </w:r>
      <w:bookmarkEnd w:id="137"/>
      <w:bookmarkEnd w:id="138"/>
      <w:bookmarkEnd w:id="139"/>
      <w:bookmarkEnd w:id="140"/>
    </w:p>
    <w:p>
      <w:pPr>
        <w:pStyle w:val="Heading5"/>
        <w:rPr>
          <w:snapToGrid w:val="0"/>
        </w:rPr>
      </w:pPr>
      <w:bookmarkStart w:id="141" w:name="_Toc98769931"/>
      <w:r>
        <w:rPr>
          <w:rStyle w:val="CharSectno"/>
        </w:rPr>
        <w:t>50</w:t>
      </w:r>
      <w:r>
        <w:rPr>
          <w:snapToGrid w:val="0"/>
        </w:rPr>
        <w:t>.</w:t>
      </w:r>
      <w:r>
        <w:rPr>
          <w:snapToGrid w:val="0"/>
        </w:rPr>
        <w:tab/>
        <w:t>General Orders, nature of and making</w:t>
      </w:r>
      <w:bookmarkEnd w:id="141"/>
    </w:p>
    <w:p>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keepNext/>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[Section 50 amended: No. 94 of 1984 s. 32 and 66; No. 15 of 1993 s. 18 and 31; No. 20 of 2002 s. 179 and 190(4); No. 36 of 2006 s. 13; No. 53 of 2011 s. 48.]</w:t>
      </w:r>
    </w:p>
    <w:p>
      <w:pPr>
        <w:pStyle w:val="Heading5"/>
      </w:pPr>
      <w:bookmarkStart w:id="142" w:name="_Toc98769932"/>
      <w:r>
        <w:rPr>
          <w:rStyle w:val="CharSectno"/>
        </w:rPr>
        <w:lastRenderedPageBreak/>
        <w:t>50A</w:t>
      </w:r>
      <w:r>
        <w:t>.</w:t>
      </w:r>
      <w:r>
        <w:tab/>
        <w:t>Rates of pay etc. for MCE Act and awards, annual State Wage order as to</w:t>
      </w:r>
      <w:bookmarkEnd w:id="142"/>
    </w:p>
    <w:p>
      <w:pPr>
        <w:pStyle w:val="Subsection"/>
      </w:pPr>
      <w:r>
        <w:tab/>
        <w:t>(1)</w:t>
      </w:r>
      <w:r>
        <w:tab/>
        <w:t xml:space="preserve">The Commission shall before 1 July in each year, of its own motion make a General Order (the </w:t>
      </w:r>
      <w:r>
        <w:rPr>
          <w:rStyle w:val="CharDefText"/>
        </w:rPr>
        <w:t>State Wage order</w:t>
      </w:r>
      <w:r>
        <w:t>) —</w:t>
      </w:r>
    </w:p>
    <w:p>
      <w:pPr>
        <w:pStyle w:val="Indenta"/>
      </w:pPr>
      <w:r>
        <w:tab/>
        <w:t>(a)</w:t>
      </w:r>
      <w:r>
        <w:tab/>
        <w:t>setting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r>
      <w:r>
        <w:tab/>
        <w:t>and</w:t>
      </w:r>
    </w:p>
    <w:p>
      <w:pPr>
        <w:pStyle w:val="Indenta"/>
      </w:pPr>
      <w:r>
        <w:tab/>
        <w:t>(b)</w:t>
      </w:r>
      <w:r>
        <w:tab/>
        <w:t>adjusting rates of wages paid under awards; and</w:t>
      </w:r>
    </w:p>
    <w:p>
      <w:pPr>
        <w:pStyle w:val="Indenta"/>
        <w:keepNext/>
      </w:pPr>
      <w:r>
        <w:tab/>
        <w:t>(c)</w:t>
      </w:r>
      <w:r>
        <w:tab/>
        <w:t>having regard to the statement of principles issued under paragraph (d)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keepNext/>
        <w:keepLines/>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The Commission may, in relation to awards generally or specified awards, do any or all of the following for the purposes of subsection (1)(b) —</w:t>
      </w:r>
    </w:p>
    <w:p>
      <w:pPr>
        <w:pStyle w:val="Indenta"/>
      </w:pPr>
      <w:r>
        <w:tab/>
        <w:t>(a)</w:t>
      </w:r>
      <w:r>
        <w:tab/>
        <w:t>adjust all rates of wages;</w:t>
      </w:r>
    </w:p>
    <w:p>
      <w:pPr>
        <w:pStyle w:val="Indenta"/>
      </w:pPr>
      <w:r>
        <w:tab/>
        <w:t>(b)</w:t>
      </w:r>
      <w:r>
        <w:tab/>
        <w:t>adjust individual rates of wages;</w:t>
      </w:r>
    </w:p>
    <w:p>
      <w:pPr>
        <w:pStyle w:val="Indenta"/>
      </w:pPr>
      <w:r>
        <w:lastRenderedPageBreak/>
        <w:tab/>
        <w:t>(c)</w:t>
      </w:r>
      <w:r>
        <w:tab/>
        <w:t>adjust a series of rates of wages;</w:t>
      </w:r>
    </w:p>
    <w:p>
      <w:pPr>
        <w:pStyle w:val="Indenta"/>
      </w:pPr>
      <w:r>
        <w:tab/>
        <w:t>(d)</w:t>
      </w:r>
      <w:r>
        <w:tab/>
        <w:t>adjust specialised rates of wages.</w:t>
      </w:r>
    </w:p>
    <w:p>
      <w:pPr>
        <w:pStyle w:val="Subsection"/>
      </w:pPr>
      <w:r>
        <w:tab/>
        <w:t>(3)</w:t>
      </w:r>
      <w:r>
        <w:tab/>
        <w:t>In making an order under this section, the Commission shall take into consideration —</w:t>
      </w:r>
    </w:p>
    <w:p>
      <w:pPr>
        <w:pStyle w:val="Indenta"/>
      </w:pPr>
      <w:r>
        <w:tab/>
        <w:t>(a)</w:t>
      </w:r>
      <w:r>
        <w:tab/>
        <w:t>the need to —</w:t>
      </w:r>
    </w:p>
    <w:p>
      <w:pPr>
        <w:pStyle w:val="Indenti"/>
      </w:pPr>
      <w:r>
        <w:tab/>
        <w:t>(i)</w:t>
      </w:r>
      <w:r>
        <w:tab/>
        <w:t>ensure that Western Australians have a system of fair wages and conditions of employment; and</w:t>
      </w:r>
    </w:p>
    <w:p>
      <w:pPr>
        <w:pStyle w:val="Indenti"/>
      </w:pPr>
      <w:r>
        <w:tab/>
        <w:t>(ii)</w:t>
      </w:r>
      <w:r>
        <w:tab/>
        <w:t>meet the needs of the low paid; and</w:t>
      </w:r>
    </w:p>
    <w:p>
      <w:pPr>
        <w:pStyle w:val="Indenti"/>
      </w:pPr>
      <w:r>
        <w:tab/>
        <w:t>(iii)</w:t>
      </w:r>
      <w:r>
        <w:tab/>
        <w:t>provide fair wage standards in the context of living standards generally prevailing in the community; and</w:t>
      </w:r>
    </w:p>
    <w:p>
      <w:pPr>
        <w:pStyle w:val="Indenti"/>
      </w:pPr>
      <w:r>
        <w:tab/>
        <w:t>(iv)</w:t>
      </w:r>
      <w:r>
        <w:tab/>
        <w:t>contribute to improved living standards for employees; and</w:t>
      </w:r>
    </w:p>
    <w:p>
      <w:pPr>
        <w:pStyle w:val="Indenti"/>
      </w:pPr>
      <w:r>
        <w:tab/>
        <w:t>(v)</w:t>
      </w:r>
      <w:r>
        <w:tab/>
        <w:t>protect employees who may be unable to reach an industrial agreement; and</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r>
      <w:r>
        <w:tab/>
        <w:t>and</w:t>
      </w:r>
    </w:p>
    <w:p>
      <w:pPr>
        <w:pStyle w:val="Indenta"/>
      </w:pPr>
      <w:r>
        <w:tab/>
        <w:t>(b)</w:t>
      </w:r>
      <w:r>
        <w:tab/>
        <w:t>the state of the economy of Western Australia and the likely effect of its decision on that economy and, in particular, on the level of employment, inflation and productivity in Western Australia; and</w:t>
      </w:r>
    </w:p>
    <w:p>
      <w:pPr>
        <w:pStyle w:val="Indenta"/>
      </w:pPr>
      <w:r>
        <w:tab/>
        <w:t>(c)</w:t>
      </w:r>
      <w:r>
        <w:tab/>
        <w:t>to the extent that it is relevant, the state of the national economy; and</w:t>
      </w:r>
    </w:p>
    <w:p>
      <w:pPr>
        <w:pStyle w:val="Indenta"/>
      </w:pPr>
      <w:r>
        <w:tab/>
        <w:t>(d)</w:t>
      </w:r>
      <w:r>
        <w:tab/>
        <w:t>to the extent that it is relevant, the capacity of employers as a whole to bear the costs of increased wages, salaries, allowances and other remuneration; and</w:t>
      </w:r>
    </w:p>
    <w:p>
      <w:pPr>
        <w:pStyle w:val="Indenta"/>
      </w:pPr>
      <w:r>
        <w:tab/>
        <w:t>(e)</w:t>
      </w:r>
      <w:r>
        <w:tab/>
        <w:t>for the purposes of subsection (1)(b) and (c), the need to ensure that the Western Australian award framework represents a system of fair wages and conditions of employment; and</w:t>
      </w:r>
    </w:p>
    <w:p>
      <w:pPr>
        <w:pStyle w:val="Indenta"/>
      </w:pPr>
      <w:r>
        <w:lastRenderedPageBreak/>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ind w:left="890" w:hanging="890"/>
      </w:pPr>
      <w:r>
        <w:tab/>
        <w:t>[Section 50A inserted: No. 36 of 2006 s. 14; amended: No. 44 of 2008 s. 53(7)</w:t>
      </w:r>
      <w:r>
        <w:noBreakHyphen/>
        <w:t>(9).]</w:t>
      </w:r>
    </w:p>
    <w:p>
      <w:pPr>
        <w:pStyle w:val="Heading5"/>
        <w:spacing w:before="260"/>
      </w:pPr>
      <w:bookmarkStart w:id="143" w:name="_Toc98769933"/>
      <w:r>
        <w:rPr>
          <w:rStyle w:val="CharSectno"/>
        </w:rPr>
        <w:t>50B</w:t>
      </w:r>
      <w:r>
        <w:t>.</w:t>
      </w:r>
      <w:r>
        <w:tab/>
        <w:t>Apprentices, matters relevant to setting rates for in State Wage order</w:t>
      </w:r>
      <w:bookmarkEnd w:id="143"/>
    </w:p>
    <w:p>
      <w:pPr>
        <w:pStyle w:val="Subsection"/>
      </w:pPr>
      <w:r>
        <w:tab/>
        <w:t>(1)</w:t>
      </w:r>
      <w:r>
        <w:tab/>
        <w:t>For the purposes of section 50A(1)(a)(ii) and (iii), the Commission may —</w:t>
      </w:r>
    </w:p>
    <w:p>
      <w:pPr>
        <w:pStyle w:val="Indenta"/>
      </w:pPr>
      <w:r>
        <w:tab/>
        <w:t>(a)</w:t>
      </w:r>
      <w:r>
        <w:tab/>
        <w:t>set a minimum weekly rate of pay in relation to apprentices generally; or</w:t>
      </w:r>
    </w:p>
    <w:p>
      <w:pPr>
        <w:pStyle w:val="Indenta"/>
      </w:pPr>
      <w:r>
        <w:tab/>
        <w:t>(b)</w:t>
      </w:r>
      <w:r>
        <w:tab/>
        <w:t>subject to subsections (2) and (3), set a minimum weekly rate of pay in relation to apprentices who belong to particular classes of apprentice; or</w:t>
      </w:r>
    </w:p>
    <w:p>
      <w:pPr>
        <w:pStyle w:val="Indenta"/>
      </w:pPr>
      <w:r>
        <w:lastRenderedPageBreak/>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pPr>
      <w:r>
        <w:tab/>
        <w:t>(3)</w:t>
      </w:r>
      <w:r>
        <w:tab/>
        <w:t>The Commission shall ensure that at any particular time there is applicable in relation to each class of apprentice —</w:t>
      </w:r>
    </w:p>
    <w:p>
      <w:pPr>
        <w:pStyle w:val="Indenta"/>
      </w:pPr>
      <w:r>
        <w:tab/>
        <w:t>(a)</w:t>
      </w:r>
      <w:r>
        <w:tab/>
        <w:t>a minimum weekly rate of pay set in respect of that class; or</w:t>
      </w:r>
    </w:p>
    <w:p>
      <w:pPr>
        <w:pStyle w:val="Indenta"/>
      </w:pPr>
      <w:r>
        <w:tab/>
        <w:t>(b)</w:t>
      </w:r>
      <w:r>
        <w:tab/>
        <w:t>the minimum weekly rate of pay in relation to apprentices generally.</w:t>
      </w:r>
    </w:p>
    <w:p>
      <w:pPr>
        <w:pStyle w:val="Subsection"/>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p>
    <w:p>
      <w:pPr>
        <w:pStyle w:val="Indenta"/>
      </w:pPr>
      <w:r>
        <w:tab/>
        <w:t>(a)</w:t>
      </w:r>
      <w:r>
        <w:tab/>
        <w:t>setting the rate in figures; or</w:t>
      </w:r>
    </w:p>
    <w:p>
      <w:pPr>
        <w:pStyle w:val="Indenta"/>
        <w:keepNext/>
        <w:keepLines/>
      </w:pPr>
      <w:r>
        <w:tab/>
        <w:t>(b)</w:t>
      </w:r>
      <w:r>
        <w:tab/>
        <w:t>setting the rate as a proportion of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r>
      <w:r>
        <w:tab/>
        <w:t>or</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No. 36 of 2006 s. 14; amended: No. 44 of 2008 s. 53(10)</w:t>
      </w:r>
      <w:r>
        <w:noBreakHyphen/>
        <w:t>(13).]</w:t>
      </w:r>
    </w:p>
    <w:p>
      <w:pPr>
        <w:pStyle w:val="Ednotesection"/>
      </w:pPr>
      <w:r>
        <w:t>[</w:t>
      </w:r>
      <w:r>
        <w:rPr>
          <w:b/>
        </w:rPr>
        <w:t>51.</w:t>
      </w:r>
      <w:r>
        <w:tab/>
        <w:t>Deleted: No. 36 of 2006 s. 15.]</w:t>
      </w:r>
    </w:p>
    <w:p>
      <w:pPr>
        <w:pStyle w:val="Heading5"/>
        <w:rPr>
          <w:snapToGrid w:val="0"/>
        </w:rPr>
      </w:pPr>
      <w:bookmarkStart w:id="144" w:name="_Toc98769934"/>
      <w:r>
        <w:rPr>
          <w:rStyle w:val="CharSectno"/>
        </w:rPr>
        <w:lastRenderedPageBreak/>
        <w:t>51A</w:t>
      </w:r>
      <w:r>
        <w:rPr>
          <w:snapToGrid w:val="0"/>
        </w:rPr>
        <w:t>.</w:t>
      </w:r>
      <w:r>
        <w:rPr>
          <w:snapToGrid w:val="0"/>
        </w:rPr>
        <w:tab/>
        <w:t>Public sector discipline, General Orders as to</w:t>
      </w:r>
      <w:bookmarkEnd w:id="144"/>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pPr>
        <w:pStyle w:val="Indenta"/>
        <w:rPr>
          <w:snapToGrid w:val="0"/>
        </w:rPr>
      </w:pPr>
      <w:r>
        <w:rPr>
          <w:snapToGrid w:val="0"/>
        </w:rPr>
        <w:tab/>
        <w:t>(a)</w:t>
      </w:r>
      <w:r>
        <w:rPr>
          <w:snapToGrid w:val="0"/>
        </w:rPr>
        <w:tab/>
        <w:t>make a General Order or General Orders with respect to one or more of the following —</w:t>
      </w:r>
    </w:p>
    <w:p>
      <w:pPr>
        <w:pStyle w:val="Indenti"/>
        <w:rPr>
          <w:snapToGrid w:val="0"/>
        </w:rPr>
      </w:pPr>
      <w:r>
        <w:rPr>
          <w:snapToGrid w:val="0"/>
        </w:rPr>
        <w:tab/>
        <w:t>(i)</w:t>
      </w:r>
      <w:r>
        <w:rPr>
          <w:snapToGrid w:val="0"/>
        </w:rPr>
        <w:tab/>
        <w:t>suspension from duty in employment; and</w:t>
      </w:r>
    </w:p>
    <w:p>
      <w:pPr>
        <w:pStyle w:val="Indenti"/>
        <w:rPr>
          <w:snapToGrid w:val="0"/>
        </w:rPr>
      </w:pPr>
      <w:r>
        <w:rPr>
          <w:snapToGrid w:val="0"/>
        </w:rPr>
        <w:tab/>
        <w:t>(ii)</w:t>
      </w:r>
      <w:r>
        <w:rPr>
          <w:snapToGrid w:val="0"/>
        </w:rPr>
        <w:tab/>
        <w:t>discipline in employment; and</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w:t>
      </w:r>
    </w:p>
    <w:p>
      <w:pPr>
        <w:pStyle w:val="Indenta"/>
        <w:spacing w:before="100"/>
        <w:rPr>
          <w:snapToGrid w:val="0"/>
        </w:rPr>
      </w:pPr>
      <w:r>
        <w:rPr>
          <w:snapToGrid w:val="0"/>
        </w:rPr>
        <w:tab/>
        <w:t>(a)</w:t>
      </w:r>
      <w:r>
        <w:rPr>
          <w:snapToGrid w:val="0"/>
        </w:rPr>
        <w:tab/>
        <w:t>any employee whose conditions of employment may not be determined by the Commission; or</w:t>
      </w:r>
    </w:p>
    <w:p>
      <w:pPr>
        <w:pStyle w:val="Indenta"/>
        <w:keepNext/>
        <w:spacing w:before="100"/>
        <w:rPr>
          <w:snapToGrid w:val="0"/>
        </w:rPr>
      </w:pPr>
      <w:r>
        <w:rPr>
          <w:snapToGrid w:val="0"/>
        </w:rPr>
        <w:lastRenderedPageBreak/>
        <w:tab/>
        <w:t>(b)</w:t>
      </w:r>
      <w:r>
        <w:rPr>
          <w:snapToGrid w:val="0"/>
        </w:rPr>
        <w:tab/>
        <w:t>any employee in relation to whom —</w:t>
      </w:r>
    </w:p>
    <w:p>
      <w:pPr>
        <w:pStyle w:val="Indenti"/>
        <w:spacing w:before="100"/>
        <w:rPr>
          <w:snapToGrid w:val="0"/>
        </w:rPr>
      </w:pPr>
      <w:r>
        <w:rPr>
          <w:snapToGrid w:val="0"/>
        </w:rPr>
        <w:tab/>
        <w:t>(i)</w:t>
      </w:r>
      <w:r>
        <w:rPr>
          <w:snapToGrid w:val="0"/>
        </w:rPr>
        <w:tab/>
        <w:t>there is provision, however expressed, by or under any other Act for or in relation to that matter; and</w:t>
      </w:r>
    </w:p>
    <w:p>
      <w:pPr>
        <w:pStyle w:val="Indenti"/>
        <w:spacing w:before="100"/>
        <w:rPr>
          <w:snapToGrid w:val="0"/>
        </w:rPr>
      </w:pPr>
      <w:r>
        <w:rPr>
          <w:snapToGrid w:val="0"/>
        </w:rPr>
        <w:tab/>
        <w:t>(ii)</w:t>
      </w:r>
      <w:r>
        <w:rPr>
          <w:snapToGrid w:val="0"/>
        </w:rPr>
        <w:tab/>
        <w:t>there is provision by or under that other Act for an appeal in that matter;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ind w:left="890" w:hanging="890"/>
      </w:pPr>
      <w:r>
        <w:tab/>
        <w:t>[Section 51A inserted: No. 94 of 1984 s. 33; amended: No. 53 of 2011 s. 48.]</w:t>
      </w:r>
    </w:p>
    <w:p>
      <w:pPr>
        <w:pStyle w:val="Heading5"/>
      </w:pPr>
      <w:bookmarkStart w:id="145" w:name="_Toc98769935"/>
      <w:r>
        <w:rPr>
          <w:rStyle w:val="CharSectno"/>
        </w:rPr>
        <w:t>51B</w:t>
      </w:r>
      <w:r>
        <w:t>.</w:t>
      </w:r>
      <w:r>
        <w:tab/>
        <w:t>General Order not to set minimum condition set by MCE Act</w:t>
      </w:r>
      <w:bookmarkEnd w:id="145"/>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No. 20 of 2002 s. 180; amended: No. 36 of 2006 s. 16.]</w:t>
      </w:r>
    </w:p>
    <w:p>
      <w:pPr>
        <w:pStyle w:val="Heading5"/>
        <w:spacing w:before="260"/>
      </w:pPr>
      <w:bookmarkStart w:id="146" w:name="_Toc98769936"/>
      <w:r>
        <w:rPr>
          <w:rStyle w:val="CharSectno"/>
        </w:rPr>
        <w:lastRenderedPageBreak/>
        <w:t>51BA</w:t>
      </w:r>
      <w:r>
        <w:t>.</w:t>
      </w:r>
      <w:r>
        <w:tab/>
        <w:t>Notice of hearing to make General Order</w:t>
      </w:r>
      <w:bookmarkEnd w:id="146"/>
    </w:p>
    <w:p>
      <w:pPr>
        <w:pStyle w:val="Subsection"/>
      </w:pPr>
      <w:r>
        <w:tab/>
        <w:t>(1)</w:t>
      </w:r>
      <w:r>
        <w:tab/>
        <w:t>The Commission shall ensure that notice of each initial hearing to be conducted for the purposes of making a General Order under this Division is —</w:t>
      </w:r>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r>
        <w:tab/>
        <w:t>[Section 51BA inserted: No. 36 of 2006 s. 17; amended: No. 53 of 2011 s. 48.]</w:t>
      </w:r>
    </w:p>
    <w:p>
      <w:pPr>
        <w:pStyle w:val="Heading5"/>
        <w:keepLines w:val="0"/>
        <w:spacing w:before="260"/>
      </w:pPr>
      <w:bookmarkStart w:id="147" w:name="_Toc98769937"/>
      <w:r>
        <w:rPr>
          <w:rStyle w:val="CharSectno"/>
        </w:rPr>
        <w:t>51BB</w:t>
      </w:r>
      <w:r>
        <w:t>.</w:t>
      </w:r>
      <w:r>
        <w:tab/>
        <w:t>Right to be heard before General Order made</w:t>
      </w:r>
      <w:bookmarkEnd w:id="147"/>
    </w:p>
    <w:p>
      <w:pPr>
        <w:pStyle w:val="Subsection"/>
      </w:pPr>
      <w:r>
        <w:tab/>
      </w:r>
      <w:r>
        <w:tab/>
        <w:t>The Commission shall not make a General Order under this Division until it has afforded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r>
        <w:tab/>
        <w:t>[Section 51BB inserted: No. 36 of 2006 s. 17.]</w:t>
      </w:r>
    </w:p>
    <w:p>
      <w:pPr>
        <w:pStyle w:val="Heading5"/>
        <w:spacing w:before="260"/>
      </w:pPr>
      <w:bookmarkStart w:id="148" w:name="_Toc98769938"/>
      <w:r>
        <w:rPr>
          <w:rStyle w:val="CharSectno"/>
        </w:rPr>
        <w:t>51BC</w:t>
      </w:r>
      <w:r>
        <w:t>.</w:t>
      </w:r>
      <w:r>
        <w:tab/>
        <w:t>Commissioner may deal with certain proceedings</w:t>
      </w:r>
      <w:bookmarkEnd w:id="148"/>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r>
        <w:tab/>
        <w:t>[Section 51BC inserted: No. 36 of 2006 s. 17.]</w:t>
      </w:r>
    </w:p>
    <w:p>
      <w:pPr>
        <w:pStyle w:val="Heading5"/>
        <w:spacing w:before="240"/>
      </w:pPr>
      <w:bookmarkStart w:id="149" w:name="_Toc98769939"/>
      <w:r>
        <w:rPr>
          <w:rStyle w:val="CharSectno"/>
        </w:rPr>
        <w:lastRenderedPageBreak/>
        <w:t>51BD</w:t>
      </w:r>
      <w:r>
        <w:t>.</w:t>
      </w:r>
      <w:r>
        <w:tab/>
        <w:t>Awards etc. affected by General Order, publication of</w:t>
      </w:r>
      <w:bookmarkEnd w:id="149"/>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r>
        <w:tab/>
        <w:t>[Section 51BD inserted: No. 36 of 2006 s. 17.]</w:t>
      </w:r>
    </w:p>
    <w:p>
      <w:pPr>
        <w:pStyle w:val="Heading5"/>
        <w:spacing w:before="240"/>
      </w:pPr>
      <w:bookmarkStart w:id="150" w:name="_Toc98769940"/>
      <w:r>
        <w:rPr>
          <w:rStyle w:val="CharSectno"/>
        </w:rPr>
        <w:t>51BE</w:t>
      </w:r>
      <w:r>
        <w:t>.</w:t>
      </w:r>
      <w:r>
        <w:tab/>
        <w:t>Publication of order</w:t>
      </w:r>
      <w:bookmarkEnd w:id="150"/>
    </w:p>
    <w:p>
      <w:pPr>
        <w:pStyle w:val="Subsection"/>
      </w:pPr>
      <w:r>
        <w:tab/>
      </w:r>
      <w:r>
        <w:tab/>
        <w:t>The Registrar shall publish in the required manner any General Order made under this Division.</w:t>
      </w:r>
    </w:p>
    <w:p>
      <w:pPr>
        <w:pStyle w:val="Footnotesection"/>
      </w:pPr>
      <w:r>
        <w:tab/>
        <w:t>[Section 51BE inserted: No. 36 of 2006 s. 17.]</w:t>
      </w:r>
    </w:p>
    <w:p>
      <w:pPr>
        <w:pStyle w:val="Heading3"/>
        <w:keepLines/>
      </w:pPr>
      <w:bookmarkStart w:id="151" w:name="_Toc98505024"/>
      <w:bookmarkStart w:id="152" w:name="_Toc98506723"/>
      <w:bookmarkStart w:id="153" w:name="_Toc98507886"/>
      <w:bookmarkStart w:id="154" w:name="_Toc98769941"/>
      <w:r>
        <w:rPr>
          <w:rStyle w:val="CharDivNo"/>
        </w:rPr>
        <w:t>Division 3A</w:t>
      </w:r>
      <w:r>
        <w:t xml:space="preserve"> — </w:t>
      </w:r>
      <w:r>
        <w:rPr>
          <w:rStyle w:val="CharDivText"/>
        </w:rPr>
        <w:t>MCE Act functions</w:t>
      </w:r>
      <w:bookmarkEnd w:id="151"/>
      <w:bookmarkEnd w:id="152"/>
      <w:bookmarkEnd w:id="153"/>
      <w:bookmarkEnd w:id="154"/>
    </w:p>
    <w:p>
      <w:pPr>
        <w:pStyle w:val="Footnoteheading"/>
        <w:keepNext/>
        <w:keepLines/>
      </w:pPr>
      <w:r>
        <w:tab/>
        <w:t>[Heading inserted: No. 20 of 2002 s. 181.]</w:t>
      </w:r>
    </w:p>
    <w:p>
      <w:pPr>
        <w:pStyle w:val="Heading4"/>
        <w:keepLines/>
      </w:pPr>
      <w:bookmarkStart w:id="155" w:name="_Toc98505025"/>
      <w:bookmarkStart w:id="156" w:name="_Toc98506724"/>
      <w:bookmarkStart w:id="157" w:name="_Toc98507887"/>
      <w:bookmarkStart w:id="158" w:name="_Toc98769942"/>
      <w:r>
        <w:t>Subdivision 1 — Preliminary</w:t>
      </w:r>
      <w:bookmarkEnd w:id="155"/>
      <w:bookmarkEnd w:id="156"/>
      <w:bookmarkEnd w:id="157"/>
      <w:bookmarkEnd w:id="158"/>
    </w:p>
    <w:p>
      <w:pPr>
        <w:pStyle w:val="Footnoteheading"/>
      </w:pPr>
      <w:r>
        <w:tab/>
        <w:t>[Heading inserted: No. 20 of 2002 s. 181.]</w:t>
      </w:r>
    </w:p>
    <w:p>
      <w:pPr>
        <w:pStyle w:val="Heading5"/>
        <w:spacing w:before="240"/>
      </w:pPr>
      <w:bookmarkStart w:id="159" w:name="_Toc98769943"/>
      <w:r>
        <w:rPr>
          <w:rStyle w:val="CharSectno"/>
        </w:rPr>
        <w:t>51C</w:t>
      </w:r>
      <w:r>
        <w:t>.</w:t>
      </w:r>
      <w:r>
        <w:tab/>
        <w:t>Term used: Commission</w:t>
      </w:r>
      <w:bookmarkEnd w:id="159"/>
    </w:p>
    <w:p>
      <w:pPr>
        <w:pStyle w:val="Subsection"/>
      </w:pPr>
      <w:r>
        <w:tab/>
        <w:t>(1)</w:t>
      </w:r>
      <w:r>
        <w:tab/>
        <w:t>In this Division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spacing w:before="100"/>
        <w:ind w:left="890" w:hanging="890"/>
      </w:pPr>
      <w:r>
        <w:tab/>
        <w:t>[Section 51C inserted: No. 20 of 2002 s. 181; amended: No. 36 of 2006 s. 18.]</w:t>
      </w:r>
    </w:p>
    <w:p>
      <w:pPr>
        <w:pStyle w:val="Ednotesubdivision"/>
        <w:spacing w:before="200"/>
      </w:pPr>
      <w:r>
        <w:t>[Subdivision 2 (s. 51D</w:t>
      </w:r>
      <w:r>
        <w:noBreakHyphen/>
        <w:t>51H) deleted: No. 36 of 2006 s. 19.]</w:t>
      </w:r>
    </w:p>
    <w:p>
      <w:pPr>
        <w:pStyle w:val="Heading4"/>
        <w:keepLines/>
      </w:pPr>
      <w:bookmarkStart w:id="160" w:name="_Toc98505027"/>
      <w:bookmarkStart w:id="161" w:name="_Toc98506726"/>
      <w:bookmarkStart w:id="162" w:name="_Toc98507889"/>
      <w:bookmarkStart w:id="163" w:name="_Toc98769944"/>
      <w:r>
        <w:lastRenderedPageBreak/>
        <w:t>Subdivision 3 — Casual employees’ loading</w:t>
      </w:r>
      <w:bookmarkEnd w:id="160"/>
      <w:bookmarkEnd w:id="161"/>
      <w:bookmarkEnd w:id="162"/>
      <w:bookmarkEnd w:id="163"/>
    </w:p>
    <w:p>
      <w:pPr>
        <w:pStyle w:val="Footnoteheading"/>
        <w:keepLines/>
        <w:spacing w:before="100"/>
      </w:pPr>
      <w:r>
        <w:tab/>
        <w:t>[Heading inserted: No. 20 of 2002 s. 181.]</w:t>
      </w:r>
    </w:p>
    <w:p>
      <w:pPr>
        <w:pStyle w:val="Heading5"/>
        <w:spacing w:before="200"/>
      </w:pPr>
      <w:bookmarkStart w:id="164" w:name="_Toc98769945"/>
      <w:r>
        <w:rPr>
          <w:rStyle w:val="CharSectno"/>
        </w:rPr>
        <w:t>51I</w:t>
      </w:r>
      <w:r>
        <w:t>.</w:t>
      </w:r>
      <w:r>
        <w:tab/>
        <w:t>Casual employees’ loading, setting for MCE Act s. 11</w:t>
      </w:r>
      <w:bookmarkEnd w:id="164"/>
    </w:p>
    <w:p>
      <w:pPr>
        <w:pStyle w:val="Subsection"/>
        <w:spacing w:before="140"/>
      </w:pPr>
      <w:r>
        <w:tab/>
        <w:t>(1)</w:t>
      </w:r>
      <w:r>
        <w:tab/>
        <w:t>Subject to subsection (2), the Commission may, by way of order, set a percentage that is higher than 20% to be the prescribed percentage for the purposes of section 11 of the MCE Act.</w:t>
      </w:r>
    </w:p>
    <w:p>
      <w:pPr>
        <w:pStyle w:val="Subsection"/>
        <w:keepNext/>
        <w:spacing w:before="140"/>
      </w:pPr>
      <w:r>
        <w:tab/>
        <w:t>(2)</w:t>
      </w:r>
      <w:r>
        <w:tab/>
        <w:t>An order under subsection (1) can only be made on an application made —</w:t>
      </w:r>
    </w:p>
    <w:p>
      <w:pPr>
        <w:pStyle w:val="Indenta"/>
        <w:spacing w:before="60"/>
      </w:pPr>
      <w:r>
        <w:tab/>
        <w:t>(a)</w:t>
      </w:r>
      <w:r>
        <w:tab/>
        <w:t>by UnionsWA, the Chamber, the Mines and Metals Association or the Minister; and</w:t>
      </w:r>
    </w:p>
    <w:p>
      <w:pPr>
        <w:pStyle w:val="Indenta"/>
        <w:spacing w:before="60"/>
      </w:pPr>
      <w:r>
        <w:tab/>
        <w:t>(b)</w:t>
      </w:r>
      <w:r>
        <w:tab/>
        <w:t>at least 12 months after the determination of the most recent application for an order under subsection (1).</w:t>
      </w:r>
    </w:p>
    <w:p>
      <w:pPr>
        <w:pStyle w:val="Footnotesection"/>
        <w:spacing w:before="100"/>
        <w:ind w:left="890" w:hanging="890"/>
      </w:pPr>
      <w:r>
        <w:tab/>
        <w:t>[Section 51I inserted: No. 20 of 2002 s. 181; amended: No. 53 of 2011 s. 48.]</w:t>
      </w:r>
    </w:p>
    <w:p>
      <w:pPr>
        <w:pStyle w:val="Heading4"/>
      </w:pPr>
      <w:bookmarkStart w:id="165" w:name="_Toc98505029"/>
      <w:bookmarkStart w:id="166" w:name="_Toc98506728"/>
      <w:bookmarkStart w:id="167" w:name="_Toc98507891"/>
      <w:bookmarkStart w:id="168" w:name="_Toc98769946"/>
      <w:r>
        <w:t>Subdivision 4 — Orders under this Division generally</w:t>
      </w:r>
      <w:bookmarkEnd w:id="165"/>
      <w:bookmarkEnd w:id="166"/>
      <w:bookmarkEnd w:id="167"/>
      <w:bookmarkEnd w:id="168"/>
    </w:p>
    <w:p>
      <w:pPr>
        <w:pStyle w:val="Footnoteheading"/>
        <w:spacing w:before="100"/>
      </w:pPr>
      <w:r>
        <w:tab/>
        <w:t>[Heading inserted: No. 20 of 2002 s. 181.]</w:t>
      </w:r>
    </w:p>
    <w:p>
      <w:pPr>
        <w:pStyle w:val="Heading5"/>
        <w:spacing w:before="200"/>
      </w:pPr>
      <w:bookmarkStart w:id="169" w:name="_Toc98769947"/>
      <w:r>
        <w:rPr>
          <w:rStyle w:val="CharSectno"/>
        </w:rPr>
        <w:t>51J</w:t>
      </w:r>
      <w:r>
        <w:t>.</w:t>
      </w:r>
      <w:r>
        <w:tab/>
        <w:t>Notice of hearings under this Division</w:t>
      </w:r>
      <w:bookmarkEnd w:id="169"/>
    </w:p>
    <w:p>
      <w:pPr>
        <w:pStyle w:val="Subsection"/>
        <w:spacing w:before="140"/>
      </w:pPr>
      <w:r>
        <w:tab/>
      </w:r>
      <w:r>
        <w:tab/>
        <w:t>The Commission shall ensure that notice of each initial hearing to be conducted for the purposes of making or reviewing an order under this Division is given —</w:t>
      </w:r>
    </w:p>
    <w:p>
      <w:pPr>
        <w:pStyle w:val="Indenta"/>
        <w:spacing w:before="60"/>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No. 20 of 2002 s. 181; amended: No. 53 of 2011 s. 48.]</w:t>
      </w:r>
    </w:p>
    <w:p>
      <w:pPr>
        <w:pStyle w:val="Heading5"/>
      </w:pPr>
      <w:bookmarkStart w:id="170" w:name="_Toc98769948"/>
      <w:r>
        <w:rPr>
          <w:rStyle w:val="CharSectno"/>
        </w:rPr>
        <w:t>51K</w:t>
      </w:r>
      <w:r>
        <w:t>.</w:t>
      </w:r>
      <w:r>
        <w:tab/>
        <w:t>Right to be heard before order made under this Division</w:t>
      </w:r>
      <w:bookmarkEnd w:id="170"/>
    </w:p>
    <w:p>
      <w:pPr>
        <w:pStyle w:val="Subsection"/>
      </w:pPr>
      <w:r>
        <w:tab/>
      </w:r>
      <w:r>
        <w:tab/>
        <w:t xml:space="preserve">The Commission shall not make an order under this Division until it has afforded UnionsWA, the Chamber, the Mines and </w:t>
      </w:r>
      <w:r>
        <w:lastRenderedPageBreak/>
        <w:t>Metals Association, the Minister and any other person permitted by the Commission to be heard, an opportunity to be heard in relation to the matter.</w:t>
      </w:r>
    </w:p>
    <w:p>
      <w:pPr>
        <w:pStyle w:val="Footnotesection"/>
      </w:pPr>
      <w:r>
        <w:tab/>
        <w:t>[Section 51K inserted: No. 20 of 2002 s. 181; amended: No. 53 of 2011 s. 48.]</w:t>
      </w:r>
    </w:p>
    <w:p>
      <w:pPr>
        <w:pStyle w:val="Heading5"/>
      </w:pPr>
      <w:bookmarkStart w:id="171" w:name="_Toc98769949"/>
      <w:r>
        <w:rPr>
          <w:rStyle w:val="CharSectno"/>
        </w:rPr>
        <w:t>51L</w:t>
      </w:r>
      <w:r>
        <w:t>.</w:t>
      </w:r>
      <w:r>
        <w:tab/>
        <w:t>Orders under this Division, restrictions on</w:t>
      </w:r>
      <w:bookmarkEnd w:id="171"/>
    </w:p>
    <w:p>
      <w:pPr>
        <w:pStyle w:val="Subsection"/>
      </w:pPr>
      <w:r>
        <w:tab/>
      </w:r>
      <w:r>
        <w:tab/>
        <w:t>An order made under this Division shall not —</w:t>
      </w:r>
    </w:p>
    <w:p>
      <w:pPr>
        <w:pStyle w:val="Indenta"/>
        <w:spacing w:before="60"/>
      </w:pPr>
      <w:r>
        <w:tab/>
        <w:t>(a)</w:t>
      </w:r>
      <w:r>
        <w:tab/>
        <w:t>provide for a penalty rate or allowance of any kind; or</w:t>
      </w:r>
    </w:p>
    <w:p>
      <w:pPr>
        <w:pStyle w:val="Indenta"/>
        <w:spacing w:before="60"/>
      </w:pPr>
      <w:r>
        <w:tab/>
        <w:t>(b)</w:t>
      </w:r>
      <w:r>
        <w:tab/>
        <w:t>provide for a loading of any kind other than that referred to in section 51I; or</w:t>
      </w:r>
    </w:p>
    <w:p>
      <w:pPr>
        <w:pStyle w:val="Indenta"/>
        <w:spacing w:before="60"/>
      </w:pPr>
      <w:r>
        <w:tab/>
        <w:t>(c)</w:t>
      </w:r>
      <w:r>
        <w:tab/>
        <w:t>be made in respect of preference of employment at the time of, or during employment by reason of being or not being a member of an organisation.</w:t>
      </w:r>
    </w:p>
    <w:p>
      <w:pPr>
        <w:pStyle w:val="Footnotesection"/>
      </w:pPr>
      <w:r>
        <w:tab/>
        <w:t>[Section 51L inserted: No. 20 of 2002 s. 181.]</w:t>
      </w:r>
    </w:p>
    <w:p>
      <w:pPr>
        <w:pStyle w:val="Heading5"/>
      </w:pPr>
      <w:bookmarkStart w:id="172" w:name="_Toc98769950"/>
      <w:r>
        <w:rPr>
          <w:rStyle w:val="CharSectno"/>
        </w:rPr>
        <w:t>51M</w:t>
      </w:r>
      <w:r>
        <w:t>.</w:t>
      </w:r>
      <w:r>
        <w:tab/>
        <w:t>Publication of orders</w:t>
      </w:r>
      <w:bookmarkEnd w:id="172"/>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No. 20 of 2002 s. 181.]</w:t>
      </w:r>
    </w:p>
    <w:p>
      <w:pPr>
        <w:pStyle w:val="Heading5"/>
      </w:pPr>
      <w:bookmarkStart w:id="173" w:name="_Toc98769951"/>
      <w:r>
        <w:rPr>
          <w:rStyle w:val="CharSectno"/>
        </w:rPr>
        <w:t>51N</w:t>
      </w:r>
      <w:r>
        <w:t>.</w:t>
      </w:r>
      <w:r>
        <w:tab/>
        <w:t>Variation and rescission of s. 51I orders</w:t>
      </w:r>
      <w:bookmarkEnd w:id="173"/>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No. 20 of 2002 s. 181; amended: No. 36 of 2006 s. 20.]</w:t>
      </w:r>
    </w:p>
    <w:p>
      <w:pPr>
        <w:pStyle w:val="Heading3"/>
        <w:keepLines/>
      </w:pPr>
      <w:bookmarkStart w:id="174" w:name="_Toc98505035"/>
      <w:bookmarkStart w:id="175" w:name="_Toc98506734"/>
      <w:bookmarkStart w:id="176" w:name="_Toc98507897"/>
      <w:bookmarkStart w:id="177" w:name="_Toc98769952"/>
      <w:r>
        <w:rPr>
          <w:rStyle w:val="CharDivNo"/>
        </w:rPr>
        <w:lastRenderedPageBreak/>
        <w:t>Division 3B</w:t>
      </w:r>
      <w:r>
        <w:t> — </w:t>
      </w:r>
      <w:r>
        <w:rPr>
          <w:rStyle w:val="CharDivText"/>
        </w:rPr>
        <w:t>Collective agreements and good faith bargaining</w:t>
      </w:r>
      <w:bookmarkEnd w:id="174"/>
      <w:bookmarkEnd w:id="175"/>
      <w:bookmarkEnd w:id="176"/>
      <w:bookmarkEnd w:id="177"/>
    </w:p>
    <w:p>
      <w:pPr>
        <w:pStyle w:val="Footnoteheading"/>
        <w:keepNext/>
        <w:keepLines/>
      </w:pPr>
      <w:r>
        <w:tab/>
        <w:t>[Heading inserted: No. 36 of 2006 s. 25.]</w:t>
      </w:r>
    </w:p>
    <w:p>
      <w:pPr>
        <w:pStyle w:val="Heading5"/>
      </w:pPr>
      <w:bookmarkStart w:id="178" w:name="_Toc98769953"/>
      <w:r>
        <w:rPr>
          <w:rStyle w:val="CharSectno"/>
        </w:rPr>
        <w:t>51O</w:t>
      </w:r>
      <w:r>
        <w:t>.</w:t>
      </w:r>
      <w:r>
        <w:tab/>
        <w:t>Terms used</w:t>
      </w:r>
      <w:bookmarkEnd w:id="178"/>
    </w:p>
    <w:p>
      <w:pPr>
        <w:pStyle w:val="Subsection"/>
      </w:pPr>
      <w:r>
        <w:tab/>
        <w:t>(1)</w:t>
      </w:r>
      <w:r>
        <w:tab/>
        <w:t xml:space="preserve">In </w:t>
      </w:r>
      <w:r>
        <w:rPr>
          <w:snapToGrid w:val="0"/>
        </w:rPr>
        <w:t>this</w:t>
      </w:r>
      <w:r>
        <w:t xml:space="preserve"> Division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in relation to a proposed collective agreement, means —</w:t>
      </w:r>
    </w:p>
    <w:p>
      <w:pPr>
        <w:pStyle w:val="Defpara"/>
      </w:pPr>
      <w:r>
        <w:tab/>
        <w:t>(a)</w:t>
      </w:r>
      <w:r>
        <w:tab/>
        <w:t>the initiating party;</w:t>
      </w:r>
    </w:p>
    <w:p>
      <w:pPr>
        <w:pStyle w:val="Defpara"/>
      </w:pPr>
      <w:r>
        <w:tab/>
        <w:t>(b)</w:t>
      </w:r>
      <w:r>
        <w:tab/>
        <w:t>if the initiating party is an employer — any organisation that is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keepNext/>
      </w:pPr>
      <w:r>
        <w:tab/>
        <w:t>(2)</w:t>
      </w:r>
      <w:r>
        <w:tab/>
        <w:t xml:space="preserve">In </w:t>
      </w:r>
      <w:r>
        <w:rPr>
          <w:snapToGrid w:val="0"/>
        </w:rPr>
        <w:t>this</w:t>
      </w:r>
      <w:r>
        <w:t xml:space="preserve"> Division each of the following terms has the meaning given to it by the Commonwealth Act —</w:t>
      </w:r>
    </w:p>
    <w:p>
      <w:pPr>
        <w:pStyle w:val="Indenta"/>
        <w:spacing w:before="60"/>
      </w:pPr>
      <w:r>
        <w:tab/>
        <w:t>(a)</w:t>
      </w:r>
      <w:r>
        <w:tab/>
      </w:r>
      <w:r>
        <w:rPr>
          <w:rStyle w:val="CharDefText"/>
        </w:rPr>
        <w:t>collective agreement</w:t>
      </w:r>
      <w:r>
        <w:t>;</w:t>
      </w:r>
    </w:p>
    <w:p>
      <w:pPr>
        <w:pStyle w:val="Indenta"/>
        <w:spacing w:before="60"/>
      </w:pPr>
      <w:r>
        <w:tab/>
        <w:t>(b)</w:t>
      </w:r>
      <w:r>
        <w:tab/>
      </w:r>
      <w:r>
        <w:rPr>
          <w:rStyle w:val="CharDefText"/>
        </w:rPr>
        <w:t>employee</w:t>
      </w:r>
      <w:r>
        <w:t>;</w:t>
      </w:r>
    </w:p>
    <w:p>
      <w:pPr>
        <w:pStyle w:val="Indenta"/>
        <w:keepNext/>
        <w:spacing w:before="60"/>
      </w:pPr>
      <w:r>
        <w:tab/>
        <w:t>(c)</w:t>
      </w:r>
      <w:r>
        <w:tab/>
      </w:r>
      <w:r>
        <w:rPr>
          <w:rStyle w:val="CharDefText"/>
        </w:rPr>
        <w:t>employer</w:t>
      </w:r>
      <w:r>
        <w:t>;</w:t>
      </w:r>
    </w:p>
    <w:p>
      <w:pPr>
        <w:pStyle w:val="Indenta"/>
        <w:spacing w:before="60"/>
      </w:pPr>
      <w:r>
        <w:tab/>
        <w:t>(d)</w:t>
      </w:r>
      <w:r>
        <w:tab/>
      </w:r>
      <w:r>
        <w:rPr>
          <w:rStyle w:val="CharDefText"/>
        </w:rPr>
        <w:t>employment</w:t>
      </w:r>
      <w:r>
        <w:t>;</w:t>
      </w:r>
    </w:p>
    <w:p>
      <w:pPr>
        <w:pStyle w:val="Indenta"/>
        <w:spacing w:before="60"/>
      </w:pPr>
      <w:r>
        <w:lastRenderedPageBreak/>
        <w:tab/>
        <w:t>(e)</w:t>
      </w:r>
      <w:r>
        <w:tab/>
      </w:r>
      <w:r>
        <w:rPr>
          <w:rStyle w:val="CharDefText"/>
        </w:rPr>
        <w:t>nominal expiry date</w:t>
      </w:r>
      <w:r>
        <w:t>.</w:t>
      </w:r>
    </w:p>
    <w:p>
      <w:pPr>
        <w:pStyle w:val="Footnotesection"/>
        <w:spacing w:before="100"/>
        <w:ind w:left="890" w:hanging="890"/>
      </w:pPr>
      <w:r>
        <w:tab/>
        <w:t>[Section 51O inserted: No. 36 of 2006 s. 25.]</w:t>
      </w:r>
    </w:p>
    <w:p>
      <w:pPr>
        <w:pStyle w:val="Heading5"/>
        <w:spacing w:before="240"/>
      </w:pPr>
      <w:bookmarkStart w:id="179" w:name="_Toc98769954"/>
      <w:r>
        <w:rPr>
          <w:rStyle w:val="CharSectno"/>
        </w:rPr>
        <w:t>51P</w:t>
      </w:r>
      <w:r>
        <w:t>.</w:t>
      </w:r>
      <w:r>
        <w:tab/>
        <w:t>When organisation may represent employees</w:t>
      </w:r>
      <w:bookmarkEnd w:id="179"/>
    </w:p>
    <w:p>
      <w:pPr>
        <w:pStyle w:val="Subsection"/>
        <w:spacing w:before="180"/>
      </w:pPr>
      <w:r>
        <w:tab/>
      </w:r>
      <w:r>
        <w:tab/>
        <w:t>An organisation may act under this Division on behalf of employees whose employment is proposed to be subject to a proposed collective agreement if —</w:t>
      </w:r>
    </w:p>
    <w:p>
      <w:pPr>
        <w:pStyle w:val="Indenta"/>
        <w:spacing w:before="60"/>
      </w:pPr>
      <w:r>
        <w:tab/>
        <w:t>(a)</w:t>
      </w:r>
      <w:r>
        <w:tab/>
        <w:t>at least one of those employees has requested the organisation in writing to act on behalf of the employees; and</w:t>
      </w:r>
    </w:p>
    <w:p>
      <w:pPr>
        <w:pStyle w:val="Indenta"/>
        <w:spacing w:before="60"/>
      </w:pPr>
      <w:r>
        <w:tab/>
        <w:t>(b)</w:t>
      </w:r>
      <w:r>
        <w:tab/>
        <w:t>the employee making the request is a member of the organisation or is eligible to become a member of the organisation.</w:t>
      </w:r>
    </w:p>
    <w:p>
      <w:pPr>
        <w:pStyle w:val="Footnotesection"/>
        <w:spacing w:before="100"/>
        <w:ind w:left="890" w:hanging="890"/>
      </w:pPr>
      <w:r>
        <w:tab/>
        <w:t>[Section 51P inserted: No. 36 of 2006 s. 25.]</w:t>
      </w:r>
    </w:p>
    <w:p>
      <w:pPr>
        <w:pStyle w:val="Heading5"/>
        <w:spacing w:before="240"/>
      </w:pPr>
      <w:bookmarkStart w:id="180" w:name="_Toc98769955"/>
      <w:r>
        <w:rPr>
          <w:rStyle w:val="CharSectno"/>
        </w:rPr>
        <w:t>51Q</w:t>
      </w:r>
      <w:r>
        <w:t>.</w:t>
      </w:r>
      <w:r>
        <w:tab/>
        <w:t>Bargaining agents, appointment of etc.</w:t>
      </w:r>
      <w:bookmarkEnd w:id="180"/>
    </w:p>
    <w:p>
      <w:pPr>
        <w:pStyle w:val="Subsection"/>
      </w:pPr>
      <w:r>
        <w:tab/>
        <w:t>(1)</w:t>
      </w:r>
      <w:r>
        <w:tab/>
        <w:t>For the purposes of this Division, a person is a bargaining agent if —</w:t>
      </w:r>
    </w:p>
    <w:p>
      <w:pPr>
        <w:pStyle w:val="Indenta"/>
        <w:spacing w:before="60"/>
      </w:pPr>
      <w:r>
        <w:tab/>
        <w:t>(a)</w:t>
      </w:r>
      <w:r>
        <w:tab/>
        <w:t>that person has been appointed in writing by a negotiating party to be that party’s bargaining agent in relation to a proposed collective agreement; and</w:t>
      </w:r>
    </w:p>
    <w:p>
      <w:pPr>
        <w:pStyle w:val="Indenta"/>
        <w:spacing w:before="60"/>
      </w:pPr>
      <w:r>
        <w:tab/>
        <w:t>(b)</w:t>
      </w:r>
      <w:r>
        <w:tab/>
        <w:t>a copy of the appointment has been provided to the other negotiating party; and</w:t>
      </w:r>
    </w:p>
    <w:p>
      <w:pPr>
        <w:pStyle w:val="Indenta"/>
        <w:spacing w:before="60"/>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r>
        <w:lastRenderedPageBreak/>
        <w:tab/>
        <w:t>[Section 51Q inserted: No. 36 of 2006 s. 25; amended: No. 21 of 2008 s. 668(5).]</w:t>
      </w:r>
    </w:p>
    <w:p>
      <w:pPr>
        <w:pStyle w:val="Heading5"/>
      </w:pPr>
      <w:bookmarkStart w:id="181" w:name="_Toc98769956"/>
      <w:r>
        <w:rPr>
          <w:rStyle w:val="CharSectno"/>
        </w:rPr>
        <w:t>51R</w:t>
      </w:r>
      <w:r>
        <w:t>.</w:t>
      </w:r>
      <w:r>
        <w:tab/>
        <w:t>Bargaining for collective agreement, initiating</w:t>
      </w:r>
      <w:bookmarkEnd w:id="181"/>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A notice complies with this subsection if it is accompanied by particulars of —</w:t>
      </w:r>
    </w:p>
    <w:p>
      <w:pPr>
        <w:pStyle w:val="Indenta"/>
      </w:pPr>
      <w:r>
        <w:tab/>
        <w:t>(a)</w:t>
      </w:r>
      <w:r>
        <w:tab/>
        <w:t>the business to be covered by the proposed collective agreement; and</w:t>
      </w:r>
    </w:p>
    <w:p>
      <w:pPr>
        <w:pStyle w:val="Indenta"/>
      </w:pPr>
      <w:r>
        <w:tab/>
        <w:t>(b)</w:t>
      </w:r>
      <w:r>
        <w:tab/>
        <w:t>the types of employees whose employment will be subject to the proposed collective agreement and the other persons who will be bound by the proposed collective agreement; and</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r>
        <w:tab/>
        <w:t>[Section 51R inserted: No. 36 of 2006 s. 25.]</w:t>
      </w:r>
    </w:p>
    <w:p>
      <w:pPr>
        <w:pStyle w:val="Heading5"/>
      </w:pPr>
      <w:bookmarkStart w:id="182" w:name="_Toc98769957"/>
      <w:r>
        <w:rPr>
          <w:rStyle w:val="CharSectno"/>
        </w:rPr>
        <w:lastRenderedPageBreak/>
        <w:t>51S</w:t>
      </w:r>
      <w:r>
        <w:t>.</w:t>
      </w:r>
      <w:r>
        <w:tab/>
        <w:t>Bargaining for collective agreement, good faith required etc.</w:t>
      </w:r>
      <w:bookmarkEnd w:id="182"/>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rStyle w:val="CharDefText"/>
        </w:rPr>
        <w:t>bargaining in good faith</w:t>
      </w:r>
      <w:r>
        <w:rPr>
          <w:b/>
        </w:rPr>
        <w:t xml:space="preserve"> </w:t>
      </w:r>
      <w:r>
        <w:t>includes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r>
        <w:tab/>
        <w:t>[Section 51S inserted: No. 36 of 2006 s. 25.]</w:t>
      </w:r>
    </w:p>
    <w:p>
      <w:pPr>
        <w:pStyle w:val="Heading5"/>
      </w:pPr>
      <w:bookmarkStart w:id="183" w:name="_Toc98769958"/>
      <w:r>
        <w:rPr>
          <w:rStyle w:val="CharSectno"/>
        </w:rPr>
        <w:t>51T</w:t>
      </w:r>
      <w:r>
        <w:t>.</w:t>
      </w:r>
      <w:r>
        <w:tab/>
        <w:t>Application of s. 42D and 42E</w:t>
      </w:r>
      <w:bookmarkEnd w:id="183"/>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No. 36 of 2006 s. 25.]</w:t>
      </w:r>
    </w:p>
    <w:p>
      <w:pPr>
        <w:pStyle w:val="Heading3"/>
        <w:keepLines/>
        <w:pageBreakBefore/>
        <w:spacing w:before="0"/>
        <w:rPr>
          <w:snapToGrid w:val="0"/>
        </w:rPr>
      </w:pPr>
      <w:bookmarkStart w:id="184" w:name="_Toc98505042"/>
      <w:bookmarkStart w:id="185" w:name="_Toc98506741"/>
      <w:bookmarkStart w:id="186" w:name="_Toc98507904"/>
      <w:bookmarkStart w:id="187" w:name="_Toc98769959"/>
      <w:r>
        <w:rPr>
          <w:rStyle w:val="CharDivNo"/>
        </w:rPr>
        <w:lastRenderedPageBreak/>
        <w:t>Division 4</w:t>
      </w:r>
      <w:r>
        <w:rPr>
          <w:snapToGrid w:val="0"/>
        </w:rPr>
        <w:t> — </w:t>
      </w:r>
      <w:r>
        <w:rPr>
          <w:rStyle w:val="CharDivText"/>
        </w:rPr>
        <w:t>Industrial organisations and associations</w:t>
      </w:r>
      <w:bookmarkEnd w:id="184"/>
      <w:bookmarkEnd w:id="185"/>
      <w:bookmarkEnd w:id="186"/>
      <w:bookmarkEnd w:id="187"/>
    </w:p>
    <w:p>
      <w:pPr>
        <w:pStyle w:val="Footnoteheading"/>
        <w:keepNext/>
        <w:keepLines/>
        <w:rPr>
          <w:snapToGrid w:val="0"/>
        </w:rPr>
      </w:pPr>
      <w:r>
        <w:rPr>
          <w:snapToGrid w:val="0"/>
        </w:rPr>
        <w:tab/>
        <w:t>[Heading amended: No. 119 of 1987 s. 14.]</w:t>
      </w:r>
    </w:p>
    <w:p>
      <w:pPr>
        <w:pStyle w:val="Heading5"/>
        <w:rPr>
          <w:snapToGrid w:val="0"/>
        </w:rPr>
      </w:pPr>
      <w:bookmarkStart w:id="188" w:name="_Toc98769960"/>
      <w:r>
        <w:rPr>
          <w:rStyle w:val="CharSectno"/>
        </w:rPr>
        <w:t>52</w:t>
      </w:r>
      <w:r>
        <w:rPr>
          <w:snapToGrid w:val="0"/>
        </w:rPr>
        <w:t>.</w:t>
      </w:r>
      <w:r>
        <w:rPr>
          <w:snapToGrid w:val="0"/>
        </w:rPr>
        <w:tab/>
        <w:t>Terms used</w:t>
      </w:r>
      <w:bookmarkEnd w:id="188"/>
    </w:p>
    <w:p>
      <w:pPr>
        <w:pStyle w:val="Subsection"/>
        <w:keepNext/>
        <w:keepLines/>
        <w:rPr>
          <w:snapToGrid w:val="0"/>
        </w:rPr>
      </w:pPr>
      <w:r>
        <w:rPr>
          <w:snapToGrid w:val="0"/>
        </w:rPr>
        <w:tab/>
      </w:r>
      <w:r>
        <w:rPr>
          <w:snapToGrid w:val="0"/>
        </w:rPr>
        <w:tab/>
        <w:t>In this Division, unless a contrary intention appears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[Section 52 amended: No. 119 of 1987 s. 15.]</w:t>
      </w:r>
    </w:p>
    <w:p>
      <w:pPr>
        <w:pStyle w:val="Heading5"/>
        <w:rPr>
          <w:snapToGrid w:val="0"/>
        </w:rPr>
      </w:pPr>
      <w:bookmarkStart w:id="189" w:name="_Toc98769961"/>
      <w:r>
        <w:rPr>
          <w:rStyle w:val="CharSectno"/>
        </w:rPr>
        <w:t>53</w:t>
      </w:r>
      <w:r>
        <w:rPr>
          <w:snapToGrid w:val="0"/>
        </w:rPr>
        <w:t>.</w:t>
      </w:r>
      <w:r>
        <w:rPr>
          <w:snapToGrid w:val="0"/>
        </w:rPr>
        <w:tab/>
        <w:t>Organisations of employees, which can be registered</w:t>
      </w:r>
      <w:bookmarkEnd w:id="189"/>
    </w:p>
    <w:p>
      <w:pPr>
        <w:pStyle w:val="Subsection"/>
        <w:rPr>
          <w:snapToGrid w:val="0"/>
        </w:rPr>
      </w:pPr>
      <w:r>
        <w:rPr>
          <w:snapToGrid w:val="0"/>
        </w:rPr>
        <w:tab/>
        <w:t>(1)</w:t>
      </w:r>
      <w:r>
        <w:rPr>
          <w:snapToGrid w:val="0"/>
        </w:rPr>
        <w:tab/>
        <w:t xml:space="preserve">Subject to this Act, any unregistered organisation consisting of not less than 200 employees associated for the purpose of protecting or furthering the interests of employees may be registered by authority of the </w:t>
      </w:r>
      <w:r>
        <w:t>Commission in Court Session.</w:t>
      </w:r>
    </w:p>
    <w:p>
      <w:pPr>
        <w:pStyle w:val="Subsection"/>
        <w:keepLines/>
        <w:rPr>
          <w:snapToGrid w:val="0"/>
        </w:rPr>
      </w:pPr>
      <w:r>
        <w:rPr>
          <w:snapToGrid w:val="0"/>
        </w:rPr>
        <w:lastRenderedPageBreak/>
        <w:tab/>
        <w:t>(2)</w:t>
      </w:r>
      <w:r>
        <w:rPr>
          <w:snapToGrid w:val="0"/>
        </w:rPr>
        <w:tab/>
        <w:t xml:space="preserve">Subject to this Act, an unregistered organisation consisting of less than 200 employees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tab/>
        <w:t>[Section 53 inserted: No. 94 of 1984 s. 34; amended: No. 39 of 2018 s. 30.]</w:t>
      </w:r>
    </w:p>
    <w:p>
      <w:pPr>
        <w:pStyle w:val="Heading5"/>
        <w:rPr>
          <w:snapToGrid w:val="0"/>
        </w:rPr>
      </w:pPr>
      <w:bookmarkStart w:id="190" w:name="_Toc98769962"/>
      <w:r>
        <w:rPr>
          <w:rStyle w:val="CharSectno"/>
        </w:rPr>
        <w:t>54</w:t>
      </w:r>
      <w:r>
        <w:rPr>
          <w:snapToGrid w:val="0"/>
        </w:rPr>
        <w:t>.</w:t>
      </w:r>
      <w:r>
        <w:rPr>
          <w:snapToGrid w:val="0"/>
        </w:rPr>
        <w:tab/>
        <w:t>Organisations of employers, which can be registered</w:t>
      </w:r>
      <w:bookmarkEnd w:id="190"/>
    </w:p>
    <w:p>
      <w:pPr>
        <w:pStyle w:val="Subsection"/>
        <w:keepNext/>
        <w:rPr>
          <w:snapToGrid w:val="0"/>
        </w:rPr>
      </w:pPr>
      <w:r>
        <w:rPr>
          <w:snapToGrid w:val="0"/>
        </w:rPr>
        <w:tab/>
        <w:t>(1)</w:t>
      </w:r>
      <w:r>
        <w:rPr>
          <w:snapToGrid w:val="0"/>
        </w:rPr>
        <w:tab/>
        <w:t>Subject to this Act, an unregistered organisation consisting of 2 or more employers who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 xml:space="preserve">may be registered by authority of the </w:t>
      </w:r>
      <w:r>
        <w:t>Commission in Court Session.</w:t>
      </w:r>
    </w:p>
    <w:p>
      <w:pPr>
        <w:pStyle w:val="Subsection"/>
        <w:rPr>
          <w:snapToGrid w:val="0"/>
        </w:rPr>
      </w:pPr>
      <w:r>
        <w:rPr>
          <w:snapToGrid w:val="0"/>
        </w:rPr>
        <w:tab/>
        <w:t>(2)</w:t>
      </w:r>
      <w:r>
        <w:rPr>
          <w:snapToGrid w:val="0"/>
        </w:rPr>
        <w:tab/>
        <w:t xml:space="preserve">Subject to this Act an unregistered organisation that does not comply with subsection (1)(a)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tab/>
        <w:t>[Section 54 inserted: No. 94 of 1984 s. 34; amended: No. 39 of 2018 s. 31.]</w:t>
      </w:r>
    </w:p>
    <w:p>
      <w:pPr>
        <w:pStyle w:val="Heading5"/>
        <w:rPr>
          <w:snapToGrid w:val="0"/>
        </w:rPr>
      </w:pPr>
      <w:bookmarkStart w:id="191" w:name="_Toc98769963"/>
      <w:r>
        <w:rPr>
          <w:rStyle w:val="CharSectno"/>
        </w:rPr>
        <w:t>55</w:t>
      </w:r>
      <w:r>
        <w:rPr>
          <w:snapToGrid w:val="0"/>
        </w:rPr>
        <w:t>.</w:t>
      </w:r>
      <w:r>
        <w:rPr>
          <w:snapToGrid w:val="0"/>
        </w:rPr>
        <w:tab/>
        <w:t>Applications for registration under s. 53 or 54</w:t>
      </w:r>
      <w:bookmarkEnd w:id="191"/>
    </w:p>
    <w:p>
      <w:pPr>
        <w:pStyle w:val="Subsection"/>
        <w:rPr>
          <w:snapToGrid w:val="0"/>
        </w:rPr>
      </w:pPr>
      <w:r>
        <w:rPr>
          <w:snapToGrid w:val="0"/>
        </w:rPr>
        <w:tab/>
        <w:t>(1)</w:t>
      </w:r>
      <w:r>
        <w:rPr>
          <w:snapToGrid w:val="0"/>
        </w:rPr>
        <w:tab/>
        <w:t>An organisation seeking registration under section 53 or 54 shall lodge in the office of the Registrar —</w:t>
      </w:r>
    </w:p>
    <w:p>
      <w:pPr>
        <w:pStyle w:val="Indenta"/>
        <w:rPr>
          <w:snapToGrid w:val="0"/>
        </w:rPr>
      </w:pPr>
      <w:r>
        <w:rPr>
          <w:snapToGrid w:val="0"/>
        </w:rPr>
        <w:tab/>
        <w:t>(a)</w:t>
      </w:r>
      <w:r>
        <w:rPr>
          <w:snapToGrid w:val="0"/>
        </w:rPr>
        <w:tab/>
        <w:t>a list of the officers of the organisation with their addresses; and</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lastRenderedPageBreak/>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w:t>
      </w:r>
    </w:p>
    <w:p>
      <w:pPr>
        <w:pStyle w:val="Indenta"/>
        <w:rPr>
          <w:snapToGrid w:val="0"/>
        </w:rPr>
      </w:pPr>
      <w:r>
        <w:rPr>
          <w:snapToGrid w:val="0"/>
        </w:rPr>
        <w:tab/>
        <w:t>(a)</w:t>
      </w:r>
      <w:r>
        <w:rPr>
          <w:snapToGrid w:val="0"/>
        </w:rPr>
        <w:tab/>
        <w:t>a notice of the application; and</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 xml:space="preserve">notice that any person who objects to the registration of the organisation and who, having given notice of that objection within the time and in the manner prescribed, satisfies the </w:t>
      </w:r>
      <w:r>
        <w:t>Commission in Court Session that the person</w:t>
      </w:r>
      <w:r>
        <w:rPr>
          <w:snapToGrid w:val="0"/>
        </w:rPr>
        <w:t xml:space="preserv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w:t>
      </w:r>
      <w:r>
        <w:t>Commission in Court Session</w:t>
      </w:r>
      <w:r>
        <w:rPr>
          <w:snapToGrid w:val="0"/>
        </w:rPr>
        <w:t xml:space="preserve">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 xml:space="preserve">Notwithstanding that an organisation complies with section 53(1) or 54(1) or that the </w:t>
      </w:r>
      <w:r>
        <w:t>Commission in Court Session is satisfied for the purposes of section 53(2) or 54(2), the Commission in Court Session must</w:t>
      </w:r>
      <w:r>
        <w:rPr>
          <w:snapToGrid w:val="0"/>
        </w:rPr>
        <w:t xml:space="preserve"> refuse an application by the organisation under this section unless it is satisfied that —</w:t>
      </w:r>
    </w:p>
    <w:p>
      <w:pPr>
        <w:pStyle w:val="Indenta"/>
        <w:rPr>
          <w:snapToGrid w:val="0"/>
        </w:rPr>
      </w:pPr>
      <w:r>
        <w:rPr>
          <w:snapToGrid w:val="0"/>
        </w:rPr>
        <w:tab/>
        <w:t>(a)</w:t>
      </w:r>
      <w:r>
        <w:rPr>
          <w:snapToGrid w:val="0"/>
        </w:rPr>
        <w:tab/>
        <w:t>the application has been authorised in accordance with the rules of the organisation; and</w:t>
      </w:r>
    </w:p>
    <w:p>
      <w:pPr>
        <w:pStyle w:val="Indenta"/>
        <w:rPr>
          <w:snapToGrid w:val="0"/>
        </w:rPr>
      </w:pPr>
      <w:r>
        <w:rPr>
          <w:snapToGrid w:val="0"/>
        </w:rPr>
        <w:tab/>
        <w:t>(b)</w:t>
      </w:r>
      <w:r>
        <w:rPr>
          <w:snapToGrid w:val="0"/>
        </w:rPr>
        <w:tab/>
        <w:t>reasonable steps have been taken to adequately inform the members —</w:t>
      </w:r>
    </w:p>
    <w:p>
      <w:pPr>
        <w:pStyle w:val="Indenti"/>
        <w:rPr>
          <w:snapToGrid w:val="0"/>
        </w:rPr>
      </w:pPr>
      <w:r>
        <w:rPr>
          <w:snapToGrid w:val="0"/>
        </w:rPr>
        <w:tab/>
        <w:t>(i)</w:t>
      </w:r>
      <w:r>
        <w:rPr>
          <w:snapToGrid w:val="0"/>
        </w:rPr>
        <w:tab/>
        <w:t>of the intention of the organisation to apply for registration; and</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lastRenderedPageBreak/>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pPr>
        <w:pStyle w:val="Indenta"/>
        <w:rPr>
          <w:snapToGrid w:val="0"/>
        </w:rPr>
      </w:pPr>
      <w:r>
        <w:rPr>
          <w:snapToGrid w:val="0"/>
        </w:rPr>
        <w:tab/>
        <w:t>(c)</w:t>
      </w:r>
      <w:r>
        <w:rPr>
          <w:snapToGrid w:val="0"/>
        </w:rPr>
        <w:tab/>
        <w:t>in relation to the members of the organisation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 xml:space="preserve">Notwithstanding that an organisation complies with section 53(1) or 54(1), the </w:t>
      </w:r>
      <w:r>
        <w:t>Commission in Court Session must</w:t>
      </w:r>
      <w:r>
        <w:rPr>
          <w:snapToGrid w:val="0"/>
        </w:rPr>
        <w:t xml:space="preserve"> refuse an application by the organisation under this section if a registered organisation whose rules relating to membership </w:t>
      </w:r>
      <w:r>
        <w:rPr>
          <w:snapToGrid w:val="0"/>
        </w:rPr>
        <w:lastRenderedPageBreak/>
        <w:t>enable it to enrol as a member some or all of the persons eligible, pursuant to the rules of the first</w:t>
      </w:r>
      <w:r>
        <w:rPr>
          <w:snapToGrid w:val="0"/>
        </w:rPr>
        <w:noBreakHyphen/>
        <w:t>mentioned organisation, to be members of the first</w:t>
      </w:r>
      <w:r>
        <w:rPr>
          <w:snapToGrid w:val="0"/>
        </w:rPr>
        <w:noBreakHyphen/>
        <w:t xml:space="preserve">mentioned organisation unless the </w:t>
      </w:r>
      <w:r>
        <w:t>Commission in Court Session is</w:t>
      </w:r>
      <w:r>
        <w:rPr>
          <w:snapToGrid w:val="0"/>
        </w:rPr>
        <w:t xml:space="preserve"> satisfied that there is good reason, consistent with the objects prescribed in section 6, to permit registration.</w:t>
      </w:r>
    </w:p>
    <w:p>
      <w:pPr>
        <w:pStyle w:val="Footnotesection"/>
      </w:pPr>
      <w:r>
        <w:tab/>
        <w:t>[Section 55 amended: No. 94 of 1984 s. 35 and 66; No. 79 of 1995 s. 31; No. 20 of 2002 s. 190(4) and (5); No. 39 of 2018 s. 32.]</w:t>
      </w:r>
    </w:p>
    <w:p>
      <w:pPr>
        <w:pStyle w:val="Heading5"/>
        <w:rPr>
          <w:snapToGrid w:val="0"/>
        </w:rPr>
      </w:pPr>
      <w:bookmarkStart w:id="192" w:name="_Toc98769964"/>
      <w:r>
        <w:rPr>
          <w:rStyle w:val="CharSectno"/>
        </w:rPr>
        <w:t>56</w:t>
      </w:r>
      <w:r>
        <w:rPr>
          <w:snapToGrid w:val="0"/>
        </w:rPr>
        <w:t>.</w:t>
      </w:r>
      <w:r>
        <w:rPr>
          <w:snapToGrid w:val="0"/>
        </w:rPr>
        <w:tab/>
        <w:t>Rules of organisations to provide for secret ballots etc. at elections</w:t>
      </w:r>
      <w:bookmarkEnd w:id="192"/>
    </w:p>
    <w:p>
      <w:pPr>
        <w:pStyle w:val="Subsection"/>
        <w:rPr>
          <w:snapToGrid w:val="0"/>
        </w:rPr>
      </w:pPr>
      <w:r>
        <w:rPr>
          <w:snapToGrid w:val="0"/>
        </w:rPr>
        <w:tab/>
        <w:t>(1)</w:t>
      </w:r>
      <w:r>
        <w:rPr>
          <w:snapToGrid w:val="0"/>
        </w:rPr>
        <w:tab/>
        <w:t>The rules of an organisation —</w:t>
      </w:r>
    </w:p>
    <w:p>
      <w:pPr>
        <w:pStyle w:val="Indenta"/>
        <w:spacing w:before="60"/>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 and</w:t>
      </w:r>
    </w:p>
    <w:p>
      <w:pPr>
        <w:pStyle w:val="Indenta"/>
        <w:spacing w:before="60"/>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 and</w:t>
      </w:r>
    </w:p>
    <w:p>
      <w:pPr>
        <w:pStyle w:val="Indenta"/>
        <w:spacing w:before="60"/>
        <w:rPr>
          <w:snapToGrid w:val="0"/>
        </w:rPr>
      </w:pPr>
      <w:r>
        <w:rPr>
          <w:snapToGrid w:val="0"/>
        </w:rPr>
        <w:tab/>
        <w:t>(c)</w:t>
      </w:r>
      <w:r>
        <w:rPr>
          <w:snapToGrid w:val="0"/>
        </w:rPr>
        <w:tab/>
        <w:t>shall provide for the election of the holder of each office within the organisation, such election to be either by —</w:t>
      </w:r>
    </w:p>
    <w:p>
      <w:pPr>
        <w:pStyle w:val="Indenti"/>
        <w:spacing w:before="60"/>
        <w:rPr>
          <w:snapToGrid w:val="0"/>
        </w:rPr>
      </w:pPr>
      <w:r>
        <w:rPr>
          <w:snapToGrid w:val="0"/>
        </w:rPr>
        <w:tab/>
        <w:t>(i)</w:t>
      </w:r>
      <w:r>
        <w:rPr>
          <w:snapToGrid w:val="0"/>
        </w:rPr>
        <w:tab/>
        <w:t>a direct voting system; or</w:t>
      </w:r>
    </w:p>
    <w:p>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lastRenderedPageBreak/>
        <w:tab/>
        <w:t>(d)</w:t>
      </w:r>
      <w:r>
        <w:rPr>
          <w:snapToGrid w:val="0"/>
        </w:rPr>
        <w:tab/>
        <w:t>shall, in relation to any election for office —</w:t>
      </w:r>
    </w:p>
    <w:p>
      <w:pPr>
        <w:pStyle w:val="Indenti"/>
        <w:keepNext/>
        <w:spacing w:before="60"/>
        <w:rPr>
          <w:snapToGrid w:val="0"/>
        </w:rPr>
      </w:pPr>
      <w:r>
        <w:rPr>
          <w:snapToGrid w:val="0"/>
        </w:rPr>
        <w:tab/>
        <w:t>(i)</w:t>
      </w:r>
      <w:r>
        <w:rPr>
          <w:snapToGrid w:val="0"/>
        </w:rPr>
        <w:tab/>
        <w:t>provide that the election shall be by secret ballot; and</w:t>
      </w:r>
    </w:p>
    <w:p>
      <w:pPr>
        <w:pStyle w:val="Indenti"/>
        <w:spacing w:before="60"/>
        <w:rPr>
          <w:snapToGrid w:val="0"/>
        </w:rPr>
      </w:pPr>
      <w:r>
        <w:rPr>
          <w:snapToGrid w:val="0"/>
        </w:rPr>
        <w:tab/>
        <w:t>(ii)</w:t>
      </w:r>
      <w:r>
        <w:rPr>
          <w:snapToGrid w:val="0"/>
        </w:rPr>
        <w:tab/>
        <w:t>make provision for —</w:t>
      </w:r>
    </w:p>
    <w:p>
      <w:pPr>
        <w:pStyle w:val="IndentI0"/>
        <w:spacing w:before="60"/>
        <w:rPr>
          <w:snapToGrid w:val="0"/>
        </w:rPr>
      </w:pPr>
      <w:r>
        <w:rPr>
          <w:snapToGrid w:val="0"/>
        </w:rPr>
        <w:tab/>
        <w:t>(I)</w:t>
      </w:r>
      <w:r>
        <w:rPr>
          <w:snapToGrid w:val="0"/>
        </w:rPr>
        <w:tab/>
        <w:t>absent voting; and</w:t>
      </w:r>
    </w:p>
    <w:p>
      <w:pPr>
        <w:pStyle w:val="IndentI0"/>
        <w:spacing w:before="60"/>
        <w:rPr>
          <w:snapToGrid w:val="0"/>
        </w:rPr>
      </w:pPr>
      <w:r>
        <w:rPr>
          <w:snapToGrid w:val="0"/>
        </w:rPr>
        <w:tab/>
        <w:t>(II)</w:t>
      </w:r>
      <w:r>
        <w:rPr>
          <w:snapToGrid w:val="0"/>
        </w:rPr>
        <w:tab/>
        <w:t>the manner in which persons may become candidates for election; and</w:t>
      </w:r>
    </w:p>
    <w:p>
      <w:pPr>
        <w:pStyle w:val="IndentI0"/>
        <w:spacing w:before="60"/>
        <w:rPr>
          <w:snapToGrid w:val="0"/>
        </w:rPr>
      </w:pPr>
      <w:r>
        <w:rPr>
          <w:snapToGrid w:val="0"/>
        </w:rPr>
        <w:tab/>
        <w:t>(III)</w:t>
      </w:r>
      <w:r>
        <w:rPr>
          <w:snapToGrid w:val="0"/>
        </w:rPr>
        <w:tab/>
        <w:t>the appointment, conduct and duties of returning officers; and</w:t>
      </w:r>
    </w:p>
    <w:p>
      <w:pPr>
        <w:pStyle w:val="IndentI0"/>
        <w:spacing w:before="60"/>
        <w:rPr>
          <w:snapToGrid w:val="0"/>
        </w:rPr>
      </w:pPr>
      <w:r>
        <w:rPr>
          <w:snapToGrid w:val="0"/>
        </w:rPr>
        <w:tab/>
        <w:t>(IV)</w:t>
      </w:r>
      <w:r>
        <w:rPr>
          <w:snapToGrid w:val="0"/>
        </w:rPr>
        <w:tab/>
        <w:t>the conduct of the ballot; and</w:t>
      </w:r>
    </w:p>
    <w:p>
      <w:pPr>
        <w:pStyle w:val="IndentI0"/>
        <w:spacing w:before="60"/>
        <w:rPr>
          <w:snapToGrid w:val="0"/>
        </w:rPr>
      </w:pPr>
      <w:r>
        <w:rPr>
          <w:snapToGrid w:val="0"/>
        </w:rPr>
        <w:tab/>
        <w:t>(V)</w:t>
      </w:r>
      <w:r>
        <w:rPr>
          <w:snapToGrid w:val="0"/>
        </w:rPr>
        <w:tab/>
        <w:t>the appointment, conduct, and duties of scrutineers to represent the candidates at the ballot; and</w:t>
      </w:r>
    </w:p>
    <w:p>
      <w:pPr>
        <w:pStyle w:val="IndentI0"/>
        <w:spacing w:before="60"/>
        <w:rPr>
          <w:snapToGrid w:val="0"/>
          <w:spacing w:val="-4"/>
        </w:rPr>
      </w:pPr>
      <w:r>
        <w:rPr>
          <w:snapToGrid w:val="0"/>
          <w:spacing w:val="-4"/>
        </w:rPr>
        <w:tab/>
        <w:t>(VI)</w:t>
      </w:r>
      <w:r>
        <w:rPr>
          <w:snapToGrid w:val="0"/>
          <w:spacing w:val="-4"/>
        </w:rPr>
        <w:tab/>
        <w:t>the declaration of the result of the ballot;</w:t>
      </w:r>
    </w:p>
    <w:p>
      <w:pPr>
        <w:pStyle w:val="Indenti"/>
        <w:spacing w:before="60"/>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ensure, as far as practicable, that no irregularity can occur in connection with the election;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spacing w:before="60"/>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lastRenderedPageBreak/>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[Section 56 inserted: No. 94 of 1984 s. 36.]</w:t>
      </w:r>
    </w:p>
    <w:p>
      <w:pPr>
        <w:pStyle w:val="Heading5"/>
        <w:rPr>
          <w:snapToGrid w:val="0"/>
        </w:rPr>
      </w:pPr>
      <w:bookmarkStart w:id="193" w:name="_Toc98769965"/>
      <w:r>
        <w:rPr>
          <w:rStyle w:val="CharSectno"/>
        </w:rPr>
        <w:t>56A</w:t>
      </w:r>
      <w:r>
        <w:rPr>
          <w:snapToGrid w:val="0"/>
        </w:rPr>
        <w:t>.</w:t>
      </w:r>
      <w:r>
        <w:rPr>
          <w:snapToGrid w:val="0"/>
        </w:rPr>
        <w:tab/>
        <w:t>Casual vacancies, rules as to filling</w:t>
      </w:r>
      <w:bookmarkEnd w:id="193"/>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[Section 56A inserted: No. 94 of 1984 s. 36.]</w:t>
      </w:r>
    </w:p>
    <w:p>
      <w:pPr>
        <w:pStyle w:val="Heading5"/>
        <w:pageBreakBefore/>
        <w:spacing w:before="0"/>
        <w:rPr>
          <w:snapToGrid w:val="0"/>
        </w:rPr>
      </w:pPr>
      <w:bookmarkStart w:id="194" w:name="_Toc98769966"/>
      <w:r>
        <w:rPr>
          <w:rStyle w:val="CharSectno"/>
        </w:rPr>
        <w:lastRenderedPageBreak/>
        <w:t>57</w:t>
      </w:r>
      <w:r>
        <w:rPr>
          <w:snapToGrid w:val="0"/>
        </w:rPr>
        <w:t>.</w:t>
      </w:r>
      <w:r>
        <w:rPr>
          <w:snapToGrid w:val="0"/>
        </w:rPr>
        <w:tab/>
        <w:t>Elections by direct voting system to be by secret postal ballot</w:t>
      </w:r>
      <w:bookmarkEnd w:id="194"/>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[Section 57 amended: No. 94 of 1984 s. 66.]</w:t>
      </w:r>
    </w:p>
    <w:p>
      <w:pPr>
        <w:pStyle w:val="Heading5"/>
        <w:rPr>
          <w:snapToGrid w:val="0"/>
        </w:rPr>
      </w:pPr>
      <w:bookmarkStart w:id="195" w:name="_Toc98769967"/>
      <w:r>
        <w:rPr>
          <w:rStyle w:val="CharSectno"/>
        </w:rPr>
        <w:t>58</w:t>
      </w:r>
      <w:r>
        <w:rPr>
          <w:snapToGrid w:val="0"/>
        </w:rPr>
        <w:t>.</w:t>
      </w:r>
      <w:r>
        <w:rPr>
          <w:snapToGrid w:val="0"/>
        </w:rPr>
        <w:tab/>
        <w:t>Registering organisations, rules etc.</w:t>
      </w:r>
      <w:bookmarkEnd w:id="195"/>
    </w:p>
    <w:p>
      <w:pPr>
        <w:pStyle w:val="Subsection"/>
        <w:rPr>
          <w:snapToGrid w:val="0"/>
        </w:rPr>
      </w:pPr>
      <w:r>
        <w:rPr>
          <w:snapToGrid w:val="0"/>
        </w:rPr>
        <w:tab/>
        <w:t>(1)</w:t>
      </w:r>
      <w:r>
        <w:rPr>
          <w:snapToGrid w:val="0"/>
        </w:rPr>
        <w:tab/>
        <w:t xml:space="preserve">Where, under this Act, the Registrar is authorised by the </w:t>
      </w:r>
      <w:r>
        <w:t>Commission in Court Session to register an organisation the Registrar must</w:t>
      </w:r>
      <w:r>
        <w:rPr>
          <w:snapToGrid w:val="0"/>
        </w:rPr>
        <w:t xml:space="preserve"> so register it by registering —</w:t>
      </w:r>
    </w:p>
    <w:p>
      <w:pPr>
        <w:pStyle w:val="Indenta"/>
        <w:rPr>
          <w:snapToGrid w:val="0"/>
        </w:rPr>
      </w:pPr>
      <w:r>
        <w:rPr>
          <w:snapToGrid w:val="0"/>
        </w:rPr>
        <w:tab/>
        <w:t>(a)</w:t>
      </w:r>
      <w:r>
        <w:rPr>
          <w:snapToGrid w:val="0"/>
        </w:rPr>
        <w:tab/>
        <w:t>its name; and</w:t>
      </w:r>
    </w:p>
    <w:p>
      <w:pPr>
        <w:pStyle w:val="Indenta"/>
        <w:rPr>
          <w:snapToGrid w:val="0"/>
        </w:rPr>
      </w:pPr>
      <w:r>
        <w:rPr>
          <w:snapToGrid w:val="0"/>
        </w:rPr>
        <w:lastRenderedPageBreak/>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 xml:space="preserve">Where the </w:t>
      </w:r>
      <w:r>
        <w:t>Commission in Court Session</w:t>
      </w:r>
      <w:r>
        <w:rPr>
          <w:snapToGrid w:val="0"/>
        </w:rPr>
        <w:t xml:space="preserve"> authorises the Registrar to register an organisation it may do so —</w:t>
      </w:r>
    </w:p>
    <w:p>
      <w:pPr>
        <w:pStyle w:val="Indenta"/>
        <w:spacing w:before="60"/>
        <w:rPr>
          <w:snapToGrid w:val="0"/>
        </w:rPr>
      </w:pPr>
      <w:r>
        <w:rPr>
          <w:snapToGrid w:val="0"/>
        </w:rPr>
        <w:tab/>
        <w:t>(a)</w:t>
      </w:r>
      <w:r>
        <w:rPr>
          <w:snapToGrid w:val="0"/>
        </w:rPr>
        <w:tab/>
        <w:t>unconditionally; or</w:t>
      </w:r>
    </w:p>
    <w:p>
      <w:pPr>
        <w:pStyle w:val="Indenta"/>
        <w:spacing w:before="60"/>
        <w:rPr>
          <w:snapToGrid w:val="0"/>
        </w:rPr>
      </w:pPr>
      <w:r>
        <w:rPr>
          <w:snapToGrid w:val="0"/>
        </w:rPr>
        <w:tab/>
        <w:t>(b)</w:t>
      </w:r>
      <w:r>
        <w:rPr>
          <w:snapToGrid w:val="0"/>
        </w:rPr>
        <w:tab/>
        <w:t xml:space="preserve">subject to the compliance by the organisation with any direction given to it by the </w:t>
      </w:r>
      <w:r>
        <w:t>Commission in Court Session</w:t>
      </w:r>
      <w:r>
        <w:rPr>
          <w:snapToGrid w:val="0"/>
        </w:rPr>
        <w:t xml:space="preserve"> in dealing with the application by the organisation for registration.</w:t>
      </w:r>
    </w:p>
    <w:p>
      <w:pPr>
        <w:pStyle w:val="Subsection"/>
        <w:rPr>
          <w:snapToGrid w:val="0"/>
        </w:rPr>
      </w:pPr>
      <w:r>
        <w:rPr>
          <w:snapToGrid w:val="0"/>
        </w:rPr>
        <w:tab/>
        <w:t>(3)</w:t>
      </w:r>
      <w:r>
        <w:rPr>
          <w:snapToGrid w:val="0"/>
        </w:rPr>
        <w:tab/>
        <w:t xml:space="preserve">On an application for the registration of an organisation the agent or representative of the applicant may request the </w:t>
      </w:r>
      <w:r>
        <w:t>Commission in Court Session</w:t>
      </w:r>
      <w:r>
        <w:rPr>
          <w:snapToGrid w:val="0"/>
        </w:rPr>
        <w:t xml:space="preserve">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w:t>
      </w:r>
      <w:r>
        <w:t>Commission in Court Session</w:t>
      </w:r>
      <w:r>
        <w:rPr>
          <w:snapToGrid w:val="0"/>
        </w:rPr>
        <w:t xml:space="preserve"> may authorise the Registrar to register the rules in those terms.</w:t>
      </w:r>
    </w:p>
    <w:p>
      <w:pPr>
        <w:pStyle w:val="Footnotesection"/>
        <w:spacing w:before="100"/>
        <w:ind w:left="890" w:hanging="890"/>
      </w:pPr>
      <w:r>
        <w:tab/>
        <w:t>[Section 58 amended: No. 94 of 1984 s. 37 and 66; No. 39 of 2018 s. 33.]</w:t>
      </w:r>
    </w:p>
    <w:p>
      <w:pPr>
        <w:pStyle w:val="Heading5"/>
        <w:spacing w:before="180"/>
        <w:rPr>
          <w:snapToGrid w:val="0"/>
        </w:rPr>
      </w:pPr>
      <w:bookmarkStart w:id="196" w:name="_Toc98769968"/>
      <w:r>
        <w:rPr>
          <w:rStyle w:val="CharSectno"/>
        </w:rPr>
        <w:t>59</w:t>
      </w:r>
      <w:r>
        <w:rPr>
          <w:snapToGrid w:val="0"/>
        </w:rPr>
        <w:t>.</w:t>
      </w:r>
      <w:r>
        <w:rPr>
          <w:snapToGrid w:val="0"/>
        </w:rPr>
        <w:tab/>
        <w:t>Names of registered organisations, restrictions on</w:t>
      </w:r>
      <w:bookmarkEnd w:id="196"/>
    </w:p>
    <w:p>
      <w:pPr>
        <w:pStyle w:val="Subsection"/>
        <w:spacing w:before="140"/>
        <w:rPr>
          <w:snapToGrid w:val="0"/>
        </w:rPr>
      </w:pPr>
      <w:r>
        <w:rPr>
          <w:snapToGrid w:val="0"/>
        </w:rPr>
        <w:tab/>
        <w:t>(1)</w:t>
      </w:r>
      <w:r>
        <w:rPr>
          <w:snapToGrid w:val="0"/>
        </w:rPr>
        <w:tab/>
        <w:t xml:space="preserve">The </w:t>
      </w:r>
      <w:r>
        <w:t>Commission in Court Session must</w:t>
      </w:r>
      <w:r>
        <w:rPr>
          <w:snapToGrid w:val="0"/>
        </w:rPr>
        <w:t xml:space="preserve"> not authorise the registration of an organisation under a name identical with that by which any other organisation has been registered or which by reason of its resemblance to the name of another organisation or body or for any other reason is, in the opinion of the </w:t>
      </w:r>
      <w:r>
        <w:lastRenderedPageBreak/>
        <w:t>Commission in Court Session, likely</w:t>
      </w:r>
      <w:r>
        <w:rPr>
          <w:snapToGrid w:val="0"/>
        </w:rPr>
        <w:t xml:space="preserve"> to deceive or mislead any person.</w:t>
      </w:r>
    </w:p>
    <w:p>
      <w:pPr>
        <w:pStyle w:val="Subsection"/>
        <w:spacing w:before="14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40"/>
        <w:rPr>
          <w:snapToGrid w:val="0"/>
        </w:rPr>
      </w:pPr>
      <w:r>
        <w:rPr>
          <w:snapToGrid w:val="0"/>
        </w:rPr>
        <w:tab/>
        <w:t>(3)</w:t>
      </w:r>
      <w:r>
        <w:rPr>
          <w:snapToGrid w:val="0"/>
        </w:rPr>
        <w:tab/>
        <w:t xml:space="preserve">This section does not prevent the </w:t>
      </w:r>
      <w:r>
        <w:t>Commission in Court Session</w:t>
      </w:r>
      <w:r>
        <w:rPr>
          <w:snapToGrid w:val="0"/>
        </w:rPr>
        <w:t xml:space="preserve"> from authorising an organisation to which a certificate has been issued under section 71 to change its name so as to correspond with the name of its counterpart Federal body under that section.</w:t>
      </w:r>
    </w:p>
    <w:p>
      <w:pPr>
        <w:pStyle w:val="Footnotesection"/>
        <w:spacing w:before="100"/>
        <w:ind w:left="890" w:hanging="890"/>
      </w:pPr>
      <w:r>
        <w:tab/>
        <w:t>[Section 59 amended: No. 94 of 1984 s. 66; No. 39 of 2018 s. 34.]</w:t>
      </w:r>
    </w:p>
    <w:p>
      <w:pPr>
        <w:pStyle w:val="Heading5"/>
        <w:rPr>
          <w:snapToGrid w:val="0"/>
        </w:rPr>
      </w:pPr>
      <w:bookmarkStart w:id="197" w:name="_Toc98769969"/>
      <w:r>
        <w:rPr>
          <w:rStyle w:val="CharSectno"/>
        </w:rPr>
        <w:t>60</w:t>
      </w:r>
      <w:r>
        <w:rPr>
          <w:snapToGrid w:val="0"/>
        </w:rPr>
        <w:t>.</w:t>
      </w:r>
      <w:r>
        <w:rPr>
          <w:snapToGrid w:val="0"/>
        </w:rPr>
        <w:tab/>
        <w:t>Organisation becomes incorporated on registration</w:t>
      </w:r>
      <w:bookmarkEnd w:id="197"/>
    </w:p>
    <w:p>
      <w:pPr>
        <w:pStyle w:val="Subsection"/>
        <w:rPr>
          <w:snapToGrid w:val="0"/>
        </w:rPr>
      </w:pPr>
      <w:r>
        <w:rPr>
          <w:snapToGrid w:val="0"/>
        </w:rPr>
        <w:tab/>
        <w:t>(1)</w:t>
      </w:r>
      <w:r>
        <w:rPr>
          <w:snapToGrid w:val="0"/>
        </w:rPr>
        <w:tab/>
        <w:t xml:space="preserve">An organisation shall, upon and during registration, become and be, for the purposes of this Act, a body corporate by the registered name, having perpetual succession and a common seal, but, subject to this Act, an organisation may at any time, with the consent of the </w:t>
      </w:r>
      <w:r>
        <w:t xml:space="preserve">Commission in Court Session, </w:t>
      </w:r>
      <w:r>
        <w:rPr>
          <w:snapToGrid w:val="0"/>
        </w:rPr>
        <w:t>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[Section 60 amended: No. 94 of 1984 s. 66; No. 119 of 1987 s. 16; No. 39 of 2018 s. 35.]</w:t>
      </w:r>
    </w:p>
    <w:p>
      <w:pPr>
        <w:pStyle w:val="Heading5"/>
        <w:pageBreakBefore/>
        <w:spacing w:before="0"/>
        <w:rPr>
          <w:snapToGrid w:val="0"/>
        </w:rPr>
      </w:pPr>
      <w:bookmarkStart w:id="198" w:name="_Toc98769970"/>
      <w:r>
        <w:rPr>
          <w:rStyle w:val="CharSectno"/>
        </w:rPr>
        <w:lastRenderedPageBreak/>
        <w:t>61</w:t>
      </w:r>
      <w:r>
        <w:rPr>
          <w:snapToGrid w:val="0"/>
        </w:rPr>
        <w:t>.</w:t>
      </w:r>
      <w:r>
        <w:rPr>
          <w:snapToGrid w:val="0"/>
        </w:rPr>
        <w:tab/>
        <w:t>Effect of registration</w:t>
      </w:r>
      <w:bookmarkEnd w:id="198"/>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[Section 61 amended: No. 94 of 1984 s. 66.]</w:t>
      </w:r>
    </w:p>
    <w:p>
      <w:pPr>
        <w:pStyle w:val="Heading5"/>
        <w:rPr>
          <w:snapToGrid w:val="0"/>
        </w:rPr>
      </w:pPr>
      <w:bookmarkStart w:id="199" w:name="_Toc98769971"/>
      <w:r>
        <w:rPr>
          <w:rStyle w:val="CharSectno"/>
        </w:rPr>
        <w:t>62</w:t>
      </w:r>
      <w:r>
        <w:rPr>
          <w:snapToGrid w:val="0"/>
        </w:rPr>
        <w:t>.</w:t>
      </w:r>
      <w:r>
        <w:rPr>
          <w:snapToGrid w:val="0"/>
        </w:rPr>
        <w:tab/>
        <w:t>Altering registered rules</w:t>
      </w:r>
      <w:bookmarkEnd w:id="199"/>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 xml:space="preserve">The Registrar shall not register any alteration to the rules of an organisation that relates to its name, qualifications of persons for membership, or a matter referred to in section 71(2) or (5) unless so authorised by the </w:t>
      </w:r>
      <w:r>
        <w:t>Commission in Court Session.</w:t>
      </w:r>
    </w:p>
    <w:p>
      <w:pPr>
        <w:pStyle w:val="Subsection"/>
        <w:keepNext/>
        <w:rPr>
          <w:snapToGrid w:val="0"/>
        </w:rPr>
      </w:pPr>
      <w:r>
        <w:rPr>
          <w:snapToGrid w:val="0"/>
        </w:rPr>
        <w:tab/>
        <w:t>(3)</w:t>
      </w:r>
      <w:r>
        <w:rPr>
          <w:snapToGrid w:val="0"/>
        </w:rPr>
        <w:tab/>
        <w:t xml:space="preserve">Subject to section 71(8), the Registrar shall not register an alteration to any rule unless, after consulting with the </w:t>
      </w:r>
      <w:r>
        <w:t>Chief Commissioner, the Registrar</w:t>
      </w:r>
      <w:r>
        <w:rPr>
          <w:snapToGrid w:val="0"/>
        </w:rPr>
        <w:t xml:space="preserve"> is satisfied that —</w:t>
      </w:r>
    </w:p>
    <w:p>
      <w:pPr>
        <w:pStyle w:val="Indenta"/>
        <w:spacing w:before="60"/>
        <w:rPr>
          <w:snapToGrid w:val="0"/>
        </w:rPr>
      </w:pPr>
      <w:r>
        <w:rPr>
          <w:snapToGrid w:val="0"/>
        </w:rPr>
        <w:tab/>
        <w:t>(a)</w:t>
      </w:r>
      <w:r>
        <w:rPr>
          <w:snapToGrid w:val="0"/>
        </w:rPr>
        <w:tab/>
        <w:t>the application has been authorised in accordance with the rules of the organisation; and</w:t>
      </w:r>
    </w:p>
    <w:p>
      <w:pPr>
        <w:pStyle w:val="Indenta"/>
        <w:spacing w:before="60"/>
        <w:rPr>
          <w:snapToGrid w:val="0"/>
        </w:rPr>
      </w:pPr>
      <w:r>
        <w:rPr>
          <w:snapToGrid w:val="0"/>
        </w:rPr>
        <w:tab/>
        <w:t>(b)</w:t>
      </w:r>
      <w:r>
        <w:rPr>
          <w:snapToGrid w:val="0"/>
        </w:rPr>
        <w:tab/>
        <w:t>reasonable steps have been taken to adequately inform the members —</w:t>
      </w:r>
    </w:p>
    <w:p>
      <w:pPr>
        <w:pStyle w:val="Indenti"/>
        <w:spacing w:before="60"/>
        <w:rPr>
          <w:snapToGrid w:val="0"/>
        </w:rPr>
      </w:pPr>
      <w:r>
        <w:rPr>
          <w:snapToGrid w:val="0"/>
        </w:rPr>
        <w:tab/>
        <w:t>(i)</w:t>
      </w:r>
      <w:r>
        <w:rPr>
          <w:snapToGrid w:val="0"/>
        </w:rPr>
        <w:tab/>
        <w:t>of the proposal for alteration and the reasons therefor; and</w:t>
      </w:r>
    </w:p>
    <w:p>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spacing w:before="60"/>
        <w:rPr>
          <w:snapToGrid w:val="0"/>
        </w:rPr>
      </w:pPr>
      <w:r>
        <w:rPr>
          <w:snapToGrid w:val="0"/>
        </w:rPr>
        <w:lastRenderedPageBreak/>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[Section 62 amended: No. 94 of 1984 s. 38 and 66; No. 39 of 2018 s. 36.]</w:t>
      </w:r>
    </w:p>
    <w:p>
      <w:pPr>
        <w:pStyle w:val="Heading5"/>
        <w:keepNext w:val="0"/>
        <w:keepLines w:val="0"/>
        <w:rPr>
          <w:snapToGrid w:val="0"/>
        </w:rPr>
      </w:pPr>
      <w:bookmarkStart w:id="200" w:name="_Toc98769972"/>
      <w:r>
        <w:rPr>
          <w:rStyle w:val="CharSectno"/>
        </w:rPr>
        <w:t>63</w:t>
      </w:r>
      <w:r>
        <w:rPr>
          <w:snapToGrid w:val="0"/>
        </w:rPr>
        <w:t>.</w:t>
      </w:r>
      <w:r>
        <w:rPr>
          <w:snapToGrid w:val="0"/>
        </w:rPr>
        <w:tab/>
        <w:t>Records, organisations’ duties as to etc.</w:t>
      </w:r>
      <w:bookmarkEnd w:id="200"/>
    </w:p>
    <w:p>
      <w:pPr>
        <w:pStyle w:val="Subsection"/>
        <w:spacing w:before="120"/>
        <w:rPr>
          <w:snapToGrid w:val="0"/>
        </w:rPr>
      </w:pPr>
      <w:r>
        <w:rPr>
          <w:snapToGrid w:val="0"/>
        </w:rPr>
        <w:tab/>
        <w:t>(1)</w:t>
      </w:r>
      <w:r>
        <w:rPr>
          <w:snapToGrid w:val="0"/>
        </w:rPr>
        <w:tab/>
        <w:t>An organisation shall keep the following records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 and</w:t>
      </w:r>
    </w:p>
    <w:p>
      <w:pPr>
        <w:pStyle w:val="Indenta"/>
        <w:rPr>
          <w:snapToGrid w:val="0"/>
        </w:rPr>
      </w:pPr>
      <w:r>
        <w:rPr>
          <w:snapToGrid w:val="0"/>
        </w:rPr>
        <w:tab/>
        <w:t>(b)</w:t>
      </w:r>
      <w:r>
        <w:rPr>
          <w:snapToGrid w:val="0"/>
        </w:rPr>
        <w:tab/>
        <w:t>a list of the names, residential addresses, and occupations of the persons holding offices in the organisation; and</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spacing w:before="180"/>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spacing w:before="180"/>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spacing w:before="180"/>
      </w:pPr>
      <w:r>
        <w:lastRenderedPageBreak/>
        <w:tab/>
        <w:t>[(4), (5)</w:t>
      </w:r>
      <w:r>
        <w:tab/>
        <w:t>deleted]</w:t>
      </w:r>
    </w:p>
    <w:p>
      <w:pPr>
        <w:pStyle w:val="Subsection"/>
        <w:spacing w:before="180"/>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spacing w:before="180"/>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[Section 63 amended: No. 94 of 1984 s. 39, 65 and 66; No. 79 of 1995 s. 5.]</w:t>
      </w:r>
    </w:p>
    <w:p>
      <w:pPr>
        <w:pStyle w:val="Heading5"/>
        <w:keepLines w:val="0"/>
        <w:rPr>
          <w:snapToGrid w:val="0"/>
        </w:rPr>
      </w:pPr>
      <w:bookmarkStart w:id="201" w:name="_Toc98769973"/>
      <w:r>
        <w:rPr>
          <w:rStyle w:val="CharSectno"/>
        </w:rPr>
        <w:t>64</w:t>
      </w:r>
      <w:r>
        <w:rPr>
          <w:snapToGrid w:val="0"/>
        </w:rPr>
        <w:t>.</w:t>
      </w:r>
      <w:r>
        <w:rPr>
          <w:snapToGrid w:val="0"/>
        </w:rPr>
        <w:tab/>
        <w:t>Membership register, Registrar may direct rectification of etc.</w:t>
      </w:r>
      <w:bookmarkEnd w:id="201"/>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[Section 64 amended: No. 94 of 1984 s. 65 and 66.]</w:t>
      </w:r>
    </w:p>
    <w:p>
      <w:pPr>
        <w:pStyle w:val="Heading5"/>
        <w:rPr>
          <w:snapToGrid w:val="0"/>
        </w:rPr>
      </w:pPr>
      <w:bookmarkStart w:id="202" w:name="_Toc98769974"/>
      <w:r>
        <w:rPr>
          <w:rStyle w:val="CharSectno"/>
        </w:rPr>
        <w:t>64A</w:t>
      </w:r>
      <w:r>
        <w:rPr>
          <w:snapToGrid w:val="0"/>
        </w:rPr>
        <w:t>.</w:t>
      </w:r>
      <w:r>
        <w:rPr>
          <w:snapToGrid w:val="0"/>
        </w:rPr>
        <w:tab/>
        <w:t>Resigning from an organisation</w:t>
      </w:r>
      <w:bookmarkEnd w:id="202"/>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lastRenderedPageBreak/>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[Section 64A inserted: No. 1 of 1995 s. 51.]</w:t>
      </w:r>
    </w:p>
    <w:p>
      <w:pPr>
        <w:pStyle w:val="Heading5"/>
        <w:rPr>
          <w:snapToGrid w:val="0"/>
        </w:rPr>
      </w:pPr>
      <w:bookmarkStart w:id="203" w:name="_Toc98769975"/>
      <w:r>
        <w:rPr>
          <w:rStyle w:val="CharSectno"/>
        </w:rPr>
        <w:t>64B</w:t>
      </w:r>
      <w:r>
        <w:rPr>
          <w:snapToGrid w:val="0"/>
        </w:rPr>
        <w:t>.</w:t>
      </w:r>
      <w:r>
        <w:rPr>
          <w:snapToGrid w:val="0"/>
        </w:rPr>
        <w:tab/>
        <w:t>Membership ends if subscription not paid</w:t>
      </w:r>
      <w:bookmarkEnd w:id="203"/>
    </w:p>
    <w:p>
      <w:pPr>
        <w:pStyle w:val="Subsection"/>
      </w:pPr>
      <w:r>
        <w:tab/>
        <w:t>(1)</w:t>
      </w:r>
      <w:r>
        <w:tab/>
      </w:r>
      <w:r>
        <w:rPr>
          <w:snapToGrid w:val="0"/>
        </w:rPr>
        <w:t>Where</w:t>
      </w:r>
      <w:r>
        <w:t>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no subscription to continue or renew that membership has been paid to the organisation before, or within 3 months after, that expiry,</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[Section 64B inserted: No. 1 of 1995 s. 51.]</w:t>
      </w:r>
    </w:p>
    <w:p>
      <w:pPr>
        <w:pStyle w:val="Heading5"/>
        <w:rPr>
          <w:snapToGrid w:val="0"/>
        </w:rPr>
      </w:pPr>
      <w:bookmarkStart w:id="204" w:name="_Toc98769976"/>
      <w:r>
        <w:rPr>
          <w:rStyle w:val="CharSectno"/>
        </w:rPr>
        <w:t>64C</w:t>
      </w:r>
      <w:r>
        <w:rPr>
          <w:snapToGrid w:val="0"/>
        </w:rPr>
        <w:t>.</w:t>
      </w:r>
      <w:r>
        <w:rPr>
          <w:snapToGrid w:val="0"/>
        </w:rPr>
        <w:tab/>
        <w:t>Effect of s. 64A and 64B in relation to organisation’s rules</w:t>
      </w:r>
      <w:bookmarkEnd w:id="204"/>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lastRenderedPageBreak/>
        <w:tab/>
        <w:t>(2)</w:t>
      </w:r>
      <w:r>
        <w:rPr>
          <w:snapToGrid w:val="0"/>
        </w:rPr>
        <w:tab/>
        <w:t>The ending of membership of an organisation under section 64A or 64B has effect despite anything in the rules of the organisation.</w:t>
      </w:r>
    </w:p>
    <w:p>
      <w:pPr>
        <w:pStyle w:val="Footnotesection"/>
      </w:pPr>
      <w:r>
        <w:tab/>
        <w:t>[Section 64C inserted: No. 1 of 1995 s. 51.]</w:t>
      </w:r>
    </w:p>
    <w:p>
      <w:pPr>
        <w:pStyle w:val="Heading5"/>
        <w:rPr>
          <w:snapToGrid w:val="0"/>
        </w:rPr>
      </w:pPr>
      <w:bookmarkStart w:id="205" w:name="_Toc98769977"/>
      <w:r>
        <w:rPr>
          <w:rStyle w:val="CharSectno"/>
        </w:rPr>
        <w:t>64D</w:t>
      </w:r>
      <w:r>
        <w:rPr>
          <w:snapToGrid w:val="0"/>
        </w:rPr>
        <w:t>.</w:t>
      </w:r>
      <w:r>
        <w:rPr>
          <w:snapToGrid w:val="0"/>
        </w:rPr>
        <w:tab/>
        <w:t>Purging register, organisation’s rules to provide for</w:t>
      </w:r>
      <w:bookmarkEnd w:id="205"/>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[Section 64D inserted: No. 79 of 1995 s. 32.]</w:t>
      </w:r>
    </w:p>
    <w:p>
      <w:pPr>
        <w:pStyle w:val="Heading5"/>
        <w:rPr>
          <w:snapToGrid w:val="0"/>
        </w:rPr>
      </w:pPr>
      <w:bookmarkStart w:id="206" w:name="_Toc98769978"/>
      <w:r>
        <w:rPr>
          <w:rStyle w:val="CharSectno"/>
        </w:rPr>
        <w:t>65</w:t>
      </w:r>
      <w:r>
        <w:rPr>
          <w:snapToGrid w:val="0"/>
        </w:rPr>
        <w:t>.</w:t>
      </w:r>
      <w:r>
        <w:rPr>
          <w:snapToGrid w:val="0"/>
        </w:rPr>
        <w:tab/>
        <w:t>Accounts of organisation, audit and filing of</w:t>
      </w:r>
      <w:bookmarkEnd w:id="206"/>
    </w:p>
    <w:p>
      <w:pPr>
        <w:pStyle w:val="Subsection"/>
        <w:rPr>
          <w:snapToGrid w:val="0"/>
        </w:rPr>
      </w:pPr>
      <w:r>
        <w:rPr>
          <w:snapToGrid w:val="0"/>
        </w:rPr>
        <w:tab/>
      </w:r>
      <w:r>
        <w:rPr>
          <w:snapToGrid w:val="0"/>
        </w:rPr>
        <w:tab/>
        <w:t>The secretary of each organisation shall —</w:t>
      </w:r>
    </w:p>
    <w:p>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t xml:space="preserve">the </w:t>
      </w:r>
      <w:r>
        <w:rPr>
          <w:rStyle w:val="CharDefText"/>
        </w:rPr>
        <w:t>auditor</w:t>
      </w:r>
      <w:r>
        <w:rPr>
          <w:snapToGrid w:val="0"/>
        </w:rPr>
        <w:t>) within 6 calendar months after the end of each financial year of that organisation; and</w:t>
      </w:r>
    </w:p>
    <w:p>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spacing w:before="60"/>
        <w:rPr>
          <w:snapToGrid w:val="0"/>
        </w:rPr>
      </w:pPr>
      <w:r>
        <w:rPr>
          <w:snapToGrid w:val="0"/>
        </w:rPr>
        <w:lastRenderedPageBreak/>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spacing w:before="100"/>
        <w:ind w:left="890" w:hanging="890"/>
      </w:pPr>
      <w:r>
        <w:tab/>
        <w:t>[Section 65 inserted: No. 121 of 1982 s. 22; amended: No. 94 of 1984 s. 65 and 66; No. 79 of 1995 s. 6; No. 10 of 2001 s. 112; No. 74 of 2003 s. 68(2).]</w:t>
      </w:r>
    </w:p>
    <w:p>
      <w:pPr>
        <w:pStyle w:val="Heading5"/>
        <w:rPr>
          <w:snapToGrid w:val="0"/>
        </w:rPr>
      </w:pPr>
      <w:bookmarkStart w:id="207" w:name="_Toc98769979"/>
      <w:r>
        <w:rPr>
          <w:rStyle w:val="CharSectno"/>
        </w:rPr>
        <w:t>65A</w:t>
      </w:r>
      <w:r>
        <w:rPr>
          <w:snapToGrid w:val="0"/>
        </w:rPr>
        <w:t>.</w:t>
      </w:r>
      <w:r>
        <w:rPr>
          <w:snapToGrid w:val="0"/>
        </w:rPr>
        <w:tab/>
        <w:t>Auditor’s powers</w:t>
      </w:r>
      <w:bookmarkEnd w:id="207"/>
    </w:p>
    <w:p>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[Section 65A inserted: No. 79 of 1995 s. 7.]</w:t>
      </w:r>
    </w:p>
    <w:p>
      <w:pPr>
        <w:pStyle w:val="Heading5"/>
        <w:rPr>
          <w:snapToGrid w:val="0"/>
        </w:rPr>
      </w:pPr>
      <w:bookmarkStart w:id="208" w:name="_Toc98769980"/>
      <w:r>
        <w:rPr>
          <w:rStyle w:val="CharSectno"/>
        </w:rPr>
        <w:t>66</w:t>
      </w:r>
      <w:r>
        <w:rPr>
          <w:snapToGrid w:val="0"/>
        </w:rPr>
        <w:t>.</w:t>
      </w:r>
      <w:r>
        <w:rPr>
          <w:snapToGrid w:val="0"/>
        </w:rPr>
        <w:tab/>
        <w:t>Power of Chief Commissioner to deal with rules of organisation</w:t>
      </w:r>
      <w:bookmarkEnd w:id="208"/>
    </w:p>
    <w:p>
      <w:pPr>
        <w:pStyle w:val="Subsection"/>
        <w:rPr>
          <w:snapToGrid w:val="0"/>
        </w:rPr>
      </w:pPr>
      <w:r>
        <w:rPr>
          <w:snapToGrid w:val="0"/>
        </w:rPr>
        <w:tab/>
        <w:t>(1)</w:t>
      </w:r>
      <w:r>
        <w:rPr>
          <w:snapToGrid w:val="0"/>
        </w:rPr>
        <w:tab/>
        <w:t xml:space="preserve">The following persons may apply to the </w:t>
      </w:r>
      <w:r>
        <w:t>Chief Commissioner</w:t>
      </w:r>
      <w:r>
        <w:rPr>
          <w:snapToGrid w:val="0"/>
        </w:rPr>
        <w:t xml:space="preserve"> for an order or direction under this section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 xml:space="preserve">the Registrar acting on the complaint of or on behalf of a person referred to in paragraph (a) or of </w:t>
      </w:r>
      <w:r>
        <w:t>the Registrar’s own</w:t>
      </w:r>
      <w:r>
        <w:rPr>
          <w:snapToGrid w:val="0"/>
        </w:rPr>
        <w:t xml:space="preserve"> motion.</w:t>
      </w:r>
    </w:p>
    <w:p>
      <w:pPr>
        <w:pStyle w:val="Subsection"/>
        <w:rPr>
          <w:snapToGrid w:val="0"/>
        </w:rPr>
      </w:pPr>
      <w:r>
        <w:rPr>
          <w:snapToGrid w:val="0"/>
        </w:rPr>
        <w:tab/>
        <w:t>(2)</w:t>
      </w:r>
      <w:r>
        <w:rPr>
          <w:snapToGrid w:val="0"/>
        </w:rPr>
        <w:tab/>
        <w:t xml:space="preserve">On an application made pursuant to this section, the </w:t>
      </w:r>
      <w:r>
        <w:t>Chief Commissioner may make</w:t>
      </w:r>
      <w:r>
        <w:rPr>
          <w:snapToGrid w:val="0"/>
        </w:rPr>
        <w:t xml:space="preserve"> such order or give such directions </w:t>
      </w:r>
      <w:r>
        <w:rPr>
          <w:snapToGrid w:val="0"/>
        </w:rPr>
        <w:lastRenderedPageBreak/>
        <w:t>relating to the rules of the organisation, their observance or non</w:t>
      </w:r>
      <w:r>
        <w:rPr>
          <w:snapToGrid w:val="0"/>
        </w:rPr>
        <w:noBreakHyphen/>
        <w:t xml:space="preserve">observance or the manner of their observance, either generally or in the particular case, as </w:t>
      </w:r>
      <w:r>
        <w:t>the Chief Commissioner considers</w:t>
      </w:r>
      <w:r>
        <w:rPr>
          <w:snapToGrid w:val="0"/>
        </w:rPr>
        <w:t xml:space="preserve"> to be appropriate and without limiting the generality of the foregoing may —</w:t>
      </w:r>
    </w:p>
    <w:p>
      <w:pPr>
        <w:pStyle w:val="Indenta"/>
        <w:rPr>
          <w:snapToGrid w:val="0"/>
        </w:rPr>
      </w:pPr>
      <w:r>
        <w:rPr>
          <w:snapToGrid w:val="0"/>
        </w:rPr>
        <w:tab/>
        <w:t>(a)</w:t>
      </w:r>
      <w:r>
        <w:rPr>
          <w:snapToGrid w:val="0"/>
        </w:rPr>
        <w:tab/>
        <w:t xml:space="preserve">disallow any rule which, in the opinion of the </w:t>
      </w:r>
      <w:r>
        <w:t>Chief Commissioner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pPr>
        <w:pStyle w:val="Indenti"/>
        <w:rPr>
          <w:snapToGrid w:val="0"/>
        </w:rPr>
      </w:pPr>
      <w:r>
        <w:rPr>
          <w:snapToGrid w:val="0"/>
        </w:rPr>
        <w:tab/>
        <w:t>(ii)</w:t>
      </w:r>
      <w:r>
        <w:rPr>
          <w:snapToGrid w:val="0"/>
        </w:rPr>
        <w:tab/>
        <w:t>is tyrannical or oppressive; or</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 or</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instead of disallowing a rule under paragraph (a), direct the organisation to alter that rule within a specified time in such manner as the </w:t>
      </w:r>
      <w:r>
        <w:t>Chief Commissioner may direct; and</w:t>
      </w:r>
    </w:p>
    <w:p>
      <w:pPr>
        <w:pStyle w:val="Indenta"/>
        <w:rPr>
          <w:snapToGrid w:val="0"/>
        </w:rPr>
      </w:pPr>
      <w:r>
        <w:rPr>
          <w:snapToGrid w:val="0"/>
        </w:rPr>
        <w:tab/>
        <w:t>(c)</w:t>
      </w:r>
      <w:r>
        <w:rPr>
          <w:snapToGrid w:val="0"/>
        </w:rPr>
        <w:tab/>
        <w:t>disallow any rule which has not been altered by the organisation after a direction to do so pursuant to paragraph (b); and</w:t>
      </w:r>
    </w:p>
    <w:p>
      <w:pPr>
        <w:pStyle w:val="Indenta"/>
        <w:rPr>
          <w:snapToGrid w:val="0"/>
        </w:rPr>
      </w:pPr>
      <w:r>
        <w:rPr>
          <w:snapToGrid w:val="0"/>
        </w:rPr>
        <w:tab/>
        <w:t>(ca)</w:t>
      </w:r>
      <w:r>
        <w:rPr>
          <w:snapToGrid w:val="0"/>
        </w:rPr>
        <w:tab/>
        <w:t xml:space="preserve">where the </w:t>
      </w:r>
      <w:r>
        <w:t>Chief Commissioner</w:t>
      </w:r>
      <w:r>
        <w:rPr>
          <w:snapToGrid w:val="0"/>
        </w:rPr>
        <w:t xml:space="preserve"> disallows any rule under paragraph (a) or (c), give such directions as the </w:t>
      </w:r>
      <w:r>
        <w:t>Chief Commissioner</w:t>
      </w:r>
      <w:r>
        <w:rPr>
          <w:snapToGrid w:val="0"/>
        </w:rPr>
        <w:t xml:space="preserve"> considers necessary to remedy, rectify, reverse or alter or to validate or give effect to, any act, </w:t>
      </w:r>
      <w:r>
        <w:rPr>
          <w:snapToGrid w:val="0"/>
        </w:rPr>
        <w:lastRenderedPageBreak/>
        <w:t>matter or thing that has been done in pursuance of the disallowed rule; and</w:t>
      </w:r>
    </w:p>
    <w:p>
      <w:pPr>
        <w:pStyle w:val="Indenta"/>
        <w:rPr>
          <w:snapToGrid w:val="0"/>
        </w:rPr>
      </w:pPr>
      <w:r>
        <w:rPr>
          <w:snapToGrid w:val="0"/>
        </w:rPr>
        <w:tab/>
        <w:t>(d)</w:t>
      </w:r>
      <w:r>
        <w:rPr>
          <w:snapToGrid w:val="0"/>
        </w:rPr>
        <w:tab/>
        <w:t>declare the true interpretation of any rule; and</w:t>
      </w:r>
    </w:p>
    <w:p>
      <w:pPr>
        <w:pStyle w:val="Indenta"/>
        <w:rPr>
          <w:snapToGrid w:val="0"/>
        </w:rPr>
      </w:pPr>
      <w:r>
        <w:rPr>
          <w:snapToGrid w:val="0"/>
        </w:rPr>
        <w:tab/>
        <w:t>(e)</w:t>
      </w:r>
      <w:r>
        <w:rPr>
          <w:snapToGrid w:val="0"/>
        </w:rPr>
        <w:tab/>
        <w:t xml:space="preserve">inquire into any election for an office in the organisation if it is alleged that there has been an irregularity in connection with that election and make such orders and give such directions as the </w:t>
      </w:r>
      <w:r>
        <w:t>Chief Commissioner</w:t>
      </w:r>
      <w:r>
        <w:rPr>
          <w:snapToGrid w:val="0"/>
        </w:rPr>
        <w:t xml:space="preserve"> considers necessary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in connection with an inquiry under paragraph (e) —</w:t>
      </w:r>
    </w:p>
    <w:p>
      <w:pPr>
        <w:pStyle w:val="Indenti"/>
        <w:rPr>
          <w:snapToGrid w:val="0"/>
        </w:rPr>
      </w:pPr>
      <w:r>
        <w:rPr>
          <w:snapToGrid w:val="0"/>
        </w:rPr>
        <w:tab/>
        <w:t>(i)</w:t>
      </w:r>
      <w:r>
        <w:rPr>
          <w:snapToGrid w:val="0"/>
        </w:rPr>
        <w:tab/>
        <w:t xml:space="preserve">give such directions as the </w:t>
      </w:r>
      <w:r>
        <w:t>Chief Commissioner</w:t>
      </w:r>
      <w:r>
        <w:rPr>
          <w:snapToGrid w:val="0"/>
        </w:rPr>
        <w:t xml:space="preserve">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 xml:space="preserve">order that any person named in the order shall or shall not, as the case may be, for such period as the </w:t>
      </w:r>
      <w:r>
        <w:t>Chief Commissioner</w:t>
      </w:r>
      <w:r>
        <w:rPr>
          <w:snapToGrid w:val="0"/>
        </w:rPr>
        <w:t xml:space="preserve">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Ednotesubsection"/>
      </w:pPr>
      <w:r>
        <w:tab/>
        <w:t>[(3)</w:t>
      </w:r>
      <w:r>
        <w:tab/>
        <w:t>deleted]</w:t>
      </w:r>
    </w:p>
    <w:p>
      <w:pPr>
        <w:pStyle w:val="Subsection"/>
        <w:keepLines/>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keepNext/>
      </w:pPr>
      <w:r>
        <w:lastRenderedPageBreak/>
        <w:tab/>
        <w:t>[(5)</w:t>
      </w:r>
      <w:r>
        <w:tab/>
        <w:t>deleted]</w:t>
      </w:r>
    </w:p>
    <w:p>
      <w:pPr>
        <w:pStyle w:val="Subsection"/>
        <w:keepNext/>
        <w:rPr>
          <w:snapToGrid w:val="0"/>
        </w:rPr>
      </w:pPr>
      <w:r>
        <w:rPr>
          <w:snapToGrid w:val="0"/>
        </w:rPr>
        <w:tab/>
        <w:t>(6)</w:t>
      </w:r>
      <w:r>
        <w:rPr>
          <w:snapToGrid w:val="0"/>
        </w:rPr>
        <w:tab/>
        <w:t>A rule disallowed pursuant to subsection (2)(a) or (c) is void.</w:t>
      </w:r>
    </w:p>
    <w:p>
      <w:pPr>
        <w:pStyle w:val="Ednotesubsection"/>
      </w:pPr>
      <w:r>
        <w:tab/>
        <w:t>[(7), (8)</w:t>
      </w:r>
      <w:r>
        <w:tab/>
        <w:t>deleted]</w:t>
      </w:r>
    </w:p>
    <w:p>
      <w:pPr>
        <w:pStyle w:val="Subsection"/>
      </w:pPr>
      <w:r>
        <w:tab/>
        <w:t>(9)</w:t>
      </w:r>
      <w:r>
        <w:tab/>
        <w:t>The power of the Chief Commissioner under subsection (2)(d) may, on a reference made under section 27(1)(t), be exercised by the Commission in Court Session.</w:t>
      </w:r>
    </w:p>
    <w:p>
      <w:pPr>
        <w:pStyle w:val="Footnotesection"/>
        <w:spacing w:before="80"/>
        <w:ind w:left="890" w:hanging="890"/>
      </w:pPr>
      <w:r>
        <w:tab/>
        <w:t>[Section 66 amended: No. 94 of 1984 s. 40 and 66; No. 119 of 1987 s. 17; No. 1 of 1995 s. 52 and 53; No. 79 of 1995 s. 33; No. 3 of 1997 s. 12; No. 39 of 2018 s. 37.]</w:t>
      </w:r>
    </w:p>
    <w:p>
      <w:pPr>
        <w:pStyle w:val="Heading5"/>
        <w:spacing w:before="120"/>
        <w:rPr>
          <w:snapToGrid w:val="0"/>
        </w:rPr>
      </w:pPr>
      <w:bookmarkStart w:id="209" w:name="_Toc98769981"/>
      <w:r>
        <w:rPr>
          <w:rStyle w:val="CharSectno"/>
        </w:rPr>
        <w:t>67</w:t>
      </w:r>
      <w:r>
        <w:rPr>
          <w:snapToGrid w:val="0"/>
        </w:rPr>
        <w:t>.</w:t>
      </w:r>
      <w:r>
        <w:rPr>
          <w:snapToGrid w:val="0"/>
        </w:rPr>
        <w:tab/>
        <w:t>Industrial associations, registering</w:t>
      </w:r>
      <w:bookmarkEnd w:id="209"/>
    </w:p>
    <w:p>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[Section 67 inserted: No. 94 of 1984 s. 41.]</w:t>
      </w:r>
    </w:p>
    <w:p>
      <w:pPr>
        <w:pStyle w:val="Heading5"/>
        <w:spacing w:before="120"/>
        <w:rPr>
          <w:snapToGrid w:val="0"/>
        </w:rPr>
      </w:pPr>
      <w:bookmarkStart w:id="210" w:name="_Toc98769982"/>
      <w:r>
        <w:rPr>
          <w:rStyle w:val="CharSectno"/>
        </w:rPr>
        <w:t>68</w:t>
      </w:r>
      <w:r>
        <w:rPr>
          <w:snapToGrid w:val="0"/>
        </w:rPr>
        <w:t>.</w:t>
      </w:r>
      <w:r>
        <w:rPr>
          <w:snapToGrid w:val="0"/>
        </w:rPr>
        <w:tab/>
        <w:t>Declaration as to certain functions</w:t>
      </w:r>
      <w:bookmarkEnd w:id="210"/>
    </w:p>
    <w:p>
      <w:pPr>
        <w:pStyle w:val="Subsection"/>
        <w:spacing w:before="140"/>
        <w:rPr>
          <w:snapToGrid w:val="0"/>
        </w:rPr>
      </w:pPr>
      <w:r>
        <w:rPr>
          <w:snapToGrid w:val="0"/>
        </w:rPr>
        <w:tab/>
      </w:r>
      <w:r>
        <w:rPr>
          <w:snapToGrid w:val="0"/>
        </w:rPr>
        <w:tab/>
        <w:t xml:space="preserve">The </w:t>
      </w:r>
      <w:r>
        <w:t>Commission</w:t>
      </w:r>
      <w:r>
        <w:rPr>
          <w:snapToGrid w:val="0"/>
        </w:rPr>
        <w:t xml:space="preserve">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[Section 68 amended: No. 94 of 1984 s. 66; No. 39 of 2018 s. 38.]</w:t>
      </w:r>
    </w:p>
    <w:p>
      <w:pPr>
        <w:pStyle w:val="Heading5"/>
        <w:keepLines w:val="0"/>
        <w:pageBreakBefore/>
        <w:spacing w:before="0"/>
        <w:rPr>
          <w:snapToGrid w:val="0"/>
        </w:rPr>
      </w:pPr>
      <w:bookmarkStart w:id="211" w:name="_Toc98769983"/>
      <w:r>
        <w:rPr>
          <w:rStyle w:val="CharSectno"/>
        </w:rPr>
        <w:lastRenderedPageBreak/>
        <w:t>69</w:t>
      </w:r>
      <w:r>
        <w:rPr>
          <w:snapToGrid w:val="0"/>
        </w:rPr>
        <w:t>.</w:t>
      </w:r>
      <w:r>
        <w:rPr>
          <w:snapToGrid w:val="0"/>
        </w:rPr>
        <w:tab/>
        <w:t>Election, conduct of by Registrar or Electoral Commissioner</w:t>
      </w:r>
      <w:bookmarkEnd w:id="211"/>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keepNext/>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w:t>
      </w:r>
    </w:p>
    <w:p>
      <w:pPr>
        <w:pStyle w:val="Indenta"/>
        <w:keepNext/>
        <w:rPr>
          <w:snapToGrid w:val="0"/>
        </w:rPr>
      </w:pPr>
      <w:r>
        <w:rPr>
          <w:snapToGrid w:val="0"/>
        </w:rPr>
        <w:tab/>
        <w:t>(a)</w:t>
      </w:r>
      <w:r>
        <w:rPr>
          <w:snapToGrid w:val="0"/>
        </w:rPr>
        <w:tab/>
        <w:t>to ensure that no irregularities occur in or in connection with the election; or</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lastRenderedPageBreak/>
        <w:tab/>
        <w:t>(6)</w:t>
      </w:r>
      <w:r>
        <w:rPr>
          <w:snapToGrid w:val="0"/>
        </w:rPr>
        <w:tab/>
        <w:t>A person shall not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lastRenderedPageBreak/>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 xml:space="preserve">The officer or person who made the request for the conduct of the election under this section may, within 7 days of the organisation or that person, as the case may be, being informed by the Registrar of </w:t>
      </w:r>
      <w:r>
        <w:t>the</w:t>
      </w:r>
      <w:r>
        <w:rPr>
          <w:snapToGrid w:val="0"/>
        </w:rPr>
        <w:t xml:space="preserve"> decision that the request has not been duly made, appeal to the </w:t>
      </w:r>
      <w:r>
        <w:t>Commission in Court Session</w:t>
      </w:r>
      <w:r>
        <w:rPr>
          <w:snapToGrid w:val="0"/>
        </w:rPr>
        <w:t xml:space="preserve"> in the manner prescribed against that decision.</w:t>
      </w:r>
    </w:p>
    <w:p>
      <w:pPr>
        <w:pStyle w:val="Footnotesection"/>
      </w:pPr>
      <w:r>
        <w:tab/>
        <w:t>[Section 69 amended: No. 94 of 1984 s. 42, 65 and 66; No. 98 of 1985 s. 3; No. 6 of 1993 s. 11; No. 1 of 1995 s. 53; No. 77 of 2006 s. 4; No. 39 of 2018 s. 39.]</w:t>
      </w:r>
    </w:p>
    <w:p>
      <w:pPr>
        <w:pStyle w:val="Heading5"/>
        <w:rPr>
          <w:snapToGrid w:val="0"/>
        </w:rPr>
      </w:pPr>
      <w:bookmarkStart w:id="212" w:name="_Toc98769984"/>
      <w:r>
        <w:rPr>
          <w:rStyle w:val="CharSectno"/>
        </w:rPr>
        <w:t>70</w:t>
      </w:r>
      <w:r>
        <w:rPr>
          <w:snapToGrid w:val="0"/>
        </w:rPr>
        <w:t>.</w:t>
      </w:r>
      <w:r>
        <w:rPr>
          <w:snapToGrid w:val="0"/>
        </w:rPr>
        <w:tab/>
        <w:t>Offences in relation to elections</w:t>
      </w:r>
      <w:bookmarkEnd w:id="212"/>
    </w:p>
    <w:p>
      <w:pPr>
        <w:pStyle w:val="Subsection"/>
        <w:rPr>
          <w:snapToGrid w:val="0"/>
        </w:rPr>
      </w:pPr>
      <w:r>
        <w:rPr>
          <w:snapToGrid w:val="0"/>
        </w:rPr>
        <w:tab/>
        <w:t>(1)</w:t>
      </w:r>
      <w:r>
        <w:rPr>
          <w:snapToGrid w:val="0"/>
        </w:rPr>
        <w:tab/>
        <w:t>A person shall not, without lawful authority or excuse, in or in connection with an election for an office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pPr>
        <w:pStyle w:val="Indenta"/>
        <w:rPr>
          <w:snapToGrid w:val="0"/>
        </w:rPr>
      </w:pPr>
      <w:r>
        <w:rPr>
          <w:snapToGrid w:val="0"/>
        </w:rPr>
        <w:tab/>
        <w:t>(b)</w:t>
      </w:r>
      <w:r>
        <w:rPr>
          <w:snapToGrid w:val="0"/>
        </w:rPr>
        <w:tab/>
        <w:t>destroy, deface, alter, take, or otherwise interfere with a nomination paper, ballot paper, or envelope; or</w:t>
      </w:r>
    </w:p>
    <w:p>
      <w:pPr>
        <w:pStyle w:val="Indenta"/>
        <w:keepNext/>
        <w:rPr>
          <w:snapToGrid w:val="0"/>
        </w:rPr>
      </w:pPr>
      <w:r>
        <w:rPr>
          <w:snapToGrid w:val="0"/>
        </w:rPr>
        <w:tab/>
        <w:t>(c)</w:t>
      </w:r>
      <w:r>
        <w:rPr>
          <w:snapToGrid w:val="0"/>
        </w:rPr>
        <w:tab/>
        <w:t>put or deliver a ballot paper or other paper —</w:t>
      </w:r>
    </w:p>
    <w:p>
      <w:pPr>
        <w:pStyle w:val="Indenti"/>
        <w:keepNext/>
        <w:rPr>
          <w:snapToGrid w:val="0"/>
        </w:rPr>
      </w:pPr>
      <w:r>
        <w:rPr>
          <w:snapToGrid w:val="0"/>
        </w:rPr>
        <w:tab/>
        <w:t>(i)</w:t>
      </w:r>
      <w:r>
        <w:rPr>
          <w:snapToGrid w:val="0"/>
        </w:rPr>
        <w:tab/>
        <w:t>into a ballot box or other ballot receptacle; or</w:t>
      </w:r>
    </w:p>
    <w:p>
      <w:pPr>
        <w:pStyle w:val="Indenti"/>
        <w:keepNext/>
        <w:rPr>
          <w:snapToGrid w:val="0"/>
        </w:rPr>
      </w:pPr>
      <w:r>
        <w:rPr>
          <w:snapToGrid w:val="0"/>
        </w:rPr>
        <w:tab/>
        <w:t>(ii)</w:t>
      </w:r>
      <w:r>
        <w:rPr>
          <w:snapToGrid w:val="0"/>
        </w:rPr>
        <w:tab/>
        <w:t>into the post; or</w:t>
      </w:r>
    </w:p>
    <w:p>
      <w:pPr>
        <w:pStyle w:val="Indenti"/>
        <w:keepNext/>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record a vote which he is not entitled to record; or</w:t>
      </w:r>
    </w:p>
    <w:p>
      <w:pPr>
        <w:pStyle w:val="Indenta"/>
        <w:rPr>
          <w:snapToGrid w:val="0"/>
        </w:rPr>
      </w:pPr>
      <w:r>
        <w:rPr>
          <w:snapToGrid w:val="0"/>
        </w:rPr>
        <w:tab/>
        <w:t>(e)</w:t>
      </w:r>
      <w:r>
        <w:rPr>
          <w:snapToGrid w:val="0"/>
        </w:rPr>
        <w:tab/>
        <w:t>record more than one vote; or</w:t>
      </w:r>
    </w:p>
    <w:p>
      <w:pPr>
        <w:pStyle w:val="Indenta"/>
        <w:rPr>
          <w:snapToGrid w:val="0"/>
        </w:rPr>
      </w:pPr>
      <w:r>
        <w:rPr>
          <w:snapToGrid w:val="0"/>
        </w:rPr>
        <w:tab/>
        <w:t>(f)</w:t>
      </w:r>
      <w:r>
        <w:rPr>
          <w:snapToGrid w:val="0"/>
        </w:rPr>
        <w:tab/>
        <w:t>forge or utter, knowing it to be forged, a nomination paper, ballot paper, or envelope; or</w:t>
      </w:r>
    </w:p>
    <w:p>
      <w:pPr>
        <w:pStyle w:val="Indenta"/>
        <w:rPr>
          <w:snapToGrid w:val="0"/>
        </w:rPr>
      </w:pPr>
      <w:r>
        <w:rPr>
          <w:snapToGrid w:val="0"/>
        </w:rPr>
        <w:tab/>
        <w:t>(g)</w:t>
      </w:r>
      <w:r>
        <w:rPr>
          <w:snapToGrid w:val="0"/>
        </w:rPr>
        <w:tab/>
        <w:t>supply a ballot paper; or</w:t>
      </w:r>
    </w:p>
    <w:p>
      <w:pPr>
        <w:pStyle w:val="Indenta"/>
        <w:rPr>
          <w:snapToGrid w:val="0"/>
        </w:rPr>
      </w:pPr>
      <w:r>
        <w:rPr>
          <w:snapToGrid w:val="0"/>
        </w:rPr>
        <w:lastRenderedPageBreak/>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pPr>
        <w:pStyle w:val="Indenti"/>
        <w:rPr>
          <w:snapToGrid w:val="0"/>
        </w:rPr>
      </w:pPr>
      <w:r>
        <w:rPr>
          <w:snapToGrid w:val="0"/>
        </w:rPr>
        <w:tab/>
        <w:t>(i)</w:t>
      </w:r>
      <w:r>
        <w:rPr>
          <w:snapToGrid w:val="0"/>
        </w:rPr>
        <w:tab/>
        <w:t>candidature or withdrawal of candidature; or</w:t>
      </w:r>
    </w:p>
    <w:p>
      <w:pPr>
        <w:pStyle w:val="Indenti"/>
        <w:rPr>
          <w:snapToGrid w:val="0"/>
        </w:rPr>
      </w:pPr>
      <w:r>
        <w:rPr>
          <w:snapToGrid w:val="0"/>
        </w:rPr>
        <w:tab/>
        <w:t>(ii)</w:t>
      </w:r>
      <w:r>
        <w:rPr>
          <w:snapToGrid w:val="0"/>
        </w:rPr>
        <w:tab/>
        <w:t>a vote or an omission to vote; or</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No. 94 of 1984 s. 65; No. 1 of 1995 s. 53; No. 20 of 2002 s. 152(1).]</w:t>
      </w:r>
    </w:p>
    <w:p>
      <w:pPr>
        <w:pStyle w:val="Heading5"/>
        <w:rPr>
          <w:snapToGrid w:val="0"/>
        </w:rPr>
      </w:pPr>
      <w:bookmarkStart w:id="213" w:name="_Toc98769985"/>
      <w:r>
        <w:rPr>
          <w:rStyle w:val="CharSectno"/>
        </w:rPr>
        <w:t>71</w:t>
      </w:r>
      <w:r>
        <w:rPr>
          <w:snapToGrid w:val="0"/>
        </w:rPr>
        <w:t>.</w:t>
      </w:r>
      <w:r>
        <w:rPr>
          <w:snapToGrid w:val="0"/>
        </w:rPr>
        <w:tab/>
        <w:t>State branches of Federal organisations, rules of as to membership and offices</w:t>
      </w:r>
      <w:bookmarkEnd w:id="213"/>
    </w:p>
    <w:p>
      <w:pPr>
        <w:pStyle w:val="Subsection"/>
        <w:rPr>
          <w:snapToGrid w:val="0"/>
        </w:rPr>
      </w:pPr>
      <w:r>
        <w:rPr>
          <w:snapToGrid w:val="0"/>
        </w:rPr>
        <w:tab/>
        <w:t>(1)</w:t>
      </w:r>
      <w:r>
        <w:rPr>
          <w:snapToGrid w:val="0"/>
        </w:rPr>
        <w:tab/>
        <w:t>In this section —</w:t>
      </w:r>
    </w:p>
    <w:p>
      <w:pPr>
        <w:pStyle w:val="Defstart"/>
      </w:pPr>
      <w:r>
        <w:rPr>
          <w:b/>
        </w:rPr>
        <w:tab/>
      </w:r>
      <w:r>
        <w:rPr>
          <w:rStyle w:val="CharDefText"/>
        </w:rPr>
        <w:t>Branch</w:t>
      </w:r>
      <w:r>
        <w:t xml:space="preserve"> means the Western Australian Branch of an organisation of employees registered under the </w:t>
      </w:r>
      <w:r>
        <w:rPr>
          <w:i/>
        </w:rPr>
        <w:t>Fair Work (Registered Organisations) Act 2009</w:t>
      </w:r>
      <w:r>
        <w:t xml:space="preserve"> (Commonwealth);</w:t>
      </w:r>
    </w:p>
    <w:p>
      <w:pPr>
        <w:pStyle w:val="Defstart"/>
        <w:keepNext/>
      </w:pPr>
      <w:r>
        <w:rPr>
          <w:b/>
        </w:rPr>
        <w:lastRenderedPageBreak/>
        <w:tab/>
      </w:r>
      <w:r>
        <w:rPr>
          <w:rStyle w:val="CharDefText"/>
        </w:rPr>
        <w:t>counterpart Federal body</w:t>
      </w:r>
      <w:r>
        <w:t>, in relation to a State organisation, means a Branch the rules of which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40"/>
        <w:rPr>
          <w:snapToGrid w:val="0"/>
        </w:rPr>
      </w:pPr>
      <w:r>
        <w:rPr>
          <w:snapToGrid w:val="0"/>
        </w:rPr>
        <w:tab/>
        <w:t>(2)</w:t>
      </w:r>
      <w:r>
        <w:rPr>
          <w:snapToGrid w:val="0"/>
        </w:rPr>
        <w:tab/>
        <w:t xml:space="preserve">The rules of the State organisation and its counterpart Federal body relating to the qualifications of persons for membership are deemed to be the same if, in the opinion of the </w:t>
      </w:r>
      <w:r>
        <w:t xml:space="preserve">Commission in Court Session, </w:t>
      </w:r>
      <w:r>
        <w:rPr>
          <w:snapToGrid w:val="0"/>
        </w:rPr>
        <w:t>they are substantially the same.</w:t>
      </w:r>
    </w:p>
    <w:p>
      <w:pPr>
        <w:pStyle w:val="Subsection"/>
        <w:spacing w:before="140"/>
        <w:rPr>
          <w:snapToGrid w:val="0"/>
        </w:rPr>
      </w:pPr>
      <w:r>
        <w:rPr>
          <w:snapToGrid w:val="0"/>
        </w:rPr>
        <w:tab/>
        <w:t>(3)</w:t>
      </w:r>
      <w:r>
        <w:rPr>
          <w:snapToGrid w:val="0"/>
        </w:rPr>
        <w:tab/>
        <w:t xml:space="preserve">The </w:t>
      </w:r>
      <w:r>
        <w:t>Commission in Court Session</w:t>
      </w:r>
      <w:r>
        <w:rPr>
          <w:snapToGrid w:val="0"/>
        </w:rPr>
        <w:t xml:space="preserve"> may form the opinion that the rules referred to in subsection (2) are substantially the same notwithstanding that a person who is —</w:t>
      </w:r>
    </w:p>
    <w:p>
      <w:pPr>
        <w:pStyle w:val="Indenta"/>
        <w:rPr>
          <w:snapToGrid w:val="0"/>
        </w:rPr>
      </w:pPr>
      <w:r>
        <w:rPr>
          <w:snapToGrid w:val="0"/>
        </w:rPr>
        <w:tab/>
        <w:t>(a)</w:t>
      </w:r>
      <w:r>
        <w:rPr>
          <w:snapToGrid w:val="0"/>
        </w:rPr>
        <w:tab/>
        <w:t>eligible to be a member of the State organisation is, by reason of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3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30"/>
        <w:rPr>
          <w:snapToGrid w:val="0"/>
        </w:rPr>
      </w:pPr>
      <w:r>
        <w:rPr>
          <w:snapToGrid w:val="0"/>
        </w:rPr>
        <w:tab/>
        <w:t>(5)</w:t>
      </w:r>
      <w:r>
        <w:rPr>
          <w:snapToGrid w:val="0"/>
        </w:rPr>
        <w:tab/>
        <w:t>Where, after the coming into operation of this section —</w:t>
      </w:r>
    </w:p>
    <w:p>
      <w:pPr>
        <w:pStyle w:val="Indenta"/>
        <w:rPr>
          <w:snapToGrid w:val="0"/>
        </w:rPr>
      </w:pPr>
      <w:r>
        <w:rPr>
          <w:snapToGrid w:val="0"/>
        </w:rPr>
        <w:tab/>
        <w:t>(a)</w:t>
      </w:r>
      <w:r>
        <w:rPr>
          <w:snapToGrid w:val="0"/>
        </w:rPr>
        <w:tab/>
        <w:t xml:space="preserve">the rules of a State organisation are altered pursuant to section 62 to provide that each office in the State </w:t>
      </w:r>
      <w:r>
        <w:rPr>
          <w:snapToGrid w:val="0"/>
        </w:rPr>
        <w:lastRenderedPageBreak/>
        <w:t>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40"/>
        <w:rPr>
          <w:snapToGrid w:val="0"/>
        </w:rPr>
      </w:pPr>
      <w:r>
        <w:rPr>
          <w:snapToGrid w:val="0"/>
        </w:rPr>
        <w:tab/>
      </w:r>
      <w:r>
        <w:rPr>
          <w:snapToGrid w:val="0"/>
        </w:rPr>
        <w:tab/>
        <w:t>the Registrar shall issue the State organisation with a certificate which declares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4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w:t>
      </w:r>
    </w:p>
    <w:p>
      <w:pPr>
        <w:pStyle w:val="Indenta"/>
        <w:rPr>
          <w:snapToGrid w:val="0"/>
        </w:rPr>
      </w:pPr>
      <w:r>
        <w:rPr>
          <w:snapToGrid w:val="0"/>
        </w:rPr>
        <w:tab/>
        <w:t>(a)</w:t>
      </w:r>
      <w:r>
        <w:rPr>
          <w:snapToGrid w:val="0"/>
        </w:rPr>
        <w:tab/>
        <w:t>sealed with the respective seals of the State organisation and the other organisation concerned; and</w:t>
      </w:r>
    </w:p>
    <w:p>
      <w:pPr>
        <w:pStyle w:val="Indenta"/>
        <w:rPr>
          <w:snapToGrid w:val="0"/>
        </w:rPr>
      </w:pPr>
      <w:r>
        <w:rPr>
          <w:snapToGrid w:val="0"/>
        </w:rPr>
        <w:lastRenderedPageBreak/>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 xml:space="preserve">the </w:t>
      </w:r>
      <w:r>
        <w:t>Commission in Court Session</w:t>
      </w:r>
      <w:r>
        <w:rPr>
          <w:snapToGrid w:val="0"/>
        </w:rPr>
        <w:t xml:space="preserve">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 xml:space="preserve">Where the </w:t>
      </w:r>
      <w:r>
        <w:t>Commission in Court Session</w:t>
      </w:r>
      <w:r>
        <w:rPr>
          <w:snapToGrid w:val="0"/>
        </w:rPr>
        <w:t xml:space="preserve"> approves an agreement under subsection (7) the Registrar must —</w:t>
      </w:r>
    </w:p>
    <w:p>
      <w:pPr>
        <w:pStyle w:val="Indenta"/>
        <w:rPr>
          <w:snapToGrid w:val="0"/>
        </w:rPr>
      </w:pPr>
      <w:r>
        <w:rPr>
          <w:snapToGrid w:val="0"/>
        </w:rPr>
        <w:tab/>
        <w:t>(a)</w:t>
      </w:r>
      <w:r>
        <w:rPr>
          <w:snapToGrid w:val="0"/>
        </w:rPr>
        <w:tab/>
        <w:t>register the memorandum as an alteration to the rules of the State organisation; and</w:t>
      </w:r>
    </w:p>
    <w:p>
      <w:pPr>
        <w:pStyle w:val="Indenta"/>
        <w:rPr>
          <w:snapToGrid w:val="0"/>
        </w:rPr>
      </w:pPr>
      <w:r>
        <w:rPr>
          <w:snapToGrid w:val="0"/>
        </w:rPr>
        <w:tab/>
        <w:t>(b)</w:t>
      </w:r>
      <w:r>
        <w:rPr>
          <w:snapToGrid w:val="0"/>
        </w:rPr>
        <w:tab/>
        <w:t xml:space="preserve">amend, where necessary, the certificate issued to the State organisation under subsection (5) by declaring that the State organisation is, from the date of registration of the memorandum, exempted from compliance with such provisions of this Act and to such an extent as the </w:t>
      </w:r>
      <w:r>
        <w:t>Commission in Court Session</w:t>
      </w:r>
      <w:r>
        <w:rPr>
          <w:snapToGrid w:val="0"/>
        </w:rPr>
        <w:t xml:space="preserve"> may, having regard to the terms of the memorandum, direct; and</w:t>
      </w:r>
    </w:p>
    <w:p>
      <w:pPr>
        <w:pStyle w:val="Indenta"/>
        <w:keepNext/>
        <w:rPr>
          <w:snapToGrid w:val="0"/>
        </w:rPr>
      </w:pPr>
      <w:r>
        <w:rPr>
          <w:snapToGrid w:val="0"/>
        </w:rPr>
        <w:tab/>
        <w:t>(c)</w:t>
      </w:r>
      <w:r>
        <w:rPr>
          <w:snapToGrid w:val="0"/>
        </w:rPr>
        <w:tab/>
        <w:t>notify the State organisation in writing of the matters referred to in paragraphs (a) and (b).</w:t>
      </w:r>
    </w:p>
    <w:p>
      <w:pPr>
        <w:pStyle w:val="Subsection"/>
        <w:keepNext/>
        <w:spacing w:before="180"/>
        <w:rPr>
          <w:snapToGrid w:val="0"/>
        </w:rPr>
      </w:pPr>
      <w:r>
        <w:rPr>
          <w:snapToGrid w:val="0"/>
        </w:rPr>
        <w:tab/>
        <w:t>(9)</w:t>
      </w:r>
      <w:r>
        <w:rPr>
          <w:snapToGrid w:val="0"/>
        </w:rPr>
        <w:tab/>
        <w:t>After the issue to a State organisation of a certificate or an amended certificate under this section —</w:t>
      </w:r>
    </w:p>
    <w:p>
      <w:pPr>
        <w:pStyle w:val="Indenta"/>
        <w:rPr>
          <w:snapToGrid w:val="0"/>
        </w:rPr>
      </w:pPr>
      <w:r>
        <w:rPr>
          <w:snapToGrid w:val="0"/>
        </w:rPr>
        <w:tab/>
        <w:t>(a)</w:t>
      </w:r>
      <w:r>
        <w:rPr>
          <w:snapToGrid w:val="0"/>
        </w:rPr>
        <w:tab/>
        <w:t xml:space="preserve">the rule referred to in subsection (5)(a) and a memorandum registered under subsection (8)(a) shall not be altered unless the alteration is approved by the </w:t>
      </w:r>
      <w:r>
        <w:t>Commission in Court Session; and</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the Registrar is satisfied that the rule as so altered is the same as a rule of the State organisation’s counterpart Federal body; and</w:t>
      </w:r>
    </w:p>
    <w:p>
      <w:pPr>
        <w:pStyle w:val="Indenta"/>
        <w:rPr>
          <w:snapToGrid w:val="0"/>
        </w:rPr>
      </w:pPr>
      <w:r>
        <w:rPr>
          <w:snapToGrid w:val="0"/>
        </w:rPr>
        <w:lastRenderedPageBreak/>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 xml:space="preserve">Before granting approval to an alteration of the rule or memorandum referred to in subsection (9)(a), the </w:t>
      </w:r>
      <w:r>
        <w:t>Commission in Court Session</w:t>
      </w:r>
      <w:r>
        <w:rPr>
          <w:snapToGrid w:val="0"/>
        </w:rPr>
        <w:t xml:space="preserve"> may require compliance by the State organisation with such conditions as the </w:t>
      </w:r>
      <w:r>
        <w:t>Commission in Court Session</w:t>
      </w:r>
      <w:r>
        <w:rPr>
          <w:snapToGrid w:val="0"/>
        </w:rPr>
        <w:t xml:space="preserve"> considers appropriate.</w:t>
      </w:r>
    </w:p>
    <w:p>
      <w:pPr>
        <w:pStyle w:val="Footnotesection"/>
      </w:pPr>
      <w:r>
        <w:tab/>
        <w:t>[Section 71 amended: No. 94 of 1984 s. 66; No. 119 of 1987 s. 18; No. 1 of 1995 s. 53; No. 74 of 2003 s. 68(3); No. 53 of 2011 s. 34; No. 39 of 2018 s. 40.]</w:t>
      </w:r>
    </w:p>
    <w:p>
      <w:pPr>
        <w:pStyle w:val="Heading5"/>
        <w:rPr>
          <w:snapToGrid w:val="0"/>
        </w:rPr>
      </w:pPr>
      <w:bookmarkStart w:id="214" w:name="_Toc98769986"/>
      <w:r>
        <w:rPr>
          <w:rStyle w:val="CharSectno"/>
        </w:rPr>
        <w:t>71A</w:t>
      </w:r>
      <w:r>
        <w:rPr>
          <w:snapToGrid w:val="0"/>
        </w:rPr>
        <w:t>.</w:t>
      </w:r>
      <w:r>
        <w:rPr>
          <w:snapToGrid w:val="0"/>
        </w:rPr>
        <w:tab/>
        <w:t>Rules of Federal organisation, State organisation may adopt</w:t>
      </w:r>
      <w:bookmarkEnd w:id="214"/>
    </w:p>
    <w:p>
      <w:pPr>
        <w:pStyle w:val="Subsection"/>
        <w:rPr>
          <w:snapToGrid w:val="0"/>
        </w:rPr>
      </w:pPr>
      <w:r>
        <w:rPr>
          <w:snapToGrid w:val="0"/>
        </w:rPr>
        <w:tab/>
        <w:t>(1)</w:t>
      </w:r>
      <w:r>
        <w:rPr>
          <w:snapToGrid w:val="0"/>
        </w:rPr>
        <w:tab/>
        <w:t>In this section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keepNext/>
        <w:keepLines/>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stating that all of the rules of its counterpart Federal body other than —</w:t>
      </w:r>
    </w:p>
    <w:p>
      <w:pPr>
        <w:pStyle w:val="Indenta"/>
        <w:keepNext/>
        <w:keepLines/>
        <w:rPr>
          <w:snapToGrid w:val="0"/>
        </w:rPr>
      </w:pPr>
      <w:r>
        <w:rPr>
          <w:snapToGrid w:val="0"/>
        </w:rPr>
        <w:tab/>
        <w:t>(a)</w:t>
      </w:r>
      <w:r>
        <w:rPr>
          <w:snapToGrid w:val="0"/>
        </w:rPr>
        <w:tab/>
        <w:t>a rule relating to the name of the State organisation; and</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 xml:space="preserve">Subject to subsection (5) where a State organisation alters its rules under subsection (2) the rules adopted by that State organisation are by force of this section, and notwithstanding </w:t>
      </w:r>
      <w:r>
        <w:rPr>
          <w:snapToGrid w:val="0"/>
        </w:rPr>
        <w:lastRenderedPageBreak/>
        <w:t>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[Section 71A inserted: No. 99 of 1990 s. 9.]</w:t>
      </w:r>
    </w:p>
    <w:p>
      <w:pPr>
        <w:pStyle w:val="Heading5"/>
        <w:rPr>
          <w:snapToGrid w:val="0"/>
        </w:rPr>
      </w:pPr>
      <w:bookmarkStart w:id="215" w:name="_Toc98769987"/>
      <w:r>
        <w:rPr>
          <w:rStyle w:val="CharSectno"/>
        </w:rPr>
        <w:t>72</w:t>
      </w:r>
      <w:r>
        <w:rPr>
          <w:snapToGrid w:val="0"/>
        </w:rPr>
        <w:t>.</w:t>
      </w:r>
      <w:r>
        <w:rPr>
          <w:snapToGrid w:val="0"/>
        </w:rPr>
        <w:tab/>
        <w:t>Amalgamated organisations, registration of</w:t>
      </w:r>
      <w:bookmarkEnd w:id="215"/>
    </w:p>
    <w:p>
      <w:pPr>
        <w:pStyle w:val="Subsection"/>
        <w:rPr>
          <w:snapToGrid w:val="0"/>
        </w:rPr>
      </w:pPr>
      <w:r>
        <w:rPr>
          <w:snapToGrid w:val="0"/>
        </w:rPr>
        <w:tab/>
        <w:t>(1)</w:t>
      </w:r>
      <w:r>
        <w:rPr>
          <w:snapToGrid w:val="0"/>
        </w:rPr>
        <w:tab/>
        <w:t xml:space="preserve">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w:t>
      </w:r>
      <w:r>
        <w:t>Commission in Court Session</w:t>
      </w:r>
      <w:r>
        <w:rPr>
          <w:snapToGrid w:val="0"/>
        </w:rPr>
        <w:t>.</w:t>
      </w:r>
    </w:p>
    <w:p>
      <w:pPr>
        <w:pStyle w:val="Subsection"/>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rPr>
          <w:snapToGrid w:val="0"/>
        </w:rPr>
      </w:pPr>
      <w:r>
        <w:rPr>
          <w:snapToGrid w:val="0"/>
        </w:rPr>
        <w:lastRenderedPageBreak/>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rPr>
          <w:snapToGrid w:val="0"/>
        </w:rPr>
      </w:pPr>
      <w:r>
        <w:rPr>
          <w:snapToGrid w:val="0"/>
        </w:rPr>
        <w:tab/>
        <w:t>(5)</w:t>
      </w:r>
      <w:r>
        <w:rPr>
          <w:snapToGrid w:val="0"/>
        </w:rPr>
        <w:tab/>
        <w:t>On and from the date on which an organisation is registered under this section —</w:t>
      </w:r>
    </w:p>
    <w:p>
      <w:pPr>
        <w:pStyle w:val="Indenta"/>
        <w:rPr>
          <w:snapToGrid w:val="0"/>
        </w:rPr>
      </w:pPr>
      <w:r>
        <w:rPr>
          <w:snapToGrid w:val="0"/>
        </w:rPr>
        <w:tab/>
        <w:t>(a)</w:t>
      </w:r>
      <w:r>
        <w:rPr>
          <w:snapToGrid w:val="0"/>
        </w:rPr>
        <w:tab/>
        <w:t>the registration of each of the amalgamating organisations is cancelled; and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 and</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[Section 72 inserted: No. 94 of 1984 s. 43; amended: No. 1 of 1995 s. 53; No. 79 of 1995 s. 34; No. 39 of 2018 s. 41.]</w:t>
      </w:r>
    </w:p>
    <w:p>
      <w:pPr>
        <w:pStyle w:val="Heading5"/>
        <w:rPr>
          <w:snapToGrid w:val="0"/>
        </w:rPr>
      </w:pPr>
      <w:bookmarkStart w:id="216" w:name="_Toc98769988"/>
      <w:r>
        <w:rPr>
          <w:rStyle w:val="CharSectno"/>
        </w:rPr>
        <w:t>72A</w:t>
      </w:r>
      <w:r>
        <w:rPr>
          <w:snapToGrid w:val="0"/>
        </w:rPr>
        <w:t>.</w:t>
      </w:r>
      <w:r>
        <w:rPr>
          <w:snapToGrid w:val="0"/>
        </w:rPr>
        <w:tab/>
        <w:t>Employee organisations, orders as to whom they represent</w:t>
      </w:r>
      <w:bookmarkEnd w:id="216"/>
    </w:p>
    <w:p>
      <w:pPr>
        <w:pStyle w:val="Subsection"/>
        <w:keepNext/>
        <w:keepLines/>
        <w:rPr>
          <w:snapToGrid w:val="0"/>
        </w:rPr>
      </w:pPr>
      <w:r>
        <w:rPr>
          <w:snapToGrid w:val="0"/>
        </w:rPr>
        <w:tab/>
        <w:t>(1)</w:t>
      </w:r>
      <w:r>
        <w:rPr>
          <w:snapToGrid w:val="0"/>
        </w:rPr>
        <w:tab/>
        <w:t>In this section —</w:t>
      </w:r>
    </w:p>
    <w:p>
      <w:pPr>
        <w:pStyle w:val="Defstart"/>
      </w:pPr>
      <w:r>
        <w:rPr>
          <w:b/>
        </w:rPr>
        <w:tab/>
      </w:r>
      <w:r>
        <w:rPr>
          <w:rStyle w:val="CharDefText"/>
        </w:rPr>
        <w:t>enterprise</w:t>
      </w:r>
      <w:r>
        <w:t xml:space="preserve"> means —</w:t>
      </w:r>
    </w:p>
    <w:p>
      <w:pPr>
        <w:pStyle w:val="Defpara"/>
      </w:pPr>
      <w:r>
        <w:tab/>
        <w:t>(a)</w:t>
      </w:r>
      <w:r>
        <w:tab/>
        <w:t>a business, or part of a business, that is carried on by a single employer; or</w:t>
      </w:r>
    </w:p>
    <w:p>
      <w:pPr>
        <w:pStyle w:val="Defpara"/>
      </w:pPr>
      <w:r>
        <w:lastRenderedPageBreak/>
        <w:tab/>
        <w:t>(b)</w:t>
      </w:r>
      <w:r>
        <w:tab/>
        <w:t>a business, or part of a business, that is carried on by 2 or more employers as a joint venture or single enterprise; or</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 xml:space="preserve">An organisation, an employer or the Minister may apply to the </w:t>
      </w:r>
      <w:r>
        <w:t>Commission in Court Session</w:t>
      </w:r>
      <w:r>
        <w:rPr>
          <w:snapToGrid w:val="0"/>
        </w:rPr>
        <w:t xml:space="preserve"> for an order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must publish notice of an application under subsection (2) in the </w:t>
      </w:r>
      <w:r>
        <w:rPr>
          <w:i/>
        </w:rPr>
        <w:t xml:space="preserve">Industrial Gazette </w:t>
      </w:r>
      <w:r>
        <w:t>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must not be listed for hearing before the Commission in Court Session until after the expiration of 30 days from the day on which the notice is first published.</w:t>
      </w:r>
    </w:p>
    <w:p>
      <w:pPr>
        <w:pStyle w:val="Subsection"/>
        <w:rPr>
          <w:snapToGrid w:val="0"/>
        </w:rPr>
      </w:pPr>
      <w:r>
        <w:rPr>
          <w:snapToGrid w:val="0"/>
        </w:rPr>
        <w:tab/>
        <w:t>(4)</w:t>
      </w:r>
      <w:r>
        <w:rPr>
          <w:snapToGrid w:val="0"/>
        </w:rPr>
        <w:tab/>
        <w:t xml:space="preserve">On an application under subsection (2), the </w:t>
      </w:r>
      <w:r>
        <w:t>Commission in Court Session</w:t>
      </w:r>
      <w:r>
        <w:rPr>
          <w:snapToGrid w:val="0"/>
        </w:rPr>
        <w:t xml:space="preserve"> may make one or more of the orders applied for, </w:t>
      </w:r>
      <w:r>
        <w:rPr>
          <w:snapToGrid w:val="0"/>
        </w:rPr>
        <w:lastRenderedPageBreak/>
        <w:t>and may make any such order subject to any condition or limitation.</w:t>
      </w:r>
    </w:p>
    <w:p>
      <w:pPr>
        <w:pStyle w:val="Subsection"/>
        <w:rPr>
          <w:snapToGrid w:val="0"/>
        </w:rPr>
      </w:pPr>
      <w:r>
        <w:rPr>
          <w:snapToGrid w:val="0"/>
        </w:rPr>
        <w:tab/>
        <w:t>(5)</w:t>
      </w:r>
      <w:r>
        <w:rPr>
          <w:snapToGrid w:val="0"/>
        </w:rPr>
        <w:tab/>
        <w:t xml:space="preserve">The </w:t>
      </w:r>
      <w:r>
        <w:t>Commission in Court Session must</w:t>
      </w:r>
      <w:r>
        <w:rPr>
          <w:snapToGrid w:val="0"/>
        </w:rPr>
        <w:t xml:space="preserve"> not make any order described in subsection (2) without giving persons who, in </w:t>
      </w:r>
      <w:r>
        <w:t xml:space="preserve">its opinion, </w:t>
      </w:r>
      <w:r>
        <w:rPr>
          <w:snapToGrid w:val="0"/>
        </w:rPr>
        <w:t>have a sufficient interest in the matter an opportunity of being heard.</w:t>
      </w:r>
    </w:p>
    <w:p>
      <w:pPr>
        <w:pStyle w:val="Subsection"/>
        <w:rPr>
          <w:snapToGrid w:val="0"/>
        </w:rPr>
      </w:pPr>
      <w:r>
        <w:rPr>
          <w:snapToGrid w:val="0"/>
        </w:rPr>
        <w:tab/>
        <w:t>(6)</w:t>
      </w:r>
      <w:r>
        <w:rPr>
          <w:snapToGrid w:val="0"/>
        </w:rPr>
        <w:tab/>
        <w:t xml:space="preserve">Where an order is made under subsection (4), the </w:t>
      </w:r>
      <w:r>
        <w:t>Commission in Court Session must refer the matter to the Chief Commissioner unless it</w:t>
      </w:r>
      <w:r>
        <w:rPr>
          <w:snapToGrid w:val="0"/>
        </w:rPr>
        <w:t xml:space="preserve"> is satisfied that the rules of the organisations concerned do not need to be altered.</w:t>
      </w:r>
    </w:p>
    <w:p>
      <w:pPr>
        <w:pStyle w:val="Subsection"/>
        <w:rPr>
          <w:snapToGrid w:val="0"/>
        </w:rPr>
      </w:pPr>
      <w:r>
        <w:rPr>
          <w:snapToGrid w:val="0"/>
        </w:rPr>
        <w:tab/>
        <w:t>(7)</w:t>
      </w:r>
      <w:r>
        <w:rPr>
          <w:snapToGrid w:val="0"/>
        </w:rPr>
        <w:tab/>
        <w:t xml:space="preserve">On a referral under subsection (6) the </w:t>
      </w:r>
      <w:r>
        <w:t xml:space="preserve">Chief Commissioner must, </w:t>
      </w:r>
      <w:r>
        <w:rPr>
          <w:snapToGrid w:val="0"/>
        </w:rPr>
        <w:t xml:space="preserve">after giving the organisations concerned an opportunity of being heard, make such alterations (if any) to the rules of the organisations as are, in the </w:t>
      </w:r>
      <w:r>
        <w:t>Chief Commissioner’s opinion, necessary to reflect the order made by the Commission in Court Session.</w:t>
      </w:r>
    </w:p>
    <w:p>
      <w:pPr>
        <w:pStyle w:val="Subsection"/>
        <w:rPr>
          <w:snapToGrid w:val="0"/>
        </w:rPr>
      </w:pPr>
      <w:r>
        <w:rPr>
          <w:snapToGrid w:val="0"/>
        </w:rPr>
        <w:tab/>
        <w:t>(8)</w:t>
      </w:r>
      <w:r>
        <w:rPr>
          <w:snapToGrid w:val="0"/>
        </w:rPr>
        <w:tab/>
        <w:t xml:space="preserve">An alteration </w:t>
      </w:r>
      <w:r>
        <w:t>must be made by instrument in writing signed by the Chief Commissioner and takes</w:t>
      </w:r>
      <w:r>
        <w:rPr>
          <w:snapToGrid w:val="0"/>
        </w:rPr>
        <w:t xml:space="preserve"> effect on a day specified in the instrument.</w:t>
      </w:r>
    </w:p>
    <w:p>
      <w:pPr>
        <w:pStyle w:val="Footnotesection"/>
      </w:pPr>
      <w:r>
        <w:tab/>
        <w:t>[Section 72A inserted: No. 15 of 1993 s. 20; amended: No. 79 of 1995 s. 35; No. 20 of 2002 s. 190(6); No. 39 of 2018 s. 42.]</w:t>
      </w:r>
    </w:p>
    <w:p>
      <w:pPr>
        <w:pStyle w:val="Heading5"/>
        <w:rPr>
          <w:snapToGrid w:val="0"/>
        </w:rPr>
      </w:pPr>
      <w:bookmarkStart w:id="217" w:name="_Toc98769989"/>
      <w:r>
        <w:rPr>
          <w:rStyle w:val="CharSectno"/>
        </w:rPr>
        <w:t>72B</w:t>
      </w:r>
      <w:r>
        <w:rPr>
          <w:snapToGrid w:val="0"/>
        </w:rPr>
        <w:t xml:space="preserve">. </w:t>
      </w:r>
      <w:r>
        <w:rPr>
          <w:snapToGrid w:val="0"/>
        </w:rPr>
        <w:tab/>
        <w:t>AMA may represent interests of medical practitioners</w:t>
      </w:r>
      <w:bookmarkEnd w:id="217"/>
    </w:p>
    <w:p>
      <w:pPr>
        <w:pStyle w:val="Subsection"/>
        <w:rPr>
          <w:snapToGrid w:val="0"/>
        </w:rPr>
      </w:pPr>
      <w:r>
        <w:rPr>
          <w:snapToGrid w:val="0"/>
        </w:rPr>
        <w:tab/>
        <w:t>(1)</w:t>
      </w:r>
      <w:r>
        <w:rPr>
          <w:snapToGrid w:val="0"/>
        </w:rPr>
        <w:tab/>
        <w:t>In this section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keepNext/>
        <w:rPr>
          <w:snapToGrid w:val="0"/>
        </w:rPr>
      </w:pPr>
      <w:r>
        <w:rPr>
          <w:snapToGrid w:val="0"/>
        </w:rPr>
        <w:lastRenderedPageBreak/>
        <w:tab/>
        <w:t>(2)</w:t>
      </w:r>
      <w:r>
        <w:rPr>
          <w:snapToGrid w:val="0"/>
        </w:rPr>
        <w:tab/>
        <w:t>The WA Branch of the AMA may represent under this Act the industrial interests of medical practitioners as if it were an organisation of employees and for that purpose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No. 79 of 1995 s. 36; amended: No. 22 of 2008 Sch. 3 cl. 30(2); No. 35 of 2010 s. 99.]</w:t>
      </w:r>
    </w:p>
    <w:p>
      <w:pPr>
        <w:pStyle w:val="Heading5"/>
        <w:pageBreakBefore/>
        <w:spacing w:before="0"/>
        <w:rPr>
          <w:snapToGrid w:val="0"/>
        </w:rPr>
      </w:pPr>
      <w:bookmarkStart w:id="218" w:name="_Toc98769990"/>
      <w:r>
        <w:rPr>
          <w:rStyle w:val="CharSectno"/>
        </w:rPr>
        <w:lastRenderedPageBreak/>
        <w:t>73</w:t>
      </w:r>
      <w:r>
        <w:rPr>
          <w:snapToGrid w:val="0"/>
        </w:rPr>
        <w:t>.</w:t>
      </w:r>
      <w:r>
        <w:rPr>
          <w:snapToGrid w:val="0"/>
        </w:rPr>
        <w:tab/>
        <w:t>Cancelling and suspending registration of organisation, procedure for</w:t>
      </w:r>
      <w:bookmarkEnd w:id="218"/>
    </w:p>
    <w:p>
      <w:pPr>
        <w:pStyle w:val="Subsection"/>
        <w:rPr>
          <w:snapToGrid w:val="0"/>
        </w:rPr>
      </w:pPr>
      <w:r>
        <w:rPr>
          <w:snapToGrid w:val="0"/>
        </w:rPr>
        <w:tab/>
        <w:t>(1)</w:t>
      </w:r>
      <w:r>
        <w:rPr>
          <w:snapToGrid w:val="0"/>
        </w:rPr>
        <w:tab/>
        <w:t xml:space="preserve">Subject to this section, the Commission </w:t>
      </w:r>
      <w:r>
        <w:t>constituted by a commissioner</w:t>
      </w:r>
      <w:r>
        <w:rPr>
          <w:snapToGrid w:val="0"/>
        </w:rPr>
        <w:t xml:space="preserve"> may of its own motion or at the request of the Minister or any employer or organisation at any time direct the Registrar in writing to issue to an organisation a summons to appear before the </w:t>
      </w:r>
      <w:r>
        <w:t>Commission in Court Session</w:t>
      </w:r>
      <w:r>
        <w:rPr>
          <w:snapToGrid w:val="0"/>
        </w:rPr>
        <w:t xml:space="preserve">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 xml:space="preserve">The Registrar </w:t>
      </w:r>
      <w:r>
        <w:t>must ascertain from the Chief Commissioner</w:t>
      </w:r>
      <w:r>
        <w:rPr>
          <w:snapToGrid w:val="0"/>
        </w:rPr>
        <w:t xml:space="preserve"> the date to be specified in the summons referred to in subsection (1) and that </w:t>
      </w:r>
      <w:r>
        <w:t>date must</w:t>
      </w:r>
      <w:r>
        <w:rPr>
          <w:snapToGrid w:val="0"/>
        </w:rPr>
        <w:t xml:space="preserve">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w:t>
      </w:r>
    </w:p>
    <w:p>
      <w:pPr>
        <w:pStyle w:val="Indenta"/>
        <w:spacing w:before="70"/>
        <w:rPr>
          <w:snapToGrid w:val="0"/>
        </w:rPr>
      </w:pPr>
      <w:r>
        <w:rPr>
          <w:snapToGrid w:val="0"/>
        </w:rPr>
        <w:tab/>
        <w:t>(a)</w:t>
      </w:r>
      <w:r>
        <w:rPr>
          <w:snapToGrid w:val="0"/>
        </w:rPr>
        <w:tab/>
        <w:t>where the request is made by the Minister and is accompanied by a declaration made by him that in his opinion —</w:t>
      </w:r>
    </w:p>
    <w:p>
      <w:pPr>
        <w:pStyle w:val="Indenti"/>
        <w:spacing w:before="70"/>
        <w:rPr>
          <w:snapToGrid w:val="0"/>
        </w:rPr>
      </w:pPr>
      <w:r>
        <w:rPr>
          <w:snapToGrid w:val="0"/>
        </w:rPr>
        <w:tab/>
        <w:t>(i)</w:t>
      </w:r>
      <w:r>
        <w:rPr>
          <w:snapToGrid w:val="0"/>
        </w:rPr>
        <w:tab/>
        <w:t>the safety, health, or welfare of the community or a part of it is at risk; or</w:t>
      </w:r>
    </w:p>
    <w:p>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Indenta"/>
        <w:spacing w:before="70"/>
        <w:rPr>
          <w:snapToGrid w:val="0"/>
        </w:rPr>
      </w:pPr>
      <w:r>
        <w:rPr>
          <w:snapToGrid w:val="0"/>
        </w:rPr>
        <w:tab/>
      </w:r>
      <w:r>
        <w:rPr>
          <w:snapToGrid w:val="0"/>
        </w:rPr>
        <w:tab/>
        <w:t>the Commission shall give a direction under that subsection; and</w:t>
      </w:r>
    </w:p>
    <w:p>
      <w:pPr>
        <w:pStyle w:val="Indenta"/>
        <w:spacing w:before="70"/>
        <w:rPr>
          <w:snapToGrid w:val="0"/>
        </w:rPr>
      </w:pPr>
      <w:r>
        <w:rPr>
          <w:snapToGrid w:val="0"/>
        </w:rPr>
        <w:tab/>
        <w:t>(b)</w:t>
      </w:r>
      <w:r>
        <w:rPr>
          <w:snapToGrid w:val="0"/>
        </w:rPr>
        <w:tab/>
        <w:t xml:space="preserve">in any other case, the Commission may give a direction under that subsection if, by reason of the conduct of the organisation or its officers or members or any of them, either generally or in a particular case, it appears to the </w:t>
      </w:r>
      <w:r>
        <w:rPr>
          <w:snapToGrid w:val="0"/>
        </w:rPr>
        <w:lastRenderedPageBreak/>
        <w:t>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 xml:space="preserve">For the hearing and determination of a matter under this section the commissioner referred to in subsection (5) </w:t>
      </w:r>
      <w:r>
        <w:t>must not be one of the commissioners who constitute the Commission in Court Session for the purposes of this section.</w:t>
      </w:r>
    </w:p>
    <w:p>
      <w:pPr>
        <w:pStyle w:val="Subsection"/>
        <w:rPr>
          <w:snapToGrid w:val="0"/>
        </w:rPr>
      </w:pPr>
      <w:r>
        <w:rPr>
          <w:snapToGrid w:val="0"/>
        </w:rPr>
        <w:tab/>
        <w:t>(7)</w:t>
      </w:r>
      <w:r>
        <w:rPr>
          <w:snapToGrid w:val="0"/>
        </w:rPr>
        <w:tab/>
        <w:t xml:space="preserve">On the return of the summons (not being a summons to which subsection (7b) applies) if it appears to the </w:t>
      </w:r>
      <w:r>
        <w:t>Commission in Court Session that</w:t>
      </w:r>
      <w:r>
        <w:rPr>
          <w:snapToGrid w:val="0"/>
        </w:rPr>
        <w:t xml:space="preserve"> by reason of the conduct of the organisation or its officers or members or any of them, either generally or in any particular case, the continuance of the registration is not consistent with or will not serve the objects of this Act, the </w:t>
      </w:r>
      <w:r>
        <w:t>Commission in Court Session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keepNext/>
        <w:rPr>
          <w:snapToGrid w:val="0"/>
        </w:rPr>
      </w:pPr>
      <w:r>
        <w:rPr>
          <w:snapToGrid w:val="0"/>
        </w:rPr>
        <w:lastRenderedPageBreak/>
        <w:tab/>
        <w:t>(7a)</w:t>
      </w:r>
      <w:r>
        <w:rPr>
          <w:snapToGrid w:val="0"/>
        </w:rPr>
        <w:tab/>
        <w:t>The orders referred to in subsection (7)(a) are —</w:t>
      </w:r>
    </w:p>
    <w:p>
      <w:pPr>
        <w:pStyle w:val="Indenta"/>
        <w:rPr>
          <w:snapToGrid w:val="0"/>
        </w:rPr>
      </w:pPr>
      <w:r>
        <w:rPr>
          <w:snapToGrid w:val="0"/>
        </w:rPr>
        <w:tab/>
        <w:t>(a)</w:t>
      </w:r>
      <w:r>
        <w:rPr>
          <w:snapToGrid w:val="0"/>
        </w:rPr>
        <w:tab/>
        <w:t>an order cancelling the registration of the organisation; or</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 xml:space="preserve">an order suspending for a time specified in the order or without limit of time and, in either case, subject to such conditions or exceptions, or both, as the </w:t>
      </w:r>
      <w:r>
        <w:t>Commission in Court Session</w:t>
      </w:r>
      <w:r>
        <w:rPr>
          <w:snapToGrid w:val="0"/>
        </w:rPr>
        <w:t xml:space="preserve"> thinks fit, that registration or those rights.</w:t>
      </w:r>
    </w:p>
    <w:p>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w:t>
      </w:r>
      <w:r>
        <w:t>Commission in Court Session that</w:t>
      </w:r>
      <w:r>
        <w:rPr>
          <w:snapToGrid w:val="0"/>
        </w:rPr>
        <w:t xml:space="preserve"> a number of a group or class of employees who are, or are qualified to be, members of an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 </w:t>
      </w:r>
      <w:r>
        <w:rPr>
          <w:snapToGrid w:val="0"/>
        </w:rPr>
        <w:t xml:space="preserve">the </w:t>
      </w:r>
      <w:r>
        <w:t>Commission in Court Session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keepNext/>
        <w:rPr>
          <w:snapToGrid w:val="0"/>
        </w:rPr>
      </w:pPr>
      <w:r>
        <w:rPr>
          <w:snapToGrid w:val="0"/>
        </w:rPr>
        <w:tab/>
        <w:t>(b)</w:t>
      </w:r>
      <w:r>
        <w:rPr>
          <w:snapToGrid w:val="0"/>
        </w:rPr>
        <w:tab/>
        <w:t>may make an order under subsection (8)(a).</w:t>
      </w:r>
    </w:p>
    <w:p>
      <w:pPr>
        <w:pStyle w:val="Subsection"/>
        <w:keepNext/>
        <w:rPr>
          <w:snapToGrid w:val="0"/>
        </w:rPr>
      </w:pPr>
      <w:r>
        <w:rPr>
          <w:snapToGrid w:val="0"/>
        </w:rPr>
        <w:tab/>
        <w:t>(8)</w:t>
      </w:r>
      <w:r>
        <w:rPr>
          <w:snapToGrid w:val="0"/>
        </w:rPr>
        <w:tab/>
        <w:t xml:space="preserve">For the purposes of subsection (7) and notwithstanding anything in this Act, the orders which the </w:t>
      </w:r>
      <w:r>
        <w:t>Commission in Court Session</w:t>
      </w:r>
      <w:r>
        <w:rPr>
          <w:snapToGrid w:val="0"/>
        </w:rPr>
        <w:t xml:space="preserve"> may make include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lastRenderedPageBreak/>
        <w:tab/>
        <w:t>(9)</w:t>
      </w:r>
      <w:r>
        <w:rPr>
          <w:snapToGrid w:val="0"/>
        </w:rPr>
        <w:tab/>
        <w:t xml:space="preserve">An order made under this section comes into operation and has effect from such date on or after the making of the order as the </w:t>
      </w:r>
      <w:r>
        <w:t>Commission in Court Session</w:t>
      </w:r>
      <w:r>
        <w:rPr>
          <w:snapToGrid w:val="0"/>
        </w:rPr>
        <w:t xml:space="preserve"> may determine and specify therein, but it may be prescribed in the order that the order shall not commence to operate from the date specified therein if, before that date, the organisation satisfies the </w:t>
      </w:r>
      <w:r>
        <w:t>Commission in Court Session</w:t>
      </w:r>
      <w:r>
        <w:rPr>
          <w:snapToGrid w:val="0"/>
        </w:rPr>
        <w:t xml:space="preserve"> that it has complied or is complying with conditions or requisitions made by the </w:t>
      </w:r>
      <w:r>
        <w:t>Commission in Court Session</w:t>
      </w:r>
      <w:r>
        <w:rPr>
          <w:snapToGrid w:val="0"/>
        </w:rPr>
        <w:t xml:space="preserve"> when making the order.</w:t>
      </w:r>
    </w:p>
    <w:p>
      <w:pPr>
        <w:pStyle w:val="Subsection"/>
        <w:rPr>
          <w:snapToGrid w:val="0"/>
        </w:rPr>
      </w:pPr>
      <w:r>
        <w:rPr>
          <w:snapToGrid w:val="0"/>
        </w:rPr>
        <w:tab/>
        <w:t>(10)</w:t>
      </w:r>
      <w:r>
        <w:rPr>
          <w:snapToGrid w:val="0"/>
        </w:rPr>
        <w:tab/>
        <w:t xml:space="preserve">An order made under this section may provide for the cancellation of the registration of an organisation after such period of suspension of rights under this Act as the </w:t>
      </w:r>
      <w:r>
        <w:t>Commission in Court Session considers</w:t>
      </w:r>
      <w:r>
        <w:rPr>
          <w:snapToGrid w:val="0"/>
        </w:rPr>
        <w:t xml:space="preserve"> necessary to enable any debts, liabilities, or obligations incurred by the organisation to be met and the period of suspension under this subsection may be extended </w:t>
      </w:r>
      <w:r>
        <w:t>by the Commission in Court Session</w:t>
      </w:r>
      <w:r>
        <w:rPr>
          <w:snapToGrid w:val="0"/>
        </w:rPr>
        <w:t xml:space="preserve"> to such extent as may </w:t>
      </w:r>
      <w:r>
        <w:t>appear to it</w:t>
      </w:r>
      <w:r>
        <w:rPr>
          <w:snapToGrid w:val="0"/>
        </w:rPr>
        <w:t xml:space="preserve">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keepNext/>
        <w:rPr>
          <w:snapToGrid w:val="0"/>
        </w:rPr>
      </w:pPr>
      <w:r>
        <w:rPr>
          <w:snapToGrid w:val="0"/>
        </w:rPr>
        <w:tab/>
        <w:t>(12)</w:t>
      </w:r>
      <w:r>
        <w:rPr>
          <w:snapToGrid w:val="0"/>
        </w:rPr>
        <w:tab/>
        <w:t xml:space="preserve">The </w:t>
      </w:r>
      <w:r>
        <w:t>Commission in Court Session must</w:t>
      </w:r>
      <w:r>
        <w:rPr>
          <w:snapToGrid w:val="0"/>
        </w:rPr>
        <w:t xml:space="preserve"> cancel the registration of an organisation if it is satisfied on the application of the Registrar that —</w:t>
      </w:r>
    </w:p>
    <w:p>
      <w:pPr>
        <w:pStyle w:val="Indenta"/>
        <w:keepNext/>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lastRenderedPageBreak/>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[Section 73 amended: No. 121 of 1982 s. 23; No. 94 of 1984 s. 44 and 66; No. 119 of 1987 s. 19; No. 15 of 1993 s. 21; No. 3 of 1997 s. 9 and 19; No. 20 of 2002 s. 193(2) and 194(6); No. 53 of 2011 s. 35; No. 39 of 2018 s. 43; amended: Gazette 15 Aug 2003 p. 3686.]</w:t>
      </w:r>
    </w:p>
    <w:p>
      <w:pPr>
        <w:pStyle w:val="Heading3"/>
        <w:spacing w:before="220"/>
        <w:rPr>
          <w:snapToGrid w:val="0"/>
        </w:rPr>
      </w:pPr>
      <w:bookmarkStart w:id="219" w:name="_Toc98505074"/>
      <w:bookmarkStart w:id="220" w:name="_Toc98506773"/>
      <w:bookmarkStart w:id="221" w:name="_Toc98507936"/>
      <w:bookmarkStart w:id="222" w:name="_Toc98769991"/>
      <w:r>
        <w:rPr>
          <w:rStyle w:val="CharDivNo"/>
        </w:rPr>
        <w:t>Division 5</w:t>
      </w:r>
      <w:r>
        <w:rPr>
          <w:snapToGrid w:val="0"/>
        </w:rPr>
        <w:t> — </w:t>
      </w:r>
      <w:r>
        <w:rPr>
          <w:rStyle w:val="CharDivText"/>
        </w:rPr>
        <w:t>Duties of officers of organisations</w:t>
      </w:r>
      <w:bookmarkEnd w:id="219"/>
      <w:bookmarkEnd w:id="220"/>
      <w:bookmarkEnd w:id="221"/>
      <w:bookmarkEnd w:id="222"/>
    </w:p>
    <w:p>
      <w:pPr>
        <w:pStyle w:val="Footnoteheading"/>
        <w:keepNext/>
      </w:pPr>
      <w:r>
        <w:tab/>
        <w:t>[Heading inserted: No. 79 of 1995 s. 8(1); amended: No. 3 of 1997 s. 4; No. 20 of 2002 s. 192(1).]</w:t>
      </w:r>
    </w:p>
    <w:p>
      <w:pPr>
        <w:pStyle w:val="Heading5"/>
        <w:rPr>
          <w:snapToGrid w:val="0"/>
        </w:rPr>
      </w:pPr>
      <w:bookmarkStart w:id="223" w:name="_Toc98769992"/>
      <w:r>
        <w:rPr>
          <w:rStyle w:val="CharSectno"/>
        </w:rPr>
        <w:t>74</w:t>
      </w:r>
      <w:r>
        <w:rPr>
          <w:snapToGrid w:val="0"/>
        </w:rPr>
        <w:t>.</w:t>
      </w:r>
      <w:r>
        <w:rPr>
          <w:snapToGrid w:val="0"/>
        </w:rPr>
        <w:tab/>
        <w:t>Finance official’s duties</w:t>
      </w:r>
      <w:bookmarkEnd w:id="223"/>
    </w:p>
    <w:p>
      <w:pPr>
        <w:pStyle w:val="Subsection"/>
        <w:keepNext/>
        <w:rPr>
          <w:snapToGrid w:val="0"/>
        </w:rPr>
      </w:pPr>
      <w:r>
        <w:rPr>
          <w:snapToGrid w:val="0"/>
        </w:rPr>
        <w:tab/>
        <w:t>(1)</w:t>
      </w:r>
      <w:r>
        <w:rPr>
          <w:snapToGrid w:val="0"/>
        </w:rPr>
        <w:tab/>
        <w:t>In this section and in section 77 —</w:t>
      </w:r>
    </w:p>
    <w:p>
      <w:pPr>
        <w:pStyle w:val="Defstart"/>
        <w:keepNex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lastRenderedPageBreak/>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 xml:space="preserve">A finance official of an organisation is to provide the committee of management of the organisation with returns of the finance </w:t>
      </w:r>
      <w:r>
        <w:rPr>
          <w:snapToGrid w:val="0"/>
        </w:rPr>
        <w:lastRenderedPageBreak/>
        <w:t>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[Section 74 inserted: No. 79 of 1995 s. 8(1); amended: No. 3 of 1997 s. 5; No. 20 of 2002 s. 192(2).]</w:t>
      </w:r>
    </w:p>
    <w:p>
      <w:pPr>
        <w:pStyle w:val="Heading5"/>
        <w:keepLines w:val="0"/>
        <w:rPr>
          <w:snapToGrid w:val="0"/>
        </w:rPr>
      </w:pPr>
      <w:bookmarkStart w:id="224" w:name="_Toc98769993"/>
      <w:r>
        <w:rPr>
          <w:rStyle w:val="CharSectno"/>
        </w:rPr>
        <w:t>75</w:t>
      </w:r>
      <w:r>
        <w:rPr>
          <w:snapToGrid w:val="0"/>
        </w:rPr>
        <w:t>.</w:t>
      </w:r>
      <w:r>
        <w:rPr>
          <w:snapToGrid w:val="0"/>
        </w:rPr>
        <w:tab/>
        <w:t>Auditor to report on compliance with s. 74 duties</w:t>
      </w:r>
      <w:bookmarkEnd w:id="224"/>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spacing w:before="100"/>
        <w:ind w:left="890" w:hanging="890"/>
      </w:pPr>
      <w:r>
        <w:tab/>
        <w:t>[Section 75 inserted: No. 79 of 1995 s. 8(1).]</w:t>
      </w:r>
    </w:p>
    <w:p>
      <w:pPr>
        <w:pStyle w:val="Ednotesection"/>
      </w:pPr>
      <w:r>
        <w:t>[</w:t>
      </w:r>
      <w:r>
        <w:rPr>
          <w:b/>
        </w:rPr>
        <w:t>76.</w:t>
      </w:r>
      <w:r>
        <w:tab/>
        <w:t>Deleted: No. 39 of 2018 s. 44.]</w:t>
      </w:r>
    </w:p>
    <w:p>
      <w:pPr>
        <w:pStyle w:val="Heading5"/>
        <w:rPr>
          <w:snapToGrid w:val="0"/>
        </w:rPr>
      </w:pPr>
      <w:bookmarkStart w:id="225" w:name="_Toc98769994"/>
      <w:r>
        <w:rPr>
          <w:rStyle w:val="CharSectno"/>
        </w:rPr>
        <w:t>77</w:t>
      </w:r>
      <w:r>
        <w:rPr>
          <w:snapToGrid w:val="0"/>
        </w:rPr>
        <w:t>.</w:t>
      </w:r>
      <w:r>
        <w:rPr>
          <w:snapToGrid w:val="0"/>
        </w:rPr>
        <w:tab/>
        <w:t>Duty under s. 74, enforcing</w:t>
      </w:r>
      <w:bookmarkEnd w:id="225"/>
    </w:p>
    <w:p>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pPr>
        <w:pStyle w:val="Indenta"/>
        <w:spacing w:before="60"/>
        <w:rPr>
          <w:snapToGrid w:val="0"/>
        </w:rPr>
      </w:pPr>
      <w:r>
        <w:rPr>
          <w:snapToGrid w:val="0"/>
        </w:rPr>
        <w:tab/>
        <w:t>(a)</w:t>
      </w:r>
      <w:r>
        <w:rPr>
          <w:snapToGrid w:val="0"/>
        </w:rPr>
        <w:tab/>
        <w:t>the organisation; or</w:t>
      </w:r>
    </w:p>
    <w:p>
      <w:pPr>
        <w:pStyle w:val="Indenta"/>
        <w:spacing w:before="60"/>
        <w:rPr>
          <w:snapToGrid w:val="0"/>
        </w:rPr>
      </w:pPr>
      <w:r>
        <w:rPr>
          <w:snapToGrid w:val="0"/>
        </w:rPr>
        <w:tab/>
        <w:t>(b)</w:t>
      </w:r>
      <w:r>
        <w:rPr>
          <w:snapToGrid w:val="0"/>
        </w:rPr>
        <w:tab/>
        <w:t>an officer of the organisation; or</w:t>
      </w:r>
    </w:p>
    <w:p>
      <w:pPr>
        <w:pStyle w:val="Indenta"/>
        <w:spacing w:before="60"/>
        <w:rPr>
          <w:snapToGrid w:val="0"/>
        </w:rPr>
      </w:pPr>
      <w:r>
        <w:rPr>
          <w:snapToGrid w:val="0"/>
        </w:rPr>
        <w:tab/>
        <w:t>(c)</w:t>
      </w:r>
      <w:r>
        <w:rPr>
          <w:snapToGrid w:val="0"/>
        </w:rPr>
        <w:tab/>
        <w:t>a member of the organisation; or</w:t>
      </w:r>
    </w:p>
    <w:p>
      <w:pPr>
        <w:pStyle w:val="Indenta"/>
        <w:spacing w:before="60"/>
        <w:rPr>
          <w:snapToGrid w:val="0"/>
        </w:rPr>
      </w:pPr>
      <w:r>
        <w:rPr>
          <w:snapToGrid w:val="0"/>
        </w:rPr>
        <w:lastRenderedPageBreak/>
        <w:tab/>
        <w:t>(d)</w:t>
      </w:r>
      <w:r>
        <w:rPr>
          <w:snapToGrid w:val="0"/>
        </w:rPr>
        <w:tab/>
        <w:t>the Registrar or a deputy registrar; or</w:t>
      </w:r>
    </w:p>
    <w:p>
      <w:pPr>
        <w:pStyle w:val="Indenta"/>
        <w:spacing w:before="60"/>
        <w:rPr>
          <w:snapToGrid w:val="0"/>
        </w:rPr>
      </w:pPr>
      <w:r>
        <w:rPr>
          <w:snapToGrid w:val="0"/>
        </w:rPr>
        <w:tab/>
        <w:t>(e)</w:t>
      </w:r>
      <w:r>
        <w:rPr>
          <w:snapToGrid w:val="0"/>
        </w:rPr>
        <w:tab/>
        <w:t>an industrial inspector,</w:t>
      </w:r>
    </w:p>
    <w:p>
      <w:pPr>
        <w:pStyle w:val="Subsection"/>
        <w:spacing w:before="120"/>
        <w:rPr>
          <w:snapToGrid w:val="0"/>
        </w:rPr>
      </w:pPr>
      <w:r>
        <w:rPr>
          <w:snapToGrid w:val="0"/>
        </w:rPr>
        <w:tab/>
      </w:r>
      <w:r>
        <w:rPr>
          <w:snapToGrid w:val="0"/>
        </w:rPr>
        <w:tab/>
        <w:t>may apply in the prescribed manner to an industrial magistrate’s court for the enforcement of section 74.</w:t>
      </w:r>
    </w:p>
    <w:p>
      <w:pPr>
        <w:pStyle w:val="Subsection"/>
        <w:spacing w:before="120"/>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rPr>
          <w:snapToGrid w:val="0"/>
        </w:rPr>
      </w:pPr>
      <w:r>
        <w:rPr>
          <w:snapToGrid w:val="0"/>
        </w:rPr>
        <w:tab/>
        <w:t>(4)</w:t>
      </w:r>
      <w:r>
        <w:rPr>
          <w:snapToGrid w:val="0"/>
        </w:rPr>
        <w:tab/>
        <w:t>The industrial magistrate’s court may, by order, dismiss an application under subsection (1).</w:t>
      </w:r>
    </w:p>
    <w:p>
      <w:pPr>
        <w:pStyle w:val="Subsection"/>
        <w:rPr>
          <w:snapToGrid w:val="0"/>
        </w:rPr>
      </w:pPr>
      <w:r>
        <w:rPr>
          <w:snapToGrid w:val="0"/>
        </w:rPr>
        <w:tab/>
        <w:t>(5)</w:t>
      </w:r>
      <w:r>
        <w:rPr>
          <w:snapToGrid w:val="0"/>
        </w:rPr>
        <w:tab/>
        <w:t>Subject to subsection (6) an order under subsection (2) or (4) may be made with or without costs.</w:t>
      </w:r>
    </w:p>
    <w:p>
      <w:pPr>
        <w:pStyle w:val="Subsection"/>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rPr>
          <w:rFonts w:ascii="Times" w:hAnsi="Times"/>
          <w:snapToGrid w:val="0"/>
        </w:rPr>
      </w:pPr>
      <w:r>
        <w:rPr>
          <w:snapToGrid w:val="0"/>
        </w:rPr>
        <w:lastRenderedPageBreak/>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[Section 77 inserted: No. 79 of 1995 s. 8(1); amended: No. 3 of 1997 s. 6.]</w:t>
      </w:r>
    </w:p>
    <w:p>
      <w:pPr>
        <w:pStyle w:val="Heading5"/>
        <w:rPr>
          <w:snapToGrid w:val="0"/>
        </w:rPr>
      </w:pPr>
      <w:bookmarkStart w:id="226" w:name="_Toc98769995"/>
      <w:r>
        <w:rPr>
          <w:rStyle w:val="CharSectno"/>
        </w:rPr>
        <w:t>78</w:t>
      </w:r>
      <w:r>
        <w:rPr>
          <w:snapToGrid w:val="0"/>
        </w:rPr>
        <w:t>.</w:t>
      </w:r>
      <w:r>
        <w:rPr>
          <w:snapToGrid w:val="0"/>
        </w:rPr>
        <w:tab/>
        <w:t>Failure to comply with s. 77(2)(e) order</w:t>
      </w:r>
      <w:bookmarkEnd w:id="226"/>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ind w:left="890" w:hanging="890"/>
      </w:pPr>
      <w:r>
        <w:tab/>
        <w:t>[Section 78 inserted: No. 3 of 1997 s. 7.]</w:t>
      </w:r>
    </w:p>
    <w:p>
      <w:pPr>
        <w:pStyle w:val="Heading5"/>
        <w:rPr>
          <w:snapToGrid w:val="0"/>
        </w:rPr>
      </w:pPr>
      <w:bookmarkStart w:id="227" w:name="_Toc98769996"/>
      <w:r>
        <w:rPr>
          <w:rStyle w:val="CharSectno"/>
        </w:rPr>
        <w:t>79</w:t>
      </w:r>
      <w:r>
        <w:rPr>
          <w:snapToGrid w:val="0"/>
        </w:rPr>
        <w:t>.</w:t>
      </w:r>
      <w:r>
        <w:rPr>
          <w:snapToGrid w:val="0"/>
        </w:rPr>
        <w:tab/>
        <w:t>Proceedings under s. 77, effect on or of other proceedings</w:t>
      </w:r>
      <w:bookmarkEnd w:id="227"/>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 xml:space="preserve">Where a matter that a court has jurisdiction to determine in civil proceedings is before an industrial magistrate’s court, the </w:t>
      </w:r>
      <w:r>
        <w:rPr>
          <w:snapToGrid w:val="0"/>
        </w:rPr>
        <w:lastRenderedPageBreak/>
        <w:t>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[Section 79 inserted: No. 3 of 1997 s. 7.]</w:t>
      </w:r>
    </w:p>
    <w:p>
      <w:pPr>
        <w:pStyle w:val="Heading5"/>
        <w:rPr>
          <w:snapToGrid w:val="0"/>
        </w:rPr>
      </w:pPr>
      <w:bookmarkStart w:id="228" w:name="_Toc98769997"/>
      <w:r>
        <w:rPr>
          <w:rStyle w:val="CharSectno"/>
        </w:rPr>
        <w:t>80</w:t>
      </w:r>
      <w:r>
        <w:rPr>
          <w:snapToGrid w:val="0"/>
        </w:rPr>
        <w:t>.</w:t>
      </w:r>
      <w:r>
        <w:rPr>
          <w:snapToGrid w:val="0"/>
        </w:rPr>
        <w:tab/>
        <w:t>Disqualification from office for breach of s. 74 duty</w:t>
      </w:r>
      <w:bookmarkEnd w:id="228"/>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lastRenderedPageBreak/>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No. 3 of 1997 s. 7.]</w:t>
      </w:r>
    </w:p>
    <w:p>
      <w:pPr>
        <w:pStyle w:val="Heading2"/>
      </w:pPr>
      <w:bookmarkStart w:id="229" w:name="_Toc98505081"/>
      <w:bookmarkStart w:id="230" w:name="_Toc98506780"/>
      <w:bookmarkStart w:id="231" w:name="_Toc98507943"/>
      <w:bookmarkStart w:id="232" w:name="_Toc98769998"/>
      <w:r>
        <w:rPr>
          <w:rStyle w:val="CharPartNo"/>
        </w:rPr>
        <w:lastRenderedPageBreak/>
        <w:t>Part IIA</w:t>
      </w:r>
      <w:r>
        <w:t> — </w:t>
      </w:r>
      <w:r>
        <w:rPr>
          <w:rStyle w:val="CharPartText"/>
        </w:rPr>
        <w:t>Constituent authorities</w:t>
      </w:r>
      <w:bookmarkEnd w:id="229"/>
      <w:bookmarkEnd w:id="230"/>
      <w:bookmarkEnd w:id="231"/>
      <w:bookmarkEnd w:id="232"/>
    </w:p>
    <w:p>
      <w:pPr>
        <w:pStyle w:val="Footnoteheading"/>
        <w:rPr>
          <w:snapToGrid w:val="0"/>
        </w:rPr>
      </w:pPr>
      <w:r>
        <w:rPr>
          <w:snapToGrid w:val="0"/>
        </w:rPr>
        <w:tab/>
        <w:t>[Heading inserted: No. 94 of 1984 s. 47.]</w:t>
      </w:r>
    </w:p>
    <w:p>
      <w:pPr>
        <w:pStyle w:val="Ednotedivision"/>
      </w:pPr>
      <w:r>
        <w:t>[Division 1 (s. 73A, 80A, 80B) deleted: No. 1 of 1995 s. 10.]</w:t>
      </w:r>
    </w:p>
    <w:p>
      <w:pPr>
        <w:pStyle w:val="Heading3"/>
      </w:pPr>
      <w:bookmarkStart w:id="233" w:name="_Toc98505082"/>
      <w:bookmarkStart w:id="234" w:name="_Toc98506781"/>
      <w:bookmarkStart w:id="235" w:name="_Toc98507944"/>
      <w:bookmarkStart w:id="236" w:name="_Toc98769999"/>
      <w:r>
        <w:rPr>
          <w:rStyle w:val="CharDivNo"/>
        </w:rPr>
        <w:t>Division 2</w:t>
      </w:r>
      <w:r>
        <w:rPr>
          <w:snapToGrid w:val="0"/>
        </w:rPr>
        <w:t> — </w:t>
      </w:r>
      <w:r>
        <w:rPr>
          <w:rStyle w:val="CharDivText"/>
        </w:rPr>
        <w:t>Public service arbitrator and appeal boards</w:t>
      </w:r>
      <w:bookmarkEnd w:id="233"/>
      <w:bookmarkEnd w:id="234"/>
      <w:bookmarkEnd w:id="235"/>
      <w:bookmarkEnd w:id="236"/>
    </w:p>
    <w:p>
      <w:pPr>
        <w:pStyle w:val="Footnoteheading"/>
        <w:rPr>
          <w:snapToGrid w:val="0"/>
        </w:rPr>
      </w:pPr>
      <w:r>
        <w:rPr>
          <w:snapToGrid w:val="0"/>
        </w:rPr>
        <w:tab/>
        <w:t>[Heading inserted: No. 94 of 1984 s. 47.]</w:t>
      </w:r>
    </w:p>
    <w:p>
      <w:pPr>
        <w:pStyle w:val="Heading5"/>
        <w:rPr>
          <w:snapToGrid w:val="0"/>
        </w:rPr>
      </w:pPr>
      <w:bookmarkStart w:id="237" w:name="_Toc98770000"/>
      <w:r>
        <w:rPr>
          <w:rStyle w:val="CharSectno"/>
        </w:rPr>
        <w:t>80C</w:t>
      </w:r>
      <w:r>
        <w:rPr>
          <w:snapToGrid w:val="0"/>
        </w:rPr>
        <w:t>.</w:t>
      </w:r>
      <w:r>
        <w:rPr>
          <w:snapToGrid w:val="0"/>
        </w:rPr>
        <w:tab/>
        <w:t>Terms used and construction and application of Division</w:t>
      </w:r>
      <w:bookmarkEnd w:id="237"/>
    </w:p>
    <w:p>
      <w:pPr>
        <w:pStyle w:val="Subsection"/>
        <w:rPr>
          <w:snapToGrid w:val="0"/>
        </w:rPr>
      </w:pPr>
      <w:r>
        <w:rPr>
          <w:snapToGrid w:val="0"/>
        </w:rPr>
        <w:tab/>
        <w:t>(1)</w:t>
      </w:r>
      <w:r>
        <w:rPr>
          <w:snapToGrid w:val="0"/>
        </w:rPr>
        <w:tab/>
        <w:t>For the purposes of this Division, unless the contrary intention appears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w:t>
      </w:r>
    </w:p>
    <w:p>
      <w:pPr>
        <w:pStyle w:val="Defpara"/>
      </w:pPr>
      <w:r>
        <w:tab/>
        <w:t>(a)</w:t>
      </w:r>
      <w:r>
        <w:tab/>
        <w:t>in relation to a government officer who is a public service officer, means the employing authority of that public service officer; and</w:t>
      </w:r>
    </w:p>
    <w:p>
      <w:pPr>
        <w:pStyle w:val="Defpara"/>
      </w:pPr>
      <w:r>
        <w:tab/>
        <w:t>(aa)</w:t>
      </w:r>
      <w:r>
        <w:tab/>
        <w:t xml:space="preserve">in relation to a government officer who is an employee within the meaning of the </w:t>
      </w:r>
      <w:r>
        <w:rPr>
          <w:i/>
        </w:rPr>
        <w:t>Health Services Act 2016</w:t>
      </w:r>
      <w:r>
        <w:t xml:space="preserve"> section 6, means the employing authority of the employee; and</w:t>
      </w:r>
    </w:p>
    <w:p>
      <w:pPr>
        <w:pStyle w:val="Defpara"/>
      </w:pPr>
      <w:r>
        <w:tab/>
        <w:t>(b)</w:t>
      </w:r>
      <w:r>
        <w:tab/>
        <w:t>in relation to any other government officer, means the public authority by whom or by which that government officer is employed;</w:t>
      </w:r>
    </w:p>
    <w:p>
      <w:pPr>
        <w:pStyle w:val="Defstart"/>
      </w:pPr>
      <w:r>
        <w:tab/>
      </w:r>
      <w:r>
        <w:rPr>
          <w:rStyle w:val="CharDefText"/>
        </w:rPr>
        <w:t>employing authority</w:t>
      </w:r>
      <w:r>
        <w:t xml:space="preserve"> means — </w:t>
      </w:r>
    </w:p>
    <w:p>
      <w:pPr>
        <w:pStyle w:val="Defpara"/>
      </w:pPr>
      <w:r>
        <w:tab/>
        <w:t>(a)</w:t>
      </w:r>
      <w:r>
        <w:tab/>
        <w:t xml:space="preserve">in relation to a government officer who is an employee within the meaning of the </w:t>
      </w:r>
      <w:r>
        <w:rPr>
          <w:i/>
        </w:rPr>
        <w:t>Health Services Act 2016</w:t>
      </w:r>
      <w:r>
        <w:t xml:space="preserve"> section 6, an employing authority within the meaning of section 103 of that Act;</w:t>
      </w:r>
    </w:p>
    <w:p>
      <w:pPr>
        <w:pStyle w:val="Defpara"/>
      </w:pPr>
      <w:r>
        <w:lastRenderedPageBreak/>
        <w:tab/>
        <w:t>(b)</w:t>
      </w:r>
      <w:r>
        <w:tab/>
        <w:t xml:space="preserve">in relation to any other government officer, an employing authority within the meaning of the </w:t>
      </w:r>
      <w:r>
        <w:rPr>
          <w:i/>
        </w:rPr>
        <w:t>Public Sector Management Act 1994</w:t>
      </w:r>
      <w:r>
        <w:t xml:space="preserve"> section 5;</w:t>
      </w:r>
    </w:p>
    <w:p>
      <w:pPr>
        <w:pStyle w:val="Defstart"/>
      </w:pPr>
      <w:r>
        <w:rPr>
          <w:b/>
        </w:rPr>
        <w:tab/>
      </w:r>
      <w:r>
        <w:rPr>
          <w:rStyle w:val="CharDefText"/>
        </w:rPr>
        <w:t>government officer</w:t>
      </w:r>
      <w:r>
        <w:t xml:space="preserve"> means —</w:t>
      </w:r>
    </w:p>
    <w:p>
      <w:pPr>
        <w:pStyle w:val="Defpara"/>
      </w:pPr>
      <w:r>
        <w:tab/>
        <w:t>(a)</w:t>
      </w:r>
      <w:r>
        <w:tab/>
        <w:t>every public service officer; and</w:t>
      </w:r>
    </w:p>
    <w:p>
      <w:pPr>
        <w:pStyle w:val="Defpara"/>
      </w:pPr>
      <w:r>
        <w:tab/>
        <w:t>(aa)</w:t>
      </w:r>
      <w:r>
        <w:tab/>
        <w:t xml:space="preserve">each member of the Governor’s Establishment within the meaning of the </w:t>
      </w:r>
      <w:r>
        <w:rPr>
          <w:i/>
        </w:rPr>
        <w:t>Governor’s Establishment Act 1992</w:t>
      </w:r>
      <w:r>
        <w:t>; and</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 and</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t>,</w:t>
      </w:r>
    </w:p>
    <w:p>
      <w:pPr>
        <w:pStyle w:val="Defstart"/>
      </w:pPr>
      <w:r>
        <w:tab/>
        <w:t>but does not include —</w:t>
      </w:r>
    </w:p>
    <w:p>
      <w:pPr>
        <w:pStyle w:val="Defpara"/>
      </w:pPr>
      <w:r>
        <w:tab/>
        <w:t>(d)</w:t>
      </w:r>
      <w:r>
        <w:tab/>
        <w:t>any teacher; or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w:t>
      </w:r>
    </w:p>
    <w:p>
      <w:pPr>
        <w:pStyle w:val="Defpara"/>
      </w:pPr>
      <w:r>
        <w:tab/>
        <w:t>(a)</w:t>
      </w:r>
      <w:r>
        <w:tab/>
        <w:t xml:space="preserve">any person employed as a member of the teaching staff under section 235(1)(b) of the </w:t>
      </w:r>
      <w:r>
        <w:rPr>
          <w:i/>
        </w:rPr>
        <w:t>School Education Act 1999</w:t>
      </w:r>
      <w:r>
        <w:t>;</w:t>
      </w:r>
    </w:p>
    <w:p>
      <w:pPr>
        <w:pStyle w:val="Defpara"/>
        <w:keepNext/>
      </w:pPr>
      <w:r>
        <w:tab/>
        <w:t>(b)</w:t>
      </w:r>
      <w:r>
        <w:tab/>
        <w:t xml:space="preserve">any person who is a member of the teaching staff or another person appointed under section 236(2) and who </w:t>
      </w:r>
      <w:r>
        <w:lastRenderedPageBreak/>
        <w:t xml:space="preserve">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w:t>
      </w:r>
      <w:r>
        <w:rPr>
          <w:i/>
        </w:rPr>
        <w:t>1994</w:t>
      </w:r>
      <w:r>
        <w:t xml:space="preserve"> and the </w:t>
      </w:r>
      <w:r>
        <w:rPr>
          <w:i/>
        </w:rPr>
        <w:t>Health Services Act 2016</w:t>
      </w:r>
      <w:r>
        <w:t>.</w:t>
      </w:r>
    </w:p>
    <w:p>
      <w:pPr>
        <w:pStyle w:val="Subsection"/>
        <w:keepNext/>
        <w:rPr>
          <w:snapToGrid w:val="0"/>
        </w:rPr>
      </w:pPr>
      <w:r>
        <w:rPr>
          <w:snapToGrid w:val="0"/>
        </w:rPr>
        <w:tab/>
        <w:t>(3)</w:t>
      </w:r>
      <w:r>
        <w:rPr>
          <w:snapToGrid w:val="0"/>
        </w:rPr>
        <w:tab/>
        <w:t>Sections 80E and 80F do not apply to a government officer if and when he occupies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[Section 80C inserted: No. 94 of 1984 s. 47; amended: No. 40 of 1992 s. 9(1); No. 32 of 1994 s. 14; No. 103 of 1994 s. 18; No. 1 of 1995 s. 11; No. 79 of 1995 s. 36; No. 36 of 1999 s. 247; No. 11 of 2016 s. 295(3)-(5).]</w:t>
      </w:r>
    </w:p>
    <w:p>
      <w:pPr>
        <w:pStyle w:val="Heading5"/>
        <w:pageBreakBefore/>
        <w:spacing w:before="0"/>
        <w:rPr>
          <w:snapToGrid w:val="0"/>
        </w:rPr>
      </w:pPr>
      <w:bookmarkStart w:id="238" w:name="_Toc98770001"/>
      <w:r>
        <w:rPr>
          <w:rStyle w:val="CharSectno"/>
        </w:rPr>
        <w:lastRenderedPageBreak/>
        <w:t>80D</w:t>
      </w:r>
      <w:r>
        <w:rPr>
          <w:snapToGrid w:val="0"/>
        </w:rPr>
        <w:t>.</w:t>
      </w:r>
      <w:r>
        <w:rPr>
          <w:snapToGrid w:val="0"/>
        </w:rPr>
        <w:tab/>
        <w:t>Public service arbitrators, appointment of etc.</w:t>
      </w:r>
      <w:bookmarkEnd w:id="238"/>
    </w:p>
    <w:p>
      <w:pPr>
        <w:pStyle w:val="Subsection"/>
      </w:pPr>
      <w:r>
        <w:tab/>
        <w:t>(1)</w:t>
      </w:r>
      <w:r>
        <w:tab/>
        <w:t xml:space="preserve">The Chief Commissioner — </w:t>
      </w:r>
    </w:p>
    <w:p>
      <w:pPr>
        <w:pStyle w:val="Indenta"/>
      </w:pPr>
      <w:r>
        <w:tab/>
        <w:t>(a)</w:t>
      </w:r>
      <w:r>
        <w:tab/>
        <w:t>must appoint 1 commissioner as a public service arbitrator within the Commission; and</w:t>
      </w:r>
    </w:p>
    <w:p>
      <w:pPr>
        <w:pStyle w:val="Indenta"/>
      </w:pPr>
      <w:r>
        <w:tab/>
        <w:t>(b)</w:t>
      </w:r>
      <w:r>
        <w:tab/>
        <w:t>may appoint 1 or more commissioners as additional public service arbitrators within the Commission.</w:t>
      </w:r>
    </w:p>
    <w:p>
      <w:pPr>
        <w:pStyle w:val="Subsection"/>
      </w:pPr>
      <w:r>
        <w:tab/>
        <w:t>(2)</w:t>
      </w:r>
      <w:r>
        <w:tab/>
        <w:t>Without limiting subsection (1), the Chief Commissioner may be appointed as a public service arbitrator under that subsection.</w:t>
      </w:r>
    </w:p>
    <w:p>
      <w:pPr>
        <w:pStyle w:val="Ednotesubsection"/>
      </w:pPr>
      <w:r>
        <w:tab/>
        <w:t>[(3)</w:t>
      </w:r>
      <w:r>
        <w:tab/>
        <w:t>deleted]</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[Section 80D inserted: No. 94 of 1984 s. 47; amended: No. 39 of 2018 s. 45.]</w:t>
      </w:r>
    </w:p>
    <w:p>
      <w:pPr>
        <w:pStyle w:val="Heading5"/>
        <w:rPr>
          <w:snapToGrid w:val="0"/>
        </w:rPr>
      </w:pPr>
      <w:bookmarkStart w:id="239" w:name="_Toc98770002"/>
      <w:r>
        <w:rPr>
          <w:rStyle w:val="CharSectno"/>
        </w:rPr>
        <w:t>80E</w:t>
      </w:r>
      <w:r>
        <w:rPr>
          <w:snapToGrid w:val="0"/>
        </w:rPr>
        <w:t xml:space="preserve">. </w:t>
      </w:r>
      <w:r>
        <w:rPr>
          <w:snapToGrid w:val="0"/>
        </w:rPr>
        <w:tab/>
        <w:t>Jurisdiction of Arbitrator</w:t>
      </w:r>
      <w:bookmarkEnd w:id="239"/>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w:t>
      </w:r>
    </w:p>
    <w:p>
      <w:pPr>
        <w:pStyle w:val="Indenta"/>
        <w:rPr>
          <w:snapToGrid w:val="0"/>
        </w:rPr>
      </w:pPr>
      <w:r>
        <w:rPr>
          <w:snapToGrid w:val="0"/>
        </w:rPr>
        <w:tab/>
        <w:t>(a)</w:t>
      </w:r>
      <w:r>
        <w:rPr>
          <w:snapToGrid w:val="0"/>
        </w:rPr>
        <w:tab/>
        <w:t xml:space="preserve">a claim in respect of the salary, range of salary or title allocated to the office occupied by a government officer </w:t>
      </w:r>
      <w:r>
        <w:rPr>
          <w:snapToGrid w:val="0"/>
        </w:rPr>
        <w:lastRenderedPageBreak/>
        <w:t>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An Arbitrator also has the jurisdiction conferred on an Arbitrator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pPr>
      <w:r>
        <w:tab/>
        <w:t>(4)</w:t>
      </w:r>
      <w:r>
        <w:tab/>
        <w:t>The jurisdiction referred to in subsection (3) is to be exercised in accordance with the relevant provisions of Part VID, and the provisions of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w:t>
      </w:r>
    </w:p>
    <w:p>
      <w:pPr>
        <w:pStyle w:val="Indenta"/>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lastRenderedPageBreak/>
        <w:tab/>
        <w:t>(ii)</w:t>
      </w:r>
      <w:r>
        <w:tab/>
        <w:t>any question of interpretation of the rules of an organisation arising in a matter before the Arbitrator;</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Arbitrator, other than a question of interpretation of the rules of an organisation,</w:t>
      </w:r>
    </w:p>
    <w:p>
      <w:pPr>
        <w:pStyle w:val="Subsection"/>
        <w:spacing w:before="120"/>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spacing w:before="120"/>
      </w:pPr>
      <w:r>
        <w:tab/>
        <w:t>(7)</w:t>
      </w:r>
      <w:r>
        <w:tab/>
        <w:t xml:space="preserve">Despite </w:t>
      </w:r>
      <w:r>
        <w:rPr>
          <w:snapToGrid w:val="0"/>
        </w:rPr>
        <w:t>subsections</w:t>
      </w:r>
      <w:r>
        <w:t xml:space="preserve"> (1) and (6), an Arbitrator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ind w:left="890" w:hanging="890"/>
      </w:pPr>
      <w:r>
        <w:tab/>
        <w:t>[Section 80E inserted: No. 94 of 1984 s. 47; amended: No. 99 of 1990 s. 12; No. 1 of 1995 s. 28; No. 20 of 2002 s. 9; No. 8 of 2014 s. 5; No. 39 of 2018 s. 46.]</w:t>
      </w:r>
    </w:p>
    <w:p>
      <w:pPr>
        <w:pStyle w:val="Heading5"/>
        <w:rPr>
          <w:snapToGrid w:val="0"/>
        </w:rPr>
      </w:pPr>
      <w:bookmarkStart w:id="240" w:name="_Toc98770003"/>
      <w:r>
        <w:rPr>
          <w:rStyle w:val="CharSectno"/>
        </w:rPr>
        <w:t>80F</w:t>
      </w:r>
      <w:r>
        <w:rPr>
          <w:snapToGrid w:val="0"/>
        </w:rPr>
        <w:t>.</w:t>
      </w:r>
      <w:r>
        <w:rPr>
          <w:snapToGrid w:val="0"/>
        </w:rPr>
        <w:tab/>
        <w:t>Who may refer matters to Arbitrator</w:t>
      </w:r>
      <w:bookmarkEnd w:id="240"/>
    </w:p>
    <w:p>
      <w:pPr>
        <w:pStyle w:val="Subsection"/>
        <w:spacing w:before="120"/>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spacing w:before="120"/>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spacing w:before="120"/>
        <w:rPr>
          <w:snapToGrid w:val="0"/>
        </w:rPr>
      </w:pPr>
      <w:r>
        <w:rPr>
          <w:snapToGrid w:val="0"/>
        </w:rPr>
        <w:lastRenderedPageBreak/>
        <w:tab/>
        <w:t>(3)</w:t>
      </w:r>
      <w:r>
        <w:rPr>
          <w:snapToGrid w:val="0"/>
        </w:rPr>
        <w:tab/>
        <w:t>A claim mentioned in section 80E(2)(b) may be referred to an Arbitrator by an organisation or an employer.</w:t>
      </w:r>
    </w:p>
    <w:p>
      <w:pPr>
        <w:pStyle w:val="Subsection"/>
        <w:spacing w:before="120"/>
      </w:pPr>
      <w:r>
        <w:tab/>
        <w:t>(4)</w:t>
      </w:r>
      <w:r>
        <w:tab/>
        <w:t xml:space="preserve">A government </w:t>
      </w:r>
      <w:r>
        <w:rPr>
          <w:snapToGrid w:val="0"/>
        </w:rPr>
        <w:t>officer</w:t>
      </w:r>
      <w:r>
        <w:t xml:space="preserve"> who is an employee under an employer</w:t>
      </w:r>
      <w:r>
        <w:noBreakHyphen/>
        <w:t>employee agreement may refer to an Arbitrator where an Arbitrator is the relevant industrial authority under Part VID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[Section 80F inserted: No. 94 of 1984 s. 47; amended: No. 20 of 2002 s. 10.]</w:t>
      </w:r>
    </w:p>
    <w:p>
      <w:pPr>
        <w:pStyle w:val="Heading5"/>
        <w:rPr>
          <w:snapToGrid w:val="0"/>
        </w:rPr>
      </w:pPr>
      <w:bookmarkStart w:id="241" w:name="_Toc98770004"/>
      <w:r>
        <w:rPr>
          <w:rStyle w:val="CharSectno"/>
        </w:rPr>
        <w:t>80G</w:t>
      </w:r>
      <w:r>
        <w:rPr>
          <w:snapToGrid w:val="0"/>
        </w:rPr>
        <w:t xml:space="preserve">. </w:t>
      </w:r>
      <w:r>
        <w:rPr>
          <w:snapToGrid w:val="0"/>
        </w:rPr>
        <w:tab/>
        <w:t>Part II Div. 2 to 2G, application of</w:t>
      </w:r>
      <w:bookmarkEnd w:id="241"/>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[Section 80G inserted: No. 94 of 1984 s. 47; amended: No. 20 of 2002 s. 121(4).]</w:t>
      </w:r>
    </w:p>
    <w:p>
      <w:pPr>
        <w:pStyle w:val="Heading5"/>
        <w:rPr>
          <w:snapToGrid w:val="0"/>
        </w:rPr>
      </w:pPr>
      <w:bookmarkStart w:id="242" w:name="_Toc98770005"/>
      <w:r>
        <w:rPr>
          <w:rStyle w:val="CharSectno"/>
        </w:rPr>
        <w:t>80H</w:t>
      </w:r>
      <w:r>
        <w:rPr>
          <w:snapToGrid w:val="0"/>
        </w:rPr>
        <w:t>.</w:t>
      </w:r>
      <w:r>
        <w:rPr>
          <w:snapToGrid w:val="0"/>
        </w:rPr>
        <w:tab/>
        <w:t>Public Service Appeal Board, members of etc.</w:t>
      </w:r>
      <w:bookmarkEnd w:id="242"/>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spacing w:before="120"/>
        <w:rPr>
          <w:snapToGrid w:val="0"/>
        </w:rPr>
      </w:pPr>
      <w:r>
        <w:rPr>
          <w:snapToGrid w:val="0"/>
        </w:rPr>
        <w:tab/>
        <w:t>(2)</w:t>
      </w:r>
      <w:r>
        <w:rPr>
          <w:snapToGrid w:val="0"/>
        </w:rPr>
        <w:tab/>
        <w:t>A Board shall consist of 3 members.</w:t>
      </w:r>
    </w:p>
    <w:p>
      <w:pPr>
        <w:pStyle w:val="Ednotesubsection"/>
      </w:pPr>
      <w:r>
        <w:tab/>
        <w:t>[(3)</w:t>
      </w:r>
      <w:r>
        <w:tab/>
        <w:t>deleted]</w:t>
      </w:r>
    </w:p>
    <w:p>
      <w:pPr>
        <w:pStyle w:val="Subsection"/>
        <w:keepNext/>
        <w:spacing w:before="120"/>
        <w:rPr>
          <w:snapToGrid w:val="0"/>
        </w:rPr>
      </w:pPr>
      <w:r>
        <w:rPr>
          <w:snapToGrid w:val="0"/>
        </w:rPr>
        <w:lastRenderedPageBreak/>
        <w:tab/>
        <w:t>(4)</w:t>
      </w:r>
      <w:r>
        <w:rPr>
          <w:snapToGrid w:val="0"/>
        </w:rPr>
        <w:tab/>
      </w:r>
      <w:r>
        <w:t>The</w:t>
      </w:r>
      <w:r>
        <w:rPr>
          <w:snapToGrid w:val="0"/>
        </w:rPr>
        <w:t xml:space="preserve"> members of a Board shall be —</w:t>
      </w:r>
    </w:p>
    <w:p>
      <w:pPr>
        <w:pStyle w:val="Indenta"/>
        <w:rPr>
          <w:snapToGrid w:val="0"/>
        </w:rPr>
      </w:pPr>
      <w:r>
        <w:rPr>
          <w:snapToGrid w:val="0"/>
        </w:rPr>
        <w:tab/>
        <w:t>(a)</w:t>
      </w:r>
      <w:r>
        <w:rPr>
          <w:snapToGrid w:val="0"/>
        </w:rPr>
        <w:tab/>
        <w:t>a public service arbitrator, who shall be the chairman; and</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w:t>
      </w:r>
      <w:r>
        <w:t>subsection</w:t>
      </w:r>
      <w:r>
        <w:rPr>
          <w:snapToGrid w:val="0"/>
        </w:rPr>
        <w:t xml:space="preserve">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rPr>
          <w:i/>
        </w:rPr>
        <w:t>Fair Work (Registered Organisations) Act 2009</w:t>
      </w:r>
      <w:r>
        <w:t xml:space="preserve"> (Commonwealth)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[Section 80H inserted: No. 94 of 1984 s. 47; amended: No 32 of 1994 s. 14; No. 79 of 1995 s. 67(2); No. 53 of 2011 s. 36; No. 39 of 2018 s. 47.]</w:t>
      </w:r>
    </w:p>
    <w:p>
      <w:pPr>
        <w:pStyle w:val="Heading5"/>
        <w:rPr>
          <w:snapToGrid w:val="0"/>
        </w:rPr>
      </w:pPr>
      <w:bookmarkStart w:id="243" w:name="_Toc98770006"/>
      <w:r>
        <w:rPr>
          <w:rStyle w:val="CharSectno"/>
        </w:rPr>
        <w:t>80I</w:t>
      </w:r>
      <w:r>
        <w:rPr>
          <w:snapToGrid w:val="0"/>
        </w:rPr>
        <w:t>.</w:t>
      </w:r>
      <w:r>
        <w:rPr>
          <w:snapToGrid w:val="0"/>
        </w:rPr>
        <w:tab/>
        <w:t>Board’s jurisdiction</w:t>
      </w:r>
      <w:bookmarkEnd w:id="243"/>
    </w:p>
    <w:p>
      <w:pPr>
        <w:pStyle w:val="Subsection"/>
        <w:rPr>
          <w:snapToGrid w:val="0"/>
        </w:rPr>
      </w:pPr>
      <w:r>
        <w:rPr>
          <w:snapToGrid w:val="0"/>
        </w:rPr>
        <w:tab/>
        <w:t>(1)</w:t>
      </w:r>
      <w:r>
        <w:rPr>
          <w:snapToGrid w:val="0"/>
        </w:rPr>
        <w:tab/>
        <w:t xml:space="preserve">Subject to </w:t>
      </w:r>
      <w:r>
        <w:t xml:space="preserve">the </w:t>
      </w:r>
      <w:r>
        <w:rPr>
          <w:i/>
        </w:rPr>
        <w:t>Public Sector Management Act 1994</w:t>
      </w:r>
      <w:r>
        <w:t xml:space="preserve"> section 52, the </w:t>
      </w:r>
      <w:r>
        <w:rPr>
          <w:i/>
          <w:szCs w:val="24"/>
        </w:rPr>
        <w:t>Health Services Act 2016</w:t>
      </w:r>
      <w:r>
        <w:rPr>
          <w:i/>
          <w:sz w:val="22"/>
          <w:szCs w:val="22"/>
        </w:rPr>
        <w:t xml:space="preserve"> </w:t>
      </w:r>
      <w:r>
        <w:rPr>
          <w:szCs w:val="24"/>
        </w:rPr>
        <w:t>section 118</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xml:space="preserve">, and any provision of the regulations made under that Act, concerning the </w:t>
      </w:r>
      <w:r>
        <w:rPr>
          <w:snapToGrid w:val="0"/>
        </w:rPr>
        <w:lastRenderedPageBreak/>
        <w:t>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under the </w:t>
      </w:r>
      <w:r>
        <w:rPr>
          <w:i/>
          <w:snapToGrid w:val="0"/>
        </w:rPr>
        <w:t>Public Sector Management Act 1994</w:t>
      </w:r>
      <w:r>
        <w:rPr>
          <w:snapToGrid w:val="0"/>
        </w:rPr>
        <w:t xml:space="preserve"> section 78 against a decision </w:t>
      </w:r>
      <w:r>
        <w:t>or finding</w:t>
      </w:r>
      <w:r>
        <w:rPr>
          <w:snapToGrid w:val="0"/>
        </w:rPr>
        <w:t xml:space="preserve"> referred to in subsection (1)(b) of that section;</w:t>
      </w:r>
    </w:p>
    <w:p>
      <w:pPr>
        <w:pStyle w:val="Indenta"/>
        <w:rPr>
          <w:snapToGrid w:val="0"/>
          <w:szCs w:val="24"/>
        </w:rPr>
      </w:pPr>
      <w:r>
        <w:tab/>
        <w:t>(c)</w:t>
      </w:r>
      <w:r>
        <w:tab/>
        <w:t>an appeal by a government officer</w:t>
      </w:r>
      <w:r>
        <w:rPr>
          <w:szCs w:val="24"/>
        </w:rPr>
        <w:t xml:space="preserve"> under the </w:t>
      </w:r>
      <w:r>
        <w:rPr>
          <w:i/>
          <w:szCs w:val="24"/>
        </w:rPr>
        <w:t xml:space="preserve">Health Services Act 2016 </w:t>
      </w:r>
      <w:r>
        <w:rPr>
          <w:szCs w:val="24"/>
        </w:rPr>
        <w:t>section 172 against a decision or finding referred to in subsection (1)(b) of that section;</w:t>
      </w:r>
    </w:p>
    <w:p>
      <w:pPr>
        <w:pStyle w:val="Indenta"/>
        <w:rPr>
          <w:snapToGrid w:val="0"/>
        </w:rPr>
      </w:pPr>
      <w:r>
        <w:rPr>
          <w:snapToGrid w:val="0"/>
        </w:rPr>
        <w:tab/>
        <w:t>(d)</w:t>
      </w:r>
      <w:r>
        <w:rPr>
          <w:snapToGrid w:val="0"/>
        </w:rPr>
        <w:tab/>
        <w:t xml:space="preserve">an appeal, other than an appeal under </w:t>
      </w:r>
      <w:r>
        <w:t xml:space="preserve">the </w:t>
      </w:r>
      <w:r>
        <w:rPr>
          <w:i/>
        </w:rPr>
        <w:t xml:space="preserve">Public Sector Management Act 1994 </w:t>
      </w:r>
      <w:r>
        <w:t xml:space="preserve">section 78(1) or the </w:t>
      </w:r>
      <w:r>
        <w:rPr>
          <w:i/>
        </w:rPr>
        <w:t xml:space="preserve">Health Services Act 2016 </w:t>
      </w:r>
      <w:r>
        <w:t>section 172(2),</w:t>
      </w:r>
      <w:r>
        <w:rPr>
          <w:snapToGrid w:val="0"/>
        </w:rPr>
        <w:t xml:space="preserve"> by a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and (d).</w:t>
      </w:r>
    </w:p>
    <w:p>
      <w:pPr>
        <w:pStyle w:val="Ednotesubsection"/>
      </w:pPr>
      <w:r>
        <w:tab/>
        <w:t>[(2)</w:t>
      </w:r>
      <w:r>
        <w:tab/>
        <w:t>deleted]</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w:t>
      </w:r>
      <w:r>
        <w:t xml:space="preserve">the </w:t>
      </w:r>
      <w:r>
        <w:rPr>
          <w:i/>
        </w:rPr>
        <w:t xml:space="preserve">Public Sector Management Act 1994 </w:t>
      </w:r>
      <w:r>
        <w:t>section 94 or 95A.</w:t>
      </w:r>
    </w:p>
    <w:p>
      <w:pPr>
        <w:pStyle w:val="Footnotesection"/>
      </w:pPr>
      <w:r>
        <w:tab/>
        <w:t>[Section 80I inserted: No. 94 of 1984 s. 47; amended: No. 32 of 1994 s. 14; No. 1 of 1995 s. 29; No. 39 of 2010 s. 109; No. 8 of 2014 s. 6; No. 11 of 2016 s. 295(6).]</w:t>
      </w:r>
    </w:p>
    <w:p>
      <w:pPr>
        <w:pStyle w:val="Heading5"/>
        <w:spacing w:before="240"/>
        <w:rPr>
          <w:snapToGrid w:val="0"/>
        </w:rPr>
      </w:pPr>
      <w:bookmarkStart w:id="244" w:name="_Toc98770007"/>
      <w:r>
        <w:rPr>
          <w:rStyle w:val="CharSectno"/>
        </w:rPr>
        <w:t>80J</w:t>
      </w:r>
      <w:r>
        <w:rPr>
          <w:snapToGrid w:val="0"/>
        </w:rPr>
        <w:t>.</w:t>
      </w:r>
      <w:r>
        <w:rPr>
          <w:snapToGrid w:val="0"/>
        </w:rPr>
        <w:tab/>
        <w:t>Institution of appeals under s. 80I</w:t>
      </w:r>
      <w:bookmarkEnd w:id="244"/>
    </w:p>
    <w:p>
      <w:pPr>
        <w:pStyle w:val="Subsection"/>
        <w:spacing w:before="180"/>
        <w:rPr>
          <w:snapToGrid w:val="0"/>
        </w:rPr>
      </w:pPr>
      <w:r>
        <w:rPr>
          <w:snapToGrid w:val="0"/>
        </w:rPr>
        <w:tab/>
      </w:r>
      <w:r>
        <w:rPr>
          <w:snapToGrid w:val="0"/>
        </w:rPr>
        <w:tab/>
        <w:t>An appeal under section 80I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[Section 80J inserted: No. 94 of 1984 s. 47; amended: No. 32 of 1994 s. 14.]</w:t>
      </w:r>
    </w:p>
    <w:p>
      <w:pPr>
        <w:pStyle w:val="Heading5"/>
        <w:pageBreakBefore/>
        <w:spacing w:before="0"/>
        <w:rPr>
          <w:snapToGrid w:val="0"/>
        </w:rPr>
      </w:pPr>
      <w:bookmarkStart w:id="245" w:name="_Toc98770008"/>
      <w:r>
        <w:rPr>
          <w:rStyle w:val="CharSectno"/>
        </w:rPr>
        <w:lastRenderedPageBreak/>
        <w:t>80K</w:t>
      </w:r>
      <w:r>
        <w:rPr>
          <w:snapToGrid w:val="0"/>
        </w:rPr>
        <w:t>.</w:t>
      </w:r>
      <w:r>
        <w:rPr>
          <w:snapToGrid w:val="0"/>
        </w:rPr>
        <w:tab/>
        <w:t>Proceedings of Board</w:t>
      </w:r>
      <w:bookmarkEnd w:id="245"/>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 xml:space="preserve">The decision of a Board </w:t>
      </w:r>
      <w:r>
        <w:t>must be given in writing and must be signed and dated at the time it is made</w:t>
      </w:r>
      <w:r>
        <w:rPr>
          <w:snapToGrid w:val="0"/>
        </w:rPr>
        <w:t xml:space="preserve">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[Section 80K inserted: No. 94 of 1984 s. 47; amended: No. 39 of 2018 s. 48.]</w:t>
      </w:r>
    </w:p>
    <w:p>
      <w:pPr>
        <w:pStyle w:val="Heading5"/>
        <w:rPr>
          <w:snapToGrid w:val="0"/>
        </w:rPr>
      </w:pPr>
      <w:bookmarkStart w:id="246" w:name="_Toc98770009"/>
      <w:r>
        <w:rPr>
          <w:rStyle w:val="CharSectno"/>
        </w:rPr>
        <w:t>80L</w:t>
      </w:r>
      <w:r>
        <w:rPr>
          <w:snapToGrid w:val="0"/>
        </w:rPr>
        <w:t>.</w:t>
      </w:r>
      <w:r>
        <w:rPr>
          <w:snapToGrid w:val="0"/>
        </w:rPr>
        <w:tab/>
        <w:t>Certain provisions of Part II Div. 2 apply</w:t>
      </w:r>
      <w:bookmarkEnd w:id="246"/>
    </w:p>
    <w:p>
      <w:pPr>
        <w:pStyle w:val="Subsection"/>
        <w:rPr>
          <w:snapToGrid w:val="0"/>
        </w:rPr>
      </w:pPr>
      <w:r>
        <w:rPr>
          <w:snapToGrid w:val="0"/>
        </w:rPr>
        <w:tab/>
        <w:t>(1)</w:t>
      </w:r>
      <w:r>
        <w:rPr>
          <w:snapToGrid w:val="0"/>
        </w:rPr>
        <w:tab/>
        <w:t xml:space="preserve">Subject to this Division the provisions of sections 22B, 26(1) and (3), 27, 28, 31(1), (2), </w:t>
      </w:r>
      <w:r>
        <w:t xml:space="preserve">(3) and (5), </w:t>
      </w:r>
      <w:r>
        <w:rPr>
          <w:snapToGrid w:val="0"/>
        </w:rPr>
        <w:t>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w:t>
      </w:r>
    </w:p>
    <w:p>
      <w:pPr>
        <w:pStyle w:val="BlankOpen"/>
        <w:rPr>
          <w:snapToGrid w:val="0"/>
        </w:rPr>
      </w:pPr>
    </w:p>
    <w:p>
      <w:pPr>
        <w:pStyle w:val="Indenta"/>
        <w:rPr>
          <w:snapToGrid w:val="0"/>
        </w:rPr>
      </w:pPr>
      <w:r>
        <w:rPr>
          <w:snapToGrid w:val="0"/>
        </w:rPr>
        <w:tab/>
        <w:t>(c)</w:t>
      </w:r>
      <w:r>
        <w:rPr>
          <w:snapToGrid w:val="0"/>
        </w:rPr>
        <w:tab/>
        <w:t>by a legal practitioner.</w:t>
      </w:r>
    </w:p>
    <w:p>
      <w:pPr>
        <w:pStyle w:val="BlankClose"/>
        <w:rPr>
          <w:snapToGrid w:val="0"/>
        </w:rPr>
      </w:pPr>
    </w:p>
    <w:p>
      <w:pPr>
        <w:pStyle w:val="Footnotesection"/>
      </w:pPr>
      <w:r>
        <w:tab/>
        <w:t>[Section 80L inserted: No. 94 of 1984 s. 47; amended: No. 20 of 2002 s. 153; No. 39 of 2018 s. 49.]</w:t>
      </w:r>
    </w:p>
    <w:p>
      <w:pPr>
        <w:pStyle w:val="Heading3"/>
        <w:pageBreakBefore/>
        <w:spacing w:before="0"/>
      </w:pPr>
      <w:bookmarkStart w:id="247" w:name="_Toc98505093"/>
      <w:bookmarkStart w:id="248" w:name="_Toc98506792"/>
      <w:bookmarkStart w:id="249" w:name="_Toc98507955"/>
      <w:bookmarkStart w:id="250" w:name="_Toc98770010"/>
      <w:r>
        <w:rPr>
          <w:rStyle w:val="CharDivNo"/>
        </w:rPr>
        <w:lastRenderedPageBreak/>
        <w:t>Division 3</w:t>
      </w:r>
      <w:r>
        <w:rPr>
          <w:snapToGrid w:val="0"/>
        </w:rPr>
        <w:t> — </w:t>
      </w:r>
      <w:r>
        <w:rPr>
          <w:rStyle w:val="CharDivText"/>
        </w:rPr>
        <w:t>Railways Classification Board</w:t>
      </w:r>
      <w:bookmarkEnd w:id="247"/>
      <w:bookmarkEnd w:id="248"/>
      <w:bookmarkEnd w:id="249"/>
      <w:bookmarkEnd w:id="250"/>
    </w:p>
    <w:p>
      <w:pPr>
        <w:pStyle w:val="Footnoteheading"/>
        <w:keepNext/>
        <w:rPr>
          <w:snapToGrid w:val="0"/>
        </w:rPr>
      </w:pPr>
      <w:r>
        <w:rPr>
          <w:snapToGrid w:val="0"/>
        </w:rPr>
        <w:tab/>
        <w:t>[Heading inserted: No. 94 of 1984 s. 47.]</w:t>
      </w:r>
    </w:p>
    <w:p>
      <w:pPr>
        <w:pStyle w:val="Heading5"/>
        <w:rPr>
          <w:snapToGrid w:val="0"/>
        </w:rPr>
      </w:pPr>
      <w:bookmarkStart w:id="251" w:name="_Toc98770011"/>
      <w:r>
        <w:rPr>
          <w:rStyle w:val="CharSectno"/>
        </w:rPr>
        <w:t>80M</w:t>
      </w:r>
      <w:r>
        <w:rPr>
          <w:snapToGrid w:val="0"/>
        </w:rPr>
        <w:t xml:space="preserve">. </w:t>
      </w:r>
      <w:r>
        <w:rPr>
          <w:snapToGrid w:val="0"/>
        </w:rPr>
        <w:tab/>
        <w:t>Terms used</w:t>
      </w:r>
      <w:bookmarkEnd w:id="251"/>
    </w:p>
    <w:p>
      <w:pPr>
        <w:pStyle w:val="Subsection"/>
        <w:rPr>
          <w:snapToGrid w:val="0"/>
        </w:rPr>
      </w:pPr>
      <w:r>
        <w:rPr>
          <w:snapToGrid w:val="0"/>
        </w:rPr>
        <w:tab/>
        <w:t>(1)</w:t>
      </w:r>
      <w:r>
        <w:rPr>
          <w:snapToGrid w:val="0"/>
        </w:rPr>
        <w:tab/>
        <w:t>In this Division unless the contrary intention appears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lastRenderedPageBreak/>
        <w:tab/>
      </w:r>
      <w:r>
        <w:rPr>
          <w:rStyle w:val="CharDefText"/>
        </w:rPr>
        <w:t>Union</w:t>
      </w:r>
      <w:r>
        <w:t xml:space="preserve"> means the body known as the West Australian Railway Officers Union.</w:t>
      </w:r>
    </w:p>
    <w:p>
      <w:pPr>
        <w:pStyle w:val="Subsection"/>
        <w:rPr>
          <w:snapToGrid w:val="0"/>
        </w:rPr>
      </w:pPr>
      <w:r>
        <w:rPr>
          <w:snapToGrid w:val="0"/>
        </w:rPr>
        <w:tab/>
        <w:t>(2)</w:t>
      </w:r>
      <w:r>
        <w:rPr>
          <w:snapToGrid w:val="0"/>
        </w:rPr>
        <w:tab/>
        <w:t>Subject to this Division, the Union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[Section 80M inserted: No. 94 of 1984 s. 47; amended: No. 31 of 2003 s. 147(2) and (5).]</w:t>
      </w:r>
    </w:p>
    <w:p>
      <w:pPr>
        <w:pStyle w:val="Heading5"/>
        <w:rPr>
          <w:snapToGrid w:val="0"/>
        </w:rPr>
      </w:pPr>
      <w:bookmarkStart w:id="252" w:name="_Toc98770012"/>
      <w:r>
        <w:rPr>
          <w:rStyle w:val="CharSectno"/>
        </w:rPr>
        <w:t>80N</w:t>
      </w:r>
      <w:r>
        <w:rPr>
          <w:snapToGrid w:val="0"/>
        </w:rPr>
        <w:t>.</w:t>
      </w:r>
      <w:r>
        <w:rPr>
          <w:snapToGrid w:val="0"/>
        </w:rPr>
        <w:tab/>
        <w:t>Railways Classification Board, members of etc.</w:t>
      </w:r>
      <w:bookmarkEnd w:id="252"/>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Union, and shall be chairman of the Board; and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shall be a person nominated for appointment by the Union and appointed by the Governor.</w:t>
      </w:r>
    </w:p>
    <w:p>
      <w:pPr>
        <w:pStyle w:val="Subsection"/>
        <w:rPr>
          <w:snapToGrid w:val="0"/>
        </w:rPr>
      </w:pPr>
      <w:r>
        <w:rPr>
          <w:snapToGrid w:val="0"/>
        </w:rPr>
        <w:tab/>
        <w:t>(3)</w:t>
      </w:r>
      <w:r>
        <w:rPr>
          <w:snapToGrid w:val="0"/>
        </w:rPr>
        <w:tab/>
        <w:t xml:space="preserve">Whenever it is necessary for a person to be nominated for appointment to an office referred to in subsection (2)(b) or (c) </w:t>
      </w:r>
      <w:r>
        <w:rPr>
          <w:snapToGrid w:val="0"/>
        </w:rPr>
        <w:lastRenderedPageBreak/>
        <w:t>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[Section 80N inserted: No. 94 of 1984 s. 47; amended: No. 31 of 2003 s. 147(3) and (5).]</w:t>
      </w:r>
    </w:p>
    <w:p>
      <w:pPr>
        <w:pStyle w:val="Heading5"/>
        <w:pageBreakBefore/>
        <w:spacing w:before="0"/>
        <w:rPr>
          <w:snapToGrid w:val="0"/>
        </w:rPr>
      </w:pPr>
      <w:bookmarkStart w:id="253" w:name="_Toc98770013"/>
      <w:r>
        <w:rPr>
          <w:rStyle w:val="CharSectno"/>
        </w:rPr>
        <w:lastRenderedPageBreak/>
        <w:t>80O</w:t>
      </w:r>
      <w:r>
        <w:rPr>
          <w:snapToGrid w:val="0"/>
        </w:rPr>
        <w:t>.</w:t>
      </w:r>
      <w:r>
        <w:rPr>
          <w:snapToGrid w:val="0"/>
        </w:rPr>
        <w:tab/>
        <w:t>Terms of office etc.</w:t>
      </w:r>
      <w:bookmarkEnd w:id="25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The Chief Commissioner may, after consultation with the Union,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lastRenderedPageBreak/>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chairman and may at any time terminate that appointment.</w:t>
      </w:r>
    </w:p>
    <w:p>
      <w:pPr>
        <w:pStyle w:val="Subsection"/>
        <w:rPr>
          <w:snapToGrid w:val="0"/>
        </w:rPr>
      </w:pPr>
      <w:r>
        <w:rPr>
          <w:snapToGrid w:val="0"/>
        </w:rPr>
        <w:tab/>
        <w:t>(8)</w:t>
      </w:r>
      <w:r>
        <w:rPr>
          <w:snapToGrid w:val="0"/>
        </w:rPr>
        <w:tab/>
        <w:t>The Governor may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[Section 80O inserted: No. 94 of 1984 s. 47; amended: No. 31 of 2003 s. 147(4) and (5); No. 18 of 2009 s. 45.]</w:t>
      </w:r>
    </w:p>
    <w:p>
      <w:pPr>
        <w:pStyle w:val="Heading5"/>
        <w:rPr>
          <w:snapToGrid w:val="0"/>
        </w:rPr>
      </w:pPr>
      <w:bookmarkStart w:id="254" w:name="_Toc98770014"/>
      <w:r>
        <w:rPr>
          <w:rStyle w:val="CharSectno"/>
        </w:rPr>
        <w:t>80P</w:t>
      </w:r>
      <w:r>
        <w:rPr>
          <w:snapToGrid w:val="0"/>
        </w:rPr>
        <w:t>.</w:t>
      </w:r>
      <w:r>
        <w:rPr>
          <w:snapToGrid w:val="0"/>
        </w:rPr>
        <w:tab/>
        <w:t>Extending appointments</w:t>
      </w:r>
      <w:bookmarkEnd w:id="254"/>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lastRenderedPageBreak/>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[Section 80P inserted: No. 94 of 1984 s. 47.]</w:t>
      </w:r>
    </w:p>
    <w:p>
      <w:pPr>
        <w:pStyle w:val="Heading5"/>
        <w:rPr>
          <w:snapToGrid w:val="0"/>
        </w:rPr>
      </w:pPr>
      <w:bookmarkStart w:id="255" w:name="_Toc98770015"/>
      <w:r>
        <w:rPr>
          <w:rStyle w:val="CharSectno"/>
        </w:rPr>
        <w:t>80Q</w:t>
      </w:r>
      <w:r>
        <w:rPr>
          <w:snapToGrid w:val="0"/>
        </w:rPr>
        <w:t xml:space="preserve">. </w:t>
      </w:r>
      <w:r>
        <w:rPr>
          <w:snapToGrid w:val="0"/>
        </w:rPr>
        <w:tab/>
        <w:t>Validity of acts of Board</w:t>
      </w:r>
      <w:bookmarkEnd w:id="255"/>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[Section 80Q inserted: No. 94 of 1984 s. 47.]</w:t>
      </w:r>
    </w:p>
    <w:p>
      <w:pPr>
        <w:pStyle w:val="Heading5"/>
        <w:rPr>
          <w:snapToGrid w:val="0"/>
        </w:rPr>
      </w:pPr>
      <w:bookmarkStart w:id="256" w:name="_Toc98770016"/>
      <w:r>
        <w:rPr>
          <w:rStyle w:val="CharSectno"/>
        </w:rPr>
        <w:t>80R</w:t>
      </w:r>
      <w:r>
        <w:rPr>
          <w:snapToGrid w:val="0"/>
        </w:rPr>
        <w:t>.</w:t>
      </w:r>
      <w:r>
        <w:rPr>
          <w:snapToGrid w:val="0"/>
        </w:rPr>
        <w:tab/>
        <w:t>Board’s jurisdiction</w:t>
      </w:r>
      <w:bookmarkEnd w:id="256"/>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w:t>
      </w:r>
    </w:p>
    <w:p>
      <w:pPr>
        <w:pStyle w:val="Indenta"/>
        <w:rPr>
          <w:snapToGrid w:val="0"/>
        </w:rPr>
      </w:pPr>
      <w:r>
        <w:rPr>
          <w:snapToGrid w:val="0"/>
        </w:rPr>
        <w:tab/>
        <w:t>(a)</w:t>
      </w:r>
      <w:r>
        <w:rPr>
          <w:snapToGrid w:val="0"/>
        </w:rPr>
        <w:tab/>
        <w:t>to classify all salaried positions; and</w:t>
      </w:r>
    </w:p>
    <w:p>
      <w:pPr>
        <w:pStyle w:val="Indenta"/>
        <w:rPr>
          <w:snapToGrid w:val="0"/>
        </w:rPr>
      </w:pPr>
      <w:r>
        <w:rPr>
          <w:snapToGrid w:val="0"/>
        </w:rPr>
        <w:tab/>
        <w:t>(b)</w:t>
      </w:r>
      <w:r>
        <w:rPr>
          <w:snapToGrid w:val="0"/>
        </w:rPr>
        <w:tab/>
        <w:t>to create classes and to provide the minimum and maximum salaries of all salaried positions in any class; and</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 and</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 and</w:t>
      </w:r>
    </w:p>
    <w:p>
      <w:pPr>
        <w:pStyle w:val="Indenta"/>
        <w:rPr>
          <w:snapToGrid w:val="0"/>
        </w:rPr>
      </w:pPr>
      <w:r>
        <w:rPr>
          <w:snapToGrid w:val="0"/>
        </w:rPr>
        <w:lastRenderedPageBreak/>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The Board also has the jurisdiction conferred on it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keepNext/>
        <w:keepLines/>
      </w:pPr>
      <w:r>
        <w:tab/>
        <w:t>(2d)</w:t>
      </w:r>
      <w:r>
        <w:tab/>
        <w:t>The jurisdiction referred to in subsection (2c) is to be exercised in accordance with the relevant provisions of Part VID, and the provisions of —</w:t>
      </w:r>
    </w:p>
    <w:p>
      <w:pPr>
        <w:pStyle w:val="Indenta"/>
      </w:pPr>
      <w:r>
        <w:tab/>
        <w:t>(a)</w:t>
      </w:r>
      <w:r>
        <w:tab/>
        <w:t>subsection (3); and</w:t>
      </w:r>
    </w:p>
    <w:p>
      <w:pPr>
        <w:pStyle w:val="Indenta"/>
      </w:pPr>
      <w:r>
        <w:lastRenderedPageBreak/>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w:t>
      </w:r>
    </w:p>
    <w:p>
      <w:pPr>
        <w:pStyle w:val="Indenta"/>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tab/>
        <w:t>(ii)</w:t>
      </w:r>
      <w:r>
        <w:tab/>
        <w:t>any question of interpretation of the rules of an organisation arising in a matter before the Board;</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Board, other than a question of interpretation of the rules of an organisation,</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keepNext/>
      </w:pPr>
      <w:r>
        <w:tab/>
        <w:t>(4)</w:t>
      </w:r>
      <w:r>
        <w:tab/>
        <w:t xml:space="preserve">Despite subsections (1) and (3), the Board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keepNext/>
        <w:rPr>
          <w:snapToGrid w:val="0"/>
        </w:rPr>
      </w:pPr>
      <w:r>
        <w:lastRenderedPageBreak/>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pPr>
      <w:r>
        <w:tab/>
        <w:t>[Section 80R inserted: No. 94 of 1984 s. 47; amended: No. 99 of 1990 s. 13; No. 1 of 1995 s. 36; No. 20 of 2002 s. 11; No. 31 of 2003 s. 147(5); No. 8 of 2014 s. 7; No. 39 of 2018 s. 50.]</w:t>
      </w:r>
    </w:p>
    <w:p>
      <w:pPr>
        <w:pStyle w:val="Heading5"/>
        <w:rPr>
          <w:snapToGrid w:val="0"/>
        </w:rPr>
      </w:pPr>
      <w:bookmarkStart w:id="257" w:name="_Toc98770017"/>
      <w:r>
        <w:rPr>
          <w:rStyle w:val="CharSectno"/>
        </w:rPr>
        <w:t>80S</w:t>
      </w:r>
      <w:r>
        <w:rPr>
          <w:snapToGrid w:val="0"/>
        </w:rPr>
        <w:t>.</w:t>
      </w:r>
      <w:r>
        <w:rPr>
          <w:snapToGrid w:val="0"/>
        </w:rPr>
        <w:tab/>
        <w:t>Who may refer matters to Board</w:t>
      </w:r>
      <w:bookmarkEnd w:id="257"/>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 on his or their behalf.</w:t>
      </w:r>
    </w:p>
    <w:p>
      <w:pPr>
        <w:pStyle w:val="Subsection"/>
      </w:pPr>
      <w:r>
        <w:tab/>
        <w:t>(3)</w:t>
      </w:r>
      <w:r>
        <w:tab/>
        <w:t>A railway officer who is an employee under an employer</w:t>
      </w:r>
      <w:r>
        <w:noBreakHyphen/>
        <w:t>employee agreement may refer to the Board where the Board is the relevant industrial authority under Part VID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[Section 80S inserted: No. 94 of 1984 s. 47; amended: No. 20 of 2002 s. 12; No. 31 of 2003 s. 147(5).]</w:t>
      </w:r>
    </w:p>
    <w:p>
      <w:pPr>
        <w:pStyle w:val="Ednotesection"/>
      </w:pPr>
      <w:r>
        <w:t>[</w:t>
      </w:r>
      <w:r>
        <w:rPr>
          <w:b/>
        </w:rPr>
        <w:t>80T.</w:t>
      </w:r>
      <w:r>
        <w:tab/>
        <w:t>Deleted: No. 1 of 1995 s. 30.]</w:t>
      </w:r>
    </w:p>
    <w:p>
      <w:pPr>
        <w:pStyle w:val="Heading5"/>
        <w:rPr>
          <w:snapToGrid w:val="0"/>
        </w:rPr>
      </w:pPr>
      <w:bookmarkStart w:id="258" w:name="_Toc98770018"/>
      <w:r>
        <w:rPr>
          <w:rStyle w:val="CharSectno"/>
        </w:rPr>
        <w:t>80U</w:t>
      </w:r>
      <w:r>
        <w:rPr>
          <w:snapToGrid w:val="0"/>
        </w:rPr>
        <w:t>.</w:t>
      </w:r>
      <w:r>
        <w:rPr>
          <w:snapToGrid w:val="0"/>
        </w:rPr>
        <w:tab/>
        <w:t>Vacant salaried position, reclassification of</w:t>
      </w:r>
      <w:bookmarkEnd w:id="258"/>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keepNext/>
        <w:rPr>
          <w:snapToGrid w:val="0"/>
        </w:rPr>
      </w:pPr>
      <w:r>
        <w:rPr>
          <w:snapToGrid w:val="0"/>
        </w:rPr>
        <w:lastRenderedPageBreak/>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[Section 80U inserted: No. 94 of 1984 s. 47; amended: No. 31 of 2003 s. 147(5).]</w:t>
      </w:r>
    </w:p>
    <w:p>
      <w:pPr>
        <w:pStyle w:val="Heading5"/>
        <w:rPr>
          <w:snapToGrid w:val="0"/>
        </w:rPr>
      </w:pPr>
      <w:bookmarkStart w:id="259" w:name="_Toc98770019"/>
      <w:r>
        <w:rPr>
          <w:rStyle w:val="CharSectno"/>
        </w:rPr>
        <w:t>80V</w:t>
      </w:r>
      <w:r>
        <w:rPr>
          <w:snapToGrid w:val="0"/>
        </w:rPr>
        <w:t xml:space="preserve">. </w:t>
      </w:r>
      <w:r>
        <w:rPr>
          <w:snapToGrid w:val="0"/>
        </w:rPr>
        <w:tab/>
        <w:t>Proceedings of Board</w:t>
      </w:r>
      <w:bookmarkEnd w:id="259"/>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 xml:space="preserve">The decision of the Board </w:t>
      </w:r>
      <w:r>
        <w:t>must be in the form of an award, order, determination or declaration and must be signed and dated at the time it is made</w:t>
      </w:r>
      <w:r>
        <w:rPr>
          <w:snapToGrid w:val="0"/>
        </w:rPr>
        <w:t xml:space="preserve">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[Section 80V inserted: No. 94 of 1984 s. 47; amended: No. 39 of 2018 s. 51.]</w:t>
      </w:r>
    </w:p>
    <w:p>
      <w:pPr>
        <w:pStyle w:val="Heading5"/>
        <w:pageBreakBefore/>
        <w:spacing w:before="0"/>
        <w:rPr>
          <w:snapToGrid w:val="0"/>
        </w:rPr>
      </w:pPr>
      <w:bookmarkStart w:id="260" w:name="_Toc98770020"/>
      <w:r>
        <w:rPr>
          <w:rStyle w:val="CharSectno"/>
        </w:rPr>
        <w:lastRenderedPageBreak/>
        <w:t>80W</w:t>
      </w:r>
      <w:r>
        <w:rPr>
          <w:snapToGrid w:val="0"/>
        </w:rPr>
        <w:t>.</w:t>
      </w:r>
      <w:r>
        <w:rPr>
          <w:snapToGrid w:val="0"/>
        </w:rPr>
        <w:tab/>
        <w:t>Part II Div. 2 to 2G, application of</w:t>
      </w:r>
      <w:bookmarkEnd w:id="260"/>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keepNext/>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[Section 80W inserted: No. 94 of 1984 s. 47; amended: No. 79 of 1995 s. 14; No. 20 of 2002 s. 121(5).]</w:t>
      </w:r>
    </w:p>
    <w:p>
      <w:pPr>
        <w:pStyle w:val="Ednotedivision"/>
      </w:pPr>
      <w:r>
        <w:t>[Division 4 (s. 80X</w:t>
      </w:r>
      <w:r>
        <w:noBreakHyphen/>
        <w:t>80Z, 80ZA</w:t>
      </w:r>
      <w:r>
        <w:noBreakHyphen/>
        <w:t>80ZD) deleted: No. 1 of 1995 s. 31.]</w:t>
      </w:r>
    </w:p>
    <w:p>
      <w:pPr>
        <w:pStyle w:val="Heading2"/>
      </w:pPr>
      <w:bookmarkStart w:id="261" w:name="_Toc98505104"/>
      <w:bookmarkStart w:id="262" w:name="_Toc98506803"/>
      <w:bookmarkStart w:id="263" w:name="_Toc98507966"/>
      <w:bookmarkStart w:id="264" w:name="_Toc98770021"/>
      <w:r>
        <w:rPr>
          <w:rStyle w:val="CharPartNo"/>
        </w:rPr>
        <w:lastRenderedPageBreak/>
        <w:t>Part IIB</w:t>
      </w:r>
      <w:r>
        <w:rPr>
          <w:rStyle w:val="CharDivNo"/>
        </w:rPr>
        <w:t> </w:t>
      </w:r>
      <w:r>
        <w:t>—</w:t>
      </w:r>
      <w:r>
        <w:rPr>
          <w:rStyle w:val="CharDivText"/>
        </w:rPr>
        <w:t> </w:t>
      </w:r>
      <w:r>
        <w:rPr>
          <w:rStyle w:val="CharPartText"/>
        </w:rPr>
        <w:t>Enquiries</w:t>
      </w:r>
      <w:bookmarkEnd w:id="261"/>
      <w:bookmarkEnd w:id="262"/>
      <w:bookmarkEnd w:id="263"/>
      <w:bookmarkEnd w:id="264"/>
    </w:p>
    <w:p>
      <w:pPr>
        <w:pStyle w:val="Footnoteheading"/>
        <w:rPr>
          <w:snapToGrid w:val="0"/>
        </w:rPr>
      </w:pPr>
      <w:r>
        <w:rPr>
          <w:snapToGrid w:val="0"/>
        </w:rPr>
        <w:tab/>
        <w:t>[Heading inserted: No. 94 of 1984 s. 47.]</w:t>
      </w:r>
    </w:p>
    <w:p>
      <w:pPr>
        <w:pStyle w:val="Heading5"/>
        <w:rPr>
          <w:snapToGrid w:val="0"/>
        </w:rPr>
      </w:pPr>
      <w:bookmarkStart w:id="265" w:name="_Toc98770022"/>
      <w:r>
        <w:rPr>
          <w:rStyle w:val="CharSectno"/>
        </w:rPr>
        <w:t>80ZE</w:t>
      </w:r>
      <w:r>
        <w:rPr>
          <w:snapToGrid w:val="0"/>
        </w:rPr>
        <w:t>.</w:t>
      </w:r>
      <w:r>
        <w:rPr>
          <w:snapToGrid w:val="0"/>
        </w:rPr>
        <w:tab/>
        <w:t>Minister may refer matter to Commission for enquiry</w:t>
      </w:r>
      <w:bookmarkEnd w:id="265"/>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[Section 80ZE inserted: No. 94 of 1984 s. 47; amended: No. 15 of 1993 s. 22; amended: Gazette 15 Aug 2003 p. 3686.]</w:t>
      </w:r>
    </w:p>
    <w:p>
      <w:pPr>
        <w:pStyle w:val="Heading2"/>
      </w:pPr>
      <w:bookmarkStart w:id="266" w:name="_Toc98505106"/>
      <w:bookmarkStart w:id="267" w:name="_Toc98506805"/>
      <w:bookmarkStart w:id="268" w:name="_Toc98507968"/>
      <w:bookmarkStart w:id="269" w:name="_Toc98770023"/>
      <w:r>
        <w:rPr>
          <w:rStyle w:val="CharPartNo"/>
        </w:rPr>
        <w:lastRenderedPageBreak/>
        <w:t>Part IIC</w:t>
      </w:r>
      <w:r>
        <w:rPr>
          <w:rStyle w:val="CharDivNo"/>
        </w:rPr>
        <w:t> </w:t>
      </w:r>
      <w:r>
        <w:t>—</w:t>
      </w:r>
      <w:r>
        <w:rPr>
          <w:rStyle w:val="CharDivText"/>
        </w:rPr>
        <w:t> </w:t>
      </w:r>
      <w:r>
        <w:rPr>
          <w:rStyle w:val="CharPartText"/>
        </w:rPr>
        <w:t>Arrangements with other industrial authorities</w:t>
      </w:r>
      <w:bookmarkEnd w:id="266"/>
      <w:bookmarkEnd w:id="267"/>
      <w:bookmarkEnd w:id="268"/>
      <w:bookmarkEnd w:id="269"/>
    </w:p>
    <w:p>
      <w:pPr>
        <w:pStyle w:val="Footnoteheading"/>
        <w:spacing w:before="100"/>
        <w:rPr>
          <w:snapToGrid w:val="0"/>
        </w:rPr>
      </w:pPr>
      <w:r>
        <w:rPr>
          <w:snapToGrid w:val="0"/>
        </w:rPr>
        <w:tab/>
        <w:t>[Heading inserted: No. 94 of 1984 s. 47.]</w:t>
      </w:r>
    </w:p>
    <w:p>
      <w:pPr>
        <w:pStyle w:val="Heading5"/>
      </w:pPr>
      <w:bookmarkStart w:id="270" w:name="_Toc98770024"/>
      <w:r>
        <w:rPr>
          <w:rStyle w:val="CharSectno"/>
        </w:rPr>
        <w:t>80ZF</w:t>
      </w:r>
      <w:r>
        <w:t>.</w:t>
      </w:r>
      <w:r>
        <w:tab/>
        <w:t>Term used: Fair Work Commission</w:t>
      </w:r>
      <w:bookmarkEnd w:id="270"/>
    </w:p>
    <w:p>
      <w:pPr>
        <w:pStyle w:val="Subsection"/>
      </w:pPr>
      <w:r>
        <w:tab/>
      </w:r>
      <w:r>
        <w:tab/>
        <w:t xml:space="preserve">In this Part — </w:t>
      </w:r>
    </w:p>
    <w:p>
      <w:pPr>
        <w:pStyle w:val="Defstart"/>
      </w:pPr>
      <w:r>
        <w:tab/>
      </w:r>
      <w:r>
        <w:rPr>
          <w:rStyle w:val="CharDefText"/>
        </w:rPr>
        <w:t>Fair Work Commission</w:t>
      </w:r>
      <w:r>
        <w:t xml:space="preserve"> includes a member of the Fair Work Commission.</w:t>
      </w:r>
    </w:p>
    <w:p>
      <w:pPr>
        <w:pStyle w:val="Footnotesection"/>
      </w:pPr>
      <w:r>
        <w:tab/>
        <w:t>[Section 80ZF inserted: No. 39 of 2018 s. 52.]</w:t>
      </w:r>
    </w:p>
    <w:p>
      <w:pPr>
        <w:pStyle w:val="Heading5"/>
        <w:rPr>
          <w:snapToGrid w:val="0"/>
        </w:rPr>
      </w:pPr>
      <w:bookmarkStart w:id="271" w:name="_Toc98770025"/>
      <w:r>
        <w:rPr>
          <w:rStyle w:val="CharSectno"/>
        </w:rPr>
        <w:t>80ZG</w:t>
      </w:r>
      <w:r>
        <w:rPr>
          <w:snapToGrid w:val="0"/>
        </w:rPr>
        <w:t>.</w:t>
      </w:r>
      <w:r>
        <w:rPr>
          <w:snapToGrid w:val="0"/>
        </w:rPr>
        <w:tab/>
        <w:t>Joint proceedings of Commission and Fair Work Commission</w:t>
      </w:r>
      <w:bookmarkEnd w:id="271"/>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pPr>
        <w:pStyle w:val="Indenta"/>
      </w:pPr>
      <w:r>
        <w:tab/>
        <w:t>(a)</w:t>
      </w:r>
      <w:r>
        <w:tab/>
        <w:t>the Fair Work Commission; and</w:t>
      </w:r>
    </w:p>
    <w:p>
      <w:pPr>
        <w:pStyle w:val="Indenta"/>
        <w:rPr>
          <w:snapToGrid w:val="0"/>
        </w:rPr>
      </w:pPr>
      <w:r>
        <w:tab/>
        <w:t>(b)</w:t>
      </w:r>
      <w:r>
        <w:tab/>
      </w:r>
      <w:r>
        <w:rPr>
          <w:snapToGrid w:val="0"/>
        </w:rPr>
        <w:t xml:space="preserve">the parties to an industrial dispute in relation to which the </w:t>
      </w:r>
      <w:r>
        <w:t>Fair Work Commission</w:t>
      </w:r>
      <w:r>
        <w:rPr>
          <w:snapToGrid w:val="0"/>
        </w:rPr>
        <w:t xml:space="preserve"> is exercising power; and</w:t>
      </w:r>
    </w:p>
    <w:p>
      <w:pPr>
        <w:pStyle w:val="Indenta"/>
        <w:rPr>
          <w:snapToGrid w:val="0"/>
        </w:rPr>
      </w:pPr>
      <w:r>
        <w:tab/>
        <w:t>(c)</w:t>
      </w:r>
      <w:r>
        <w:tab/>
      </w:r>
      <w:r>
        <w:rPr>
          <w:snapToGrid w:val="0"/>
        </w:rPr>
        <w:t>any witness summoned by</w:t>
      </w:r>
      <w:r>
        <w:t xml:space="preserve"> the Fair Work Commission</w:t>
      </w:r>
      <w:r>
        <w:rPr>
          <w:snapToGrid w:val="0"/>
        </w:rPr>
        <w:t>,</w:t>
      </w:r>
    </w:p>
    <w:p>
      <w:pPr>
        <w:pStyle w:val="Subsection"/>
        <w:spacing w:before="120"/>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the Fair Work Commission</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shall be taken to prevent the Commission from exercising powers in relation to an industrial matter in the </w:t>
      </w:r>
      <w:r>
        <w:rPr>
          <w:snapToGrid w:val="0"/>
        </w:rPr>
        <w:lastRenderedPageBreak/>
        <w:t xml:space="preserve">presence of any person other than </w:t>
      </w:r>
      <w:r>
        <w:t xml:space="preserve">the Fair Work Commission </w:t>
      </w:r>
      <w:r>
        <w:rPr>
          <w:snapToGrid w:val="0"/>
        </w:rPr>
        <w:t>or a person referred to in subsection (1)(b) or (c).</w:t>
      </w:r>
    </w:p>
    <w:p>
      <w:pPr>
        <w:pStyle w:val="Footnotesection"/>
        <w:spacing w:before="100"/>
        <w:ind w:left="890" w:hanging="890"/>
      </w:pPr>
      <w:r>
        <w:tab/>
        <w:t>[Section 80ZG inserted: No. 94 of 1984 s. 47; amended: No. 53 of 2011 s. 39; No. 39 of 2018 s. 53.]</w:t>
      </w:r>
    </w:p>
    <w:p>
      <w:pPr>
        <w:pStyle w:val="Heading5"/>
        <w:spacing w:before="120"/>
        <w:rPr>
          <w:snapToGrid w:val="0"/>
        </w:rPr>
      </w:pPr>
      <w:bookmarkStart w:id="272" w:name="_Toc98770026"/>
      <w:r>
        <w:rPr>
          <w:rStyle w:val="CharSectno"/>
        </w:rPr>
        <w:t>80ZH</w:t>
      </w:r>
      <w:r>
        <w:rPr>
          <w:snapToGrid w:val="0"/>
        </w:rPr>
        <w:t>.</w:t>
      </w:r>
      <w:r>
        <w:rPr>
          <w:snapToGrid w:val="0"/>
        </w:rPr>
        <w:tab/>
      </w:r>
      <w:r>
        <w:t>Referring matters to Fair Work Commission for determination under this Act</w:t>
      </w:r>
      <w:bookmarkEnd w:id="272"/>
    </w:p>
    <w:p>
      <w:pPr>
        <w:pStyle w:val="Subsection"/>
        <w:rPr>
          <w:snapToGrid w:val="0"/>
        </w:rPr>
      </w:pPr>
      <w:r>
        <w:rPr>
          <w:snapToGrid w:val="0"/>
        </w:rPr>
        <w:tab/>
        <w:t>(1)</w:t>
      </w:r>
      <w:r>
        <w:rPr>
          <w:snapToGrid w:val="0"/>
        </w:rPr>
        <w:tab/>
        <w:t xml:space="preserve">The Chief Commissioner may, where in his opinion it is appropriate to do so, request the President of </w:t>
      </w:r>
      <w:r>
        <w:t>the Fair Work Commission</w:t>
      </w:r>
      <w:r>
        <w:rPr>
          <w:snapToGrid w:val="0"/>
        </w:rPr>
        <w:t xml:space="preserve"> to nominate a member of the </w:t>
      </w:r>
      <w:r>
        <w:t xml:space="preserve">Fair Work Commission </w:t>
      </w:r>
      <w:r>
        <w:rPr>
          <w:snapToGrid w:val="0"/>
        </w:rPr>
        <w:t>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the Fair Work Commission</w:t>
      </w:r>
      <w:r>
        <w:rPr>
          <w:snapToGrid w:val="0"/>
        </w:rPr>
        <w:t xml:space="preserve"> nominates a member of</w:t>
      </w:r>
      <w:r>
        <w:t xml:space="preserve"> the Fair Work Commission</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him under subsection (2), the member of </w:t>
      </w:r>
      <w:r>
        <w:t xml:space="preserve">the Fair Work Commission </w:t>
      </w:r>
      <w:r>
        <w:rPr>
          <w:snapToGrid w:val="0"/>
        </w:rPr>
        <w:t>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 xml:space="preserve">Without limiting subsection (3), a decision made by a member of </w:t>
      </w:r>
      <w:r>
        <w:t xml:space="preserve">the Fair Work Commission </w:t>
      </w:r>
      <w:r>
        <w:rPr>
          <w:snapToGrid w:val="0"/>
        </w:rPr>
        <w:t>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[Section 80ZH inserted: No. 94 of 1984 s. 47; amended: No. 53 of 2011 s. 39; No. 39 of 2018 s. 54.]</w:t>
      </w:r>
    </w:p>
    <w:p>
      <w:pPr>
        <w:pStyle w:val="Heading5"/>
        <w:pageBreakBefore/>
        <w:spacing w:before="0"/>
        <w:rPr>
          <w:snapToGrid w:val="0"/>
        </w:rPr>
      </w:pPr>
      <w:bookmarkStart w:id="273" w:name="_Toc98770027"/>
      <w:r>
        <w:rPr>
          <w:rStyle w:val="CharSectno"/>
        </w:rPr>
        <w:lastRenderedPageBreak/>
        <w:t>80ZI</w:t>
      </w:r>
      <w:r>
        <w:rPr>
          <w:snapToGrid w:val="0"/>
        </w:rPr>
        <w:t>.</w:t>
      </w:r>
      <w:r>
        <w:rPr>
          <w:snapToGrid w:val="0"/>
        </w:rPr>
        <w:tab/>
        <w:t>Conferences with other industrial authorities</w:t>
      </w:r>
      <w:bookmarkEnd w:id="273"/>
    </w:p>
    <w:p>
      <w:pPr>
        <w:pStyle w:val="Subsection"/>
        <w:rPr>
          <w:snapToGrid w:val="0"/>
        </w:rPr>
      </w:pPr>
      <w:r>
        <w:rPr>
          <w:snapToGrid w:val="0"/>
        </w:rPr>
        <w:tab/>
        <w:t>(1)</w:t>
      </w:r>
      <w:r>
        <w:rPr>
          <w:snapToGrid w:val="0"/>
        </w:rPr>
        <w:tab/>
        <w:t xml:space="preserve">Where it appears to the Chief Commissioner to be desirable, in relation to a matter falling within the jurisdiction of the Commission, that a conference be held with a corresponding authority, </w:t>
      </w:r>
      <w:r>
        <w:t>the Chief Commissioner may, if that authority is willing, confer with that authority, or arrange for another commissioner</w:t>
      </w:r>
      <w:r>
        <w:rPr>
          <w:snapToGrid w:val="0"/>
        </w:rPr>
        <w:t xml:space="preserve">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w:t>
      </w:r>
      <w:r>
        <w:t>the Chief Commissioner may confer with the Fair Work Commission</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the Fair Work Commission</w:t>
      </w:r>
      <w:r>
        <w:rPr>
          <w:snapToGrid w:val="0"/>
        </w:rPr>
        <w:t xml:space="preserve">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[Section 80ZI inserted: No. 94 of 1984 s. 47; amended: No. 53 of 2011 s. 39; No. 39 of 2018 s. 55.]</w:t>
      </w:r>
    </w:p>
    <w:p>
      <w:pPr>
        <w:pStyle w:val="Heading5"/>
        <w:rPr>
          <w:snapToGrid w:val="0"/>
        </w:rPr>
      </w:pPr>
      <w:bookmarkStart w:id="274" w:name="_Toc98770028"/>
      <w:r>
        <w:rPr>
          <w:rStyle w:val="CharSectno"/>
        </w:rPr>
        <w:t>80ZJ</w:t>
      </w:r>
      <w:r>
        <w:rPr>
          <w:snapToGrid w:val="0"/>
        </w:rPr>
        <w:t>.</w:t>
      </w:r>
      <w:r>
        <w:rPr>
          <w:snapToGrid w:val="0"/>
        </w:rPr>
        <w:tab/>
      </w:r>
      <w:r>
        <w:t xml:space="preserve">Commission may exercise powers conferred by </w:t>
      </w:r>
      <w:r>
        <w:rPr>
          <w:i/>
        </w:rPr>
        <w:t>Fair Work Act 2009</w:t>
      </w:r>
      <w:r>
        <w:t xml:space="preserve"> (Cwlth) etc.</w:t>
      </w:r>
      <w:bookmarkEnd w:id="274"/>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rPr>
          <w:i/>
        </w:rPr>
        <w:t>Fair Work Act 2009</w:t>
      </w:r>
      <w:r>
        <w:t xml:space="preserve"> (Commonwealth) </w:t>
      </w:r>
      <w:r>
        <w:rPr>
          <w:snapToGrid w:val="0"/>
        </w:rPr>
        <w:t>or of any other prescribed enactment.</w:t>
      </w:r>
    </w:p>
    <w:p>
      <w:pPr>
        <w:pStyle w:val="Subsection"/>
        <w:rPr>
          <w:snapToGrid w:val="0"/>
        </w:rPr>
      </w:pPr>
      <w:r>
        <w:rPr>
          <w:snapToGrid w:val="0"/>
        </w:rPr>
        <w:tab/>
        <w:t>(2)</w:t>
      </w:r>
      <w:r>
        <w:rPr>
          <w:snapToGrid w:val="0"/>
        </w:rPr>
        <w:tab/>
        <w:t xml:space="preserve">A decision made by the Commission in exercise of the powers referred to in subsection (1) shall, for the purposes of this Act, </w:t>
      </w:r>
      <w:r>
        <w:rPr>
          <w:snapToGrid w:val="0"/>
        </w:rPr>
        <w:lastRenderedPageBreak/>
        <w:t>be deemed not to have been made by the Commission under this Act.</w:t>
      </w:r>
    </w:p>
    <w:p>
      <w:pPr>
        <w:pStyle w:val="Footnotesection"/>
      </w:pPr>
      <w:r>
        <w:tab/>
        <w:t>[Section 80ZJ inserted: No. 94 of 1984 s. 47; amended: No. 53 of 2011 s. 37.]</w:t>
      </w:r>
    </w:p>
    <w:p>
      <w:pPr>
        <w:pStyle w:val="Heading2"/>
      </w:pPr>
      <w:bookmarkStart w:id="275" w:name="_Toc98505112"/>
      <w:bookmarkStart w:id="276" w:name="_Toc98506811"/>
      <w:bookmarkStart w:id="277" w:name="_Toc98507974"/>
      <w:bookmarkStart w:id="278" w:name="_Toc98770029"/>
      <w:r>
        <w:rPr>
          <w:rStyle w:val="CharPartNo"/>
        </w:rPr>
        <w:lastRenderedPageBreak/>
        <w:t>Part III</w:t>
      </w:r>
      <w:r>
        <w:rPr>
          <w:rStyle w:val="CharDivNo"/>
        </w:rPr>
        <w:t> </w:t>
      </w:r>
      <w:r>
        <w:t>—</w:t>
      </w:r>
      <w:r>
        <w:rPr>
          <w:rStyle w:val="CharDivText"/>
        </w:rPr>
        <w:t> </w:t>
      </w:r>
      <w:r>
        <w:rPr>
          <w:rStyle w:val="CharPartText"/>
        </w:rPr>
        <w:t>Enforcement of Act, awards, industrial agreements and orders</w:t>
      </w:r>
      <w:bookmarkEnd w:id="275"/>
      <w:bookmarkEnd w:id="276"/>
      <w:bookmarkEnd w:id="277"/>
      <w:bookmarkEnd w:id="278"/>
    </w:p>
    <w:p>
      <w:pPr>
        <w:pStyle w:val="Footnoteheading"/>
        <w:rPr>
          <w:snapToGrid w:val="0"/>
        </w:rPr>
      </w:pPr>
      <w:r>
        <w:rPr>
          <w:snapToGrid w:val="0"/>
        </w:rPr>
        <w:tab/>
        <w:t>[Heading amended: No. 94 of 1984 s. 48.]</w:t>
      </w:r>
    </w:p>
    <w:p>
      <w:pPr>
        <w:pStyle w:val="Heading5"/>
        <w:rPr>
          <w:snapToGrid w:val="0"/>
        </w:rPr>
      </w:pPr>
      <w:bookmarkStart w:id="279" w:name="_Toc98770030"/>
      <w:r>
        <w:rPr>
          <w:rStyle w:val="CharSectno"/>
        </w:rPr>
        <w:t>81</w:t>
      </w:r>
      <w:r>
        <w:rPr>
          <w:snapToGrid w:val="0"/>
        </w:rPr>
        <w:t>.</w:t>
      </w:r>
      <w:r>
        <w:rPr>
          <w:snapToGrid w:val="0"/>
        </w:rPr>
        <w:tab/>
        <w:t>Industrial magistrate’s courts established</w:t>
      </w:r>
      <w:bookmarkEnd w:id="279"/>
    </w:p>
    <w:p>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pPr>
        <w:pStyle w:val="Subsection"/>
        <w:spacing w:before="140"/>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spacing w:before="140"/>
        <w:rPr>
          <w:snapToGrid w:val="0"/>
        </w:rPr>
      </w:pPr>
      <w:r>
        <w:rPr>
          <w:snapToGrid w:val="0"/>
        </w:rPr>
        <w:tab/>
        <w:t>(3)</w:t>
      </w:r>
      <w:r>
        <w:rPr>
          <w:snapToGrid w:val="0"/>
        </w:rPr>
        <w:tab/>
        <w:t>The Governor may by proclamation disestablish an industrial magistrate’s court.</w:t>
      </w:r>
    </w:p>
    <w:p>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[Section 81 inserted: No. 44 of 1991 s. 6.]</w:t>
      </w:r>
    </w:p>
    <w:p>
      <w:pPr>
        <w:pStyle w:val="Heading5"/>
        <w:rPr>
          <w:snapToGrid w:val="0"/>
        </w:rPr>
      </w:pPr>
      <w:bookmarkStart w:id="280" w:name="_Toc98770031"/>
      <w:r>
        <w:rPr>
          <w:rStyle w:val="CharSectno"/>
        </w:rPr>
        <w:t>81A</w:t>
      </w:r>
      <w:r>
        <w:rPr>
          <w:snapToGrid w:val="0"/>
        </w:rPr>
        <w:t>.</w:t>
      </w:r>
      <w:r>
        <w:rPr>
          <w:snapToGrid w:val="0"/>
        </w:rPr>
        <w:tab/>
        <w:t>Jurisdiction under this Act of industrial magistrate’s court</w:t>
      </w:r>
      <w:bookmarkEnd w:id="280"/>
    </w:p>
    <w:p>
      <w:pPr>
        <w:pStyle w:val="Subsection"/>
        <w:spacing w:before="140"/>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[Section 81A inserted: No. 79 of 1995 s. 19; amended: No. 3 of 1997 s. 8, 18, and 21(1); No. 20 of 2002 s. 13, 160(1), 193(3) and 195(2).]</w:t>
      </w:r>
    </w:p>
    <w:p>
      <w:pPr>
        <w:pStyle w:val="Heading5"/>
        <w:rPr>
          <w:snapToGrid w:val="0"/>
        </w:rPr>
      </w:pPr>
      <w:bookmarkStart w:id="281" w:name="_Toc98770032"/>
      <w:r>
        <w:rPr>
          <w:rStyle w:val="CharSectno"/>
        </w:rPr>
        <w:t>81AA</w:t>
      </w:r>
      <w:r>
        <w:rPr>
          <w:snapToGrid w:val="0"/>
        </w:rPr>
        <w:t>.</w:t>
      </w:r>
      <w:r>
        <w:rPr>
          <w:snapToGrid w:val="0"/>
        </w:rPr>
        <w:tab/>
        <w:t>Jurisdiction under other Acts of industrial magistrate’s court</w:t>
      </w:r>
      <w:bookmarkEnd w:id="281"/>
    </w:p>
    <w:p>
      <w:pPr>
        <w:pStyle w:val="Subsection"/>
        <w:keepNext/>
        <w:spacing w:before="140"/>
      </w:pPr>
      <w:r>
        <w:rPr>
          <w:snapToGrid w:val="0"/>
        </w:rPr>
        <w:tab/>
      </w:r>
      <w:r>
        <w:rPr>
          <w:snapToGrid w:val="0"/>
        </w:rPr>
        <w:tab/>
        <w:t xml:space="preserve">In addition to its jurisdiction under this Act, an industrial magistrate’s court has the jurisdiction conferred </w:t>
      </w:r>
      <w:r>
        <w:t>on it by the following —</w:t>
      </w:r>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lastRenderedPageBreak/>
        <w:tab/>
        <w:t>(ba)</w:t>
      </w:r>
      <w:r>
        <w:rPr>
          <w:snapToGrid w:val="0"/>
        </w:rPr>
        <w:tab/>
        <w:t xml:space="preserve">Part IV of the </w:t>
      </w:r>
      <w:r>
        <w:rPr>
          <w:i/>
          <w:snapToGrid w:val="0"/>
        </w:rPr>
        <w:t>Long Service Leave Act 1958</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[Section 81AA inserted: No. 15 of 1993 s. 24; amended: No. 79 of 1995 s. 20; No. 20 of 2002 s. 113(2) and 182; No. 34 of 2004 s. 251; No. 36 of 2006 s. 68; No. 53 of 2011 s. 29 and 42.]</w:t>
      </w:r>
    </w:p>
    <w:p>
      <w:pPr>
        <w:pStyle w:val="Heading5"/>
        <w:rPr>
          <w:snapToGrid w:val="0"/>
        </w:rPr>
      </w:pPr>
      <w:bookmarkStart w:id="282" w:name="_Toc98770033"/>
      <w:r>
        <w:rPr>
          <w:rStyle w:val="CharSectno"/>
        </w:rPr>
        <w:t>81B</w:t>
      </w:r>
      <w:r>
        <w:rPr>
          <w:snapToGrid w:val="0"/>
        </w:rPr>
        <w:t>.</w:t>
      </w:r>
      <w:r>
        <w:rPr>
          <w:snapToGrid w:val="0"/>
        </w:rPr>
        <w:tab/>
        <w:t>Industrial magistrate’s courts, constitution of</w:t>
      </w:r>
      <w:bookmarkEnd w:id="282"/>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 xml:space="preserve">The Governor may, on the </w:t>
      </w:r>
      <w:r>
        <w:t>recommendation of</w:t>
      </w:r>
      <w:r>
        <w:rPr>
          <w:snapToGrid w:val="0"/>
        </w:rPr>
        <w:t xml:space="preserve">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 xml:space="preserve">When an industrial magistrate is, or is expected to be, for any reason unable to perform the functions of his office, the Governor may, on the </w:t>
      </w:r>
      <w:r>
        <w:t>recommendation of</w:t>
      </w:r>
      <w:r>
        <w:rPr>
          <w:snapToGrid w:val="0"/>
        </w:rPr>
        <w:t xml:space="preserve">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 xml:space="preserve">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w:t>
      </w:r>
      <w:r>
        <w:rPr>
          <w:snapToGrid w:val="0"/>
        </w:rPr>
        <w:lastRenderedPageBreak/>
        <w:t>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w:t>
      </w:r>
    </w:p>
    <w:p>
      <w:pPr>
        <w:pStyle w:val="Defstart"/>
      </w:pPr>
      <w:r>
        <w:rPr>
          <w:b/>
        </w:rPr>
        <w:tab/>
      </w:r>
      <w:r>
        <w:rPr>
          <w:rStyle w:val="CharDefText"/>
        </w:rPr>
        <w:t>Chief Magistrate</w:t>
      </w:r>
      <w:r>
        <w:t xml:space="preserve"> means the Chief Magistrate of the Magistrates Court.</w:t>
      </w:r>
    </w:p>
    <w:p>
      <w:pPr>
        <w:pStyle w:val="Footnotesection"/>
      </w:pPr>
      <w:r>
        <w:tab/>
        <w:t>[Section 81B inserted: No. 44 of 1991 s. 6; amended: No. 59 of 2004 s. 112; No. 39 of 2018 s. 56.]</w:t>
      </w:r>
    </w:p>
    <w:p>
      <w:pPr>
        <w:pStyle w:val="Heading5"/>
        <w:rPr>
          <w:snapToGrid w:val="0"/>
        </w:rPr>
      </w:pPr>
      <w:bookmarkStart w:id="283" w:name="_Toc98770034"/>
      <w:r>
        <w:rPr>
          <w:rStyle w:val="CharSectno"/>
        </w:rPr>
        <w:t>81C</w:t>
      </w:r>
      <w:r>
        <w:rPr>
          <w:snapToGrid w:val="0"/>
        </w:rPr>
        <w:t>.</w:t>
      </w:r>
      <w:r>
        <w:rPr>
          <w:snapToGrid w:val="0"/>
        </w:rPr>
        <w:tab/>
        <w:t>Sittings of industrial magistrate’s courts</w:t>
      </w:r>
      <w:bookmarkEnd w:id="283"/>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[Section 81C inserted: No. 44 of 1991 s. 6.]</w:t>
      </w:r>
    </w:p>
    <w:p>
      <w:pPr>
        <w:pStyle w:val="Heading5"/>
        <w:rPr>
          <w:snapToGrid w:val="0"/>
        </w:rPr>
      </w:pPr>
      <w:bookmarkStart w:id="284" w:name="_Toc98770035"/>
      <w:r>
        <w:rPr>
          <w:rStyle w:val="CharSectno"/>
        </w:rPr>
        <w:t>81CA</w:t>
      </w:r>
      <w:r>
        <w:rPr>
          <w:snapToGrid w:val="0"/>
        </w:rPr>
        <w:t>.</w:t>
      </w:r>
      <w:r>
        <w:rPr>
          <w:snapToGrid w:val="0"/>
        </w:rPr>
        <w:tab/>
        <w:t>Procedure etc. of industrial magistrate’s courts</w:t>
      </w:r>
      <w:bookmarkEnd w:id="28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jurisdiction</w:t>
      </w:r>
      <w:r>
        <w:t xml:space="preserve"> means the jurisdiction of an industrial magistrate’s court under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 or</w:t>
      </w:r>
    </w:p>
    <w:p>
      <w:pPr>
        <w:pStyle w:val="Defpara"/>
      </w:pPr>
      <w:r>
        <w:tab/>
        <w:t>(c)</w:t>
      </w:r>
      <w:r>
        <w:tab/>
        <w:t xml:space="preserve">the </w:t>
      </w:r>
      <w:r>
        <w:rPr>
          <w:i/>
        </w:rPr>
        <w:t>Construction Industry Portable Paid Long Service Leave Act 1985</w:t>
      </w:r>
      <w:r>
        <w:t xml:space="preserve"> section 53;</w:t>
      </w:r>
    </w:p>
    <w:p>
      <w:pPr>
        <w:pStyle w:val="Defstart"/>
        <w:keepNext/>
      </w:pPr>
      <w:r>
        <w:rPr>
          <w:b/>
        </w:rPr>
        <w:lastRenderedPageBreak/>
        <w:tab/>
      </w:r>
      <w:r>
        <w:rPr>
          <w:rStyle w:val="CharDefText"/>
        </w:rPr>
        <w:t>prosecution jurisdiction</w:t>
      </w:r>
      <w:r>
        <w:t xml:space="preserve"> means the jurisdiction of an industrial magistrate’s court under —</w:t>
      </w:r>
    </w:p>
    <w:p>
      <w:pPr>
        <w:pStyle w:val="Defpara"/>
        <w:keepNext/>
      </w:pPr>
      <w:r>
        <w:tab/>
        <w:t>(a)</w:t>
      </w:r>
      <w:r>
        <w:tab/>
        <w:t>section 83D; or</w:t>
      </w:r>
    </w:p>
    <w:p>
      <w:pPr>
        <w:pStyle w:val="Ednotedefpara"/>
        <w:keepNext/>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r>
        <w:rPr>
          <w:i/>
        </w:rPr>
        <w:t>Magistrates Court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r>
        <w:rPr>
          <w:i/>
        </w:rPr>
        <w:t>Magistrates Court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lastRenderedPageBreak/>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No. 79 of 1995 s. 21; amended: No. 3 of 1997 s. 8, 18 and 21(2); No. 20 of 2002 s. 14, 113(3), 160(2), 182, 193(4) and 195(3) and (4); </w:t>
      </w:r>
      <w:r>
        <w:rPr>
          <w:spacing w:val="-6"/>
        </w:rPr>
        <w:t>No. 34 of 2004 s. </w:t>
      </w:r>
      <w:r>
        <w:t>251; No. 59 of 2004 s. 112; No. 84 of 2004 s. 78; No. 36 of 2006 s. 69; No. 5 of 2008 s. 61; No. 53 of 2011 s. 30.]</w:t>
      </w:r>
    </w:p>
    <w:p>
      <w:pPr>
        <w:pStyle w:val="Heading5"/>
      </w:pPr>
      <w:bookmarkStart w:id="285" w:name="_Toc98770036"/>
      <w:r>
        <w:rPr>
          <w:rStyle w:val="CharSectno"/>
        </w:rPr>
        <w:t>81CB</w:t>
      </w:r>
      <w:r>
        <w:t>.</w:t>
      </w:r>
      <w:r>
        <w:tab/>
        <w:t>Industrial magistrate’s court judgments, enforcement of</w:t>
      </w:r>
      <w:bookmarkEnd w:id="285"/>
    </w:p>
    <w:p>
      <w:pPr>
        <w:pStyle w:val="Subsection"/>
      </w:pPr>
      <w:r>
        <w:tab/>
        <w:t>(1)</w:t>
      </w:r>
      <w:r>
        <w:tab/>
        <w:t>In this section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No. 5 of 2008 s. 62.]</w:t>
      </w:r>
    </w:p>
    <w:p>
      <w:pPr>
        <w:pStyle w:val="Heading5"/>
        <w:rPr>
          <w:snapToGrid w:val="0"/>
        </w:rPr>
      </w:pPr>
      <w:bookmarkStart w:id="286" w:name="_Toc98770037"/>
      <w:r>
        <w:rPr>
          <w:rStyle w:val="CharSectno"/>
        </w:rPr>
        <w:t>81D</w:t>
      </w:r>
      <w:r>
        <w:rPr>
          <w:snapToGrid w:val="0"/>
        </w:rPr>
        <w:t xml:space="preserve">. </w:t>
      </w:r>
      <w:r>
        <w:rPr>
          <w:snapToGrid w:val="0"/>
        </w:rPr>
        <w:tab/>
        <w:t>Clerks of industrial magistrate’s courts</w:t>
      </w:r>
      <w:bookmarkEnd w:id="286"/>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lastRenderedPageBreak/>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[Section 81D inserted: No. 44 of 1991 s. 6; amended: No. 15 of 1993 s. 25; No. 79 of 1995 s. 22; No. 59 of 2004 s. 109; No. 84 of 2004 s. 78.]</w:t>
      </w:r>
    </w:p>
    <w:p>
      <w:pPr>
        <w:pStyle w:val="Heading5"/>
      </w:pPr>
      <w:bookmarkStart w:id="287" w:name="_Toc98770038"/>
      <w:r>
        <w:rPr>
          <w:rStyle w:val="CharSectno"/>
        </w:rPr>
        <w:t>81E</w:t>
      </w:r>
      <w:r>
        <w:t>.</w:t>
      </w:r>
      <w:r>
        <w:tab/>
        <w:t>Representation of parties in industrial magistrate’s court</w:t>
      </w:r>
      <w:bookmarkEnd w:id="287"/>
    </w:p>
    <w:p>
      <w:pPr>
        <w:pStyle w:val="Subsection"/>
        <w:spacing w:before="140"/>
      </w:pPr>
      <w:r>
        <w:tab/>
      </w:r>
      <w:r>
        <w:tab/>
        <w:t>In proceedings before an industrial magistrate’s court a party may —</w:t>
      </w:r>
    </w:p>
    <w:p>
      <w:pPr>
        <w:pStyle w:val="Indenta"/>
        <w:spacing w:before="60"/>
      </w:pPr>
      <w:r>
        <w:tab/>
        <w:t>(a)</w:t>
      </w:r>
      <w:r>
        <w:tab/>
        <w:t>appear in person; or</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No. 79 of 1995 s. 15.]</w:t>
      </w:r>
    </w:p>
    <w:p>
      <w:pPr>
        <w:pStyle w:val="Heading5"/>
      </w:pPr>
      <w:bookmarkStart w:id="288" w:name="_Toc98770039"/>
      <w:r>
        <w:rPr>
          <w:rStyle w:val="CharSectno"/>
        </w:rPr>
        <w:t>81F</w:t>
      </w:r>
      <w:r>
        <w:t>.</w:t>
      </w:r>
      <w:r>
        <w:tab/>
        <w:t>Industrial magistrate’s court records, access to</w:t>
      </w:r>
      <w:bookmarkEnd w:id="288"/>
    </w:p>
    <w:p>
      <w:pPr>
        <w:pStyle w:val="Subsection"/>
      </w:pPr>
      <w:r>
        <w:tab/>
        <w:t>(1)</w:t>
      </w:r>
      <w:r>
        <w:tab/>
        <w:t xml:space="preserve">In respect of an industrial magistrate’s court’s records of proceedings under its prosecution jurisdiction (as defined in 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lastRenderedPageBreak/>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[Section 81F inserted: No. 59 of 2004 s. 110.]</w:t>
      </w:r>
    </w:p>
    <w:p>
      <w:pPr>
        <w:pStyle w:val="Heading5"/>
        <w:rPr>
          <w:snapToGrid w:val="0"/>
        </w:rPr>
      </w:pPr>
      <w:bookmarkStart w:id="289" w:name="_Toc98770040"/>
      <w:r>
        <w:rPr>
          <w:rStyle w:val="CharSectno"/>
        </w:rPr>
        <w:t>82</w:t>
      </w:r>
      <w:r>
        <w:rPr>
          <w:snapToGrid w:val="0"/>
        </w:rPr>
        <w:t>.</w:t>
      </w:r>
      <w:r>
        <w:rPr>
          <w:snapToGrid w:val="0"/>
        </w:rPr>
        <w:tab/>
        <w:t>Jurisdiction of Full Bench</w:t>
      </w:r>
      <w:bookmarkEnd w:id="289"/>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lastRenderedPageBreak/>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Subsection (2) does not apply to the enforcement of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[Section 82 inserted: No. 44 of 1991 s. 6; amended: No. 20 of 2002 s. 154.]</w:t>
      </w:r>
    </w:p>
    <w:p>
      <w:pPr>
        <w:pStyle w:val="Heading5"/>
        <w:rPr>
          <w:snapToGrid w:val="0"/>
        </w:rPr>
      </w:pPr>
      <w:bookmarkStart w:id="290" w:name="_Toc98770041"/>
      <w:r>
        <w:rPr>
          <w:rStyle w:val="CharSectno"/>
        </w:rPr>
        <w:t>82A</w:t>
      </w:r>
      <w:r>
        <w:rPr>
          <w:snapToGrid w:val="0"/>
        </w:rPr>
        <w:t>.</w:t>
      </w:r>
      <w:r>
        <w:rPr>
          <w:snapToGrid w:val="0"/>
        </w:rPr>
        <w:tab/>
        <w:t>Time limit for certain applications</w:t>
      </w:r>
      <w:bookmarkEnd w:id="290"/>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[Section 82A inserted: No. 94 of 1984 s. 50; amended: No. 79 of 1995 s. 23; No. 20 of 2002 s. 160(3).]</w:t>
      </w:r>
    </w:p>
    <w:p>
      <w:pPr>
        <w:pStyle w:val="Heading5"/>
      </w:pPr>
      <w:bookmarkStart w:id="291" w:name="_Toc98770042"/>
      <w:r>
        <w:rPr>
          <w:rStyle w:val="CharSectno"/>
        </w:rPr>
        <w:t>83</w:t>
      </w:r>
      <w:r>
        <w:t>.</w:t>
      </w:r>
      <w:r>
        <w:tab/>
        <w:t>Enforcing awards etc.</w:t>
      </w:r>
      <w:bookmarkEnd w:id="291"/>
    </w:p>
    <w:p>
      <w:pPr>
        <w:pStyle w:val="Subsection"/>
      </w:pPr>
      <w:r>
        <w:tab/>
        <w:t>(1)</w:t>
      </w:r>
      <w:r>
        <w:tab/>
        <w:t>Subject to this Act, where a person contravenes or fails to comply with a provision of an instrument to which this section applies any of the following may apply in the prescribed manner to an industrial magistrate’s court for the enforcement of the provision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lastRenderedPageBreak/>
        <w:tab/>
        <w:t>(f)</w:t>
      </w:r>
      <w:r>
        <w:tab/>
        <w:t>if an employee under an employer</w:t>
      </w:r>
      <w:r>
        <w:noBreakHyphen/>
        <w:t>employee agreement is a represented person, a representative acting on his or her behalf.</w:t>
      </w:r>
    </w:p>
    <w:p>
      <w:pPr>
        <w:pStyle w:val="Subsection"/>
      </w:pPr>
      <w:r>
        <w:tab/>
        <w:t>(2)</w:t>
      </w:r>
      <w:r>
        <w:tab/>
        <w:t>In this section —</w:t>
      </w:r>
    </w:p>
    <w:p>
      <w:pPr>
        <w:pStyle w:val="Defstart"/>
      </w:pPr>
      <w:r>
        <w:tab/>
      </w:r>
      <w:r>
        <w:rPr>
          <w:rStyle w:val="CharDefText"/>
        </w:rPr>
        <w:t>instrument to which this section applies</w:t>
      </w:r>
      <w:r>
        <w:t xml:space="preserve"> means —</w:t>
      </w:r>
    </w:p>
    <w:p>
      <w:pPr>
        <w:pStyle w:val="Defpara"/>
      </w:pPr>
      <w:r>
        <w:tab/>
        <w:t>(a)</w:t>
      </w:r>
      <w:r>
        <w:tab/>
        <w:t>an award; and</w:t>
      </w:r>
    </w:p>
    <w:p>
      <w:pPr>
        <w:pStyle w:val="Defpara"/>
      </w:pPr>
      <w:r>
        <w:tab/>
        <w:t>(b)</w:t>
      </w:r>
      <w:r>
        <w:tab/>
        <w:t>an industrial agreement; and</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On the hearing of an application under subsection (1) the industrial magistrate’s court may, by order —</w:t>
      </w:r>
    </w:p>
    <w:p>
      <w:pPr>
        <w:pStyle w:val="Indenta"/>
      </w:pPr>
      <w:r>
        <w:tab/>
        <w:t>(a)</w:t>
      </w:r>
      <w:r>
        <w:tab/>
        <w:t>if the contravention or failure to comply is proved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keepNext/>
      </w:pPr>
      <w:r>
        <w:lastRenderedPageBreak/>
        <w:tab/>
        <w:t>(6)</w:t>
      </w:r>
      <w:r>
        <w:tab/>
        <w:t>An order under subsection (5) —</w:t>
      </w:r>
    </w:p>
    <w:p>
      <w:pPr>
        <w:pStyle w:val="Indenta"/>
        <w:spacing w:before="60"/>
      </w:pPr>
      <w:r>
        <w:tab/>
        <w:t>(a)</w:t>
      </w:r>
      <w:r>
        <w:tab/>
        <w:t>may be made subject to any terms and conditions the court thinks appropriate; and</w:t>
      </w:r>
    </w:p>
    <w:p>
      <w:pPr>
        <w:pStyle w:val="Indenta"/>
        <w:spacing w:before="6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No. 20 of 2002 s. 155(1).]</w:t>
      </w:r>
    </w:p>
    <w:p>
      <w:pPr>
        <w:pStyle w:val="Heading5"/>
      </w:pPr>
      <w:bookmarkStart w:id="292" w:name="_Toc98770043"/>
      <w:r>
        <w:rPr>
          <w:rStyle w:val="CharSectno"/>
        </w:rPr>
        <w:t>83A</w:t>
      </w:r>
      <w:r>
        <w:t>.</w:t>
      </w:r>
      <w:r>
        <w:tab/>
        <w:t>Underpayment of employee, orders to remedy</w:t>
      </w:r>
      <w:bookmarkEnd w:id="292"/>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An order may only be made under subsection (1) —</w:t>
      </w:r>
    </w:p>
    <w:p>
      <w:pPr>
        <w:pStyle w:val="Indenta"/>
        <w:spacing w:before="60"/>
      </w:pPr>
      <w:r>
        <w:tab/>
        <w:t>(a)</w:t>
      </w:r>
      <w:r>
        <w:tab/>
        <w:t>in respect of any amount relating to a period not being more than 6 years prior to the commencement of the proceedings; or</w:t>
      </w:r>
    </w:p>
    <w:p>
      <w:pPr>
        <w:pStyle w:val="Indenta"/>
        <w:spacing w:before="60"/>
      </w:pPr>
      <w:r>
        <w:tab/>
        <w:t>(b)</w:t>
      </w:r>
      <w:r>
        <w:tab/>
        <w:t>if the employer concerned appears to the industrial magistrate’s court, or has been found under section 83E, to have contravened section 102(1)(a) or (b) by reason of having failed —</w:t>
      </w:r>
    </w:p>
    <w:p>
      <w:pPr>
        <w:pStyle w:val="Indenti"/>
        <w:spacing w:before="60"/>
      </w:pPr>
      <w:r>
        <w:tab/>
        <w:t>(i)</w:t>
      </w:r>
      <w:r>
        <w:tab/>
        <w:t>to produce or exhibit a record relevant to the proceedings; or</w:t>
      </w:r>
    </w:p>
    <w:p>
      <w:pPr>
        <w:pStyle w:val="Indenti"/>
        <w:spacing w:before="60"/>
      </w:pPr>
      <w:r>
        <w:tab/>
        <w:t>(ii)</w:t>
      </w:r>
      <w:r>
        <w:tab/>
        <w:t>to allow such a record to be examined; or</w:t>
      </w:r>
    </w:p>
    <w:p>
      <w:pPr>
        <w:pStyle w:val="Indenti"/>
        <w:spacing w:before="60"/>
      </w:pPr>
      <w:r>
        <w:tab/>
        <w:t>(iii)</w:t>
      </w:r>
      <w:r>
        <w:tab/>
        <w:t xml:space="preserve">to answer a question relevant to the proceedings truthfully to the best of the employer’s </w:t>
      </w:r>
      <w:r>
        <w:lastRenderedPageBreak/>
        <w:t>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spacing w:before="100"/>
        <w:ind w:left="890" w:hanging="890"/>
      </w:pPr>
      <w:r>
        <w:tab/>
        <w:t>[Section 83A inserted: No. 20 of 2002 s. 155(1).]</w:t>
      </w:r>
    </w:p>
    <w:p>
      <w:pPr>
        <w:pStyle w:val="Heading5"/>
      </w:pPr>
      <w:bookmarkStart w:id="293" w:name="_Toc98770044"/>
      <w:r>
        <w:rPr>
          <w:rStyle w:val="CharSectno"/>
        </w:rPr>
        <w:t>83B</w:t>
      </w:r>
      <w:r>
        <w:t>.</w:t>
      </w:r>
      <w:r>
        <w:tab/>
        <w:t>Unfair dismissal, enforcing s. 23A order as to</w:t>
      </w:r>
      <w:bookmarkEnd w:id="293"/>
    </w:p>
    <w:p>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pPr>
        <w:pStyle w:val="Indenta"/>
        <w:spacing w:before="60"/>
      </w:pPr>
      <w:r>
        <w:tab/>
        <w:t>(a)</w:t>
      </w:r>
      <w:r>
        <w:tab/>
        <w:t>the Registrar or a deputy registrar; and</w:t>
      </w:r>
    </w:p>
    <w:p>
      <w:pPr>
        <w:pStyle w:val="Indenta"/>
        <w:spacing w:before="60"/>
      </w:pPr>
      <w:r>
        <w:tab/>
        <w:t>(b)</w:t>
      </w:r>
      <w:r>
        <w:tab/>
        <w:t>an industrial inspector; and</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spacing w:before="150"/>
      </w:pPr>
      <w:r>
        <w:tab/>
        <w:t>(2)</w:t>
      </w:r>
      <w:r>
        <w:tab/>
        <w:t>No fee is payable for the filing of an application under subsection (1).</w:t>
      </w:r>
    </w:p>
    <w:p>
      <w:pPr>
        <w:pStyle w:val="Subsection"/>
        <w:spacing w:before="150"/>
      </w:pPr>
      <w:r>
        <w:tab/>
        <w:t>(3)</w:t>
      </w:r>
      <w:r>
        <w:tab/>
        <w:t>On an application under subsection (1) in respect of a contravention or failure to comply with an order under section 23A(3) or (4), the industrial magistrate’s court may —</w:t>
      </w:r>
    </w:p>
    <w:p>
      <w:pPr>
        <w:pStyle w:val="Indenta"/>
        <w:spacing w:before="60"/>
      </w:pPr>
      <w:r>
        <w:tab/>
        <w:t>(a)</w:t>
      </w:r>
      <w:r>
        <w:tab/>
        <w:t>if the contravention or failure to comply is proved, make an order for whichever of the following type of remedy was requested in the application —</w:t>
      </w:r>
    </w:p>
    <w:p>
      <w:pPr>
        <w:pStyle w:val="Indenti"/>
        <w:spacing w:before="60"/>
      </w:pPr>
      <w:r>
        <w:tab/>
        <w:t>(i)</w:t>
      </w:r>
      <w:r>
        <w:tab/>
        <w:t xml:space="preserve">an order that the employer do any specified thing, or cease any specified activity, for the </w:t>
      </w:r>
      <w:r>
        <w:lastRenderedPageBreak/>
        <w:t>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On an application under subsection (1) in respect of a contravention or failure to comply with an order under section 23A(5), (6) or (12), the industrial magistrate’s court may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The industrial magistrate’s court may, in addition to making an order under subsection (3)(a) or (4)(a) —</w:t>
      </w:r>
    </w:p>
    <w:p>
      <w:pPr>
        <w:pStyle w:val="Indenta"/>
      </w:pPr>
      <w:r>
        <w:tab/>
        <w:t>(a)</w:t>
      </w:r>
      <w:r>
        <w:tab/>
        <w:t>issue a caution or impose such penalty as the industrial magistrate’s court thinks just but not exceeding $5 000; and</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lastRenderedPageBreak/>
        <w:tab/>
        <w:t>(6)</w:t>
      </w:r>
      <w:r>
        <w:tab/>
        <w:t>An order under subsection (3)(a) or (4)(a)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The amount ordered to be paid under subsection (3)(a)(ii)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In deciding an amount for the purposes of making an order under subsection (3)(a)(ii), the industrial magistrate’s court is to have regard to —</w:t>
      </w:r>
    </w:p>
    <w:p>
      <w:pPr>
        <w:pStyle w:val="Indenta"/>
      </w:pPr>
      <w:r>
        <w:tab/>
        <w:t>(a)</w:t>
      </w:r>
      <w:r>
        <w:tab/>
        <w:t>the efforts (if any) of the employer and employee to mitigate the loss suffered by the former employee as a result of the dismissal; and</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No. 20 of 2002 s. 155(1).]</w:t>
      </w:r>
    </w:p>
    <w:p>
      <w:pPr>
        <w:pStyle w:val="Heading5"/>
        <w:pageBreakBefore/>
        <w:spacing w:before="0"/>
      </w:pPr>
      <w:bookmarkStart w:id="294" w:name="_Toc98770045"/>
      <w:r>
        <w:rPr>
          <w:rStyle w:val="CharSectno"/>
        </w:rPr>
        <w:lastRenderedPageBreak/>
        <w:t>83C</w:t>
      </w:r>
      <w:r>
        <w:t>.</w:t>
      </w:r>
      <w:r>
        <w:tab/>
        <w:t>Costs of enforcement orders under s. 83, 83A and 83B</w:t>
      </w:r>
      <w:bookmarkEnd w:id="294"/>
    </w:p>
    <w:p>
      <w:pPr>
        <w:pStyle w:val="Subsection"/>
        <w:spacing w:before="140"/>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spacing w:before="140"/>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spacing w:before="100"/>
        <w:ind w:left="890" w:hanging="890"/>
      </w:pPr>
      <w:r>
        <w:tab/>
        <w:t>[Section 83C inserted: No. 20 of 2002 s. 155(1).]</w:t>
      </w:r>
    </w:p>
    <w:p>
      <w:pPr>
        <w:pStyle w:val="Heading5"/>
        <w:rPr>
          <w:snapToGrid w:val="0"/>
        </w:rPr>
      </w:pPr>
      <w:bookmarkStart w:id="295" w:name="_Toc98770046"/>
      <w:r>
        <w:rPr>
          <w:rStyle w:val="CharSectno"/>
        </w:rPr>
        <w:t>83D</w:t>
      </w:r>
      <w:r>
        <w:rPr>
          <w:snapToGrid w:val="0"/>
        </w:rPr>
        <w:t>.</w:t>
      </w:r>
      <w:r>
        <w:rPr>
          <w:snapToGrid w:val="0"/>
        </w:rPr>
        <w:tab/>
        <w:t>Offences under this Act, jurisdiction as to</w:t>
      </w:r>
      <w:bookmarkEnd w:id="295"/>
    </w:p>
    <w:p>
      <w:pPr>
        <w:pStyle w:val="Subsection"/>
        <w:spacing w:before="140"/>
      </w:pPr>
      <w:r>
        <w:tab/>
        <w:t>(1)</w:t>
      </w:r>
      <w:r>
        <w:tab/>
        <w:t>An industrial magistrate’s court has jurisdiction to hear and determine any charge of an offence under this Act other than an offence under section 80(3).</w:t>
      </w:r>
    </w:p>
    <w:p>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spacing w:before="100"/>
        <w:ind w:left="890" w:hanging="890"/>
      </w:pPr>
      <w:r>
        <w:tab/>
        <w:t>[Section 83D inserted as section 83A: No. 79 of 1995 s. 25; renumbered as section 83D: No. 20 of 2002 s. 156; amended: No. 59 of 2004 s. 112; No. 84 of 2004 s. 78 and 80; No. 5 of 2008 s. 63.]</w:t>
      </w:r>
    </w:p>
    <w:p>
      <w:pPr>
        <w:pStyle w:val="Heading5"/>
      </w:pPr>
      <w:bookmarkStart w:id="296" w:name="_Toc98770047"/>
      <w:r>
        <w:rPr>
          <w:rStyle w:val="CharSectno"/>
        </w:rPr>
        <w:t>83E</w:t>
      </w:r>
      <w:r>
        <w:t>.</w:t>
      </w:r>
      <w:r>
        <w:tab/>
        <w:t>Civil penalty provision, proceedings for contravening</w:t>
      </w:r>
      <w:bookmarkEnd w:id="296"/>
    </w:p>
    <w:p>
      <w:pPr>
        <w:pStyle w:val="Subsection"/>
        <w:spacing w:before="140"/>
      </w:pPr>
      <w:r>
        <w:tab/>
        <w:t>(1)</w:t>
      </w:r>
      <w:r>
        <w:tab/>
        <w:t>If a person contravenes a civil penalty provision, an industrial magistrate’s court may make an order imposing a penalty on the person, not exceeding —</w:t>
      </w:r>
    </w:p>
    <w:p>
      <w:pPr>
        <w:pStyle w:val="Indenta"/>
        <w:spacing w:before="60"/>
      </w:pPr>
      <w:r>
        <w:tab/>
        <w:t>(a)</w:t>
      </w:r>
      <w:r>
        <w:tab/>
        <w:t>in the case of an employer, organisation or association, $5 000; and</w:t>
      </w:r>
    </w:p>
    <w:p>
      <w:pPr>
        <w:pStyle w:val="Indenta"/>
      </w:pPr>
      <w:r>
        <w:lastRenderedPageBreak/>
        <w:tab/>
        <w:t>(b)</w:t>
      </w:r>
      <w:r>
        <w:tab/>
        <w:t>in any other case, $1 000.</w:t>
      </w:r>
    </w:p>
    <w:p>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spacing w:before="180"/>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spacing w:before="180"/>
      </w:pPr>
      <w:r>
        <w:tab/>
        <w:t>(4)</w:t>
      </w:r>
      <w:r>
        <w:tab/>
        <w:t>An order under subsection (2)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spacing w:before="180"/>
      </w:pPr>
      <w:r>
        <w:tab/>
        <w:t>(5)</w:t>
      </w:r>
      <w:r>
        <w:tab/>
        <w:t>An interim order may be made under subsection (2) pending final determination of an application under this section.</w:t>
      </w:r>
    </w:p>
    <w:p>
      <w:pPr>
        <w:pStyle w:val="Subsection"/>
        <w:spacing w:before="180"/>
      </w:pPr>
      <w:r>
        <w:tab/>
        <w:t>(6)</w:t>
      </w:r>
      <w:r>
        <w:tab/>
        <w:t>Except as provided in subsections (6a) and (7A), an application for an order under this section may be made by —</w:t>
      </w:r>
    </w:p>
    <w:p>
      <w:pPr>
        <w:pStyle w:val="Indenta"/>
      </w:pPr>
      <w:r>
        <w:tab/>
        <w:t>(a)</w:t>
      </w:r>
      <w:r>
        <w:tab/>
        <w:t>a person directly affected by the contravention or, if that person is a represented person, his or her representative; or</w:t>
      </w:r>
    </w:p>
    <w:p>
      <w:pPr>
        <w:pStyle w:val="Indenta"/>
      </w:pPr>
      <w:r>
        <w:tab/>
        <w:t>(b)</w:t>
      </w:r>
      <w:r>
        <w:tab/>
        <w:t>an organisation or association of which a person who comes within paragraph (a) is a member; or</w:t>
      </w:r>
    </w:p>
    <w:p>
      <w:pPr>
        <w:pStyle w:val="Indenta"/>
      </w:pPr>
      <w:r>
        <w:tab/>
        <w:t>(c)</w:t>
      </w:r>
      <w:r>
        <w:tab/>
        <w:t>the Registrar or a deputy registrar; or</w:t>
      </w:r>
    </w:p>
    <w:p>
      <w:pPr>
        <w:pStyle w:val="Indenta"/>
      </w:pPr>
      <w:r>
        <w:tab/>
        <w:t>(d)</w:t>
      </w:r>
      <w:r>
        <w:tab/>
        <w:t>an industrial inspector.</w:t>
      </w:r>
    </w:p>
    <w:p>
      <w:pPr>
        <w:pStyle w:val="Subsection"/>
        <w:spacing w:before="180"/>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lastRenderedPageBreak/>
        <w:tab/>
        <w:t>(7A)</w:t>
      </w:r>
      <w:r>
        <w:tab/>
        <w:t xml:space="preserve">In the case of a contravention of a provision under the </w:t>
      </w:r>
      <w:r>
        <w:rPr>
          <w:i/>
        </w:rPr>
        <w:t>Construction Industry Portable Paid Long Service Leave Act 1985</w:t>
      </w:r>
      <w:r>
        <w:t xml:space="preserve"> that is a civil penalty provision —</w:t>
      </w:r>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83E inserted: No. 20 of 2002 s. 157; amended: No. 36 of 2006 s. 70; No. 53 of 2011 s. 31.]</w:t>
      </w:r>
    </w:p>
    <w:p>
      <w:pPr>
        <w:pStyle w:val="Heading5"/>
        <w:pageBreakBefore/>
        <w:spacing w:before="0"/>
      </w:pPr>
      <w:bookmarkStart w:id="297" w:name="_Toc98770048"/>
      <w:r>
        <w:rPr>
          <w:rStyle w:val="CharSectno"/>
        </w:rPr>
        <w:lastRenderedPageBreak/>
        <w:t>83F</w:t>
      </w:r>
      <w:r>
        <w:t>.</w:t>
      </w:r>
      <w:r>
        <w:tab/>
        <w:t>Costs and penalties, payment of</w:t>
      </w:r>
      <w:bookmarkEnd w:id="297"/>
    </w:p>
    <w:p>
      <w:pPr>
        <w:pStyle w:val="Subsection"/>
      </w:pPr>
      <w:r>
        <w:tab/>
        <w:t>(1)</w:t>
      </w:r>
      <w:r>
        <w:tab/>
        <w:t>Where the industrial magistrate’s court, by an order made under section 83, 83A, 83B or 83E, imposes a penalty or costs the industrial magistrate’s court shall state in the order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An industrial magistrate’s court imposing a penalty by order under section 83, 83A, 83B or 83E may order that the amount of the penalty, or part of that amount, be paid to —</w:t>
      </w:r>
    </w:p>
    <w:p>
      <w:pPr>
        <w:pStyle w:val="Indenta"/>
      </w:pPr>
      <w:r>
        <w:tab/>
        <w:t>(a)</w:t>
      </w:r>
      <w:r>
        <w:tab/>
        <w:t>a person directly affected by the conduct to which the contravention relates; or</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[Section 83F inserted: No. 20 of 2002 s. 157.]</w:t>
      </w:r>
    </w:p>
    <w:p>
      <w:pPr>
        <w:pStyle w:val="Heading5"/>
        <w:keepNext w:val="0"/>
        <w:keepLines w:val="0"/>
        <w:rPr>
          <w:snapToGrid w:val="0"/>
        </w:rPr>
      </w:pPr>
      <w:bookmarkStart w:id="298" w:name="_Toc98770049"/>
      <w:r>
        <w:rPr>
          <w:rStyle w:val="CharSectno"/>
        </w:rPr>
        <w:t>84</w:t>
      </w:r>
      <w:r>
        <w:rPr>
          <w:snapToGrid w:val="0"/>
        </w:rPr>
        <w:t>.</w:t>
      </w:r>
      <w:r>
        <w:rPr>
          <w:snapToGrid w:val="0"/>
        </w:rPr>
        <w:tab/>
        <w:t>Appeal from industrial magistrate’s court to Full Bench</w:t>
      </w:r>
      <w:bookmarkEnd w:id="298"/>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 xml:space="preserve">An appeal under this section shall be instituted within 21 days from the date of the decision against which the appeal is brought </w:t>
      </w:r>
      <w:r>
        <w:rPr>
          <w:snapToGrid w:val="0"/>
        </w:rPr>
        <w:lastRenderedPageBreak/>
        <w:t>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w:t>
      </w:r>
    </w:p>
    <w:p>
      <w:pPr>
        <w:pStyle w:val="Indenta"/>
        <w:rPr>
          <w:snapToGrid w:val="0"/>
        </w:rPr>
      </w:pPr>
      <w:r>
        <w:rPr>
          <w:snapToGrid w:val="0"/>
        </w:rPr>
        <w:tab/>
        <w:t>(a)</w:t>
      </w:r>
      <w:r>
        <w:rPr>
          <w:snapToGrid w:val="0"/>
        </w:rPr>
        <w:tab/>
        <w:t>may confirm, reverse, vary, amend, rescind, set aside, or quash the decision the subject of the appeal; and</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[Section 84 amended: No. 94 of 1984 s. 66; No. 44 of 1991 s. 8; No. 15 of 1993 s. 26; No. 20 of 2002 s. 113(4).]</w:t>
      </w:r>
    </w:p>
    <w:p>
      <w:pPr>
        <w:pStyle w:val="Heading5"/>
        <w:rPr>
          <w:snapToGrid w:val="0"/>
        </w:rPr>
      </w:pPr>
      <w:bookmarkStart w:id="299" w:name="_Toc98770050"/>
      <w:r>
        <w:rPr>
          <w:rStyle w:val="CharSectno"/>
        </w:rPr>
        <w:t>84A</w:t>
      </w:r>
      <w:r>
        <w:rPr>
          <w:snapToGrid w:val="0"/>
        </w:rPr>
        <w:t>.</w:t>
      </w:r>
      <w:r>
        <w:rPr>
          <w:snapToGrid w:val="0"/>
        </w:rPr>
        <w:tab/>
        <w:t>Certain contraventions of Act, enforcement of before Full Bench</w:t>
      </w:r>
      <w:bookmarkEnd w:id="299"/>
    </w:p>
    <w:p>
      <w:pPr>
        <w:pStyle w:val="Subsection"/>
        <w:rPr>
          <w:snapToGrid w:val="0"/>
        </w:rPr>
      </w:pPr>
      <w:r>
        <w:rPr>
          <w:snapToGrid w:val="0"/>
        </w:rPr>
        <w:tab/>
        <w:t>(1)</w:t>
      </w:r>
      <w:r>
        <w:rPr>
          <w:snapToGrid w:val="0"/>
        </w:rPr>
        <w:tab/>
        <w:t>Subject to this section, if a person contravenes or fails to comply with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w:t>
      </w:r>
    </w:p>
    <w:p>
      <w:pPr>
        <w:pStyle w:val="Indenti"/>
        <w:rPr>
          <w:snapToGrid w:val="0"/>
        </w:rPr>
      </w:pPr>
      <w:r>
        <w:rPr>
          <w:snapToGrid w:val="0"/>
        </w:rPr>
        <w:tab/>
        <w:t>(i)</w:t>
      </w:r>
      <w:r>
        <w:rPr>
          <w:snapToGrid w:val="0"/>
        </w:rPr>
        <w:tab/>
        <w:t>the Minister; or</w:t>
      </w:r>
    </w:p>
    <w:p>
      <w:pPr>
        <w:pStyle w:val="Indenti"/>
        <w:rPr>
          <w:snapToGrid w:val="0"/>
        </w:rPr>
      </w:pPr>
      <w:r>
        <w:rPr>
          <w:snapToGrid w:val="0"/>
        </w:rPr>
        <w:tab/>
        <w:t>(ii)</w:t>
      </w:r>
      <w:r>
        <w:rPr>
          <w:snapToGrid w:val="0"/>
        </w:rPr>
        <w:tab/>
        <w:t>the Registrar or a deputy registrar; or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Subsection (1) does not apply to a contravention of or a failure to comply with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w:t>
      </w:r>
    </w:p>
    <w:p>
      <w:pPr>
        <w:pStyle w:val="Indenta"/>
        <w:rPr>
          <w:snapToGrid w:val="0"/>
        </w:rPr>
      </w:pPr>
      <w:r>
        <w:rPr>
          <w:snapToGrid w:val="0"/>
        </w:rPr>
        <w:tab/>
        <w:t>(a)</w:t>
      </w:r>
      <w:r>
        <w:rPr>
          <w:snapToGrid w:val="0"/>
        </w:rPr>
        <w:tab/>
        <w:t>if the contravention or failure to comply is proved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lastRenderedPageBreak/>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[Section 84A inserted: No. 94 of 1984 s. 52; amended: No. 119 of 1987 s. 21; No. 79 of 1995 s. 8(2); No. 20 of 2002 s. 134 and 158; No. 36 of 2006 s. 26.]</w:t>
      </w:r>
    </w:p>
    <w:p>
      <w:pPr>
        <w:pStyle w:val="Ednotepart"/>
        <w:rPr>
          <w:b/>
        </w:rPr>
      </w:pPr>
      <w:r>
        <w:t>[Part IIIA (s. 84B</w:t>
      </w:r>
      <w:r>
        <w:noBreakHyphen/>
        <w:t>84O) deleted</w:t>
      </w:r>
      <w:r>
        <w:rPr>
          <w:b/>
        </w:rPr>
        <w:t>:</w:t>
      </w:r>
      <w:r>
        <w:t xml:space="preserve"> No. 20 of 2002 s. 193(1).]</w:t>
      </w:r>
    </w:p>
    <w:p>
      <w:pPr>
        <w:pStyle w:val="Heading2"/>
      </w:pPr>
      <w:bookmarkStart w:id="300" w:name="_Toc98505134"/>
      <w:bookmarkStart w:id="301" w:name="_Toc98506833"/>
      <w:bookmarkStart w:id="302" w:name="_Toc98507996"/>
      <w:bookmarkStart w:id="303" w:name="_Toc98770051"/>
      <w:r>
        <w:rPr>
          <w:rStyle w:val="CharPartNo"/>
        </w:rPr>
        <w:lastRenderedPageBreak/>
        <w:t>Part IV</w:t>
      </w:r>
      <w:r>
        <w:rPr>
          <w:rStyle w:val="CharDivNo"/>
        </w:rPr>
        <w:t> </w:t>
      </w:r>
      <w:r>
        <w:t>—</w:t>
      </w:r>
      <w:r>
        <w:rPr>
          <w:rStyle w:val="CharDivText"/>
        </w:rPr>
        <w:t> </w:t>
      </w:r>
      <w:r>
        <w:rPr>
          <w:rStyle w:val="CharPartText"/>
        </w:rPr>
        <w:t>Western Australian Industrial Appeal Court</w:t>
      </w:r>
      <w:bookmarkEnd w:id="300"/>
      <w:bookmarkEnd w:id="301"/>
      <w:bookmarkEnd w:id="302"/>
      <w:bookmarkEnd w:id="303"/>
    </w:p>
    <w:p>
      <w:pPr>
        <w:pStyle w:val="Heading5"/>
        <w:rPr>
          <w:snapToGrid w:val="0"/>
        </w:rPr>
      </w:pPr>
      <w:bookmarkStart w:id="304" w:name="_Toc98770052"/>
      <w:r>
        <w:rPr>
          <w:rStyle w:val="CharSectno"/>
        </w:rPr>
        <w:t>85</w:t>
      </w:r>
      <w:r>
        <w:rPr>
          <w:snapToGrid w:val="0"/>
        </w:rPr>
        <w:t>.</w:t>
      </w:r>
      <w:r>
        <w:rPr>
          <w:snapToGrid w:val="0"/>
        </w:rPr>
        <w:tab/>
        <w:t>Constitution of Court</w:t>
      </w:r>
      <w:bookmarkEnd w:id="304"/>
    </w:p>
    <w:p>
      <w:pPr>
        <w:pStyle w:val="Subsection"/>
        <w:rPr>
          <w:snapToGrid w:val="0"/>
        </w:rPr>
      </w:pPr>
      <w:r>
        <w:rPr>
          <w:snapToGrid w:val="0"/>
        </w:rPr>
        <w:tab/>
        <w:t>(1)</w:t>
      </w:r>
      <w:r>
        <w:rPr>
          <w:snapToGrid w:val="0"/>
        </w:rPr>
        <w:tab/>
        <w:t>The Court by the name “Western Australian Industrial Appeal Court”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w:t>
      </w:r>
    </w:p>
    <w:p>
      <w:pPr>
        <w:pStyle w:val="Indenta"/>
        <w:rPr>
          <w:snapToGrid w:val="0"/>
        </w:rPr>
      </w:pPr>
      <w:r>
        <w:rPr>
          <w:snapToGrid w:val="0"/>
        </w:rPr>
        <w:tab/>
        <w:t>(a)</w:t>
      </w:r>
      <w:r>
        <w:rPr>
          <w:snapToGrid w:val="0"/>
        </w:rPr>
        <w:tab/>
        <w:t>a judge who shall be the presiding judge; and</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lastRenderedPageBreak/>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[Section 85 amended: No. 94 of 1984 s. 53; No. 32 of 1994 s. 14; No. 53 of 2011 s. 43.]</w:t>
      </w:r>
    </w:p>
    <w:p>
      <w:pPr>
        <w:pStyle w:val="Heading5"/>
        <w:rPr>
          <w:snapToGrid w:val="0"/>
        </w:rPr>
      </w:pPr>
      <w:bookmarkStart w:id="305" w:name="_Toc98770053"/>
      <w:r>
        <w:rPr>
          <w:rStyle w:val="CharSectno"/>
        </w:rPr>
        <w:t>86</w:t>
      </w:r>
      <w:r>
        <w:rPr>
          <w:snapToGrid w:val="0"/>
        </w:rPr>
        <w:t>.</w:t>
      </w:r>
      <w:r>
        <w:rPr>
          <w:snapToGrid w:val="0"/>
        </w:rPr>
        <w:tab/>
        <w:t>Jurisdiction of Court</w:t>
      </w:r>
      <w:bookmarkEnd w:id="305"/>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 xml:space="preserve">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w:t>
      </w:r>
      <w:r>
        <w:rPr>
          <w:snapToGrid w:val="0"/>
        </w:rPr>
        <w:lastRenderedPageBreak/>
        <w:t>frivolously or vexatiously instituted or defended, as the case requires, by the other party.</w:t>
      </w:r>
    </w:p>
    <w:p>
      <w:pPr>
        <w:pStyle w:val="Footnotesection"/>
      </w:pPr>
      <w:r>
        <w:tab/>
        <w:t>[Section 86 amended: No. 15 of 1993 s. 27.]</w:t>
      </w:r>
    </w:p>
    <w:p>
      <w:pPr>
        <w:pStyle w:val="Heading5"/>
        <w:rPr>
          <w:snapToGrid w:val="0"/>
        </w:rPr>
      </w:pPr>
      <w:bookmarkStart w:id="306" w:name="_Toc98770054"/>
      <w:r>
        <w:rPr>
          <w:rStyle w:val="CharSectno"/>
        </w:rPr>
        <w:t>87</w:t>
      </w:r>
      <w:r>
        <w:rPr>
          <w:snapToGrid w:val="0"/>
        </w:rPr>
        <w:t>.</w:t>
      </w:r>
      <w:r>
        <w:rPr>
          <w:snapToGrid w:val="0"/>
        </w:rPr>
        <w:tab/>
        <w:t>Decision of Court</w:t>
      </w:r>
      <w:bookmarkEnd w:id="306"/>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[Section 87 amended: No. 94 of 1984 s. 66.]</w:t>
      </w:r>
    </w:p>
    <w:p>
      <w:pPr>
        <w:pStyle w:val="Heading5"/>
      </w:pPr>
      <w:bookmarkStart w:id="307" w:name="_Toc98770055"/>
      <w:r>
        <w:rPr>
          <w:rStyle w:val="CharSectno"/>
        </w:rPr>
        <w:t>88</w:t>
      </w:r>
      <w:r>
        <w:t>.</w:t>
      </w:r>
      <w:r>
        <w:tab/>
        <w:t>Judgments, enforcement of</w:t>
      </w:r>
      <w:bookmarkEnd w:id="30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keepNext/>
        <w:keepLines/>
      </w:pPr>
      <w:r>
        <w:lastRenderedPageBreak/>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keepNext/>
        <w:keepLines/>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spacing w:before="100"/>
        <w:ind w:left="890" w:hanging="890"/>
      </w:pPr>
      <w:r>
        <w:tab/>
        <w:t>[Section 88 inserted: No. 59 of 2004 s. 111.]</w:t>
      </w:r>
    </w:p>
    <w:p>
      <w:pPr>
        <w:pStyle w:val="Ednotesection"/>
        <w:ind w:left="890" w:hanging="890"/>
      </w:pPr>
      <w:r>
        <w:t>[</w:t>
      </w:r>
      <w:r>
        <w:rPr>
          <w:b/>
        </w:rPr>
        <w:t>89.</w:t>
      </w:r>
      <w:r>
        <w:rPr>
          <w:b/>
        </w:rPr>
        <w:tab/>
      </w:r>
      <w:r>
        <w:t>Deleted: No. 59 of 2004 s. 111.]</w:t>
      </w:r>
    </w:p>
    <w:p>
      <w:pPr>
        <w:pStyle w:val="Heading5"/>
        <w:rPr>
          <w:snapToGrid w:val="0"/>
        </w:rPr>
      </w:pPr>
      <w:bookmarkStart w:id="308" w:name="_Toc98770056"/>
      <w:r>
        <w:rPr>
          <w:rStyle w:val="CharSectno"/>
        </w:rPr>
        <w:t>90</w:t>
      </w:r>
      <w:r>
        <w:rPr>
          <w:snapToGrid w:val="0"/>
        </w:rPr>
        <w:t>.</w:t>
      </w:r>
      <w:r>
        <w:rPr>
          <w:snapToGrid w:val="0"/>
        </w:rPr>
        <w:tab/>
        <w:t>Appeal from Commission to Court</w:t>
      </w:r>
      <w:bookmarkEnd w:id="308"/>
    </w:p>
    <w:p>
      <w:pPr>
        <w:pStyle w:val="Subsection"/>
      </w:pPr>
      <w:r>
        <w:tab/>
        <w:t>(1)</w:t>
      </w:r>
      <w:r>
        <w:tab/>
        <w:t>Subject to this section, an appeal lies to the Court in the manner prescribed from any decision of the Full Bench, the Commission on an application under section 49(11) or the Commission in Court Session —</w:t>
      </w:r>
    </w:p>
    <w:p>
      <w:pPr>
        <w:pStyle w:val="Indenta"/>
        <w:spacing w:before="60"/>
      </w:pPr>
      <w:r>
        <w:tab/>
        <w:t>(a)</w:t>
      </w:r>
      <w:r>
        <w:tab/>
        <w:t>on the ground that the decision is in excess of jurisdiction in that the matter the subject of the decision is not an industrial matter; or</w:t>
      </w:r>
    </w:p>
    <w:p>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spacing w:before="60"/>
      </w:pPr>
      <w:r>
        <w:tab/>
        <w:t>(c)</w:t>
      </w:r>
      <w:r>
        <w:tab/>
        <w:t>on the ground that the appellant has been denied the right to be heard,</w:t>
      </w:r>
    </w:p>
    <w:p>
      <w:pPr>
        <w:pStyle w:val="Subsection"/>
        <w:spacing w:before="120"/>
      </w:pPr>
      <w:r>
        <w:tab/>
      </w:r>
      <w:r>
        <w:tab/>
        <w:t>but upon no other ground.</w:t>
      </w:r>
    </w:p>
    <w:p>
      <w:pPr>
        <w:pStyle w:val="Subsection"/>
        <w:keepNext/>
        <w:rPr>
          <w:snapToGrid w:val="0"/>
        </w:rPr>
      </w:pPr>
      <w:r>
        <w:rPr>
          <w:snapToGrid w:val="0"/>
        </w:rPr>
        <w:lastRenderedPageBreak/>
        <w:tab/>
        <w:t>(2)</w:t>
      </w:r>
      <w:r>
        <w:rPr>
          <w:snapToGrid w:val="0"/>
        </w:rPr>
        <w:tab/>
        <w:t>An appeal under this section shall be instituted within 21 days from the date of the decision against which the appeal is brought and may be instituted —</w:t>
      </w:r>
    </w:p>
    <w:p>
      <w:pPr>
        <w:pStyle w:val="Indenta"/>
        <w:keepNext/>
        <w:spacing w:before="60"/>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spacing w:before="180"/>
        <w:rPr>
          <w:snapToGrid w:val="0"/>
        </w:rPr>
      </w:pPr>
      <w:r>
        <w:rPr>
          <w:snapToGrid w:val="0"/>
        </w:rPr>
        <w:tab/>
        <w:t>(3)</w:t>
      </w:r>
      <w:r>
        <w:rPr>
          <w:snapToGrid w:val="0"/>
        </w:rPr>
        <w:tab/>
        <w:t xml:space="preserve">On the hearing of the appeal the Court may confirm, reverse, vary, amend, rescind, set aside, or quash the decision the subject of appeal and may remit the matter to the </w:t>
      </w:r>
      <w:r>
        <w:t>Full Bench, the Commission on an application under section 49(11) or</w:t>
      </w:r>
      <w:r>
        <w:rPr>
          <w:snapToGrid w:val="0"/>
        </w:rPr>
        <w:t xml:space="preserve"> the Commission in Court Session, as the case requires, for further hearing and determination according to law.</w:t>
      </w:r>
    </w:p>
    <w:p>
      <w:pPr>
        <w:pStyle w:val="Subsection"/>
        <w:spacing w:before="180"/>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[Section 90 amended: No. 94 of 1984 s. 54; No. 119 of 1987 s. 22; No. 20 of 2002 s. 126; No. 8 of 2009 s. 77(5); No. 39 of 2018 s. 57.]</w:t>
      </w:r>
    </w:p>
    <w:p>
      <w:pPr>
        <w:pStyle w:val="Heading5"/>
        <w:spacing w:before="260"/>
        <w:rPr>
          <w:snapToGrid w:val="0"/>
        </w:rPr>
      </w:pPr>
      <w:bookmarkStart w:id="309" w:name="_Toc98770057"/>
      <w:r>
        <w:rPr>
          <w:rStyle w:val="CharSectno"/>
        </w:rPr>
        <w:t>91</w:t>
      </w:r>
      <w:r>
        <w:rPr>
          <w:snapToGrid w:val="0"/>
        </w:rPr>
        <w:t>.</w:t>
      </w:r>
      <w:r>
        <w:rPr>
          <w:snapToGrid w:val="0"/>
        </w:rPr>
        <w:tab/>
        <w:t>Representation before Court</w:t>
      </w:r>
      <w:bookmarkEnd w:id="309"/>
    </w:p>
    <w:p>
      <w:pPr>
        <w:pStyle w:val="Subsection"/>
        <w:spacing w:before="180"/>
        <w:rPr>
          <w:snapToGrid w:val="0"/>
        </w:rPr>
      </w:pPr>
      <w:r>
        <w:rPr>
          <w:snapToGrid w:val="0"/>
        </w:rPr>
        <w:tab/>
        <w:t>(1)</w:t>
      </w:r>
      <w:r>
        <w:rPr>
          <w:snapToGrid w:val="0"/>
        </w:rPr>
        <w:tab/>
        <w:t>Subject to this section, in proceedings before the Court under this Act, a party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lastRenderedPageBreak/>
        <w:tab/>
        <w:t>(b)</w:t>
      </w:r>
      <w:r>
        <w:rPr>
          <w:snapToGrid w:val="0"/>
        </w:rPr>
        <w:tab/>
        <w:t>may be represented by a legal practitioner.</w:t>
      </w:r>
    </w:p>
    <w:p>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No. 21 of 2008 s. 668(6).]</w:t>
      </w:r>
    </w:p>
    <w:p>
      <w:pPr>
        <w:pStyle w:val="Heading5"/>
        <w:rPr>
          <w:snapToGrid w:val="0"/>
        </w:rPr>
      </w:pPr>
      <w:bookmarkStart w:id="310" w:name="_Toc98770058"/>
      <w:r>
        <w:rPr>
          <w:rStyle w:val="CharSectno"/>
        </w:rPr>
        <w:t>92</w:t>
      </w:r>
      <w:r>
        <w:rPr>
          <w:snapToGrid w:val="0"/>
        </w:rPr>
        <w:t>.</w:t>
      </w:r>
      <w:r>
        <w:rPr>
          <w:snapToGrid w:val="0"/>
        </w:rPr>
        <w:tab/>
        <w:t>Contempt, Court’s powers as to</w:t>
      </w:r>
      <w:bookmarkEnd w:id="310"/>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Ednotesubsection"/>
      </w:pPr>
      <w:r>
        <w:tab/>
        <w:t>[(4)</w:t>
      </w:r>
      <w:r>
        <w:tab/>
        <w:t>deleted]</w:t>
      </w:r>
    </w:p>
    <w:p>
      <w:pPr>
        <w:pStyle w:val="Footnotesection"/>
      </w:pPr>
      <w:r>
        <w:tab/>
        <w:t>[Section 92 amended: No. 121 of 1982 s. 28; No. 39 of 2018 s. 58.]</w:t>
      </w:r>
    </w:p>
    <w:p>
      <w:pPr>
        <w:pStyle w:val="Heading2"/>
      </w:pPr>
      <w:bookmarkStart w:id="311" w:name="_Toc98505142"/>
      <w:bookmarkStart w:id="312" w:name="_Toc98506841"/>
      <w:bookmarkStart w:id="313" w:name="_Toc98508004"/>
      <w:bookmarkStart w:id="314" w:name="_Toc98770059"/>
      <w:r>
        <w:rPr>
          <w:rStyle w:val="CharPartNo"/>
        </w:rPr>
        <w:lastRenderedPageBreak/>
        <w:t>Part V</w:t>
      </w:r>
      <w:r>
        <w:rPr>
          <w:rStyle w:val="CharDivNo"/>
        </w:rPr>
        <w:t> </w:t>
      </w:r>
      <w:r>
        <w:t>—</w:t>
      </w:r>
      <w:r>
        <w:rPr>
          <w:rStyle w:val="CharDivText"/>
        </w:rPr>
        <w:t> </w:t>
      </w:r>
      <w:r>
        <w:rPr>
          <w:rStyle w:val="CharPartText"/>
        </w:rPr>
        <w:t>The Registrar and other officers of the Commission</w:t>
      </w:r>
      <w:bookmarkEnd w:id="311"/>
      <w:bookmarkEnd w:id="312"/>
      <w:bookmarkEnd w:id="313"/>
      <w:bookmarkEnd w:id="314"/>
    </w:p>
    <w:p>
      <w:pPr>
        <w:pStyle w:val="Footnoteheading"/>
        <w:rPr>
          <w:snapToGrid w:val="0"/>
        </w:rPr>
      </w:pPr>
      <w:r>
        <w:rPr>
          <w:snapToGrid w:val="0"/>
        </w:rPr>
        <w:tab/>
        <w:t>[Heading amended: No. 94 of 1984 s. 55.]</w:t>
      </w:r>
    </w:p>
    <w:p>
      <w:pPr>
        <w:pStyle w:val="Heading5"/>
        <w:rPr>
          <w:snapToGrid w:val="0"/>
        </w:rPr>
      </w:pPr>
      <w:bookmarkStart w:id="315" w:name="_Toc98770060"/>
      <w:r>
        <w:rPr>
          <w:rStyle w:val="CharSectno"/>
        </w:rPr>
        <w:t>93</w:t>
      </w:r>
      <w:r>
        <w:rPr>
          <w:snapToGrid w:val="0"/>
        </w:rPr>
        <w:t>.</w:t>
      </w:r>
      <w:r>
        <w:rPr>
          <w:snapToGrid w:val="0"/>
        </w:rPr>
        <w:tab/>
        <w:t>Appointment and duties of officers</w:t>
      </w:r>
      <w:bookmarkEnd w:id="315"/>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w:t>
      </w:r>
      <w:r>
        <w:t>public service officers.</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w:t>
      </w:r>
    </w:p>
    <w:p>
      <w:pPr>
        <w:pStyle w:val="Indenta"/>
      </w:pPr>
      <w:r>
        <w:tab/>
        <w:t>(a)</w:t>
      </w:r>
      <w:r>
        <w:tab/>
        <w:t>in a newspaper circulating throughout the State; or</w:t>
      </w:r>
    </w:p>
    <w:p>
      <w:pPr>
        <w:pStyle w:val="Indenta"/>
        <w:keepNext/>
      </w:pPr>
      <w:r>
        <w:lastRenderedPageBreak/>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and ending on such day as is prescribed by regulations for the purposes of this subsection —</w:t>
      </w:r>
    </w:p>
    <w:p>
      <w:pPr>
        <w:pStyle w:val="Indenta"/>
        <w:rPr>
          <w:snapToGrid w:val="0"/>
        </w:rPr>
      </w:pPr>
      <w:r>
        <w:rPr>
          <w:snapToGrid w:val="0"/>
        </w:rPr>
        <w:tab/>
        <w:t>(a)</w:t>
      </w:r>
      <w:r>
        <w:rPr>
          <w:snapToGrid w:val="0"/>
        </w:rPr>
        <w:tab/>
        <w:t>maintain at the premises of the Commission up to date consolidations of all awards and industrial agreements; and</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lastRenderedPageBreak/>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No. 94 of 1984 s. 56; No. 119 of 1987 s. 23; No. 32 of 1994 s. 14; No. 1 of 1995 s. 53; No. 79 of 1995 s. 8(2); No. 20 of 2002 s. 135, 160(4) and 190(7)</w:t>
      </w:r>
      <w:r>
        <w:noBreakHyphen/>
        <w:t>(9); No. 53 of 2011 s. 44.]</w:t>
      </w:r>
    </w:p>
    <w:p>
      <w:pPr>
        <w:pStyle w:val="Heading5"/>
        <w:rPr>
          <w:snapToGrid w:val="0"/>
        </w:rPr>
      </w:pPr>
      <w:bookmarkStart w:id="316" w:name="_Toc98770061"/>
      <w:r>
        <w:rPr>
          <w:rStyle w:val="CharSectno"/>
        </w:rPr>
        <w:t>94</w:t>
      </w:r>
      <w:r>
        <w:rPr>
          <w:snapToGrid w:val="0"/>
        </w:rPr>
        <w:t>.</w:t>
      </w:r>
      <w:r>
        <w:rPr>
          <w:snapToGrid w:val="0"/>
        </w:rPr>
        <w:tab/>
        <w:t>Authority of officers to do acts as directed</w:t>
      </w:r>
      <w:bookmarkEnd w:id="316"/>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[Section 94 amended: No. 1 of 1995 s. 53.]</w:t>
      </w:r>
    </w:p>
    <w:p>
      <w:pPr>
        <w:pStyle w:val="Heading5"/>
        <w:pageBreakBefore/>
        <w:spacing w:before="0"/>
        <w:rPr>
          <w:snapToGrid w:val="0"/>
        </w:rPr>
      </w:pPr>
      <w:bookmarkStart w:id="317" w:name="_Toc98770062"/>
      <w:r>
        <w:rPr>
          <w:rStyle w:val="CharSectno"/>
        </w:rPr>
        <w:lastRenderedPageBreak/>
        <w:t>95</w:t>
      </w:r>
      <w:r>
        <w:rPr>
          <w:snapToGrid w:val="0"/>
        </w:rPr>
        <w:t>.</w:t>
      </w:r>
      <w:r>
        <w:rPr>
          <w:snapToGrid w:val="0"/>
        </w:rPr>
        <w:tab/>
        <w:t>Deputy registrar’s functions</w:t>
      </w:r>
      <w:bookmarkEnd w:id="317"/>
    </w:p>
    <w:p>
      <w:pPr>
        <w:pStyle w:val="Subsection"/>
        <w:rPr>
          <w:snapToGrid w:val="0"/>
        </w:rPr>
      </w:pPr>
      <w:r>
        <w:rPr>
          <w:snapToGrid w:val="0"/>
        </w:rPr>
        <w:tab/>
        <w:t>(1)</w:t>
      </w:r>
      <w:r>
        <w:rPr>
          <w:snapToGrid w:val="0"/>
        </w:rPr>
        <w:tab/>
        <w:t>A deputy registrar shall have and may exercise such powers and authorities and discharge such duties of the Registrar as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[Section 95 inserted: No. 94 of 1984 s. 57.]</w:t>
      </w:r>
    </w:p>
    <w:p>
      <w:pPr>
        <w:pStyle w:val="Heading5"/>
      </w:pPr>
      <w:bookmarkStart w:id="318" w:name="_Toc98770063"/>
      <w:r>
        <w:rPr>
          <w:rStyle w:val="CharSectno"/>
        </w:rPr>
        <w:t>96</w:t>
      </w:r>
      <w:r>
        <w:t>.</w:t>
      </w:r>
      <w:r>
        <w:tab/>
        <w:t>Delegation by Commission to Registrar</w:t>
      </w:r>
      <w:bookmarkEnd w:id="318"/>
    </w:p>
    <w:p>
      <w:pPr>
        <w:pStyle w:val="Subsection"/>
      </w:pPr>
      <w:r>
        <w:tab/>
        <w:t>(1)</w:t>
      </w:r>
      <w:r>
        <w:tab/>
        <w:t>In this section —</w:t>
      </w:r>
    </w:p>
    <w:p>
      <w:pPr>
        <w:pStyle w:val="Defstart"/>
      </w:pPr>
      <w:r>
        <w:tab/>
      </w:r>
      <w:r>
        <w:rPr>
          <w:rStyle w:val="CharDefText"/>
        </w:rPr>
        <w:t>Registrar</w:t>
      </w:r>
      <w:r>
        <w:t xml:space="preserve"> means the Registrar or a deputy registrar.</w:t>
      </w:r>
    </w:p>
    <w:p>
      <w:pPr>
        <w:pStyle w:val="Subsection"/>
      </w:pPr>
      <w:r>
        <w:tab/>
        <w:t>(2)</w:t>
      </w:r>
      <w:r>
        <w:tab/>
        <w:t>Subject to subsection (3), the regulations may provide for and in relation to the delegation to a Registrar of all or any of the functions of the Commission in relation to the following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The powers of the Commission —</w:t>
      </w:r>
    </w:p>
    <w:p>
      <w:pPr>
        <w:pStyle w:val="Indenta"/>
      </w:pPr>
      <w:r>
        <w:tab/>
        <w:t>(a)</w:t>
      </w:r>
      <w:r>
        <w:tab/>
        <w:t>to make an order under section 23A; and</w:t>
      </w:r>
    </w:p>
    <w:p>
      <w:pPr>
        <w:pStyle w:val="Indenta"/>
      </w:pPr>
      <w:r>
        <w:lastRenderedPageBreak/>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The Commission constituted by a commissioner may, on application under subsection (9), review the direction, determination or order and may —</w:t>
      </w:r>
    </w:p>
    <w:p>
      <w:pPr>
        <w:pStyle w:val="Indenta"/>
      </w:pPr>
      <w:r>
        <w:tab/>
        <w:t>(a)</w:t>
      </w:r>
      <w:r>
        <w:tab/>
        <w:t>affirm the direction, determination or order; or</w:t>
      </w:r>
    </w:p>
    <w:p>
      <w:pPr>
        <w:pStyle w:val="Indenta"/>
      </w:pPr>
      <w:r>
        <w:tab/>
        <w:t>(b)</w:t>
      </w:r>
      <w:r>
        <w:tab/>
        <w:t xml:space="preserve">revoke the direction, determination or order and make a direction, determination or order the Commission </w:t>
      </w:r>
      <w:r>
        <w:lastRenderedPageBreak/>
        <w:t>considers appropriate with respect to the matter to which the performance of the delegated function related.</w:t>
      </w:r>
    </w:p>
    <w:p>
      <w:pPr>
        <w:pStyle w:val="Subsection"/>
      </w:pPr>
      <w:r>
        <w:tab/>
        <w:t>(11)</w:t>
      </w:r>
      <w:r>
        <w:tab/>
        <w:t>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No. 20 of 2002 s. 161.]</w:t>
      </w:r>
    </w:p>
    <w:p>
      <w:pPr>
        <w:pStyle w:val="Ednotepart"/>
      </w:pPr>
      <w:r>
        <w:t>[Part VI deleted: No. 94 of 1984 s. 58.]</w:t>
      </w:r>
    </w:p>
    <w:p>
      <w:pPr>
        <w:pStyle w:val="Heading2"/>
      </w:pPr>
      <w:bookmarkStart w:id="319" w:name="_Toc98505147"/>
      <w:bookmarkStart w:id="320" w:name="_Toc98506846"/>
      <w:bookmarkStart w:id="321" w:name="_Toc98508009"/>
      <w:bookmarkStart w:id="322" w:name="_Toc98770064"/>
      <w:r>
        <w:rPr>
          <w:rStyle w:val="CharPartNo"/>
        </w:rPr>
        <w:lastRenderedPageBreak/>
        <w:t>Part VIA</w:t>
      </w:r>
      <w:r>
        <w:t xml:space="preserve"> — </w:t>
      </w:r>
      <w:r>
        <w:rPr>
          <w:rStyle w:val="CharPartText"/>
        </w:rPr>
        <w:t>Freedom of association</w:t>
      </w:r>
      <w:bookmarkEnd w:id="319"/>
      <w:bookmarkEnd w:id="320"/>
      <w:bookmarkEnd w:id="321"/>
      <w:bookmarkEnd w:id="322"/>
    </w:p>
    <w:p>
      <w:pPr>
        <w:pStyle w:val="Footnoteheading"/>
        <w:rPr>
          <w:snapToGrid w:val="0"/>
        </w:rPr>
      </w:pPr>
      <w:r>
        <w:rPr>
          <w:snapToGrid w:val="0"/>
        </w:rPr>
        <w:tab/>
        <w:t>[Heading inserted: No. 15 of 1993 s. 28.]</w:t>
      </w:r>
    </w:p>
    <w:p>
      <w:pPr>
        <w:pStyle w:val="Heading5"/>
        <w:rPr>
          <w:snapToGrid w:val="0"/>
        </w:rPr>
      </w:pPr>
      <w:bookmarkStart w:id="323" w:name="_Toc98770065"/>
      <w:r>
        <w:rPr>
          <w:rStyle w:val="CharSectno"/>
        </w:rPr>
        <w:t>96A</w:t>
      </w:r>
      <w:r>
        <w:rPr>
          <w:snapToGrid w:val="0"/>
        </w:rPr>
        <w:t>.</w:t>
      </w:r>
      <w:r>
        <w:rPr>
          <w:snapToGrid w:val="0"/>
        </w:rPr>
        <w:tab/>
        <w:t>Terms used</w:t>
      </w:r>
      <w:bookmarkEnd w:id="32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w:t>
      </w:r>
    </w:p>
    <w:p>
      <w:pPr>
        <w:pStyle w:val="Defpara"/>
      </w:pPr>
      <w:r>
        <w:tab/>
        <w:t>(a)</w:t>
      </w:r>
      <w:r>
        <w:tab/>
        <w:t>an organisation of employees, whether constituted, incorporated or registered under this Act or any other Act or under any Commonwealth Act and by whatever name called; or</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[Section 96A inserted: No. 15 of 1993 s. 28.]</w:t>
      </w:r>
    </w:p>
    <w:p>
      <w:pPr>
        <w:pStyle w:val="Heading5"/>
        <w:rPr>
          <w:snapToGrid w:val="0"/>
        </w:rPr>
      </w:pPr>
      <w:bookmarkStart w:id="324" w:name="_Toc98770066"/>
      <w:r>
        <w:rPr>
          <w:rStyle w:val="CharSectno"/>
        </w:rPr>
        <w:t>96B</w:t>
      </w:r>
      <w:r>
        <w:rPr>
          <w:snapToGrid w:val="0"/>
        </w:rPr>
        <w:t>.</w:t>
      </w:r>
      <w:r>
        <w:rPr>
          <w:snapToGrid w:val="0"/>
        </w:rPr>
        <w:tab/>
        <w:t>Awards etc. not to contain certain provisions about membership of organisations</w:t>
      </w:r>
      <w:bookmarkEnd w:id="324"/>
    </w:p>
    <w:p>
      <w:pPr>
        <w:pStyle w:val="Subsection"/>
        <w:rPr>
          <w:snapToGrid w:val="0"/>
        </w:rPr>
      </w:pPr>
      <w:r>
        <w:rPr>
          <w:snapToGrid w:val="0"/>
        </w:rPr>
        <w:tab/>
        <w:t>(1)</w:t>
      </w:r>
      <w:r>
        <w:rPr>
          <w:snapToGrid w:val="0"/>
        </w:rPr>
        <w:tab/>
        <w:t>An award, industrial agreement or order under this Act, or any arrangement between persons relating to employment must not —</w:t>
      </w:r>
    </w:p>
    <w:p>
      <w:pPr>
        <w:pStyle w:val="Indenta"/>
        <w:rPr>
          <w:snapToGrid w:val="0"/>
        </w:rPr>
      </w:pPr>
      <w:r>
        <w:rPr>
          <w:snapToGrid w:val="0"/>
        </w:rPr>
        <w:tab/>
        <w:t>(a)</w:t>
      </w:r>
      <w:r>
        <w:rPr>
          <w:snapToGrid w:val="0"/>
        </w:rPr>
        <w:tab/>
        <w:t>require a person —</w:t>
      </w:r>
    </w:p>
    <w:p>
      <w:pPr>
        <w:pStyle w:val="Indenti"/>
        <w:rPr>
          <w:snapToGrid w:val="0"/>
        </w:rPr>
      </w:pPr>
      <w:r>
        <w:rPr>
          <w:snapToGrid w:val="0"/>
        </w:rPr>
        <w:tab/>
        <w:t>(i)</w:t>
      </w:r>
      <w:r>
        <w:rPr>
          <w:snapToGrid w:val="0"/>
        </w:rPr>
        <w:tab/>
        <w:t>to become or remain a member of an organisation; or</w:t>
      </w:r>
    </w:p>
    <w:p>
      <w:pPr>
        <w:pStyle w:val="Indenti"/>
        <w:rPr>
          <w:snapToGrid w:val="0"/>
        </w:rPr>
      </w:pPr>
      <w:r>
        <w:rPr>
          <w:snapToGrid w:val="0"/>
        </w:rPr>
        <w:tab/>
        <w:t>(ii)</w:t>
      </w:r>
      <w:r>
        <w:rPr>
          <w:snapToGrid w:val="0"/>
        </w:rPr>
        <w:tab/>
        <w:t>to cease to be a member of an organisation; or</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 xml:space="preserve">to treat another person less favourably or more favourably according to whether or not that other </w:t>
      </w:r>
      <w:r>
        <w:rPr>
          <w:snapToGrid w:val="0"/>
        </w:rPr>
        <w:lastRenderedPageBreak/>
        <w:t>person is, or will become or cease to be, a member of an organisation;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pPr>
        <w:pStyle w:val="Subsection"/>
        <w:spacing w:before="140"/>
        <w:rPr>
          <w:snapToGrid w:val="0"/>
        </w:rPr>
      </w:pPr>
      <w:r>
        <w:rPr>
          <w:snapToGrid w:val="0"/>
        </w:rPr>
        <w:tab/>
        <w:t>(3)</w:t>
      </w:r>
      <w:r>
        <w:rPr>
          <w:snapToGrid w:val="0"/>
        </w:rPr>
        <w:tab/>
        <w:t>A requirement that is contrary to this section is of no effect.</w:t>
      </w:r>
    </w:p>
    <w:p>
      <w:pPr>
        <w:pStyle w:val="Footnotesection"/>
      </w:pPr>
      <w:r>
        <w:tab/>
        <w:t>[Section 96B inserted: No. 15 of 1993 s. 28.]</w:t>
      </w:r>
    </w:p>
    <w:p>
      <w:pPr>
        <w:pStyle w:val="Heading5"/>
        <w:rPr>
          <w:snapToGrid w:val="0"/>
        </w:rPr>
      </w:pPr>
      <w:bookmarkStart w:id="325" w:name="_Toc98770067"/>
      <w:r>
        <w:rPr>
          <w:rStyle w:val="CharSectno"/>
        </w:rPr>
        <w:t>96C</w:t>
      </w:r>
      <w:r>
        <w:rPr>
          <w:snapToGrid w:val="0"/>
        </w:rPr>
        <w:t>.</w:t>
      </w:r>
      <w:r>
        <w:rPr>
          <w:snapToGrid w:val="0"/>
        </w:rPr>
        <w:tab/>
        <w:t>Discrimination because of membership of organisation, offence</w:t>
      </w:r>
      <w:bookmarkEnd w:id="325"/>
    </w:p>
    <w:p>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spacing w:before="140"/>
        <w:rPr>
          <w:snapToGrid w:val="0"/>
        </w:rPr>
      </w:pPr>
      <w:r>
        <w:rPr>
          <w:snapToGrid w:val="0"/>
        </w:rPr>
        <w:tab/>
        <w:t>(2)</w:t>
      </w:r>
      <w:r>
        <w:rPr>
          <w:snapToGrid w:val="0"/>
        </w:rPr>
        <w:tab/>
        <w:t>A person must not conspire with another person to commit an offence against subsection (1).</w:t>
      </w:r>
    </w:p>
    <w:p>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spacing w:before="60"/>
        <w:rPr>
          <w:snapToGrid w:val="0"/>
        </w:rPr>
      </w:pPr>
      <w:r>
        <w:rPr>
          <w:snapToGrid w:val="0"/>
        </w:rPr>
        <w:tab/>
        <w:t>(a)</w:t>
      </w:r>
      <w:r>
        <w:rPr>
          <w:snapToGrid w:val="0"/>
        </w:rPr>
        <w:tab/>
        <w:t>in the case of an individual, not less than $400 nor more than $5 000;</w:t>
      </w:r>
    </w:p>
    <w:p>
      <w:pPr>
        <w:pStyle w:val="Penpara"/>
        <w:keepNext/>
        <w:keepLines/>
        <w:spacing w:before="60"/>
        <w:rPr>
          <w:snapToGrid w:val="0"/>
        </w:rPr>
      </w:pPr>
      <w:r>
        <w:rPr>
          <w:snapToGrid w:val="0"/>
        </w:rPr>
        <w:tab/>
        <w:t>(b)</w:t>
      </w:r>
      <w:r>
        <w:rPr>
          <w:snapToGrid w:val="0"/>
        </w:rPr>
        <w:tab/>
        <w:t>in any other case, not less than $1 000 nor more than $10 000; and a daily penalty of $500.</w:t>
      </w:r>
    </w:p>
    <w:p>
      <w:pPr>
        <w:pStyle w:val="Footnotesection"/>
      </w:pPr>
      <w:r>
        <w:tab/>
        <w:t>[Section 96C inserted: No. 15 of 1993 s. 28.]</w:t>
      </w:r>
    </w:p>
    <w:p>
      <w:pPr>
        <w:pStyle w:val="Heading5"/>
        <w:pageBreakBefore/>
        <w:spacing w:before="0"/>
        <w:rPr>
          <w:snapToGrid w:val="0"/>
        </w:rPr>
      </w:pPr>
      <w:bookmarkStart w:id="326" w:name="_Toc98770068"/>
      <w:r>
        <w:rPr>
          <w:rStyle w:val="CharSectno"/>
        </w:rPr>
        <w:lastRenderedPageBreak/>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326"/>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w:t>
      </w:r>
    </w:p>
    <w:p>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spacing w:before="70"/>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spacing w:before="70"/>
        <w:rPr>
          <w:snapToGrid w:val="0"/>
        </w:rPr>
      </w:pPr>
      <w:r>
        <w:rPr>
          <w:snapToGrid w:val="0"/>
        </w:rPr>
        <w:tab/>
        <w:t>(a)</w:t>
      </w:r>
      <w:r>
        <w:rPr>
          <w:snapToGrid w:val="0"/>
        </w:rPr>
        <w:tab/>
        <w:t>in the case of an individual, not less than $400 nor more than $5 000;</w:t>
      </w:r>
    </w:p>
    <w:p>
      <w:pPr>
        <w:pStyle w:val="Penpara"/>
        <w:spacing w:before="70"/>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w:t>
      </w:r>
    </w:p>
    <w:p>
      <w:pPr>
        <w:pStyle w:val="Indenta"/>
        <w:spacing w:before="70"/>
        <w:rPr>
          <w:snapToGrid w:val="0"/>
        </w:rPr>
      </w:pPr>
      <w:r>
        <w:rPr>
          <w:snapToGrid w:val="0"/>
        </w:rPr>
        <w:tab/>
        <w:t>(a)</w:t>
      </w:r>
      <w:r>
        <w:rPr>
          <w:snapToGrid w:val="0"/>
        </w:rPr>
        <w:tab/>
        <w:t>that the person is or is intending to become a member or officer of an organisation of employees; or</w:t>
      </w:r>
    </w:p>
    <w:p>
      <w:pPr>
        <w:pStyle w:val="Indenta"/>
        <w:spacing w:before="70"/>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lastRenderedPageBreak/>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[Section 96D inserted: No. 15 of 1993 s. 28.]</w:t>
      </w:r>
    </w:p>
    <w:p>
      <w:pPr>
        <w:pStyle w:val="Heading5"/>
        <w:rPr>
          <w:snapToGrid w:val="0"/>
        </w:rPr>
      </w:pPr>
      <w:bookmarkStart w:id="327" w:name="_Toc98770069"/>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327"/>
    </w:p>
    <w:p>
      <w:pPr>
        <w:pStyle w:val="Subsection"/>
        <w:rPr>
          <w:snapToGrid w:val="0"/>
        </w:rPr>
      </w:pPr>
      <w:r>
        <w:rPr>
          <w:snapToGrid w:val="0"/>
        </w:rPr>
        <w:tab/>
        <w:t>(1)</w:t>
      </w:r>
      <w:r>
        <w:rPr>
          <w:snapToGrid w:val="0"/>
        </w:rPr>
        <w:tab/>
        <w:t>A person, including an organisation of employees, must not threaten that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lastRenderedPageBreak/>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discriminatory action</w:t>
      </w:r>
      <w:r>
        <w:t>, in relation to a person, means —</w:t>
      </w:r>
    </w:p>
    <w:p>
      <w:pPr>
        <w:pStyle w:val="Defpara"/>
      </w:pPr>
      <w:r>
        <w:tab/>
        <w:t>(a)</w:t>
      </w:r>
      <w:r>
        <w:tab/>
        <w:t>refusing to make use of, or refusing to agree to make use of, any service offered by the person; or</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[Section 96E inserted: No. 15 of 1993 s. 28.]</w:t>
      </w:r>
    </w:p>
    <w:p>
      <w:pPr>
        <w:pStyle w:val="Heading5"/>
        <w:keepLines w:val="0"/>
        <w:rPr>
          <w:snapToGrid w:val="0"/>
        </w:rPr>
      </w:pPr>
      <w:bookmarkStart w:id="328" w:name="_Toc98770070"/>
      <w:r>
        <w:rPr>
          <w:rStyle w:val="CharSectno"/>
        </w:rPr>
        <w:t>96F</w:t>
      </w:r>
      <w:r>
        <w:rPr>
          <w:snapToGrid w:val="0"/>
        </w:rPr>
        <w:t>.</w:t>
      </w:r>
      <w:r>
        <w:rPr>
          <w:snapToGrid w:val="0"/>
        </w:rPr>
        <w:tab/>
        <w:t>Penalties under s. 96C, 96D and 96E, provisions about</w:t>
      </w:r>
      <w:bookmarkEnd w:id="328"/>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pPr>
        <w:pStyle w:val="Indenta"/>
        <w:rPr>
          <w:snapToGrid w:val="0"/>
        </w:rPr>
      </w:pPr>
      <w:r>
        <w:rPr>
          <w:snapToGrid w:val="0"/>
        </w:rPr>
        <w:lastRenderedPageBreak/>
        <w:tab/>
        <w:t>(b)</w:t>
      </w:r>
      <w:r>
        <w:rPr>
          <w:snapToGrid w:val="0"/>
        </w:rPr>
        <w:tab/>
        <w:t>the organisation concerned shall not be joined as an applicant in any proceeding referred to in paragraph (a); and</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[Section 96F inserted: No. 15 of 1993 s. 28; amended: No. 78 of 1995 s. 53.]</w:t>
      </w:r>
    </w:p>
    <w:p>
      <w:pPr>
        <w:pStyle w:val="Heading5"/>
        <w:rPr>
          <w:snapToGrid w:val="0"/>
        </w:rPr>
      </w:pPr>
      <w:bookmarkStart w:id="329" w:name="_Toc98770071"/>
      <w:r>
        <w:rPr>
          <w:rStyle w:val="CharSectno"/>
        </w:rPr>
        <w:t>96G</w:t>
      </w:r>
      <w:r>
        <w:rPr>
          <w:snapToGrid w:val="0"/>
        </w:rPr>
        <w:t>.</w:t>
      </w:r>
      <w:r>
        <w:rPr>
          <w:snapToGrid w:val="0"/>
        </w:rPr>
        <w:tab/>
        <w:t>Criminal responsibility of officers etc. for offences in s. 96C, 96D and 96E</w:t>
      </w:r>
      <w:bookmarkEnd w:id="329"/>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No. 15 of 1993 s. 28.]</w:t>
      </w:r>
    </w:p>
    <w:p>
      <w:pPr>
        <w:pStyle w:val="Heading5"/>
        <w:rPr>
          <w:snapToGrid w:val="0"/>
        </w:rPr>
      </w:pPr>
      <w:bookmarkStart w:id="330" w:name="_Toc98770072"/>
      <w:r>
        <w:rPr>
          <w:rStyle w:val="CharSectno"/>
        </w:rPr>
        <w:t>96H</w:t>
      </w:r>
      <w:r>
        <w:rPr>
          <w:snapToGrid w:val="0"/>
        </w:rPr>
        <w:t>.</w:t>
      </w:r>
      <w:r>
        <w:rPr>
          <w:snapToGrid w:val="0"/>
        </w:rPr>
        <w:tab/>
        <w:t>Criminal responsibility of corporations etc. for offences in s. 96C, 96D and 96E</w:t>
      </w:r>
      <w:bookmarkEnd w:id="330"/>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lastRenderedPageBreak/>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In this section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No. 15 of 1993 s. 28; amended: No. 10 of 2001 s. 113; No. 20 of 2003 s. 32.]</w:t>
      </w:r>
    </w:p>
    <w:p>
      <w:pPr>
        <w:pStyle w:val="Heading5"/>
        <w:rPr>
          <w:snapToGrid w:val="0"/>
        </w:rPr>
      </w:pPr>
      <w:bookmarkStart w:id="331" w:name="_Toc98770073"/>
      <w:r>
        <w:rPr>
          <w:rStyle w:val="CharSectno"/>
        </w:rPr>
        <w:t>96I</w:t>
      </w:r>
      <w:r>
        <w:rPr>
          <w:snapToGrid w:val="0"/>
        </w:rPr>
        <w:t>.</w:t>
      </w:r>
      <w:r>
        <w:rPr>
          <w:snapToGrid w:val="0"/>
        </w:rPr>
        <w:tab/>
        <w:t>Evidentiary provisions for s. 96C, 96D and 96E</w:t>
      </w:r>
      <w:bookmarkEnd w:id="331"/>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lastRenderedPageBreak/>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No. 15 of 1993 s. 28; amended: No. 84 of 2004 s. 80 and 82.]</w:t>
      </w:r>
    </w:p>
    <w:p>
      <w:pPr>
        <w:pStyle w:val="Heading5"/>
        <w:rPr>
          <w:snapToGrid w:val="0"/>
        </w:rPr>
      </w:pPr>
      <w:bookmarkStart w:id="332" w:name="_Toc98770074"/>
      <w:r>
        <w:rPr>
          <w:rStyle w:val="CharSectno"/>
        </w:rPr>
        <w:t>96J</w:t>
      </w:r>
      <w:r>
        <w:rPr>
          <w:snapToGrid w:val="0"/>
        </w:rPr>
        <w:t>.</w:t>
      </w:r>
      <w:r>
        <w:rPr>
          <w:snapToGrid w:val="0"/>
        </w:rPr>
        <w:tab/>
        <w:t>Court may order compliance with s. 96C, 96D or 96E</w:t>
      </w:r>
      <w:bookmarkEnd w:id="332"/>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lastRenderedPageBreak/>
        <w:tab/>
        <w:t>[(3)</w:t>
      </w:r>
      <w:r>
        <w:tab/>
        <w:t>deleted]</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No. 15 of 1993 s. 28; amended: No. 79 of 1995 s. 26.]</w:t>
      </w:r>
    </w:p>
    <w:p>
      <w:pPr>
        <w:pStyle w:val="Heading5"/>
        <w:spacing w:before="260"/>
        <w:rPr>
          <w:snapToGrid w:val="0"/>
        </w:rPr>
      </w:pPr>
      <w:bookmarkStart w:id="333" w:name="_Toc98770075"/>
      <w:r>
        <w:rPr>
          <w:rStyle w:val="CharSectno"/>
        </w:rPr>
        <w:t>96K</w:t>
      </w:r>
      <w:r>
        <w:rPr>
          <w:snapToGrid w:val="0"/>
        </w:rPr>
        <w:t>.</w:t>
      </w:r>
      <w:r>
        <w:rPr>
          <w:snapToGrid w:val="0"/>
        </w:rPr>
        <w:tab/>
        <w:t>Appeal against decision under s. 96J</w:t>
      </w:r>
      <w:bookmarkEnd w:id="333"/>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spacing w:before="60"/>
        <w:rPr>
          <w:snapToGrid w:val="0"/>
        </w:rPr>
      </w:pPr>
      <w:r>
        <w:rPr>
          <w:snapToGrid w:val="0"/>
        </w:rPr>
        <w:tab/>
        <w:t>(a)</w:t>
      </w:r>
      <w:r>
        <w:rPr>
          <w:snapToGrid w:val="0"/>
        </w:rPr>
        <w:tab/>
        <w:t>confirm the decision; or</w:t>
      </w:r>
    </w:p>
    <w:p>
      <w:pPr>
        <w:pStyle w:val="Indenta"/>
        <w:spacing w:before="60"/>
        <w:rPr>
          <w:snapToGrid w:val="0"/>
        </w:rPr>
      </w:pPr>
      <w:r>
        <w:rPr>
          <w:snapToGrid w:val="0"/>
        </w:rPr>
        <w:tab/>
        <w:t>(b)</w:t>
      </w:r>
      <w:r>
        <w:rPr>
          <w:snapToGrid w:val="0"/>
        </w:rPr>
        <w:tab/>
        <w:t>vary the decision; or</w:t>
      </w:r>
    </w:p>
    <w:p>
      <w:pPr>
        <w:pStyle w:val="Indenta"/>
        <w:spacing w:before="60"/>
        <w:rPr>
          <w:snapToGrid w:val="0"/>
        </w:rPr>
      </w:pPr>
      <w:r>
        <w:rPr>
          <w:snapToGrid w:val="0"/>
        </w:rPr>
        <w:tab/>
        <w:t>(c)</w:t>
      </w:r>
      <w:r>
        <w:rPr>
          <w:snapToGrid w:val="0"/>
        </w:rPr>
        <w:tab/>
        <w:t>set aside the decision and if it thinks fit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[Section 96K inserted: No. 15 of 1993 s. 28.]</w:t>
      </w:r>
    </w:p>
    <w:p>
      <w:pPr>
        <w:pStyle w:val="Heading5"/>
        <w:rPr>
          <w:snapToGrid w:val="0"/>
        </w:rPr>
      </w:pPr>
      <w:bookmarkStart w:id="334" w:name="_Toc98770076"/>
      <w:r>
        <w:rPr>
          <w:rStyle w:val="CharSectno"/>
        </w:rPr>
        <w:t>96L</w:t>
      </w:r>
      <w:r>
        <w:rPr>
          <w:snapToGrid w:val="0"/>
        </w:rPr>
        <w:t>.</w:t>
      </w:r>
      <w:r>
        <w:rPr>
          <w:snapToGrid w:val="0"/>
        </w:rPr>
        <w:tab/>
        <w:t>Other court orders after conviction under s. 96C, 96D or 96E</w:t>
      </w:r>
      <w:bookmarkEnd w:id="334"/>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pPr>
        <w:pStyle w:val="Indenta"/>
        <w:spacing w:before="60"/>
        <w:rPr>
          <w:snapToGrid w:val="0"/>
        </w:rPr>
      </w:pPr>
      <w:r>
        <w:rPr>
          <w:snapToGrid w:val="0"/>
        </w:rPr>
        <w:tab/>
        <w:t>(a)</w:t>
      </w:r>
      <w:r>
        <w:rPr>
          <w:snapToGrid w:val="0"/>
        </w:rPr>
        <w:tab/>
        <w:t>if the person so convicted is an employer, order the employer —</w:t>
      </w:r>
    </w:p>
    <w:p>
      <w:pPr>
        <w:pStyle w:val="Indenti"/>
        <w:spacing w:before="60"/>
        <w:rPr>
          <w:snapToGrid w:val="0"/>
        </w:rPr>
      </w:pPr>
      <w:r>
        <w:rPr>
          <w:snapToGrid w:val="0"/>
        </w:rPr>
        <w:tab/>
        <w:t>(i)</w:t>
      </w:r>
      <w:r>
        <w:rPr>
          <w:snapToGrid w:val="0"/>
        </w:rPr>
        <w:tab/>
        <w:t>to reinstate the complainant if he or she was dismissed from employment; or</w:t>
      </w:r>
    </w:p>
    <w:p>
      <w:pPr>
        <w:pStyle w:val="Indenti"/>
        <w:rPr>
          <w:snapToGrid w:val="0"/>
        </w:rPr>
      </w:pPr>
      <w:r>
        <w:rPr>
          <w:snapToGrid w:val="0"/>
        </w:rPr>
        <w:lastRenderedPageBreak/>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No. 15 of 1993 s. 28.]</w:t>
      </w:r>
    </w:p>
    <w:p>
      <w:pPr>
        <w:pStyle w:val="Ednotesection"/>
      </w:pPr>
      <w:r>
        <w:t>[</w:t>
      </w:r>
      <w:r>
        <w:rPr>
          <w:b/>
        </w:rPr>
        <w:t>96M.</w:t>
      </w:r>
      <w:r>
        <w:tab/>
        <w:t>Deleted: No. 79 of 1995 s. 37.]</w:t>
      </w:r>
    </w:p>
    <w:p>
      <w:pPr>
        <w:pStyle w:val="Ednotepart"/>
      </w:pPr>
      <w:r>
        <w:t>[Part VIB (s. 97</w:t>
      </w:r>
      <w:r>
        <w:noBreakHyphen/>
        <w:t>97M) deleted: No. 20 of 2002 s. 194(1).]</w:t>
      </w:r>
    </w:p>
    <w:p>
      <w:pPr>
        <w:pStyle w:val="Ednotepart"/>
      </w:pPr>
      <w:r>
        <w:t>[Part VIC (s. 97N</w:t>
      </w:r>
      <w:r>
        <w:noBreakHyphen/>
        <w:t>97U) deleted: No. 20 of 2002 s. 195(1).]</w:t>
      </w:r>
    </w:p>
    <w:p>
      <w:pPr>
        <w:pStyle w:val="Heading2"/>
      </w:pPr>
      <w:bookmarkStart w:id="335" w:name="_Toc98505160"/>
      <w:bookmarkStart w:id="336" w:name="_Toc98506859"/>
      <w:bookmarkStart w:id="337" w:name="_Toc98508022"/>
      <w:bookmarkStart w:id="338" w:name="_Toc98770077"/>
      <w:r>
        <w:rPr>
          <w:rStyle w:val="CharPartNo"/>
        </w:rPr>
        <w:lastRenderedPageBreak/>
        <w:t>Part VID</w:t>
      </w:r>
      <w:r>
        <w:t> — </w:t>
      </w:r>
      <w:r>
        <w:rPr>
          <w:rStyle w:val="CharPartText"/>
        </w:rPr>
        <w:t>Employer</w:t>
      </w:r>
      <w:r>
        <w:rPr>
          <w:rStyle w:val="CharPartText"/>
        </w:rPr>
        <w:noBreakHyphen/>
        <w:t>employee agreements</w:t>
      </w:r>
      <w:bookmarkEnd w:id="335"/>
      <w:bookmarkEnd w:id="336"/>
      <w:bookmarkEnd w:id="337"/>
      <w:bookmarkEnd w:id="338"/>
    </w:p>
    <w:p>
      <w:pPr>
        <w:pStyle w:val="Footnoteheading"/>
        <w:tabs>
          <w:tab w:val="left" w:pos="851"/>
        </w:tabs>
      </w:pPr>
      <w:r>
        <w:tab/>
        <w:t>[Heading inserted: No. 20 of 2002 s. 4.]</w:t>
      </w:r>
    </w:p>
    <w:p>
      <w:pPr>
        <w:pStyle w:val="Heading3"/>
        <w:spacing w:before="260"/>
      </w:pPr>
      <w:bookmarkStart w:id="339" w:name="_Toc98505161"/>
      <w:bookmarkStart w:id="340" w:name="_Toc98506860"/>
      <w:bookmarkStart w:id="341" w:name="_Toc98508023"/>
      <w:bookmarkStart w:id="342" w:name="_Toc98770078"/>
      <w:r>
        <w:rPr>
          <w:rStyle w:val="CharDivNo"/>
        </w:rPr>
        <w:t>Division 1</w:t>
      </w:r>
      <w:r>
        <w:t> — </w:t>
      </w:r>
      <w:r>
        <w:rPr>
          <w:rStyle w:val="CharDivText"/>
        </w:rPr>
        <w:t>Preliminary</w:t>
      </w:r>
      <w:bookmarkEnd w:id="339"/>
      <w:bookmarkEnd w:id="340"/>
      <w:bookmarkEnd w:id="341"/>
      <w:bookmarkEnd w:id="342"/>
    </w:p>
    <w:p>
      <w:pPr>
        <w:pStyle w:val="Footnoteheading"/>
        <w:tabs>
          <w:tab w:val="left" w:pos="851"/>
        </w:tabs>
      </w:pPr>
      <w:r>
        <w:tab/>
        <w:t>[Heading inserted: No. 20 of 2002 s. 4.]</w:t>
      </w:r>
    </w:p>
    <w:p>
      <w:pPr>
        <w:pStyle w:val="Heading5"/>
        <w:spacing w:before="240"/>
      </w:pPr>
      <w:bookmarkStart w:id="343" w:name="_Toc98770079"/>
      <w:r>
        <w:rPr>
          <w:rStyle w:val="CharSectno"/>
        </w:rPr>
        <w:t>97U</w:t>
      </w:r>
      <w:r>
        <w:t>.</w:t>
      </w:r>
      <w:r>
        <w:tab/>
        <w:t>Terms used</w:t>
      </w:r>
      <w:bookmarkEnd w:id="343"/>
    </w:p>
    <w:p>
      <w:pPr>
        <w:pStyle w:val="Subsection"/>
        <w:spacing w:before="180"/>
        <w:rPr>
          <w:b/>
        </w:rPr>
      </w:pPr>
      <w:r>
        <w:tab/>
        <w:t>(1)</w:t>
      </w:r>
      <w:r>
        <w:tab/>
        <w:t>In this Part, unless the contrary intention appears</w:t>
      </w:r>
      <w:r>
        <w:rPr>
          <w:b/>
        </w:rPr>
        <w:t> —</w:t>
      </w:r>
    </w:p>
    <w:p>
      <w:pPr>
        <w:pStyle w:val="Defstart"/>
      </w:pPr>
      <w:r>
        <w:tab/>
      </w:r>
      <w:r>
        <w:rPr>
          <w:rStyle w:val="CharDefText"/>
        </w:rPr>
        <w:t>award</w:t>
      </w:r>
      <w:r>
        <w:t>, except in section 97UG(2)(c), Division 6 Subdivision 1 and sections 97YA(1)(a) and 97YB(2)(a), includes an industrial agreement or order of the Commission under this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w:t>
      </w:r>
    </w:p>
    <w:p>
      <w:pPr>
        <w:pStyle w:val="Defpara"/>
      </w:pPr>
      <w:r>
        <w:tab/>
        <w:t>(a)</w:t>
      </w:r>
      <w:r>
        <w:tab/>
        <w:t>that are provided for persons with disabilities who are eligible for the Supported Wage System; and</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w:t>
      </w:r>
    </w:p>
    <w:p>
      <w:pPr>
        <w:pStyle w:val="Defpara"/>
      </w:pPr>
      <w:r>
        <w:tab/>
        <w:t>(a)</w:t>
      </w:r>
      <w:r>
        <w:tab/>
        <w:t>who signs; or</w:t>
      </w:r>
    </w:p>
    <w:p>
      <w:pPr>
        <w:pStyle w:val="Defpara"/>
      </w:pPr>
      <w:r>
        <w:lastRenderedPageBreak/>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in relation to an EEA —</w:t>
      </w:r>
    </w:p>
    <w:p>
      <w:pPr>
        <w:pStyle w:val="Defpara"/>
      </w:pPr>
      <w:r>
        <w:tab/>
        <w:t>(a)</w:t>
      </w:r>
      <w:r>
        <w:tab/>
        <w:t>means the employer or employee; and</w:t>
      </w:r>
    </w:p>
    <w:p>
      <w:pPr>
        <w:pStyle w:val="Defpara"/>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w:t>
      </w:r>
    </w:p>
    <w:p>
      <w:pPr>
        <w:pStyle w:val="Defpara"/>
        <w:spacing w:before="70"/>
      </w:pPr>
      <w:r>
        <w:tab/>
        <w:t>(a)</w:t>
      </w:r>
      <w:r>
        <w:tab/>
        <w:t>where the EEA relates to employment as a government officer to whom Part IIA Division 2 applies, the Commission constituted by a public service arbitrator under that Division; and</w:t>
      </w:r>
    </w:p>
    <w:p>
      <w:pPr>
        <w:pStyle w:val="Defpara"/>
        <w:spacing w:before="70"/>
      </w:pPr>
      <w:r>
        <w:tab/>
        <w:t>(b)</w:t>
      </w:r>
      <w:r>
        <w:tab/>
        <w:t>where the EEA relates to employment as a railway officer to whom Part IIA Division 3 applies, the Commission constituted by the Railways Classification Board under that Division; and</w:t>
      </w:r>
    </w:p>
    <w:p>
      <w:pPr>
        <w:pStyle w:val="Defpara"/>
        <w:spacing w:before="70"/>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lastRenderedPageBreak/>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spacing w:before="120"/>
      </w:pPr>
      <w:r>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No. 20 of 2002 s. 4; amended: No. 50 of 2016 s. 7.]</w:t>
      </w:r>
    </w:p>
    <w:p>
      <w:pPr>
        <w:pStyle w:val="Heading3"/>
      </w:pPr>
      <w:bookmarkStart w:id="344" w:name="_Toc98505163"/>
      <w:bookmarkStart w:id="345" w:name="_Toc98506862"/>
      <w:bookmarkStart w:id="346" w:name="_Toc98508025"/>
      <w:bookmarkStart w:id="347" w:name="_Toc98770080"/>
      <w:r>
        <w:rPr>
          <w:rStyle w:val="CharDivNo"/>
        </w:rPr>
        <w:t>Division 2 </w:t>
      </w:r>
      <w:r>
        <w:t>— </w:t>
      </w:r>
      <w:r>
        <w:rPr>
          <w:rStyle w:val="CharDivText"/>
        </w:rPr>
        <w:t>The making of an EEA</w:t>
      </w:r>
      <w:bookmarkEnd w:id="344"/>
      <w:bookmarkEnd w:id="345"/>
      <w:bookmarkEnd w:id="346"/>
      <w:bookmarkEnd w:id="347"/>
    </w:p>
    <w:p>
      <w:pPr>
        <w:pStyle w:val="Footnoteheading"/>
        <w:tabs>
          <w:tab w:val="left" w:pos="851"/>
        </w:tabs>
      </w:pPr>
      <w:r>
        <w:tab/>
        <w:t>[Heading inserted: No. 20 of 2002 s. 4.]</w:t>
      </w:r>
    </w:p>
    <w:p>
      <w:pPr>
        <w:pStyle w:val="Heading5"/>
      </w:pPr>
      <w:bookmarkStart w:id="348" w:name="_Toc98770081"/>
      <w:r>
        <w:rPr>
          <w:rStyle w:val="CharSectno"/>
        </w:rPr>
        <w:t>97UA</w:t>
      </w:r>
      <w:r>
        <w:t>.</w:t>
      </w:r>
      <w:r>
        <w:tab/>
        <w:t>Employer and employee may make EEA</w:t>
      </w:r>
      <w:bookmarkEnd w:id="348"/>
    </w:p>
    <w:p>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pPr>
        <w:pStyle w:val="Footnotesection"/>
      </w:pPr>
      <w:r>
        <w:tab/>
        <w:t>[Section 97UA inserted: No. 20 of 2002 s. 4.]</w:t>
      </w:r>
    </w:p>
    <w:p>
      <w:pPr>
        <w:pStyle w:val="Heading5"/>
      </w:pPr>
      <w:bookmarkStart w:id="349" w:name="_Toc98770082"/>
      <w:r>
        <w:rPr>
          <w:rStyle w:val="CharSectno"/>
        </w:rPr>
        <w:t>97UB</w:t>
      </w:r>
      <w:r>
        <w:t>.</w:t>
      </w:r>
      <w:r>
        <w:tab/>
        <w:t>EEA may deal with post</w:t>
      </w:r>
      <w:r>
        <w:noBreakHyphen/>
        <w:t>employment matters</w:t>
      </w:r>
      <w:bookmarkEnd w:id="349"/>
    </w:p>
    <w:p>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pPr>
        <w:pStyle w:val="Footnotesection"/>
      </w:pPr>
      <w:r>
        <w:tab/>
        <w:t>[Section 97UB inserted: No. 20 of 2002 s. 4.]</w:t>
      </w:r>
    </w:p>
    <w:p>
      <w:pPr>
        <w:pStyle w:val="Heading5"/>
        <w:pageBreakBefore/>
        <w:spacing w:before="0"/>
      </w:pPr>
      <w:bookmarkStart w:id="350" w:name="_Toc98770083"/>
      <w:r>
        <w:rPr>
          <w:rStyle w:val="CharSectno"/>
        </w:rPr>
        <w:lastRenderedPageBreak/>
        <w:t>97UC</w:t>
      </w:r>
      <w:r>
        <w:t>.</w:t>
      </w:r>
      <w:r>
        <w:tab/>
        <w:t>Other provisions about making EEA</w:t>
      </w:r>
      <w:bookmarkEnd w:id="350"/>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The matters that may be dealt with in EEAs made with certain categories of employees are subject to the restrictions in —</w:t>
      </w:r>
    </w:p>
    <w:p>
      <w:pPr>
        <w:pStyle w:val="Indenta"/>
      </w:pPr>
      <w:r>
        <w:tab/>
        <w:t>(a)</w:t>
      </w:r>
      <w:r>
        <w:tab/>
        <w:t>section 99(2)</w:t>
      </w:r>
      <w:r>
        <w:rPr>
          <w:vertAlign w:val="superscript"/>
        </w:rPr>
        <w:t> 8</w:t>
      </w:r>
      <w:r>
        <w:t xml:space="preserve">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No. 20 of 2002 s. 4.]</w:t>
      </w:r>
    </w:p>
    <w:p>
      <w:pPr>
        <w:pStyle w:val="Heading5"/>
      </w:pPr>
      <w:bookmarkStart w:id="351" w:name="_Toc98770084"/>
      <w:r>
        <w:rPr>
          <w:rStyle w:val="CharSectno"/>
        </w:rPr>
        <w:t>97UD</w:t>
      </w:r>
      <w:r>
        <w:t>.</w:t>
      </w:r>
      <w:r>
        <w:tab/>
        <w:t>Making of EEA by person with a mental disability</w:t>
      </w:r>
      <w:bookmarkEnd w:id="351"/>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An EEA so made has effect as if —</w:t>
      </w:r>
    </w:p>
    <w:p>
      <w:pPr>
        <w:pStyle w:val="Indenta"/>
      </w:pPr>
      <w:r>
        <w:tab/>
        <w:t>(a)</w:t>
      </w:r>
      <w:r>
        <w:tab/>
        <w:t>it were made by the represented person; and</w:t>
      </w:r>
    </w:p>
    <w:p>
      <w:pPr>
        <w:pStyle w:val="Indenta"/>
        <w:keepNext/>
        <w:keepLines/>
      </w:pPr>
      <w:r>
        <w:tab/>
        <w:t>(b)</w:t>
      </w:r>
      <w:r>
        <w:tab/>
        <w:t>the represented person were of full legal capacity.</w:t>
      </w:r>
    </w:p>
    <w:p>
      <w:pPr>
        <w:pStyle w:val="Footnotesection"/>
      </w:pPr>
      <w:r>
        <w:tab/>
        <w:t>[Section 97UD inserted: No. 20 of 2002 s. 4.]</w:t>
      </w:r>
    </w:p>
    <w:p>
      <w:pPr>
        <w:pStyle w:val="Heading5"/>
      </w:pPr>
      <w:bookmarkStart w:id="352" w:name="_Toc98770085"/>
      <w:r>
        <w:rPr>
          <w:rStyle w:val="CharSectno"/>
        </w:rPr>
        <w:t>97UE</w:t>
      </w:r>
      <w:r>
        <w:t>.</w:t>
      </w:r>
      <w:r>
        <w:tab/>
        <w:t>Effect of EEA</w:t>
      </w:r>
      <w:bookmarkEnd w:id="352"/>
    </w:p>
    <w:p>
      <w:pPr>
        <w:pStyle w:val="Subsection"/>
      </w:pPr>
      <w:r>
        <w:tab/>
        <w:t>(1)</w:t>
      </w:r>
      <w:r>
        <w:tab/>
        <w:t>An EEA, while it has effect, operates to prevent from extending to the employee any award that would otherwise do so, including an award that comes into operation after the EEA takes effect.</w:t>
      </w:r>
    </w:p>
    <w:p>
      <w:pPr>
        <w:pStyle w:val="Subsection"/>
        <w:keepNext/>
      </w:pPr>
      <w:r>
        <w:lastRenderedPageBreak/>
        <w:tab/>
        <w:t>(2)</w:t>
      </w:r>
      <w:r>
        <w:tab/>
        <w:t>An EEA, while it has effect, does not displace any contract of employment between an employer and an employee, but the EEA has effect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No. 20 of 2002 s. 4.]</w:t>
      </w:r>
    </w:p>
    <w:p>
      <w:pPr>
        <w:pStyle w:val="Heading5"/>
      </w:pPr>
      <w:bookmarkStart w:id="353" w:name="_Toc98770086"/>
      <w:r>
        <w:rPr>
          <w:rStyle w:val="CharSectno"/>
        </w:rPr>
        <w:t>97UF</w:t>
      </w:r>
      <w:r>
        <w:t>.</w:t>
      </w:r>
      <w:r>
        <w:tab/>
        <w:t>EEA not to be made while industrial agreement in operation</w:t>
      </w:r>
      <w:bookmarkEnd w:id="353"/>
    </w:p>
    <w:p>
      <w:pPr>
        <w:pStyle w:val="Subsection"/>
      </w:pPr>
      <w:r>
        <w:tab/>
        <w:t>(1)</w:t>
      </w:r>
      <w:r>
        <w:tab/>
        <w:t xml:space="preserve">An EEA </w:t>
      </w:r>
      <w:r>
        <w:rPr>
          <w:snapToGrid w:val="0"/>
        </w:rPr>
        <w:t>in</w:t>
      </w:r>
      <w:r>
        <w:t xml:space="preserve"> respect of the employment of an employee cannot be made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(1) does not apply to an EEA if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Footnotesection"/>
      </w:pPr>
      <w:r>
        <w:tab/>
        <w:t>[Section 97UF inserted: No. 20 of 2002 s. 4; amended: No. 50 of 2016 s. 8.]</w:t>
      </w:r>
    </w:p>
    <w:p>
      <w:pPr>
        <w:pStyle w:val="Heading5"/>
        <w:pageBreakBefore/>
        <w:spacing w:before="0"/>
      </w:pPr>
      <w:bookmarkStart w:id="354" w:name="_Toc98770087"/>
      <w:r>
        <w:rPr>
          <w:rStyle w:val="CharSectno"/>
        </w:rPr>
        <w:lastRenderedPageBreak/>
        <w:t>97UG</w:t>
      </w:r>
      <w:r>
        <w:t>.</w:t>
      </w:r>
      <w:r>
        <w:tab/>
        <w:t>Documents etc. to be given to employee before EEA signed</w:t>
      </w:r>
      <w:bookmarkEnd w:id="354"/>
    </w:p>
    <w:p>
      <w:pPr>
        <w:pStyle w:val="Subsection"/>
      </w:pPr>
      <w:r>
        <w:tab/>
        <w:t>(1)</w:t>
      </w:r>
      <w:r>
        <w:tab/>
        <w:t>An employer must not make an EEA with an employee unless he or she has given a copy of certain documents —</w:t>
      </w:r>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The documents are —</w:t>
      </w:r>
    </w:p>
    <w:p>
      <w:pPr>
        <w:pStyle w:val="Indenta"/>
      </w:pPr>
      <w:r>
        <w:tab/>
        <w:t>(a)</w:t>
      </w:r>
      <w:r>
        <w:tab/>
        <w:t>the proposed EEA; and</w:t>
      </w:r>
    </w:p>
    <w:p>
      <w:pPr>
        <w:pStyle w:val="Indenta"/>
      </w:pPr>
      <w:r>
        <w:tab/>
        <w:t>(b)</w:t>
      </w:r>
      <w:r>
        <w:tab/>
        <w:t>the information statement prescribed under section 97UI; and</w:t>
      </w:r>
    </w:p>
    <w:p>
      <w:pPr>
        <w:pStyle w:val="Indenta"/>
      </w:pPr>
      <w:r>
        <w:tab/>
        <w:t>(c)</w:t>
      </w:r>
      <w:r>
        <w:tab/>
        <w:t>any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It is sufficient for the purposes of subsections (1) and (2)(c)(i) if the employer gives a document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The documents must be given under subsection (1) —</w:t>
      </w:r>
    </w:p>
    <w:p>
      <w:pPr>
        <w:pStyle w:val="Indenta"/>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lastRenderedPageBreak/>
        <w:tab/>
        <w:t>(6)</w:t>
      </w:r>
      <w:r>
        <w:tab/>
        <w:t>A contravention of subsection (1) or (5) is not an offence but will, under Schedule 4 clause 1(1)(d), prevent the EEA from being in order for registration.</w:t>
      </w:r>
    </w:p>
    <w:p>
      <w:pPr>
        <w:pStyle w:val="Subsection"/>
      </w:pPr>
      <w:r>
        <w:tab/>
        <w:t>(7)</w:t>
      </w:r>
      <w:r>
        <w:tab/>
        <w:t>In subsections (2)(c)(i) and (3) —</w:t>
      </w:r>
    </w:p>
    <w:p>
      <w:pPr>
        <w:pStyle w:val="Defstart"/>
      </w:pPr>
      <w:r>
        <w:tab/>
      </w:r>
      <w:r>
        <w:rPr>
          <w:rStyle w:val="CharDefText"/>
        </w:rPr>
        <w:t>award</w:t>
      </w:r>
      <w:r>
        <w:t xml:space="preserve"> includes an enterprise order.</w:t>
      </w:r>
    </w:p>
    <w:p>
      <w:pPr>
        <w:pStyle w:val="Footnotesection"/>
        <w:spacing w:before="100"/>
        <w:ind w:left="890" w:hanging="890"/>
      </w:pPr>
      <w:r>
        <w:tab/>
        <w:t>[Section 97UG inserted: No. 20 of 2002 s. 4; amended: No. 50 of 2016 s. 9.]</w:t>
      </w:r>
    </w:p>
    <w:p>
      <w:pPr>
        <w:pStyle w:val="Heading5"/>
        <w:spacing w:before="240"/>
      </w:pPr>
      <w:bookmarkStart w:id="355" w:name="_Toc98770088"/>
      <w:r>
        <w:rPr>
          <w:rStyle w:val="CharSectno"/>
        </w:rPr>
        <w:t>97UH</w:t>
      </w:r>
      <w:r>
        <w:t>.</w:t>
      </w:r>
      <w:r>
        <w:tab/>
        <w:t>Application of s. 97UG if draft EEA amended</w:t>
      </w:r>
      <w:bookmarkEnd w:id="355"/>
    </w:p>
    <w:p>
      <w:pPr>
        <w:pStyle w:val="Subsection"/>
        <w:keepNext/>
        <w:keepLines/>
      </w:pPr>
      <w:r>
        <w:tab/>
      </w:r>
      <w:r>
        <w:tab/>
        <w:t>If —</w:t>
      </w:r>
    </w:p>
    <w:p>
      <w:pPr>
        <w:pStyle w:val="Indenta"/>
        <w:spacing w:before="100"/>
      </w:pPr>
      <w:r>
        <w:tab/>
        <w:t>(a)</w:t>
      </w:r>
      <w:r>
        <w:tab/>
        <w:t>an employer has complied with section 97UG in relation to a proposed EEA; and</w:t>
      </w:r>
    </w:p>
    <w:p>
      <w:pPr>
        <w:pStyle w:val="Indenta"/>
        <w:spacing w:before="100"/>
      </w:pPr>
      <w:r>
        <w:tab/>
        <w:t>(b)</w:t>
      </w:r>
      <w:r>
        <w:tab/>
        <w:t>the proposed EEA is later amended, whether once or more than once, before it is signed —</w:t>
      </w:r>
    </w:p>
    <w:p>
      <w:pPr>
        <w:pStyle w:val="Indenti"/>
        <w:spacing w:before="100"/>
      </w:pPr>
      <w:r>
        <w:tab/>
        <w:t>(i)</w:t>
      </w:r>
      <w:r>
        <w:tab/>
        <w:t>by the employee or his or her representative; and</w:t>
      </w:r>
    </w:p>
    <w:p>
      <w:pPr>
        <w:pStyle w:val="Indenti"/>
        <w:keepNext/>
        <w:spacing w:before="100"/>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No. 20 of 2002 s. 4.]</w:t>
      </w:r>
    </w:p>
    <w:p>
      <w:pPr>
        <w:pStyle w:val="Heading5"/>
        <w:keepLines w:val="0"/>
      </w:pPr>
      <w:bookmarkStart w:id="356" w:name="_Toc98770089"/>
      <w:r>
        <w:rPr>
          <w:rStyle w:val="CharSectno"/>
        </w:rPr>
        <w:t>97UI</w:t>
      </w:r>
      <w:r>
        <w:t>.</w:t>
      </w:r>
      <w:r>
        <w:tab/>
        <w:t>EEA information statement, form of (s. 97UG(2)(b))</w:t>
      </w:r>
      <w:bookmarkEnd w:id="356"/>
    </w:p>
    <w:p>
      <w:pPr>
        <w:pStyle w:val="Subsection"/>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The form must include information about the following matters —</w:t>
      </w:r>
    </w:p>
    <w:p>
      <w:pPr>
        <w:pStyle w:val="Indenta"/>
      </w:pPr>
      <w:r>
        <w:tab/>
        <w:t>(a)</w:t>
      </w:r>
      <w:r>
        <w:tab/>
        <w:t>the effect of section 97UE; and</w:t>
      </w:r>
    </w:p>
    <w:p>
      <w:pPr>
        <w:pStyle w:val="Indenta"/>
      </w:pPr>
      <w:r>
        <w:tab/>
        <w:t>(b)</w:t>
      </w:r>
      <w:r>
        <w:tab/>
        <w:t>the employee’s rights under section 97UJ in relation to bargaining agents; and</w:t>
      </w:r>
    </w:p>
    <w:p>
      <w:pPr>
        <w:pStyle w:val="Indenta"/>
      </w:pPr>
      <w:r>
        <w:lastRenderedPageBreak/>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No. 20 of 2002 s. 4.]</w:t>
      </w:r>
    </w:p>
    <w:p>
      <w:pPr>
        <w:pStyle w:val="Heading5"/>
      </w:pPr>
      <w:bookmarkStart w:id="357" w:name="_Toc98770090"/>
      <w:r>
        <w:rPr>
          <w:rStyle w:val="CharSectno"/>
        </w:rPr>
        <w:t>97UJ</w:t>
      </w:r>
      <w:r>
        <w:t>.</w:t>
      </w:r>
      <w:r>
        <w:tab/>
        <w:t>Bargaining agents, appointing etc.</w:t>
      </w:r>
      <w:bookmarkEnd w:id="357"/>
    </w:p>
    <w:p>
      <w:pPr>
        <w:pStyle w:val="Subsection"/>
      </w:pPr>
      <w:r>
        <w:tab/>
        <w:t>(1)</w:t>
      </w:r>
      <w:r>
        <w:tab/>
        <w:t>An employer or employee may, by instrument in writing, appoint a person to be his or her bargaining agent —</w:t>
      </w:r>
    </w:p>
    <w:p>
      <w:pPr>
        <w:pStyle w:val="Indenta"/>
      </w:pPr>
      <w:r>
        <w:tab/>
        <w:t>(a)</w:t>
      </w:r>
      <w:r>
        <w:tab/>
        <w:t>for the negotiation and making of an EEA; or</w:t>
      </w:r>
    </w:p>
    <w:p>
      <w:pPr>
        <w:pStyle w:val="Indenta"/>
      </w:pPr>
      <w:r>
        <w:tab/>
        <w:t>(b)</w:t>
      </w:r>
      <w:r>
        <w:tab/>
        <w:t>in connection with the registration of an EEA; or</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a bargaining agent is authorised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lastRenderedPageBreak/>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No. 20 of 2002 s. 4; amended: No. 65 of 2003 s. 41(3); No. 21 of 2008 s. 668(5).]</w:t>
      </w:r>
    </w:p>
    <w:p>
      <w:pPr>
        <w:pStyle w:val="Heading5"/>
      </w:pPr>
      <w:bookmarkStart w:id="358" w:name="_Toc98770091"/>
      <w:r>
        <w:rPr>
          <w:rStyle w:val="CharSectno"/>
        </w:rPr>
        <w:t>97UK</w:t>
      </w:r>
      <w:r>
        <w:t>.</w:t>
      </w:r>
      <w:r>
        <w:tab/>
        <w:t>Prohibited conduct relating to bargaining agents</w:t>
      </w:r>
      <w:bookmarkEnd w:id="358"/>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An employer or employee or a representative must not coerce or induce, or attempt to coerce or induce, the other party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pPr>
      <w:r>
        <w:tab/>
        <w:t>(3)</w:t>
      </w:r>
      <w:r>
        <w:tab/>
        <w:t>A contravention of subsection (1) or (2) is not an offence but those subsections are civil penalty provisions for the purposes of section 83E.</w:t>
      </w:r>
    </w:p>
    <w:p>
      <w:pPr>
        <w:pStyle w:val="Footnotesection"/>
      </w:pPr>
      <w:r>
        <w:tab/>
        <w:t>[Section 97UK inserted: No. 20 of 2002 s. 4.]</w:t>
      </w:r>
    </w:p>
    <w:p>
      <w:pPr>
        <w:pStyle w:val="Heading3"/>
        <w:spacing w:before="260"/>
      </w:pPr>
      <w:bookmarkStart w:id="359" w:name="_Toc98505175"/>
      <w:bookmarkStart w:id="360" w:name="_Toc98506874"/>
      <w:bookmarkStart w:id="361" w:name="_Toc98508037"/>
      <w:bookmarkStart w:id="362" w:name="_Toc98770092"/>
      <w:r>
        <w:rPr>
          <w:rStyle w:val="CharDivNo"/>
        </w:rPr>
        <w:t>Division 3</w:t>
      </w:r>
      <w:r>
        <w:t> — </w:t>
      </w:r>
      <w:r>
        <w:rPr>
          <w:rStyle w:val="CharDivText"/>
        </w:rPr>
        <w:t>Form and content of EEA</w:t>
      </w:r>
      <w:bookmarkEnd w:id="359"/>
      <w:bookmarkEnd w:id="360"/>
      <w:bookmarkEnd w:id="361"/>
      <w:bookmarkEnd w:id="362"/>
    </w:p>
    <w:p>
      <w:pPr>
        <w:pStyle w:val="Footnoteheading"/>
        <w:tabs>
          <w:tab w:val="left" w:pos="851"/>
        </w:tabs>
      </w:pPr>
      <w:r>
        <w:tab/>
        <w:t>[Heading inserted: No. 20 of 2002 s. 4.]</w:t>
      </w:r>
    </w:p>
    <w:p>
      <w:pPr>
        <w:pStyle w:val="Heading5"/>
      </w:pPr>
      <w:bookmarkStart w:id="363" w:name="_Toc98770093"/>
      <w:r>
        <w:rPr>
          <w:rStyle w:val="CharSectno"/>
        </w:rPr>
        <w:t>97UL</w:t>
      </w:r>
      <w:r>
        <w:t>.</w:t>
      </w:r>
      <w:r>
        <w:tab/>
        <w:t>Form of EEA</w:t>
      </w:r>
      <w:bookmarkEnd w:id="363"/>
    </w:p>
    <w:p>
      <w:pPr>
        <w:pStyle w:val="Subsection"/>
      </w:pPr>
      <w:r>
        <w:tab/>
        <w:t>(1)</w:t>
      </w:r>
      <w:r>
        <w:tab/>
        <w:t>An EEA must —</w:t>
      </w:r>
    </w:p>
    <w:p>
      <w:pPr>
        <w:pStyle w:val="Indenta"/>
      </w:pPr>
      <w:r>
        <w:tab/>
        <w:t>(a)</w:t>
      </w:r>
      <w:r>
        <w:tab/>
        <w:t>be in writing; and</w:t>
      </w:r>
    </w:p>
    <w:p>
      <w:pPr>
        <w:pStyle w:val="Indenta"/>
      </w:pPr>
      <w:r>
        <w:tab/>
        <w:t>(b)</w:t>
      </w:r>
      <w:r>
        <w:tab/>
        <w:t>name the employer and employee who are parties to it; and</w:t>
      </w:r>
    </w:p>
    <w:p>
      <w:pPr>
        <w:pStyle w:val="Indenta"/>
      </w:pPr>
      <w:r>
        <w:tab/>
        <w:t>(c)</w:t>
      </w:r>
      <w:r>
        <w:tab/>
        <w:t>specify whether the employment to which it relates is full</w:t>
      </w:r>
      <w:r>
        <w:noBreakHyphen/>
        <w:t>time, part</w:t>
      </w:r>
      <w:r>
        <w:noBreakHyphen/>
        <w:t>time or casual; and</w:t>
      </w:r>
    </w:p>
    <w:p>
      <w:pPr>
        <w:pStyle w:val="Indenta"/>
        <w:keepNext/>
      </w:pPr>
      <w:r>
        <w:lastRenderedPageBreak/>
        <w:tab/>
        <w:t>(d)</w:t>
      </w:r>
      <w:r>
        <w:tab/>
        <w:t>be signed by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The signature of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No. 20 of 2002 s. 4.]</w:t>
      </w:r>
    </w:p>
    <w:p>
      <w:pPr>
        <w:pStyle w:val="Heading5"/>
      </w:pPr>
      <w:bookmarkStart w:id="364" w:name="_Toc98770094"/>
      <w:r>
        <w:rPr>
          <w:rStyle w:val="CharSectno"/>
        </w:rPr>
        <w:t>97UM</w:t>
      </w:r>
      <w:r>
        <w:t>.</w:t>
      </w:r>
      <w:r>
        <w:tab/>
        <w:t>Additional formalities for EEA made with employee under 18</w:t>
      </w:r>
      <w:bookmarkEnd w:id="364"/>
    </w:p>
    <w:p>
      <w:pPr>
        <w:pStyle w:val="Subsection"/>
      </w:pPr>
      <w:r>
        <w:tab/>
        <w:t>(1)</w:t>
      </w:r>
      <w:r>
        <w:tab/>
        <w:t>This section applies to an EEA made with a person as the employee who —</w:t>
      </w:r>
    </w:p>
    <w:p>
      <w:pPr>
        <w:pStyle w:val="Indenta"/>
      </w:pPr>
      <w:r>
        <w:tab/>
        <w:t>(a)</w:t>
      </w:r>
      <w:r>
        <w:tab/>
        <w:t>is under 18 years of age; and</w:t>
      </w:r>
    </w:p>
    <w:p>
      <w:pPr>
        <w:pStyle w:val="Indenta"/>
      </w:pPr>
      <w:r>
        <w:tab/>
        <w:t>(b)</w:t>
      </w:r>
      <w:r>
        <w:tab/>
        <w:t>is not a represented person.</w:t>
      </w:r>
    </w:p>
    <w:p>
      <w:pPr>
        <w:pStyle w:val="Subsection"/>
      </w:pPr>
      <w:r>
        <w:tab/>
        <w:t>(2)</w:t>
      </w:r>
      <w:r>
        <w:tab/>
        <w:t>For the purposes of this Act or any other law, the EEA can only have effect if after it has been signed by the employee it is also signed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lastRenderedPageBreak/>
        <w:tab/>
        <w:t>(4)</w:t>
      </w:r>
      <w:r>
        <w:tab/>
        <w:t>Subject to subsections (2) and (3), an EEA to which this section applies binds the employee as if he or she were of full age.</w:t>
      </w:r>
    </w:p>
    <w:p>
      <w:pPr>
        <w:pStyle w:val="Footnotesection"/>
      </w:pPr>
      <w:r>
        <w:tab/>
        <w:t>[Section 97UM inserted: No. 20 of 2002 s. 4.]</w:t>
      </w:r>
    </w:p>
    <w:p>
      <w:pPr>
        <w:pStyle w:val="Heading5"/>
        <w:spacing w:before="240"/>
      </w:pPr>
      <w:bookmarkStart w:id="365" w:name="_Toc98770095"/>
      <w:r>
        <w:rPr>
          <w:rStyle w:val="CharSectno"/>
        </w:rPr>
        <w:t>97UN</w:t>
      </w:r>
      <w:r>
        <w:t>.</w:t>
      </w:r>
      <w:r>
        <w:tab/>
        <w:t>EEA must provide for resolution of disputes</w:t>
      </w:r>
      <w:bookmarkEnd w:id="365"/>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No. 20 of 2002 s. 4.]</w:t>
      </w:r>
    </w:p>
    <w:p>
      <w:pPr>
        <w:pStyle w:val="Heading5"/>
        <w:spacing w:before="240"/>
      </w:pPr>
      <w:bookmarkStart w:id="366" w:name="_Toc98770096"/>
      <w:r>
        <w:rPr>
          <w:rStyle w:val="CharSectno"/>
        </w:rPr>
        <w:t>97UO</w:t>
      </w:r>
      <w:r>
        <w:t>.</w:t>
      </w:r>
      <w:r>
        <w:tab/>
        <w:t>EEA dispute provisions, content of</w:t>
      </w:r>
      <w:bookmarkEnd w:id="366"/>
    </w:p>
    <w:p>
      <w:pPr>
        <w:pStyle w:val="Subsection"/>
      </w:pPr>
      <w:r>
        <w:tab/>
        <w:t>(1)</w:t>
      </w:r>
      <w:r>
        <w:tab/>
        <w:t xml:space="preserve">EEA </w:t>
      </w:r>
      <w:r>
        <w:rPr>
          <w:snapToGrid w:val="0"/>
        </w:rPr>
        <w:t>dispute</w:t>
      </w:r>
      <w:r>
        <w:t xml:space="preserve"> provisions must, if section 97UP does not apply —</w:t>
      </w:r>
    </w:p>
    <w:p>
      <w:pPr>
        <w:pStyle w:val="Indenta"/>
      </w:pPr>
      <w:r>
        <w:tab/>
        <w:t>(a)</w:t>
      </w:r>
      <w:r>
        <w:tab/>
        <w:t>provide for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r>
      <w:r>
        <w:tab/>
        <w:t>and</w:t>
      </w:r>
    </w:p>
    <w:p>
      <w:pPr>
        <w:pStyle w:val="Indenta"/>
        <w:keepNext/>
      </w:pPr>
      <w:r>
        <w:lastRenderedPageBreak/>
        <w:tab/>
        <w:t>(b)</w:t>
      </w:r>
      <w:r>
        <w:tab/>
        <w:t>provide for the appointment of an arbitrator by —</w:t>
      </w:r>
    </w:p>
    <w:p>
      <w:pPr>
        <w:pStyle w:val="Indenti"/>
      </w:pPr>
      <w:r>
        <w:tab/>
        <w:t>(i)</w:t>
      </w:r>
      <w:r>
        <w:tab/>
        <w:t>naming the arbitrator, and if desired any alternate arbitrator; or</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w:t>
      </w:r>
    </w:p>
    <w:p>
      <w:pPr>
        <w:pStyle w:val="Indenta"/>
      </w:pPr>
      <w:r>
        <w:tab/>
        <w:t>(a)</w:t>
      </w:r>
      <w:r>
        <w:tab/>
        <w:t>require the parties to confer together and make a genuine attempt to settle any question, dispute or difficulty that arises out of or in the course of the employment; and</w:t>
      </w:r>
    </w:p>
    <w:p>
      <w:pPr>
        <w:pStyle w:val="Indenta"/>
      </w:pPr>
      <w:r>
        <w:tab/>
        <w:t>(b)</w:t>
      </w:r>
      <w:r>
        <w:tab/>
        <w:t>comply with any requirement of the regulations that specifies any step, series of steps or process that is to be part of the EEA dispute provisions; and</w:t>
      </w:r>
    </w:p>
    <w:p>
      <w:pPr>
        <w:pStyle w:val="Indenta"/>
      </w:pPr>
      <w:r>
        <w:tab/>
        <w:t>(c)</w:t>
      </w:r>
      <w:r>
        <w:tab/>
        <w:t>comply with any requirement of the regulations that limits the time that the EEA dispute provisions may allow for —</w:t>
      </w:r>
    </w:p>
    <w:p>
      <w:pPr>
        <w:pStyle w:val="Indenti"/>
      </w:pPr>
      <w:r>
        <w:tab/>
        <w:t>(i)</w:t>
      </w:r>
      <w:r>
        <w:tab/>
        <w:t>doing any act; or</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No. 20 of 2002 s. 4.]</w:t>
      </w:r>
    </w:p>
    <w:p>
      <w:pPr>
        <w:pStyle w:val="Heading5"/>
      </w:pPr>
      <w:bookmarkStart w:id="367" w:name="_Toc98770097"/>
      <w:r>
        <w:rPr>
          <w:rStyle w:val="CharSectno"/>
        </w:rPr>
        <w:t>97UP</w:t>
      </w:r>
      <w:r>
        <w:t>.</w:t>
      </w:r>
      <w:r>
        <w:tab/>
        <w:t>Industrial authority may be specified as arbitrator</w:t>
      </w:r>
      <w:bookmarkEnd w:id="367"/>
    </w:p>
    <w:p>
      <w:pPr>
        <w:pStyle w:val="Subsection"/>
      </w:pPr>
      <w:r>
        <w:tab/>
      </w:r>
      <w:r>
        <w:tab/>
        <w:t xml:space="preserve">EEA dispute provisions may provide for a party to refer to the relevant industrial authority, for arbitration in accordance with </w:t>
      </w:r>
      <w:r>
        <w:lastRenderedPageBreak/>
        <w:t>section 97WI, any question, dispute or difficulty that arises out of or in the course of the employment.</w:t>
      </w:r>
    </w:p>
    <w:p>
      <w:pPr>
        <w:pStyle w:val="Footnotesection"/>
      </w:pPr>
      <w:r>
        <w:tab/>
        <w:t>[Section 97UP inserted: No. 20 of 2002 s. 4.]</w:t>
      </w:r>
    </w:p>
    <w:p>
      <w:pPr>
        <w:pStyle w:val="Heading3"/>
        <w:spacing w:before="220"/>
      </w:pPr>
      <w:bookmarkStart w:id="368" w:name="_Toc98505181"/>
      <w:bookmarkStart w:id="369" w:name="_Toc98506880"/>
      <w:bookmarkStart w:id="370" w:name="_Toc98508043"/>
      <w:bookmarkStart w:id="371" w:name="_Toc98770098"/>
      <w:r>
        <w:rPr>
          <w:rStyle w:val="CharDivNo"/>
        </w:rPr>
        <w:t>Division 4 </w:t>
      </w:r>
      <w:r>
        <w:t>— </w:t>
      </w:r>
      <w:r>
        <w:rPr>
          <w:rStyle w:val="CharDivText"/>
        </w:rPr>
        <w:t>Commencement, duration and variation</w:t>
      </w:r>
      <w:bookmarkEnd w:id="368"/>
      <w:bookmarkEnd w:id="369"/>
      <w:bookmarkEnd w:id="370"/>
      <w:bookmarkEnd w:id="371"/>
    </w:p>
    <w:p>
      <w:pPr>
        <w:pStyle w:val="Footnoteheading"/>
        <w:tabs>
          <w:tab w:val="left" w:pos="851"/>
        </w:tabs>
      </w:pPr>
      <w:r>
        <w:tab/>
        <w:t>[Heading inserted: No. 20 of 2002 s. 4.]</w:t>
      </w:r>
    </w:p>
    <w:p>
      <w:pPr>
        <w:pStyle w:val="Heading5"/>
      </w:pPr>
      <w:bookmarkStart w:id="372" w:name="_Toc98770099"/>
      <w:r>
        <w:rPr>
          <w:rStyle w:val="CharSectno"/>
        </w:rPr>
        <w:t>97UQ</w:t>
      </w:r>
      <w:r>
        <w:t>.</w:t>
      </w:r>
      <w:r>
        <w:tab/>
        <w:t>New employee, when EEA commences</w:t>
      </w:r>
      <w:bookmarkEnd w:id="372"/>
    </w:p>
    <w:p>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pPr>
      <w:r>
        <w:tab/>
        <w:t>(2)</w:t>
      </w:r>
      <w:r>
        <w:tab/>
        <w:t>An EEA referred to in subsection (1) takes effect on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No. 20 of 2002 s. 4.]</w:t>
      </w:r>
    </w:p>
    <w:p>
      <w:pPr>
        <w:pStyle w:val="Heading5"/>
      </w:pPr>
      <w:bookmarkStart w:id="373" w:name="_Toc98770100"/>
      <w:r>
        <w:rPr>
          <w:rStyle w:val="CharSectno"/>
        </w:rPr>
        <w:t>97UR</w:t>
      </w:r>
      <w:r>
        <w:t>.</w:t>
      </w:r>
      <w:r>
        <w:tab/>
        <w:t>Existing employee, when EEA commences</w:t>
      </w:r>
      <w:bookmarkEnd w:id="373"/>
    </w:p>
    <w:p>
      <w:pPr>
        <w:pStyle w:val="Subsection"/>
      </w:pPr>
      <w:r>
        <w:tab/>
        <w:t>(1)</w:t>
      </w:r>
      <w:r>
        <w:tab/>
        <w:t>An EEA made with an existing employee does not have effect unless it is registered under Division 5.</w:t>
      </w:r>
    </w:p>
    <w:p>
      <w:pPr>
        <w:pStyle w:val="Subsection"/>
      </w:pPr>
      <w:r>
        <w:tab/>
        <w:t>(2)</w:t>
      </w:r>
      <w:r>
        <w:tab/>
        <w:t>An EEA referred to in subsection (1) takes effect on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No. 20 of 2002 s. 4.]</w:t>
      </w:r>
    </w:p>
    <w:p>
      <w:pPr>
        <w:pStyle w:val="Heading5"/>
      </w:pPr>
      <w:bookmarkStart w:id="374" w:name="_Toc98770101"/>
      <w:r>
        <w:rPr>
          <w:rStyle w:val="CharSectno"/>
        </w:rPr>
        <w:t>97US</w:t>
      </w:r>
      <w:r>
        <w:t>.</w:t>
      </w:r>
      <w:r>
        <w:tab/>
        <w:t>Expiry of EEA</w:t>
      </w:r>
      <w:bookmarkEnd w:id="374"/>
    </w:p>
    <w:p>
      <w:pPr>
        <w:pStyle w:val="Subsection"/>
      </w:pPr>
      <w:r>
        <w:tab/>
        <w:t>(1)</w:t>
      </w:r>
      <w:r>
        <w:tab/>
        <w:t>An EEA must provide for the day on which it expires which cannot be more than 3 years from and including the day on which it takes effect under section 97UQ or 97UR.</w:t>
      </w:r>
    </w:p>
    <w:p>
      <w:pPr>
        <w:pStyle w:val="Subsection"/>
        <w:keepNext/>
      </w:pPr>
      <w:r>
        <w:lastRenderedPageBreak/>
        <w:tab/>
        <w:t>(2)</w:t>
      </w:r>
      <w:r>
        <w:tab/>
        <w:t>The expiry of an EEA does not of itself terminate the contract of employment between the employer and the employee.</w:t>
      </w:r>
    </w:p>
    <w:p>
      <w:pPr>
        <w:pStyle w:val="Footnotesection"/>
        <w:ind w:left="890" w:hanging="890"/>
      </w:pPr>
      <w:r>
        <w:tab/>
        <w:t>[Section 97US inserted: No. 20 of 2002 s. 4.]</w:t>
      </w:r>
    </w:p>
    <w:p>
      <w:pPr>
        <w:pStyle w:val="Heading5"/>
      </w:pPr>
      <w:bookmarkStart w:id="375" w:name="_Toc98770102"/>
      <w:r>
        <w:rPr>
          <w:rStyle w:val="CharSectno"/>
        </w:rPr>
        <w:t>97UT</w:t>
      </w:r>
      <w:r>
        <w:t>.</w:t>
      </w:r>
      <w:r>
        <w:tab/>
        <w:t>Employment conditions applicable on expiry of EEA</w:t>
      </w:r>
      <w:bookmarkEnd w:id="375"/>
    </w:p>
    <w:p>
      <w:pPr>
        <w:pStyle w:val="Subsection"/>
      </w:pPr>
      <w:r>
        <w:tab/>
        <w:t>(1)</w:t>
      </w:r>
      <w:r>
        <w:tab/>
        <w:t>On the expiry of an EEA —</w:t>
      </w:r>
    </w:p>
    <w:p>
      <w:pPr>
        <w:pStyle w:val="Indenta"/>
      </w:pPr>
      <w:r>
        <w:tab/>
        <w:t>(a)</w:t>
      </w:r>
      <w:r>
        <w:tab/>
        <w:t>any relevant award provisions extend to the employee unless a new EEA then takes effect; and</w:t>
      </w:r>
    </w:p>
    <w:p>
      <w:pPr>
        <w:pStyle w:val="Indenta"/>
      </w:pPr>
      <w:r>
        <w:tab/>
        <w:t>(b)</w:t>
      </w:r>
      <w:r>
        <w:tab/>
        <w:t>to the extent that paragraph (a) does not apply, the employment of the employee becomes subject to a contract of employment containing the same provisions as those of the EEA that has expired other than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No. 20 of 2002 s. 4.]</w:t>
      </w:r>
    </w:p>
    <w:p>
      <w:pPr>
        <w:pStyle w:val="Heading5"/>
        <w:spacing w:before="240"/>
      </w:pPr>
      <w:bookmarkStart w:id="376" w:name="_Toc98770103"/>
      <w:r>
        <w:rPr>
          <w:rStyle w:val="CharSectno"/>
        </w:rPr>
        <w:t>97UU</w:t>
      </w:r>
      <w:r>
        <w:t>.</w:t>
      </w:r>
      <w:r>
        <w:tab/>
        <w:t>EEA cannot be varied</w:t>
      </w:r>
      <w:bookmarkEnd w:id="376"/>
    </w:p>
    <w:p>
      <w:pPr>
        <w:pStyle w:val="Subsection"/>
        <w:keepNext/>
      </w:pPr>
      <w:r>
        <w:tab/>
        <w:t>(1)</w:t>
      </w:r>
      <w:r>
        <w:tab/>
        <w:t>The parties to an EEA cannot vary the provisions of the EEA once it has been signed by —</w:t>
      </w:r>
    </w:p>
    <w:p>
      <w:pPr>
        <w:pStyle w:val="Indenta"/>
      </w:pPr>
      <w:r>
        <w:tab/>
        <w:t>(a)</w:t>
      </w:r>
      <w:r>
        <w:tab/>
        <w:t>the employer; and</w:t>
      </w:r>
    </w:p>
    <w:p>
      <w:pPr>
        <w:pStyle w:val="Indenta"/>
      </w:pPr>
      <w:r>
        <w:tab/>
        <w:t>(b)</w:t>
      </w:r>
      <w:r>
        <w:tab/>
        <w:t>the employee or, where applicable, his or her representative,</w:t>
      </w:r>
    </w:p>
    <w:p>
      <w:pPr>
        <w:pStyle w:val="Subsection"/>
      </w:pPr>
      <w:r>
        <w:tab/>
      </w:r>
      <w:r>
        <w:tab/>
        <w:t>or, if section 97UM applies to the EEA, once it has been signed by the employer, the employee and the section 97UM signatory.</w:t>
      </w:r>
    </w:p>
    <w:p>
      <w:pPr>
        <w:pStyle w:val="Subsection"/>
      </w:pPr>
      <w:r>
        <w:lastRenderedPageBreak/>
        <w:tab/>
        <w:t>(2)</w:t>
      </w:r>
      <w:r>
        <w:tab/>
        <w:t>Subsection (1) applies even though the EEA has not taken effect.</w:t>
      </w:r>
    </w:p>
    <w:p>
      <w:pPr>
        <w:pStyle w:val="Subsection"/>
        <w:keepNext/>
      </w:pPr>
      <w:r>
        <w:tab/>
        <w:t>(3)</w:t>
      </w:r>
      <w:r>
        <w:tab/>
        <w:t>However, subsection (1) does not affect the provisions of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No. 20 of 2002 s. 4.]</w:t>
      </w:r>
    </w:p>
    <w:p>
      <w:pPr>
        <w:pStyle w:val="Heading5"/>
      </w:pPr>
      <w:bookmarkStart w:id="377" w:name="_Toc98770104"/>
      <w:r>
        <w:rPr>
          <w:rStyle w:val="CharSectno"/>
        </w:rPr>
        <w:t>97UV</w:t>
      </w:r>
      <w:r>
        <w:t>.</w:t>
      </w:r>
      <w:r>
        <w:tab/>
        <w:t>Cancelling EEA</w:t>
      </w:r>
      <w:bookmarkEnd w:id="377"/>
    </w:p>
    <w:p>
      <w:pPr>
        <w:pStyle w:val="Subsection"/>
      </w:pPr>
      <w:r>
        <w:tab/>
        <w:t>(1)</w:t>
      </w:r>
      <w:r>
        <w:tab/>
        <w:t>The parties to an EEA may at any time make an agreement in writing cancelling the EEA with effect on and from a specified day.</w:t>
      </w:r>
    </w:p>
    <w:p>
      <w:pPr>
        <w:pStyle w:val="Subsection"/>
      </w:pPr>
      <w:r>
        <w:tab/>
        <w:t>(2)</w:t>
      </w:r>
      <w:r>
        <w:tab/>
        <w:t>Section 97UT applies on the cancellation of an EEA that has taken effect as if the EEA had expired.</w:t>
      </w:r>
    </w:p>
    <w:p>
      <w:pPr>
        <w:pStyle w:val="Footnotesection"/>
        <w:spacing w:before="60"/>
        <w:ind w:left="890" w:hanging="890"/>
      </w:pPr>
      <w:r>
        <w:tab/>
        <w:t>[Section 97UV inserted: No. 20 of 2002 s. 4.]</w:t>
      </w:r>
    </w:p>
    <w:p>
      <w:pPr>
        <w:pStyle w:val="Heading5"/>
      </w:pPr>
      <w:bookmarkStart w:id="378" w:name="_Toc98770105"/>
      <w:r>
        <w:rPr>
          <w:rStyle w:val="CharSectno"/>
        </w:rPr>
        <w:t>97UW</w:t>
      </w:r>
      <w:r>
        <w:t>.</w:t>
      </w:r>
      <w:r>
        <w:tab/>
        <w:t>Termination of employment, effect of on EEA</w:t>
      </w:r>
      <w:bookmarkEnd w:id="378"/>
    </w:p>
    <w:p>
      <w:pPr>
        <w:pStyle w:val="Subsection"/>
      </w:pPr>
      <w:r>
        <w:tab/>
      </w:r>
      <w:r>
        <w:tab/>
        <w:t>The termination of the contract of employment of an employee terminates an EEA that applies to the employment.</w:t>
      </w:r>
    </w:p>
    <w:p>
      <w:pPr>
        <w:pStyle w:val="Footnotesection"/>
      </w:pPr>
      <w:r>
        <w:tab/>
        <w:t>[Section 97UW inserted: No. 20 of 2002 s. 4.]</w:t>
      </w:r>
    </w:p>
    <w:p>
      <w:pPr>
        <w:pStyle w:val="Heading3"/>
        <w:keepLines/>
        <w:spacing w:before="260"/>
      </w:pPr>
      <w:bookmarkStart w:id="379" w:name="_Toc98505189"/>
      <w:bookmarkStart w:id="380" w:name="_Toc98506888"/>
      <w:bookmarkStart w:id="381" w:name="_Toc98508051"/>
      <w:bookmarkStart w:id="382" w:name="_Toc98770106"/>
      <w:r>
        <w:rPr>
          <w:rStyle w:val="CharDivNo"/>
        </w:rPr>
        <w:t>Division 5</w:t>
      </w:r>
      <w:r>
        <w:t> — </w:t>
      </w:r>
      <w:r>
        <w:rPr>
          <w:rStyle w:val="CharDivText"/>
        </w:rPr>
        <w:t>Registration of EEAs</w:t>
      </w:r>
      <w:bookmarkEnd w:id="379"/>
      <w:bookmarkEnd w:id="380"/>
      <w:bookmarkEnd w:id="381"/>
      <w:bookmarkEnd w:id="382"/>
    </w:p>
    <w:p>
      <w:pPr>
        <w:pStyle w:val="Footnoteheading"/>
        <w:keepNext/>
        <w:keepLines/>
        <w:tabs>
          <w:tab w:val="left" w:pos="851"/>
        </w:tabs>
      </w:pPr>
      <w:r>
        <w:tab/>
        <w:t>[Heading inserted: No. 20 of 2002 s. 4.]</w:t>
      </w:r>
    </w:p>
    <w:p>
      <w:pPr>
        <w:pStyle w:val="Heading4"/>
        <w:keepLines/>
        <w:spacing w:before="260"/>
      </w:pPr>
      <w:bookmarkStart w:id="383" w:name="_Toc98505190"/>
      <w:bookmarkStart w:id="384" w:name="_Toc98506889"/>
      <w:bookmarkStart w:id="385" w:name="_Toc98508052"/>
      <w:bookmarkStart w:id="386" w:name="_Toc98770107"/>
      <w:r>
        <w:t>Subdivision 1 — Preliminary</w:t>
      </w:r>
      <w:bookmarkEnd w:id="383"/>
      <w:bookmarkEnd w:id="384"/>
      <w:bookmarkEnd w:id="385"/>
      <w:bookmarkEnd w:id="386"/>
    </w:p>
    <w:p>
      <w:pPr>
        <w:pStyle w:val="Footnoteheading"/>
        <w:keepLines/>
        <w:tabs>
          <w:tab w:val="left" w:pos="851"/>
        </w:tabs>
      </w:pPr>
      <w:r>
        <w:tab/>
        <w:t>[Heading inserted: No. 20 of 2002 s. 4.]</w:t>
      </w:r>
    </w:p>
    <w:p>
      <w:pPr>
        <w:pStyle w:val="Heading5"/>
        <w:keepNext w:val="0"/>
        <w:spacing w:before="240"/>
      </w:pPr>
      <w:bookmarkStart w:id="387" w:name="_Toc98770108"/>
      <w:r>
        <w:rPr>
          <w:rStyle w:val="CharSectno"/>
        </w:rPr>
        <w:t>97UX</w:t>
      </w:r>
      <w:r>
        <w:t>.</w:t>
      </w:r>
      <w:r>
        <w:tab/>
        <w:t>Delegation by Registrar</w:t>
      </w:r>
      <w:bookmarkEnd w:id="387"/>
    </w:p>
    <w:p>
      <w:pPr>
        <w:pStyle w:val="Subsection"/>
      </w:pPr>
      <w:r>
        <w:tab/>
        <w:t>(1)</w:t>
      </w:r>
      <w:r>
        <w:tab/>
        <w:t>The Registrar may delegate to an officer of the Commission the performance of a function of the Registrar under this Division, other than this power of delegation.</w:t>
      </w:r>
    </w:p>
    <w:p>
      <w:pPr>
        <w:pStyle w:val="Subsection"/>
        <w:keepNext/>
        <w:keepLines/>
      </w:pPr>
      <w:r>
        <w:lastRenderedPageBreak/>
        <w:tab/>
        <w:t>(2)</w:t>
      </w:r>
      <w:r>
        <w:tab/>
        <w:t>A delegation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No. 20 of 2002 s. 4.]</w:t>
      </w:r>
    </w:p>
    <w:p>
      <w:pPr>
        <w:pStyle w:val="Heading4"/>
        <w:keepLines/>
        <w:spacing w:before="280"/>
      </w:pPr>
      <w:bookmarkStart w:id="388" w:name="_Toc98505192"/>
      <w:bookmarkStart w:id="389" w:name="_Toc98506891"/>
      <w:bookmarkStart w:id="390" w:name="_Toc98508054"/>
      <w:bookmarkStart w:id="391" w:name="_Toc98770109"/>
      <w:r>
        <w:t>Subdivision 2 — Registration</w:t>
      </w:r>
      <w:bookmarkEnd w:id="388"/>
      <w:bookmarkEnd w:id="389"/>
      <w:bookmarkEnd w:id="390"/>
      <w:bookmarkEnd w:id="391"/>
    </w:p>
    <w:p>
      <w:pPr>
        <w:pStyle w:val="Footnoteheading"/>
        <w:keepNext/>
        <w:keepLines/>
        <w:tabs>
          <w:tab w:val="left" w:pos="851"/>
        </w:tabs>
      </w:pPr>
      <w:r>
        <w:tab/>
        <w:t>[Heading inserted: No. 20 of 2002 s. 4.]</w:t>
      </w:r>
    </w:p>
    <w:p>
      <w:pPr>
        <w:pStyle w:val="Heading5"/>
      </w:pPr>
      <w:bookmarkStart w:id="392" w:name="_Toc98770110"/>
      <w:r>
        <w:rPr>
          <w:rStyle w:val="CharSectno"/>
        </w:rPr>
        <w:t>97UY</w:t>
      </w:r>
      <w:r>
        <w:t>.</w:t>
      </w:r>
      <w:r>
        <w:tab/>
        <w:t>Lodgment of EEA for registration</w:t>
      </w:r>
      <w:bookmarkEnd w:id="392"/>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The Registrar is not to accept an EEA for registration if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lastRenderedPageBreak/>
        <w:tab/>
        <w:t>(6)</w:t>
      </w:r>
      <w:r>
        <w:tab/>
        <w:t>In subsection (2) —</w:t>
      </w:r>
    </w:p>
    <w:p>
      <w:pPr>
        <w:pStyle w:val="Defstart"/>
        <w:keepNext/>
      </w:pPr>
      <w:r>
        <w:tab/>
      </w:r>
      <w:r>
        <w:rPr>
          <w:rStyle w:val="CharDefText"/>
        </w:rPr>
        <w:t>day of execution</w:t>
      </w:r>
      <w:r>
        <w:t xml:space="preserve"> means —</w:t>
      </w:r>
    </w:p>
    <w:p>
      <w:pPr>
        <w:pStyle w:val="Defpara"/>
      </w:pPr>
      <w:r>
        <w:tab/>
        <w:t>(a)</w:t>
      </w:r>
      <w:r>
        <w:tab/>
        <w:t>the day on which the EEA was signed by —</w:t>
      </w:r>
    </w:p>
    <w:p>
      <w:pPr>
        <w:pStyle w:val="Defsubpara"/>
        <w:keepLines w:val="0"/>
      </w:pPr>
      <w:r>
        <w:tab/>
        <w:t>(i)</w:t>
      </w:r>
      <w:r>
        <w:tab/>
        <w:t>the employer; and</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No. 20 of 2002 s. 4.]</w:t>
      </w:r>
    </w:p>
    <w:p>
      <w:pPr>
        <w:pStyle w:val="Heading5"/>
      </w:pPr>
      <w:bookmarkStart w:id="393" w:name="_Toc98770111"/>
      <w:r>
        <w:rPr>
          <w:rStyle w:val="CharSectno"/>
        </w:rPr>
        <w:t>97UZ</w:t>
      </w:r>
      <w:r>
        <w:t>.</w:t>
      </w:r>
      <w:r>
        <w:tab/>
        <w:t>EEA with new employee, effect of not lodging</w:t>
      </w:r>
      <w:bookmarkEnd w:id="393"/>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No. 20 of 2002 s. 4.]</w:t>
      </w:r>
    </w:p>
    <w:p>
      <w:pPr>
        <w:pStyle w:val="Heading5"/>
        <w:rPr>
          <w:snapToGrid w:val="0"/>
        </w:rPr>
      </w:pPr>
      <w:bookmarkStart w:id="394" w:name="_Toc98770112"/>
      <w:r>
        <w:rPr>
          <w:rStyle w:val="CharSectno"/>
        </w:rPr>
        <w:t>97V</w:t>
      </w:r>
      <w:r>
        <w:rPr>
          <w:snapToGrid w:val="0"/>
        </w:rPr>
        <w:t>.</w:t>
      </w:r>
      <w:r>
        <w:rPr>
          <w:snapToGrid w:val="0"/>
        </w:rPr>
        <w:tab/>
        <w:t>Recovery of money if s. 97UZ applies</w:t>
      </w:r>
      <w:bookmarkEnd w:id="394"/>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w:t>
      </w:r>
    </w:p>
    <w:p>
      <w:pPr>
        <w:pStyle w:val="Indenta"/>
        <w:spacing w:before="70"/>
        <w:rPr>
          <w:snapToGrid w:val="0"/>
        </w:rPr>
      </w:pPr>
      <w:r>
        <w:rPr>
          <w:snapToGrid w:val="0"/>
        </w:rPr>
        <w:tab/>
        <w:t>(a)</w:t>
      </w:r>
      <w:r>
        <w:rPr>
          <w:snapToGrid w:val="0"/>
        </w:rPr>
        <w:tab/>
        <w:t>would have been entitled to receive; or</w:t>
      </w:r>
    </w:p>
    <w:p>
      <w:pPr>
        <w:pStyle w:val="Indenta"/>
        <w:spacing w:before="70"/>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w:t>
      </w:r>
      <w:r>
        <w:rPr>
          <w:snapToGrid w:val="0"/>
        </w:rPr>
        <w:lastRenderedPageBreak/>
        <w:t>extended to and bound the employer and the employee during the period referred to in that subsection.</w:t>
      </w:r>
    </w:p>
    <w:p>
      <w:pPr>
        <w:pStyle w:val="Subsection"/>
      </w:pPr>
      <w:r>
        <w:tab/>
        <w:t>(3)</w:t>
      </w:r>
      <w:r>
        <w:tab/>
        <w:t>An amount referred to in subsection (1) may be recovered by action in an industrial magistrate’s court.</w:t>
      </w:r>
    </w:p>
    <w:p>
      <w:pPr>
        <w:pStyle w:val="Footnotesection"/>
        <w:spacing w:before="100"/>
        <w:ind w:left="890" w:hanging="890"/>
      </w:pPr>
      <w:r>
        <w:tab/>
        <w:t>[Section 97V inserted: No. 20 of 2002 s. 4.]</w:t>
      </w:r>
    </w:p>
    <w:p>
      <w:pPr>
        <w:pStyle w:val="Heading5"/>
      </w:pPr>
      <w:bookmarkStart w:id="395" w:name="_Toc98770113"/>
      <w:r>
        <w:rPr>
          <w:rStyle w:val="CharSectno"/>
        </w:rPr>
        <w:t>97VA</w:t>
      </w:r>
      <w:r>
        <w:t>.</w:t>
      </w:r>
      <w:r>
        <w:tab/>
        <w:t>Employment conditions of new employee if EEA not lodged</w:t>
      </w:r>
      <w:bookmarkEnd w:id="395"/>
    </w:p>
    <w:p>
      <w:pPr>
        <w:pStyle w:val="Subsection"/>
      </w:pPr>
      <w:r>
        <w:tab/>
        <w:t>(1)</w:t>
      </w:r>
      <w:r>
        <w:tab/>
        <w:t xml:space="preserve">If an EEA ceases to </w:t>
      </w:r>
      <w:r>
        <w:rPr>
          <w:snapToGrid w:val="0"/>
        </w:rPr>
        <w:t>have</w:t>
      </w:r>
      <w:r>
        <w:t xml:space="preserve"> effect under section 97UZ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not lodged for registration within the allowed period,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w:t>
      </w:r>
    </w:p>
    <w:p>
      <w:pPr>
        <w:pStyle w:val="Indenta"/>
        <w:spacing w:before="70"/>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No. 20 of 2002 s. 4.]</w:t>
      </w:r>
    </w:p>
    <w:p>
      <w:pPr>
        <w:pStyle w:val="Heading5"/>
        <w:keepLines w:val="0"/>
      </w:pPr>
      <w:bookmarkStart w:id="396" w:name="_Toc98770114"/>
      <w:r>
        <w:rPr>
          <w:rStyle w:val="CharSectno"/>
        </w:rPr>
        <w:t>97VB</w:t>
      </w:r>
      <w:r>
        <w:t>.</w:t>
      </w:r>
      <w:r>
        <w:tab/>
        <w:t>Registrar to be satisfied EEA is in order for registration</w:t>
      </w:r>
      <w:bookmarkEnd w:id="396"/>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No. 20 of 2002 s. 4.]</w:t>
      </w:r>
    </w:p>
    <w:p>
      <w:pPr>
        <w:pStyle w:val="Heading5"/>
        <w:pageBreakBefore/>
        <w:spacing w:before="0"/>
      </w:pPr>
      <w:bookmarkStart w:id="397" w:name="_Toc98770115"/>
      <w:r>
        <w:rPr>
          <w:rStyle w:val="CharSectno"/>
        </w:rPr>
        <w:lastRenderedPageBreak/>
        <w:t>97VC</w:t>
      </w:r>
      <w:r>
        <w:t>.</w:t>
      </w:r>
      <w:r>
        <w:tab/>
        <w:t>Registrar’s powers for s. 97VB</w:t>
      </w:r>
      <w:bookmarkEnd w:id="397"/>
    </w:p>
    <w:p>
      <w:pPr>
        <w:pStyle w:val="Subsection"/>
      </w:pPr>
      <w:r>
        <w:tab/>
        <w:t>(1)</w:t>
      </w:r>
      <w:r>
        <w:tab/>
        <w:t>The Registrar may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keepNext/>
      </w:pPr>
      <w:r>
        <w:tab/>
        <w:t>(5)</w:t>
      </w:r>
      <w:r>
        <w:tab/>
        <w:t>In this section —</w:t>
      </w:r>
    </w:p>
    <w:p>
      <w:pPr>
        <w:pStyle w:val="Defstart"/>
      </w:pPr>
      <w:r>
        <w:tab/>
      </w:r>
      <w:r>
        <w:rPr>
          <w:rStyle w:val="CharDefText"/>
        </w:rPr>
        <w:t>party</w:t>
      </w:r>
      <w:r>
        <w:t xml:space="preserve"> includes a section 97UM signatory.</w:t>
      </w:r>
    </w:p>
    <w:p>
      <w:pPr>
        <w:pStyle w:val="Footnotesection"/>
      </w:pPr>
      <w:r>
        <w:tab/>
        <w:t>[Section 97VC inserted: No. 20 of 2002 s. 4.]</w:t>
      </w:r>
    </w:p>
    <w:p>
      <w:pPr>
        <w:pStyle w:val="Heading5"/>
      </w:pPr>
      <w:bookmarkStart w:id="398" w:name="_Toc98770116"/>
      <w:r>
        <w:rPr>
          <w:rStyle w:val="CharSectno"/>
        </w:rPr>
        <w:t>97VD</w:t>
      </w:r>
      <w:r>
        <w:t>.</w:t>
      </w:r>
      <w:r>
        <w:tab/>
        <w:t>Registrar to notify parties of certain deficiencies in EEA</w:t>
      </w:r>
      <w:bookmarkEnd w:id="398"/>
    </w:p>
    <w:p>
      <w:pPr>
        <w:pStyle w:val="Subsection"/>
      </w:pPr>
      <w:r>
        <w:tab/>
        <w:t>(1)</w:t>
      </w:r>
      <w:r>
        <w:tab/>
        <w:t>This section applies where the Registrar is not satisfied that an EEA is in order for registration for one or more of the following reasons —</w:t>
      </w:r>
    </w:p>
    <w:p>
      <w:pPr>
        <w:pStyle w:val="Indenta"/>
      </w:pPr>
      <w:r>
        <w:tab/>
        <w:t>(a)</w:t>
      </w:r>
      <w:r>
        <w:tab/>
        <w:t>it does not comply with section 97UL, 97UN or 97US;</w:t>
      </w:r>
    </w:p>
    <w:p>
      <w:pPr>
        <w:pStyle w:val="Indenta"/>
        <w:keepNext/>
      </w:pPr>
      <w:r>
        <w:tab/>
        <w:t>(b)</w:t>
      </w:r>
      <w:r>
        <w:tab/>
        <w:t>it does not pass the no</w:t>
      </w:r>
      <w:r>
        <w:noBreakHyphen/>
        <w:t>disadvantage test;</w:t>
      </w:r>
    </w:p>
    <w:p>
      <w:pPr>
        <w:pStyle w:val="Indenta"/>
      </w:pPr>
      <w:r>
        <w:tab/>
        <w:t>(c)</w:t>
      </w:r>
      <w:r>
        <w:tab/>
        <w:t>it purports to provide for a condition of employment that is less favourable to the employee than a minimum condition of employment under the MCE Act.</w:t>
      </w:r>
    </w:p>
    <w:p>
      <w:pPr>
        <w:pStyle w:val="Subsection"/>
        <w:keepNext/>
      </w:pPr>
      <w:r>
        <w:lastRenderedPageBreak/>
        <w:tab/>
        <w:t>(2)</w:t>
      </w:r>
      <w:r>
        <w:tab/>
        <w:t>Where this section applies the Registrar must give notice in writing to the parties setting out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No. 20 of 2002 s. 4.]</w:t>
      </w:r>
    </w:p>
    <w:p>
      <w:pPr>
        <w:pStyle w:val="Heading5"/>
        <w:keepNext w:val="0"/>
        <w:keepLines w:val="0"/>
        <w:spacing w:before="240"/>
      </w:pPr>
      <w:bookmarkStart w:id="399" w:name="_Toc98770117"/>
      <w:r>
        <w:rPr>
          <w:rStyle w:val="CharSectno"/>
        </w:rPr>
        <w:t>97VE</w:t>
      </w:r>
      <w:r>
        <w:t>.</w:t>
      </w:r>
      <w:r>
        <w:tab/>
        <w:t>Parties may correct deficiencies in EEA</w:t>
      </w:r>
      <w:bookmarkEnd w:id="399"/>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If —</w:t>
      </w:r>
    </w:p>
    <w:p>
      <w:pPr>
        <w:pStyle w:val="Indenta"/>
      </w:pPr>
      <w:r>
        <w:tab/>
        <w:t>(a)</w:t>
      </w:r>
      <w:r>
        <w:tab/>
        <w:t>the Registrar has given a notice under section 97VD; but</w:t>
      </w:r>
    </w:p>
    <w:p>
      <w:pPr>
        <w:pStyle w:val="Indenta"/>
        <w:keepNext/>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No. 20 of 2002 s. 4.]</w:t>
      </w:r>
    </w:p>
    <w:p>
      <w:pPr>
        <w:pStyle w:val="Heading5"/>
      </w:pPr>
      <w:bookmarkStart w:id="400" w:name="_Toc98770118"/>
      <w:r>
        <w:rPr>
          <w:rStyle w:val="CharSectno"/>
        </w:rPr>
        <w:t>97VF</w:t>
      </w:r>
      <w:r>
        <w:t>.</w:t>
      </w:r>
      <w:r>
        <w:tab/>
        <w:t>Registration of EEA</w:t>
      </w:r>
      <w:bookmarkEnd w:id="400"/>
    </w:p>
    <w:p>
      <w:pPr>
        <w:pStyle w:val="Subsection"/>
      </w:pPr>
      <w:r>
        <w:tab/>
        <w:t>(1)</w:t>
      </w:r>
      <w:r>
        <w:tab/>
        <w:t>If the Registrar is satisfied that an EEA is in order for registration, the Registrar must —</w:t>
      </w:r>
    </w:p>
    <w:p>
      <w:pPr>
        <w:pStyle w:val="Indenta"/>
      </w:pPr>
      <w:r>
        <w:tab/>
        <w:t>(a)</w:t>
      </w:r>
      <w:r>
        <w:tab/>
        <w:t>register the EEA; and</w:t>
      </w:r>
    </w:p>
    <w:p>
      <w:pPr>
        <w:pStyle w:val="Indenta"/>
      </w:pPr>
      <w:r>
        <w:lastRenderedPageBreak/>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No. 20 of 2002 s. 4.]</w:t>
      </w:r>
    </w:p>
    <w:p>
      <w:pPr>
        <w:pStyle w:val="Heading5"/>
      </w:pPr>
      <w:bookmarkStart w:id="401" w:name="_Toc98770119"/>
      <w:r>
        <w:rPr>
          <w:rStyle w:val="CharSectno"/>
        </w:rPr>
        <w:t>97VG</w:t>
      </w:r>
      <w:r>
        <w:t>.</w:t>
      </w:r>
      <w:r>
        <w:tab/>
        <w:t>Refusal of registration of EEA</w:t>
      </w:r>
      <w:bookmarkEnd w:id="401"/>
    </w:p>
    <w:p>
      <w:pPr>
        <w:pStyle w:val="Subsection"/>
      </w:pPr>
      <w:r>
        <w:tab/>
      </w:r>
      <w:r>
        <w:tab/>
        <w:t>If the Registrar is not satisfied that an EEA is in order for registration, the Registrar must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No. 20 of 2002 s. 4.]</w:t>
      </w:r>
    </w:p>
    <w:p>
      <w:pPr>
        <w:pStyle w:val="Heading5"/>
      </w:pPr>
      <w:bookmarkStart w:id="402" w:name="_Toc98770120"/>
      <w:r>
        <w:rPr>
          <w:rStyle w:val="CharSectno"/>
        </w:rPr>
        <w:t>97VH</w:t>
      </w:r>
      <w:r>
        <w:t>.</w:t>
      </w:r>
      <w:r>
        <w:tab/>
        <w:t>When refusal has effect</w:t>
      </w:r>
      <w:bookmarkEnd w:id="402"/>
    </w:p>
    <w:p>
      <w:pPr>
        <w:pStyle w:val="Subsection"/>
      </w:pPr>
      <w:r>
        <w:tab/>
        <w:t>(1)</w:t>
      </w:r>
      <w:r>
        <w:tab/>
        <w:t xml:space="preserve">A refusal of </w:t>
      </w:r>
      <w:r>
        <w:rPr>
          <w:snapToGrid w:val="0"/>
        </w:rPr>
        <w:t>registration</w:t>
      </w:r>
      <w:r>
        <w:t xml:space="preserve"> comes into force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pPr>
      <w:r>
        <w:tab/>
        <w:t>(2)</w:t>
      </w:r>
      <w:r>
        <w:tab/>
        <w:t xml:space="preserve">For the </w:t>
      </w:r>
      <w:r>
        <w:rPr>
          <w:snapToGrid w:val="0"/>
        </w:rPr>
        <w:t xml:space="preserve">purpose </w:t>
      </w:r>
      <w:r>
        <w:t>of subsection (1)(b) an appeal fails if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spacing w:before="100"/>
        <w:ind w:left="890" w:hanging="890"/>
      </w:pPr>
      <w:r>
        <w:tab/>
        <w:t>[Section 97VH inserted: No. 20 of 2002 s. 4.]</w:t>
      </w:r>
    </w:p>
    <w:p>
      <w:pPr>
        <w:pStyle w:val="Heading5"/>
        <w:spacing w:before="180"/>
      </w:pPr>
      <w:bookmarkStart w:id="403" w:name="_Toc98770121"/>
      <w:r>
        <w:rPr>
          <w:rStyle w:val="CharSectno"/>
        </w:rPr>
        <w:t>97VI</w:t>
      </w:r>
      <w:r>
        <w:t>.</w:t>
      </w:r>
      <w:r>
        <w:tab/>
        <w:t>EEA for new employee refused registration, effect ceases</w:t>
      </w:r>
      <w:bookmarkEnd w:id="403"/>
    </w:p>
    <w:p>
      <w:pPr>
        <w:pStyle w:val="Subsection"/>
      </w:pPr>
      <w:r>
        <w:tab/>
      </w:r>
      <w:r>
        <w:tab/>
        <w:t>If an EEA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lastRenderedPageBreak/>
        <w:tab/>
        <w:t>(b)</w:t>
      </w:r>
      <w:r>
        <w:rPr>
          <w:snapToGrid w:val="0"/>
        </w:rPr>
        <w:tab/>
        <w:t xml:space="preserve">is refused </w:t>
      </w:r>
      <w:r>
        <w:t>registration</w:t>
      </w:r>
      <w:r>
        <w:rPr>
          <w:snapToGrid w:val="0"/>
        </w:rPr>
        <w:t xml:space="preserve"> under section 97VG,</w:t>
      </w:r>
    </w:p>
    <w:p>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spacing w:before="100"/>
        <w:ind w:left="890" w:hanging="890"/>
      </w:pPr>
      <w:r>
        <w:tab/>
        <w:t>[Section 97VI inserted: No. 20 of 2002 s. 4.]</w:t>
      </w:r>
    </w:p>
    <w:p>
      <w:pPr>
        <w:pStyle w:val="Heading5"/>
        <w:spacing w:before="120"/>
        <w:rPr>
          <w:snapToGrid w:val="0"/>
        </w:rPr>
      </w:pPr>
      <w:bookmarkStart w:id="404" w:name="_Toc98770122"/>
      <w:r>
        <w:rPr>
          <w:rStyle w:val="CharSectno"/>
        </w:rPr>
        <w:t>97VJ</w:t>
      </w:r>
      <w:r>
        <w:rPr>
          <w:snapToGrid w:val="0"/>
        </w:rPr>
        <w:t>.</w:t>
      </w:r>
      <w:r>
        <w:rPr>
          <w:snapToGrid w:val="0"/>
        </w:rPr>
        <w:tab/>
        <w:t>Recovery of money if s. 97VI applies</w:t>
      </w:r>
      <w:bookmarkEnd w:id="404"/>
    </w:p>
    <w:p>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he or she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spacing w:before="120"/>
      </w:pPr>
      <w:r>
        <w:rPr>
          <w:snapToGrid w:val="0"/>
        </w:rPr>
        <w:tab/>
        <w:t>(3)</w:t>
      </w:r>
      <w:r>
        <w:rPr>
          <w:snapToGrid w:val="0"/>
        </w:rPr>
        <w:tab/>
        <w:t>An amount referred to in subsection (1) may be recovered by action in an industrial magistrate’s court.</w:t>
      </w:r>
    </w:p>
    <w:p>
      <w:pPr>
        <w:pStyle w:val="Footnotesection"/>
        <w:spacing w:before="100"/>
        <w:ind w:left="890" w:hanging="890"/>
      </w:pPr>
      <w:r>
        <w:tab/>
        <w:t>[Section 97VJ inserted: No. 20 of 2002 s. 4.]</w:t>
      </w:r>
    </w:p>
    <w:p>
      <w:pPr>
        <w:pStyle w:val="Heading5"/>
        <w:spacing w:before="120"/>
      </w:pPr>
      <w:bookmarkStart w:id="405" w:name="_Toc98770123"/>
      <w:r>
        <w:rPr>
          <w:rStyle w:val="CharSectno"/>
        </w:rPr>
        <w:t>97VK</w:t>
      </w:r>
      <w:r>
        <w:t>.</w:t>
      </w:r>
      <w:r>
        <w:tab/>
        <w:t>Employment conditions of new employee if registration refused</w:t>
      </w:r>
      <w:bookmarkEnd w:id="405"/>
    </w:p>
    <w:p>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refused registration, other than —</w:t>
      </w:r>
    </w:p>
    <w:p>
      <w:pPr>
        <w:pStyle w:val="Indenti"/>
      </w:pPr>
      <w:r>
        <w:tab/>
        <w:t>(i)</w:t>
      </w:r>
      <w:r>
        <w:tab/>
        <w:t>the provision specifying the term of the EEA; and</w:t>
      </w:r>
    </w:p>
    <w:p>
      <w:pPr>
        <w:pStyle w:val="Indenti"/>
      </w:pPr>
      <w:r>
        <w:lastRenderedPageBreak/>
        <w:tab/>
        <w:t>(ii)</w:t>
      </w:r>
      <w:r>
        <w:tab/>
        <w:t>the EEA dispute provisions.</w:t>
      </w:r>
    </w:p>
    <w:p>
      <w:pPr>
        <w:pStyle w:val="Subsection"/>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No. 20 of 2002 s. 4.]</w:t>
      </w:r>
    </w:p>
    <w:p>
      <w:pPr>
        <w:pStyle w:val="Heading5"/>
      </w:pPr>
      <w:bookmarkStart w:id="406" w:name="_Toc98770124"/>
      <w:r>
        <w:rPr>
          <w:rStyle w:val="CharSectno"/>
        </w:rPr>
        <w:t>97VL</w:t>
      </w:r>
      <w:r>
        <w:t>.</w:t>
      </w:r>
      <w:r>
        <w:tab/>
        <w:t>Registrar to provide copy of registered EEA</w:t>
      </w:r>
      <w:bookmarkEnd w:id="406"/>
    </w:p>
    <w:p>
      <w:pPr>
        <w:pStyle w:val="Subsection"/>
      </w:pPr>
      <w:r>
        <w:tab/>
        <w:t>(1)</w:t>
      </w:r>
      <w:r>
        <w:tab/>
        <w:t xml:space="preserve">The Registrar </w:t>
      </w:r>
      <w:r>
        <w:rPr>
          <w:snapToGrid w:val="0"/>
        </w:rPr>
        <w:t>must</w:t>
      </w:r>
      <w:r>
        <w:t xml:space="preserve"> give a copy of an EEA that is registered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No. 20 of 2002 s. 4.]</w:t>
      </w:r>
    </w:p>
    <w:p>
      <w:pPr>
        <w:pStyle w:val="Heading4"/>
      </w:pPr>
      <w:bookmarkStart w:id="407" w:name="_Toc98505208"/>
      <w:bookmarkStart w:id="408" w:name="_Toc98506907"/>
      <w:bookmarkStart w:id="409" w:name="_Toc98508070"/>
      <w:bookmarkStart w:id="410" w:name="_Toc98770125"/>
      <w:r>
        <w:t>Subdivision 3 — Appeal against refusal of registration</w:t>
      </w:r>
      <w:bookmarkEnd w:id="407"/>
      <w:bookmarkEnd w:id="408"/>
      <w:bookmarkEnd w:id="409"/>
      <w:bookmarkEnd w:id="410"/>
    </w:p>
    <w:p>
      <w:pPr>
        <w:pStyle w:val="Footnoteheading"/>
        <w:tabs>
          <w:tab w:val="left" w:pos="851"/>
        </w:tabs>
      </w:pPr>
      <w:r>
        <w:tab/>
        <w:t>[Heading inserted: No. 20 of 2002 s. 4.]</w:t>
      </w:r>
    </w:p>
    <w:p>
      <w:pPr>
        <w:pStyle w:val="Heading5"/>
        <w:spacing w:before="180"/>
      </w:pPr>
      <w:bookmarkStart w:id="411" w:name="_Toc98770126"/>
      <w:r>
        <w:rPr>
          <w:rStyle w:val="CharSectno"/>
        </w:rPr>
        <w:t>97VM</w:t>
      </w:r>
      <w:r>
        <w:t>.</w:t>
      </w:r>
      <w:r>
        <w:tab/>
        <w:t>Appeal against refusal of registration</w:t>
      </w:r>
      <w:bookmarkEnd w:id="411"/>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lastRenderedPageBreak/>
        <w:tab/>
        <w:t>(3)</w:t>
      </w:r>
      <w:r>
        <w:tab/>
        <w:t>The time limit specified in subsection (2) cannot be extended under section 27(1)(n).</w:t>
      </w:r>
    </w:p>
    <w:p>
      <w:pPr>
        <w:pStyle w:val="Footnotesection"/>
      </w:pPr>
      <w:r>
        <w:tab/>
        <w:t>[Section 97VM inserted: No. 20 of 2002 s. 4.]</w:t>
      </w:r>
    </w:p>
    <w:p>
      <w:pPr>
        <w:pStyle w:val="Heading5"/>
      </w:pPr>
      <w:bookmarkStart w:id="412" w:name="_Toc98770127"/>
      <w:r>
        <w:rPr>
          <w:rStyle w:val="CharSectno"/>
        </w:rPr>
        <w:t>97VN</w:t>
      </w:r>
      <w:r>
        <w:t>.</w:t>
      </w:r>
      <w:r>
        <w:tab/>
        <w:t>Relevant industrial authority to notify parties of certain deficiencies in EEA</w:t>
      </w:r>
      <w:bookmarkEnd w:id="412"/>
    </w:p>
    <w:p>
      <w:pPr>
        <w:pStyle w:val="Subsection"/>
      </w:pPr>
      <w:r>
        <w:tab/>
        <w:t>(1)</w:t>
      </w:r>
      <w:r>
        <w:tab/>
        <w:t>This section applies on an appeal against a refusal by the Registrar to register an EEA for one or more of the following reasons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disadvantage test;</w:t>
      </w:r>
    </w:p>
    <w:p>
      <w:pPr>
        <w:pStyle w:val="Indenta"/>
        <w:spacing w:before="60"/>
      </w:pPr>
      <w:r>
        <w:tab/>
        <w:t>(c)</w:t>
      </w:r>
      <w:r>
        <w:tab/>
        <w:t>it purports to provide for a condition of employment that is less favourable to the employee than a minimum condition of employment under the MCE Act.</w:t>
      </w:r>
    </w:p>
    <w:p>
      <w:pPr>
        <w:pStyle w:val="Subsection"/>
      </w:pPr>
      <w:r>
        <w:tab/>
        <w:t>(2)</w:t>
      </w:r>
      <w:r>
        <w:tab/>
        <w:t>Where this section applies the relevant industrial authority may give notice in writing to the parties setting out —</w:t>
      </w:r>
    </w:p>
    <w:p>
      <w:pPr>
        <w:pStyle w:val="Indenta"/>
        <w:spacing w:before="60"/>
      </w:pPr>
      <w:r>
        <w:tab/>
        <w:t>(a)</w:t>
      </w:r>
      <w:r>
        <w:tab/>
        <w:t>the deficiencies in the EEA that, in the opinion of that authority, make it necessary for registration to be refused; and</w:t>
      </w:r>
    </w:p>
    <w:p>
      <w:pPr>
        <w:pStyle w:val="Indenta"/>
        <w:spacing w:before="60"/>
      </w:pPr>
      <w:r>
        <w:tab/>
        <w:t>(b)</w:t>
      </w:r>
      <w:r>
        <w:tab/>
        <w:t>the terms of subsection (1) of section 97VO and the period within which the parties may comply with that subsection.</w:t>
      </w:r>
    </w:p>
    <w:p>
      <w:pPr>
        <w:pStyle w:val="Footnotesection"/>
        <w:spacing w:before="80"/>
        <w:ind w:left="890" w:hanging="890"/>
      </w:pPr>
      <w:r>
        <w:tab/>
        <w:t>[Section 97VN inserted: No. 20 of 2002 s. 4.]</w:t>
      </w:r>
    </w:p>
    <w:p>
      <w:pPr>
        <w:pStyle w:val="Heading5"/>
      </w:pPr>
      <w:bookmarkStart w:id="413" w:name="_Toc98770128"/>
      <w:r>
        <w:rPr>
          <w:rStyle w:val="CharSectno"/>
        </w:rPr>
        <w:t>97VO</w:t>
      </w:r>
      <w:r>
        <w:t>.</w:t>
      </w:r>
      <w:r>
        <w:tab/>
        <w:t>Parties may correct deficiencies in EEA</w:t>
      </w:r>
      <w:bookmarkEnd w:id="413"/>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If —</w:t>
      </w:r>
    </w:p>
    <w:p>
      <w:pPr>
        <w:pStyle w:val="Indenta"/>
      </w:pPr>
      <w:r>
        <w:tab/>
        <w:t>(a)</w:t>
      </w:r>
      <w:r>
        <w:tab/>
        <w:t>a revised EEA is so lodged; and</w:t>
      </w:r>
    </w:p>
    <w:p>
      <w:pPr>
        <w:pStyle w:val="Indenta"/>
        <w:keepNext/>
      </w:pPr>
      <w:r>
        <w:lastRenderedPageBreak/>
        <w:tab/>
        <w:t>(b)</w:t>
      </w:r>
      <w:r>
        <w:tab/>
        <w:t>the relevant industrial authority is satisfied that it is in order for registration,</w:t>
      </w:r>
    </w:p>
    <w:p>
      <w:pPr>
        <w:pStyle w:val="Subsection"/>
        <w:spacing w:before="120"/>
      </w:pPr>
      <w:r>
        <w:tab/>
      </w:r>
      <w:r>
        <w:tab/>
        <w:t>the authority may cause it to be registered by disposing of the appeal in the manner provided for by section 97VP(2)(b)(i).</w:t>
      </w:r>
    </w:p>
    <w:p>
      <w:pPr>
        <w:pStyle w:val="Subsection"/>
      </w:pPr>
      <w:r>
        <w:tab/>
        <w:t>(3)</w:t>
      </w:r>
      <w:r>
        <w:tab/>
        <w:t>If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spacing w:before="120"/>
      </w:pPr>
      <w:r>
        <w:tab/>
      </w:r>
      <w:r>
        <w:tab/>
        <w:t>the authority must dispose of the appeal in the manner provided for by section 97VP(2)(a).</w:t>
      </w:r>
    </w:p>
    <w:p>
      <w:pPr>
        <w:pStyle w:val="Footnotesection"/>
        <w:ind w:left="890" w:hanging="890"/>
      </w:pPr>
      <w:r>
        <w:tab/>
        <w:t>[Section 97VO inserted: No. 20 of 2002 s. 4.]</w:t>
      </w:r>
    </w:p>
    <w:p>
      <w:pPr>
        <w:pStyle w:val="Heading5"/>
      </w:pPr>
      <w:bookmarkStart w:id="414" w:name="_Toc98770129"/>
      <w:r>
        <w:rPr>
          <w:rStyle w:val="CharSectno"/>
        </w:rPr>
        <w:t>97VP</w:t>
      </w:r>
      <w:r>
        <w:t>.</w:t>
      </w:r>
      <w:r>
        <w:tab/>
        <w:t>Determination of appeal</w:t>
      </w:r>
      <w:bookmarkEnd w:id="414"/>
    </w:p>
    <w:p>
      <w:pPr>
        <w:pStyle w:val="Subsection"/>
      </w:pPr>
      <w:r>
        <w:tab/>
        <w:t>(1)</w:t>
      </w:r>
      <w:r>
        <w:tab/>
        <w:t>In determining an appeal the relevant industrial authority is not limited to the material that was before the Registrar, but may inform itself in such manner as it thinks fit.</w:t>
      </w:r>
    </w:p>
    <w:p>
      <w:pPr>
        <w:pStyle w:val="Subsection"/>
      </w:pPr>
      <w:r>
        <w:tab/>
        <w:t>(2)</w:t>
      </w:r>
      <w:r>
        <w:tab/>
        <w:t>On the determination of an appeal the relevant industrial authority may —</w:t>
      </w:r>
    </w:p>
    <w:p>
      <w:pPr>
        <w:pStyle w:val="Indenta"/>
      </w:pPr>
      <w:r>
        <w:tab/>
        <w:t>(a)</w:t>
      </w:r>
      <w:r>
        <w:tab/>
        <w:t>confirm the refusal of registration; or</w:t>
      </w:r>
    </w:p>
    <w:p>
      <w:pPr>
        <w:pStyle w:val="Indenta"/>
      </w:pPr>
      <w:r>
        <w:tab/>
        <w:t>(b)</w:t>
      </w:r>
      <w:r>
        <w:tab/>
        <w:t>set aside the refusal and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No. 20 of 2002 s. 4.]</w:t>
      </w:r>
    </w:p>
    <w:p>
      <w:pPr>
        <w:pStyle w:val="Heading5"/>
        <w:pageBreakBefore/>
        <w:spacing w:before="0"/>
      </w:pPr>
      <w:bookmarkStart w:id="415" w:name="_Toc98770130"/>
      <w:r>
        <w:rPr>
          <w:rStyle w:val="CharSectno"/>
        </w:rPr>
        <w:lastRenderedPageBreak/>
        <w:t>97VQ</w:t>
      </w:r>
      <w:r>
        <w:t>.</w:t>
      </w:r>
      <w:r>
        <w:tab/>
        <w:t>Procedure on appeal</w:t>
      </w:r>
      <w:bookmarkEnd w:id="415"/>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No. 20 of 2002 s. 4.]</w:t>
      </w:r>
    </w:p>
    <w:p>
      <w:pPr>
        <w:pStyle w:val="Heading3"/>
      </w:pPr>
      <w:bookmarkStart w:id="416" w:name="_Toc98505214"/>
      <w:bookmarkStart w:id="417" w:name="_Toc98506913"/>
      <w:bookmarkStart w:id="418" w:name="_Toc98508076"/>
      <w:bookmarkStart w:id="419" w:name="_Toc98770131"/>
      <w:r>
        <w:rPr>
          <w:rStyle w:val="CharDivNo"/>
        </w:rPr>
        <w:t>Division 6</w:t>
      </w:r>
      <w:r>
        <w:t> — </w:t>
      </w:r>
      <w:r>
        <w:rPr>
          <w:rStyle w:val="CharDivText"/>
        </w:rPr>
        <w:t>No</w:t>
      </w:r>
      <w:r>
        <w:rPr>
          <w:rStyle w:val="CharDivText"/>
        </w:rPr>
        <w:noBreakHyphen/>
        <w:t>disadvantage test</w:t>
      </w:r>
      <w:bookmarkEnd w:id="416"/>
      <w:bookmarkEnd w:id="417"/>
      <w:bookmarkEnd w:id="418"/>
      <w:bookmarkEnd w:id="419"/>
    </w:p>
    <w:p>
      <w:pPr>
        <w:pStyle w:val="Footnoteheading"/>
        <w:keepNext/>
        <w:tabs>
          <w:tab w:val="left" w:pos="851"/>
        </w:tabs>
      </w:pPr>
      <w:r>
        <w:tab/>
        <w:t>[Heading inserted: No. 20 of 2002 s. 4.]</w:t>
      </w:r>
    </w:p>
    <w:p>
      <w:pPr>
        <w:pStyle w:val="Heading4"/>
      </w:pPr>
      <w:bookmarkStart w:id="420" w:name="_Toc98505215"/>
      <w:bookmarkStart w:id="421" w:name="_Toc98506914"/>
      <w:bookmarkStart w:id="422" w:name="_Toc98508077"/>
      <w:bookmarkStart w:id="423" w:name="_Toc98770132"/>
      <w:r>
        <w:t>Subdivision 1 — Definition</w:t>
      </w:r>
      <w:bookmarkEnd w:id="420"/>
      <w:bookmarkEnd w:id="421"/>
      <w:bookmarkEnd w:id="422"/>
      <w:bookmarkEnd w:id="423"/>
    </w:p>
    <w:p>
      <w:pPr>
        <w:pStyle w:val="Footnoteheading"/>
        <w:keepNext/>
        <w:tabs>
          <w:tab w:val="left" w:pos="851"/>
        </w:tabs>
      </w:pPr>
      <w:r>
        <w:tab/>
        <w:t>[Heading inserted: No. 20 of 2002 s. 4.]</w:t>
      </w:r>
    </w:p>
    <w:p>
      <w:pPr>
        <w:pStyle w:val="Heading5"/>
      </w:pPr>
      <w:bookmarkStart w:id="424" w:name="_Toc98770133"/>
      <w:r>
        <w:rPr>
          <w:rStyle w:val="CharSectno"/>
        </w:rPr>
        <w:t>97VR</w:t>
      </w:r>
      <w:r>
        <w:t>.</w:t>
      </w:r>
      <w:r>
        <w:tab/>
        <w:t>Terms used</w:t>
      </w:r>
      <w:bookmarkEnd w:id="424"/>
    </w:p>
    <w:p>
      <w:pPr>
        <w:pStyle w:val="Subsection"/>
      </w:pPr>
      <w:r>
        <w:tab/>
      </w:r>
      <w:r>
        <w:tab/>
        <w:t>In this Subdivision —</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No. 20 of 2002 s. 4; amended: No. 50 of 2016 s. 10.]</w:t>
      </w:r>
    </w:p>
    <w:p>
      <w:pPr>
        <w:pStyle w:val="Heading5"/>
      </w:pPr>
      <w:bookmarkStart w:id="425" w:name="_Toc98770134"/>
      <w:r>
        <w:rPr>
          <w:rStyle w:val="CharSectno"/>
        </w:rPr>
        <w:t>97VS</w:t>
      </w:r>
      <w:r>
        <w:t>.</w:t>
      </w:r>
      <w:r>
        <w:tab/>
        <w:t>No</w:t>
      </w:r>
      <w:r>
        <w:noBreakHyphen/>
        <w:t>disadvantage test defined</w:t>
      </w:r>
      <w:bookmarkEnd w:id="425"/>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lastRenderedPageBreak/>
        <w:tab/>
        <w:t>(2)</w:t>
      </w:r>
      <w:r>
        <w:tab/>
        <w:t>An EEA disadvantages an employee as mentioned in subsection (1) only if its provisions result, on balance, in a reduction in the overall entitlements of the employee under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Despite subsection (2), an EEA is to be taken to disadvantage the employee as mentioned in subsection (1) if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Subsection (2) applies to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If the Registrar is satisfied that there is no award that would otherwise extend to the employee, subsection (2) applies to —</w:t>
      </w:r>
    </w:p>
    <w:p>
      <w:pPr>
        <w:pStyle w:val="Indenta"/>
      </w:pPr>
      <w:r>
        <w:tab/>
        <w:t>(a)</w:t>
      </w:r>
      <w:r>
        <w:tab/>
        <w:t xml:space="preserve">any award, including an award made under the </w:t>
      </w:r>
      <w:r>
        <w:rPr>
          <w:i/>
        </w:rPr>
        <w:t>Fair Work Act 2009</w:t>
      </w:r>
      <w:r>
        <w:t xml:space="preserve"> (Commonwealth) or continued in existence under the </w:t>
      </w:r>
      <w:r>
        <w:rPr>
          <w:i/>
        </w:rPr>
        <w:t>Fair Work (Transitional Provisions and Consequential Amendments) Act 2009</w:t>
      </w:r>
      <w:r>
        <w:t xml:space="preserve"> (Commonwealth), that the Registrar determines, whether under section 97VT or otherwise, to be a comparable award; and</w:t>
      </w:r>
    </w:p>
    <w:p>
      <w:pPr>
        <w:pStyle w:val="Indenta"/>
      </w:pPr>
      <w:r>
        <w:tab/>
        <w:t>(b)</w:t>
      </w:r>
      <w:r>
        <w:tab/>
        <w:t>a relevant order.</w:t>
      </w:r>
    </w:p>
    <w:p>
      <w:pPr>
        <w:pStyle w:val="Subsection"/>
        <w:keepNext/>
      </w:pPr>
      <w:r>
        <w:lastRenderedPageBreak/>
        <w:tab/>
        <w:t>(6)</w:t>
      </w:r>
      <w:r>
        <w:tab/>
        <w:t>If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PermNoteHeading"/>
      </w:pPr>
      <w:r>
        <w:tab/>
        <w:t>Note:</w:t>
      </w:r>
    </w:p>
    <w:p>
      <w:pPr>
        <w:pStyle w:val="PermNoteText"/>
      </w:pPr>
      <w:r>
        <w:tab/>
      </w:r>
      <w:r>
        <w:tab/>
      </w:r>
      <w:r>
        <w:rPr>
          <w:rFonts w:ascii="Times New Roman" w:hAnsi="Times New Roman"/>
          <w:sz w:val="20"/>
        </w:rPr>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No. 20 of 2002 s. 4; amended: No. 53 of 2011 s. 38.]</w:t>
      </w:r>
    </w:p>
    <w:p>
      <w:pPr>
        <w:pStyle w:val="Heading5"/>
      </w:pPr>
      <w:bookmarkStart w:id="426" w:name="_Toc98770135"/>
      <w:r>
        <w:rPr>
          <w:rStyle w:val="CharSectno"/>
        </w:rPr>
        <w:t>97VT</w:t>
      </w:r>
      <w:r>
        <w:t>.</w:t>
      </w:r>
      <w:r>
        <w:tab/>
        <w:t>Determining which award etc. is relevant for s. 97VS</w:t>
      </w:r>
      <w:bookmarkEnd w:id="426"/>
    </w:p>
    <w:p>
      <w:pPr>
        <w:pStyle w:val="Subsection"/>
      </w:pPr>
      <w:r>
        <w:tab/>
        <w:t>(1)</w:t>
      </w:r>
      <w:r>
        <w:tab/>
        <w:t>If an employer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Upon such an application being made the Registrar must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 xml:space="preserve">A determination under subsection (2) is binding on the Registrar for the purposes of section 97VS if the EEA concerned is lodged for registration under Division 5, unless the Registrar </w:t>
      </w:r>
      <w:r>
        <w:lastRenderedPageBreak/>
        <w:t>considers that the circumstances existing at the time when the determination was made have changed in a material way.</w:t>
      </w:r>
    </w:p>
    <w:p>
      <w:pPr>
        <w:pStyle w:val="Footnotesection"/>
      </w:pPr>
      <w:r>
        <w:tab/>
        <w:t>[Section 97VT inserted: No. 20 of 2002 s. 4.]</w:t>
      </w:r>
    </w:p>
    <w:p>
      <w:pPr>
        <w:pStyle w:val="Heading5"/>
        <w:spacing w:before="260"/>
      </w:pPr>
      <w:bookmarkStart w:id="427" w:name="_Toc98770136"/>
      <w:r>
        <w:rPr>
          <w:rStyle w:val="CharSectno"/>
        </w:rPr>
        <w:t>97VU</w:t>
      </w:r>
      <w:r>
        <w:t>.</w:t>
      </w:r>
      <w:r>
        <w:tab/>
        <w:t>All entitlements to be considered</w:t>
      </w:r>
      <w:bookmarkEnd w:id="427"/>
    </w:p>
    <w:p>
      <w:pPr>
        <w:pStyle w:val="Subsection"/>
      </w:pPr>
      <w:r>
        <w:tab/>
      </w:r>
      <w:r>
        <w:tab/>
        <w:t>In comparing the entitlements of an employee under an EEA to the entitlements that would be provided to the employee under —</w:t>
      </w:r>
    </w:p>
    <w:p>
      <w:pPr>
        <w:pStyle w:val="Indenta"/>
        <w:spacing w:before="100"/>
      </w:pPr>
      <w:r>
        <w:tab/>
        <w:t>(a)</w:t>
      </w:r>
      <w:r>
        <w:tab/>
        <w:t>an award or a comparable award; or</w:t>
      </w:r>
    </w:p>
    <w:p>
      <w:pPr>
        <w:pStyle w:val="Indenta"/>
        <w:spacing w:before="100"/>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No. 20 of 2002 s. 4.]</w:t>
      </w:r>
    </w:p>
    <w:p>
      <w:pPr>
        <w:pStyle w:val="Heading5"/>
        <w:spacing w:before="260"/>
      </w:pPr>
      <w:bookmarkStart w:id="428" w:name="_Toc98770137"/>
      <w:r>
        <w:rPr>
          <w:rStyle w:val="CharSectno"/>
        </w:rPr>
        <w:t>97VV</w:t>
      </w:r>
      <w:r>
        <w:t>.</w:t>
      </w:r>
      <w:r>
        <w:tab/>
        <w:t>Application of test if Supported Wage System applies</w:t>
      </w:r>
      <w:bookmarkEnd w:id="428"/>
    </w:p>
    <w:p>
      <w:pPr>
        <w:pStyle w:val="Subsection"/>
      </w:pPr>
      <w:r>
        <w:tab/>
      </w:r>
      <w:r>
        <w:tab/>
        <w:t>An EEA does not disadvantage an employee in relation to his or her employment by reason only of a reduction of the employee’s wages if —</w:t>
      </w:r>
    </w:p>
    <w:p>
      <w:pPr>
        <w:pStyle w:val="Indenta"/>
        <w:spacing w:before="100"/>
      </w:pPr>
      <w:r>
        <w:tab/>
        <w:t>(a)</w:t>
      </w:r>
      <w:r>
        <w:tab/>
        <w:t>the employee is eligible for the Supported Wage System; and</w:t>
      </w:r>
    </w:p>
    <w:p>
      <w:pPr>
        <w:pStyle w:val="Indenta"/>
        <w:spacing w:before="100"/>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No. 20 of 2002 s. 4.]</w:t>
      </w:r>
    </w:p>
    <w:p>
      <w:pPr>
        <w:pStyle w:val="Heading4"/>
        <w:pageBreakBefore/>
        <w:spacing w:before="0"/>
      </w:pPr>
      <w:bookmarkStart w:id="429" w:name="_Toc98505221"/>
      <w:bookmarkStart w:id="430" w:name="_Toc98506920"/>
      <w:bookmarkStart w:id="431" w:name="_Toc98508083"/>
      <w:bookmarkStart w:id="432" w:name="_Toc98770138"/>
      <w:r>
        <w:lastRenderedPageBreak/>
        <w:t>Subdivision 2 — Principles to be followed in application of no</w:t>
      </w:r>
      <w:r>
        <w:noBreakHyphen/>
        <w:t>disadvantage test</w:t>
      </w:r>
      <w:bookmarkEnd w:id="429"/>
      <w:bookmarkEnd w:id="430"/>
      <w:bookmarkEnd w:id="431"/>
      <w:bookmarkEnd w:id="432"/>
    </w:p>
    <w:p>
      <w:pPr>
        <w:pStyle w:val="Footnoteheading"/>
        <w:keepNext/>
        <w:tabs>
          <w:tab w:val="left" w:pos="851"/>
        </w:tabs>
        <w:spacing w:before="100"/>
      </w:pPr>
      <w:r>
        <w:tab/>
        <w:t>[Heading inserted: No. 20 of 2002 s. 4.]</w:t>
      </w:r>
    </w:p>
    <w:p>
      <w:pPr>
        <w:pStyle w:val="Heading5"/>
      </w:pPr>
      <w:bookmarkStart w:id="433" w:name="_Toc98770139"/>
      <w:r>
        <w:rPr>
          <w:rStyle w:val="CharSectno"/>
        </w:rPr>
        <w:t>97VW</w:t>
      </w:r>
      <w:r>
        <w:t>.</w:t>
      </w:r>
      <w:r>
        <w:tab/>
      </w:r>
      <w:r>
        <w:rPr>
          <w:snapToGrid w:val="0"/>
        </w:rPr>
        <w:t>Term used: Commission</w:t>
      </w:r>
      <w:bookmarkEnd w:id="433"/>
    </w:p>
    <w:p>
      <w:pPr>
        <w:pStyle w:val="Subsection"/>
        <w:keepNext/>
      </w:pPr>
      <w:r>
        <w:tab/>
      </w:r>
      <w:r>
        <w:tab/>
        <w:t>In this Subdivision —</w:t>
      </w:r>
    </w:p>
    <w:p>
      <w:pPr>
        <w:pStyle w:val="Defstart"/>
        <w:keepNext/>
      </w:pPr>
      <w:r>
        <w:tab/>
      </w:r>
      <w:r>
        <w:rPr>
          <w:rStyle w:val="CharDefText"/>
        </w:rPr>
        <w:t>Commission</w:t>
      </w:r>
      <w:r>
        <w:t xml:space="preserve"> means the Commission in Court Session.</w:t>
      </w:r>
    </w:p>
    <w:p>
      <w:pPr>
        <w:pStyle w:val="Footnotesection"/>
        <w:spacing w:before="100"/>
        <w:ind w:left="890" w:hanging="890"/>
      </w:pPr>
      <w:r>
        <w:tab/>
        <w:t>[Section 97VW inserted: No. 20 of 2002 s. 4.]</w:t>
      </w:r>
    </w:p>
    <w:p>
      <w:pPr>
        <w:pStyle w:val="Heading5"/>
      </w:pPr>
      <w:bookmarkStart w:id="434" w:name="_Toc98770140"/>
      <w:r>
        <w:rPr>
          <w:rStyle w:val="CharSectno"/>
        </w:rPr>
        <w:t>97VX</w:t>
      </w:r>
      <w:r>
        <w:t>.</w:t>
      </w:r>
      <w:r>
        <w:tab/>
        <w:t>Commission to establish principles and guidelines</w:t>
      </w:r>
      <w:bookmarkEnd w:id="434"/>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spacing w:before="60"/>
      </w:pPr>
      <w:r>
        <w:tab/>
        <w:t>(a)</w:t>
      </w:r>
      <w:r>
        <w:tab/>
        <w:t>in a newspaper circulating throughout the State; or</w:t>
      </w:r>
    </w:p>
    <w:p>
      <w:pPr>
        <w:pStyle w:val="Indenta"/>
        <w:spacing w:before="60"/>
      </w:pPr>
      <w:r>
        <w:tab/>
        <w:t>(b)</w:t>
      </w:r>
      <w:r>
        <w:tab/>
        <w:t>on an internet website maintained by the Commission.</w:t>
      </w:r>
    </w:p>
    <w:p>
      <w:pPr>
        <w:pStyle w:val="Footnotesection"/>
        <w:spacing w:before="100"/>
        <w:ind w:left="890" w:hanging="890"/>
      </w:pPr>
      <w:r>
        <w:tab/>
        <w:t>[Section 97VX inserted: No. 20 of 2002 s. 4.]</w:t>
      </w:r>
    </w:p>
    <w:p>
      <w:pPr>
        <w:pStyle w:val="Heading5"/>
      </w:pPr>
      <w:bookmarkStart w:id="435" w:name="_Toc98770141"/>
      <w:r>
        <w:rPr>
          <w:rStyle w:val="CharSectno"/>
        </w:rPr>
        <w:t>97VY</w:t>
      </w:r>
      <w:r>
        <w:t>.</w:t>
      </w:r>
      <w:r>
        <w:tab/>
        <w:t>Registrar and Commission to give effect to s. 97VX instrument</w:t>
      </w:r>
      <w:bookmarkEnd w:id="435"/>
    </w:p>
    <w:p>
      <w:pPr>
        <w:pStyle w:val="Subsection"/>
        <w:spacing w:before="140"/>
      </w:pPr>
      <w:r>
        <w:tab/>
      </w:r>
      <w:r>
        <w:tab/>
        <w:t>The provisions of an instrument under section 97VX are to be complied with —</w:t>
      </w:r>
    </w:p>
    <w:p>
      <w:pPr>
        <w:pStyle w:val="Indenta"/>
        <w:spacing w:before="60"/>
      </w:pPr>
      <w:r>
        <w:tab/>
        <w:t>(a)</w:t>
      </w:r>
      <w:r>
        <w:tab/>
        <w:t>by the Registrar and officers of the Commission in making determinations for the purposes of paragraph (e) of Schedule 4 clause 1(1); and</w:t>
      </w:r>
    </w:p>
    <w:p>
      <w:pPr>
        <w:pStyle w:val="Indenta"/>
      </w:pPr>
      <w:r>
        <w:lastRenderedPageBreak/>
        <w:tab/>
        <w:t>(b)</w:t>
      </w:r>
      <w:r>
        <w:tab/>
        <w:t>by the relevant industrial authority in the determination of an appeal under section 97VP, so far as it relates to a determination under that paragraph.</w:t>
      </w:r>
    </w:p>
    <w:p>
      <w:pPr>
        <w:pStyle w:val="Footnotesection"/>
        <w:spacing w:before="100"/>
        <w:ind w:left="890" w:hanging="890"/>
      </w:pPr>
      <w:r>
        <w:tab/>
        <w:t>[Section 97VY inserted: No. 20 of 2002 s. 4.]</w:t>
      </w:r>
    </w:p>
    <w:p>
      <w:pPr>
        <w:pStyle w:val="Heading5"/>
        <w:spacing w:before="260"/>
      </w:pPr>
      <w:bookmarkStart w:id="436" w:name="_Toc98770142"/>
      <w:r>
        <w:rPr>
          <w:rStyle w:val="CharSectno"/>
        </w:rPr>
        <w:t>97VZ</w:t>
      </w:r>
      <w:r>
        <w:t>.</w:t>
      </w:r>
      <w:r>
        <w:tab/>
        <w:t>Minister or peak industry body may seek amendment etc. of s. 97VX instrument</w:t>
      </w:r>
      <w:bookmarkEnd w:id="436"/>
    </w:p>
    <w:p>
      <w:pPr>
        <w:pStyle w:val="Subsection"/>
      </w:pPr>
      <w:r>
        <w:tab/>
        <w:t>(1)</w:t>
      </w:r>
      <w:r>
        <w:tab/>
        <w:t>The Minister or a peak industrial body may at any time apply to the Commission to have the instrument under section 97VX —</w:t>
      </w:r>
    </w:p>
    <w:p>
      <w:pPr>
        <w:pStyle w:val="Indenta"/>
        <w:spacing w:before="60"/>
      </w:pPr>
      <w:r>
        <w:tab/>
        <w:t>(a)</w:t>
      </w:r>
      <w:r>
        <w:tab/>
        <w:t>amended so that it makes provision to the effect set out in the application; or</w:t>
      </w:r>
    </w:p>
    <w:p>
      <w:pPr>
        <w:pStyle w:val="Indenta"/>
        <w:spacing w:before="60"/>
      </w:pPr>
      <w:r>
        <w:tab/>
        <w:t>(b)</w:t>
      </w:r>
      <w:r>
        <w:tab/>
        <w:t>replaced by a new instrument that makes provision to the effect set out in the application.</w:t>
      </w:r>
    </w:p>
    <w:p>
      <w:pPr>
        <w:pStyle w:val="Subsection"/>
      </w:pPr>
      <w:r>
        <w:tab/>
        <w:t>(2)</w:t>
      </w:r>
      <w:r>
        <w:tab/>
        <w:t>If an application is so made the Commission may —</w:t>
      </w:r>
    </w:p>
    <w:p>
      <w:pPr>
        <w:pStyle w:val="Indenta"/>
        <w:spacing w:before="60"/>
      </w:pPr>
      <w:r>
        <w:tab/>
        <w:t>(a)</w:t>
      </w:r>
      <w:r>
        <w:tab/>
        <w:t>exercise its powers under section 97VX(4); or</w:t>
      </w:r>
    </w:p>
    <w:p>
      <w:pPr>
        <w:pStyle w:val="Indenta"/>
        <w:spacing w:before="60"/>
      </w:pPr>
      <w:r>
        <w:tab/>
        <w:t>(b)</w:t>
      </w:r>
      <w:r>
        <w:tab/>
        <w:t>decline to do so.</w:t>
      </w:r>
    </w:p>
    <w:p>
      <w:pPr>
        <w:pStyle w:val="Subsection"/>
      </w:pPr>
      <w:r>
        <w:tab/>
        <w:t>(3)</w:t>
      </w:r>
      <w:r>
        <w:tab/>
        <w:t>In subsection (1) —</w:t>
      </w:r>
    </w:p>
    <w:p>
      <w:pPr>
        <w:pStyle w:val="Defstart"/>
      </w:pPr>
      <w:r>
        <w:tab/>
      </w:r>
      <w:r>
        <w:rPr>
          <w:rStyle w:val="CharDefText"/>
        </w:rPr>
        <w:t>peak industrial body</w:t>
      </w:r>
      <w:r>
        <w:t xml:space="preserve"> means UnionsWA, the Chamber and the Mines and Metals Association.</w:t>
      </w:r>
    </w:p>
    <w:p>
      <w:pPr>
        <w:pStyle w:val="Footnotesection"/>
        <w:spacing w:before="100"/>
        <w:ind w:left="890" w:hanging="890"/>
      </w:pPr>
      <w:r>
        <w:tab/>
        <w:t>[Section 97VZ inserted: No. 20 of 2002 s. 4; amended: No. 53 of 2011 s. 48.]</w:t>
      </w:r>
    </w:p>
    <w:p>
      <w:pPr>
        <w:pStyle w:val="Heading5"/>
      </w:pPr>
      <w:bookmarkStart w:id="437" w:name="_Toc98770143"/>
      <w:r>
        <w:rPr>
          <w:rStyle w:val="CharSectno"/>
        </w:rPr>
        <w:t>97W</w:t>
      </w:r>
      <w:r>
        <w:t>.</w:t>
      </w:r>
      <w:r>
        <w:tab/>
        <w:t>Public comment to be sought before s. 97VX instrument amended etc.</w:t>
      </w:r>
      <w:bookmarkEnd w:id="43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spacing w:before="100"/>
        <w:ind w:left="890" w:hanging="890"/>
      </w:pPr>
      <w:r>
        <w:tab/>
        <w:t>[Section 97W inserted: No. 20 of 2002 s. 4.]</w:t>
      </w:r>
    </w:p>
    <w:p>
      <w:pPr>
        <w:pStyle w:val="Heading5"/>
        <w:pageBreakBefore/>
        <w:spacing w:before="0"/>
      </w:pPr>
      <w:bookmarkStart w:id="438" w:name="_Toc98770144"/>
      <w:r>
        <w:rPr>
          <w:rStyle w:val="CharSectno"/>
        </w:rPr>
        <w:lastRenderedPageBreak/>
        <w:t>97WA</w:t>
      </w:r>
      <w:r>
        <w:t>.</w:t>
      </w:r>
      <w:r>
        <w:tab/>
        <w:t>How public comment to be sought</w:t>
      </w:r>
      <w:bookmarkEnd w:id="438"/>
    </w:p>
    <w:p>
      <w:pPr>
        <w:pStyle w:val="Subsection"/>
        <w:keepNext/>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pPr>
        <w:pStyle w:val="Indenta"/>
        <w:keepNext/>
        <w:spacing w:before="100"/>
      </w:pPr>
      <w:r>
        <w:tab/>
        <w:t>(a)</w:t>
      </w:r>
      <w:r>
        <w:tab/>
        <w:t>any proposed amendment to the instrument under section 97VX; or</w:t>
      </w:r>
    </w:p>
    <w:p>
      <w:pPr>
        <w:pStyle w:val="Indenta"/>
        <w:spacing w:before="100"/>
      </w:pPr>
      <w:r>
        <w:tab/>
        <w:t>(b)</w:t>
      </w:r>
      <w:r>
        <w:tab/>
        <w:t>the instrument that is proposed to be substituted for that instrument,</w:t>
      </w:r>
    </w:p>
    <w:p>
      <w:pPr>
        <w:pStyle w:val="Subsection"/>
      </w:pPr>
      <w:r>
        <w:tab/>
      </w:r>
      <w:r>
        <w:tab/>
        <w:t>as the case may be.</w:t>
      </w:r>
    </w:p>
    <w:p>
      <w:pPr>
        <w:pStyle w:val="Subsection"/>
      </w:pPr>
      <w:r>
        <w:tab/>
        <w:t>(2)</w:t>
      </w:r>
      <w:r>
        <w:tab/>
        <w:t>The Commission must —</w:t>
      </w:r>
    </w:p>
    <w:p>
      <w:pPr>
        <w:pStyle w:val="Indenta"/>
        <w:spacing w:before="100"/>
      </w:pPr>
      <w:r>
        <w:tab/>
        <w:t>(a)</w:t>
      </w:r>
      <w:r>
        <w:tab/>
        <w:t>cause a notice giving a general description of the exposure draft to be published in a daily newspaper circulating throughout the State; and</w:t>
      </w:r>
    </w:p>
    <w:p>
      <w:pPr>
        <w:pStyle w:val="Indenta"/>
        <w:spacing w:before="100"/>
      </w:pPr>
      <w:r>
        <w:tab/>
        <w:t>(b)</w:t>
      </w:r>
      <w:r>
        <w:tab/>
        <w:t>include in the notice the following information —</w:t>
      </w:r>
    </w:p>
    <w:p>
      <w:pPr>
        <w:pStyle w:val="Indenti"/>
        <w:spacing w:before="100"/>
      </w:pPr>
      <w:r>
        <w:tab/>
        <w:t>(i)</w:t>
      </w:r>
      <w:r>
        <w:tab/>
        <w:t>the places at which a copy of the exposure draft may be obtained; and</w:t>
      </w:r>
    </w:p>
    <w:p>
      <w:pPr>
        <w:pStyle w:val="Indenti"/>
        <w:spacing w:before="100"/>
      </w:pPr>
      <w:r>
        <w:tab/>
        <w:t>(ii)</w:t>
      </w:r>
      <w:r>
        <w:tab/>
        <w:t>a statement that written submissions on the exposure draft may be made to the Commission by any person within a specified period; and</w:t>
      </w:r>
    </w:p>
    <w:p>
      <w:pPr>
        <w:pStyle w:val="Indenti"/>
        <w:spacing w:before="100"/>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No. 20 of 2002 s. 4.]</w:t>
      </w:r>
    </w:p>
    <w:p>
      <w:pPr>
        <w:pStyle w:val="Heading3"/>
        <w:pageBreakBefore/>
        <w:spacing w:before="0"/>
      </w:pPr>
      <w:bookmarkStart w:id="439" w:name="_Toc98505228"/>
      <w:bookmarkStart w:id="440" w:name="_Toc98506927"/>
      <w:bookmarkStart w:id="441" w:name="_Toc98508090"/>
      <w:bookmarkStart w:id="442" w:name="_Toc98770145"/>
      <w:r>
        <w:rPr>
          <w:rStyle w:val="CharDivNo"/>
        </w:rPr>
        <w:lastRenderedPageBreak/>
        <w:t>Division 7</w:t>
      </w:r>
      <w:r>
        <w:t> — </w:t>
      </w:r>
      <w:r>
        <w:rPr>
          <w:rStyle w:val="CharDivText"/>
        </w:rPr>
        <w:t>Register</w:t>
      </w:r>
      <w:bookmarkEnd w:id="439"/>
      <w:bookmarkEnd w:id="440"/>
      <w:bookmarkEnd w:id="441"/>
      <w:bookmarkEnd w:id="442"/>
    </w:p>
    <w:p>
      <w:pPr>
        <w:pStyle w:val="Footnoteheading"/>
        <w:keepNext/>
        <w:tabs>
          <w:tab w:val="left" w:pos="851"/>
        </w:tabs>
        <w:spacing w:before="100"/>
      </w:pPr>
      <w:r>
        <w:tab/>
        <w:t>[Heading inserted: No. 20 of 2002 s. 4.]</w:t>
      </w:r>
    </w:p>
    <w:p>
      <w:pPr>
        <w:pStyle w:val="Heading5"/>
      </w:pPr>
      <w:bookmarkStart w:id="443" w:name="_Toc98770146"/>
      <w:r>
        <w:rPr>
          <w:rStyle w:val="CharSectno"/>
        </w:rPr>
        <w:t>97WB</w:t>
      </w:r>
      <w:r>
        <w:t>.</w:t>
      </w:r>
      <w:r>
        <w:tab/>
      </w:r>
      <w:r>
        <w:rPr>
          <w:snapToGrid w:val="0"/>
        </w:rPr>
        <w:t>Terms used</w:t>
      </w:r>
      <w:bookmarkEnd w:id="443"/>
    </w:p>
    <w:p>
      <w:pPr>
        <w:pStyle w:val="Subsection"/>
      </w:pPr>
      <w:r>
        <w:tab/>
        <w:t>(1)</w:t>
      </w:r>
      <w:r>
        <w:tab/>
        <w:t>In this Division —</w:t>
      </w:r>
    </w:p>
    <w:p>
      <w:pPr>
        <w:pStyle w:val="Defstart"/>
      </w:pPr>
      <w:r>
        <w:tab/>
      </w:r>
      <w:r>
        <w:rPr>
          <w:rStyle w:val="CharDefText"/>
        </w:rPr>
        <w:t>protected information</w:t>
      </w:r>
      <w:r>
        <w:t xml:space="preserve"> means —</w:t>
      </w:r>
    </w:p>
    <w:p>
      <w:pPr>
        <w:pStyle w:val="Defpara"/>
      </w:pPr>
      <w:r>
        <w:tab/>
        <w:t>(a)</w:t>
      </w:r>
      <w:r>
        <w:tab/>
        <w:t>the name of the employee under an EEA; and</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In subsection (1)(a) and (b)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No. 20 of 2002 s. 4.]</w:t>
      </w:r>
    </w:p>
    <w:p>
      <w:pPr>
        <w:pStyle w:val="Heading5"/>
      </w:pPr>
      <w:bookmarkStart w:id="444" w:name="_Toc98770147"/>
      <w:r>
        <w:rPr>
          <w:rStyle w:val="CharSectno"/>
        </w:rPr>
        <w:t>97WC</w:t>
      </w:r>
      <w:r>
        <w:t>.</w:t>
      </w:r>
      <w:r>
        <w:tab/>
        <w:t>Register of EEAs</w:t>
      </w:r>
      <w:bookmarkEnd w:id="444"/>
    </w:p>
    <w:p>
      <w:pPr>
        <w:pStyle w:val="Subsection"/>
      </w:pPr>
      <w:r>
        <w:tab/>
        <w:t>(1)</w:t>
      </w:r>
      <w:r>
        <w:tab/>
        <w:t>The Registrar must keep a register for the purposes of Division 5.</w:t>
      </w:r>
    </w:p>
    <w:p>
      <w:pPr>
        <w:pStyle w:val="Subsection"/>
      </w:pPr>
      <w:r>
        <w:tab/>
        <w:t>(2)</w:t>
      </w:r>
      <w:r>
        <w:tab/>
        <w:t>The register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No. 20 of 2002 s. 4.]</w:t>
      </w:r>
    </w:p>
    <w:p>
      <w:pPr>
        <w:pStyle w:val="Heading5"/>
        <w:pageBreakBefore/>
        <w:spacing w:before="0"/>
      </w:pPr>
      <w:bookmarkStart w:id="445" w:name="_Toc98770148"/>
      <w:r>
        <w:rPr>
          <w:rStyle w:val="CharSectno"/>
        </w:rPr>
        <w:lastRenderedPageBreak/>
        <w:t>97WD</w:t>
      </w:r>
      <w:r>
        <w:t>.</w:t>
      </w:r>
      <w:r>
        <w:tab/>
        <w:t>Inspection of register</w:t>
      </w:r>
      <w:bookmarkEnd w:id="445"/>
    </w:p>
    <w:p>
      <w:pPr>
        <w:pStyle w:val="Subsection"/>
        <w:spacing w:before="120"/>
      </w:pPr>
      <w:r>
        <w:tab/>
        <w:t>(1)</w:t>
      </w:r>
      <w:r>
        <w:tab/>
        <w:t>The Registrar must allow any person, on payment of the fee (if any) prescribed by the regulations, to inspect an EEA registered under Division 5.</w:t>
      </w:r>
    </w:p>
    <w:p>
      <w:pPr>
        <w:pStyle w:val="Subsection"/>
        <w:spacing w:before="120"/>
      </w:pPr>
      <w:r>
        <w:tab/>
        <w:t>(2)</w:t>
      </w:r>
      <w:r>
        <w:tab/>
        <w:t>Subsection (1) does not include the inspection of protected information.</w:t>
      </w:r>
    </w:p>
    <w:p>
      <w:pPr>
        <w:pStyle w:val="Footnotesection"/>
        <w:spacing w:before="80"/>
        <w:ind w:left="890" w:hanging="890"/>
      </w:pPr>
      <w:r>
        <w:tab/>
        <w:t>[Section 97WD inserted: No. 20 of 2002 s. 4.]</w:t>
      </w:r>
    </w:p>
    <w:p>
      <w:pPr>
        <w:pStyle w:val="Heading5"/>
      </w:pPr>
      <w:bookmarkStart w:id="446" w:name="_Toc98770149"/>
      <w:r>
        <w:rPr>
          <w:rStyle w:val="CharSectno"/>
        </w:rPr>
        <w:t>97WE</w:t>
      </w:r>
      <w:r>
        <w:t>.</w:t>
      </w:r>
      <w:r>
        <w:tab/>
        <w:t>Commission may exempt an EEA from inspection</w:t>
      </w:r>
      <w:bookmarkEnd w:id="446"/>
    </w:p>
    <w:p>
      <w:pPr>
        <w:pStyle w:val="Subsection"/>
        <w:spacing w:before="120"/>
      </w:pPr>
      <w:r>
        <w:tab/>
        <w:t>(1)</w:t>
      </w:r>
      <w:r>
        <w:tab/>
        <w:t>The Commission may, by order —</w:t>
      </w:r>
    </w:p>
    <w:p>
      <w:pPr>
        <w:pStyle w:val="Indenta"/>
        <w:spacing w:before="60"/>
      </w:pPr>
      <w:r>
        <w:tab/>
        <w:t>(a)</w:t>
      </w:r>
      <w:r>
        <w:tab/>
        <w:t>exempt the provisions of an EEA, or any particular provision, from the operation of section 97WD(1); or</w:t>
      </w:r>
    </w:p>
    <w:p>
      <w:pPr>
        <w:pStyle w:val="Indenta"/>
        <w:spacing w:before="60"/>
      </w:pPr>
      <w:r>
        <w:tab/>
        <w:t>(b)</w:t>
      </w:r>
      <w:r>
        <w:tab/>
        <w:t>vary an order so made,</w:t>
      </w:r>
    </w:p>
    <w:p>
      <w:pPr>
        <w:pStyle w:val="Subsection"/>
        <w:spacing w:before="120"/>
      </w:pPr>
      <w:r>
        <w:tab/>
      </w:r>
      <w:r>
        <w:tab/>
        <w:t>if it considers that it is in the public interest to do so.</w:t>
      </w:r>
    </w:p>
    <w:p>
      <w:pPr>
        <w:pStyle w:val="Subsection"/>
        <w:spacing w:before="120"/>
      </w:pPr>
      <w:r>
        <w:tab/>
        <w:t>(2)</w:t>
      </w:r>
      <w:r>
        <w:tab/>
        <w:t>An order under subsection (1) may be revoked by the Commission if it considers that the continuation of the order is no longer in the public interest.</w:t>
      </w:r>
    </w:p>
    <w:p>
      <w:pPr>
        <w:pStyle w:val="Subsection"/>
        <w:spacing w:before="120"/>
      </w:pPr>
      <w:r>
        <w:tab/>
        <w:t>(3)</w:t>
      </w:r>
      <w:r>
        <w:tab/>
        <w:t>The powers of the Commission under this section are exercisable on application made by a party to the EEA concerned.</w:t>
      </w:r>
    </w:p>
    <w:p>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80"/>
        <w:ind w:left="890" w:hanging="890"/>
      </w:pPr>
      <w:r>
        <w:tab/>
        <w:t>[Section 97WE inserted: No. 20 of 2002 s. 4.]</w:t>
      </w:r>
    </w:p>
    <w:p>
      <w:pPr>
        <w:pStyle w:val="Heading5"/>
      </w:pPr>
      <w:bookmarkStart w:id="447" w:name="_Toc98770150"/>
      <w:r>
        <w:rPr>
          <w:rStyle w:val="CharSectno"/>
        </w:rPr>
        <w:t>97WF</w:t>
      </w:r>
      <w:r>
        <w:t>.</w:t>
      </w:r>
      <w:r>
        <w:tab/>
        <w:t>Protected information not to be disclosed</w:t>
      </w:r>
      <w:bookmarkEnd w:id="447"/>
    </w:p>
    <w:p>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p>
    <w:p>
      <w:pPr>
        <w:pStyle w:val="Indenta"/>
        <w:spacing w:before="60"/>
      </w:pPr>
      <w:r>
        <w:tab/>
        <w:t>(a)</w:t>
      </w:r>
      <w:r>
        <w:tab/>
        <w:t>in the course of performing those functions; or</w:t>
      </w:r>
    </w:p>
    <w:p>
      <w:pPr>
        <w:pStyle w:val="Indenta"/>
        <w:spacing w:before="60"/>
        <w:rPr>
          <w:b/>
        </w:rPr>
      </w:pPr>
      <w:r>
        <w:tab/>
        <w:t>(b)</w:t>
      </w:r>
      <w:r>
        <w:tab/>
        <w:t>as required or allowed by this Act or any other written law; or</w:t>
      </w:r>
    </w:p>
    <w:p>
      <w:pPr>
        <w:pStyle w:val="Indenta"/>
      </w:pPr>
      <w:r>
        <w:rPr>
          <w:b/>
        </w:rPr>
        <w:lastRenderedPageBreak/>
        <w:tab/>
      </w:r>
      <w:r>
        <w:t>(c)</w:t>
      </w:r>
      <w:r>
        <w:tab/>
        <w:t>for the purpose of proceedings in a court; or</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No. 20 of 2002 s. 4.]</w:t>
      </w:r>
    </w:p>
    <w:p>
      <w:pPr>
        <w:pStyle w:val="Heading5"/>
      </w:pPr>
      <w:bookmarkStart w:id="448" w:name="_Toc98770151"/>
      <w:r>
        <w:rPr>
          <w:rStyle w:val="CharSectno"/>
        </w:rPr>
        <w:t>97WG</w:t>
      </w:r>
      <w:r>
        <w:t>.</w:t>
      </w:r>
      <w:r>
        <w:tab/>
        <w:t>Certified copies of EEAs</w:t>
      </w:r>
      <w:bookmarkEnd w:id="448"/>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A document that purports to be a certified copy of an EEA issued by the Registrar or a deputy registrar is to be taken to be such a copy unless the contrary is proved.</w:t>
      </w:r>
    </w:p>
    <w:p>
      <w:pPr>
        <w:pStyle w:val="Footnotesection"/>
        <w:ind w:left="890" w:hanging="890"/>
      </w:pPr>
      <w:r>
        <w:tab/>
        <w:t>[Section 97WG inserted: No. 20 of 2002 s. 4.]</w:t>
      </w:r>
    </w:p>
    <w:p>
      <w:pPr>
        <w:pStyle w:val="Heading3"/>
        <w:keepLines/>
      </w:pPr>
      <w:bookmarkStart w:id="449" w:name="_Toc98505235"/>
      <w:bookmarkStart w:id="450" w:name="_Toc98506934"/>
      <w:bookmarkStart w:id="451" w:name="_Toc98508097"/>
      <w:bookmarkStart w:id="452" w:name="_Toc98770152"/>
      <w:r>
        <w:rPr>
          <w:rStyle w:val="CharDivNo"/>
        </w:rPr>
        <w:t>Division 8</w:t>
      </w:r>
      <w:r>
        <w:t> — </w:t>
      </w:r>
      <w:r>
        <w:rPr>
          <w:rStyle w:val="CharDivText"/>
        </w:rPr>
        <w:t>Disputes</w:t>
      </w:r>
      <w:bookmarkEnd w:id="449"/>
      <w:bookmarkEnd w:id="450"/>
      <w:bookmarkEnd w:id="451"/>
      <w:bookmarkEnd w:id="452"/>
    </w:p>
    <w:p>
      <w:pPr>
        <w:pStyle w:val="Footnoteheading"/>
        <w:keepNext/>
        <w:keepLines/>
        <w:tabs>
          <w:tab w:val="left" w:pos="851"/>
        </w:tabs>
      </w:pPr>
      <w:r>
        <w:tab/>
        <w:t>[Heading inserted: No. 20 of 2002 s. 4.]</w:t>
      </w:r>
    </w:p>
    <w:p>
      <w:pPr>
        <w:pStyle w:val="Heading5"/>
      </w:pPr>
      <w:bookmarkStart w:id="453" w:name="_Toc98770153"/>
      <w:r>
        <w:rPr>
          <w:rStyle w:val="CharSectno"/>
        </w:rPr>
        <w:t>97WH</w:t>
      </w:r>
      <w:r>
        <w:t>.</w:t>
      </w:r>
      <w:r>
        <w:tab/>
      </w:r>
      <w:r>
        <w:rPr>
          <w:snapToGrid w:val="0"/>
        </w:rPr>
        <w:t>Terms used</w:t>
      </w:r>
      <w:bookmarkEnd w:id="453"/>
    </w:p>
    <w:p>
      <w:pPr>
        <w:pStyle w:val="Subsection"/>
      </w:pPr>
      <w:r>
        <w:tab/>
      </w:r>
      <w:r>
        <w:tab/>
        <w:t>In this Division —</w:t>
      </w:r>
    </w:p>
    <w:p>
      <w:pPr>
        <w:pStyle w:val="Defstart"/>
      </w:pPr>
      <w:r>
        <w:tab/>
      </w:r>
      <w:r>
        <w:rPr>
          <w:rStyle w:val="CharDefText"/>
        </w:rPr>
        <w:t>arbitrator</w:t>
      </w:r>
      <w:r>
        <w:t xml:space="preserve"> means —</w:t>
      </w:r>
    </w:p>
    <w:p>
      <w:pPr>
        <w:pStyle w:val="Defpara"/>
      </w:pPr>
      <w:r>
        <w:tab/>
        <w:t>(a)</w:t>
      </w:r>
      <w:r>
        <w:tab/>
        <w:t>an arbitrator appointed by or under EEA dispute provisions; or</w:t>
      </w:r>
    </w:p>
    <w:p>
      <w:pPr>
        <w:pStyle w:val="Defpara"/>
      </w:pPr>
      <w:r>
        <w:lastRenderedPageBreak/>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No. 20 of 2002 s. 4.]</w:t>
      </w:r>
    </w:p>
    <w:p>
      <w:pPr>
        <w:pStyle w:val="Heading5"/>
      </w:pPr>
      <w:bookmarkStart w:id="454" w:name="_Toc98770154"/>
      <w:r>
        <w:rPr>
          <w:rStyle w:val="CharSectno"/>
        </w:rPr>
        <w:t>97WI</w:t>
      </w:r>
      <w:r>
        <w:t>.</w:t>
      </w:r>
      <w:r>
        <w:tab/>
        <w:t>Arbitration jurisdiction of relevant industrial authority</w:t>
      </w:r>
      <w:bookmarkEnd w:id="454"/>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In conducting an arbitration the relevant industrial authority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No. 20 of 2002 s. 4.]</w:t>
      </w:r>
    </w:p>
    <w:p>
      <w:pPr>
        <w:pStyle w:val="Heading5"/>
        <w:spacing w:before="240"/>
      </w:pPr>
      <w:bookmarkStart w:id="455" w:name="_Toc98770155"/>
      <w:r>
        <w:rPr>
          <w:rStyle w:val="CharSectno"/>
        </w:rPr>
        <w:t>97WJ</w:t>
      </w:r>
      <w:r>
        <w:t>.</w:t>
      </w:r>
      <w:r>
        <w:tab/>
        <w:t>Representation of parties</w:t>
      </w:r>
      <w:bookmarkEnd w:id="455"/>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No. 20 of 2002 s. 4.]</w:t>
      </w:r>
    </w:p>
    <w:p>
      <w:pPr>
        <w:pStyle w:val="Heading5"/>
        <w:spacing w:before="240"/>
      </w:pPr>
      <w:bookmarkStart w:id="456" w:name="_Toc98770156"/>
      <w:r>
        <w:rPr>
          <w:rStyle w:val="CharSectno"/>
        </w:rPr>
        <w:t>97WK</w:t>
      </w:r>
      <w:r>
        <w:t>.</w:t>
      </w:r>
      <w:r>
        <w:tab/>
        <w:t>Alleged delay in dispute resolution, referral of to relevant industrial authority etc.</w:t>
      </w:r>
      <w:bookmarkEnd w:id="456"/>
    </w:p>
    <w:p>
      <w:pPr>
        <w:pStyle w:val="Subsection"/>
      </w:pPr>
      <w:r>
        <w:tab/>
        <w:t>(1)</w:t>
      </w:r>
      <w:r>
        <w:tab/>
        <w:t>This section applies if —</w:t>
      </w:r>
    </w:p>
    <w:p>
      <w:pPr>
        <w:pStyle w:val="Indenta"/>
      </w:pPr>
      <w:r>
        <w:tab/>
        <w:t>(a)</w:t>
      </w:r>
      <w:r>
        <w:tab/>
        <w:t xml:space="preserve">a dispute has arisen (the </w:t>
      </w:r>
      <w:r>
        <w:rPr>
          <w:rStyle w:val="CharDefText"/>
        </w:rPr>
        <w:t>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lastRenderedPageBreak/>
        <w:tab/>
        <w:t>(2)</w:t>
      </w:r>
      <w:r>
        <w:tab/>
        <w:t>The party who alleges the non</w:t>
      </w:r>
      <w:r>
        <w:noBreakHyphen/>
        <w:t>compliance may refer the allegation to the relevant industrial authority.</w:t>
      </w:r>
    </w:p>
    <w:p>
      <w:pPr>
        <w:pStyle w:val="Subsection"/>
      </w:pPr>
      <w:r>
        <w:tab/>
        <w:t>(3)</w:t>
      </w:r>
      <w:r>
        <w:tab/>
        <w:t>A referral under subsection (2) operates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The relevant industrial authority —</w:t>
      </w:r>
    </w:p>
    <w:p>
      <w:pPr>
        <w:pStyle w:val="Indenta"/>
        <w:spacing w:before="70"/>
      </w:pPr>
      <w:r>
        <w:tab/>
        <w:t>(a)</w:t>
      </w:r>
      <w:r>
        <w:tab/>
        <w:t>has jurisdiction to act under subsection (4) despite the EEA dispute provisions; and</w:t>
      </w:r>
    </w:p>
    <w:p>
      <w:pPr>
        <w:pStyle w:val="Indenta"/>
        <w:spacing w:before="70"/>
      </w:pPr>
      <w:r>
        <w:tab/>
        <w:t>(b)</w:t>
      </w:r>
      <w:r>
        <w:tab/>
        <w:t>when doing so has the same powers and duties in respect of the original dispute as an arbitrator acting under those provisions would have had.</w:t>
      </w:r>
    </w:p>
    <w:p>
      <w:pPr>
        <w:pStyle w:val="Subsection"/>
      </w:pPr>
      <w:r>
        <w:tab/>
        <w:t>(6)</w:t>
      </w:r>
      <w:r>
        <w:tab/>
        <w:t>If the relevant industrial authority is not satisfied that the allegation is proved —</w:t>
      </w:r>
    </w:p>
    <w:p>
      <w:pPr>
        <w:pStyle w:val="Indenta"/>
        <w:spacing w:before="70"/>
      </w:pPr>
      <w:r>
        <w:tab/>
        <w:t>(a)</w:t>
      </w:r>
      <w:r>
        <w:tab/>
        <w:t>the authority must order that the matter be dismissed; and</w:t>
      </w:r>
    </w:p>
    <w:p>
      <w:pPr>
        <w:pStyle w:val="Indenta"/>
        <w:spacing w:before="70"/>
      </w:pPr>
      <w:r>
        <w:tab/>
        <w:t>(b)</w:t>
      </w:r>
      <w:r>
        <w:tab/>
        <w:t>the EEA dispute provisions have effect as if there had been no referral under this section.</w:t>
      </w:r>
    </w:p>
    <w:p>
      <w:pPr>
        <w:pStyle w:val="Footnotesection"/>
      </w:pPr>
      <w:r>
        <w:tab/>
        <w:t>[Section 97WK inserted: No. 20 of 2002 s. 4.]</w:t>
      </w:r>
    </w:p>
    <w:p>
      <w:pPr>
        <w:pStyle w:val="Heading5"/>
      </w:pPr>
      <w:bookmarkStart w:id="457" w:name="_Toc98770157"/>
      <w:r>
        <w:rPr>
          <w:rStyle w:val="CharSectno"/>
        </w:rPr>
        <w:t>97WL</w:t>
      </w:r>
      <w:r>
        <w:t>.</w:t>
      </w:r>
      <w:r>
        <w:tab/>
        <w:t>Several disputes may be subject of one arbitration</w:t>
      </w:r>
      <w:bookmarkEnd w:id="457"/>
    </w:p>
    <w:p>
      <w:pPr>
        <w:pStyle w:val="Subsection"/>
      </w:pPr>
      <w:r>
        <w:tab/>
        <w:t>(1)</w:t>
      </w:r>
      <w:r>
        <w:tab/>
        <w:t>This section applies where —</w:t>
      </w:r>
    </w:p>
    <w:p>
      <w:pPr>
        <w:pStyle w:val="Indenta"/>
      </w:pPr>
      <w:r>
        <w:tab/>
        <w:t>(a)</w:t>
      </w:r>
      <w:r>
        <w:tab/>
        <w:t>2 or more employees have a dispute with the same employer; and</w:t>
      </w:r>
    </w:p>
    <w:p>
      <w:pPr>
        <w:pStyle w:val="Indenta"/>
        <w:spacing w:before="60"/>
      </w:pPr>
      <w:r>
        <w:lastRenderedPageBreak/>
        <w:tab/>
        <w:t>(b)</w:t>
      </w:r>
      <w:r>
        <w:tab/>
        <w:t>the issues involved are substantially the same or similar in each case; and</w:t>
      </w:r>
    </w:p>
    <w:p>
      <w:pPr>
        <w:pStyle w:val="Indenta"/>
        <w:spacing w:before="60"/>
      </w:pPr>
      <w:r>
        <w:tab/>
        <w:t>(c)</w:t>
      </w:r>
      <w:r>
        <w:tab/>
        <w:t>the EEA dispute provisions in each EEA are substantially the same.</w:t>
      </w:r>
    </w:p>
    <w:p>
      <w:pPr>
        <w:pStyle w:val="Subsection"/>
        <w:spacing w:before="120"/>
      </w:pPr>
      <w:r>
        <w:tab/>
        <w:t>(2)</w:t>
      </w:r>
      <w:r>
        <w:tab/>
        <w:t>The employees may agree in writing that, subject to the approval of the arbitrator, all matters are to be heard and determined at the same time in one arbitration proceeding.</w:t>
      </w:r>
    </w:p>
    <w:p>
      <w:pPr>
        <w:pStyle w:val="Subsection"/>
        <w:spacing w:before="120"/>
      </w:pPr>
      <w:r>
        <w:tab/>
        <w:t>(3)</w:t>
      </w:r>
      <w:r>
        <w:tab/>
        <w:t>An agreement under subsection (2) must be made before an arbitrator has entered on the arbitration.</w:t>
      </w:r>
    </w:p>
    <w:p>
      <w:pPr>
        <w:pStyle w:val="Subsection"/>
        <w:spacing w:before="120"/>
      </w:pPr>
      <w:r>
        <w:tab/>
        <w:t>(4)</w:t>
      </w:r>
      <w:r>
        <w:tab/>
        <w:t>Subject to the approval mentioned in subsection (2), the employer must ensure that effect is given to the agreement, so long as it remains in force.</w:t>
      </w:r>
    </w:p>
    <w:p>
      <w:pPr>
        <w:pStyle w:val="Footnotesection"/>
        <w:spacing w:before="80"/>
        <w:ind w:left="890" w:hanging="890"/>
      </w:pPr>
      <w:r>
        <w:tab/>
        <w:t>[Section 97WL inserted: No. 20 of 2002 s. 4.]</w:t>
      </w:r>
    </w:p>
    <w:p>
      <w:pPr>
        <w:pStyle w:val="Heading5"/>
        <w:spacing w:before="180"/>
      </w:pPr>
      <w:bookmarkStart w:id="458" w:name="_Toc98770158"/>
      <w:r>
        <w:rPr>
          <w:rStyle w:val="CharSectno"/>
        </w:rPr>
        <w:t>97WM</w:t>
      </w:r>
      <w:r>
        <w:t>.</w:t>
      </w:r>
      <w:r>
        <w:tab/>
        <w:t>Arbitrator’s power to obtain information</w:t>
      </w:r>
      <w:bookmarkEnd w:id="458"/>
    </w:p>
    <w:p>
      <w:pPr>
        <w:pStyle w:val="Subsection"/>
        <w:spacing w:before="120"/>
      </w:pPr>
      <w:r>
        <w:tab/>
      </w:r>
      <w:r>
        <w:tab/>
        <w:t>An arbitrator acting under EEA dispute provisions is an authorised person within the meaning of that term in Schedule 5.</w:t>
      </w:r>
    </w:p>
    <w:p>
      <w:pPr>
        <w:pStyle w:val="Footnotesection"/>
        <w:spacing w:before="80"/>
        <w:ind w:left="890" w:hanging="890"/>
      </w:pPr>
      <w:r>
        <w:tab/>
        <w:t>[Section 97WM inserted: No. 20 of 2002 s. 4.]</w:t>
      </w:r>
    </w:p>
    <w:p>
      <w:pPr>
        <w:pStyle w:val="Heading5"/>
        <w:spacing w:before="180"/>
      </w:pPr>
      <w:bookmarkStart w:id="459" w:name="_Toc98770159"/>
      <w:r>
        <w:rPr>
          <w:rStyle w:val="CharSectno"/>
        </w:rPr>
        <w:t>97WN</w:t>
      </w:r>
      <w:r>
        <w:t>.</w:t>
      </w:r>
      <w:r>
        <w:tab/>
        <w:t>Orders and determinations of arbitrators</w:t>
      </w:r>
      <w:bookmarkEnd w:id="459"/>
    </w:p>
    <w:p>
      <w:pPr>
        <w:pStyle w:val="Subsection"/>
        <w:spacing w:before="120"/>
      </w:pPr>
      <w:r>
        <w:tab/>
        <w:t>(1)</w:t>
      </w:r>
      <w:r>
        <w:tab/>
        <w:t>This section applies where —</w:t>
      </w:r>
    </w:p>
    <w:p>
      <w:pPr>
        <w:pStyle w:val="Indenta"/>
        <w:spacing w:before="60"/>
      </w:pPr>
      <w:r>
        <w:tab/>
        <w:t>(a)</w:t>
      </w:r>
      <w:r>
        <w:tab/>
        <w:t>a dispute has been referred to an arbitrator under EEA dispute provisions; or</w:t>
      </w:r>
    </w:p>
    <w:p>
      <w:pPr>
        <w:pStyle w:val="Indenta"/>
        <w:spacing w:before="60"/>
      </w:pPr>
      <w:r>
        <w:tab/>
        <w:t>(b)</w:t>
      </w:r>
      <w:r>
        <w:tab/>
        <w:t>a relevant industrial authority is acting under section 97WK(4).</w:t>
      </w:r>
    </w:p>
    <w:p>
      <w:pPr>
        <w:pStyle w:val="Subsection"/>
        <w:spacing w:before="120"/>
      </w:pPr>
      <w:r>
        <w:tab/>
        <w:t>(2)</w:t>
      </w:r>
      <w:r>
        <w:tab/>
        <w:t>The powers conferred by this section are subject to the limitations that they do not empower an arbitrator —</w:t>
      </w:r>
    </w:p>
    <w:p>
      <w:pPr>
        <w:pStyle w:val="Indenta"/>
        <w:spacing w:before="60"/>
      </w:pPr>
      <w:r>
        <w:tab/>
        <w:t>(a)</w:t>
      </w:r>
      <w:r>
        <w:tab/>
        <w:t>to enforce an EEA by making any order or determination that an industrial magistrate’s court may make under section 83; or</w:t>
      </w:r>
    </w:p>
    <w:p>
      <w:pPr>
        <w:pStyle w:val="Indenta"/>
        <w:spacing w:before="60"/>
      </w:pPr>
      <w:r>
        <w:tab/>
        <w:t>(b)</w:t>
      </w:r>
      <w:r>
        <w:tab/>
        <w:t>to make an order or determination that is in conflict, or is inconsistent, with the EEA or the contract of employment concerned.</w:t>
      </w:r>
    </w:p>
    <w:p>
      <w:pPr>
        <w:pStyle w:val="Subsection"/>
      </w:pPr>
      <w:r>
        <w:lastRenderedPageBreak/>
        <w:tab/>
        <w:t>(3)</w:t>
      </w:r>
      <w:r>
        <w:tab/>
        <w:t>An arbitrator may —</w:t>
      </w:r>
    </w:p>
    <w:p>
      <w:pPr>
        <w:pStyle w:val="Indenta"/>
        <w:spacing w:before="60"/>
      </w:pPr>
      <w:r>
        <w:tab/>
        <w:t>(a)</w:t>
      </w:r>
      <w:r>
        <w:tab/>
        <w:t>make one or more of the orders or determinations described in subsection (4); or</w:t>
      </w:r>
    </w:p>
    <w:p>
      <w:pPr>
        <w:pStyle w:val="Indenta"/>
        <w:spacing w:before="60"/>
      </w:pPr>
      <w:r>
        <w:tab/>
        <w:t>(b)</w:t>
      </w:r>
      <w:r>
        <w:tab/>
        <w:t>refuse to make any order or determination if he or she considers that —</w:t>
      </w:r>
    </w:p>
    <w:p>
      <w:pPr>
        <w:pStyle w:val="Indenti"/>
        <w:spacing w:before="60"/>
      </w:pPr>
      <w:r>
        <w:tab/>
        <w:t>(i)</w:t>
      </w:r>
      <w:r>
        <w:tab/>
        <w:t>the referral was vexatious; or</w:t>
      </w:r>
    </w:p>
    <w:p>
      <w:pPr>
        <w:pStyle w:val="Indenti"/>
        <w:spacing w:before="60"/>
      </w:pPr>
      <w:r>
        <w:tab/>
        <w:t>(ii)</w:t>
      </w:r>
      <w:r>
        <w:tab/>
        <w:t>the subject matter of the dispute is lacking in substance.</w:t>
      </w:r>
    </w:p>
    <w:p>
      <w:pPr>
        <w:pStyle w:val="Subsection"/>
      </w:pPr>
      <w:r>
        <w:tab/>
        <w:t>(4)</w:t>
      </w:r>
      <w:r>
        <w:tab/>
        <w:t>An arbitrator may —</w:t>
      </w:r>
    </w:p>
    <w:p>
      <w:pPr>
        <w:pStyle w:val="Indenta"/>
        <w:spacing w:before="70"/>
      </w:pPr>
      <w:r>
        <w:tab/>
        <w:t>(a)</w:t>
      </w:r>
      <w:r>
        <w:tab/>
        <w:t>determine the meaning or effect of the EEA concerned; or</w:t>
      </w:r>
    </w:p>
    <w:p>
      <w:pPr>
        <w:pStyle w:val="Indenta"/>
        <w:spacing w:before="70"/>
      </w:pPr>
      <w:r>
        <w:tab/>
        <w:t>(b)</w:t>
      </w:r>
      <w:r>
        <w:tab/>
        <w:t>order a party —</w:t>
      </w:r>
    </w:p>
    <w:p>
      <w:pPr>
        <w:pStyle w:val="Indenti"/>
        <w:spacing w:before="70"/>
      </w:pPr>
      <w:r>
        <w:tab/>
        <w:t>(i)</w:t>
      </w:r>
      <w:r>
        <w:tab/>
        <w:t>to do a specified thing; or</w:t>
      </w:r>
    </w:p>
    <w:p>
      <w:pPr>
        <w:pStyle w:val="Indenti"/>
        <w:spacing w:before="70"/>
      </w:pPr>
      <w:r>
        <w:tab/>
        <w:t>(ii)</w:t>
      </w:r>
      <w:r>
        <w:tab/>
        <w:t>cease any specified activity;</w:t>
      </w:r>
    </w:p>
    <w:p>
      <w:pPr>
        <w:pStyle w:val="Indenta"/>
        <w:spacing w:before="70"/>
      </w:pPr>
      <w:r>
        <w:tab/>
      </w:r>
      <w:r>
        <w:tab/>
        <w:t>or</w:t>
      </w:r>
    </w:p>
    <w:p>
      <w:pPr>
        <w:pStyle w:val="Indenta"/>
        <w:spacing w:before="70"/>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No. 20 of 2002 s. 4.]</w:t>
      </w:r>
    </w:p>
    <w:p>
      <w:pPr>
        <w:pStyle w:val="Heading5"/>
      </w:pPr>
      <w:bookmarkStart w:id="460" w:name="_Toc98770160"/>
      <w:r>
        <w:rPr>
          <w:rStyle w:val="CharSectno"/>
        </w:rPr>
        <w:t>97WO</w:t>
      </w:r>
      <w:r>
        <w:t>.</w:t>
      </w:r>
      <w:r>
        <w:tab/>
        <w:t>Orders and determinations, form of etc.</w:t>
      </w:r>
      <w:bookmarkEnd w:id="460"/>
    </w:p>
    <w:p>
      <w:pPr>
        <w:pStyle w:val="Subsection"/>
      </w:pPr>
      <w:r>
        <w:tab/>
      </w:r>
      <w:r>
        <w:tab/>
        <w:t>An order or determination of an arbitrator —</w:t>
      </w:r>
    </w:p>
    <w:p>
      <w:pPr>
        <w:pStyle w:val="Indenta"/>
        <w:spacing w:before="70"/>
      </w:pPr>
      <w:r>
        <w:tab/>
        <w:t>(a)</w:t>
      </w:r>
      <w:r>
        <w:tab/>
        <w:t>must be in writing and accompanied by the reasons for its making; and</w:t>
      </w:r>
    </w:p>
    <w:p>
      <w:pPr>
        <w:pStyle w:val="Indenta"/>
        <w:spacing w:before="70"/>
      </w:pPr>
      <w:r>
        <w:tab/>
        <w:t>(b)</w:t>
      </w:r>
      <w:r>
        <w:tab/>
        <w:t>is final and not subject to appeal; and</w:t>
      </w:r>
    </w:p>
    <w:p>
      <w:pPr>
        <w:pStyle w:val="Indenta"/>
        <w:spacing w:before="70"/>
      </w:pPr>
      <w:r>
        <w:tab/>
        <w:t>(c)</w:t>
      </w:r>
      <w:r>
        <w:tab/>
        <w:t>must be complied with by the employer and the employee unless they agree in writing not to give effect to it.</w:t>
      </w:r>
    </w:p>
    <w:p>
      <w:pPr>
        <w:pStyle w:val="Footnotesection"/>
      </w:pPr>
      <w:r>
        <w:tab/>
        <w:t>[Section 97WO inserted: No. 20 of 2002 s. 4.]</w:t>
      </w:r>
    </w:p>
    <w:p>
      <w:pPr>
        <w:pStyle w:val="Heading5"/>
        <w:pageBreakBefore/>
        <w:spacing w:before="0"/>
      </w:pPr>
      <w:bookmarkStart w:id="461" w:name="_Toc98770161"/>
      <w:r>
        <w:rPr>
          <w:rStyle w:val="CharSectno"/>
        </w:rPr>
        <w:lastRenderedPageBreak/>
        <w:t>97WP</w:t>
      </w:r>
      <w:r>
        <w:t>.</w:t>
      </w:r>
      <w:r>
        <w:tab/>
        <w:t>Enforcing orders and determinations</w:t>
      </w:r>
      <w:bookmarkEnd w:id="461"/>
    </w:p>
    <w:p>
      <w:pPr>
        <w:pStyle w:val="Subsection"/>
        <w:spacing w:before="140"/>
      </w:pPr>
      <w:r>
        <w:tab/>
        <w:t>(1)</w:t>
      </w:r>
      <w:r>
        <w:tab/>
        <w:t>An order or determination referred to in section 97WN(4)(b) and (c) made by an arbitrator that is a relevant industrial authority is enforceable under section 83.</w:t>
      </w:r>
    </w:p>
    <w:p>
      <w:pPr>
        <w:pStyle w:val="Subsection"/>
        <w:spacing w:before="140"/>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spacing w:before="140"/>
      </w:pPr>
      <w:r>
        <w:tab/>
        <w:t>(3)</w:t>
      </w:r>
      <w:r>
        <w:tab/>
        <w:t>An order or determination lodged under subsection (2) is enforceable under section 83 as if it were an order of the Commission.</w:t>
      </w:r>
    </w:p>
    <w:p>
      <w:pPr>
        <w:pStyle w:val="Footnotesection"/>
        <w:spacing w:before="100"/>
        <w:ind w:left="890" w:hanging="890"/>
      </w:pPr>
      <w:r>
        <w:tab/>
        <w:t>[Section 97WP inserted: No. 20 of 2002 s. 4.]</w:t>
      </w:r>
    </w:p>
    <w:p>
      <w:pPr>
        <w:pStyle w:val="Heading5"/>
      </w:pPr>
      <w:bookmarkStart w:id="462" w:name="_Toc98770162"/>
      <w:r>
        <w:rPr>
          <w:rStyle w:val="CharSectno"/>
        </w:rPr>
        <w:t>97WQ</w:t>
      </w:r>
      <w:r>
        <w:t>.</w:t>
      </w:r>
      <w:r>
        <w:tab/>
        <w:t>Industrial magistrate’s court not bound by arbitrator’s interpretation of EEA</w:t>
      </w:r>
      <w:bookmarkEnd w:id="462"/>
    </w:p>
    <w:p>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100"/>
        <w:ind w:left="890" w:hanging="890"/>
      </w:pPr>
      <w:r>
        <w:tab/>
        <w:t>[Section 97WQ inserted: No. 20 of 2002 s. 4.]</w:t>
      </w:r>
    </w:p>
    <w:p>
      <w:pPr>
        <w:pStyle w:val="Heading3"/>
      </w:pPr>
      <w:bookmarkStart w:id="463" w:name="_Toc98505246"/>
      <w:bookmarkStart w:id="464" w:name="_Toc98506945"/>
      <w:bookmarkStart w:id="465" w:name="_Toc98508108"/>
      <w:bookmarkStart w:id="466" w:name="_Toc98770163"/>
      <w:r>
        <w:rPr>
          <w:rStyle w:val="CharDivNo"/>
        </w:rPr>
        <w:t>Division 9</w:t>
      </w:r>
      <w:r>
        <w:t> — </w:t>
      </w:r>
      <w:r>
        <w:rPr>
          <w:rStyle w:val="CharDivText"/>
        </w:rPr>
        <w:t>EEAs for persons with mental disabilities</w:t>
      </w:r>
      <w:bookmarkEnd w:id="463"/>
      <w:bookmarkEnd w:id="464"/>
      <w:bookmarkEnd w:id="465"/>
      <w:bookmarkEnd w:id="466"/>
    </w:p>
    <w:p>
      <w:pPr>
        <w:pStyle w:val="Footnoteheading"/>
        <w:keepNext/>
        <w:tabs>
          <w:tab w:val="left" w:pos="851"/>
        </w:tabs>
        <w:spacing w:before="80"/>
      </w:pPr>
      <w:r>
        <w:tab/>
        <w:t>[Heading inserted: No. 20 of 2002 s. 4.]</w:t>
      </w:r>
    </w:p>
    <w:p>
      <w:pPr>
        <w:pStyle w:val="Heading4"/>
      </w:pPr>
      <w:bookmarkStart w:id="467" w:name="_Toc98505247"/>
      <w:bookmarkStart w:id="468" w:name="_Toc98506946"/>
      <w:bookmarkStart w:id="469" w:name="_Toc98508109"/>
      <w:bookmarkStart w:id="470" w:name="_Toc98770164"/>
      <w:r>
        <w:t>Subdivision 1 — Preliminary</w:t>
      </w:r>
      <w:bookmarkEnd w:id="467"/>
      <w:bookmarkEnd w:id="468"/>
      <w:bookmarkEnd w:id="469"/>
      <w:bookmarkEnd w:id="470"/>
    </w:p>
    <w:p>
      <w:pPr>
        <w:pStyle w:val="Footnoteheading"/>
        <w:tabs>
          <w:tab w:val="left" w:pos="851"/>
        </w:tabs>
        <w:spacing w:before="80"/>
      </w:pPr>
      <w:r>
        <w:tab/>
        <w:t>[Heading inserted: No. 20 of 2002 s. 4.]</w:t>
      </w:r>
    </w:p>
    <w:p>
      <w:pPr>
        <w:pStyle w:val="Heading5"/>
      </w:pPr>
      <w:bookmarkStart w:id="471" w:name="_Toc98770165"/>
      <w:r>
        <w:rPr>
          <w:rStyle w:val="CharSectno"/>
        </w:rPr>
        <w:t>97WR</w:t>
      </w:r>
      <w:r>
        <w:t>.</w:t>
      </w:r>
      <w:r>
        <w:tab/>
        <w:t>Terms used</w:t>
      </w:r>
      <w:bookmarkEnd w:id="471"/>
    </w:p>
    <w:p>
      <w:pPr>
        <w:pStyle w:val="Subsection"/>
        <w:spacing w:before="140"/>
      </w:pPr>
      <w:r>
        <w:tab/>
      </w:r>
      <w:r>
        <w:tab/>
        <w:t>In this Division —</w:t>
      </w:r>
    </w:p>
    <w:p>
      <w:pPr>
        <w:pStyle w:val="Defstart"/>
      </w:pPr>
      <w:r>
        <w:tab/>
      </w:r>
      <w:r>
        <w:rPr>
          <w:rStyle w:val="CharDefText"/>
        </w:rPr>
        <w:t>applicant</w:t>
      </w:r>
      <w:r>
        <w:fldChar w:fldCharType="begin"/>
      </w:r>
      <w:r>
        <w:instrText xml:space="preserve"> LISTNUM DefinitionNumbers \l1 </w:instrText>
      </w:r>
      <w:r>
        <w:fldChar w:fldCharType="end">
          <w:numberingChange w:id="472" w:author="Khatija Tul-Kubra" w:date="2018-12-13T10:30:00Z" w:original=""/>
        </w:fldChar>
      </w:r>
      <w:r>
        <w:t xml:space="preserve"> means the person who has made an application under section 97WV or 97XM;</w:t>
      </w:r>
    </w:p>
    <w:p>
      <w:pPr>
        <w:pStyle w:val="Defstart"/>
      </w:pPr>
      <w:r>
        <w:lastRenderedPageBreak/>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w:t>
      </w:r>
    </w:p>
    <w:p>
      <w:pPr>
        <w:pStyle w:val="Defpara"/>
      </w:pPr>
      <w:r>
        <w:tab/>
        <w:t>(a)</w:t>
      </w:r>
      <w:r>
        <w:tab/>
        <w:t>an intellectual disability; or</w:t>
      </w:r>
    </w:p>
    <w:p>
      <w:pPr>
        <w:pStyle w:val="Defpara"/>
      </w:pPr>
      <w:r>
        <w:tab/>
        <w:t>(b)</w:t>
      </w:r>
      <w:r>
        <w:tab/>
        <w:t>a psychiatric condition; or</w:t>
      </w:r>
    </w:p>
    <w:p>
      <w:pPr>
        <w:pStyle w:val="Defpara"/>
      </w:pPr>
      <w:r>
        <w:tab/>
        <w:t>(c)</w:t>
      </w:r>
      <w:r>
        <w:tab/>
        <w:t>an acquired brain injury; or</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No. 20 of 2002 s. 4; amended: No. 55 of 2004 s. 469(2); No. 22 of 2008 Sch. 3 cl. 30(3); No. 35 of 2010 s. 100.]</w:t>
      </w:r>
    </w:p>
    <w:p>
      <w:pPr>
        <w:pStyle w:val="Heading5"/>
        <w:spacing w:before="260"/>
      </w:pPr>
      <w:bookmarkStart w:id="473" w:name="_Toc98770166"/>
      <w:r>
        <w:rPr>
          <w:rStyle w:val="CharSectno"/>
        </w:rPr>
        <w:t>97WS</w:t>
      </w:r>
      <w:r>
        <w:t>.</w:t>
      </w:r>
      <w:r>
        <w:tab/>
      </w:r>
      <w:r>
        <w:rPr>
          <w:i/>
        </w:rPr>
        <w:t>Guardianship and Administration Act 1990</w:t>
      </w:r>
      <w:r>
        <w:t>, relationship of this Division to</w:t>
      </w:r>
      <w:bookmarkEnd w:id="473"/>
    </w:p>
    <w:p>
      <w:pPr>
        <w:pStyle w:val="Subsection"/>
      </w:pPr>
      <w:r>
        <w:tab/>
        <w:t>(1)</w:t>
      </w:r>
      <w:r>
        <w:tab/>
        <w:t>An order cannot be made under section 97WZ or 97XN approving a representative of a person if a guardianship order is in force under which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w:t>
      </w:r>
      <w:r>
        <w:lastRenderedPageBreak/>
        <w:t>approving a representative of the person if under the guardianship order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No. 20 of 2002 s. 4.]</w:t>
      </w:r>
    </w:p>
    <w:p>
      <w:pPr>
        <w:pStyle w:val="Heading5"/>
      </w:pPr>
      <w:bookmarkStart w:id="474" w:name="_Toc98770167"/>
      <w:r>
        <w:rPr>
          <w:rStyle w:val="CharSectno"/>
        </w:rPr>
        <w:t>97WT</w:t>
      </w:r>
      <w:r>
        <w:t>.</w:t>
      </w:r>
      <w:r>
        <w:tab/>
        <w:t>Registrar to notify Public Advocate of applications and orders for approval of representative</w:t>
      </w:r>
      <w:bookmarkEnd w:id="474"/>
    </w:p>
    <w:p>
      <w:pPr>
        <w:pStyle w:val="Subsection"/>
      </w:pPr>
      <w:r>
        <w:tab/>
        <w:t>(1)</w:t>
      </w:r>
      <w:r>
        <w:tab/>
        <w:t>The Registrar must give the Public Advocate notice in writing of every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A notice under subsection (1)(a) must identify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A notice under subsection (1)(b) must identify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lastRenderedPageBreak/>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No. 20 of 2002 s. 4; amended: No. 55 of 2004 s. 469(8) and (9).]</w:t>
      </w:r>
    </w:p>
    <w:p>
      <w:pPr>
        <w:pStyle w:val="Heading5"/>
      </w:pPr>
      <w:bookmarkStart w:id="475" w:name="_Toc98770168"/>
      <w:r>
        <w:rPr>
          <w:rStyle w:val="CharSectno"/>
        </w:rPr>
        <w:t>97WU</w:t>
      </w:r>
      <w:r>
        <w:t>.</w:t>
      </w:r>
      <w:r>
        <w:tab/>
        <w:t>Public Advocate to notify Registrar of relevant guardianship orders</w:t>
      </w:r>
      <w:bookmarkEnd w:id="475"/>
    </w:p>
    <w:p>
      <w:pPr>
        <w:pStyle w:val="Subsection"/>
      </w:pPr>
      <w:r>
        <w:tab/>
        <w:t>(1)</w:t>
      </w:r>
      <w:r>
        <w:tab/>
        <w:t>Where the Public Advocate receives a notice under section 97WT he or she must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A guardianship order is relevant for the purposes of subsection (1) if it appoints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Where the Public Advocate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lastRenderedPageBreak/>
        <w:tab/>
        <w:t>(4)</w:t>
      </w:r>
      <w:r>
        <w:tab/>
        <w:t>The Registrar must give to the representative and the employer concerned notice in writing of the revocation referred to in subsection (3).</w:t>
      </w:r>
    </w:p>
    <w:p>
      <w:pPr>
        <w:pStyle w:val="Footnotesection"/>
      </w:pPr>
      <w:r>
        <w:tab/>
        <w:t>[Section 97WU inserted: No. 20 of 2002 s. 4; amended: No. 55 of 2004 s. 469(3), (4) and (9).]</w:t>
      </w:r>
    </w:p>
    <w:p>
      <w:pPr>
        <w:pStyle w:val="Heading4"/>
      </w:pPr>
      <w:bookmarkStart w:id="476" w:name="_Toc98505252"/>
      <w:bookmarkStart w:id="477" w:name="_Toc98506951"/>
      <w:bookmarkStart w:id="478" w:name="_Toc98508114"/>
      <w:bookmarkStart w:id="479" w:name="_Toc98770169"/>
      <w:r>
        <w:t>Subdivision 2 — Approval of person to act on behalf of person with a mental disability</w:t>
      </w:r>
      <w:bookmarkEnd w:id="476"/>
      <w:bookmarkEnd w:id="477"/>
      <w:bookmarkEnd w:id="478"/>
      <w:bookmarkEnd w:id="479"/>
    </w:p>
    <w:p>
      <w:pPr>
        <w:pStyle w:val="Footnoteheading"/>
        <w:tabs>
          <w:tab w:val="left" w:pos="851"/>
        </w:tabs>
      </w:pPr>
      <w:r>
        <w:tab/>
        <w:t>[Heading inserted: No. 20 of 2002 s. 4.]</w:t>
      </w:r>
    </w:p>
    <w:p>
      <w:pPr>
        <w:pStyle w:val="Heading5"/>
      </w:pPr>
      <w:bookmarkStart w:id="480" w:name="_Toc98770170"/>
      <w:r>
        <w:rPr>
          <w:rStyle w:val="CharSectno"/>
        </w:rPr>
        <w:t>97WV</w:t>
      </w:r>
      <w:r>
        <w:t>.</w:t>
      </w:r>
      <w:r>
        <w:tab/>
        <w:t>Application for approval</w:t>
      </w:r>
      <w:bookmarkEnd w:id="480"/>
    </w:p>
    <w:p>
      <w:pPr>
        <w:pStyle w:val="Subsection"/>
      </w:pPr>
      <w:r>
        <w:tab/>
        <w:t>(1)</w:t>
      </w:r>
      <w:r>
        <w:tab/>
        <w:t>This section applies to a person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An application may be made to the Registrar by or on behalf of a person to whom this section applies for an order approving a person to act on his or her behalf in relation to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 xml:space="preserve">The person sought to be approved (the </w:t>
      </w:r>
      <w:r>
        <w:rPr>
          <w:rStyle w:val="CharDefText"/>
        </w:rPr>
        <w:t>proposed representative</w:t>
      </w:r>
      <w:r>
        <w:t>) must be one who satisfies the requirements of section 97WY.</w:t>
      </w:r>
    </w:p>
    <w:p>
      <w:pPr>
        <w:pStyle w:val="Footnotesection"/>
      </w:pPr>
      <w:r>
        <w:tab/>
        <w:t>[Section 97WV inserted: No. 20 of 2002 s. 4.]</w:t>
      </w:r>
    </w:p>
    <w:p>
      <w:pPr>
        <w:pStyle w:val="Heading5"/>
      </w:pPr>
      <w:bookmarkStart w:id="481" w:name="_Toc98770171"/>
      <w:r>
        <w:rPr>
          <w:rStyle w:val="CharSectno"/>
        </w:rPr>
        <w:t>97WW</w:t>
      </w:r>
      <w:r>
        <w:t>.</w:t>
      </w:r>
      <w:r>
        <w:tab/>
        <w:t>Requirements for s. 97WV application</w:t>
      </w:r>
      <w:bookmarkEnd w:id="481"/>
    </w:p>
    <w:p>
      <w:pPr>
        <w:pStyle w:val="Subsection"/>
      </w:pPr>
      <w:r>
        <w:tab/>
        <w:t>(1)</w:t>
      </w:r>
      <w:r>
        <w:tab/>
        <w:t>An application under section 97WV must be made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lastRenderedPageBreak/>
        <w:tab/>
        <w:t>(3)</w:t>
      </w:r>
      <w:r>
        <w:tab/>
        <w:t>An application must be accompanied by a certificate in respect of the person with a mental disability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No. 20 of 2002 s. 4.]</w:t>
      </w:r>
    </w:p>
    <w:p>
      <w:pPr>
        <w:pStyle w:val="Heading5"/>
      </w:pPr>
      <w:bookmarkStart w:id="482" w:name="_Toc98770172"/>
      <w:r>
        <w:rPr>
          <w:rStyle w:val="CharSectno"/>
        </w:rPr>
        <w:t>97WX</w:t>
      </w:r>
      <w:r>
        <w:t>.</w:t>
      </w:r>
      <w:r>
        <w:tab/>
        <w:t>Forms for s. 97WW to be prescribed</w:t>
      </w:r>
      <w:bookmarkEnd w:id="482"/>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No. 20 of 2002 s. 4.]</w:t>
      </w:r>
    </w:p>
    <w:p>
      <w:pPr>
        <w:pStyle w:val="Heading5"/>
      </w:pPr>
      <w:bookmarkStart w:id="483" w:name="_Toc98770173"/>
      <w:r>
        <w:rPr>
          <w:rStyle w:val="CharSectno"/>
        </w:rPr>
        <w:t>97WY</w:t>
      </w:r>
      <w:r>
        <w:t>.</w:t>
      </w:r>
      <w:r>
        <w:tab/>
        <w:t>Who may be approved as a representative</w:t>
      </w:r>
      <w:bookmarkEnd w:id="483"/>
    </w:p>
    <w:p>
      <w:pPr>
        <w:pStyle w:val="Subsection"/>
      </w:pPr>
      <w:r>
        <w:tab/>
        <w:t>(1)</w:t>
      </w:r>
      <w:r>
        <w:tab/>
        <w:t>A person may be approved under section 97WZ or 97XN only if he or she —</w:t>
      </w:r>
    </w:p>
    <w:p>
      <w:pPr>
        <w:pStyle w:val="Indenta"/>
      </w:pPr>
      <w:r>
        <w:tab/>
        <w:t>(a)</w:t>
      </w:r>
      <w:r>
        <w:tab/>
        <w:t>is the spouse, or de facto partner, of the person with a mental disability and has reached 18 years of age; or</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lastRenderedPageBreak/>
        <w:tab/>
        <w:t>(2)</w:t>
      </w:r>
      <w:r>
        <w:tab/>
        <w:t>For the purposes of subsection (1)(b), a person is closely associated with the person with a mental disability if, and only if, the first</w:t>
      </w:r>
      <w:r>
        <w:noBreakHyphen/>
        <w:t>mentioned person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No. 20 of 2002 s. 4; amended: No. 28 of 2003 s. 90.]</w:t>
      </w:r>
    </w:p>
    <w:p>
      <w:pPr>
        <w:pStyle w:val="Heading5"/>
      </w:pPr>
      <w:bookmarkStart w:id="484" w:name="_Toc98770174"/>
      <w:r>
        <w:rPr>
          <w:rStyle w:val="CharSectno"/>
        </w:rPr>
        <w:t>97WZ</w:t>
      </w:r>
      <w:r>
        <w:t>.</w:t>
      </w:r>
      <w:r>
        <w:tab/>
        <w:t>Approval of representative</w:t>
      </w:r>
      <w:bookmarkEnd w:id="484"/>
    </w:p>
    <w:p>
      <w:pPr>
        <w:pStyle w:val="Subsection"/>
      </w:pPr>
      <w:r>
        <w:tab/>
        <w:t>(1)</w:t>
      </w:r>
      <w:r>
        <w:tab/>
        <w:t>Where an application is made under section 97WV, the Registrar must make an order approving the proposed representative if he or she is satisfied that —</w:t>
      </w:r>
    </w:p>
    <w:p>
      <w:pPr>
        <w:pStyle w:val="Indenta"/>
      </w:pPr>
      <w:r>
        <w:tab/>
        <w:t>(a)</w:t>
      </w:r>
      <w:r>
        <w:tab/>
        <w:t>the application is not one that is prohibited by section 97WS(1); and</w:t>
      </w:r>
    </w:p>
    <w:p>
      <w:pPr>
        <w:pStyle w:val="Indenta"/>
      </w:pPr>
      <w:r>
        <w:tab/>
        <w:t>(b)</w:t>
      </w:r>
      <w:r>
        <w:tab/>
        <w:t>section 97WW has been complied with; and</w:t>
      </w:r>
    </w:p>
    <w:p>
      <w:pPr>
        <w:pStyle w:val="Indenta"/>
        <w:keepNext/>
        <w:keepLines/>
      </w:pPr>
      <w:r>
        <w:tab/>
        <w:t>(c)</w:t>
      </w:r>
      <w:r>
        <w:tab/>
        <w:t>the proposed representative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The Registrar is to rely on the certificate given under section 97WW(3) and it is not his or her function to be satisfied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keepNext/>
      </w:pPr>
      <w:r>
        <w:lastRenderedPageBreak/>
        <w:tab/>
        <w:t>(3)</w:t>
      </w:r>
      <w:r>
        <w:tab/>
        <w:t>The Registrar must give notice in writing of the making of an order under subsection (1)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No. 20 of 2002 s. 4; amended: No. 55 of 2004 s. 469(8).]</w:t>
      </w:r>
    </w:p>
    <w:p>
      <w:pPr>
        <w:pStyle w:val="Heading5"/>
      </w:pPr>
      <w:bookmarkStart w:id="485" w:name="_Toc98770175"/>
      <w:r>
        <w:rPr>
          <w:rStyle w:val="CharSectno"/>
        </w:rPr>
        <w:t>97X</w:t>
      </w:r>
      <w:r>
        <w:t>.</w:t>
      </w:r>
      <w:r>
        <w:tab/>
        <w:t>Effect of s. 97WZ order</w:t>
      </w:r>
      <w:bookmarkEnd w:id="485"/>
    </w:p>
    <w:p>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No. 20 of 2002 s. 4.]</w:t>
      </w:r>
    </w:p>
    <w:p>
      <w:pPr>
        <w:pStyle w:val="Heading5"/>
      </w:pPr>
      <w:bookmarkStart w:id="486" w:name="_Toc98770176"/>
      <w:r>
        <w:rPr>
          <w:rStyle w:val="CharSectno"/>
        </w:rPr>
        <w:t>97XA</w:t>
      </w:r>
      <w:r>
        <w:t>.</w:t>
      </w:r>
      <w:r>
        <w:tab/>
        <w:t>Refusal of approval</w:t>
      </w:r>
      <w:bookmarkEnd w:id="486"/>
    </w:p>
    <w:p>
      <w:pPr>
        <w:pStyle w:val="Subsection"/>
      </w:pPr>
      <w:r>
        <w:tab/>
      </w:r>
      <w:r>
        <w:tab/>
        <w:t>If the Registrar is not satisfied as mentioned in section 97WZ(1)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No. 20 of 2002 s. 4.]</w:t>
      </w:r>
    </w:p>
    <w:p>
      <w:pPr>
        <w:pStyle w:val="Heading5"/>
      </w:pPr>
      <w:bookmarkStart w:id="487" w:name="_Toc98770177"/>
      <w:r>
        <w:rPr>
          <w:rStyle w:val="CharSectno"/>
        </w:rPr>
        <w:t>97XB</w:t>
      </w:r>
      <w:r>
        <w:t>.</w:t>
      </w:r>
      <w:r>
        <w:tab/>
        <w:t>Appeal against refusal of approval</w:t>
      </w:r>
      <w:bookmarkEnd w:id="487"/>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lastRenderedPageBreak/>
        <w:tab/>
        <w:t>(2)</w:t>
      </w:r>
      <w:r>
        <w:tab/>
        <w:t>An appeal must be brought within 14 days after the day on which the applicant received notice of the refusal under section 97XA.</w:t>
      </w:r>
    </w:p>
    <w:p>
      <w:pPr>
        <w:pStyle w:val="Footnotesection"/>
        <w:spacing w:before="100"/>
        <w:ind w:left="890" w:hanging="890"/>
      </w:pPr>
      <w:r>
        <w:tab/>
        <w:t>[Section 97XB inserted: No. 20 of 2002 s. 4.]</w:t>
      </w:r>
    </w:p>
    <w:p>
      <w:pPr>
        <w:pStyle w:val="Heading5"/>
      </w:pPr>
      <w:bookmarkStart w:id="488" w:name="_Toc98770178"/>
      <w:r>
        <w:rPr>
          <w:rStyle w:val="CharSectno"/>
        </w:rPr>
        <w:t>97XC</w:t>
      </w:r>
      <w:r>
        <w:t>.</w:t>
      </w:r>
      <w:r>
        <w:tab/>
        <w:t>Determination of appeal</w:t>
      </w:r>
      <w:bookmarkEnd w:id="488"/>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On the determination of an appeal the Commission may —</w:t>
      </w:r>
    </w:p>
    <w:p>
      <w:pPr>
        <w:pStyle w:val="Indenta"/>
        <w:spacing w:before="60"/>
      </w:pPr>
      <w:r>
        <w:tab/>
        <w:t>(a)</w:t>
      </w:r>
      <w:r>
        <w:tab/>
        <w:t>confirm the refusal to make an order; or</w:t>
      </w:r>
    </w:p>
    <w:p>
      <w:pPr>
        <w:pStyle w:val="Indenta"/>
        <w:spacing w:before="60"/>
      </w:pPr>
      <w:r>
        <w:tab/>
        <w:t>(b)</w:t>
      </w:r>
      <w:r>
        <w:tab/>
        <w:t>quash the Registrar’s determination and make an order approving the proposed representative; or</w:t>
      </w:r>
    </w:p>
    <w:p>
      <w:pPr>
        <w:pStyle w:val="Indenta"/>
        <w:spacing w:before="60"/>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spacing w:before="100"/>
        <w:ind w:left="890" w:hanging="890"/>
      </w:pPr>
      <w:r>
        <w:tab/>
        <w:t>[Section 97XC inserted: No. 20 of 2002 s. 4.]</w:t>
      </w:r>
    </w:p>
    <w:p>
      <w:pPr>
        <w:pStyle w:val="Heading4"/>
      </w:pPr>
      <w:bookmarkStart w:id="489" w:name="_Toc98505262"/>
      <w:bookmarkStart w:id="490" w:name="_Toc98506961"/>
      <w:bookmarkStart w:id="491" w:name="_Toc98508124"/>
      <w:bookmarkStart w:id="492" w:name="_Toc98770179"/>
      <w:r>
        <w:t>Subdivision 3 — Functions of representative</w:t>
      </w:r>
      <w:bookmarkEnd w:id="489"/>
      <w:bookmarkEnd w:id="490"/>
      <w:bookmarkEnd w:id="491"/>
      <w:bookmarkEnd w:id="492"/>
    </w:p>
    <w:p>
      <w:pPr>
        <w:pStyle w:val="Footnoteheading"/>
        <w:keepNext/>
        <w:tabs>
          <w:tab w:val="left" w:pos="851"/>
        </w:tabs>
        <w:spacing w:before="100"/>
      </w:pPr>
      <w:r>
        <w:tab/>
        <w:t>[Heading inserted: No. 20 of 2002 s. 4.]</w:t>
      </w:r>
    </w:p>
    <w:p>
      <w:pPr>
        <w:pStyle w:val="Heading5"/>
      </w:pPr>
      <w:bookmarkStart w:id="493" w:name="_Toc98770180"/>
      <w:r>
        <w:rPr>
          <w:rStyle w:val="CharSectno"/>
        </w:rPr>
        <w:t>97XD</w:t>
      </w:r>
      <w:r>
        <w:t>.</w:t>
      </w:r>
      <w:r>
        <w:tab/>
        <w:t>Functions</w:t>
      </w:r>
      <w:bookmarkEnd w:id="493"/>
    </w:p>
    <w:p>
      <w:pPr>
        <w:pStyle w:val="Subsection"/>
      </w:pPr>
      <w:r>
        <w:tab/>
        <w:t>(1)</w:t>
      </w:r>
      <w:r>
        <w:tab/>
        <w:t>In addition to his or her functions under section 97UD, a representative —</w:t>
      </w:r>
    </w:p>
    <w:p>
      <w:pPr>
        <w:pStyle w:val="Indenta"/>
        <w:spacing w:before="60"/>
      </w:pPr>
      <w:r>
        <w:tab/>
        <w:t>(a)</w:t>
      </w:r>
      <w:r>
        <w:tab/>
        <w:t>may act on behalf of the represented person in relation to the operation and enforcement of an EEA; and</w:t>
      </w:r>
    </w:p>
    <w:p>
      <w:pPr>
        <w:pStyle w:val="Indenta"/>
        <w:spacing w:before="60"/>
      </w:pPr>
      <w:r>
        <w:tab/>
        <w:t>(b)</w:t>
      </w:r>
      <w:r>
        <w:tab/>
        <w:t>in particular, may perform any function described in subsection (2) on behalf of the represented person.</w:t>
      </w:r>
    </w:p>
    <w:p>
      <w:pPr>
        <w:pStyle w:val="Subsection"/>
      </w:pPr>
      <w:r>
        <w:lastRenderedPageBreak/>
        <w:tab/>
        <w:t>(2)</w:t>
      </w:r>
      <w:r>
        <w:tab/>
        <w:t>The functions referred to in subsection (1)(b) are —</w:t>
      </w:r>
    </w:p>
    <w:p>
      <w:pPr>
        <w:pStyle w:val="Indenta"/>
      </w:pPr>
      <w:r>
        <w:tab/>
        <w:t>(a)</w:t>
      </w:r>
      <w:r>
        <w:tab/>
        <w:t>to make a request under section 97UH; and</w:t>
      </w:r>
    </w:p>
    <w:p>
      <w:pPr>
        <w:pStyle w:val="Indenta"/>
      </w:pPr>
      <w:r>
        <w:tab/>
        <w:t>(b)</w:t>
      </w:r>
      <w:r>
        <w:tab/>
        <w:t>to appoint, or terminate the appointment of, a bargaining agent under section 97UJ; and</w:t>
      </w:r>
    </w:p>
    <w:p>
      <w:pPr>
        <w:pStyle w:val="Indenta"/>
      </w:pPr>
      <w:r>
        <w:tab/>
        <w:t>(c)</w:t>
      </w:r>
      <w:r>
        <w:tab/>
        <w:t>to make a cancellation agreement; and</w:t>
      </w:r>
    </w:p>
    <w:p>
      <w:pPr>
        <w:pStyle w:val="Indenta"/>
      </w:pPr>
      <w:r>
        <w:tab/>
        <w:t>(d)</w:t>
      </w:r>
      <w:r>
        <w:tab/>
        <w:t>to make and lodge a revised EEA under section 97VE(1) or 97VO(1); and</w:t>
      </w:r>
    </w:p>
    <w:p>
      <w:pPr>
        <w:pStyle w:val="Indenta"/>
      </w:pPr>
      <w:r>
        <w:tab/>
        <w:t>(e)</w:t>
      </w:r>
      <w:r>
        <w:tab/>
        <w:t>to recover any amount referred to in section 97V or 97VJ; and</w:t>
      </w:r>
    </w:p>
    <w:p>
      <w:pPr>
        <w:pStyle w:val="Indenta"/>
      </w:pPr>
      <w:r>
        <w:tab/>
        <w:t>(f)</w:t>
      </w:r>
      <w:r>
        <w:tab/>
        <w:t>to bring an appeal under section 97VM; and</w:t>
      </w:r>
    </w:p>
    <w:p>
      <w:pPr>
        <w:pStyle w:val="Indenta"/>
      </w:pPr>
      <w:r>
        <w:tab/>
        <w:t>(g)</w:t>
      </w:r>
      <w:r>
        <w:tab/>
        <w:t>to make an application referred to in section 97WE(3); and</w:t>
      </w:r>
    </w:p>
    <w:p>
      <w:pPr>
        <w:pStyle w:val="Indenta"/>
      </w:pPr>
      <w:r>
        <w:tab/>
        <w:t>(h)</w:t>
      </w:r>
      <w:r>
        <w:tab/>
        <w:t>to give a written authority for the purposes of section 97WF(1)(d); and</w:t>
      </w:r>
    </w:p>
    <w:p>
      <w:pPr>
        <w:pStyle w:val="Indenta"/>
      </w:pPr>
      <w:r>
        <w:tab/>
        <w:t>(i)</w:t>
      </w:r>
      <w:r>
        <w:tab/>
        <w:t>to act on behalf of the represented person for the purpose of carrying out any EEA dispute provision; and</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No. 20 of 2002 s. 4.]</w:t>
      </w:r>
    </w:p>
    <w:p>
      <w:pPr>
        <w:pStyle w:val="Heading5"/>
      </w:pPr>
      <w:bookmarkStart w:id="494" w:name="_Toc98770181"/>
      <w:r>
        <w:rPr>
          <w:rStyle w:val="CharSectno"/>
        </w:rPr>
        <w:t>97XE</w:t>
      </w:r>
      <w:r>
        <w:t>.</w:t>
      </w:r>
      <w:r>
        <w:tab/>
        <w:t>Effect of acts of representative</w:t>
      </w:r>
      <w:bookmarkEnd w:id="494"/>
    </w:p>
    <w:p>
      <w:pPr>
        <w:pStyle w:val="Subsection"/>
      </w:pPr>
      <w:r>
        <w:tab/>
      </w:r>
      <w:r>
        <w:tab/>
        <w:t>The performance of a function referred to in section 97XD by a representative has effect as if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No. 20 of 2002 s. 4.]</w:t>
      </w:r>
    </w:p>
    <w:p>
      <w:pPr>
        <w:pStyle w:val="Heading5"/>
      </w:pPr>
      <w:bookmarkStart w:id="495" w:name="_Toc98770182"/>
      <w:r>
        <w:rPr>
          <w:rStyle w:val="CharSectno"/>
        </w:rPr>
        <w:t>97XF</w:t>
      </w:r>
      <w:r>
        <w:t>.</w:t>
      </w:r>
      <w:r>
        <w:tab/>
        <w:t>Duties of representative</w:t>
      </w:r>
      <w:bookmarkEnd w:id="495"/>
    </w:p>
    <w:p>
      <w:pPr>
        <w:pStyle w:val="Subsection"/>
      </w:pPr>
      <w:r>
        <w:tab/>
        <w:t>(1)</w:t>
      </w:r>
      <w:r>
        <w:tab/>
        <w:t>In performing the functions referred to in section 97XD a representative is to act according to his or her opinion of the best interests of the represented person.</w:t>
      </w:r>
    </w:p>
    <w:p>
      <w:pPr>
        <w:pStyle w:val="Subsection"/>
      </w:pPr>
      <w:r>
        <w:lastRenderedPageBreak/>
        <w:tab/>
        <w:t>(2)</w:t>
      </w:r>
      <w:r>
        <w:tab/>
        <w:t>Without limiting subsection (1), a representative acts in the best interests of the represented person if he or she acts as far as possible —</w:t>
      </w:r>
    </w:p>
    <w:p>
      <w:pPr>
        <w:pStyle w:val="Indenta"/>
        <w:spacing w:before="70"/>
      </w:pPr>
      <w:r>
        <w:tab/>
        <w:t>(a)</w:t>
      </w:r>
      <w:r>
        <w:tab/>
        <w:t>as an advocate of the represented person in relation to any EEA; and</w:t>
      </w:r>
    </w:p>
    <w:p>
      <w:pPr>
        <w:pStyle w:val="Indenta"/>
        <w:spacing w:before="70"/>
      </w:pPr>
      <w:r>
        <w:tab/>
        <w:t>(b)</w:t>
      </w:r>
      <w:r>
        <w:tab/>
        <w:t>in such a way as to encourage the represented person to become capable of making reasonable decisions on matters pertaining to an employer</w:t>
      </w:r>
      <w:r>
        <w:noBreakHyphen/>
        <w:t>employee relationship; and</w:t>
      </w:r>
    </w:p>
    <w:p>
      <w:pPr>
        <w:pStyle w:val="Indenta"/>
        <w:spacing w:before="70"/>
      </w:pPr>
      <w:r>
        <w:tab/>
        <w:t>(c)</w:t>
      </w:r>
      <w:r>
        <w:tab/>
        <w:t>in such a way as to protect the represented person from abuse or exploitation in employment; and</w:t>
      </w:r>
    </w:p>
    <w:p>
      <w:pPr>
        <w:pStyle w:val="Indenta"/>
        <w:spacing w:before="70"/>
      </w:pPr>
      <w:r>
        <w:tab/>
        <w:t>(d)</w:t>
      </w:r>
      <w:r>
        <w:tab/>
        <w:t>in consultation with, and taking into account the wishes of, the represented person.</w:t>
      </w:r>
    </w:p>
    <w:p>
      <w:pPr>
        <w:pStyle w:val="Subsection"/>
      </w:pPr>
      <w:r>
        <w:tab/>
        <w:t>(3)</w:t>
      </w:r>
      <w:r>
        <w:tab/>
        <w:t>A failure of a representative to observe the duty mentioned in subsection (1) does not give rise to any liability on the part of the representative, but this does not affect the operation of —</w:t>
      </w:r>
    </w:p>
    <w:p>
      <w:pPr>
        <w:pStyle w:val="Indenta"/>
        <w:spacing w:before="60"/>
      </w:pPr>
      <w:r>
        <w:tab/>
        <w:t>(a)</w:t>
      </w:r>
      <w:r>
        <w:tab/>
        <w:t>Subdivision 4; or</w:t>
      </w:r>
    </w:p>
    <w:p>
      <w:pPr>
        <w:pStyle w:val="Indenta"/>
        <w:spacing w:before="60"/>
      </w:pPr>
      <w:r>
        <w:tab/>
        <w:t>(b)</w:t>
      </w:r>
      <w:r>
        <w:tab/>
        <w:t>any other written law.</w:t>
      </w:r>
    </w:p>
    <w:p>
      <w:pPr>
        <w:pStyle w:val="Footnotesection"/>
      </w:pPr>
      <w:r>
        <w:tab/>
        <w:t>[Section 97XF inserted: No. 20 of 2002 s. 4.]</w:t>
      </w:r>
    </w:p>
    <w:p>
      <w:pPr>
        <w:pStyle w:val="Heading4"/>
      </w:pPr>
      <w:bookmarkStart w:id="496" w:name="_Toc98505266"/>
      <w:bookmarkStart w:id="497" w:name="_Toc98506965"/>
      <w:bookmarkStart w:id="498" w:name="_Toc98508128"/>
      <w:bookmarkStart w:id="499" w:name="_Toc98770183"/>
      <w:r>
        <w:t>Subdivision 4 — Termination of representative’s authority to act</w:t>
      </w:r>
      <w:bookmarkEnd w:id="496"/>
      <w:bookmarkEnd w:id="497"/>
      <w:bookmarkEnd w:id="498"/>
      <w:bookmarkEnd w:id="499"/>
    </w:p>
    <w:p>
      <w:pPr>
        <w:pStyle w:val="Footnoteheading"/>
        <w:tabs>
          <w:tab w:val="left" w:pos="851"/>
        </w:tabs>
      </w:pPr>
      <w:r>
        <w:tab/>
        <w:t>[Heading inserted: No. 20 of 2002 s. 4.]</w:t>
      </w:r>
    </w:p>
    <w:p>
      <w:pPr>
        <w:pStyle w:val="Heading5"/>
      </w:pPr>
      <w:bookmarkStart w:id="500" w:name="_Toc98770184"/>
      <w:r>
        <w:rPr>
          <w:rStyle w:val="CharSectno"/>
        </w:rPr>
        <w:t>97XG</w:t>
      </w:r>
      <w:r>
        <w:t>.</w:t>
      </w:r>
      <w:r>
        <w:tab/>
        <w:t>Duration of order approving representative</w:t>
      </w:r>
      <w:bookmarkEnd w:id="500"/>
    </w:p>
    <w:p>
      <w:pPr>
        <w:pStyle w:val="Subsection"/>
      </w:pPr>
      <w:r>
        <w:tab/>
      </w:r>
      <w:r>
        <w:tab/>
        <w:t>An order under section 97WZ(1) or 97XN(1) remains in force until —</w:t>
      </w:r>
    </w:p>
    <w:p>
      <w:pPr>
        <w:pStyle w:val="Indenta"/>
        <w:spacing w:before="70"/>
      </w:pPr>
      <w:r>
        <w:tab/>
        <w:t>(a)</w:t>
      </w:r>
      <w:r>
        <w:tab/>
        <w:t>the representative resigns in accordance with section 97XH; or</w:t>
      </w:r>
    </w:p>
    <w:p>
      <w:pPr>
        <w:pStyle w:val="Indenta"/>
        <w:spacing w:before="70"/>
      </w:pPr>
      <w:r>
        <w:tab/>
        <w:t>(b)</w:t>
      </w:r>
      <w:r>
        <w:tab/>
        <w:t>the order is revoked —</w:t>
      </w:r>
    </w:p>
    <w:p>
      <w:pPr>
        <w:pStyle w:val="Indenti"/>
        <w:spacing w:before="70"/>
      </w:pPr>
      <w:r>
        <w:tab/>
        <w:t>(i)</w:t>
      </w:r>
      <w:r>
        <w:tab/>
        <w:t>by operation of section 97WS(2); or</w:t>
      </w:r>
    </w:p>
    <w:p>
      <w:pPr>
        <w:pStyle w:val="Indenti"/>
        <w:spacing w:before="70"/>
      </w:pPr>
      <w:r>
        <w:tab/>
        <w:t>(ii)</w:t>
      </w:r>
      <w:r>
        <w:tab/>
        <w:t xml:space="preserve">by an order (a </w:t>
      </w:r>
      <w:r>
        <w:rPr>
          <w:rStyle w:val="CharDefText"/>
        </w:rPr>
        <w:t>revocation order</w:t>
      </w:r>
      <w:r>
        <w:t>) made under section 97XK.</w:t>
      </w:r>
    </w:p>
    <w:p>
      <w:pPr>
        <w:pStyle w:val="Footnotesection"/>
      </w:pPr>
      <w:r>
        <w:tab/>
        <w:t>[Section 97XG inserted: No. 20 of 2002 s. 4.]</w:t>
      </w:r>
    </w:p>
    <w:p>
      <w:pPr>
        <w:pStyle w:val="Heading5"/>
        <w:pageBreakBefore/>
        <w:spacing w:before="0"/>
      </w:pPr>
      <w:bookmarkStart w:id="501" w:name="_Toc98770185"/>
      <w:r>
        <w:rPr>
          <w:rStyle w:val="CharSectno"/>
        </w:rPr>
        <w:lastRenderedPageBreak/>
        <w:t>97XH</w:t>
      </w:r>
      <w:r>
        <w:t>.</w:t>
      </w:r>
      <w:r>
        <w:tab/>
        <w:t>Resignation of representative</w:t>
      </w:r>
      <w:bookmarkEnd w:id="501"/>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The resignation has effect —</w:t>
      </w:r>
    </w:p>
    <w:p>
      <w:pPr>
        <w:pStyle w:val="Indenta"/>
        <w:spacing w:before="60"/>
      </w:pPr>
      <w:r>
        <w:tab/>
        <w:t>(a)</w:t>
      </w:r>
      <w:r>
        <w:tab/>
        <w:t>on the day on which notice in writing of the approval is given to the representative by the Registrar; or</w:t>
      </w:r>
    </w:p>
    <w:p>
      <w:pPr>
        <w:pStyle w:val="Indenta"/>
        <w:spacing w:before="60"/>
      </w:pPr>
      <w:r>
        <w:tab/>
        <w:t>(b)</w:t>
      </w:r>
      <w:r>
        <w:tab/>
        <w:t>on a later day specified by the Registrar in that notice.</w:t>
      </w:r>
    </w:p>
    <w:p>
      <w:pPr>
        <w:pStyle w:val="Footnotesection"/>
        <w:spacing w:before="100"/>
        <w:ind w:left="890" w:hanging="890"/>
      </w:pPr>
      <w:r>
        <w:tab/>
        <w:t>[Section 97XH inserted: No. 20 of 2002 s. 4.]</w:t>
      </w:r>
    </w:p>
    <w:p>
      <w:pPr>
        <w:pStyle w:val="Heading5"/>
      </w:pPr>
      <w:bookmarkStart w:id="502" w:name="_Toc98770186"/>
      <w:r>
        <w:rPr>
          <w:rStyle w:val="CharSectno"/>
        </w:rPr>
        <w:t>97XI</w:t>
      </w:r>
      <w:r>
        <w:t>.</w:t>
      </w:r>
      <w:r>
        <w:tab/>
        <w:t>Revocation order, application to SAT for</w:t>
      </w:r>
      <w:bookmarkEnd w:id="502"/>
    </w:p>
    <w:p>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pPr>
        <w:pStyle w:val="Subsection"/>
        <w:keepNext/>
      </w:pPr>
      <w:r>
        <w:tab/>
        <w:t>(2)</w:t>
      </w:r>
      <w:r>
        <w:tab/>
        <w:t>The application may be made by —</w:t>
      </w:r>
    </w:p>
    <w:p>
      <w:pPr>
        <w:pStyle w:val="Indenta"/>
        <w:spacing w:before="60"/>
      </w:pPr>
      <w:r>
        <w:tab/>
        <w:t>(a)</w:t>
      </w:r>
      <w:r>
        <w:tab/>
        <w:t>the represented person or a person acting on his or her behalf; or</w:t>
      </w:r>
    </w:p>
    <w:p>
      <w:pPr>
        <w:pStyle w:val="Indenta"/>
        <w:spacing w:before="60"/>
      </w:pPr>
      <w:r>
        <w:tab/>
        <w:t>(b)</w:t>
      </w:r>
      <w:r>
        <w:tab/>
        <w:t>any other person who satisfies the State Administrative Tribunal that he or she has a sufficient interest in the application.</w:t>
      </w:r>
    </w:p>
    <w:p>
      <w:pPr>
        <w:pStyle w:val="Subsection"/>
      </w:pPr>
      <w:r>
        <w:tab/>
        <w:t>(3)</w:t>
      </w:r>
      <w:r>
        <w:tab/>
        <w:t>The application may only be made on one or more of the following grounds —</w:t>
      </w:r>
    </w:p>
    <w:p>
      <w:pPr>
        <w:pStyle w:val="Indenta"/>
        <w:spacing w:before="60"/>
      </w:pPr>
      <w:r>
        <w:tab/>
        <w:t>(a)</w:t>
      </w:r>
      <w:r>
        <w:tab/>
        <w:t>that the represented person is no longer a person to whom section 97WV(1)(b) applies;</w:t>
      </w:r>
    </w:p>
    <w:p>
      <w:pPr>
        <w:pStyle w:val="Indenta"/>
        <w:spacing w:before="60"/>
      </w:pPr>
      <w:r>
        <w:tab/>
        <w:t>(b)</w:t>
      </w:r>
      <w:r>
        <w:tab/>
        <w:t>that the representative has failed to act in the best interests of the represented person;</w:t>
      </w:r>
    </w:p>
    <w:p>
      <w:pPr>
        <w:pStyle w:val="Indenta"/>
        <w:spacing w:before="60"/>
      </w:pPr>
      <w:r>
        <w:tab/>
        <w:t>(c)</w:t>
      </w:r>
      <w:r>
        <w:tab/>
        <w:t>that it is for some other reason no longer in the interests of the represented person for the representative to act on his or her behalf.</w:t>
      </w:r>
    </w:p>
    <w:p>
      <w:pPr>
        <w:pStyle w:val="Footnotesection"/>
        <w:spacing w:before="100"/>
        <w:ind w:left="890" w:hanging="890"/>
      </w:pPr>
      <w:r>
        <w:tab/>
        <w:t>[Section 97XI inserted: No. 20 of 2002 s. 4; amended: No. 55 of 2004 s. 469(5) and (10).]</w:t>
      </w:r>
    </w:p>
    <w:p>
      <w:pPr>
        <w:pStyle w:val="Heading5"/>
        <w:pageBreakBefore/>
        <w:spacing w:before="0"/>
      </w:pPr>
      <w:bookmarkStart w:id="503" w:name="_Toc98770187"/>
      <w:r>
        <w:rPr>
          <w:rStyle w:val="CharSectno"/>
        </w:rPr>
        <w:lastRenderedPageBreak/>
        <w:t>97XJ</w:t>
      </w:r>
      <w:r>
        <w:t>.</w:t>
      </w:r>
      <w:r>
        <w:tab/>
        <w:t>Right to be heard on s. 97XI application</w:t>
      </w:r>
      <w:bookmarkEnd w:id="503"/>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No. 20 of 2002 s. 4.]</w:t>
      </w:r>
    </w:p>
    <w:p>
      <w:pPr>
        <w:pStyle w:val="Heading5"/>
      </w:pPr>
      <w:bookmarkStart w:id="504" w:name="_Toc98770188"/>
      <w:r>
        <w:rPr>
          <w:rStyle w:val="CharSectno"/>
        </w:rPr>
        <w:t>97XK</w:t>
      </w:r>
      <w:r>
        <w:t>.</w:t>
      </w:r>
      <w:r>
        <w:tab/>
        <w:t>SAT may make revocation order</w:t>
      </w:r>
      <w:bookmarkEnd w:id="504"/>
    </w:p>
    <w:p>
      <w:pPr>
        <w:pStyle w:val="Subsection"/>
      </w:pPr>
      <w:r>
        <w:tab/>
        <w:t>(1)</w:t>
      </w:r>
      <w:r>
        <w:tab/>
        <w:t>Where an application is made to it under section 97XI, the State Administrative Tribunal must make a revocation order if it is satisfied that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An order under subsection (1) or (2) takes effect —</w:t>
      </w:r>
    </w:p>
    <w:p>
      <w:pPr>
        <w:pStyle w:val="Indenta"/>
      </w:pPr>
      <w:r>
        <w:tab/>
        <w:t>(a)</w:t>
      </w:r>
      <w:r>
        <w:tab/>
        <w:t>on the day on which notice of the order is given to the representative; or</w:t>
      </w:r>
    </w:p>
    <w:p>
      <w:pPr>
        <w:pStyle w:val="Indenta"/>
      </w:pPr>
      <w:r>
        <w:lastRenderedPageBreak/>
        <w:tab/>
        <w:t>(b)</w:t>
      </w:r>
      <w:r>
        <w:tab/>
        <w:t>on a later day specified in the order.</w:t>
      </w:r>
    </w:p>
    <w:p>
      <w:pPr>
        <w:pStyle w:val="Footnotesection"/>
      </w:pPr>
      <w:r>
        <w:tab/>
        <w:t>[Section 97XK inserted: No. 20 of 2002 s. 4; amended: No. 55 of 2004 s. 469(10).]</w:t>
      </w:r>
    </w:p>
    <w:p>
      <w:pPr>
        <w:pStyle w:val="Heading5"/>
      </w:pPr>
      <w:bookmarkStart w:id="505" w:name="_Toc98770189"/>
      <w:r>
        <w:rPr>
          <w:rStyle w:val="CharSectno"/>
        </w:rPr>
        <w:t>97XL</w:t>
      </w:r>
      <w:r>
        <w:t>.</w:t>
      </w:r>
      <w:r>
        <w:tab/>
      </w:r>
      <w:r>
        <w:rPr>
          <w:i/>
        </w:rPr>
        <w:t>Guardianship and Administration Act 1990</w:t>
      </w:r>
      <w:r>
        <w:t>, application of for s. 97XK</w:t>
      </w:r>
      <w:bookmarkEnd w:id="505"/>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No. 20 of 2002 s. 4; amended: No. 55 of 2004 s. 469(6), (7) and (10).]</w:t>
      </w:r>
    </w:p>
    <w:p>
      <w:pPr>
        <w:pStyle w:val="Heading4"/>
      </w:pPr>
      <w:bookmarkStart w:id="506" w:name="_Toc98505273"/>
      <w:bookmarkStart w:id="507" w:name="_Toc98506972"/>
      <w:bookmarkStart w:id="508" w:name="_Toc98508135"/>
      <w:bookmarkStart w:id="509" w:name="_Toc98770190"/>
      <w:r>
        <w:t>Subdivision 5 — Approval of new representative</w:t>
      </w:r>
      <w:bookmarkEnd w:id="506"/>
      <w:bookmarkEnd w:id="507"/>
      <w:bookmarkEnd w:id="508"/>
      <w:bookmarkEnd w:id="509"/>
    </w:p>
    <w:p>
      <w:pPr>
        <w:pStyle w:val="Footnoteheading"/>
        <w:tabs>
          <w:tab w:val="left" w:pos="851"/>
        </w:tabs>
      </w:pPr>
      <w:r>
        <w:tab/>
        <w:t>[Heading inserted: No. 20 of 2002 s. 4.]</w:t>
      </w:r>
    </w:p>
    <w:p>
      <w:pPr>
        <w:pStyle w:val="Heading5"/>
      </w:pPr>
      <w:bookmarkStart w:id="510" w:name="_Toc98770191"/>
      <w:r>
        <w:rPr>
          <w:rStyle w:val="CharSectno"/>
        </w:rPr>
        <w:t>97XM</w:t>
      </w:r>
      <w:r>
        <w:t>.</w:t>
      </w:r>
      <w:r>
        <w:tab/>
        <w:t>Application for new approval where representative dies or approval is revoked</w:t>
      </w:r>
      <w:bookmarkEnd w:id="510"/>
    </w:p>
    <w:p>
      <w:pPr>
        <w:pStyle w:val="Subsection"/>
      </w:pPr>
      <w:r>
        <w:tab/>
        <w:t>(1)</w:t>
      </w:r>
      <w:r>
        <w:tab/>
        <w:t>This section applies where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 xml:space="preserve">An application may be made to the Registrar by or on behalf of the person who immediately before the death or revocation was </w:t>
      </w:r>
      <w:r>
        <w:lastRenderedPageBreak/>
        <w:t>the represented person for an order approving a person to act in place of the representative who has died or whose approval has been revoked.</w:t>
      </w:r>
    </w:p>
    <w:p>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pPr>
        <w:pStyle w:val="Subsection"/>
        <w:spacing w:before="180"/>
      </w:pPr>
      <w:r>
        <w:tab/>
        <w:t>(4)</w:t>
      </w:r>
      <w:r>
        <w:tab/>
        <w:t>The application must be made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No. 20 of 2002 s. 4.]</w:t>
      </w:r>
    </w:p>
    <w:p>
      <w:pPr>
        <w:pStyle w:val="Heading5"/>
      </w:pPr>
      <w:bookmarkStart w:id="511" w:name="_Toc98770192"/>
      <w:r>
        <w:rPr>
          <w:rStyle w:val="CharSectno"/>
        </w:rPr>
        <w:t>97XN</w:t>
      </w:r>
      <w:r>
        <w:t>.</w:t>
      </w:r>
      <w:r>
        <w:tab/>
        <w:t>Approval of representative</w:t>
      </w:r>
      <w:bookmarkEnd w:id="511"/>
    </w:p>
    <w:p>
      <w:pPr>
        <w:pStyle w:val="Subsection"/>
        <w:spacing w:before="180"/>
      </w:pPr>
      <w:r>
        <w:tab/>
        <w:t>(1)</w:t>
      </w:r>
      <w:r>
        <w:tab/>
        <w:t>Where an application is made under section 97XM, the Registrar must make an order approving the proposed representative if he or she is satisfied that —</w:t>
      </w:r>
    </w:p>
    <w:p>
      <w:pPr>
        <w:pStyle w:val="Indenta"/>
      </w:pPr>
      <w:r>
        <w:tab/>
        <w:t>(a)</w:t>
      </w:r>
      <w:r>
        <w:tab/>
        <w:t>the circumstances mentioned in subsection (1)(a) or (b) of that section apply; and</w:t>
      </w:r>
    </w:p>
    <w:p>
      <w:pPr>
        <w:pStyle w:val="Indenta"/>
      </w:pPr>
      <w:r>
        <w:tab/>
        <w:t>(b)</w:t>
      </w:r>
      <w:r>
        <w:tab/>
        <w:t>the application is not one that is prohibited by section 97WS(1); and</w:t>
      </w:r>
    </w:p>
    <w:p>
      <w:pPr>
        <w:pStyle w:val="Indenta"/>
      </w:pPr>
      <w:r>
        <w:tab/>
        <w:t>(c)</w:t>
      </w:r>
      <w:r>
        <w:tab/>
        <w:t>section 97XM(4) has been complied with; and</w:t>
      </w:r>
    </w:p>
    <w:p>
      <w:pPr>
        <w:pStyle w:val="Indenta"/>
      </w:pPr>
      <w:r>
        <w:tab/>
        <w:t>(d)</w:t>
      </w:r>
      <w:r>
        <w:tab/>
        <w:t>the proposed representative —</w:t>
      </w:r>
    </w:p>
    <w:p>
      <w:pPr>
        <w:pStyle w:val="Indenti"/>
      </w:pPr>
      <w:r>
        <w:tab/>
        <w:t>(i)</w:t>
      </w:r>
      <w:r>
        <w:tab/>
        <w:t>satisfies the requirements of section 97WY; and</w:t>
      </w:r>
    </w:p>
    <w:p>
      <w:pPr>
        <w:pStyle w:val="Indenti"/>
      </w:pPr>
      <w:r>
        <w:tab/>
        <w:t>(ii)</w:t>
      </w:r>
      <w:r>
        <w:tab/>
        <w:t>consents to the application.</w:t>
      </w:r>
    </w:p>
    <w:p>
      <w:pPr>
        <w:pStyle w:val="Subsection"/>
        <w:keepNext/>
      </w:pPr>
      <w:r>
        <w:lastRenderedPageBreak/>
        <w:tab/>
        <w:t>(2)</w:t>
      </w:r>
      <w:r>
        <w:tab/>
        <w:t>The Registrar must give notice in writing of an order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No. 20 of 2002 s. 4; amended: No. 55 of 2004 s. 469(8).]</w:t>
      </w:r>
    </w:p>
    <w:p>
      <w:pPr>
        <w:pStyle w:val="Heading5"/>
      </w:pPr>
      <w:bookmarkStart w:id="512" w:name="_Toc98770193"/>
      <w:r>
        <w:rPr>
          <w:rStyle w:val="CharSectno"/>
        </w:rPr>
        <w:t>97XO</w:t>
      </w:r>
      <w:r>
        <w:t>.</w:t>
      </w:r>
      <w:r>
        <w:tab/>
        <w:t>Effect of s. 97XN order</w:t>
      </w:r>
      <w:bookmarkEnd w:id="512"/>
    </w:p>
    <w:p>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No. 20 of 2002 s. 4.]</w:t>
      </w:r>
    </w:p>
    <w:p>
      <w:pPr>
        <w:pStyle w:val="Heading5"/>
      </w:pPr>
      <w:bookmarkStart w:id="513" w:name="_Toc98770194"/>
      <w:r>
        <w:rPr>
          <w:rStyle w:val="CharSectno"/>
        </w:rPr>
        <w:t>97XP</w:t>
      </w:r>
      <w:r>
        <w:t>.</w:t>
      </w:r>
      <w:r>
        <w:tab/>
        <w:t>Refusal of approval</w:t>
      </w:r>
      <w:bookmarkEnd w:id="513"/>
    </w:p>
    <w:p>
      <w:pPr>
        <w:pStyle w:val="Subsection"/>
        <w:keepNext/>
        <w:keepLines/>
      </w:pPr>
      <w:r>
        <w:tab/>
      </w:r>
      <w:r>
        <w:tab/>
        <w:t>If the Registrar is not satisfied as mentioned in section 97XN(1)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No. 20 of 2002 s. 4.]</w:t>
      </w:r>
    </w:p>
    <w:p>
      <w:pPr>
        <w:pStyle w:val="Heading5"/>
      </w:pPr>
      <w:bookmarkStart w:id="514" w:name="_Toc98770195"/>
      <w:r>
        <w:rPr>
          <w:rStyle w:val="CharSectno"/>
        </w:rPr>
        <w:t>97XQ</w:t>
      </w:r>
      <w:r>
        <w:t>.</w:t>
      </w:r>
      <w:r>
        <w:tab/>
        <w:t>Appeal against refusal of approval</w:t>
      </w:r>
      <w:bookmarkEnd w:id="514"/>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No. 20 of 2002 s. 4.]</w:t>
      </w:r>
    </w:p>
    <w:p>
      <w:pPr>
        <w:pStyle w:val="Heading4"/>
        <w:pageBreakBefore/>
        <w:spacing w:before="0"/>
      </w:pPr>
      <w:bookmarkStart w:id="515" w:name="_Toc98505279"/>
      <w:bookmarkStart w:id="516" w:name="_Toc98506978"/>
      <w:bookmarkStart w:id="517" w:name="_Toc98508141"/>
      <w:bookmarkStart w:id="518" w:name="_Toc98770196"/>
      <w:r>
        <w:lastRenderedPageBreak/>
        <w:t>Subdivision 6 — Miscellaneous</w:t>
      </w:r>
      <w:bookmarkEnd w:id="515"/>
      <w:bookmarkEnd w:id="516"/>
      <w:bookmarkEnd w:id="517"/>
      <w:bookmarkEnd w:id="518"/>
    </w:p>
    <w:p>
      <w:pPr>
        <w:pStyle w:val="Footnoteheading"/>
        <w:keepNext/>
        <w:tabs>
          <w:tab w:val="left" w:pos="851"/>
        </w:tabs>
      </w:pPr>
      <w:r>
        <w:tab/>
        <w:t>[Heading inserted: No. 20 of 2002 s. 4.]</w:t>
      </w:r>
    </w:p>
    <w:p>
      <w:pPr>
        <w:pStyle w:val="Heading5"/>
      </w:pPr>
      <w:bookmarkStart w:id="519" w:name="_Toc98770197"/>
      <w:r>
        <w:rPr>
          <w:rStyle w:val="CharSectno"/>
        </w:rPr>
        <w:t>97XR</w:t>
      </w:r>
      <w:r>
        <w:t>.</w:t>
      </w:r>
      <w:r>
        <w:tab/>
        <w:t>Registrar’s powers for s. 97WV and 97XM</w:t>
      </w:r>
      <w:bookmarkEnd w:id="519"/>
    </w:p>
    <w:p>
      <w:pPr>
        <w:pStyle w:val="Subsection"/>
      </w:pPr>
      <w:r>
        <w:tab/>
      </w:r>
      <w:r>
        <w:tab/>
        <w:t>For the purpose of determining an application under section 97WV or 97XM, the Registrar may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No. 20 of 2002 s. 4.]</w:t>
      </w:r>
    </w:p>
    <w:p>
      <w:pPr>
        <w:pStyle w:val="Heading5"/>
      </w:pPr>
      <w:bookmarkStart w:id="520" w:name="_Toc98770198"/>
      <w:r>
        <w:rPr>
          <w:rStyle w:val="CharSectno"/>
        </w:rPr>
        <w:t>97XS</w:t>
      </w:r>
      <w:r>
        <w:t>.</w:t>
      </w:r>
      <w:r>
        <w:tab/>
        <w:t>EEA not affected by revocation of order or vacancy in position of representative</w:t>
      </w:r>
      <w:bookmarkEnd w:id="520"/>
    </w:p>
    <w:p>
      <w:pPr>
        <w:pStyle w:val="Subsection"/>
      </w:pPr>
      <w:r>
        <w:tab/>
      </w:r>
      <w:r>
        <w:tab/>
        <w:t>An EEA to which a represented person is a party is not affected by —</w:t>
      </w:r>
    </w:p>
    <w:p>
      <w:pPr>
        <w:pStyle w:val="Indenta"/>
      </w:pPr>
      <w:r>
        <w:tab/>
        <w:t>(a)</w:t>
      </w:r>
      <w:r>
        <w:tab/>
        <w:t>the operation of section 97WS(2); or</w:t>
      </w:r>
    </w:p>
    <w:p>
      <w:pPr>
        <w:pStyle w:val="Indenta"/>
      </w:pPr>
      <w:r>
        <w:tab/>
        <w:t>(b)</w:t>
      </w:r>
      <w:r>
        <w:tab/>
        <w:t>the fact that the position of representative is vacant because of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No. 20 of 2002 s. 4.]</w:t>
      </w:r>
    </w:p>
    <w:p>
      <w:pPr>
        <w:pStyle w:val="Heading5"/>
      </w:pPr>
      <w:bookmarkStart w:id="521" w:name="_Toc98770199"/>
      <w:r>
        <w:rPr>
          <w:rStyle w:val="CharSectno"/>
        </w:rPr>
        <w:t>97XT</w:t>
      </w:r>
      <w:r>
        <w:t>.</w:t>
      </w:r>
      <w:r>
        <w:tab/>
        <w:t>Register of s. 97WZ and 97XN orders</w:t>
      </w:r>
      <w:bookmarkEnd w:id="521"/>
    </w:p>
    <w:p>
      <w:pPr>
        <w:pStyle w:val="Subsection"/>
      </w:pPr>
      <w:r>
        <w:tab/>
        <w:t>(1)</w:t>
      </w:r>
      <w:r>
        <w:tab/>
        <w:t>The Registrar must keep a register for the purposes of this Division.</w:t>
      </w:r>
    </w:p>
    <w:p>
      <w:pPr>
        <w:pStyle w:val="Subsection"/>
      </w:pPr>
      <w:r>
        <w:tab/>
        <w:t>(2)</w:t>
      </w:r>
      <w:r>
        <w:tab/>
        <w:t>The register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lastRenderedPageBreak/>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No. 20 of 2002 s. 4.]</w:t>
      </w:r>
    </w:p>
    <w:p>
      <w:pPr>
        <w:pStyle w:val="Heading5"/>
      </w:pPr>
      <w:bookmarkStart w:id="522" w:name="_Toc98770200"/>
      <w:r>
        <w:rPr>
          <w:rStyle w:val="CharSectno"/>
        </w:rPr>
        <w:t>97XU</w:t>
      </w:r>
      <w:r>
        <w:t>.</w:t>
      </w:r>
      <w:r>
        <w:tab/>
        <w:t>Certified copies of registered entry</w:t>
      </w:r>
      <w:bookmarkEnd w:id="522"/>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A document that purports to be a certified copy of an entry in the register issued by the Registrar or a deputy registrar is to be taken to be such a copy unless the contrary is proved.</w:t>
      </w:r>
    </w:p>
    <w:p>
      <w:pPr>
        <w:pStyle w:val="Footnotesection"/>
      </w:pPr>
      <w:r>
        <w:tab/>
        <w:t>[Section 97XU inserted: No. 20 of 2002 s. 4.]</w:t>
      </w:r>
    </w:p>
    <w:p>
      <w:pPr>
        <w:pStyle w:val="Heading5"/>
      </w:pPr>
      <w:bookmarkStart w:id="523" w:name="_Toc98770201"/>
      <w:r>
        <w:rPr>
          <w:rStyle w:val="CharSectno"/>
        </w:rPr>
        <w:t>97XV</w:t>
      </w:r>
      <w:r>
        <w:t>.</w:t>
      </w:r>
      <w:r>
        <w:tab/>
        <w:t>Information obtained under this Division not to be disclosed</w:t>
      </w:r>
      <w:bookmarkEnd w:id="523"/>
    </w:p>
    <w:p>
      <w:pPr>
        <w:pStyle w:val="Subsection"/>
      </w:pPr>
      <w:r>
        <w:tab/>
        <w:t>(1)</w:t>
      </w:r>
      <w:r>
        <w:tab/>
        <w:t>A person to whom this subsection applies must not, directly or indirectly, record, disclose or make use of information obtained in the course of performing functions under this Division except —</w:t>
      </w:r>
    </w:p>
    <w:p>
      <w:pPr>
        <w:pStyle w:val="Indenta"/>
      </w:pPr>
      <w:r>
        <w:tab/>
        <w:t>(a)</w:t>
      </w:r>
      <w:r>
        <w:tab/>
        <w:t>in the course of performing those functions; or</w:t>
      </w:r>
    </w:p>
    <w:p>
      <w:pPr>
        <w:pStyle w:val="Indenta"/>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lastRenderedPageBreak/>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No. 20 of 2002 s. 4.]</w:t>
      </w:r>
    </w:p>
    <w:p>
      <w:pPr>
        <w:pStyle w:val="Heading5"/>
      </w:pPr>
      <w:bookmarkStart w:id="524" w:name="_Toc98770202"/>
      <w:r>
        <w:rPr>
          <w:rStyle w:val="CharSectno"/>
        </w:rPr>
        <w:t>97XW</w:t>
      </w:r>
      <w:r>
        <w:t>.</w:t>
      </w:r>
      <w:r>
        <w:tab/>
        <w:t>Procedure in proceedings under this Division</w:t>
      </w:r>
      <w:bookmarkEnd w:id="524"/>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No. 20 of 2002 s. 4.]</w:t>
      </w:r>
    </w:p>
    <w:p>
      <w:pPr>
        <w:pStyle w:val="Heading3"/>
      </w:pPr>
      <w:bookmarkStart w:id="525" w:name="_Toc98505286"/>
      <w:bookmarkStart w:id="526" w:name="_Toc98506985"/>
      <w:bookmarkStart w:id="527" w:name="_Toc98508148"/>
      <w:bookmarkStart w:id="528" w:name="_Toc98770203"/>
      <w:r>
        <w:rPr>
          <w:rStyle w:val="CharDivNo"/>
        </w:rPr>
        <w:t>Division 10</w:t>
      </w:r>
      <w:r>
        <w:t> — </w:t>
      </w:r>
      <w:r>
        <w:rPr>
          <w:rStyle w:val="CharDivText"/>
        </w:rPr>
        <w:t>Certain conduct prohibited</w:t>
      </w:r>
      <w:bookmarkEnd w:id="525"/>
      <w:bookmarkEnd w:id="526"/>
      <w:bookmarkEnd w:id="527"/>
      <w:bookmarkEnd w:id="528"/>
    </w:p>
    <w:p>
      <w:pPr>
        <w:pStyle w:val="Footnoteheading"/>
        <w:tabs>
          <w:tab w:val="left" w:pos="851"/>
        </w:tabs>
      </w:pPr>
      <w:r>
        <w:tab/>
        <w:t>[Heading inserted: No. 20 of 2002 s. 4.]</w:t>
      </w:r>
    </w:p>
    <w:p>
      <w:pPr>
        <w:pStyle w:val="Heading5"/>
      </w:pPr>
      <w:bookmarkStart w:id="529" w:name="_Toc98770204"/>
      <w:r>
        <w:rPr>
          <w:rStyle w:val="CharSectno"/>
        </w:rPr>
        <w:t>97XX</w:t>
      </w:r>
      <w:r>
        <w:t>.</w:t>
      </w:r>
      <w:r>
        <w:tab/>
        <w:t>Purpose of this Division</w:t>
      </w:r>
      <w:bookmarkEnd w:id="529"/>
    </w:p>
    <w:p>
      <w:pPr>
        <w:pStyle w:val="Subsection"/>
      </w:pPr>
      <w:r>
        <w:tab/>
      </w:r>
      <w:r>
        <w:tab/>
        <w:t>The purpose of this Division is to ensure, as far as possible, that employees are given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No. 20 of 2002 s. 4.]</w:t>
      </w:r>
    </w:p>
    <w:p>
      <w:pPr>
        <w:pStyle w:val="Heading5"/>
        <w:pageBreakBefore/>
        <w:spacing w:before="0"/>
      </w:pPr>
      <w:bookmarkStart w:id="530" w:name="_Toc98770205"/>
      <w:r>
        <w:rPr>
          <w:rStyle w:val="CharSectno"/>
        </w:rPr>
        <w:lastRenderedPageBreak/>
        <w:t>97XY</w:t>
      </w:r>
      <w:r>
        <w:t>.</w:t>
      </w:r>
      <w:r>
        <w:tab/>
        <w:t>Enforcing prohibitions in this Division</w:t>
      </w:r>
      <w:bookmarkEnd w:id="530"/>
    </w:p>
    <w:p>
      <w:pPr>
        <w:pStyle w:val="Subsection"/>
      </w:pPr>
      <w:r>
        <w:tab/>
      </w:r>
      <w:r>
        <w:tab/>
        <w:t>A contravention of section 97XZ, 97Y, 97YB, 97YD, 97YE or 97YF is not an offence but those sections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No. 20 of 2002 s. 4.]</w:t>
      </w:r>
    </w:p>
    <w:p>
      <w:pPr>
        <w:pStyle w:val="Heading5"/>
        <w:spacing w:before="180"/>
      </w:pPr>
      <w:bookmarkStart w:id="531" w:name="_Toc98770206"/>
      <w:r>
        <w:rPr>
          <w:rStyle w:val="CharSectno"/>
        </w:rPr>
        <w:t>97XZ</w:t>
      </w:r>
      <w:r>
        <w:t>.</w:t>
      </w:r>
      <w:r>
        <w:tab/>
        <w:t>Making employment etc. conditional on EEA being entered into prohibited</w:t>
      </w:r>
      <w:bookmarkEnd w:id="531"/>
    </w:p>
    <w:p>
      <w:pPr>
        <w:pStyle w:val="Subsection"/>
      </w:pPr>
      <w:r>
        <w:tab/>
        <w:t>(1)</w:t>
      </w:r>
      <w:r>
        <w:tab/>
        <w:t>Except as provided by section 97YA, a person must not —</w:t>
      </w:r>
    </w:p>
    <w:p>
      <w:pPr>
        <w:pStyle w:val="Indenta"/>
      </w:pPr>
      <w:r>
        <w:tab/>
        <w:t>(a)</w:t>
      </w:r>
      <w:r>
        <w:tab/>
        <w:t>offer a person —</w:t>
      </w:r>
    </w:p>
    <w:p>
      <w:pPr>
        <w:pStyle w:val="Indenti"/>
      </w:pPr>
      <w:r>
        <w:tab/>
        <w:t>(i)</w:t>
      </w:r>
      <w:r>
        <w:tab/>
        <w:t>employment; or</w:t>
      </w:r>
    </w:p>
    <w:p>
      <w:pPr>
        <w:pStyle w:val="Indenti"/>
      </w:pPr>
      <w:r>
        <w:tab/>
        <w:t>(ii)</w:t>
      </w:r>
      <w:r>
        <w:tab/>
        <w:t>a promotion or transfer in employment;</w:t>
      </w:r>
    </w:p>
    <w:p>
      <w:pPr>
        <w:pStyle w:val="Indenta"/>
      </w:pPr>
      <w:r>
        <w:tab/>
      </w:r>
      <w:r>
        <w:tab/>
        <w:t>or</w:t>
      </w:r>
    </w:p>
    <w:p>
      <w:pPr>
        <w:pStyle w:val="Indenta"/>
      </w:pPr>
      <w:r>
        <w:tab/>
        <w:t>(b)</w:t>
      </w:r>
      <w:r>
        <w:tab/>
        <w:t>intimate to a person that he or she will be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Except as provided by section 97YA, a person must not —</w:t>
      </w:r>
    </w:p>
    <w:p>
      <w:pPr>
        <w:pStyle w:val="Indenta"/>
        <w:spacing w:before="70"/>
      </w:pPr>
      <w:r>
        <w:tab/>
        <w:t>(a)</w:t>
      </w:r>
      <w:r>
        <w:tab/>
        <w:t>offer a represented person —</w:t>
      </w:r>
    </w:p>
    <w:p>
      <w:pPr>
        <w:pStyle w:val="Indenti"/>
        <w:spacing w:before="70"/>
      </w:pPr>
      <w:r>
        <w:tab/>
        <w:t>(i)</w:t>
      </w:r>
      <w:r>
        <w:tab/>
        <w:t>employment; or</w:t>
      </w:r>
    </w:p>
    <w:p>
      <w:pPr>
        <w:pStyle w:val="Indenti"/>
        <w:spacing w:before="70"/>
      </w:pPr>
      <w:r>
        <w:tab/>
        <w:t>(ii)</w:t>
      </w:r>
      <w:r>
        <w:tab/>
        <w:t>a promotion or transfer in employment;</w:t>
      </w:r>
    </w:p>
    <w:p>
      <w:pPr>
        <w:pStyle w:val="Indenta"/>
        <w:spacing w:before="70"/>
      </w:pPr>
      <w:r>
        <w:tab/>
      </w:r>
      <w:r>
        <w:tab/>
        <w:t>or</w:t>
      </w:r>
    </w:p>
    <w:p>
      <w:pPr>
        <w:pStyle w:val="Indenta"/>
        <w:spacing w:before="70"/>
      </w:pPr>
      <w:r>
        <w:tab/>
        <w:t>(b)</w:t>
      </w:r>
      <w:r>
        <w:tab/>
        <w:t>intimate to the representative of a represented person that the represented person will be —</w:t>
      </w:r>
    </w:p>
    <w:p>
      <w:pPr>
        <w:pStyle w:val="Indenti"/>
        <w:spacing w:before="70"/>
      </w:pPr>
      <w:r>
        <w:tab/>
        <w:t>(i)</w:t>
      </w:r>
      <w:r>
        <w:tab/>
        <w:t>employed; or</w:t>
      </w:r>
    </w:p>
    <w:p>
      <w:pPr>
        <w:pStyle w:val="Indenti"/>
      </w:pPr>
      <w:r>
        <w:lastRenderedPageBreak/>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No. 20 of 2002 s. 4.]</w:t>
      </w:r>
    </w:p>
    <w:p>
      <w:pPr>
        <w:pStyle w:val="Heading5"/>
        <w:keepLines w:val="0"/>
      </w:pPr>
      <w:bookmarkStart w:id="532" w:name="_Toc98770207"/>
      <w:r>
        <w:rPr>
          <w:rStyle w:val="CharSectno"/>
        </w:rPr>
        <w:t>97Y</w:t>
      </w:r>
      <w:r>
        <w:t>.</w:t>
      </w:r>
      <w:r>
        <w:tab/>
        <w:t>Certain advertising prohibited</w:t>
      </w:r>
      <w:bookmarkEnd w:id="532"/>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No. 20 of 2002 s. 4.]</w:t>
      </w:r>
    </w:p>
    <w:p>
      <w:pPr>
        <w:pStyle w:val="Heading5"/>
      </w:pPr>
      <w:bookmarkStart w:id="533" w:name="_Toc98770208"/>
      <w:r>
        <w:rPr>
          <w:rStyle w:val="CharSectno"/>
        </w:rPr>
        <w:t>97YA</w:t>
      </w:r>
      <w:r>
        <w:t>.</w:t>
      </w:r>
      <w:r>
        <w:tab/>
        <w:t>Exception to s. 97XZ and 97YB</w:t>
      </w:r>
      <w:bookmarkEnd w:id="533"/>
    </w:p>
    <w:p>
      <w:pPr>
        <w:pStyle w:val="Subsection"/>
      </w:pPr>
      <w:r>
        <w:tab/>
        <w:t>(1)</w:t>
      </w:r>
      <w:r>
        <w:tab/>
        <w:t>Section 97XZ(1) or (2) or 97YB does not apply to an offer of employment made, or an intimation of employment given, that would otherwise come within that provision if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Footnotesection"/>
      </w:pPr>
      <w:r>
        <w:tab/>
        <w:t>[Section 97YA inserted: No. 20 of 2002 s. 4; amended: No. 50 of 2016 s. 11.]</w:t>
      </w:r>
    </w:p>
    <w:p>
      <w:pPr>
        <w:pStyle w:val="Heading5"/>
        <w:pageBreakBefore/>
        <w:spacing w:before="0"/>
      </w:pPr>
      <w:bookmarkStart w:id="534" w:name="_Toc98770209"/>
      <w:r>
        <w:rPr>
          <w:rStyle w:val="CharSectno"/>
        </w:rPr>
        <w:lastRenderedPageBreak/>
        <w:t>97YB</w:t>
      </w:r>
      <w:r>
        <w:t>.</w:t>
      </w:r>
      <w:r>
        <w:tab/>
        <w:t>Employer offering EEA to also offer other employment arrangements</w:t>
      </w:r>
      <w:bookmarkEnd w:id="534"/>
    </w:p>
    <w:p>
      <w:pPr>
        <w:pStyle w:val="Subsection"/>
        <w:keepNext/>
      </w:pPr>
      <w:r>
        <w:tab/>
        <w:t>(1)</w:t>
      </w:r>
      <w:r>
        <w:tab/>
        <w:t>This section applies where —</w:t>
      </w:r>
    </w:p>
    <w:p>
      <w:pPr>
        <w:pStyle w:val="Indenta"/>
        <w:keepNext/>
      </w:pPr>
      <w:r>
        <w:tab/>
        <w:t>(a)</w:t>
      </w:r>
      <w:r>
        <w:tab/>
        <w:t>a person offers —</w:t>
      </w:r>
    </w:p>
    <w:p>
      <w:pPr>
        <w:pStyle w:val="Indenti"/>
        <w:keepNext/>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Where this section applies the person must also offer the employee the choice of the employment or continued employment being —</w:t>
      </w:r>
    </w:p>
    <w:p>
      <w:pPr>
        <w:pStyle w:val="Indenta"/>
      </w:pPr>
      <w:r>
        <w:tab/>
        <w:t>(a)</w:t>
      </w:r>
      <w:r>
        <w:tab/>
        <w:t>under any relevant award or enterprise order; or</w:t>
      </w:r>
    </w:p>
    <w:p>
      <w:pPr>
        <w:pStyle w:val="Indenta"/>
      </w:pPr>
      <w:r>
        <w:tab/>
        <w:t>(b)</w:t>
      </w:r>
      <w:r>
        <w:tab/>
        <w:t>if there is no such award or enterprise order, under a contract of employment containing the same provisions as those of the proposed EEA other than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No. 20 of 2002 s. 4.]</w:t>
      </w:r>
    </w:p>
    <w:p>
      <w:pPr>
        <w:pStyle w:val="Heading5"/>
      </w:pPr>
      <w:bookmarkStart w:id="535" w:name="_Toc98770210"/>
      <w:r>
        <w:rPr>
          <w:rStyle w:val="CharSectno"/>
        </w:rPr>
        <w:t>97YC</w:t>
      </w:r>
      <w:r>
        <w:t>.</w:t>
      </w:r>
      <w:r>
        <w:tab/>
        <w:t>Order for compliance with s. 97YB</w:t>
      </w:r>
      <w:bookmarkEnd w:id="535"/>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lastRenderedPageBreak/>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No. 20 of 2002 s. 4.]</w:t>
      </w:r>
    </w:p>
    <w:p>
      <w:pPr>
        <w:pStyle w:val="Heading5"/>
        <w:spacing w:before="180"/>
      </w:pPr>
      <w:bookmarkStart w:id="536" w:name="_Toc98770211"/>
      <w:r>
        <w:rPr>
          <w:rStyle w:val="CharSectno"/>
        </w:rPr>
        <w:t>97YD</w:t>
      </w:r>
      <w:r>
        <w:t>.</w:t>
      </w:r>
      <w:r>
        <w:tab/>
        <w:t>Threats and intimidation as to EEA prohibited</w:t>
      </w:r>
      <w:bookmarkEnd w:id="536"/>
    </w:p>
    <w:p>
      <w:pPr>
        <w:pStyle w:val="Subsection"/>
        <w:spacing w:before="120"/>
      </w:pPr>
      <w:r>
        <w:tab/>
        <w:t>(1)</w:t>
      </w:r>
      <w:r>
        <w:tab/>
        <w:t>A person must not by threats or intimidation persuade or attempt to persuade another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A person must not intimidate an employee, or threaten injury or harm to the person or property of an employee, because the employee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A person must not intimidate a representative, or threaten injury or harm to the person or property of a representative, because the represented person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No. 20 of 2002 s. 4.]</w:t>
      </w:r>
    </w:p>
    <w:p>
      <w:pPr>
        <w:pStyle w:val="Heading5"/>
        <w:pageBreakBefore/>
        <w:spacing w:before="0"/>
      </w:pPr>
      <w:bookmarkStart w:id="537" w:name="_Toc98770212"/>
      <w:r>
        <w:rPr>
          <w:rStyle w:val="CharSectno"/>
        </w:rPr>
        <w:lastRenderedPageBreak/>
        <w:t>97YE</w:t>
      </w:r>
      <w:r>
        <w:t>.</w:t>
      </w:r>
      <w:r>
        <w:tab/>
        <w:t>Misinformation prohibited</w:t>
      </w:r>
      <w:bookmarkEnd w:id="537"/>
    </w:p>
    <w:p>
      <w:pPr>
        <w:pStyle w:val="Subsection"/>
        <w:keepNext/>
      </w:pPr>
      <w:r>
        <w:tab/>
      </w:r>
      <w:r>
        <w:tab/>
        <w:t>A person must not make or give to another person any misleading statement or information with intent to persuade that 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No. 20 of 2002 s. 4.]</w:t>
      </w:r>
    </w:p>
    <w:p>
      <w:pPr>
        <w:pStyle w:val="Heading5"/>
      </w:pPr>
      <w:bookmarkStart w:id="538" w:name="_Toc98770213"/>
      <w:r>
        <w:rPr>
          <w:rStyle w:val="CharSectno"/>
        </w:rPr>
        <w:t>97YF</w:t>
      </w:r>
      <w:r>
        <w:t>.</w:t>
      </w:r>
      <w:r>
        <w:tab/>
        <w:t>Dismissal etc. because of refusal to make or cancel EEA prohibited</w:t>
      </w:r>
      <w:bookmarkEnd w:id="538"/>
    </w:p>
    <w:p>
      <w:pPr>
        <w:pStyle w:val="Subsection"/>
      </w:pPr>
      <w:r>
        <w:tab/>
      </w:r>
      <w:r>
        <w:tab/>
        <w:t>An employer must not —</w:t>
      </w:r>
    </w:p>
    <w:p>
      <w:pPr>
        <w:pStyle w:val="Indenta"/>
      </w:pPr>
      <w:r>
        <w:tab/>
        <w:t>(a)</w:t>
      </w:r>
      <w:r>
        <w:tab/>
        <w:t>dismiss an employee; or</w:t>
      </w:r>
    </w:p>
    <w:p>
      <w:pPr>
        <w:pStyle w:val="Indenta"/>
      </w:pPr>
      <w:r>
        <w:tab/>
        <w:t>(b)</w:t>
      </w:r>
      <w:r>
        <w:tab/>
        <w:t>alter an employee’s position to his or her disadvantage; or</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for the reason, or for reasons that include the reason, that the employee, or where applicable the representative of a represented person, has refused to enter into —</w:t>
      </w:r>
    </w:p>
    <w:p>
      <w:pPr>
        <w:pStyle w:val="Indenta"/>
      </w:pPr>
      <w:r>
        <w:tab/>
        <w:t>(e)</w:t>
      </w:r>
      <w:r>
        <w:tab/>
        <w:t>an EEA; or</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No. 20 of 2002 s. 4.]</w:t>
      </w:r>
    </w:p>
    <w:p>
      <w:pPr>
        <w:pStyle w:val="Heading5"/>
      </w:pPr>
      <w:bookmarkStart w:id="539" w:name="_Toc98770214"/>
      <w:r>
        <w:rPr>
          <w:rStyle w:val="CharSectno"/>
        </w:rPr>
        <w:t>97YG</w:t>
      </w:r>
      <w:r>
        <w:t>.</w:t>
      </w:r>
      <w:r>
        <w:tab/>
        <w:t>Breach of s. 97YF, court orders that may be made for</w:t>
      </w:r>
      <w:bookmarkEnd w:id="539"/>
    </w:p>
    <w:p>
      <w:pPr>
        <w:pStyle w:val="Subsection"/>
      </w:pPr>
      <w:r>
        <w:tab/>
        <w:t>(1)</w:t>
      </w:r>
      <w:r>
        <w:tab/>
        <w:t xml:space="preserve">If under section 83E an industrial magistrate’s court determines that an employer has contravened section 97YF in relation to a </w:t>
      </w:r>
      <w:r>
        <w:lastRenderedPageBreak/>
        <w:t>person who is or was an employee, the court may make an order under this section.</w:t>
      </w:r>
    </w:p>
    <w:p>
      <w:pPr>
        <w:pStyle w:val="Subsection"/>
      </w:pPr>
      <w:r>
        <w:tab/>
        <w:t>(2)</w:t>
      </w:r>
      <w:r>
        <w:tab/>
        <w:t>The court may order the employer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The court does not have jurisdiction under subsection (2) to order that there be paid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(6)</w:t>
      </w:r>
      <w:r>
        <w:tab/>
        <w:t>For the purposes of subsection (5)(a) the court may calculate the amount on the basis of an average rate received during any relevant period of employment.</w:t>
      </w:r>
    </w:p>
    <w:p>
      <w:pPr>
        <w:pStyle w:val="Subsection"/>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No. 20 of 2002 s. 4.]</w:t>
      </w:r>
    </w:p>
    <w:p>
      <w:pPr>
        <w:pStyle w:val="Heading5"/>
      </w:pPr>
      <w:bookmarkStart w:id="540" w:name="_Toc98770215"/>
      <w:r>
        <w:rPr>
          <w:rStyle w:val="CharSectno"/>
        </w:rPr>
        <w:t>97YH</w:t>
      </w:r>
      <w:r>
        <w:t>.</w:t>
      </w:r>
      <w:r>
        <w:tab/>
        <w:t>Burden of proof in s. 97YF proceedings</w:t>
      </w:r>
      <w:bookmarkEnd w:id="540"/>
    </w:p>
    <w:p>
      <w:pPr>
        <w:pStyle w:val="Subsection"/>
      </w:pPr>
      <w:r>
        <w:tab/>
      </w:r>
      <w:r>
        <w:tab/>
        <w:t xml:space="preserve">In any proceedings for a contravention of section 97YF, if it is proved that an employer took any course of action mentioned in that section against or in relation to an employee after the </w:t>
      </w:r>
      <w:r>
        <w:lastRenderedPageBreak/>
        <w:t>employee, or where applicable the representative of a represented person, refused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No. 20 of 2002 s. 4.]</w:t>
      </w:r>
    </w:p>
    <w:p>
      <w:pPr>
        <w:pStyle w:val="Heading3"/>
      </w:pPr>
      <w:bookmarkStart w:id="541" w:name="_Toc98505299"/>
      <w:bookmarkStart w:id="542" w:name="_Toc98506998"/>
      <w:bookmarkStart w:id="543" w:name="_Toc98508161"/>
      <w:bookmarkStart w:id="544" w:name="_Toc98770216"/>
      <w:r>
        <w:rPr>
          <w:rStyle w:val="CharDivNo"/>
        </w:rPr>
        <w:t>Division 11</w:t>
      </w:r>
      <w:r>
        <w:t> — </w:t>
      </w:r>
      <w:r>
        <w:rPr>
          <w:rStyle w:val="CharDivText"/>
        </w:rPr>
        <w:t>General</w:t>
      </w:r>
      <w:bookmarkEnd w:id="541"/>
      <w:bookmarkEnd w:id="542"/>
      <w:bookmarkEnd w:id="543"/>
      <w:bookmarkEnd w:id="544"/>
    </w:p>
    <w:p>
      <w:pPr>
        <w:pStyle w:val="Footnoteheading"/>
        <w:keepNext/>
        <w:tabs>
          <w:tab w:val="left" w:pos="851"/>
        </w:tabs>
      </w:pPr>
      <w:r>
        <w:tab/>
        <w:t>[Heading inserted: No. 20 of 2002 s. 4.]</w:t>
      </w:r>
    </w:p>
    <w:p>
      <w:pPr>
        <w:pStyle w:val="Heading5"/>
      </w:pPr>
      <w:bookmarkStart w:id="545" w:name="_Toc98770217"/>
      <w:r>
        <w:rPr>
          <w:rStyle w:val="CharSectno"/>
        </w:rPr>
        <w:t>97YI</w:t>
      </w:r>
      <w:r>
        <w:t>.</w:t>
      </w:r>
      <w:r>
        <w:tab/>
        <w:t>Review of Div. 5, 6 and 7</w:t>
      </w:r>
      <w:bookmarkEnd w:id="545"/>
    </w:p>
    <w:p>
      <w:pPr>
        <w:pStyle w:val="Subsection"/>
      </w:pPr>
      <w:r>
        <w:tab/>
        <w:t>(1)</w:t>
      </w:r>
      <w:r>
        <w:tab/>
        <w:t>The Commission in Court Session, as required by subsection (2), is to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A review is to be carried out at such times as the Minister may in writing request.</w:t>
      </w:r>
    </w:p>
    <w:p>
      <w:pPr>
        <w:pStyle w:val="Footnotesection"/>
      </w:pPr>
      <w:r>
        <w:tab/>
        <w:t>[Section 97YI inserted: No. 20 of 2002 s. 4; amended: No. 50 of 2016 s. 17.]</w:t>
      </w:r>
    </w:p>
    <w:p>
      <w:pPr>
        <w:pStyle w:val="Heading5"/>
      </w:pPr>
      <w:bookmarkStart w:id="546" w:name="_Toc98770218"/>
      <w:r>
        <w:rPr>
          <w:rStyle w:val="CharSectno"/>
        </w:rPr>
        <w:t>97YJ</w:t>
      </w:r>
      <w:r>
        <w:t>.</w:t>
      </w:r>
      <w:r>
        <w:tab/>
        <w:t>Regulations</w:t>
      </w:r>
      <w:bookmarkEnd w:id="546"/>
    </w:p>
    <w:p>
      <w:pPr>
        <w:pStyle w:val="Subsection"/>
      </w:pPr>
      <w:r>
        <w:tab/>
      </w:r>
      <w:r>
        <w:tab/>
        <w:t>The Governor may make any regulation that is required or permitted to be made, or necessary or convenient, for the purposes of this Part.</w:t>
      </w:r>
    </w:p>
    <w:p>
      <w:pPr>
        <w:pStyle w:val="Footnotesection"/>
      </w:pPr>
      <w:r>
        <w:tab/>
        <w:t>[Section 97YJ inserted: No. 20 of 2002 s. 4.]</w:t>
      </w:r>
    </w:p>
    <w:p>
      <w:pPr>
        <w:pStyle w:val="Heading2"/>
      </w:pPr>
      <w:bookmarkStart w:id="547" w:name="_Toc98505302"/>
      <w:bookmarkStart w:id="548" w:name="_Toc98507001"/>
      <w:bookmarkStart w:id="549" w:name="_Toc98508164"/>
      <w:bookmarkStart w:id="550" w:name="_Toc98770219"/>
      <w:r>
        <w:rPr>
          <w:rStyle w:val="CharPartNo"/>
        </w:rPr>
        <w:lastRenderedPageBreak/>
        <w:t>Part VII</w:t>
      </w:r>
      <w:r>
        <w:rPr>
          <w:rStyle w:val="CharDivNo"/>
        </w:rPr>
        <w:t> </w:t>
      </w:r>
      <w:r>
        <w:t>—</w:t>
      </w:r>
      <w:r>
        <w:rPr>
          <w:rStyle w:val="CharDivText"/>
        </w:rPr>
        <w:t> </w:t>
      </w:r>
      <w:r>
        <w:rPr>
          <w:rStyle w:val="CharPartText"/>
        </w:rPr>
        <w:t>Miscellaneous</w:t>
      </w:r>
      <w:bookmarkEnd w:id="547"/>
      <w:bookmarkEnd w:id="548"/>
      <w:bookmarkEnd w:id="549"/>
      <w:bookmarkEnd w:id="550"/>
    </w:p>
    <w:p>
      <w:pPr>
        <w:pStyle w:val="Heading5"/>
        <w:rPr>
          <w:snapToGrid w:val="0"/>
        </w:rPr>
      </w:pPr>
      <w:bookmarkStart w:id="551" w:name="_Toc98770220"/>
      <w:r>
        <w:rPr>
          <w:rStyle w:val="CharSectno"/>
        </w:rPr>
        <w:t>98</w:t>
      </w:r>
      <w:r>
        <w:rPr>
          <w:snapToGrid w:val="0"/>
        </w:rPr>
        <w:t>.</w:t>
      </w:r>
      <w:r>
        <w:rPr>
          <w:snapToGrid w:val="0"/>
        </w:rPr>
        <w:tab/>
        <w:t>Industrial inspectors, designation and functions of etc.</w:t>
      </w:r>
      <w:bookmarkEnd w:id="551"/>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 and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 and</w:t>
      </w:r>
    </w:p>
    <w:p>
      <w:pPr>
        <w:pStyle w:val="Indenta"/>
        <w:rPr>
          <w:snapToGrid w:val="0"/>
        </w:rPr>
      </w:pPr>
      <w:r>
        <w:rPr>
          <w:snapToGrid w:val="0"/>
        </w:rPr>
        <w:tab/>
        <w:t>(c)</w:t>
      </w:r>
      <w:r>
        <w:rPr>
          <w:snapToGrid w:val="0"/>
        </w:rPr>
        <w:tab/>
        <w:t>take with him into an industrial location any person he may require to provide assistance which he considers to be necessary; and</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 and</w:t>
      </w:r>
    </w:p>
    <w:p>
      <w:pPr>
        <w:pStyle w:val="Indenta"/>
        <w:rPr>
          <w:snapToGrid w:val="0"/>
        </w:rPr>
      </w:pPr>
      <w:r>
        <w:rPr>
          <w:snapToGrid w:val="0"/>
        </w:rPr>
        <w:lastRenderedPageBreak/>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 and</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 and</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lastRenderedPageBreak/>
        <w:tab/>
      </w:r>
      <w:r>
        <w:rPr>
          <w:rStyle w:val="CharDefText"/>
        </w:rPr>
        <w:t>instrument to which this section applies</w:t>
      </w:r>
      <w:r>
        <w:t xml:space="preserve"> means —</w:t>
      </w:r>
    </w:p>
    <w:p>
      <w:pPr>
        <w:pStyle w:val="Defpara"/>
        <w:spacing w:before="60"/>
      </w:pPr>
      <w:r>
        <w:tab/>
        <w:t>(a)</w:t>
      </w:r>
      <w:r>
        <w:tab/>
        <w:t>an award; and</w:t>
      </w:r>
    </w:p>
    <w:p>
      <w:pPr>
        <w:pStyle w:val="Defpara"/>
        <w:spacing w:before="60"/>
      </w:pPr>
      <w:r>
        <w:tab/>
        <w:t>(b)</w:t>
      </w:r>
      <w:r>
        <w:tab/>
        <w:t>an industrial agreement; and</w:t>
      </w:r>
    </w:p>
    <w:p>
      <w:pPr>
        <w:pStyle w:val="Defpara"/>
        <w:spacing w:before="60"/>
      </w:pPr>
      <w:r>
        <w:tab/>
        <w:t>(c)</w:t>
      </w:r>
      <w:r>
        <w:tab/>
        <w:t>an order made by the Commission; and</w:t>
      </w:r>
    </w:p>
    <w:p>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(2A).</w:t>
      </w:r>
    </w:p>
    <w:p>
      <w:pPr>
        <w:pStyle w:val="Footnotesection"/>
      </w:pPr>
      <w:r>
        <w:tab/>
        <w:t>[Section 98 amended: No. 121 of 1982 s. 32; No. 32 of 1994 s. 14; No. 79 of 1995 s. 38; No. 20 of 2002 s. 147; No. 14 of 2005 s. 9; No. 53 of 2011 s. 45; No. 39 of 2018 s. 59.]</w:t>
      </w:r>
    </w:p>
    <w:p>
      <w:pPr>
        <w:pStyle w:val="Heading5"/>
      </w:pPr>
      <w:bookmarkStart w:id="552" w:name="_Toc98770221"/>
      <w:r>
        <w:rPr>
          <w:rStyle w:val="CharSectno"/>
        </w:rPr>
        <w:t>99A</w:t>
      </w:r>
      <w:r>
        <w:t>.</w:t>
      </w:r>
      <w:r>
        <w:tab/>
        <w:t>Identity cards for industrial inspectors</w:t>
      </w:r>
      <w:bookmarkEnd w:id="552"/>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spacing w:before="60"/>
      </w:pPr>
      <w:r>
        <w:tab/>
        <w:t>(a)</w:t>
      </w:r>
      <w:r>
        <w:tab/>
        <w:t>of the appointment to which the identity card purports to relate; and</w:t>
      </w:r>
    </w:p>
    <w:p>
      <w:pPr>
        <w:pStyle w:val="Indenta"/>
        <w:spacing w:before="60"/>
      </w:pPr>
      <w:r>
        <w:tab/>
        <w:t>(b)</w:t>
      </w:r>
      <w:r>
        <w:tab/>
        <w:t>of any other matter specified on the identity card.</w:t>
      </w:r>
    </w:p>
    <w:p>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Penstart"/>
      </w:pPr>
      <w:r>
        <w:tab/>
        <w:t>Penalty: a fine of $2 000.</w:t>
      </w:r>
    </w:p>
    <w:p>
      <w:pPr>
        <w:pStyle w:val="Footnotesection"/>
      </w:pPr>
      <w:r>
        <w:tab/>
        <w:t>[Section 99A inserted: No. 53 of 2011 s. 46.]</w:t>
      </w:r>
    </w:p>
    <w:p>
      <w:pPr>
        <w:pStyle w:val="Heading5"/>
        <w:pageBreakBefore/>
        <w:spacing w:before="0"/>
      </w:pPr>
      <w:bookmarkStart w:id="553" w:name="_Toc98770222"/>
      <w:r>
        <w:rPr>
          <w:rStyle w:val="CharSectno"/>
        </w:rPr>
        <w:lastRenderedPageBreak/>
        <w:t>99B</w:t>
      </w:r>
      <w:r>
        <w:t>.</w:t>
      </w:r>
      <w:r>
        <w:tab/>
        <w:t>Production of identity card</w:t>
      </w:r>
      <w:bookmarkEnd w:id="553"/>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r>
        <w:tab/>
        <w:t>[Section 99B inserted: No. 53 of 2011 s. 46.]</w:t>
      </w:r>
    </w:p>
    <w:p>
      <w:pPr>
        <w:pStyle w:val="Heading5"/>
      </w:pPr>
      <w:bookmarkStart w:id="554" w:name="_Toc98770223"/>
      <w:r>
        <w:rPr>
          <w:rStyle w:val="CharSectno"/>
        </w:rPr>
        <w:t>99C</w:t>
      </w:r>
      <w:r>
        <w:t>.</w:t>
      </w:r>
      <w:r>
        <w:tab/>
        <w:t>Staff for Department</w:t>
      </w:r>
      <w:bookmarkEnd w:id="554"/>
    </w:p>
    <w:p>
      <w:pPr>
        <w:pStyle w:val="Subsection"/>
      </w:pPr>
      <w:r>
        <w:tab/>
        <w:t>(1)</w:t>
      </w:r>
      <w:r>
        <w:tab/>
        <w:t>In this section —</w:t>
      </w:r>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tab/>
        <w:t>(c)</w:t>
      </w:r>
      <w:r>
        <w:tab/>
        <w:t>otherwise for the purposes of this Act.</w:t>
      </w:r>
    </w:p>
    <w:p>
      <w:pPr>
        <w:pStyle w:val="Footnotesection"/>
      </w:pPr>
      <w:r>
        <w:tab/>
        <w:t>[Section 99C inserted: No. 53 of 2011 s. 46.]</w:t>
      </w:r>
    </w:p>
    <w:p>
      <w:pPr>
        <w:pStyle w:val="Heading5"/>
        <w:pageBreakBefore/>
        <w:spacing w:before="0"/>
      </w:pPr>
      <w:bookmarkStart w:id="555" w:name="_Toc98770224"/>
      <w:r>
        <w:rPr>
          <w:rStyle w:val="CharSectno"/>
        </w:rPr>
        <w:lastRenderedPageBreak/>
        <w:t>99D</w:t>
      </w:r>
      <w:r>
        <w:t>.</w:t>
      </w:r>
      <w:r>
        <w:tab/>
        <w:t>Designation of officers, generally</w:t>
      </w:r>
      <w:bookmarkEnd w:id="555"/>
    </w:p>
    <w:p>
      <w:pPr>
        <w:pStyle w:val="Subsection"/>
        <w:keepNext/>
      </w:pPr>
      <w:r>
        <w:tab/>
        <w:t>(1)</w:t>
      </w:r>
      <w:r>
        <w:tab/>
        <w:t>This section applies to the following —</w:t>
      </w:r>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CEO, as the case may be, may, in writing, delegate the power to make a designation to another person.</w:t>
      </w:r>
    </w:p>
    <w:p>
      <w:pPr>
        <w:pStyle w:val="Footnotesection"/>
      </w:pPr>
      <w:r>
        <w:tab/>
        <w:t>[Section 99D inserted: No. 53 of 2011 s. 46; amended: No. 39 of 2018 s. 60.]</w:t>
      </w:r>
    </w:p>
    <w:p>
      <w:pPr>
        <w:pStyle w:val="Heading5"/>
        <w:rPr>
          <w:snapToGrid w:val="0"/>
        </w:rPr>
      </w:pPr>
      <w:bookmarkStart w:id="556" w:name="_Toc98770225"/>
      <w:r>
        <w:rPr>
          <w:rStyle w:val="CharSectno"/>
        </w:rPr>
        <w:t>99</w:t>
      </w:r>
      <w:r>
        <w:rPr>
          <w:snapToGrid w:val="0"/>
        </w:rPr>
        <w:t>.</w:t>
      </w:r>
      <w:r>
        <w:rPr>
          <w:snapToGrid w:val="0"/>
        </w:rPr>
        <w:tab/>
        <w:t>Wage rates in awards not affected by repeal of basic wage provisions</w:t>
      </w:r>
      <w:bookmarkEnd w:id="556"/>
    </w:p>
    <w:p>
      <w:pPr>
        <w:pStyle w:val="Subsection"/>
        <w:rPr>
          <w:snapToGrid w:val="0"/>
        </w:rPr>
      </w:pPr>
      <w:r>
        <w:rPr>
          <w:snapToGrid w:val="0"/>
        </w:rPr>
        <w:tab/>
      </w:r>
      <w:r>
        <w:rPr>
          <w:snapToGrid w:val="0"/>
        </w:rPr>
        <w:tab/>
        <w:t xml:space="preserve">The repeal effected by this Act shall not affect the operation under this Act of any award or industrial agreement in force under the repealed Act immediately prior to the commencement of this Act in so far as the wage rates prescribed in any such </w:t>
      </w:r>
      <w:r>
        <w:rPr>
          <w:snapToGrid w:val="0"/>
        </w:rPr>
        <w:lastRenderedPageBreak/>
        <w:t>award or industrial agreement included as a constituent a basic wage determined and declared under the repealed Act.</w:t>
      </w:r>
    </w:p>
    <w:p>
      <w:pPr>
        <w:pStyle w:val="Ednotesection"/>
      </w:pPr>
      <w:r>
        <w:t>[</w:t>
      </w:r>
      <w:r>
        <w:rPr>
          <w:b/>
        </w:rPr>
        <w:t>100.</w:t>
      </w:r>
      <w:r>
        <w:tab/>
        <w:t>Deleted: No. 121 of 1982 s. 33.]</w:t>
      </w:r>
    </w:p>
    <w:p>
      <w:pPr>
        <w:pStyle w:val="Ednotesection"/>
      </w:pPr>
      <w:r>
        <w:t>[</w:t>
      </w:r>
      <w:r>
        <w:rPr>
          <w:b/>
        </w:rPr>
        <w:t>101.</w:t>
      </w:r>
      <w:r>
        <w:tab/>
        <w:t>Deleted: No. 94 of 1984 s. 59.]</w:t>
      </w:r>
    </w:p>
    <w:p>
      <w:pPr>
        <w:pStyle w:val="Heading5"/>
        <w:rPr>
          <w:snapToGrid w:val="0"/>
        </w:rPr>
      </w:pPr>
      <w:bookmarkStart w:id="557" w:name="_Toc98770226"/>
      <w:r>
        <w:rPr>
          <w:rStyle w:val="CharSectno"/>
        </w:rPr>
        <w:t>102</w:t>
      </w:r>
      <w:r>
        <w:rPr>
          <w:snapToGrid w:val="0"/>
        </w:rPr>
        <w:t>.</w:t>
      </w:r>
      <w:r>
        <w:rPr>
          <w:snapToGrid w:val="0"/>
        </w:rPr>
        <w:tab/>
        <w:t>Obstruction etc. prohibited</w:t>
      </w:r>
      <w:bookmarkEnd w:id="55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being lawfully required to do so fail to produce or exhibit, or allow to be examined, a record; or</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 or</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102 amended: No. 121 of 1982 s. 34; No. 94 of 1984 s. 65; No. 1 of 1995 s. 53; No. 20 of 2002 s. 148 and 159.]</w:t>
      </w:r>
    </w:p>
    <w:p>
      <w:pPr>
        <w:pStyle w:val="Heading5"/>
        <w:pageBreakBefore/>
        <w:spacing w:before="0"/>
        <w:rPr>
          <w:snapToGrid w:val="0"/>
        </w:rPr>
      </w:pPr>
      <w:bookmarkStart w:id="558" w:name="_Toc98770227"/>
      <w:r>
        <w:rPr>
          <w:rStyle w:val="CharSectno"/>
        </w:rPr>
        <w:lastRenderedPageBreak/>
        <w:t>102A</w:t>
      </w:r>
      <w:r>
        <w:rPr>
          <w:snapToGrid w:val="0"/>
        </w:rPr>
        <w:t>.</w:t>
      </w:r>
      <w:r>
        <w:rPr>
          <w:snapToGrid w:val="0"/>
        </w:rPr>
        <w:tab/>
        <w:t>Institution of certain proceedings, powers of Registrar etc. for</w:t>
      </w:r>
      <w:bookmarkEnd w:id="558"/>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[Section 102A inserted: No. 94 of 1984 s. 60; amended: No. 79 of 1995 s. 8(2) and 39; No. 20 of 2002 s. 160(5) and (6).]</w:t>
      </w:r>
    </w:p>
    <w:p>
      <w:pPr>
        <w:pStyle w:val="Heading5"/>
        <w:keepLines w:val="0"/>
        <w:rPr>
          <w:snapToGrid w:val="0"/>
        </w:rPr>
      </w:pPr>
      <w:bookmarkStart w:id="559" w:name="_Toc98770228"/>
      <w:r>
        <w:rPr>
          <w:rStyle w:val="CharSectno"/>
        </w:rPr>
        <w:t>103</w:t>
      </w:r>
      <w:r>
        <w:rPr>
          <w:snapToGrid w:val="0"/>
        </w:rPr>
        <w:t>.</w:t>
      </w:r>
      <w:r>
        <w:rPr>
          <w:snapToGrid w:val="0"/>
        </w:rPr>
        <w:tab/>
        <w:t>Certain applications may relate to more than one breach</w:t>
      </w:r>
      <w:bookmarkEnd w:id="559"/>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 xml:space="preserve">employee agreement, direction, order or declaration, </w:t>
      </w:r>
      <w:r>
        <w:lastRenderedPageBreak/>
        <w:t>but does not include a contravention or failure to comply that constitutes an offence against this Act.</w:t>
      </w:r>
    </w:p>
    <w:p>
      <w:pPr>
        <w:pStyle w:val="Footnotesection"/>
      </w:pPr>
      <w:r>
        <w:tab/>
        <w:t>[Section 103 inserted: No. 94 of 1984 s. 60; amended: No. 44 of 1991 s. 8; No. 79 of 1995 s. 8(2); No. 20 of 2002 s. 15 and 160(7).]</w:t>
      </w:r>
    </w:p>
    <w:p>
      <w:pPr>
        <w:pStyle w:val="Heading5"/>
        <w:rPr>
          <w:snapToGrid w:val="0"/>
        </w:rPr>
      </w:pPr>
      <w:bookmarkStart w:id="560" w:name="_Toc98770229"/>
      <w:r>
        <w:rPr>
          <w:rStyle w:val="CharSectno"/>
        </w:rPr>
        <w:t>104</w:t>
      </w:r>
      <w:r>
        <w:rPr>
          <w:snapToGrid w:val="0"/>
        </w:rPr>
        <w:t>.</w:t>
      </w:r>
      <w:r>
        <w:rPr>
          <w:snapToGrid w:val="0"/>
        </w:rPr>
        <w:tab/>
        <w:t>Prosecutions</w:t>
      </w:r>
      <w:bookmarkEnd w:id="560"/>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[Section 104 inserted: No. 79 of 1995 s. 40; amended: No. 84 of 2004 s. 80.]</w:t>
      </w:r>
    </w:p>
    <w:p>
      <w:pPr>
        <w:pStyle w:val="Heading5"/>
        <w:rPr>
          <w:snapToGrid w:val="0"/>
        </w:rPr>
      </w:pPr>
      <w:bookmarkStart w:id="561" w:name="_Toc98770230"/>
      <w:r>
        <w:rPr>
          <w:rStyle w:val="CharSectno"/>
        </w:rPr>
        <w:t>105</w:t>
      </w:r>
      <w:r>
        <w:rPr>
          <w:snapToGrid w:val="0"/>
        </w:rPr>
        <w:t>.</w:t>
      </w:r>
      <w:r>
        <w:rPr>
          <w:snapToGrid w:val="0"/>
        </w:rPr>
        <w:tab/>
        <w:t>Awards etc., evidence of</w:t>
      </w:r>
      <w:bookmarkEnd w:id="561"/>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w:t>
      </w:r>
      <w:r>
        <w:rPr>
          <w:snapToGrid w:val="0"/>
        </w:rPr>
        <w:lastRenderedPageBreak/>
        <w:t>award, industrial agreement, order, notification, notice, or matter and of any of the matters stated therein.</w:t>
      </w:r>
    </w:p>
    <w:p>
      <w:pPr>
        <w:pStyle w:val="Footnotesection"/>
      </w:pPr>
      <w:r>
        <w:tab/>
        <w:t>[Section 105 amended: No. 94 of 1984 s. 66.]</w:t>
      </w:r>
    </w:p>
    <w:p>
      <w:pPr>
        <w:pStyle w:val="Heading5"/>
        <w:rPr>
          <w:snapToGrid w:val="0"/>
        </w:rPr>
      </w:pPr>
      <w:bookmarkStart w:id="562" w:name="_Toc98770231"/>
      <w:r>
        <w:rPr>
          <w:rStyle w:val="CharSectno"/>
        </w:rPr>
        <w:t>106</w:t>
      </w:r>
      <w:r>
        <w:rPr>
          <w:snapToGrid w:val="0"/>
        </w:rPr>
        <w:t>.</w:t>
      </w:r>
      <w:r>
        <w:rPr>
          <w:snapToGrid w:val="0"/>
        </w:rPr>
        <w:tab/>
        <w:t>Official signatures and appointments, judicial notice of</w:t>
      </w:r>
      <w:bookmarkEnd w:id="562"/>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w:t>
      </w:r>
    </w:p>
    <w:p>
      <w:pPr>
        <w:pStyle w:val="Indenta"/>
        <w:rPr>
          <w:snapToGrid w:val="0"/>
        </w:rPr>
      </w:pPr>
      <w:r>
        <w:rPr>
          <w:snapToGrid w:val="0"/>
        </w:rPr>
        <w:tab/>
        <w:t>(a)</w:t>
      </w:r>
      <w:r>
        <w:rPr>
          <w:snapToGrid w:val="0"/>
        </w:rPr>
        <w:tab/>
        <w:t>the official signature of any person holding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[Section 106 amended: No. 121 of 1982 s. 36; No. 94 of 1984 s. 66; No. 44 of 1991 s. 8; No. 39 of 2018 s. 61.]</w:t>
      </w:r>
    </w:p>
    <w:p>
      <w:pPr>
        <w:pStyle w:val="Heading5"/>
        <w:rPr>
          <w:snapToGrid w:val="0"/>
        </w:rPr>
      </w:pPr>
      <w:bookmarkStart w:id="563" w:name="_Toc98770232"/>
      <w:r>
        <w:rPr>
          <w:rStyle w:val="CharSectno"/>
        </w:rPr>
        <w:t>107</w:t>
      </w:r>
      <w:r>
        <w:rPr>
          <w:snapToGrid w:val="0"/>
        </w:rPr>
        <w:t xml:space="preserve">. </w:t>
      </w:r>
      <w:r>
        <w:rPr>
          <w:snapToGrid w:val="0"/>
        </w:rPr>
        <w:tab/>
        <w:t>No costs to be awarded against Registrar, deputy registrar or industrial inspector</w:t>
      </w:r>
      <w:bookmarkEnd w:id="563"/>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[Section 107 amended: No. 94 of 1984 s. 66.]</w:t>
      </w:r>
    </w:p>
    <w:p>
      <w:pPr>
        <w:pStyle w:val="Heading5"/>
        <w:rPr>
          <w:snapToGrid w:val="0"/>
        </w:rPr>
      </w:pPr>
      <w:bookmarkStart w:id="564" w:name="_Toc98770233"/>
      <w:r>
        <w:rPr>
          <w:rStyle w:val="CharSectno"/>
        </w:rPr>
        <w:t>108</w:t>
      </w:r>
      <w:r>
        <w:rPr>
          <w:snapToGrid w:val="0"/>
        </w:rPr>
        <w:t xml:space="preserve">. </w:t>
      </w:r>
      <w:r>
        <w:rPr>
          <w:snapToGrid w:val="0"/>
        </w:rPr>
        <w:tab/>
        <w:t>Organisations and associations not affected by certain Imperial Acts</w:t>
      </w:r>
      <w:bookmarkEnd w:id="564"/>
    </w:p>
    <w:p>
      <w:pPr>
        <w:pStyle w:val="Subsection"/>
        <w:rPr>
          <w:snapToGrid w:val="0"/>
        </w:rPr>
      </w:pPr>
      <w:r>
        <w:rPr>
          <w:snapToGrid w:val="0"/>
        </w:rPr>
        <w:tab/>
      </w:r>
      <w:r>
        <w:rPr>
          <w:snapToGrid w:val="0"/>
        </w:rPr>
        <w:tab/>
        <w:t xml:space="preserve">An organisation or association shall not, on and from the date of its registration, and while so registered, be affected by the </w:t>
      </w:r>
      <w:r>
        <w:rPr>
          <w:snapToGrid w:val="0"/>
        </w:rPr>
        <w:lastRenderedPageBreak/>
        <w:t>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[Section 108 amended: No. 94 of 1984 s. 66.]</w:t>
      </w:r>
    </w:p>
    <w:p>
      <w:pPr>
        <w:pStyle w:val="Heading5"/>
        <w:spacing w:before="120"/>
        <w:rPr>
          <w:snapToGrid w:val="0"/>
        </w:rPr>
      </w:pPr>
      <w:bookmarkStart w:id="565" w:name="_Toc98770234"/>
      <w:r>
        <w:rPr>
          <w:rStyle w:val="CharSectno"/>
        </w:rPr>
        <w:t>109</w:t>
      </w:r>
      <w:r>
        <w:rPr>
          <w:snapToGrid w:val="0"/>
        </w:rPr>
        <w:t>.</w:t>
      </w:r>
      <w:r>
        <w:rPr>
          <w:snapToGrid w:val="0"/>
        </w:rPr>
        <w:tab/>
        <w:t>Dues payable to organisation or association may be sued for</w:t>
      </w:r>
      <w:bookmarkEnd w:id="565"/>
    </w:p>
    <w:p>
      <w:pPr>
        <w:pStyle w:val="Subsection"/>
        <w:spacing w:before="120"/>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[Section 109 amended: No. 94 of 1984 s. 66; No. 79 of 1995 s. 41.]</w:t>
      </w:r>
    </w:p>
    <w:p>
      <w:pPr>
        <w:pStyle w:val="Heading5"/>
        <w:spacing w:before="120"/>
        <w:rPr>
          <w:snapToGrid w:val="0"/>
        </w:rPr>
      </w:pPr>
      <w:bookmarkStart w:id="566" w:name="_Toc98770235"/>
      <w:r>
        <w:rPr>
          <w:rStyle w:val="CharSectno"/>
        </w:rPr>
        <w:t>110</w:t>
      </w:r>
      <w:r>
        <w:rPr>
          <w:snapToGrid w:val="0"/>
        </w:rPr>
        <w:t>.</w:t>
      </w:r>
      <w:r>
        <w:rPr>
          <w:snapToGrid w:val="0"/>
        </w:rPr>
        <w:tab/>
        <w:t>Disputes between organisation or association and its members, how to be determined</w:t>
      </w:r>
      <w:bookmarkEnd w:id="566"/>
    </w:p>
    <w:p>
      <w:pPr>
        <w:pStyle w:val="Subsection"/>
        <w:spacing w:before="120"/>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[Section 110 amended: No. 94 of 1984 s. 66; No. 44 of 1991 s. 8.]</w:t>
      </w:r>
    </w:p>
    <w:p>
      <w:pPr>
        <w:pStyle w:val="Heading5"/>
        <w:pageBreakBefore/>
        <w:spacing w:before="0"/>
        <w:rPr>
          <w:snapToGrid w:val="0"/>
        </w:rPr>
      </w:pPr>
      <w:bookmarkStart w:id="567" w:name="_Toc98770236"/>
      <w:r>
        <w:rPr>
          <w:rStyle w:val="CharSectno"/>
        </w:rPr>
        <w:lastRenderedPageBreak/>
        <w:t>111</w:t>
      </w:r>
      <w:r>
        <w:rPr>
          <w:snapToGrid w:val="0"/>
        </w:rPr>
        <w:t>.</w:t>
      </w:r>
      <w:r>
        <w:rPr>
          <w:snapToGrid w:val="0"/>
        </w:rPr>
        <w:tab/>
        <w:t>No premiums etc. to be taken for employment</w:t>
      </w:r>
      <w:bookmarkEnd w:id="567"/>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111 amended: No. 94 of 1984 s. 65 and 66; No. 1 of 1995 s. 53; No. 79 of 1995 s. 27.]</w:t>
      </w:r>
    </w:p>
    <w:p>
      <w:pPr>
        <w:pStyle w:val="Heading5"/>
        <w:rPr>
          <w:snapToGrid w:val="0"/>
        </w:rPr>
      </w:pPr>
      <w:bookmarkStart w:id="568" w:name="_Toc98770237"/>
      <w:r>
        <w:rPr>
          <w:rStyle w:val="CharSectno"/>
        </w:rPr>
        <w:t>112</w:t>
      </w:r>
      <w:r>
        <w:rPr>
          <w:snapToGrid w:val="0"/>
        </w:rPr>
        <w:t>.</w:t>
      </w:r>
      <w:r>
        <w:rPr>
          <w:snapToGrid w:val="0"/>
        </w:rPr>
        <w:tab/>
        <w:t>Certain rules of organisation as to penalties invalid</w:t>
      </w:r>
      <w:bookmarkEnd w:id="568"/>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lastRenderedPageBreak/>
        <w:tab/>
        <w:t>(3)</w:t>
      </w:r>
      <w:r>
        <w:rPr>
          <w:snapToGrid w:val="0"/>
        </w:rPr>
        <w:tab/>
        <w:t>Where any money is received in contravention of subsection (2)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112 amended: No. 94 of 1984 s. 65 and 66; No. 1 of 1995 s. 53; No. 79 of 1995 s. 28.]</w:t>
      </w:r>
    </w:p>
    <w:p>
      <w:pPr>
        <w:pStyle w:val="Heading5"/>
      </w:pPr>
      <w:bookmarkStart w:id="569" w:name="_Toc98770238"/>
      <w:r>
        <w:rPr>
          <w:rStyle w:val="CharSectno"/>
        </w:rPr>
        <w:t>112A</w:t>
      </w:r>
      <w:r>
        <w:t>.</w:t>
      </w:r>
      <w:r>
        <w:tab/>
        <w:t>Industrial agents, registration of</w:t>
      </w:r>
      <w:bookmarkEnd w:id="569"/>
    </w:p>
    <w:p>
      <w:pPr>
        <w:pStyle w:val="Subsection"/>
      </w:pPr>
      <w:r>
        <w:tab/>
        <w:t>(1)</w:t>
      </w:r>
      <w:r>
        <w:tab/>
        <w:t>In this section a reference to carrying on business as an industrial agent is a reference to carrying on business as a person who does either or both of the following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Despite subsection (1), a reference to carrying on business as an industrial agent does not include —</w:t>
      </w:r>
    </w:p>
    <w:p>
      <w:pPr>
        <w:pStyle w:val="Indenta"/>
      </w:pPr>
      <w:r>
        <w:tab/>
        <w:t>(a)</w:t>
      </w:r>
      <w:r>
        <w:tab/>
        <w:t>carrying on business by an organisation, UnionsWA, the Chamber or the Mines and Metals Association; or</w:t>
      </w:r>
    </w:p>
    <w:p>
      <w:pPr>
        <w:pStyle w:val="Indenta"/>
      </w:pPr>
      <w:r>
        <w:tab/>
        <w:t>(b)</w:t>
      </w:r>
      <w:r>
        <w:tab/>
        <w:t>carrying on business as a person who acts as a bargaining agent within the meaning of section 42B(4); or</w:t>
      </w:r>
    </w:p>
    <w:p>
      <w:pPr>
        <w:pStyle w:val="Indenta"/>
      </w:pPr>
      <w:r>
        <w:tab/>
        <w:t>(c)</w:t>
      </w:r>
      <w:r>
        <w:tab/>
        <w:t>carrying on business as a person who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lastRenderedPageBreak/>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a person who is —</w:t>
      </w:r>
    </w:p>
    <w:p>
      <w:pPr>
        <w:pStyle w:val="Indenta"/>
      </w:pPr>
      <w:r>
        <w:tab/>
        <w:t>(a)</w:t>
      </w:r>
      <w:r>
        <w:tab/>
        <w:t>registered under this section; or</w:t>
      </w:r>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is authorised to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keepNext/>
      </w:pPr>
      <w:r>
        <w:tab/>
        <w:t>(5)</w:t>
      </w:r>
      <w:r>
        <w:tab/>
        <w:t>Regulations made by the Governor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a code of conduct for persons registered under this section; and</w:t>
      </w:r>
    </w:p>
    <w:p>
      <w:pPr>
        <w:pStyle w:val="Indenta"/>
      </w:pPr>
      <w:r>
        <w:lastRenderedPageBreak/>
        <w:tab/>
        <w:t>(c)</w:t>
      </w:r>
      <w:r>
        <w:tab/>
        <w:t>prescribe the circumstances in which, and the procedures by which, a person may be disqualified from obtaining registration, or registration may be cancelled; and</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No. 79 of 1995 s. 16; amended: No. 20 of 2002 s. 136; No. 65 of 2003 s. 41(3); No. 21 of 2008 s. 668(5); No. 53 of 2011 s. 48.]</w:t>
      </w:r>
    </w:p>
    <w:p>
      <w:pPr>
        <w:pStyle w:val="Heading5"/>
        <w:rPr>
          <w:snapToGrid w:val="0"/>
        </w:rPr>
      </w:pPr>
      <w:bookmarkStart w:id="570" w:name="_Toc98770239"/>
      <w:r>
        <w:rPr>
          <w:rStyle w:val="CharSectno"/>
        </w:rPr>
        <w:t>113</w:t>
      </w:r>
      <w:r>
        <w:rPr>
          <w:snapToGrid w:val="0"/>
        </w:rPr>
        <w:t>.</w:t>
      </w:r>
      <w:r>
        <w:rPr>
          <w:snapToGrid w:val="0"/>
        </w:rPr>
        <w:tab/>
        <w:t>Regulations</w:t>
      </w:r>
      <w:bookmarkEnd w:id="570"/>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 xml:space="preserve">and the Chief Commissioner, after consultation with the other commissioners, </w:t>
      </w:r>
      <w:r>
        <w:rPr>
          <w:snapToGrid w:val="0"/>
        </w:rPr>
        <w:t>with respect to any of those purposes that relate to the Commission may make regulations —</w:t>
      </w:r>
    </w:p>
    <w:p>
      <w:pPr>
        <w:pStyle w:val="Indenta"/>
        <w:spacing w:before="90"/>
        <w:rPr>
          <w:snapToGrid w:val="0"/>
        </w:rPr>
      </w:pPr>
      <w:r>
        <w:rPr>
          <w:snapToGrid w:val="0"/>
        </w:rPr>
        <w:tab/>
        <w:t>(a)</w:t>
      </w:r>
      <w:r>
        <w:rPr>
          <w:snapToGrid w:val="0"/>
        </w:rPr>
        <w:tab/>
        <w:t xml:space="preserve">prescribing </w:t>
      </w:r>
      <w:r>
        <w:t>or providing for the approval of</w:t>
      </w:r>
      <w:r>
        <w:rPr>
          <w:snapToGrid w:val="0"/>
        </w:rPr>
        <w:t xml:space="preserve"> the forms of certificates, notices, returns, or other instruments or documents to be used for the purposes of this Act; and</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pPr>
        <w:pStyle w:val="Indenta"/>
        <w:spacing w:before="90"/>
      </w:pPr>
      <w:r>
        <w:tab/>
        <w:t>(ba)</w:t>
      </w:r>
      <w:r>
        <w:tab/>
        <w:t>prescribing the practice and procedure to be followed in the mediation of a claim of harsh, oppressive or unfair dismissal, and other matters related to that mediation; and</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w:t>
      </w:r>
    </w:p>
    <w:p>
      <w:pPr>
        <w:pStyle w:val="Indenti"/>
        <w:spacing w:before="90"/>
        <w:rPr>
          <w:snapToGrid w:val="0"/>
        </w:rPr>
      </w:pPr>
      <w:r>
        <w:rPr>
          <w:snapToGrid w:val="0"/>
        </w:rPr>
        <w:tab/>
        <w:t>(i)</w:t>
      </w:r>
      <w:r>
        <w:rPr>
          <w:snapToGrid w:val="0"/>
        </w:rPr>
        <w:tab/>
        <w:t>the times and places for the sitting of the Court and the Commission; and</w:t>
      </w:r>
    </w:p>
    <w:p>
      <w:pPr>
        <w:pStyle w:val="Indenti"/>
        <w:spacing w:before="90"/>
        <w:rPr>
          <w:snapToGrid w:val="0"/>
        </w:rPr>
      </w:pPr>
      <w:r>
        <w:rPr>
          <w:snapToGrid w:val="0"/>
        </w:rPr>
        <w:tab/>
        <w:t>(ii)</w:t>
      </w:r>
      <w:r>
        <w:rPr>
          <w:snapToGrid w:val="0"/>
        </w:rPr>
        <w:tab/>
        <w:t>the summoning of parties and of witnesses; and</w:t>
      </w:r>
    </w:p>
    <w:p>
      <w:pPr>
        <w:pStyle w:val="Indenti"/>
        <w:spacing w:before="90"/>
        <w:rPr>
          <w:snapToGrid w:val="0"/>
        </w:rPr>
      </w:pPr>
      <w:r>
        <w:rPr>
          <w:snapToGrid w:val="0"/>
        </w:rPr>
        <w:lastRenderedPageBreak/>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r>
      <w:r>
        <w:tab/>
        <w:t>and</w:t>
      </w:r>
    </w:p>
    <w:p>
      <w:pPr>
        <w:pStyle w:val="Indenta"/>
        <w:spacing w:before="90"/>
      </w:pPr>
      <w:r>
        <w:tab/>
        <w:t>(d)</w:t>
      </w:r>
      <w:r>
        <w:tab/>
        <w:t>without limiting paragraph (c), regulating the practice and procedure to be followed in relation to —</w:t>
      </w:r>
    </w:p>
    <w:p>
      <w:pPr>
        <w:pStyle w:val="Indenti"/>
        <w:spacing w:before="90"/>
      </w:pPr>
      <w:r>
        <w:tab/>
        <w:t>(i)</w:t>
      </w:r>
      <w:r>
        <w:tab/>
        <w:t xml:space="preserve">appeals under section 33P or 33ZI of the </w:t>
      </w:r>
      <w:r>
        <w:rPr>
          <w:i/>
        </w:rPr>
        <w:t>Police Act 1892</w:t>
      </w:r>
      <w:r>
        <w:t>; and</w:t>
      </w:r>
    </w:p>
    <w:p>
      <w:pPr>
        <w:pStyle w:val="Indenti"/>
      </w:pPr>
      <w:r>
        <w:tab/>
        <w:t>(ia)</w:t>
      </w:r>
      <w:r>
        <w:tab/>
        <w:t xml:space="preserve">disputes under the </w:t>
      </w:r>
      <w:r>
        <w:rPr>
          <w:i/>
        </w:rPr>
        <w:t xml:space="preserve">Police Act 1892 </w:t>
      </w:r>
      <w:r>
        <w:t>Part 2D Division 3; and</w:t>
      </w:r>
    </w:p>
    <w:p>
      <w:pPr>
        <w:pStyle w:val="Indenti"/>
        <w:keepNext/>
      </w:pPr>
      <w:r>
        <w:tab/>
        <w:t>(ii)</w:t>
      </w:r>
      <w:r>
        <w:tab/>
        <w:t>the referral, bringing, hearing and determination of matters, claims and appeals under —</w:t>
      </w:r>
    </w:p>
    <w:p>
      <w:pPr>
        <w:pStyle w:val="IndentI0"/>
      </w:pPr>
      <w:r>
        <w:tab/>
        <w:t>(I)</w:t>
      </w:r>
      <w:r>
        <w:tab/>
        <w:t xml:space="preserve">the </w:t>
      </w:r>
      <w:r>
        <w:rPr>
          <w:i/>
        </w:rPr>
        <w:t>Work Health and Safety Act 2020</w:t>
      </w:r>
      <w:r>
        <w:t>; and</w:t>
      </w:r>
    </w:p>
    <w:p>
      <w:pPr>
        <w:pStyle w:val="IndentI0"/>
      </w:pPr>
      <w:r>
        <w:tab/>
        <w:t>(II)</w:t>
      </w:r>
      <w:r>
        <w:tab/>
        <w:t xml:space="preserve">the </w:t>
      </w:r>
      <w:r>
        <w:rPr>
          <w:i/>
        </w:rPr>
        <w:t>Owner</w:t>
      </w:r>
      <w:r>
        <w:rPr>
          <w:i/>
        </w:rPr>
        <w:noBreakHyphen/>
        <w:t>Drivers (Contracts and Disputes) Act 2007</w:t>
      </w:r>
      <w:r>
        <w:t>;</w:t>
      </w:r>
    </w:p>
    <w:p>
      <w:pPr>
        <w:pStyle w:val="Ednotesubpara"/>
      </w:pPr>
      <w:r>
        <w:rPr>
          <w:snapToGrid w:val="0"/>
        </w:rPr>
        <w:tab/>
      </w:r>
      <w:r>
        <w:tab/>
        <w:t>[(IIIA)-(V))</w:t>
      </w:r>
      <w:r>
        <w:tab/>
        <w:t>deleted]</w:t>
      </w:r>
    </w:p>
    <w:p>
      <w:pPr>
        <w:pStyle w:val="Indenta"/>
        <w:rPr>
          <w:snapToGrid w:val="0"/>
        </w:rPr>
      </w:pPr>
      <w:r>
        <w:rPr>
          <w:snapToGrid w:val="0"/>
        </w:rPr>
        <w:tab/>
      </w:r>
      <w:r>
        <w:rPr>
          <w:snapToGrid w:val="0"/>
        </w:rPr>
        <w:tab/>
        <w:t>and</w:t>
      </w:r>
    </w:p>
    <w:p>
      <w:pPr>
        <w:pStyle w:val="Indenta"/>
      </w:pPr>
      <w:r>
        <w:tab/>
        <w:t>(daa)</w:t>
      </w:r>
      <w:r>
        <w:tab/>
      </w:r>
      <w:r>
        <w:rPr>
          <w:szCs w:val="24"/>
        </w:rPr>
        <w:t xml:space="preserve">prescribing matters that, under the </w:t>
      </w:r>
      <w:r>
        <w:rPr>
          <w:i/>
        </w:rPr>
        <w:t xml:space="preserve">Police Act 1892 </w:t>
      </w:r>
      <w:r>
        <w:t>section 33ZZJ</w:t>
      </w:r>
      <w:r>
        <w:rPr>
          <w:szCs w:val="24"/>
        </w:rPr>
        <w:t>, are required or permitted to be prescribed under this Act; and</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 and</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 xml:space="preserve">providing for any matters which by this Act are required or permitted to be prescribed or which it may be </w:t>
      </w:r>
      <w:r>
        <w:rPr>
          <w:snapToGrid w:val="0"/>
        </w:rPr>
        <w:lastRenderedPageBreak/>
        <w:t>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 xml:space="preserve">Regulations made by the Commission shall, as far as practicable, prescribe </w:t>
      </w:r>
      <w:r>
        <w:t>or provide for the approval of</w:t>
      </w:r>
      <w:r>
        <w:rPr>
          <w:snapToGrid w:val="0"/>
        </w:rPr>
        <w:t xml:space="preserv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keepLines w:val="0"/>
        <w:spacing w:before="100"/>
        <w:ind w:left="890" w:hanging="890"/>
      </w:pPr>
      <w:r>
        <w:tab/>
        <w:t xml:space="preserve">[Section 113 amended: No. 121 of 1982 s. 37; No. 92 of 1984 s. 5; No. 94 of 1984 s. 61, 65 and 66; No. 44 of 1991 s. 8; No. 92 of 1994 s. 14; No. 1 of 1995 s. 13, 32 and 53; No. 3 of 1997 s. 38; No. 20 of 2002 s. 162; No. 7 of 2003 s. 10(2); No. 51 of 2004 s. 70(4); No. 68 of 2004 s. 87(4); No. 13 of 2005 </w:t>
      </w:r>
      <w:r>
        <w:lastRenderedPageBreak/>
        <w:t>s. 49(4)(b); No. 7 of 2007 s. 58; No. 35 of 2007 s. 97(4); No. 5 of 2008 s. 64; No. 53 of 2011 s. 47; No. 39 of 2018 s. 62; No. 19 of 2019 s. 9; No. 36 of 2020 s. 362; No. 26 of 2021 s. 6.]</w:t>
      </w:r>
    </w:p>
    <w:p>
      <w:pPr>
        <w:pStyle w:val="Heading5"/>
        <w:rPr>
          <w:snapToGrid w:val="0"/>
        </w:rPr>
      </w:pPr>
      <w:bookmarkStart w:id="571" w:name="_Toc98770240"/>
      <w:r>
        <w:rPr>
          <w:rStyle w:val="CharSectno"/>
        </w:rPr>
        <w:t>114</w:t>
      </w:r>
      <w:r>
        <w:rPr>
          <w:snapToGrid w:val="0"/>
        </w:rPr>
        <w:t>.</w:t>
      </w:r>
      <w:r>
        <w:rPr>
          <w:snapToGrid w:val="0"/>
        </w:rPr>
        <w:tab/>
        <w:t>Contracting out from awards etc. prohibited</w:t>
      </w:r>
      <w:bookmarkEnd w:id="571"/>
    </w:p>
    <w:p>
      <w:pPr>
        <w:pStyle w:val="Subsection"/>
        <w:spacing w:before="140"/>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spacing w:before="140"/>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spacing w:before="100"/>
        <w:ind w:left="890" w:hanging="890"/>
      </w:pPr>
      <w:r>
        <w:tab/>
        <w:t>[Section 114 amended: No. 94 of 1984 s. 62; No. 119 of 1987 s. 24; No. 15 of 1993 s. 29; amended: Gazette 15 Aug 2003 p. 3686.]</w:t>
      </w:r>
    </w:p>
    <w:p>
      <w:pPr>
        <w:pStyle w:val="Heading5"/>
      </w:pPr>
      <w:bookmarkStart w:id="572" w:name="_Toc98770241"/>
      <w:r>
        <w:rPr>
          <w:rStyle w:val="CharSectno"/>
        </w:rPr>
        <w:t>115</w:t>
      </w:r>
      <w:r>
        <w:t>.</w:t>
      </w:r>
      <w:r>
        <w:tab/>
        <w:t>Police officers, application of Act to (Sch. 3)</w:t>
      </w:r>
      <w:bookmarkEnd w:id="572"/>
    </w:p>
    <w:p>
      <w:pPr>
        <w:pStyle w:val="Subsection"/>
      </w:pPr>
      <w:r>
        <w:tab/>
      </w:r>
      <w:r>
        <w:tab/>
        <w:t>Schedule 3 has effect.</w:t>
      </w:r>
    </w:p>
    <w:p>
      <w:pPr>
        <w:pStyle w:val="Footnotesection"/>
      </w:pPr>
      <w:r>
        <w:tab/>
        <w:t>[Section 115 inserted: No. 58 of 2000 s. 4.]</w:t>
      </w:r>
    </w:p>
    <w:p>
      <w:pPr>
        <w:pStyle w:val="Heading5"/>
        <w:spacing w:before="260"/>
      </w:pPr>
      <w:bookmarkStart w:id="573" w:name="_Toc98770242"/>
      <w:r>
        <w:rPr>
          <w:rStyle w:val="CharSectno"/>
        </w:rPr>
        <w:lastRenderedPageBreak/>
        <w:t>116</w:t>
      </w:r>
      <w:r>
        <w:t>.</w:t>
      </w:r>
      <w:r>
        <w:tab/>
        <w:t xml:space="preserve">Transitional provisions for </w:t>
      </w:r>
      <w:r>
        <w:rPr>
          <w:i/>
        </w:rPr>
        <w:t>Industrial Relations Amendment Act 2018</w:t>
      </w:r>
      <w:bookmarkEnd w:id="573"/>
    </w:p>
    <w:p>
      <w:pPr>
        <w:pStyle w:val="Subsection"/>
      </w:pPr>
      <w:r>
        <w:tab/>
        <w:t>(1)</w:t>
      </w:r>
      <w:r>
        <w:tab/>
        <w:t>Schedule 6 sets out transitional provisions.</w:t>
      </w:r>
    </w:p>
    <w:p>
      <w:pPr>
        <w:pStyle w:val="Subsection"/>
      </w:pPr>
      <w:r>
        <w:tab/>
        <w:t>(2)</w:t>
      </w:r>
      <w:r>
        <w:tab/>
        <w:t xml:space="preserve">Schedule 6 does not affect the operation of the </w:t>
      </w:r>
      <w:r>
        <w:rPr>
          <w:i/>
        </w:rPr>
        <w:t>Interpretation Act 1984</w:t>
      </w:r>
      <w:r>
        <w:t xml:space="preserve"> Part V.</w:t>
      </w:r>
    </w:p>
    <w:p>
      <w:pPr>
        <w:pStyle w:val="Footnotesection"/>
      </w:pPr>
      <w:r>
        <w:tab/>
        <w:t>[Section 116 inserted: No. 39 of 2018 s. 63.]</w:t>
      </w:r>
    </w:p>
    <w:p>
      <w:pPr>
        <w:pStyle w:val="Ednotepart"/>
      </w:pPr>
      <w:r>
        <w:t>[Part VIII deleted: No. 39 of 2018 s. 64.]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74" w:name="_Toc98505326"/>
      <w:bookmarkStart w:id="575" w:name="_Toc98507025"/>
      <w:bookmarkStart w:id="576" w:name="_Toc98508188"/>
      <w:bookmarkStart w:id="577" w:name="_Toc98770243"/>
      <w:r>
        <w:rPr>
          <w:rStyle w:val="CharSchNo"/>
        </w:rPr>
        <w:lastRenderedPageBreak/>
        <w:t>Schedule 1</w:t>
      </w:r>
      <w:r>
        <w:t> — </w:t>
      </w:r>
      <w:r>
        <w:rPr>
          <w:rStyle w:val="CharSchText"/>
        </w:rPr>
        <w:t>Matters to be published in the “</w:t>
      </w:r>
      <w:r>
        <w:rPr>
          <w:rStyle w:val="CharSchText"/>
          <w:i/>
          <w:iCs/>
        </w:rPr>
        <w:t>Western Australian Industrial Gazette</w:t>
      </w:r>
      <w:r>
        <w:rPr>
          <w:rStyle w:val="CharSchText"/>
        </w:rPr>
        <w:t>”</w:t>
      </w:r>
      <w:bookmarkEnd w:id="574"/>
      <w:bookmarkEnd w:id="575"/>
      <w:bookmarkEnd w:id="576"/>
      <w:bookmarkEnd w:id="577"/>
    </w:p>
    <w:p>
      <w:pPr>
        <w:pStyle w:val="yShoulderClause"/>
      </w:pPr>
      <w:r>
        <w:t>[s. 93(3) and 105]</w:t>
      </w:r>
    </w:p>
    <w:p>
      <w:pPr>
        <w:pStyle w:val="yFootnoteheading"/>
      </w:pPr>
      <w:r>
        <w:tab/>
        <w:t>[Heading amended: No. 19 of 2010 s. 4.]</w:t>
      </w:r>
    </w:p>
    <w:p>
      <w:pPr>
        <w:pStyle w:val="yNumberedItem"/>
      </w:pPr>
      <w:r>
        <w:t>1.</w:t>
      </w:r>
      <w:r>
        <w:tab/>
        <w:t>Retirements from industrial agreements.</w:t>
      </w:r>
    </w:p>
    <w:p>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pPr>
        <w:pStyle w:val="yNumberedItemPara"/>
        <w:rPr>
          <w:snapToGrid w:val="0"/>
        </w:rPr>
      </w:pPr>
      <w:r>
        <w:rPr>
          <w:snapToGrid w:val="0"/>
        </w:rPr>
        <w:tab/>
        <w:t>(a)</w:t>
      </w:r>
      <w:r>
        <w:rPr>
          <w:snapToGrid w:val="0"/>
        </w:rPr>
        <w:tab/>
        <w:t>the Court; and</w:t>
      </w:r>
    </w:p>
    <w:p>
      <w:pPr>
        <w:pStyle w:val="yNumberedItemPara"/>
        <w:rPr>
          <w:snapToGrid w:val="0"/>
        </w:rPr>
      </w:pPr>
      <w:r>
        <w:rPr>
          <w:snapToGrid w:val="0"/>
        </w:rPr>
        <w:tab/>
        <w:t>(b)</w:t>
      </w:r>
      <w:r>
        <w:rPr>
          <w:snapToGrid w:val="0"/>
        </w:rPr>
        <w:tab/>
        <w:t>the Full Bench; and</w:t>
      </w:r>
    </w:p>
    <w:p>
      <w:pPr>
        <w:pStyle w:val="yEdnotenumbereditem"/>
        <w:tabs>
          <w:tab w:val="left" w:pos="1022"/>
          <w:tab w:val="left" w:pos="1610"/>
        </w:tabs>
        <w:ind w:left="1624" w:hanging="1624"/>
        <w:rPr>
          <w:snapToGrid w:val="0"/>
        </w:rPr>
      </w:pPr>
      <w:r>
        <w:rPr>
          <w:snapToGrid w:val="0"/>
        </w:rPr>
        <w:tab/>
        <w:t>[(c)</w:t>
      </w:r>
      <w:r>
        <w:rPr>
          <w:snapToGrid w:val="0"/>
        </w:rPr>
        <w:tab/>
        <w:t>deleted]</w:t>
      </w:r>
    </w:p>
    <w:p>
      <w:pPr>
        <w:pStyle w:val="yNumberedItemPara"/>
        <w:rPr>
          <w:snapToGrid w:val="0"/>
        </w:rPr>
      </w:pPr>
      <w:r>
        <w:rPr>
          <w:snapToGrid w:val="0"/>
        </w:rPr>
        <w:tab/>
        <w:t>(d)</w:t>
      </w:r>
      <w:r>
        <w:rPr>
          <w:snapToGrid w:val="0"/>
        </w:rPr>
        <w:tab/>
        <w:t>the Commission; and</w:t>
      </w:r>
    </w:p>
    <w:p>
      <w:pPr>
        <w:pStyle w:val="yNumberedItemPara"/>
        <w:rPr>
          <w:snapToGrid w:val="0"/>
        </w:rPr>
      </w:pPr>
      <w:r>
        <w:rPr>
          <w:snapToGrid w:val="0"/>
        </w:rPr>
        <w:tab/>
        <w:t>(e)</w:t>
      </w:r>
      <w:r>
        <w:rPr>
          <w:snapToGrid w:val="0"/>
        </w:rPr>
        <w:tab/>
        <w:t>industrial magistrates; and</w:t>
      </w:r>
    </w:p>
    <w:p>
      <w:pPr>
        <w:pStyle w:val="yNumberedItemPara"/>
        <w:rPr>
          <w:snapToGrid w:val="0"/>
        </w:rPr>
      </w:pPr>
      <w:r>
        <w:rPr>
          <w:snapToGrid w:val="0"/>
        </w:rPr>
        <w:tab/>
        <w:t>(f)</w:t>
      </w:r>
      <w:r>
        <w:rPr>
          <w:snapToGrid w:val="0"/>
        </w:rPr>
        <w:tab/>
        <w:t>Boards of Reference.</w:t>
      </w:r>
    </w:p>
    <w:p>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pPr>
        <w:pStyle w:val="yNumberedItem"/>
        <w:rPr>
          <w:snapToGrid w:val="0"/>
        </w:rPr>
      </w:pPr>
      <w:r>
        <w:rPr>
          <w:snapToGrid w:val="0"/>
        </w:rPr>
        <w:t>5.</w:t>
      </w:r>
      <w:r>
        <w:rPr>
          <w:snapToGrid w:val="0"/>
        </w:rPr>
        <w:tab/>
        <w:t>Notification of the appointment of any person as chairman or member of a Board of Reference.</w:t>
      </w:r>
    </w:p>
    <w:p>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w:t>
      </w:r>
      <w:r>
        <w:rPr>
          <w:szCs w:val="22"/>
        </w:rPr>
        <w:t>Court</w:t>
      </w:r>
      <w:r>
        <w:rPr>
          <w:snapToGrid w:val="0"/>
        </w:rPr>
        <w:t xml:space="preserve"> or the Chief Commissioner to be published or which the Registrar may consider should be published.</w:t>
      </w:r>
    </w:p>
    <w:p>
      <w:pPr>
        <w:pStyle w:val="yFootnotesection"/>
        <w:tabs>
          <w:tab w:val="clear" w:pos="893"/>
          <w:tab w:val="left" w:pos="567"/>
        </w:tabs>
        <w:ind w:left="567" w:hanging="567"/>
      </w:pPr>
      <w:r>
        <w:tab/>
        <w:t>[Schedule 1 amended: No. 94 of 1984 s. 66; No. 15 of 1993 s. 30; No. 79 of 1995 s. 42; No. 20 of 2002 s. 113(5) and 190(10); No. 39 of 2018 s. 65.]</w:t>
      </w:r>
    </w:p>
    <w:p>
      <w:pPr>
        <w:pStyle w:val="yEdnoteschedule"/>
      </w:pPr>
      <w:r>
        <w:t>[Schedule 2 deleted: No. 20 of 2002 s. 194(7).]</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79" w:name="_Toc98505327"/>
      <w:bookmarkStart w:id="580" w:name="_Toc98507026"/>
      <w:bookmarkStart w:id="581" w:name="_Toc98508189"/>
      <w:bookmarkStart w:id="582" w:name="_Toc98770244"/>
      <w:r>
        <w:rPr>
          <w:rStyle w:val="CharSchNo"/>
        </w:rPr>
        <w:lastRenderedPageBreak/>
        <w:t>Schedule 3</w:t>
      </w:r>
      <w:r>
        <w:t> — </w:t>
      </w:r>
      <w:r>
        <w:rPr>
          <w:rStyle w:val="CharSchText"/>
        </w:rPr>
        <w:t>Police officers</w:t>
      </w:r>
      <w:bookmarkEnd w:id="579"/>
      <w:bookmarkEnd w:id="580"/>
      <w:bookmarkEnd w:id="581"/>
      <w:bookmarkEnd w:id="582"/>
    </w:p>
    <w:p>
      <w:pPr>
        <w:pStyle w:val="yShoulderClause"/>
      </w:pPr>
      <w:r>
        <w:t>[s. 115]</w:t>
      </w:r>
    </w:p>
    <w:p>
      <w:pPr>
        <w:pStyle w:val="yFootnoteheading"/>
      </w:pPr>
      <w:r>
        <w:tab/>
        <w:t>[Heading inserted: No. 58 of 2000 s. 5.]</w:t>
      </w:r>
    </w:p>
    <w:p>
      <w:pPr>
        <w:pStyle w:val="yHeading5"/>
        <w:spacing w:before="160"/>
        <w:outlineLvl w:val="0"/>
      </w:pPr>
      <w:bookmarkStart w:id="583" w:name="_Toc98770245"/>
      <w:r>
        <w:rPr>
          <w:rStyle w:val="CharSClsNo"/>
        </w:rPr>
        <w:t>1</w:t>
      </w:r>
      <w:r>
        <w:t>.</w:t>
      </w:r>
      <w:r>
        <w:tab/>
        <w:t>Term used: Arbitrator</w:t>
      </w:r>
      <w:bookmarkEnd w:id="583"/>
    </w:p>
    <w:p>
      <w:pPr>
        <w:pStyle w:val="ySubsection"/>
        <w:spacing w:before="120"/>
      </w:pPr>
      <w:r>
        <w:tab/>
      </w:r>
      <w:r>
        <w:tab/>
        <w:t>In this Schedule —</w:t>
      </w:r>
    </w:p>
    <w:p>
      <w:pPr>
        <w:pStyle w:val="yDefstart"/>
      </w:pPr>
      <w:r>
        <w:tab/>
      </w:r>
      <w:r>
        <w:rPr>
          <w:rStyle w:val="CharDefText"/>
        </w:rPr>
        <w:t>Arbitrator</w:t>
      </w:r>
      <w:r>
        <w:t xml:space="preserve"> has the same meaning as in section 80C(1).</w:t>
      </w:r>
    </w:p>
    <w:p>
      <w:pPr>
        <w:pStyle w:val="yFootnotesection"/>
        <w:keepLines w:val="0"/>
      </w:pPr>
      <w:r>
        <w:tab/>
        <w:t>[Clause 1 inserted: No. 58 of 2000 s. 5; amended: No. 8 of 2008 s. 13 and 23(3).]</w:t>
      </w:r>
    </w:p>
    <w:p>
      <w:pPr>
        <w:pStyle w:val="yHeading5"/>
        <w:spacing w:before="160"/>
        <w:outlineLvl w:val="0"/>
      </w:pPr>
      <w:bookmarkStart w:id="584" w:name="_Toc98770246"/>
      <w:r>
        <w:rPr>
          <w:rStyle w:val="CharSClsNo"/>
        </w:rPr>
        <w:t>2</w:t>
      </w:r>
      <w:r>
        <w:t>.</w:t>
      </w:r>
      <w:r>
        <w:tab/>
        <w:t>Application of Act to police officer</w:t>
      </w:r>
      <w:bookmarkEnd w:id="584"/>
    </w:p>
    <w:p>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No. 58 of 2000 s. 5; amended: No. 59 of 2006 s. 73; No. 42 of 2009 s. 19.]</w:t>
      </w:r>
    </w:p>
    <w:p>
      <w:pPr>
        <w:pStyle w:val="yHeading5"/>
        <w:outlineLvl w:val="0"/>
      </w:pPr>
      <w:bookmarkStart w:id="585" w:name="_Toc98770247"/>
      <w:r>
        <w:rPr>
          <w:rStyle w:val="CharSClsNo"/>
        </w:rPr>
        <w:lastRenderedPageBreak/>
        <w:t>3</w:t>
      </w:r>
      <w:r>
        <w:t>.</w:t>
      </w:r>
      <w:r>
        <w:tab/>
        <w:t>Western Australian Police Union of Workers, status of</w:t>
      </w:r>
      <w:bookmarkEnd w:id="585"/>
    </w:p>
    <w:p>
      <w:pPr>
        <w:pStyle w:val="ySubsection"/>
      </w:pPr>
      <w:r>
        <w:tab/>
      </w:r>
      <w:r>
        <w:tab/>
        <w:t>The Western Australian Police Union of Workers is taken to be, and to have always been, an organisation of employees.</w:t>
      </w:r>
    </w:p>
    <w:p>
      <w:pPr>
        <w:pStyle w:val="yFootnotesection"/>
      </w:pPr>
      <w:r>
        <w:tab/>
        <w:t>[Clause 3 inserted: No. 58 of 2000 s. 5.]</w:t>
      </w:r>
    </w:p>
    <w:p>
      <w:pPr>
        <w:pStyle w:val="yScheduleHeading"/>
        <w:outlineLvl w:val="0"/>
      </w:pPr>
      <w:bookmarkStart w:id="586" w:name="_Toc98505331"/>
      <w:bookmarkStart w:id="587" w:name="_Toc98507030"/>
      <w:bookmarkStart w:id="588" w:name="_Toc98508193"/>
      <w:bookmarkStart w:id="589" w:name="_Toc98770248"/>
      <w:r>
        <w:rPr>
          <w:rStyle w:val="CharSchNo"/>
        </w:rPr>
        <w:lastRenderedPageBreak/>
        <w:t>Schedule 4</w:t>
      </w:r>
      <w:r>
        <w:t> — </w:t>
      </w:r>
      <w:r>
        <w:rPr>
          <w:rStyle w:val="CharSchText"/>
        </w:rPr>
        <w:t>Registration requirements for EEAs</w:t>
      </w:r>
      <w:bookmarkEnd w:id="586"/>
      <w:bookmarkEnd w:id="587"/>
      <w:bookmarkEnd w:id="588"/>
      <w:bookmarkEnd w:id="589"/>
    </w:p>
    <w:p>
      <w:pPr>
        <w:pStyle w:val="yShoulderClause"/>
        <w:rPr>
          <w:snapToGrid w:val="0"/>
        </w:rPr>
      </w:pPr>
      <w:r>
        <w:rPr>
          <w:snapToGrid w:val="0"/>
        </w:rPr>
        <w:t>[s. 97VB]</w:t>
      </w:r>
    </w:p>
    <w:p>
      <w:pPr>
        <w:pStyle w:val="yFootnoteheading"/>
      </w:pPr>
      <w:r>
        <w:tab/>
        <w:t>[Heading inserted: No. 20 of 2002 s. 5.]</w:t>
      </w:r>
    </w:p>
    <w:p>
      <w:pPr>
        <w:pStyle w:val="yHeading5"/>
        <w:outlineLvl w:val="0"/>
      </w:pPr>
      <w:bookmarkStart w:id="590" w:name="_Toc98770249"/>
      <w:r>
        <w:rPr>
          <w:rStyle w:val="CharSClsNo"/>
        </w:rPr>
        <w:t>1</w:t>
      </w:r>
      <w:r>
        <w:t>.</w:t>
      </w:r>
      <w:r>
        <w:tab/>
        <w:t>When EEA is in order for registration</w:t>
      </w:r>
      <w:bookmarkEnd w:id="590"/>
    </w:p>
    <w:p>
      <w:pPr>
        <w:pStyle w:val="ySubsection"/>
      </w:pPr>
      <w:r>
        <w:tab/>
        <w:t>(1)</w:t>
      </w:r>
      <w:r>
        <w:tab/>
        <w:t>An EEA is in order for registration if —</w:t>
      </w:r>
    </w:p>
    <w:p>
      <w:pPr>
        <w:pStyle w:val="yIndenta"/>
      </w:pPr>
      <w:r>
        <w:tab/>
        <w:t>(a)</w:t>
      </w:r>
      <w:r>
        <w:tab/>
        <w:t>section 97UF(1) does not apply to it; and</w:t>
      </w:r>
    </w:p>
    <w:p>
      <w:pPr>
        <w:pStyle w:val="yIndenta"/>
      </w:pPr>
      <w:r>
        <w:tab/>
        <w:t>(b)</w:t>
      </w:r>
      <w:r>
        <w:tab/>
        <w:t>it complies with sections 97UL, 97UN and 97US; and</w:t>
      </w:r>
    </w:p>
    <w:p>
      <w:pPr>
        <w:pStyle w:val="yIndenta"/>
      </w:pPr>
      <w:r>
        <w:tab/>
        <w:t>(c)</w:t>
      </w:r>
      <w:r>
        <w:tab/>
        <w:t>if section 97UM applies, it has been signed in accordance with, and by a person who meets the requirements of, section 97UM(2); and</w:t>
      </w:r>
    </w:p>
    <w:p>
      <w:pPr>
        <w:pStyle w:val="yIndenta"/>
      </w:pPr>
      <w:r>
        <w:tab/>
        <w:t>(d)</w:t>
      </w:r>
      <w:r>
        <w:tab/>
        <w:t>the employer has complied with section 97UG; and</w:t>
      </w:r>
    </w:p>
    <w:p>
      <w:pPr>
        <w:pStyle w:val="yIndenta"/>
      </w:pPr>
      <w:r>
        <w:tab/>
        <w:t>(e)</w:t>
      </w:r>
      <w:r>
        <w:tab/>
        <w:t>it passes the no</w:t>
      </w:r>
      <w:r>
        <w:noBreakHyphen/>
        <w:t>disadvantage test; and</w:t>
      </w:r>
    </w:p>
    <w:p>
      <w:pPr>
        <w:pStyle w:val="yIndenta"/>
      </w:pPr>
      <w:r>
        <w:tab/>
        <w:t>(f)</w:t>
      </w:r>
      <w:r>
        <w:tab/>
        <w:t>it does not purport to provide for a condition of employment that is less favourable to the employee than a minimum condition of employment under the MCE Act; and</w:t>
      </w:r>
    </w:p>
    <w:p>
      <w:pPr>
        <w:pStyle w:val="PermNoteHeading"/>
      </w:pPr>
      <w:r>
        <w:tab/>
        <w:t>Note:</w:t>
      </w:r>
    </w:p>
    <w:p>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in relation to the making of the EEA, the employer did not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 and</w:t>
      </w:r>
    </w:p>
    <w:p>
      <w:pPr>
        <w:pStyle w:val="yIndenta"/>
      </w:pPr>
      <w:r>
        <w:tab/>
        <w:t>(h)</w:t>
      </w:r>
      <w:r>
        <w:tab/>
        <w:t>in relation to the making of the EEA, the employer did not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 and</w:t>
      </w:r>
    </w:p>
    <w:p>
      <w:pPr>
        <w:pStyle w:val="yIndenta"/>
      </w:pPr>
      <w:r>
        <w:lastRenderedPageBreak/>
        <w:tab/>
        <w:t>(i)</w:t>
      </w:r>
      <w:r>
        <w:tab/>
        <w:t>each party appears to understand his or her rights and obligations under the EEA; and</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Subclause (1)(g) does not apply to an offer of employment made, or an intimation of employment given, that would otherwise come within that provision if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In subclause (1)(i) and (k) —</w:t>
      </w:r>
    </w:p>
    <w:p>
      <w:pPr>
        <w:pStyle w:val="yDefstart"/>
      </w:pPr>
      <w:r>
        <w:tab/>
      </w:r>
      <w:r>
        <w:rPr>
          <w:rStyle w:val="CharDefText"/>
        </w:rPr>
        <w:t>party</w:t>
      </w:r>
      <w:r>
        <w:t xml:space="preserve"> means —</w:t>
      </w:r>
    </w:p>
    <w:p>
      <w:pPr>
        <w:pStyle w:val="yDefpara"/>
      </w:pPr>
      <w:r>
        <w:tab/>
        <w:t>(a)</w:t>
      </w:r>
      <w:r>
        <w:tab/>
        <w:t>the employer and the employee; or</w:t>
      </w:r>
    </w:p>
    <w:p>
      <w:pPr>
        <w:pStyle w:val="yDefpara"/>
      </w:pPr>
      <w:r>
        <w:tab/>
        <w:t>(b)</w:t>
      </w:r>
      <w:r>
        <w:tab/>
        <w:t>if the employee is a represented person, the employer and the representative.</w:t>
      </w:r>
    </w:p>
    <w:p>
      <w:pPr>
        <w:pStyle w:val="yFootnotesection"/>
      </w:pPr>
      <w:r>
        <w:tab/>
        <w:t>[Schedule 4 inserted: No. 20 of 2002 s. 5.]</w:t>
      </w:r>
    </w:p>
    <w:p>
      <w:pPr>
        <w:pStyle w:val="yScheduleHeading"/>
      </w:pPr>
      <w:bookmarkStart w:id="591" w:name="_Toc98505333"/>
      <w:bookmarkStart w:id="592" w:name="_Toc98507032"/>
      <w:bookmarkStart w:id="593" w:name="_Toc98508195"/>
      <w:bookmarkStart w:id="594" w:name="_Toc98770250"/>
      <w:r>
        <w:rPr>
          <w:rStyle w:val="CharSchNo"/>
        </w:rPr>
        <w:lastRenderedPageBreak/>
        <w:t>Schedule 5</w:t>
      </w:r>
      <w:r>
        <w:t> — </w:t>
      </w:r>
      <w:r>
        <w:rPr>
          <w:rStyle w:val="CharSchText"/>
        </w:rPr>
        <w:t>Powers to obtain information, and related provisions</w:t>
      </w:r>
      <w:bookmarkEnd w:id="591"/>
      <w:bookmarkEnd w:id="592"/>
      <w:bookmarkEnd w:id="593"/>
      <w:bookmarkEnd w:id="594"/>
    </w:p>
    <w:p>
      <w:pPr>
        <w:pStyle w:val="yShoulderClause"/>
        <w:rPr>
          <w:snapToGrid w:val="0"/>
        </w:rPr>
      </w:pPr>
      <w:r>
        <w:rPr>
          <w:snapToGrid w:val="0"/>
        </w:rPr>
        <w:t>[s. 97VC(4), 97WM]</w:t>
      </w:r>
    </w:p>
    <w:p>
      <w:pPr>
        <w:pStyle w:val="yFootnoteheading"/>
      </w:pPr>
      <w:r>
        <w:tab/>
        <w:t>[Heading inserted: No. 20 of 2002 s. 5.]</w:t>
      </w:r>
    </w:p>
    <w:p>
      <w:pPr>
        <w:pStyle w:val="yHeading5"/>
        <w:outlineLvl w:val="0"/>
        <w:rPr>
          <w:snapToGrid w:val="0"/>
        </w:rPr>
      </w:pPr>
      <w:bookmarkStart w:id="595" w:name="_Toc98770251"/>
      <w:r>
        <w:rPr>
          <w:rStyle w:val="CharSClsNo"/>
        </w:rPr>
        <w:t>1</w:t>
      </w:r>
      <w:r>
        <w:rPr>
          <w:snapToGrid w:val="0"/>
        </w:rPr>
        <w:t>.</w:t>
      </w:r>
      <w:r>
        <w:rPr>
          <w:snapToGrid w:val="0"/>
        </w:rPr>
        <w:tab/>
        <w:t xml:space="preserve">Authorised person’s powers to obtain </w:t>
      </w:r>
      <w:r>
        <w:t>information</w:t>
      </w:r>
      <w:bookmarkEnd w:id="595"/>
    </w:p>
    <w:p>
      <w:pPr>
        <w:pStyle w:val="ySubsection"/>
        <w:rPr>
          <w:snapToGrid w:val="0"/>
        </w:rPr>
      </w:pPr>
      <w:r>
        <w:tab/>
      </w:r>
      <w:r>
        <w:tab/>
        <w:t xml:space="preserve">An authorised person </w:t>
      </w:r>
      <w:r>
        <w:rPr>
          <w:snapToGrid w:val="0"/>
        </w:rPr>
        <w:t>may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No. 20 of 2002 s. 5.]</w:t>
      </w:r>
    </w:p>
    <w:p>
      <w:pPr>
        <w:pStyle w:val="yHeading5"/>
        <w:outlineLvl w:val="0"/>
        <w:rPr>
          <w:snapToGrid w:val="0"/>
        </w:rPr>
      </w:pPr>
      <w:bookmarkStart w:id="596" w:name="_Toc98770252"/>
      <w:r>
        <w:rPr>
          <w:rStyle w:val="CharSClsNo"/>
        </w:rPr>
        <w:t>2</w:t>
      </w:r>
      <w:r>
        <w:rPr>
          <w:snapToGrid w:val="0"/>
        </w:rPr>
        <w:t>.</w:t>
      </w:r>
      <w:r>
        <w:rPr>
          <w:snapToGrid w:val="0"/>
        </w:rPr>
        <w:tab/>
        <w:t>Obstructing authorised person</w:t>
      </w:r>
      <w:bookmarkEnd w:id="596"/>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r>
        <w:tab/>
        <w:t>[Clause 2 inserted: No. 20 of 2002 s. 5.]</w:t>
      </w:r>
    </w:p>
    <w:p>
      <w:pPr>
        <w:pStyle w:val="yHeading5"/>
        <w:outlineLvl w:val="0"/>
        <w:rPr>
          <w:snapToGrid w:val="0"/>
        </w:rPr>
      </w:pPr>
      <w:bookmarkStart w:id="597" w:name="_Toc98770253"/>
      <w:r>
        <w:rPr>
          <w:rStyle w:val="CharSClsNo"/>
        </w:rPr>
        <w:t>3</w:t>
      </w:r>
      <w:r>
        <w:rPr>
          <w:snapToGrid w:val="0"/>
        </w:rPr>
        <w:t>.</w:t>
      </w:r>
      <w:r>
        <w:rPr>
          <w:snapToGrid w:val="0"/>
        </w:rPr>
        <w:tab/>
        <w:t xml:space="preserve">False </w:t>
      </w:r>
      <w:r>
        <w:t>statement to authorised person</w:t>
      </w:r>
      <w:bookmarkEnd w:id="597"/>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No. 20 of 2002 s. 5.]</w:t>
      </w:r>
    </w:p>
    <w:p>
      <w:pPr>
        <w:pStyle w:val="yHeading5"/>
        <w:pageBreakBefore/>
        <w:spacing w:before="0"/>
        <w:outlineLvl w:val="0"/>
        <w:rPr>
          <w:snapToGrid w:val="0"/>
        </w:rPr>
      </w:pPr>
      <w:bookmarkStart w:id="598" w:name="_Toc98770254"/>
      <w:r>
        <w:rPr>
          <w:rStyle w:val="CharSClsNo"/>
        </w:rPr>
        <w:lastRenderedPageBreak/>
        <w:t>4</w:t>
      </w:r>
      <w:r>
        <w:rPr>
          <w:snapToGrid w:val="0"/>
        </w:rPr>
        <w:t>.</w:t>
      </w:r>
      <w:r>
        <w:rPr>
          <w:snapToGrid w:val="0"/>
        </w:rPr>
        <w:tab/>
        <w:t>Failure to comply with cl. 1 requirement</w:t>
      </w:r>
      <w:bookmarkEnd w:id="598"/>
    </w:p>
    <w:p>
      <w:pPr>
        <w:pStyle w:val="ySubsection"/>
        <w:keepNext/>
        <w:keepLines/>
        <w:rPr>
          <w:snapToGrid w:val="0"/>
        </w:rPr>
      </w:pPr>
      <w:r>
        <w:rPr>
          <w:snapToGrid w:val="0"/>
        </w:rPr>
        <w:tab/>
        <w:t>(1)</w:t>
      </w:r>
      <w:r>
        <w:rPr>
          <w:snapToGrid w:val="0"/>
        </w:rPr>
        <w:tab/>
        <w:t>A person must not, without lawful excuse, refuse or fail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No. 20 of 2002 s. 5.]</w:t>
      </w:r>
    </w:p>
    <w:p>
      <w:pPr>
        <w:pStyle w:val="yHeading5"/>
        <w:outlineLvl w:val="0"/>
        <w:rPr>
          <w:snapToGrid w:val="0"/>
        </w:rPr>
      </w:pPr>
      <w:bookmarkStart w:id="599" w:name="_Toc98770255"/>
      <w:r>
        <w:rPr>
          <w:rStyle w:val="CharSClsNo"/>
        </w:rPr>
        <w:t>5</w:t>
      </w:r>
      <w:r>
        <w:rPr>
          <w:snapToGrid w:val="0"/>
        </w:rPr>
        <w:t>.</w:t>
      </w:r>
      <w:r>
        <w:rPr>
          <w:snapToGrid w:val="0"/>
        </w:rPr>
        <w:tab/>
        <w:t xml:space="preserve">Legal </w:t>
      </w:r>
      <w:r>
        <w:t>professional</w:t>
      </w:r>
      <w:r>
        <w:rPr>
          <w:snapToGrid w:val="0"/>
        </w:rPr>
        <w:t xml:space="preserve"> privilege overridden</w:t>
      </w:r>
      <w:bookmarkEnd w:id="599"/>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r>
        <w:tab/>
        <w:t>[Clause 5 inserted: No. 20 of 2002 s. 5.]</w:t>
      </w:r>
    </w:p>
    <w:p>
      <w:pPr>
        <w:pStyle w:val="yHeading5"/>
        <w:outlineLvl w:val="0"/>
        <w:rPr>
          <w:snapToGrid w:val="0"/>
        </w:rPr>
      </w:pPr>
      <w:bookmarkStart w:id="600" w:name="_Toc98770256"/>
      <w:r>
        <w:rPr>
          <w:rStyle w:val="CharSClsNo"/>
        </w:rPr>
        <w:t>6</w:t>
      </w:r>
      <w:r>
        <w:rPr>
          <w:snapToGrid w:val="0"/>
        </w:rPr>
        <w:t>.</w:t>
      </w:r>
      <w:r>
        <w:rPr>
          <w:snapToGrid w:val="0"/>
        </w:rPr>
        <w:tab/>
      </w:r>
      <w:r>
        <w:t>Incriminating</w:t>
      </w:r>
      <w:r>
        <w:rPr>
          <w:snapToGrid w:val="0"/>
        </w:rPr>
        <w:t xml:space="preserve"> answers or documents</w:t>
      </w:r>
      <w:bookmarkEnd w:id="600"/>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No. 20 of 2002 s. 5.]</w:t>
      </w:r>
    </w:p>
    <w:p>
      <w:pPr>
        <w:pStyle w:val="yScheduleHeading"/>
      </w:pPr>
      <w:bookmarkStart w:id="601" w:name="_Toc98505340"/>
      <w:bookmarkStart w:id="602" w:name="_Toc98507039"/>
      <w:bookmarkStart w:id="603" w:name="_Toc98508202"/>
      <w:bookmarkStart w:id="604" w:name="_Toc98770257"/>
      <w:r>
        <w:rPr>
          <w:rStyle w:val="CharSchNo"/>
        </w:rPr>
        <w:lastRenderedPageBreak/>
        <w:t>Schedule 6</w:t>
      </w:r>
      <w:r>
        <w:t> — </w:t>
      </w:r>
      <w:r>
        <w:rPr>
          <w:rStyle w:val="CharSchText"/>
        </w:rPr>
        <w:t>Transitional provisions</w:t>
      </w:r>
      <w:bookmarkEnd w:id="601"/>
      <w:bookmarkEnd w:id="602"/>
      <w:bookmarkEnd w:id="603"/>
      <w:bookmarkEnd w:id="604"/>
    </w:p>
    <w:p>
      <w:pPr>
        <w:pStyle w:val="yShoulderClause"/>
      </w:pPr>
      <w:r>
        <w:t>[s. 116]</w:t>
      </w:r>
    </w:p>
    <w:p>
      <w:pPr>
        <w:pStyle w:val="yFootnoteheading"/>
      </w:pPr>
      <w:r>
        <w:tab/>
        <w:t>[Heading inserted: No. 39 of 2018 s. 66.]</w:t>
      </w:r>
    </w:p>
    <w:p>
      <w:pPr>
        <w:pStyle w:val="yHeading3"/>
      </w:pPr>
      <w:bookmarkStart w:id="605" w:name="_Toc98505341"/>
      <w:bookmarkStart w:id="606" w:name="_Toc98507040"/>
      <w:bookmarkStart w:id="607" w:name="_Toc98508203"/>
      <w:bookmarkStart w:id="608" w:name="_Toc98770258"/>
      <w:r>
        <w:rPr>
          <w:rStyle w:val="CharSDivNo"/>
        </w:rPr>
        <w:t>Division 1</w:t>
      </w:r>
      <w:r>
        <w:rPr>
          <w:b w:val="0"/>
        </w:rPr>
        <w:t> — </w:t>
      </w:r>
      <w:r>
        <w:rPr>
          <w:rStyle w:val="CharSDivText"/>
        </w:rPr>
        <w:t>Preliminary</w:t>
      </w:r>
      <w:bookmarkEnd w:id="605"/>
      <w:bookmarkEnd w:id="606"/>
      <w:bookmarkEnd w:id="607"/>
      <w:bookmarkEnd w:id="608"/>
    </w:p>
    <w:p>
      <w:pPr>
        <w:pStyle w:val="yFootnoteheading"/>
      </w:pPr>
      <w:r>
        <w:tab/>
        <w:t>[Heading inserted: No. 39 of 2018 s. 66.]</w:t>
      </w:r>
    </w:p>
    <w:p>
      <w:pPr>
        <w:pStyle w:val="yHeading5"/>
      </w:pPr>
      <w:bookmarkStart w:id="609" w:name="_Toc98770259"/>
      <w:r>
        <w:rPr>
          <w:rStyle w:val="CharSClsNo"/>
        </w:rPr>
        <w:t>1</w:t>
      </w:r>
      <w:r>
        <w:t>.</w:t>
      </w:r>
      <w:r>
        <w:tab/>
        <w:t>Terms used</w:t>
      </w:r>
      <w:bookmarkEnd w:id="609"/>
    </w:p>
    <w:p>
      <w:pPr>
        <w:pStyle w:val="ySubsection"/>
      </w:pPr>
      <w:r>
        <w:tab/>
      </w:r>
      <w:r>
        <w:tab/>
        <w:t xml:space="preserve">In this Schedule — </w:t>
      </w:r>
    </w:p>
    <w:p>
      <w:pPr>
        <w:pStyle w:val="yDefstart"/>
      </w:pPr>
      <w:r>
        <w:tab/>
      </w:r>
      <w:r>
        <w:rPr>
          <w:rStyle w:val="CharDefText"/>
        </w:rPr>
        <w:t>amended Act</w:t>
      </w:r>
      <w:r>
        <w:t xml:space="preserve"> means this Act as amended by the amending Act;</w:t>
      </w:r>
    </w:p>
    <w:p>
      <w:pPr>
        <w:pStyle w:val="yDefstart"/>
      </w:pPr>
      <w:r>
        <w:tab/>
      </w:r>
      <w:r>
        <w:rPr>
          <w:rStyle w:val="CharDefText"/>
        </w:rPr>
        <w:t>amending Act</w:t>
      </w:r>
      <w:r>
        <w:t xml:space="preserve"> means the </w:t>
      </w:r>
      <w:r>
        <w:rPr>
          <w:i/>
        </w:rPr>
        <w:t>Industrial Relations Amendment Act 2018</w:t>
      </w:r>
      <w:r>
        <w:t>;</w:t>
      </w:r>
    </w:p>
    <w:p>
      <w:pPr>
        <w:pStyle w:val="yDefstart"/>
      </w:pPr>
      <w:r>
        <w:tab/>
      </w:r>
      <w:r>
        <w:rPr>
          <w:rStyle w:val="CharDefText"/>
        </w:rPr>
        <w:t>commencement day</w:t>
      </w:r>
      <w:r>
        <w:t xml:space="preserve"> means the day on which the amending Act section 66 comes into operation;</w:t>
      </w:r>
    </w:p>
    <w:p>
      <w:pPr>
        <w:pStyle w:val="yDefstart"/>
      </w:pPr>
      <w:r>
        <w:tab/>
      </w:r>
      <w:r>
        <w:rPr>
          <w:rStyle w:val="CharDefText"/>
        </w:rPr>
        <w:t>former</w:t>
      </w:r>
      <w:r>
        <w:t>, in relation to a section, means the section as in force immediately before commencement day;</w:t>
      </w:r>
    </w:p>
    <w:p>
      <w:pPr>
        <w:pStyle w:val="yDefstart"/>
      </w:pPr>
      <w:r>
        <w:tab/>
      </w:r>
      <w:r>
        <w:rPr>
          <w:rStyle w:val="CharDefText"/>
        </w:rPr>
        <w:t>former acting President</w:t>
      </w:r>
      <w:r>
        <w:t xml:space="preserve"> — see clause 2(1);</w:t>
      </w:r>
    </w:p>
    <w:p>
      <w:pPr>
        <w:pStyle w:val="yDefstart"/>
      </w:pPr>
      <w:r>
        <w:tab/>
      </w:r>
      <w:r>
        <w:rPr>
          <w:rStyle w:val="CharDefText"/>
        </w:rPr>
        <w:t>matter</w:t>
      </w:r>
      <w:r>
        <w:t xml:space="preserve"> includes any application, reference, proceeding or appeal.</w:t>
      </w:r>
    </w:p>
    <w:p>
      <w:pPr>
        <w:pStyle w:val="yFootnotesection"/>
      </w:pPr>
      <w:r>
        <w:tab/>
        <w:t>[Clause 1 inserted: No. 39 of 2018 s. 66.]</w:t>
      </w:r>
    </w:p>
    <w:p>
      <w:pPr>
        <w:pStyle w:val="yHeading3"/>
      </w:pPr>
      <w:bookmarkStart w:id="610" w:name="_Toc98505343"/>
      <w:bookmarkStart w:id="611" w:name="_Toc98507042"/>
      <w:bookmarkStart w:id="612" w:name="_Toc98508205"/>
      <w:bookmarkStart w:id="613" w:name="_Toc98770260"/>
      <w:r>
        <w:rPr>
          <w:rStyle w:val="CharSDivNo"/>
        </w:rPr>
        <w:t>Division 2</w:t>
      </w:r>
      <w:r>
        <w:rPr>
          <w:b w:val="0"/>
        </w:rPr>
        <w:t> — </w:t>
      </w:r>
      <w:r>
        <w:rPr>
          <w:rStyle w:val="CharSDivText"/>
        </w:rPr>
        <w:t>Provisions for President</w:t>
      </w:r>
      <w:bookmarkEnd w:id="610"/>
      <w:bookmarkEnd w:id="611"/>
      <w:bookmarkEnd w:id="612"/>
      <w:bookmarkEnd w:id="613"/>
    </w:p>
    <w:p>
      <w:pPr>
        <w:pStyle w:val="yFootnoteheading"/>
      </w:pPr>
      <w:r>
        <w:tab/>
        <w:t>[Heading inserted: No. 39 of 2018 s. 66.]</w:t>
      </w:r>
    </w:p>
    <w:p>
      <w:pPr>
        <w:pStyle w:val="yHeading5"/>
      </w:pPr>
      <w:bookmarkStart w:id="614" w:name="_Toc98770261"/>
      <w:r>
        <w:rPr>
          <w:rStyle w:val="CharSClsNo"/>
        </w:rPr>
        <w:t>2</w:t>
      </w:r>
      <w:r>
        <w:t>.</w:t>
      </w:r>
      <w:r>
        <w:tab/>
        <w:t>Acting President: continuation in office</w:t>
      </w:r>
      <w:bookmarkEnd w:id="614"/>
    </w:p>
    <w:p>
      <w:pPr>
        <w:pStyle w:val="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pPr>
        <w:pStyle w:val="ySubsection"/>
      </w:pPr>
      <w:r>
        <w:tab/>
        <w:t>(2)</w:t>
      </w:r>
      <w:r>
        <w:tab/>
        <w:t>The Minister may extend, or further extend, the period approved under subclause (1) and may do so even if the period has expired.</w:t>
      </w:r>
    </w:p>
    <w:p>
      <w:pPr>
        <w:pStyle w:val="yFootnotesection"/>
      </w:pPr>
      <w:r>
        <w:tab/>
        <w:t>[Clause 2 inserted: No. 39 of 2018 s. 66.]</w:t>
      </w:r>
    </w:p>
    <w:p>
      <w:pPr>
        <w:pStyle w:val="yHeading5"/>
        <w:pageBreakBefore/>
        <w:spacing w:before="0"/>
      </w:pPr>
      <w:bookmarkStart w:id="615" w:name="_Toc98770262"/>
      <w:r>
        <w:rPr>
          <w:rStyle w:val="CharSClsNo"/>
        </w:rPr>
        <w:lastRenderedPageBreak/>
        <w:t>3</w:t>
      </w:r>
      <w:r>
        <w:t>.</w:t>
      </w:r>
      <w:r>
        <w:tab/>
        <w:t>Past President’s pension entitlements</w:t>
      </w:r>
      <w:bookmarkEnd w:id="615"/>
    </w:p>
    <w:p>
      <w:pPr>
        <w:pStyle w:val="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pPr>
        <w:pStyle w:val="yFootnotesection"/>
      </w:pPr>
      <w:r>
        <w:tab/>
        <w:t>[Clause 3 inserted: No. 39 of 2018 s. 66.]</w:t>
      </w:r>
    </w:p>
    <w:p>
      <w:pPr>
        <w:pStyle w:val="yHeading5"/>
      </w:pPr>
      <w:bookmarkStart w:id="616" w:name="_Toc98770263"/>
      <w:r>
        <w:rPr>
          <w:rStyle w:val="CharSClsNo"/>
        </w:rPr>
        <w:t>4</w:t>
      </w:r>
      <w:r>
        <w:t>.</w:t>
      </w:r>
      <w:r>
        <w:tab/>
        <w:t>Judicial notice of signature and appointment of President</w:t>
      </w:r>
      <w:bookmarkEnd w:id="616"/>
    </w:p>
    <w:p>
      <w:pPr>
        <w:pStyle w:val="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pPr>
        <w:pStyle w:val="yFootnotesection"/>
      </w:pPr>
      <w:r>
        <w:tab/>
        <w:t>[Clause 4 inserted: No. 39 of 2018 s. 66.]</w:t>
      </w:r>
    </w:p>
    <w:p>
      <w:pPr>
        <w:pStyle w:val="yHeading3"/>
      </w:pPr>
      <w:bookmarkStart w:id="617" w:name="_Toc98505347"/>
      <w:bookmarkStart w:id="618" w:name="_Toc98507046"/>
      <w:bookmarkStart w:id="619" w:name="_Toc98508209"/>
      <w:bookmarkStart w:id="620" w:name="_Toc98770264"/>
      <w:r>
        <w:rPr>
          <w:rStyle w:val="CharSDivNo"/>
        </w:rPr>
        <w:t>Division 3</w:t>
      </w:r>
      <w:r>
        <w:rPr>
          <w:b w:val="0"/>
        </w:rPr>
        <w:t> — </w:t>
      </w:r>
      <w:r>
        <w:rPr>
          <w:rStyle w:val="CharSDivText"/>
        </w:rPr>
        <w:t>Provisions for pending matters</w:t>
      </w:r>
      <w:bookmarkEnd w:id="617"/>
      <w:bookmarkEnd w:id="618"/>
      <w:bookmarkEnd w:id="619"/>
      <w:bookmarkEnd w:id="620"/>
    </w:p>
    <w:p>
      <w:pPr>
        <w:pStyle w:val="yFootnoteheading"/>
      </w:pPr>
      <w:r>
        <w:tab/>
        <w:t>[Heading inserted: No. 39 of 2018 s. 66.]</w:t>
      </w:r>
    </w:p>
    <w:p>
      <w:pPr>
        <w:pStyle w:val="yHeading5"/>
      </w:pPr>
      <w:bookmarkStart w:id="621" w:name="_Toc98770265"/>
      <w:r>
        <w:rPr>
          <w:rStyle w:val="CharSClsNo"/>
        </w:rPr>
        <w:t>5</w:t>
      </w:r>
      <w:r>
        <w:t>.</w:t>
      </w:r>
      <w:r>
        <w:tab/>
        <w:t>Pending matters</w:t>
      </w:r>
      <w:bookmarkEnd w:id="621"/>
    </w:p>
    <w:p>
      <w:pPr>
        <w:pStyle w:val="ySubsection"/>
      </w:pPr>
      <w:r>
        <w:tab/>
        <w:t>(1)</w:t>
      </w:r>
      <w:r>
        <w:tab/>
        <w:t xml:space="preserve">In this clause — </w:t>
      </w:r>
    </w:p>
    <w:p>
      <w:pPr>
        <w:pStyle w:val="yDefstart"/>
      </w:pPr>
      <w:r>
        <w:tab/>
      </w:r>
      <w:r>
        <w:rPr>
          <w:rStyle w:val="CharDefText"/>
        </w:rPr>
        <w:t>Commission</w:t>
      </w:r>
      <w:r>
        <w:t xml:space="preserve"> means the Commission constituted by the former acting President, or constituted including the former acting President;</w:t>
      </w:r>
    </w:p>
    <w:p>
      <w:pPr>
        <w:pStyle w:val="yDefstart"/>
      </w:pPr>
      <w:r>
        <w:tab/>
      </w:r>
      <w:r>
        <w:rPr>
          <w:rStyle w:val="CharDefText"/>
        </w:rPr>
        <w:t>former Act</w:t>
      </w:r>
      <w:r>
        <w:t xml:space="preserve"> means the Act as in force immediately before commencement day.</w:t>
      </w:r>
    </w:p>
    <w:p>
      <w:pPr>
        <w:pStyle w:val="ySubsection"/>
      </w:pPr>
      <w:r>
        <w:tab/>
        <w:t>(2)</w:t>
      </w:r>
      <w:r>
        <w:tab/>
        <w:t xml:space="preserve">A matter is to be dealt with in accordance with the relevant provisions of the amended Act if — </w:t>
      </w:r>
    </w:p>
    <w:p>
      <w:pPr>
        <w:pStyle w:val="yIndenta"/>
      </w:pPr>
      <w:r>
        <w:tab/>
        <w:t>(a)</w:t>
      </w:r>
      <w:r>
        <w:tab/>
        <w:t>the matter was before the Commission immediately before commencement day; but</w:t>
      </w:r>
    </w:p>
    <w:p>
      <w:pPr>
        <w:pStyle w:val="yIndenta"/>
      </w:pPr>
      <w:r>
        <w:tab/>
        <w:t>(b)</w:t>
      </w:r>
      <w:r>
        <w:tab/>
        <w:t>the Commission had not begun to hear the matter.</w:t>
      </w:r>
    </w:p>
    <w:p>
      <w:pPr>
        <w:pStyle w:val="ySubsection"/>
      </w:pPr>
      <w:r>
        <w:tab/>
        <w:t>(3)</w:t>
      </w:r>
      <w:r>
        <w:tab/>
        <w:t>Except as provided in subclauses (4) and (5), if the Commission has begun or completed hearing a matter, but has not finally determined the matter immediately before commencement day, the matter is to continue to be dealt with on or after that day in accordance with the relevant provisions of the former Act.</w:t>
      </w:r>
    </w:p>
    <w:p>
      <w:pPr>
        <w:pStyle w:val="ySubsection"/>
      </w:pPr>
      <w:r>
        <w:lastRenderedPageBreak/>
        <w:tab/>
        <w:t>(4)</w:t>
      </w:r>
      <w:r>
        <w:tab/>
        <w:t xml:space="preserve">A matter is to be dealt with in accordance with the relevant provisions of the amended Act if — </w:t>
      </w:r>
    </w:p>
    <w:p>
      <w:pPr>
        <w:pStyle w:val="yIndenta"/>
      </w:pPr>
      <w:r>
        <w:tab/>
        <w:t>(a)</w:t>
      </w:r>
      <w:r>
        <w:tab/>
        <w:t>the matter was before the Commission immediately before commencement day; and</w:t>
      </w:r>
    </w:p>
    <w:p>
      <w:pPr>
        <w:pStyle w:val="yIndenta"/>
      </w:pPr>
      <w:r>
        <w:tab/>
        <w:t>(b)</w:t>
      </w:r>
      <w:r>
        <w:tab/>
        <w:t>the Commission has begun or completed hearing a matter, but has not finally determined the matter; and</w:t>
      </w:r>
    </w:p>
    <w:p>
      <w:pPr>
        <w:pStyle w:val="yIndenta"/>
      </w:pPr>
      <w:r>
        <w:tab/>
        <w:t>(c)</w:t>
      </w:r>
      <w:r>
        <w:tab/>
        <w:t>the former acting President is not in the office of acting President immediately after commencement day, or ceases to remain in office after commencement day.</w:t>
      </w:r>
    </w:p>
    <w:p>
      <w:pPr>
        <w:pStyle w:val="ySubsection"/>
      </w:pPr>
      <w:r>
        <w:tab/>
        <w:t>(5)</w:t>
      </w:r>
      <w:r>
        <w:tab/>
        <w:t xml:space="preserve">The Chief Commissioner may, after consulting with the former acting President, direct that — </w:t>
      </w:r>
    </w:p>
    <w:p>
      <w:pPr>
        <w:pStyle w:val="yIndenta"/>
      </w:pPr>
      <w:r>
        <w:tab/>
        <w:t>(a)</w:t>
      </w:r>
      <w:r>
        <w:tab/>
        <w:t>subclause (3) does not apply to a matter specified in the direction; and</w:t>
      </w:r>
    </w:p>
    <w:p>
      <w:pPr>
        <w:pStyle w:val="yIndenta"/>
      </w:pPr>
      <w:r>
        <w:tab/>
        <w:t>(b)</w:t>
      </w:r>
      <w:r>
        <w:tab/>
        <w:t>the matter is to be dealt with in accordance with the relevant provisions of the amended Act.</w:t>
      </w:r>
    </w:p>
    <w:p>
      <w:pPr>
        <w:pStyle w:val="ySubsection"/>
      </w:pPr>
      <w:r>
        <w:tab/>
        <w:t>(6)</w:t>
      </w:r>
      <w:r>
        <w:tab/>
        <w:t>A direction under subclause (5) has effect in accordance with its terms.</w:t>
      </w:r>
    </w:p>
    <w:p>
      <w:pPr>
        <w:pStyle w:val="yFootnotesection"/>
      </w:pPr>
      <w:r>
        <w:tab/>
        <w:t>[Clause 5 inserted: No. 39 of 2018 s. 66.]</w:t>
      </w:r>
    </w:p>
    <w:p>
      <w:pPr>
        <w:pStyle w:val="yHeading5"/>
      </w:pPr>
      <w:bookmarkStart w:id="622" w:name="_Toc98770266"/>
      <w:r>
        <w:rPr>
          <w:rStyle w:val="CharSClsNo"/>
        </w:rPr>
        <w:t>6</w:t>
      </w:r>
      <w:r>
        <w:t>.</w:t>
      </w:r>
      <w:r>
        <w:tab/>
        <w:t>Order under former s. 49 does not begin hearing of appeal</w:t>
      </w:r>
      <w:bookmarkEnd w:id="622"/>
    </w:p>
    <w:p>
      <w:pPr>
        <w:pStyle w:val="ySubsection"/>
      </w:pPr>
      <w:r>
        <w:tab/>
      </w:r>
      <w:r>
        <w:tab/>
        <w:t>An appeal under section 49 has not commenced to be heard merely because an application for an order under section 49(11) in respect of the decision appealed against has been made, heard or determined.</w:t>
      </w:r>
    </w:p>
    <w:p>
      <w:pPr>
        <w:pStyle w:val="yFootnotesection"/>
      </w:pPr>
      <w:r>
        <w:tab/>
        <w:t>[Clause 6 inserted: No. 39 of 2018 s. 66.]</w:t>
      </w:r>
    </w:p>
    <w:p>
      <w:pPr>
        <w:pStyle w:val="yHeading5"/>
      </w:pPr>
      <w:bookmarkStart w:id="623" w:name="_Toc98770267"/>
      <w:r>
        <w:rPr>
          <w:rStyle w:val="CharSClsNo"/>
        </w:rPr>
        <w:t>7</w:t>
      </w:r>
      <w:r>
        <w:t>.</w:t>
      </w:r>
      <w:r>
        <w:tab/>
        <w:t>Notices and applications under former s. 55</w:t>
      </w:r>
      <w:bookmarkEnd w:id="623"/>
    </w:p>
    <w:p>
      <w:pPr>
        <w:pStyle w:val="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pPr>
        <w:pStyle w:val="ySubsection"/>
      </w:pPr>
      <w:r>
        <w:tab/>
        <w:t>(2)</w:t>
      </w:r>
      <w:r>
        <w:tab/>
        <w:t>If the hearing of an application made under former section 55 has not begun immediately before commencement day, the application must be dealt with under section 55 of the amended Act.</w:t>
      </w:r>
    </w:p>
    <w:p>
      <w:pPr>
        <w:pStyle w:val="yFootnotesection"/>
      </w:pPr>
      <w:r>
        <w:tab/>
        <w:t>[Clause 7 inserted: No. 39 of 2018 s. 66.]</w:t>
      </w:r>
    </w:p>
    <w:p>
      <w:pPr>
        <w:pStyle w:val="yHeading5"/>
        <w:pageBreakBefore/>
        <w:spacing w:before="0"/>
      </w:pPr>
      <w:bookmarkStart w:id="624" w:name="_Toc98770268"/>
      <w:r>
        <w:rPr>
          <w:rStyle w:val="CharSClsNo"/>
        </w:rPr>
        <w:lastRenderedPageBreak/>
        <w:t>8</w:t>
      </w:r>
      <w:r>
        <w:t>.</w:t>
      </w:r>
      <w:r>
        <w:tab/>
        <w:t>Summonses under former s. 73</w:t>
      </w:r>
      <w:bookmarkEnd w:id="624"/>
    </w:p>
    <w:p>
      <w:pPr>
        <w:pStyle w:val="ySubsection"/>
      </w:pPr>
      <w:r>
        <w:tab/>
        <w:t>(1)</w:t>
      </w:r>
      <w:r>
        <w:tab/>
        <w:t xml:space="preserve">In this clause — </w:t>
      </w:r>
    </w:p>
    <w:p>
      <w:pPr>
        <w:pStyle w:val="yDefstart"/>
      </w:pPr>
      <w:r>
        <w:tab/>
      </w:r>
      <w:r>
        <w:rPr>
          <w:rStyle w:val="CharDefText"/>
        </w:rPr>
        <w:t>former section 73 summons</w:t>
      </w:r>
      <w:r>
        <w:t xml:space="preserve"> means a summons issued under former section 73.</w:t>
      </w:r>
    </w:p>
    <w:p>
      <w:pPr>
        <w:pStyle w:val="ySubsection"/>
      </w:pPr>
      <w:r>
        <w:tab/>
        <w:t>(2)</w:t>
      </w:r>
      <w:r>
        <w:tab/>
        <w:t xml:space="preserve">A former section 73 summons to appear before the Full Bench on a date that is on or after commencement day — </w:t>
      </w:r>
    </w:p>
    <w:p>
      <w:pPr>
        <w:pStyle w:val="yIndenta"/>
      </w:pPr>
      <w:r>
        <w:tab/>
        <w:t>(a)</w:t>
      </w:r>
      <w:r>
        <w:tab/>
        <w:t>is taken to be a summons issued under section 73 of the amended Act to appear before the Commission in Court Session on that date; and</w:t>
      </w:r>
    </w:p>
    <w:p>
      <w:pPr>
        <w:pStyle w:val="yIndenta"/>
      </w:pPr>
      <w:r>
        <w:tab/>
        <w:t>(b)</w:t>
      </w:r>
      <w:r>
        <w:tab/>
        <w:t>is to be dealt with under the amended Act as if it were a summons issued under section 73 of the amended Act to appear before the Commission in Court Session.</w:t>
      </w:r>
    </w:p>
    <w:p>
      <w:pPr>
        <w:pStyle w:val="yFootnotesection"/>
      </w:pPr>
      <w:r>
        <w:tab/>
        <w:t>[Clause 8 inserted: No. 39 of 2018 s. 66.]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25" w:name="_Toc98505352"/>
      <w:bookmarkStart w:id="626" w:name="_Toc98507051"/>
      <w:bookmarkStart w:id="627" w:name="_Toc98508214"/>
      <w:bookmarkStart w:id="628" w:name="_Toc98770269"/>
      <w:r>
        <w:lastRenderedPageBreak/>
        <w:t>Notes</w:t>
      </w:r>
      <w:bookmarkEnd w:id="625"/>
      <w:bookmarkEnd w:id="626"/>
      <w:bookmarkEnd w:id="627"/>
      <w:bookmarkEnd w:id="628"/>
    </w:p>
    <w:p>
      <w:pPr>
        <w:pStyle w:val="nStatement"/>
      </w:pPr>
      <w:r>
        <w:t xml:space="preserve">This is a compilation of the </w:t>
      </w:r>
      <w:r>
        <w:rPr>
          <w:i/>
          <w:noProof/>
        </w:rPr>
        <w:t>Industrial Relations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9" w:name="_Toc98770270"/>
      <w:r>
        <w:t>Compilation table</w:t>
      </w:r>
      <w:bookmarkEnd w:id="62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pPr>
              <w:pStyle w:val="nTable"/>
              <w:spacing w:after="40"/>
            </w:pPr>
            <w:r>
              <w:t>114 of 1979</w:t>
            </w:r>
          </w:p>
        </w:tc>
        <w:tc>
          <w:tcPr>
            <w:tcW w:w="1134" w:type="dxa"/>
          </w:tcPr>
          <w:p>
            <w:pPr>
              <w:pStyle w:val="nTable"/>
              <w:spacing w:after="40"/>
            </w:pPr>
            <w:r>
              <w:t>21 Dec 1979</w:t>
            </w:r>
          </w:p>
        </w:tc>
        <w:tc>
          <w:tcPr>
            <w:tcW w:w="2551" w:type="dxa"/>
          </w:tcPr>
          <w:p>
            <w:pPr>
              <w:pStyle w:val="nTable"/>
              <w:spacing w:after="40"/>
            </w:pPr>
            <w:r>
              <w:t xml:space="preserve">1 Mar 1980 (see s. 2 and </w:t>
            </w:r>
            <w:r>
              <w:rPr>
                <w:i/>
              </w:rPr>
              <w:t>Gazette</w:t>
            </w:r>
            <w:r>
              <w:t xml:space="preserve"> 8 Feb 1980 p. 383)</w:t>
            </w:r>
          </w:p>
        </w:tc>
      </w:tr>
      <w:tr>
        <w:trPr>
          <w:cantSplit/>
        </w:trPr>
        <w:tc>
          <w:tcPr>
            <w:tcW w:w="2268" w:type="dxa"/>
          </w:tcPr>
          <w:p>
            <w:pPr>
              <w:pStyle w:val="nTable"/>
              <w:spacing w:after="40"/>
              <w:ind w:right="113"/>
            </w:pPr>
            <w:r>
              <w:rPr>
                <w:i/>
              </w:rPr>
              <w:t>Industrial Arbitration Amendment Act 1980</w:t>
            </w:r>
          </w:p>
        </w:tc>
        <w:tc>
          <w:tcPr>
            <w:tcW w:w="1134" w:type="dxa"/>
          </w:tcPr>
          <w:p>
            <w:pPr>
              <w:pStyle w:val="nTable"/>
              <w:spacing w:after="40"/>
            </w:pPr>
            <w:r>
              <w:t>82 of 1980</w:t>
            </w:r>
          </w:p>
        </w:tc>
        <w:tc>
          <w:tcPr>
            <w:tcW w:w="1134" w:type="dxa"/>
          </w:tcPr>
          <w:p>
            <w:pPr>
              <w:pStyle w:val="nTable"/>
              <w:spacing w:after="40"/>
            </w:pPr>
            <w:r>
              <w:t>5 Dec 1980</w:t>
            </w:r>
          </w:p>
        </w:tc>
        <w:tc>
          <w:tcPr>
            <w:tcW w:w="2551" w:type="dxa"/>
          </w:tcPr>
          <w:p>
            <w:pPr>
              <w:pStyle w:val="nTable"/>
              <w:spacing w:after="40"/>
            </w:pPr>
            <w:r>
              <w:t>5 Dec 1980</w:t>
            </w:r>
          </w:p>
        </w:tc>
      </w:tr>
      <w:tr>
        <w:trPr>
          <w:cantSplit/>
        </w:trPr>
        <w:tc>
          <w:tcPr>
            <w:tcW w:w="2268" w:type="dxa"/>
          </w:tcPr>
          <w:p>
            <w:pPr>
              <w:pStyle w:val="nTable"/>
              <w:spacing w:after="40"/>
              <w:ind w:right="113"/>
            </w:pPr>
            <w:r>
              <w:rPr>
                <w:i/>
              </w:rPr>
              <w:t>Industrial Arbitration Amendment Act 1981</w:t>
            </w:r>
          </w:p>
        </w:tc>
        <w:tc>
          <w:tcPr>
            <w:tcW w:w="1134" w:type="dxa"/>
          </w:tcPr>
          <w:p>
            <w:pPr>
              <w:pStyle w:val="nTable"/>
              <w:spacing w:after="40"/>
            </w:pPr>
            <w:r>
              <w:t>11 of 1981</w:t>
            </w:r>
          </w:p>
        </w:tc>
        <w:tc>
          <w:tcPr>
            <w:tcW w:w="1134" w:type="dxa"/>
          </w:tcPr>
          <w:p>
            <w:pPr>
              <w:pStyle w:val="nTable"/>
              <w:spacing w:after="40"/>
            </w:pPr>
            <w:r>
              <w:t>22 May 1981</w:t>
            </w:r>
          </w:p>
        </w:tc>
        <w:tc>
          <w:tcPr>
            <w:tcW w:w="2551" w:type="dxa"/>
          </w:tcPr>
          <w:p>
            <w:pPr>
              <w:pStyle w:val="nTable"/>
              <w:spacing w:after="40"/>
            </w:pPr>
            <w:r>
              <w:t>22 May 1981</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Industrial Arbitration Amendment Act (No. 2) 1982</w:t>
            </w:r>
          </w:p>
        </w:tc>
        <w:tc>
          <w:tcPr>
            <w:tcW w:w="1134" w:type="dxa"/>
          </w:tcPr>
          <w:p>
            <w:pPr>
              <w:pStyle w:val="nTable"/>
              <w:spacing w:after="40"/>
            </w:pPr>
            <w:r>
              <w:t>121 of 1982</w:t>
            </w:r>
          </w:p>
        </w:tc>
        <w:tc>
          <w:tcPr>
            <w:tcW w:w="1134" w:type="dxa"/>
          </w:tcPr>
          <w:p>
            <w:pPr>
              <w:pStyle w:val="nTable"/>
              <w:spacing w:after="40"/>
            </w:pPr>
            <w:r>
              <w:t>9 Dec 1982</w:t>
            </w:r>
          </w:p>
        </w:tc>
        <w:tc>
          <w:tcPr>
            <w:tcW w:w="2551" w:type="dxa"/>
          </w:tcPr>
          <w:p>
            <w:pPr>
              <w:pStyle w:val="nTable"/>
              <w:spacing w:after="40"/>
            </w:pPr>
            <w:r>
              <w:t>9 Dec 1982</w:t>
            </w:r>
          </w:p>
        </w:tc>
      </w:tr>
      <w:tr>
        <w:trPr>
          <w:cantSplit/>
        </w:trPr>
        <w:tc>
          <w:tcPr>
            <w:tcW w:w="7087" w:type="dxa"/>
            <w:gridSpan w:val="4"/>
          </w:tcPr>
          <w:p>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trPr>
          <w:cantSplit/>
        </w:trPr>
        <w:tc>
          <w:tcPr>
            <w:tcW w:w="2268" w:type="dxa"/>
          </w:tcPr>
          <w:p>
            <w:pPr>
              <w:pStyle w:val="nTable"/>
              <w:spacing w:after="40"/>
              <w:ind w:right="113"/>
            </w:pPr>
            <w:r>
              <w:rPr>
                <w:i/>
              </w:rPr>
              <w:t>Industrial Arbitration Amendment Act (No. 2) 1984</w:t>
            </w:r>
          </w:p>
        </w:tc>
        <w:tc>
          <w:tcPr>
            <w:tcW w:w="1134" w:type="dxa"/>
          </w:tcPr>
          <w:p>
            <w:pPr>
              <w:pStyle w:val="nTable"/>
              <w:keepNext/>
              <w:spacing w:after="40"/>
            </w:pPr>
            <w:r>
              <w:t>92 of 1984</w:t>
            </w:r>
          </w:p>
        </w:tc>
        <w:tc>
          <w:tcPr>
            <w:tcW w:w="1134" w:type="dxa"/>
          </w:tcPr>
          <w:p>
            <w:pPr>
              <w:pStyle w:val="nTable"/>
              <w:spacing w:after="40"/>
            </w:pPr>
            <w:r>
              <w:t>29 Nov 1984</w:t>
            </w:r>
          </w:p>
        </w:tc>
        <w:tc>
          <w:tcPr>
            <w:tcW w:w="2551" w:type="dxa"/>
          </w:tcPr>
          <w:p>
            <w:pPr>
              <w:pStyle w:val="nTable"/>
              <w:spacing w:after="40"/>
            </w:pPr>
            <w:r>
              <w:t>Act other than s. 4 and 5: 29 Nov 1984 (see s. 2(1));</w:t>
            </w:r>
            <w:r>
              <w:br/>
              <w:t xml:space="preserve">s. 4 and 5: 1 Mar 1985 (see s. 2(2) and (3) and </w:t>
            </w:r>
            <w:r>
              <w:rPr>
                <w:i/>
              </w:rPr>
              <w:t>Gazette</w:t>
            </w:r>
            <w:r>
              <w:t xml:space="preserve"> 1 Mar 1985 p. 778) </w:t>
            </w:r>
          </w:p>
        </w:tc>
      </w:tr>
      <w:tr>
        <w:trPr>
          <w:cantSplit/>
        </w:trPr>
        <w:tc>
          <w:tcPr>
            <w:tcW w:w="2268" w:type="dxa"/>
          </w:tcPr>
          <w:p>
            <w:pPr>
              <w:pStyle w:val="nTable"/>
              <w:spacing w:after="40"/>
              <w:ind w:right="113"/>
            </w:pPr>
            <w:r>
              <w:rPr>
                <w:i/>
              </w:rPr>
              <w:t xml:space="preserve">Acts Amendment and Repeal (Industrial Relations) Act (No. 2) 1984 </w:t>
            </w:r>
            <w:r>
              <w:t>Pt. II</w:t>
            </w:r>
          </w:p>
        </w:tc>
        <w:tc>
          <w:tcPr>
            <w:tcW w:w="1134" w:type="dxa"/>
          </w:tcPr>
          <w:p>
            <w:pPr>
              <w:pStyle w:val="nTable"/>
              <w:spacing w:after="40"/>
            </w:pPr>
            <w:r>
              <w:t>94 of 1984</w:t>
            </w:r>
          </w:p>
        </w:tc>
        <w:tc>
          <w:tcPr>
            <w:tcW w:w="1134" w:type="dxa"/>
          </w:tcPr>
          <w:p>
            <w:pPr>
              <w:pStyle w:val="nTable"/>
              <w:spacing w:after="40"/>
            </w:pPr>
            <w:r>
              <w:t>11 Dec 1984</w:t>
            </w:r>
          </w:p>
        </w:tc>
        <w:tc>
          <w:tcPr>
            <w:tcW w:w="2551" w:type="dxa"/>
          </w:tcPr>
          <w:p>
            <w:pPr>
              <w:pStyle w:val="nTable"/>
              <w:spacing w:after="40"/>
            </w:pPr>
            <w:r>
              <w:t xml:space="preserve">1 Mar 1985 (see s. 2(2) and </w:t>
            </w:r>
            <w:r>
              <w:rPr>
                <w:i/>
              </w:rPr>
              <w:t>Gazette</w:t>
            </w:r>
            <w:r>
              <w:t xml:space="preserve"> 1 Mar 1985 p. 778)</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trPr>
          <w:cantSplit/>
        </w:trPr>
        <w:tc>
          <w:tcPr>
            <w:tcW w:w="2268" w:type="dxa"/>
          </w:tcPr>
          <w:p>
            <w:pPr>
              <w:pStyle w:val="nTable"/>
              <w:spacing w:after="40"/>
              <w:ind w:right="113"/>
            </w:pPr>
            <w:r>
              <w:rPr>
                <w:i/>
              </w:rPr>
              <w:t>Industrial Relations Amendment Act 1985</w:t>
            </w:r>
          </w:p>
        </w:tc>
        <w:tc>
          <w:tcPr>
            <w:tcW w:w="1134" w:type="dxa"/>
          </w:tcPr>
          <w:p>
            <w:pPr>
              <w:pStyle w:val="nTable"/>
              <w:spacing w:after="40"/>
            </w:pPr>
            <w:r>
              <w:t>42 of 1985</w:t>
            </w:r>
          </w:p>
        </w:tc>
        <w:tc>
          <w:tcPr>
            <w:tcW w:w="1134" w:type="dxa"/>
          </w:tcPr>
          <w:p>
            <w:pPr>
              <w:pStyle w:val="nTable"/>
              <w:spacing w:after="40"/>
            </w:pPr>
            <w:r>
              <w:t>13 May 1985</w:t>
            </w:r>
          </w:p>
        </w:tc>
        <w:tc>
          <w:tcPr>
            <w:tcW w:w="2551" w:type="dxa"/>
          </w:tcPr>
          <w:p>
            <w:pPr>
              <w:pStyle w:val="nTable"/>
              <w:spacing w:after="40"/>
            </w:pPr>
            <w:r>
              <w:t>13 May 1985 (see s. 2)</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trPr>
          <w:cantSplit/>
        </w:trPr>
        <w:tc>
          <w:tcPr>
            <w:tcW w:w="2268" w:type="dxa"/>
          </w:tcPr>
          <w:p>
            <w:pPr>
              <w:pStyle w:val="nTable"/>
              <w:spacing w:after="40"/>
              <w:ind w:right="113"/>
            </w:pPr>
            <w:r>
              <w:rPr>
                <w:i/>
              </w:rPr>
              <w:lastRenderedPageBreak/>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 xml:space="preserve">Judges’ Salaries and Pensions Amendment Act 1987 </w:t>
            </w:r>
            <w:r>
              <w:t>s. 8</w:t>
            </w:r>
          </w:p>
        </w:tc>
        <w:tc>
          <w:tcPr>
            <w:tcW w:w="1134" w:type="dxa"/>
          </w:tcPr>
          <w:p>
            <w:pPr>
              <w:pStyle w:val="nTable"/>
              <w:spacing w:after="40"/>
            </w:pPr>
            <w:r>
              <w:t>82 of 1987</w:t>
            </w:r>
          </w:p>
        </w:tc>
        <w:tc>
          <w:tcPr>
            <w:tcW w:w="1134" w:type="dxa"/>
          </w:tcPr>
          <w:p>
            <w:pPr>
              <w:pStyle w:val="nTable"/>
              <w:spacing w:after="40"/>
            </w:pPr>
            <w:r>
              <w:t>1 Dec 1987</w:t>
            </w:r>
          </w:p>
        </w:tc>
        <w:tc>
          <w:tcPr>
            <w:tcW w:w="2551" w:type="dxa"/>
          </w:tcPr>
          <w:p>
            <w:pPr>
              <w:pStyle w:val="nTable"/>
              <w:spacing w:after="40"/>
            </w:pPr>
            <w:r>
              <w:t>1 Dec 1987 (see s. 2)</w:t>
            </w:r>
          </w:p>
        </w:tc>
      </w:tr>
      <w:tr>
        <w:trPr>
          <w:cantSplit/>
        </w:trPr>
        <w:tc>
          <w:tcPr>
            <w:tcW w:w="2268" w:type="dxa"/>
          </w:tcPr>
          <w:p>
            <w:pPr>
              <w:pStyle w:val="nTable"/>
              <w:spacing w:after="40"/>
              <w:ind w:right="113"/>
            </w:pPr>
            <w:r>
              <w:rPr>
                <w:i/>
              </w:rPr>
              <w:t xml:space="preserve">The Rural and Industries Bank of Western Australia Act 1987 </w:t>
            </w:r>
            <w:r>
              <w:t>s. 38</w:t>
            </w:r>
          </w:p>
        </w:tc>
        <w:tc>
          <w:tcPr>
            <w:tcW w:w="1134" w:type="dxa"/>
          </w:tcPr>
          <w:p>
            <w:pPr>
              <w:pStyle w:val="nTable"/>
              <w:spacing w:after="40"/>
            </w:pPr>
            <w:r>
              <w:t>83 of 1987</w:t>
            </w:r>
          </w:p>
        </w:tc>
        <w:tc>
          <w:tcPr>
            <w:tcW w:w="1134" w:type="dxa"/>
          </w:tcPr>
          <w:p>
            <w:pPr>
              <w:pStyle w:val="nTable"/>
              <w:spacing w:after="40"/>
            </w:pPr>
            <w:r>
              <w:t>1 Dec 1987</w:t>
            </w:r>
          </w:p>
        </w:tc>
        <w:tc>
          <w:tcPr>
            <w:tcW w:w="2551" w:type="dxa"/>
          </w:tcPr>
          <w:p>
            <w:pPr>
              <w:pStyle w:val="nTable"/>
              <w:spacing w:after="40"/>
            </w:pPr>
            <w:r>
              <w:t>1 Apr 1988 (see s. 2)</w:t>
            </w:r>
          </w:p>
        </w:tc>
      </w:tr>
      <w:tr>
        <w:trPr>
          <w:cantSplit/>
        </w:trPr>
        <w:tc>
          <w:tcPr>
            <w:tcW w:w="2268" w:type="dxa"/>
          </w:tcPr>
          <w:p>
            <w:pPr>
              <w:pStyle w:val="nTable"/>
              <w:spacing w:after="40"/>
              <w:ind w:right="113"/>
            </w:pPr>
            <w:r>
              <w:rPr>
                <w:i/>
              </w:rPr>
              <w:t>Industrial Relations Amendment Act (No. 4) 1987</w:t>
            </w:r>
          </w:p>
        </w:tc>
        <w:tc>
          <w:tcPr>
            <w:tcW w:w="1134" w:type="dxa"/>
          </w:tcPr>
          <w:p>
            <w:pPr>
              <w:pStyle w:val="nTable"/>
              <w:keepNext/>
              <w:spacing w:after="40"/>
            </w:pPr>
            <w:r>
              <w:t>119 of 1987</w:t>
            </w:r>
          </w:p>
        </w:tc>
        <w:tc>
          <w:tcPr>
            <w:tcW w:w="1134" w:type="dxa"/>
          </w:tcPr>
          <w:p>
            <w:pPr>
              <w:pStyle w:val="nTable"/>
              <w:spacing w:after="40"/>
            </w:pPr>
            <w:r>
              <w:t>31 Dec 1987</w:t>
            </w:r>
          </w:p>
        </w:tc>
        <w:tc>
          <w:tcPr>
            <w:tcW w:w="2551" w:type="dxa"/>
          </w:tcPr>
          <w:p>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trPr>
          <w:cantSplit/>
        </w:trPr>
        <w:tc>
          <w:tcPr>
            <w:tcW w:w="2268" w:type="dxa"/>
          </w:tcPr>
          <w:p>
            <w:pPr>
              <w:pStyle w:val="nTable"/>
              <w:spacing w:after="40"/>
              <w:ind w:right="113"/>
            </w:pPr>
            <w:r>
              <w:rPr>
                <w:i/>
              </w:rPr>
              <w:t xml:space="preserve">Acts Amendment (Education) Act 1988 </w:t>
            </w:r>
            <w:r>
              <w:t>Pt. 6</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pPr>
              <w:pStyle w:val="nTable"/>
              <w:spacing w:after="40"/>
              <w:rPr>
                <w:spacing w:val="-2"/>
                <w:vertAlign w:val="superscript"/>
              </w:rPr>
            </w:pPr>
            <w:r>
              <w:rPr>
                <w:spacing w:val="-2"/>
              </w:rPr>
              <w:t>99 of 1990 (as amended by No. 1 of 1995 s. 35)</w:t>
            </w:r>
          </w:p>
        </w:tc>
        <w:tc>
          <w:tcPr>
            <w:tcW w:w="1134" w:type="dxa"/>
          </w:tcPr>
          <w:p>
            <w:pPr>
              <w:pStyle w:val="nTable"/>
              <w:spacing w:after="40"/>
            </w:pPr>
            <w:r>
              <w:t>22 Dec 1990</w:t>
            </w:r>
          </w:p>
        </w:tc>
        <w:tc>
          <w:tcPr>
            <w:tcW w:w="2551" w:type="dxa"/>
          </w:tcPr>
          <w:p>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10</w:t>
            </w:r>
            <w:r>
              <w:t>)</w:t>
            </w:r>
          </w:p>
        </w:tc>
      </w:tr>
      <w:tr>
        <w:trPr>
          <w:cantSplit/>
        </w:trPr>
        <w:tc>
          <w:tcPr>
            <w:tcW w:w="2268" w:type="dxa"/>
          </w:tcPr>
          <w:p>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pPr>
              <w:pStyle w:val="nTable"/>
              <w:spacing w:after="40"/>
              <w:rPr>
                <w:spacing w:val="-2"/>
              </w:rPr>
            </w:pPr>
            <w:r>
              <w:rPr>
                <w:spacing w:val="-2"/>
              </w:rPr>
              <w:t>44 of 1991</w:t>
            </w:r>
          </w:p>
        </w:tc>
        <w:tc>
          <w:tcPr>
            <w:tcW w:w="1134" w:type="dxa"/>
          </w:tcPr>
          <w:p>
            <w:pPr>
              <w:pStyle w:val="nTable"/>
              <w:spacing w:after="40"/>
            </w:pPr>
            <w:r>
              <w:rPr>
                <w:spacing w:val="-2"/>
              </w:rPr>
              <w:t>17 Dec 1991</w:t>
            </w:r>
          </w:p>
        </w:tc>
        <w:tc>
          <w:tcPr>
            <w:tcW w:w="2551" w:type="dxa"/>
          </w:tcPr>
          <w:p>
            <w:pPr>
              <w:pStyle w:val="nTable"/>
              <w:spacing w:after="40"/>
            </w:pPr>
            <w:r>
              <w:rPr>
                <w:spacing w:val="-2"/>
              </w:rPr>
              <w:t xml:space="preserve">3 Jan 1992 (see s. 2 and </w:t>
            </w:r>
            <w:r>
              <w:rPr>
                <w:i/>
                <w:spacing w:val="-2"/>
              </w:rPr>
              <w:t>Gazette</w:t>
            </w:r>
            <w:r>
              <w:rPr>
                <w:spacing w:val="-2"/>
              </w:rPr>
              <w:t xml:space="preserve"> 3 Jan 1992 p. 41)</w:t>
            </w:r>
          </w:p>
        </w:tc>
      </w:tr>
      <w:tr>
        <w:trPr>
          <w:cantSplit/>
        </w:trPr>
        <w:tc>
          <w:tcPr>
            <w:tcW w:w="2268" w:type="dxa"/>
          </w:tcPr>
          <w:p>
            <w:pPr>
              <w:pStyle w:val="nTable"/>
              <w:spacing w:after="40"/>
              <w:ind w:right="113"/>
            </w:pPr>
            <w:r>
              <w:rPr>
                <w:i/>
                <w:spacing w:val="-2"/>
              </w:rPr>
              <w:t>Western Australian Land Authority Act 1992</w:t>
            </w:r>
            <w:r>
              <w:rPr>
                <w:spacing w:val="-2"/>
              </w:rPr>
              <w:t xml:space="preserve"> s. 49</w:t>
            </w:r>
          </w:p>
        </w:tc>
        <w:tc>
          <w:tcPr>
            <w:tcW w:w="1134" w:type="dxa"/>
          </w:tcPr>
          <w:p>
            <w:pPr>
              <w:pStyle w:val="nTable"/>
              <w:spacing w:after="40"/>
              <w:rPr>
                <w:spacing w:val="-2"/>
              </w:rPr>
            </w:pPr>
            <w:r>
              <w:rPr>
                <w:spacing w:val="-2"/>
              </w:rPr>
              <w:t>35 of 1992</w:t>
            </w:r>
          </w:p>
        </w:tc>
        <w:tc>
          <w:tcPr>
            <w:tcW w:w="1134" w:type="dxa"/>
          </w:tcPr>
          <w:p>
            <w:pPr>
              <w:pStyle w:val="nTable"/>
              <w:spacing w:after="40"/>
            </w:pPr>
            <w:r>
              <w:rPr>
                <w:spacing w:val="-2"/>
              </w:rPr>
              <w:t>23 Jun 1992</w:t>
            </w:r>
          </w:p>
        </w:tc>
        <w:tc>
          <w:tcPr>
            <w:tcW w:w="2551" w:type="dxa"/>
          </w:tcPr>
          <w:p>
            <w:pPr>
              <w:pStyle w:val="nTable"/>
              <w:spacing w:after="40"/>
            </w:pPr>
            <w:r>
              <w:rPr>
                <w:spacing w:val="-2"/>
              </w:rPr>
              <w:t xml:space="preserve">1 Jul 1992 (see s. 2(2) and </w:t>
            </w:r>
            <w:r>
              <w:rPr>
                <w:i/>
                <w:spacing w:val="-2"/>
              </w:rPr>
              <w:t>Gazette</w:t>
            </w:r>
            <w:r>
              <w:rPr>
                <w:spacing w:val="-2"/>
              </w:rPr>
              <w:t xml:space="preserve"> 30 Jun 1992 p. 2869)</w:t>
            </w:r>
          </w:p>
        </w:tc>
      </w:tr>
      <w:tr>
        <w:trPr>
          <w:cantSplit/>
        </w:trPr>
        <w:tc>
          <w:tcPr>
            <w:tcW w:w="2268" w:type="dxa"/>
          </w:tcPr>
          <w:p>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pPr>
              <w:pStyle w:val="nTable"/>
              <w:keepNext/>
              <w:spacing w:after="40"/>
              <w:rPr>
                <w:spacing w:val="-2"/>
              </w:rPr>
            </w:pPr>
            <w:r>
              <w:rPr>
                <w:spacing w:val="-2"/>
              </w:rPr>
              <w:t>40 of 1992</w:t>
            </w:r>
          </w:p>
        </w:tc>
        <w:tc>
          <w:tcPr>
            <w:tcW w:w="1134" w:type="dxa"/>
          </w:tcPr>
          <w:p>
            <w:pPr>
              <w:pStyle w:val="nTable"/>
              <w:spacing w:after="40"/>
            </w:pPr>
            <w:r>
              <w:rPr>
                <w:spacing w:val="-2"/>
              </w:rPr>
              <w:t>2 Oct 1992</w:t>
            </w:r>
          </w:p>
        </w:tc>
        <w:tc>
          <w:tcPr>
            <w:tcW w:w="2551" w:type="dxa"/>
          </w:tcPr>
          <w:p>
            <w:pPr>
              <w:pStyle w:val="nTable"/>
              <w:spacing w:after="40"/>
            </w:pPr>
            <w:r>
              <w:rPr>
                <w:spacing w:val="-2"/>
              </w:rPr>
              <w:t xml:space="preserve">3 Nov 1992 (see s. 2 and </w:t>
            </w:r>
            <w:r>
              <w:rPr>
                <w:i/>
                <w:spacing w:val="-2"/>
              </w:rPr>
              <w:t>Gazette</w:t>
            </w:r>
            <w:r>
              <w:rPr>
                <w:spacing w:val="-2"/>
              </w:rPr>
              <w:t xml:space="preserve"> 3 Nov 1992 p. 5389)</w:t>
            </w:r>
          </w:p>
        </w:tc>
      </w:tr>
      <w:tr>
        <w:trPr>
          <w:cantSplit/>
        </w:trPr>
        <w:tc>
          <w:tcPr>
            <w:tcW w:w="2268" w:type="dxa"/>
          </w:tcPr>
          <w:p>
            <w:pPr>
              <w:pStyle w:val="nTable"/>
              <w:spacing w:after="40"/>
              <w:ind w:right="113"/>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rPr>
          <w:cantSplit/>
        </w:trPr>
        <w:tc>
          <w:tcPr>
            <w:tcW w:w="2268" w:type="dxa"/>
          </w:tcPr>
          <w:p>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pPr>
              <w:pStyle w:val="nTable"/>
              <w:spacing w:after="40"/>
              <w:rPr>
                <w:spacing w:val="-2"/>
              </w:rPr>
            </w:pPr>
            <w:r>
              <w:rPr>
                <w:spacing w:val="-2"/>
              </w:rPr>
              <w:t>15 of 1993</w:t>
            </w:r>
          </w:p>
        </w:tc>
        <w:tc>
          <w:tcPr>
            <w:tcW w:w="1134" w:type="dxa"/>
          </w:tcPr>
          <w:p>
            <w:pPr>
              <w:pStyle w:val="nTable"/>
              <w:spacing w:after="40"/>
            </w:pPr>
            <w:r>
              <w:rPr>
                <w:spacing w:val="-2"/>
              </w:rPr>
              <w:t>29 Nov 1993</w:t>
            </w:r>
          </w:p>
        </w:tc>
        <w:tc>
          <w:tcPr>
            <w:tcW w:w="2551" w:type="dxa"/>
          </w:tcPr>
          <w:p>
            <w:pPr>
              <w:pStyle w:val="nTable"/>
              <w:spacing w:after="40"/>
            </w:pPr>
            <w:r>
              <w:rPr>
                <w:spacing w:val="-2"/>
              </w:rPr>
              <w:t xml:space="preserve">1 Dec 1993 (see s. 2 and </w:t>
            </w:r>
            <w:r>
              <w:rPr>
                <w:i/>
                <w:spacing w:val="-2"/>
              </w:rPr>
              <w:t>Gazette</w:t>
            </w:r>
            <w:r>
              <w:rPr>
                <w:spacing w:val="-2"/>
              </w:rPr>
              <w:t xml:space="preserve"> 30 Nov 1993 p. 6439)</w:t>
            </w:r>
          </w:p>
        </w:tc>
      </w:tr>
      <w:tr>
        <w:trPr>
          <w:cantSplit/>
        </w:trPr>
        <w:tc>
          <w:tcPr>
            <w:tcW w:w="7087" w:type="dxa"/>
            <w:gridSpan w:val="4"/>
          </w:tcPr>
          <w:p>
            <w:pPr>
              <w:pStyle w:val="nTable"/>
              <w:spacing w:after="40"/>
              <w:rPr>
                <w:spacing w:val="-2"/>
              </w:rPr>
            </w:pPr>
            <w:r>
              <w:rPr>
                <w:b/>
              </w:rPr>
              <w:lastRenderedPageBreak/>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trPr>
          <w:cantSplit/>
        </w:trPr>
        <w:tc>
          <w:tcPr>
            <w:tcW w:w="2268" w:type="dxa"/>
          </w:tcPr>
          <w:p>
            <w:pPr>
              <w:pStyle w:val="nTable"/>
              <w:spacing w:after="40"/>
              <w:ind w:right="113"/>
            </w:pPr>
            <w:r>
              <w:rPr>
                <w:i/>
                <w:spacing w:val="-2"/>
              </w:rPr>
              <w:t xml:space="preserve">Acts Amendment (Public Sector Management) Act 1994 </w:t>
            </w:r>
            <w:r>
              <w:rPr>
                <w:spacing w:val="-2"/>
              </w:rPr>
              <w:t>s. 14</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rPr>
          <w:cantSplit/>
        </w:trPr>
        <w:tc>
          <w:tcPr>
            <w:tcW w:w="2268" w:type="dxa"/>
          </w:tcPr>
          <w:p>
            <w:pPr>
              <w:pStyle w:val="nTable"/>
              <w:spacing w:after="40"/>
              <w:ind w:right="113"/>
            </w:pPr>
            <w:r>
              <w:rPr>
                <w:i/>
                <w:spacing w:val="-2"/>
              </w:rPr>
              <w:t xml:space="preserve">Taxi Act 1994 </w:t>
            </w:r>
            <w:r>
              <w:rPr>
                <w:spacing w:val="-2"/>
              </w:rPr>
              <w:t>s. 50</w:t>
            </w:r>
          </w:p>
        </w:tc>
        <w:tc>
          <w:tcPr>
            <w:tcW w:w="1134" w:type="dxa"/>
          </w:tcPr>
          <w:p>
            <w:pPr>
              <w:pStyle w:val="nTable"/>
              <w:spacing w:after="40"/>
              <w:rPr>
                <w:spacing w:val="-2"/>
              </w:rPr>
            </w:pPr>
            <w:r>
              <w:rPr>
                <w:spacing w:val="-2"/>
              </w:rPr>
              <w:t>83 of 1994</w:t>
            </w:r>
          </w:p>
        </w:tc>
        <w:tc>
          <w:tcPr>
            <w:tcW w:w="1134" w:type="dxa"/>
          </w:tcPr>
          <w:p>
            <w:pPr>
              <w:pStyle w:val="nTable"/>
              <w:spacing w:after="40"/>
            </w:pPr>
            <w:r>
              <w:rPr>
                <w:spacing w:val="-2"/>
              </w:rPr>
              <w:t>20 Dec 1994</w:t>
            </w:r>
          </w:p>
        </w:tc>
        <w:tc>
          <w:tcPr>
            <w:tcW w:w="2551" w:type="dxa"/>
          </w:tcPr>
          <w:p>
            <w:pPr>
              <w:pStyle w:val="nTable"/>
              <w:spacing w:after="40"/>
            </w:pPr>
            <w:r>
              <w:rPr>
                <w:spacing w:val="-2"/>
              </w:rPr>
              <w:t xml:space="preserve">10 Jan 1995 (see s. 2 and </w:t>
            </w:r>
            <w:r>
              <w:rPr>
                <w:i/>
                <w:spacing w:val="-2"/>
              </w:rPr>
              <w:t>Gazette</w:t>
            </w:r>
            <w:r>
              <w:rPr>
                <w:spacing w:val="-2"/>
              </w:rPr>
              <w:t xml:space="preserve"> 10 Jan 1995 p. 73)</w:t>
            </w:r>
          </w:p>
        </w:tc>
      </w:tr>
      <w:tr>
        <w:trPr>
          <w:cantSplit/>
        </w:trPr>
        <w:tc>
          <w:tcPr>
            <w:tcW w:w="2268" w:type="dxa"/>
          </w:tcPr>
          <w:p>
            <w:pPr>
              <w:pStyle w:val="nTable"/>
              <w:spacing w:after="40"/>
              <w:ind w:right="113"/>
            </w:pPr>
            <w:r>
              <w:rPr>
                <w:i/>
                <w:spacing w:val="-2"/>
              </w:rPr>
              <w:t xml:space="preserve">Acts Amendment (Fines, Penalties and Infringement Notices) Act 1994 </w:t>
            </w:r>
            <w:r>
              <w:rPr>
                <w:spacing w:val="-2"/>
              </w:rPr>
              <w:t>Pt. 7</w:t>
            </w:r>
          </w:p>
        </w:tc>
        <w:tc>
          <w:tcPr>
            <w:tcW w:w="1134" w:type="dxa"/>
          </w:tcPr>
          <w:p>
            <w:pPr>
              <w:pStyle w:val="nTable"/>
              <w:spacing w:after="40"/>
              <w:rPr>
                <w:spacing w:val="-2"/>
              </w:rPr>
            </w:pPr>
            <w:r>
              <w:rPr>
                <w:spacing w:val="-2"/>
              </w:rPr>
              <w:t>92 of 1994</w:t>
            </w:r>
          </w:p>
        </w:tc>
        <w:tc>
          <w:tcPr>
            <w:tcW w:w="1134" w:type="dxa"/>
          </w:tcPr>
          <w:p>
            <w:pPr>
              <w:pStyle w:val="nTable"/>
              <w:spacing w:after="40"/>
            </w:pPr>
            <w:r>
              <w:rPr>
                <w:spacing w:val="-2"/>
              </w:rPr>
              <w:t>23 Dec 1994</w:t>
            </w:r>
          </w:p>
        </w:tc>
        <w:tc>
          <w:tcPr>
            <w:tcW w:w="2551" w:type="dxa"/>
          </w:tcPr>
          <w:p>
            <w:pPr>
              <w:pStyle w:val="nTable"/>
              <w:spacing w:after="40"/>
            </w:pPr>
            <w:r>
              <w:rPr>
                <w:spacing w:val="-2"/>
              </w:rPr>
              <w:t xml:space="preserve">1 Jan 1995 (see s. 2(1) and </w:t>
            </w:r>
            <w:r>
              <w:rPr>
                <w:i/>
                <w:spacing w:val="-2"/>
              </w:rPr>
              <w:t>Gazette</w:t>
            </w:r>
            <w:r>
              <w:rPr>
                <w:spacing w:val="-2"/>
              </w:rPr>
              <w:t xml:space="preserve"> 30 Dec 1994 p. 7211)</w:t>
            </w:r>
          </w:p>
        </w:tc>
      </w:tr>
      <w:tr>
        <w:trPr>
          <w:cantSplit/>
        </w:trPr>
        <w:tc>
          <w:tcPr>
            <w:tcW w:w="2268" w:type="dxa"/>
          </w:tcPr>
          <w:p>
            <w:pPr>
              <w:pStyle w:val="nTable"/>
              <w:spacing w:after="40"/>
              <w:ind w:right="113"/>
              <w:rPr>
                <w:vertAlign w:val="superscript"/>
              </w:rPr>
            </w:pPr>
            <w:r>
              <w:rPr>
                <w:i/>
                <w:spacing w:val="-2"/>
              </w:rPr>
              <w:t xml:space="preserve">Hospitals Amendment Act 1994 </w:t>
            </w:r>
            <w:r>
              <w:rPr>
                <w:spacing w:val="-2"/>
              </w:rPr>
              <w:t>s. 18</w:t>
            </w:r>
            <w:r>
              <w:rPr>
                <w:spacing w:val="-2"/>
                <w:vertAlign w:val="superscript"/>
              </w:rPr>
              <w:t> 14</w:t>
            </w:r>
          </w:p>
        </w:tc>
        <w:tc>
          <w:tcPr>
            <w:tcW w:w="1134" w:type="dxa"/>
          </w:tcPr>
          <w:p>
            <w:pPr>
              <w:pStyle w:val="nTable"/>
              <w:spacing w:after="40"/>
              <w:rPr>
                <w:spacing w:val="-2"/>
              </w:rPr>
            </w:pPr>
            <w:r>
              <w:rPr>
                <w:spacing w:val="-2"/>
              </w:rPr>
              <w:t xml:space="preserve">103 of 1994 (as amended </w:t>
            </w:r>
            <w:r>
              <w:rPr>
                <w:spacing w:val="-4"/>
              </w:rPr>
              <w:t>by No. 79 of 1995 s. 36(4))</w:t>
            </w:r>
          </w:p>
        </w:tc>
        <w:tc>
          <w:tcPr>
            <w:tcW w:w="1134" w:type="dxa"/>
          </w:tcPr>
          <w:p>
            <w:pPr>
              <w:pStyle w:val="nTable"/>
              <w:spacing w:after="40"/>
            </w:pPr>
            <w:r>
              <w:rPr>
                <w:spacing w:val="-2"/>
              </w:rPr>
              <w:t>11 Jan 1995</w:t>
            </w:r>
          </w:p>
        </w:tc>
        <w:tc>
          <w:tcPr>
            <w:tcW w:w="2551" w:type="dxa"/>
          </w:tcPr>
          <w:p>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trPr>
          <w:cantSplit/>
        </w:trPr>
        <w:tc>
          <w:tcPr>
            <w:tcW w:w="2268" w:type="dxa"/>
          </w:tcPr>
          <w:p>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pPr>
              <w:pStyle w:val="nTable"/>
              <w:keepNext/>
              <w:spacing w:after="40"/>
              <w:rPr>
                <w:spacing w:val="-2"/>
              </w:rPr>
            </w:pPr>
            <w:r>
              <w:rPr>
                <w:spacing w:val="-2"/>
              </w:rPr>
              <w:t>1 of 1995</w:t>
            </w:r>
          </w:p>
        </w:tc>
        <w:tc>
          <w:tcPr>
            <w:tcW w:w="1134" w:type="dxa"/>
          </w:tcPr>
          <w:p>
            <w:pPr>
              <w:pStyle w:val="nTable"/>
              <w:spacing w:after="40"/>
            </w:pPr>
            <w:r>
              <w:rPr>
                <w:spacing w:val="-2"/>
              </w:rPr>
              <w:t>9 May 1995</w:t>
            </w:r>
          </w:p>
        </w:tc>
        <w:tc>
          <w:tcPr>
            <w:tcW w:w="2551" w:type="dxa"/>
          </w:tcPr>
          <w:p>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trPr>
          <w:cantSplit/>
        </w:trPr>
        <w:tc>
          <w:tcPr>
            <w:tcW w:w="2268" w:type="dxa"/>
          </w:tcPr>
          <w:p>
            <w:pPr>
              <w:pStyle w:val="nTable"/>
              <w:spacing w:after="40"/>
            </w:pPr>
            <w:r>
              <w:rPr>
                <w:i/>
                <w:spacing w:val="-2"/>
              </w:rPr>
              <w:t xml:space="preserve">Marketing of Potatoes </w:t>
            </w:r>
            <w:r>
              <w:rPr>
                <w:i/>
                <w:spacing w:val="-4"/>
              </w:rPr>
              <w:t xml:space="preserve">Amendment Act 1995 </w:t>
            </w:r>
            <w:r>
              <w:rPr>
                <w:spacing w:val="-4"/>
              </w:rPr>
              <w:t>s. 58(5</w:t>
            </w:r>
            <w:r>
              <w:rPr>
                <w:spacing w:val="-2"/>
              </w:rPr>
              <w:t>)</w:t>
            </w:r>
          </w:p>
        </w:tc>
        <w:tc>
          <w:tcPr>
            <w:tcW w:w="1134" w:type="dxa"/>
          </w:tcPr>
          <w:p>
            <w:pPr>
              <w:pStyle w:val="nTable"/>
              <w:spacing w:after="40"/>
              <w:rPr>
                <w:spacing w:val="-2"/>
              </w:rPr>
            </w:pPr>
            <w:r>
              <w:rPr>
                <w:spacing w:val="-2"/>
              </w:rPr>
              <w:t>11 of 1995</w:t>
            </w:r>
          </w:p>
        </w:tc>
        <w:tc>
          <w:tcPr>
            <w:tcW w:w="1134" w:type="dxa"/>
          </w:tcPr>
          <w:p>
            <w:pPr>
              <w:pStyle w:val="nTable"/>
              <w:spacing w:after="40"/>
            </w:pPr>
            <w:r>
              <w:rPr>
                <w:spacing w:val="-2"/>
              </w:rPr>
              <w:t>30 Jun 1995</w:t>
            </w:r>
          </w:p>
        </w:tc>
        <w:tc>
          <w:tcPr>
            <w:tcW w:w="2551" w:type="dxa"/>
          </w:tcPr>
          <w:p>
            <w:pPr>
              <w:pStyle w:val="nTable"/>
              <w:spacing w:after="40"/>
            </w:pPr>
            <w:r>
              <w:rPr>
                <w:spacing w:val="-2"/>
              </w:rPr>
              <w:t xml:space="preserve">4 Sep 1995 (see s. 2 and </w:t>
            </w:r>
            <w:r>
              <w:rPr>
                <w:i/>
                <w:spacing w:val="-2"/>
              </w:rPr>
              <w:t>Gazette</w:t>
            </w:r>
            <w:r>
              <w:rPr>
                <w:spacing w:val="-2"/>
              </w:rPr>
              <w:t xml:space="preserve"> 1 Sep 1995 p. 4063)</w:t>
            </w:r>
          </w:p>
        </w:tc>
      </w:tr>
      <w:tr>
        <w:trPr>
          <w:cantSplit/>
        </w:trPr>
        <w:tc>
          <w:tcPr>
            <w:tcW w:w="2268" w:type="dxa"/>
          </w:tcPr>
          <w:p>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pPr>
              <w:pStyle w:val="nTable"/>
              <w:spacing w:after="40"/>
              <w:rPr>
                <w:spacing w:val="-2"/>
              </w:rPr>
            </w:pPr>
            <w:r>
              <w:rPr>
                <w:spacing w:val="-2"/>
              </w:rPr>
              <w:t>30 of 1995</w:t>
            </w:r>
          </w:p>
        </w:tc>
        <w:tc>
          <w:tcPr>
            <w:tcW w:w="1134" w:type="dxa"/>
          </w:tcPr>
          <w:p>
            <w:pPr>
              <w:pStyle w:val="nTable"/>
              <w:spacing w:after="40"/>
            </w:pPr>
            <w:r>
              <w:rPr>
                <w:spacing w:val="-2"/>
              </w:rPr>
              <w:t>11 Sep 1995</w:t>
            </w:r>
          </w:p>
        </w:tc>
        <w:tc>
          <w:tcPr>
            <w:tcW w:w="2551" w:type="dxa"/>
          </w:tcPr>
          <w:p>
            <w:pPr>
              <w:pStyle w:val="nTable"/>
              <w:spacing w:after="40"/>
            </w:pPr>
            <w:r>
              <w:rPr>
                <w:spacing w:val="-2"/>
              </w:rPr>
              <w:t xml:space="preserve">20 Jan 1996 (see s. 2 and </w:t>
            </w:r>
            <w:r>
              <w:rPr>
                <w:i/>
                <w:spacing w:val="-2"/>
              </w:rPr>
              <w:t>Gazette</w:t>
            </w:r>
            <w:r>
              <w:rPr>
                <w:spacing w:val="-2"/>
              </w:rPr>
              <w:t xml:space="preserve"> 19 Jan 1996 p. 201)</w:t>
            </w:r>
          </w:p>
        </w:tc>
      </w:tr>
      <w:tr>
        <w:tc>
          <w:tcPr>
            <w:tcW w:w="2268" w:type="dxa"/>
          </w:tcPr>
          <w:p>
            <w:pPr>
              <w:pStyle w:val="nTable"/>
              <w:spacing w:after="40"/>
              <w:ind w:right="113"/>
            </w:pPr>
            <w:r>
              <w:rPr>
                <w:i/>
                <w:spacing w:val="-2"/>
              </w:rPr>
              <w:t xml:space="preserve">Sentencing (Consequential Provisions) Act 1995 </w:t>
            </w:r>
            <w:r>
              <w:rPr>
                <w:spacing w:val="-2"/>
              </w:rPr>
              <w:t>Pt. 40</w:t>
            </w:r>
          </w:p>
        </w:tc>
        <w:tc>
          <w:tcPr>
            <w:tcW w:w="1134" w:type="dxa"/>
          </w:tcPr>
          <w:p>
            <w:pPr>
              <w:pStyle w:val="nTable"/>
              <w:spacing w:after="40"/>
              <w:rPr>
                <w:spacing w:val="-2"/>
              </w:rPr>
            </w:pPr>
            <w:r>
              <w:rPr>
                <w:spacing w:val="-2"/>
              </w:rPr>
              <w:t>78 of 1995</w:t>
            </w:r>
          </w:p>
        </w:tc>
        <w:tc>
          <w:tcPr>
            <w:tcW w:w="1134" w:type="dxa"/>
          </w:tcPr>
          <w:p>
            <w:pPr>
              <w:pStyle w:val="nTable"/>
              <w:spacing w:after="40"/>
              <w:rPr>
                <w:spacing w:val="-2"/>
              </w:rPr>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c>
          <w:tcPr>
            <w:tcW w:w="2268" w:type="dxa"/>
          </w:tcPr>
          <w:p>
            <w:pPr>
              <w:pStyle w:val="nTable"/>
              <w:spacing w:after="40"/>
              <w:ind w:right="113"/>
              <w:rPr>
                <w:i/>
                <w:spacing w:val="-2"/>
              </w:rPr>
            </w:pPr>
            <w:r>
              <w:rPr>
                <w:i/>
                <w:spacing w:val="-2"/>
              </w:rPr>
              <w:t>Industrial Relations Legislation Amendment and Repeal Act 1995</w:t>
            </w:r>
            <w:r>
              <w:rPr>
                <w:spacing w:val="-2"/>
                <w:vertAlign w:val="superscript"/>
              </w:rPr>
              <w:t> 16</w:t>
            </w:r>
          </w:p>
        </w:tc>
        <w:tc>
          <w:tcPr>
            <w:tcW w:w="1134" w:type="dxa"/>
          </w:tcPr>
          <w:p>
            <w:pPr>
              <w:pStyle w:val="nTable"/>
              <w:spacing w:after="40"/>
              <w:rPr>
                <w:spacing w:val="-2"/>
              </w:rPr>
            </w:pPr>
            <w:r>
              <w:rPr>
                <w:spacing w:val="-2"/>
              </w:rPr>
              <w:t>79 of 1995</w:t>
            </w:r>
          </w:p>
        </w:tc>
        <w:tc>
          <w:tcPr>
            <w:tcW w:w="1134" w:type="dxa"/>
          </w:tcPr>
          <w:p>
            <w:pPr>
              <w:pStyle w:val="nTable"/>
              <w:spacing w:after="40"/>
              <w:rPr>
                <w:spacing w:val="-2"/>
              </w:rPr>
            </w:pPr>
            <w:r>
              <w:rPr>
                <w:spacing w:val="-2"/>
              </w:rPr>
              <w:t>16 Jan 1996</w:t>
            </w:r>
          </w:p>
        </w:tc>
        <w:tc>
          <w:tcPr>
            <w:tcW w:w="2551" w:type="dxa"/>
          </w:tcPr>
          <w:p>
            <w:pPr>
              <w:pStyle w:val="nTable"/>
              <w:spacing w:after="40"/>
              <w:rPr>
                <w:spacing w:val="-2"/>
              </w:rPr>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2"/>
              </w:rPr>
              <w:t xml:space="preserve"> Pt. 2 and s. 35 and 36:</w:t>
            </w:r>
            <w:r>
              <w:rPr>
                <w:spacing w:val="-2"/>
              </w:rPr>
              <w:br/>
              <w:t xml:space="preserve">1 Nov 1996 (see s. 3(2) and </w:t>
            </w:r>
            <w:r>
              <w:rPr>
                <w:i/>
                <w:spacing w:val="-2"/>
              </w:rPr>
              <w:t>Gazette</w:t>
            </w:r>
            <w:r>
              <w:rPr>
                <w:spacing w:val="-2"/>
              </w:rPr>
              <w:t xml:space="preserve"> 1 Nov 1996 p. 5765);</w:t>
            </w:r>
          </w:p>
        </w:tc>
      </w:tr>
      <w:tr>
        <w:trPr>
          <w:cantSplit/>
        </w:trPr>
        <w:tc>
          <w:tcPr>
            <w:tcW w:w="2268" w:type="dxa"/>
          </w:tcPr>
          <w:p>
            <w:pPr>
              <w:pStyle w:val="nTable"/>
              <w:spacing w:after="40"/>
              <w:ind w:right="113"/>
              <w:rPr>
                <w:spacing w:val="-2"/>
                <w:vertAlign w:val="superscript"/>
              </w:rPr>
            </w:pPr>
          </w:p>
        </w:tc>
        <w:tc>
          <w:tcPr>
            <w:tcW w:w="1134" w:type="dxa"/>
          </w:tcPr>
          <w:p>
            <w:pPr>
              <w:pStyle w:val="nTable"/>
              <w:spacing w:after="40"/>
              <w:rPr>
                <w:spacing w:val="-2"/>
              </w:rPr>
            </w:pPr>
          </w:p>
        </w:tc>
        <w:tc>
          <w:tcPr>
            <w:tcW w:w="1134" w:type="dxa"/>
          </w:tcPr>
          <w:p>
            <w:pPr>
              <w:pStyle w:val="nTable"/>
              <w:spacing w:after="40"/>
            </w:pPr>
          </w:p>
        </w:tc>
        <w:tc>
          <w:tcPr>
            <w:tcW w:w="2551" w:type="dxa"/>
          </w:tcPr>
          <w:p>
            <w:pPr>
              <w:pStyle w:val="nTable"/>
              <w:spacing w:after="40"/>
            </w:pP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trPr>
          <w:cantSplit/>
        </w:trPr>
        <w:tc>
          <w:tcPr>
            <w:tcW w:w="7087" w:type="dxa"/>
            <w:gridSpan w:val="4"/>
          </w:tcPr>
          <w:p>
            <w:pPr>
              <w:pStyle w:val="nTable"/>
              <w:spacing w:after="40"/>
              <w:rPr>
                <w:spacing w:val="-2"/>
              </w:rPr>
            </w:pPr>
            <w:r>
              <w:rPr>
                <w:b/>
              </w:rPr>
              <w:lastRenderedPageBreak/>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trPr>
          <w:cantSplit/>
        </w:trPr>
        <w:tc>
          <w:tcPr>
            <w:tcW w:w="2268" w:type="dxa"/>
          </w:tcPr>
          <w:p>
            <w:pPr>
              <w:pStyle w:val="nTable"/>
              <w:spacing w:after="40"/>
              <w:ind w:right="113"/>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rPr>
          <w:cantSplit/>
        </w:trPr>
        <w:tc>
          <w:tcPr>
            <w:tcW w:w="2268" w:type="dxa"/>
          </w:tcPr>
          <w:p>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pPr>
              <w:pStyle w:val="nTable"/>
              <w:spacing w:after="40"/>
              <w:rPr>
                <w:spacing w:val="-2"/>
              </w:rPr>
            </w:pPr>
            <w:r>
              <w:rPr>
                <w:spacing w:val="-2"/>
              </w:rPr>
              <w:t>42 of 1996</w:t>
            </w:r>
          </w:p>
        </w:tc>
        <w:tc>
          <w:tcPr>
            <w:tcW w:w="1134" w:type="dxa"/>
          </w:tcPr>
          <w:p>
            <w:pPr>
              <w:pStyle w:val="nTable"/>
              <w:spacing w:after="40"/>
            </w:pPr>
            <w:r>
              <w:rPr>
                <w:spacing w:val="-2"/>
              </w:rPr>
              <w:t>16 Oct 1996</w:t>
            </w:r>
          </w:p>
        </w:tc>
        <w:tc>
          <w:tcPr>
            <w:tcW w:w="2551" w:type="dxa"/>
          </w:tcPr>
          <w:p>
            <w:pPr>
              <w:pStyle w:val="nTable"/>
              <w:spacing w:after="40"/>
            </w:pPr>
            <w:r>
              <w:rPr>
                <w:spacing w:val="-2"/>
              </w:rPr>
              <w:t xml:space="preserve">1 Jan 1997 (see s. 2 and </w:t>
            </w:r>
            <w:r>
              <w:rPr>
                <w:i/>
                <w:spacing w:val="-2"/>
              </w:rPr>
              <w:t>Gazette</w:t>
            </w:r>
            <w:r>
              <w:rPr>
                <w:spacing w:val="-2"/>
              </w:rPr>
              <w:t xml:space="preserve"> 12 Nov 1996 p. 6301)</w:t>
            </w:r>
          </w:p>
        </w:tc>
      </w:tr>
      <w:tr>
        <w:trPr>
          <w:cantSplit/>
          <w:trHeight w:val="2775"/>
        </w:trPr>
        <w:tc>
          <w:tcPr>
            <w:tcW w:w="2268" w:type="dxa"/>
            <w:tcBorders>
              <w:bottom w:val="nil"/>
            </w:tcBorders>
          </w:tcPr>
          <w:p>
            <w:pPr>
              <w:pStyle w:val="nTable"/>
              <w:spacing w:after="40"/>
              <w:ind w:right="113"/>
              <w:rPr>
                <w:spacing w:val="-2"/>
                <w:vertAlign w:val="superscript"/>
              </w:rPr>
            </w:pPr>
            <w:r>
              <w:rPr>
                <w:i/>
                <w:spacing w:val="-2"/>
              </w:rPr>
              <w:t>Labour Relations Legislation Amendment Act 1997</w:t>
            </w:r>
            <w:r>
              <w:rPr>
                <w:spacing w:val="-2"/>
                <w:vertAlign w:val="superscript"/>
              </w:rPr>
              <w:t> 5</w:t>
            </w:r>
          </w:p>
        </w:tc>
        <w:tc>
          <w:tcPr>
            <w:tcW w:w="1134" w:type="dxa"/>
          </w:tcPr>
          <w:p>
            <w:pPr>
              <w:pStyle w:val="nTable"/>
              <w:spacing w:after="40"/>
              <w:rPr>
                <w:spacing w:val="-2"/>
              </w:rPr>
            </w:pPr>
            <w:r>
              <w:rPr>
                <w:spacing w:val="-2"/>
              </w:rPr>
              <w:t xml:space="preserve">3 of 1997 </w:t>
            </w:r>
            <w:r>
              <w:rPr>
                <w:spacing w:val="-2"/>
              </w:rPr>
              <w:br/>
              <w:t>(as amended by No. 20 of 2002 s. 191(3))</w:t>
            </w:r>
          </w:p>
        </w:tc>
        <w:tc>
          <w:tcPr>
            <w:tcW w:w="1134" w:type="dxa"/>
          </w:tcPr>
          <w:p>
            <w:pPr>
              <w:pStyle w:val="nTable"/>
              <w:spacing w:after="40"/>
            </w:pPr>
            <w:r>
              <w:rPr>
                <w:spacing w:val="-2"/>
              </w:rPr>
              <w:t>23 May 1997</w:t>
            </w:r>
          </w:p>
        </w:tc>
        <w:tc>
          <w:tcPr>
            <w:tcW w:w="2551" w:type="dxa"/>
          </w:tcPr>
          <w:p>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trPr>
          <w:cantSplit/>
        </w:trPr>
        <w:tc>
          <w:tcPr>
            <w:tcW w:w="2268" w:type="dxa"/>
          </w:tcPr>
          <w:p>
            <w:pPr>
              <w:pStyle w:val="nTable"/>
              <w:spacing w:after="40"/>
              <w:ind w:right="113"/>
              <w:rPr>
                <w:spacing w:val="-2"/>
              </w:rPr>
            </w:pPr>
            <w:r>
              <w:rPr>
                <w:i/>
              </w:rPr>
              <w:t xml:space="preserve">School Education Act 1999 </w:t>
            </w:r>
            <w:r>
              <w:t>s. 247</w:t>
            </w:r>
          </w:p>
        </w:tc>
        <w:tc>
          <w:tcPr>
            <w:tcW w:w="1134" w:type="dxa"/>
          </w:tcPr>
          <w:p>
            <w:pPr>
              <w:pStyle w:val="nTable"/>
              <w:spacing w:after="40"/>
              <w:rPr>
                <w:spacing w:val="-2"/>
              </w:rPr>
            </w:pPr>
            <w:r>
              <w:rPr>
                <w:spacing w:val="-2"/>
              </w:rPr>
              <w:t>36 of 1999</w:t>
            </w:r>
          </w:p>
        </w:tc>
        <w:tc>
          <w:tcPr>
            <w:tcW w:w="1134" w:type="dxa"/>
          </w:tcPr>
          <w:p>
            <w:pPr>
              <w:pStyle w:val="nTable"/>
              <w:spacing w:after="40"/>
              <w:rPr>
                <w:spacing w:val="-2"/>
              </w:rPr>
            </w:pPr>
            <w:r>
              <w:rPr>
                <w:spacing w:val="-2"/>
              </w:rPr>
              <w:t>2 Nov 1999</w:t>
            </w:r>
          </w:p>
        </w:tc>
        <w:tc>
          <w:tcPr>
            <w:tcW w:w="2551" w:type="dxa"/>
          </w:tcPr>
          <w:p>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trPr>
          <w:cantSplit/>
        </w:trPr>
        <w:tc>
          <w:tcPr>
            <w:tcW w:w="2268" w:type="dxa"/>
          </w:tcPr>
          <w:p>
            <w:pPr>
              <w:pStyle w:val="nTable"/>
              <w:spacing w:after="40"/>
              <w:ind w:right="113"/>
              <w:rPr>
                <w:i/>
                <w:spacing w:val="-2"/>
              </w:rPr>
            </w:pPr>
            <w:r>
              <w:rPr>
                <w:i/>
                <w:spacing w:val="-2"/>
              </w:rPr>
              <w:t>Industrial Relations Amendment Act 2000</w:t>
            </w:r>
          </w:p>
        </w:tc>
        <w:tc>
          <w:tcPr>
            <w:tcW w:w="1134" w:type="dxa"/>
          </w:tcPr>
          <w:p>
            <w:pPr>
              <w:pStyle w:val="nTable"/>
              <w:spacing w:after="40"/>
              <w:rPr>
                <w:spacing w:val="-2"/>
              </w:rPr>
            </w:pPr>
            <w:r>
              <w:rPr>
                <w:spacing w:val="-2"/>
              </w:rPr>
              <w:t>58 of 2000</w:t>
            </w:r>
          </w:p>
        </w:tc>
        <w:tc>
          <w:tcPr>
            <w:tcW w:w="1134" w:type="dxa"/>
          </w:tcPr>
          <w:p>
            <w:pPr>
              <w:pStyle w:val="nTable"/>
              <w:spacing w:after="40"/>
              <w:rPr>
                <w:spacing w:val="-2"/>
              </w:rPr>
            </w:pPr>
            <w:r>
              <w:rPr>
                <w:spacing w:val="-2"/>
              </w:rPr>
              <w:t>4 Dec 2000</w:t>
            </w:r>
          </w:p>
        </w:tc>
        <w:tc>
          <w:tcPr>
            <w:tcW w:w="2551" w:type="dxa"/>
          </w:tcPr>
          <w:p>
            <w:pPr>
              <w:pStyle w:val="nTable"/>
              <w:spacing w:after="40"/>
              <w:rPr>
                <w:spacing w:val="-2"/>
              </w:rPr>
            </w:pPr>
            <w:r>
              <w:rPr>
                <w:spacing w:val="-2"/>
              </w:rPr>
              <w:t>4 Dec 2000 (see s. 2)</w:t>
            </w:r>
          </w:p>
        </w:tc>
      </w:tr>
      <w:tr>
        <w:trPr>
          <w:cantSplit/>
        </w:trPr>
        <w:tc>
          <w:tcPr>
            <w:tcW w:w="2268" w:type="dxa"/>
          </w:tcPr>
          <w:p>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pPr>
              <w:pStyle w:val="nTable"/>
              <w:spacing w:after="40"/>
              <w:rPr>
                <w:spacing w:val="-2"/>
              </w:rPr>
            </w:pPr>
            <w:r>
              <w:rPr>
                <w:spacing w:val="-2"/>
              </w:rPr>
              <w:t>10 of 2001</w:t>
            </w:r>
          </w:p>
        </w:tc>
        <w:tc>
          <w:tcPr>
            <w:tcW w:w="1134" w:type="dxa"/>
          </w:tcPr>
          <w:p>
            <w:pPr>
              <w:pStyle w:val="nTable"/>
              <w:spacing w:after="40"/>
              <w:rPr>
                <w:spacing w:val="-2"/>
              </w:rPr>
            </w:pPr>
            <w:r>
              <w:rPr>
                <w:spacing w:val="-2"/>
              </w:rPr>
              <w:t>28 Jun 2001</w:t>
            </w:r>
          </w:p>
        </w:tc>
        <w:tc>
          <w:tcPr>
            <w:tcW w:w="2551" w:type="dxa"/>
          </w:tcPr>
          <w:p>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u w:val="single"/>
              </w:rPr>
            </w:pPr>
            <w:r>
              <w:rPr>
                <w:i/>
                <w:spacing w:val="-2"/>
              </w:rPr>
              <w:lastRenderedPageBreak/>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pPr>
              <w:pStyle w:val="nTable"/>
              <w:spacing w:after="40"/>
              <w:rPr>
                <w:spacing w:val="-2"/>
              </w:rPr>
            </w:pPr>
            <w:r>
              <w:rPr>
                <w:spacing w:val="-2"/>
              </w:rPr>
              <w:t>20 of 2002</w:t>
            </w:r>
          </w:p>
        </w:tc>
        <w:tc>
          <w:tcPr>
            <w:tcW w:w="1134" w:type="dxa"/>
          </w:tcPr>
          <w:p>
            <w:pPr>
              <w:pStyle w:val="nTable"/>
              <w:spacing w:after="40"/>
              <w:rPr>
                <w:spacing w:val="-2"/>
              </w:rPr>
            </w:pPr>
            <w:r>
              <w:rPr>
                <w:spacing w:val="-2"/>
              </w:rPr>
              <w:t>8 Jul 2002</w:t>
            </w:r>
          </w:p>
        </w:tc>
        <w:tc>
          <w:tcPr>
            <w:tcW w:w="2551" w:type="dxa"/>
          </w:tcPr>
          <w:p>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trPr>
          <w:cantSplit/>
        </w:trPr>
        <w:tc>
          <w:tcPr>
            <w:tcW w:w="2268" w:type="dxa"/>
          </w:tcPr>
          <w:p>
            <w:pPr>
              <w:pStyle w:val="nTable"/>
              <w:spacing w:after="40"/>
            </w:pPr>
            <w:r>
              <w:rPr>
                <w:i/>
              </w:rPr>
              <w:t>Police Amendment Act 2003 </w:t>
            </w:r>
            <w:r>
              <w:t>s. 10</w:t>
            </w:r>
          </w:p>
        </w:tc>
        <w:tc>
          <w:tcPr>
            <w:tcW w:w="1134" w:type="dxa"/>
          </w:tcPr>
          <w:p>
            <w:pPr>
              <w:pStyle w:val="nTable"/>
              <w:spacing w:after="40"/>
            </w:pPr>
            <w:r>
              <w:t>7 of 2003</w:t>
            </w:r>
          </w:p>
        </w:tc>
        <w:tc>
          <w:tcPr>
            <w:tcW w:w="1134" w:type="dxa"/>
          </w:tcPr>
          <w:p>
            <w:pPr>
              <w:pStyle w:val="nTable"/>
              <w:spacing w:after="40"/>
            </w:pPr>
            <w:r>
              <w:t>27 Mar 2003</w:t>
            </w:r>
          </w:p>
        </w:tc>
        <w:tc>
          <w:tcPr>
            <w:tcW w:w="2551" w:type="dxa"/>
          </w:tcPr>
          <w:p>
            <w:pPr>
              <w:pStyle w:val="nTable"/>
              <w:spacing w:after="40"/>
            </w:pPr>
            <w:r>
              <w:t xml:space="preserve">27 Aug 2003 (see s. 2 and </w:t>
            </w:r>
            <w:r>
              <w:rPr>
                <w:i/>
              </w:rPr>
              <w:t>Gazette</w:t>
            </w:r>
            <w:r>
              <w:t xml:space="preserve"> 26 Aug 2003 p. 3753)</w:t>
            </w:r>
          </w:p>
        </w:tc>
      </w:tr>
      <w:tr>
        <w:trPr>
          <w:cantSplit/>
        </w:trPr>
        <w:tc>
          <w:tcPr>
            <w:tcW w:w="2268" w:type="dxa"/>
          </w:tcPr>
          <w:p>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pPr>
              <w:pStyle w:val="nTable"/>
              <w:spacing w:after="40"/>
              <w:rPr>
                <w:spacing w:val="-2"/>
              </w:rPr>
            </w:pPr>
            <w:r>
              <w:rPr>
                <w:spacing w:val="-2"/>
              </w:rPr>
              <w:t>20 of 2003</w:t>
            </w:r>
          </w:p>
        </w:tc>
        <w:tc>
          <w:tcPr>
            <w:tcW w:w="1134" w:type="dxa"/>
          </w:tcPr>
          <w:p>
            <w:pPr>
              <w:pStyle w:val="nTable"/>
              <w:spacing w:after="40"/>
              <w:rPr>
                <w:spacing w:val="-2"/>
              </w:rPr>
            </w:pPr>
            <w:r>
              <w:rPr>
                <w:spacing w:val="-2"/>
              </w:rPr>
              <w:t>23 Apr 2003</w:t>
            </w:r>
          </w:p>
        </w:tc>
        <w:tc>
          <w:tcPr>
            <w:tcW w:w="2551" w:type="dxa"/>
          </w:tcPr>
          <w:p>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vertAlign w:val="superscript"/>
              </w:rPr>
            </w:pPr>
            <w:r>
              <w:rPr>
                <w:i/>
                <w:spacing w:val="-2"/>
              </w:rPr>
              <w:t>Acts Amendment (Equality of Status) Act 2003</w:t>
            </w:r>
            <w:r>
              <w:rPr>
                <w:spacing w:val="-2"/>
              </w:rPr>
              <w:t xml:space="preserve"> Pt. 31</w:t>
            </w:r>
          </w:p>
        </w:tc>
        <w:tc>
          <w:tcPr>
            <w:tcW w:w="1134" w:type="dxa"/>
          </w:tcPr>
          <w:p>
            <w:pPr>
              <w:pStyle w:val="nTable"/>
              <w:spacing w:after="40"/>
              <w:rPr>
                <w:spacing w:val="-2"/>
              </w:rPr>
            </w:pPr>
            <w:r>
              <w:rPr>
                <w:spacing w:val="-2"/>
              </w:rPr>
              <w:t>28 of 2003</w:t>
            </w:r>
          </w:p>
        </w:tc>
        <w:tc>
          <w:tcPr>
            <w:tcW w:w="1134" w:type="dxa"/>
          </w:tcPr>
          <w:p>
            <w:pPr>
              <w:pStyle w:val="nTable"/>
              <w:spacing w:after="40"/>
              <w:rPr>
                <w:spacing w:val="-2"/>
              </w:rPr>
            </w:pPr>
            <w:r>
              <w:rPr>
                <w:spacing w:val="-2"/>
              </w:rPr>
              <w:t>22 May 2003</w:t>
            </w:r>
          </w:p>
        </w:tc>
        <w:tc>
          <w:tcPr>
            <w:tcW w:w="2551" w:type="dxa"/>
          </w:tcPr>
          <w:p>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trPr>
          <w:cantSplit/>
        </w:trPr>
        <w:tc>
          <w:tcPr>
            <w:tcW w:w="2268" w:type="dxa"/>
          </w:tcPr>
          <w:p>
            <w:pPr>
              <w:pStyle w:val="nTable"/>
              <w:spacing w:after="40"/>
              <w:ind w:right="170"/>
            </w:pPr>
            <w:r>
              <w:rPr>
                <w:i/>
              </w:rPr>
              <w:t>Public Transport Authority Act 2003</w:t>
            </w:r>
            <w:r>
              <w:t xml:space="preserve"> s. 147</w:t>
            </w:r>
          </w:p>
        </w:tc>
        <w:tc>
          <w:tcPr>
            <w:tcW w:w="1134" w:type="dxa"/>
          </w:tcPr>
          <w:p>
            <w:pPr>
              <w:pStyle w:val="nTable"/>
              <w:spacing w:after="40"/>
              <w:ind w:right="170"/>
            </w:pPr>
            <w:r>
              <w:t>31 of 2003</w:t>
            </w:r>
          </w:p>
        </w:tc>
        <w:tc>
          <w:tcPr>
            <w:tcW w:w="1134" w:type="dxa"/>
          </w:tcPr>
          <w:p>
            <w:pPr>
              <w:pStyle w:val="nTable"/>
              <w:spacing w:after="40"/>
              <w:ind w:right="-28"/>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4 published: Gazette </w:t>
            </w:r>
            <w:r>
              <w:t>15 Aug 2003 p. 3685</w:t>
            </w:r>
            <w:r>
              <w:noBreakHyphen/>
              <w:t>92</w:t>
            </w:r>
          </w:p>
        </w:tc>
        <w:tc>
          <w:tcPr>
            <w:tcW w:w="2551" w:type="dxa"/>
          </w:tcPr>
          <w:p>
            <w:pPr>
              <w:pStyle w:val="nTable"/>
              <w:spacing w:after="40"/>
              <w:rPr>
                <w:spacing w:val="-2"/>
              </w:rPr>
            </w:pPr>
            <w:r>
              <w:rPr>
                <w:spacing w:val="-2"/>
              </w:rPr>
              <w:t>15 Sep 2003 (see r. 2)</w:t>
            </w:r>
          </w:p>
        </w:tc>
      </w:tr>
      <w:tr>
        <w:trPr>
          <w:cantSplit/>
        </w:trPr>
        <w:tc>
          <w:tcPr>
            <w:tcW w:w="2268" w:type="dxa"/>
          </w:tcPr>
          <w:p>
            <w:pPr>
              <w:pStyle w:val="nTable"/>
              <w:spacing w:after="40"/>
              <w:ind w:right="170"/>
            </w:pPr>
            <w:r>
              <w:rPr>
                <w:i/>
              </w:rPr>
              <w:t>Acts Amendment and Repeal (Courts and Legal Practice) Act 2003 </w:t>
            </w:r>
            <w:r>
              <w:t>s. 41</w:t>
            </w:r>
          </w:p>
        </w:tc>
        <w:tc>
          <w:tcPr>
            <w:tcW w:w="1134" w:type="dxa"/>
          </w:tcPr>
          <w:p>
            <w:pPr>
              <w:pStyle w:val="nTable"/>
              <w:spacing w:after="40"/>
              <w:ind w:right="170"/>
            </w:pPr>
            <w:r>
              <w:t>65 of 2003</w:t>
            </w:r>
          </w:p>
        </w:tc>
        <w:tc>
          <w:tcPr>
            <w:tcW w:w="1134" w:type="dxa"/>
          </w:tcPr>
          <w:p>
            <w:pPr>
              <w:pStyle w:val="nTable"/>
              <w:spacing w:after="40"/>
              <w:ind w:right="-28"/>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68</w:t>
            </w:r>
          </w:p>
        </w:tc>
        <w:tc>
          <w:tcPr>
            <w:tcW w:w="1134" w:type="dxa"/>
          </w:tcPr>
          <w:p>
            <w:pPr>
              <w:pStyle w:val="nTable"/>
              <w:keepNext/>
              <w:spacing w:after="40"/>
              <w:ind w:right="170"/>
            </w:pPr>
            <w:r>
              <w:t>74 of 2003</w:t>
            </w:r>
          </w:p>
        </w:tc>
        <w:tc>
          <w:tcPr>
            <w:tcW w:w="1134" w:type="dxa"/>
          </w:tcPr>
          <w:p>
            <w:pPr>
              <w:pStyle w:val="nTable"/>
              <w:keepNext/>
              <w:spacing w:after="40"/>
              <w:ind w:right="-28"/>
            </w:pPr>
            <w:r>
              <w:t>15 Dec 2003</w:t>
            </w:r>
          </w:p>
        </w:tc>
        <w:tc>
          <w:tcPr>
            <w:tcW w:w="2551" w:type="dxa"/>
          </w:tcPr>
          <w:p>
            <w:pPr>
              <w:pStyle w:val="nTable"/>
              <w:keepNext/>
              <w:spacing w:after="40"/>
            </w:pPr>
            <w:r>
              <w:rPr>
                <w:spacing w:val="-2"/>
              </w:rPr>
              <w:t>15 Dec 2003 (see s. 2)</w:t>
            </w:r>
          </w:p>
        </w:tc>
      </w:tr>
      <w:tr>
        <w:trPr>
          <w:cantSplit/>
        </w:trPr>
        <w:tc>
          <w:tcPr>
            <w:tcW w:w="7087" w:type="dxa"/>
            <w:gridSpan w:val="4"/>
          </w:tcPr>
          <w:p>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pPr>
              <w:pStyle w:val="nTable"/>
              <w:keepNext/>
              <w:spacing w:after="40"/>
              <w:rPr>
                <w:snapToGrid w:val="0"/>
              </w:rPr>
            </w:pPr>
            <w:r>
              <w:rPr>
                <w:snapToGrid w:val="0"/>
              </w:rPr>
              <w:t>34 of 2004</w:t>
            </w:r>
          </w:p>
        </w:tc>
        <w:tc>
          <w:tcPr>
            <w:tcW w:w="1134" w:type="dxa"/>
          </w:tcPr>
          <w:p>
            <w:pPr>
              <w:pStyle w:val="nTable"/>
              <w:keepNext/>
              <w:spacing w:after="40"/>
            </w:pPr>
            <w:r>
              <w:t>20 Oct 2004</w:t>
            </w:r>
          </w:p>
        </w:tc>
        <w:tc>
          <w:tcPr>
            <w:tcW w:w="2551" w:type="dxa"/>
          </w:tcPr>
          <w:p>
            <w:pPr>
              <w:pStyle w:val="nTable"/>
              <w:keepNext/>
              <w:spacing w:after="40"/>
              <w:rPr>
                <w:snapToGrid w:val="0"/>
              </w:rPr>
            </w:pPr>
            <w:r>
              <w:t xml:space="preserve">1 Mar 2006 (see s. 2 and </w:t>
            </w:r>
            <w:r>
              <w:rPr>
                <w:i/>
              </w:rPr>
              <w:t>Gazette</w:t>
            </w:r>
            <w:r>
              <w:t xml:space="preserve"> 14 Feb 2006 p. 695)</w:t>
            </w:r>
          </w:p>
        </w:tc>
      </w:tr>
      <w:tr>
        <w:trPr>
          <w:cantSplit/>
        </w:trPr>
        <w:tc>
          <w:tcPr>
            <w:tcW w:w="2268" w:type="dxa"/>
          </w:tcPr>
          <w:p>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pPr>
              <w:pStyle w:val="nTable"/>
              <w:keepNext/>
              <w:spacing w:after="40"/>
              <w:rPr>
                <w:snapToGrid w:val="0"/>
              </w:rPr>
            </w:pPr>
            <w:r>
              <w:rPr>
                <w:snapToGrid w:val="0"/>
              </w:rPr>
              <w:t>51 of 2004</w:t>
            </w:r>
          </w:p>
        </w:tc>
        <w:tc>
          <w:tcPr>
            <w:tcW w:w="1134" w:type="dxa"/>
          </w:tcPr>
          <w:p>
            <w:pPr>
              <w:pStyle w:val="nTable"/>
              <w:keepNext/>
              <w:spacing w:after="40"/>
            </w:pPr>
            <w:r>
              <w:t>12 Nov 2004</w:t>
            </w:r>
          </w:p>
        </w:tc>
        <w:tc>
          <w:tcPr>
            <w:tcW w:w="2551" w:type="dxa"/>
          </w:tcPr>
          <w:p>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rPr>
            </w:pPr>
            <w:r>
              <w:rPr>
                <w:i/>
                <w:snapToGrid w:val="0"/>
              </w:rPr>
              <w:lastRenderedPageBreak/>
              <w:t xml:space="preserve">Courts Legislation Amendment and Repeal Act 2004 </w:t>
            </w:r>
            <w:r>
              <w:rPr>
                <w:snapToGrid w:val="0"/>
              </w:rPr>
              <w:t xml:space="preserve">Pt. 14 </w:t>
            </w:r>
          </w:p>
        </w:tc>
        <w:tc>
          <w:tcPr>
            <w:tcW w:w="1134" w:type="dxa"/>
          </w:tcPr>
          <w:p>
            <w:pPr>
              <w:pStyle w:val="nTable"/>
              <w:spacing w:after="40"/>
              <w:ind w:right="170"/>
            </w:pPr>
            <w:r>
              <w:rPr>
                <w:snapToGrid w:val="0"/>
              </w:rPr>
              <w:t>59 of 2004</w:t>
            </w:r>
          </w:p>
        </w:tc>
        <w:tc>
          <w:tcPr>
            <w:tcW w:w="1134" w:type="dxa"/>
          </w:tcPr>
          <w:p>
            <w:pPr>
              <w:pStyle w:val="nTable"/>
              <w:spacing w:after="40"/>
              <w:ind w:right="-28"/>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pPr>
              <w:pStyle w:val="nTable"/>
              <w:spacing w:after="40"/>
              <w:ind w:right="170"/>
            </w:pPr>
            <w:r>
              <w:t>55 of 2004</w:t>
            </w:r>
          </w:p>
        </w:tc>
        <w:tc>
          <w:tcPr>
            <w:tcW w:w="1134" w:type="dxa"/>
          </w:tcPr>
          <w:p>
            <w:pPr>
              <w:pStyle w:val="nTable"/>
              <w:spacing w:after="40"/>
              <w:ind w:right="-28"/>
            </w:pPr>
            <w:r>
              <w:t>24 Nov 2004</w:t>
            </w:r>
          </w:p>
        </w:tc>
        <w:tc>
          <w:tcPr>
            <w:tcW w:w="2551" w:type="dxa"/>
          </w:tcPr>
          <w:p>
            <w:pPr>
              <w:pStyle w:val="nTable"/>
              <w:spacing w:after="40"/>
            </w:pPr>
            <w:r>
              <w:t xml:space="preserve">24 Jan 2005 (see s. 2 and </w:t>
            </w:r>
            <w:r>
              <w:rPr>
                <w:i/>
              </w:rPr>
              <w:t>Gazette</w:t>
            </w:r>
            <w:r>
              <w:t xml:space="preserve"> 31 Dec 2004 p. 7130)</w:t>
            </w:r>
          </w:p>
        </w:tc>
      </w:tr>
      <w:tr>
        <w:trPr>
          <w:cantSplit/>
        </w:trPr>
        <w:tc>
          <w:tcPr>
            <w:tcW w:w="2268" w:type="dxa"/>
          </w:tcPr>
          <w:p>
            <w:pPr>
              <w:pStyle w:val="nTable"/>
              <w:spacing w:after="40"/>
              <w:ind w:right="170"/>
              <w:rPr>
                <w:i/>
              </w:rPr>
            </w:pPr>
            <w:r>
              <w:rPr>
                <w:i/>
                <w:snapToGrid w:val="0"/>
              </w:rPr>
              <w:t>Mines Safety and Inspection Amendment Act 2004</w:t>
            </w:r>
            <w:r>
              <w:rPr>
                <w:snapToGrid w:val="0"/>
              </w:rPr>
              <w:t xml:space="preserve"> Pt. 7 Div. 2</w:t>
            </w:r>
          </w:p>
        </w:tc>
        <w:tc>
          <w:tcPr>
            <w:tcW w:w="1134" w:type="dxa"/>
          </w:tcPr>
          <w:p>
            <w:pPr>
              <w:pStyle w:val="nTable"/>
              <w:spacing w:after="40"/>
              <w:ind w:right="170"/>
            </w:pPr>
            <w:r>
              <w:rPr>
                <w:snapToGrid w:val="0"/>
              </w:rPr>
              <w:t>68 of 2004</w:t>
            </w:r>
          </w:p>
        </w:tc>
        <w:tc>
          <w:tcPr>
            <w:tcW w:w="1134" w:type="dxa"/>
          </w:tcPr>
          <w:p>
            <w:pPr>
              <w:pStyle w:val="nTable"/>
              <w:spacing w:after="40"/>
              <w:ind w:right="-28"/>
            </w:pPr>
            <w:r>
              <w:rPr>
                <w:snapToGrid w:val="0"/>
              </w:rPr>
              <w:t>8 Dec 2004</w:t>
            </w:r>
          </w:p>
        </w:tc>
        <w:tc>
          <w:tcPr>
            <w:tcW w:w="2551" w:type="dxa"/>
          </w:tcPr>
          <w:p>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ind w:right="170"/>
              <w:rPr>
                <w:snapToGrid w:val="0"/>
              </w:rPr>
            </w:pPr>
            <w:r>
              <w:rPr>
                <w:snapToGrid w:val="0"/>
              </w:rPr>
              <w:t>84 of 2004</w:t>
            </w:r>
          </w:p>
        </w:tc>
        <w:tc>
          <w:tcPr>
            <w:tcW w:w="1134" w:type="dxa"/>
          </w:tcPr>
          <w:p>
            <w:pPr>
              <w:pStyle w:val="nTable"/>
              <w:spacing w:after="40"/>
              <w:ind w:right="-28"/>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7087" w:type="dxa"/>
            <w:gridSpan w:val="4"/>
          </w:tcPr>
          <w:p>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20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28 Mar 2007 (see s. 2 and </w:t>
            </w:r>
            <w:r>
              <w:rPr>
                <w:i/>
                <w:iCs/>
              </w:rPr>
              <w:t xml:space="preserve">Gazette </w:t>
            </w:r>
            <w:r>
              <w:t>27 Mar 2007 p. 1405)</w:t>
            </w:r>
          </w:p>
        </w:tc>
      </w:tr>
      <w:tr>
        <w:trPr>
          <w:cantSplit/>
        </w:trPr>
        <w:tc>
          <w:tcPr>
            <w:tcW w:w="2268" w:type="dxa"/>
          </w:tcPr>
          <w:p>
            <w:pPr>
              <w:pStyle w:val="nTable"/>
              <w:spacing w:after="40"/>
              <w:rPr>
                <w:i/>
              </w:rPr>
            </w:pPr>
            <w:r>
              <w:rPr>
                <w:i/>
              </w:rPr>
              <w:t>Industrial Relations Amendment Act 2005</w:t>
            </w:r>
          </w:p>
        </w:tc>
        <w:tc>
          <w:tcPr>
            <w:tcW w:w="1134" w:type="dxa"/>
          </w:tcPr>
          <w:p>
            <w:pPr>
              <w:pStyle w:val="nTable"/>
              <w:spacing w:after="40"/>
            </w:pPr>
            <w:r>
              <w:t>14 of 2005</w:t>
            </w:r>
          </w:p>
        </w:tc>
        <w:tc>
          <w:tcPr>
            <w:tcW w:w="1134" w:type="dxa"/>
          </w:tcPr>
          <w:p>
            <w:pPr>
              <w:pStyle w:val="nTable"/>
              <w:spacing w:after="40"/>
            </w:pPr>
            <w:r>
              <w:t>21 Sep 2005</w:t>
            </w:r>
          </w:p>
        </w:tc>
        <w:tc>
          <w:tcPr>
            <w:tcW w:w="2551" w:type="dxa"/>
          </w:tcPr>
          <w:p>
            <w:pPr>
              <w:pStyle w:val="nTable"/>
              <w:spacing w:after="40"/>
            </w:pPr>
            <w:r>
              <w:t>22 Sep 2005 (see s. 2)</w:t>
            </w:r>
          </w:p>
        </w:tc>
      </w:tr>
      <w:tr>
        <w:trPr>
          <w:cantSplit/>
        </w:trPr>
        <w:tc>
          <w:tcPr>
            <w:tcW w:w="2268" w:type="dxa"/>
          </w:tcPr>
          <w:p>
            <w:pPr>
              <w:pStyle w:val="nTable"/>
              <w:spacing w:after="40"/>
              <w:rPr>
                <w:i/>
              </w:rPr>
            </w:pPr>
            <w:r>
              <w:rPr>
                <w:i/>
                <w:snapToGrid w:val="0"/>
              </w:rPr>
              <w:t>Labour Relations Legislation Amendment Act 2006</w:t>
            </w:r>
            <w:r>
              <w:rPr>
                <w:snapToGrid w:val="0"/>
              </w:rPr>
              <w:t xml:space="preserve"> Pt. 3</w:t>
            </w:r>
            <w:r>
              <w:rPr>
                <w:snapToGrid w:val="0"/>
              </w:rPr>
              <w:noBreakHyphen/>
              <w:t>5 and 8 </w:t>
            </w:r>
            <w:r>
              <w:rPr>
                <w:snapToGrid w:val="0"/>
                <w:vertAlign w:val="superscript"/>
              </w:rPr>
              <w:t>21</w:t>
            </w:r>
          </w:p>
        </w:tc>
        <w:tc>
          <w:tcPr>
            <w:tcW w:w="1134" w:type="dxa"/>
          </w:tcPr>
          <w:p>
            <w:pPr>
              <w:pStyle w:val="nTable"/>
              <w:spacing w:after="40"/>
            </w:pPr>
            <w:r>
              <w:rPr>
                <w:snapToGrid w:val="0"/>
              </w:rPr>
              <w:t>36 of 2006</w:t>
            </w:r>
          </w:p>
        </w:tc>
        <w:tc>
          <w:tcPr>
            <w:tcW w:w="1134" w:type="dxa"/>
          </w:tcPr>
          <w:p>
            <w:pPr>
              <w:pStyle w:val="nTable"/>
              <w:spacing w:after="40"/>
            </w:pPr>
            <w:r>
              <w:t>4 Jul 2006</w:t>
            </w:r>
          </w:p>
        </w:tc>
        <w:tc>
          <w:tcPr>
            <w:tcW w:w="2551" w:type="dxa"/>
          </w:tcPr>
          <w:p>
            <w:pPr>
              <w:pStyle w:val="nTable"/>
              <w:spacing w:after="40"/>
            </w:pPr>
            <w:r>
              <w:rPr>
                <w:snapToGrid w:val="0"/>
              </w:rPr>
              <w:t>4 Jul 2006 (see s. 2(1))</w:t>
            </w:r>
          </w:p>
        </w:tc>
      </w:tr>
      <w:tr>
        <w:trPr>
          <w:cantSplit/>
        </w:trPr>
        <w:tc>
          <w:tcPr>
            <w:tcW w:w="7087" w:type="dxa"/>
            <w:gridSpan w:val="4"/>
          </w:tcPr>
          <w:p>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trPr>
          <w:cantSplit/>
        </w:trPr>
        <w:tc>
          <w:tcPr>
            <w:tcW w:w="2268" w:type="dxa"/>
          </w:tcPr>
          <w:p>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Owner</w:t>
            </w:r>
            <w:r>
              <w:rPr>
                <w:i/>
              </w:rPr>
              <w:noBreakHyphen/>
              <w:t>Drivers (Contracts and Disputes) Act 2007</w:t>
            </w:r>
            <w:r>
              <w:t xml:space="preserve"> s. 58</w:t>
            </w:r>
          </w:p>
        </w:tc>
        <w:tc>
          <w:tcPr>
            <w:tcW w:w="1134" w:type="dxa"/>
          </w:tcPr>
          <w:p>
            <w:pPr>
              <w:pStyle w:val="nTable"/>
              <w:spacing w:after="40"/>
              <w:rPr>
                <w:snapToGrid w:val="0"/>
              </w:rPr>
            </w:pPr>
            <w:r>
              <w:t>7 of 2007</w:t>
            </w:r>
          </w:p>
        </w:tc>
        <w:tc>
          <w:tcPr>
            <w:tcW w:w="1134" w:type="dxa"/>
          </w:tcPr>
          <w:p>
            <w:pPr>
              <w:pStyle w:val="nTable"/>
              <w:spacing w:after="40"/>
              <w:rPr>
                <w:snapToGrid w:val="0"/>
              </w:rPr>
            </w:pPr>
            <w:r>
              <w:t>6 Jun 2007</w:t>
            </w:r>
          </w:p>
        </w:tc>
        <w:tc>
          <w:tcPr>
            <w:tcW w:w="2551"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97</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lastRenderedPageBreak/>
              <w:t>Acts Amendment (Justice) Act 2008</w:t>
            </w:r>
            <w:r>
              <w:rPr>
                <w:iCs/>
                <w:snapToGrid w:val="0"/>
              </w:rPr>
              <w:t xml:space="preserve"> Pt. 13</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rPr>
              <w:t xml:space="preserve">Police Amendment Act 2008 </w:t>
            </w:r>
            <w:r>
              <w:rPr>
                <w:iCs/>
              </w:rPr>
              <w:t>s. 13 and 23(3)</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13: 1 Apr 2008 (see s. 2(1));</w:t>
            </w:r>
            <w:r>
              <w:br/>
              <w:t xml:space="preserve">s. 23(3): 21 Jun 2008 (see s. 2(2) and </w:t>
            </w:r>
            <w:r>
              <w:rPr>
                <w:i/>
                <w:iCs/>
              </w:rPr>
              <w:t>Gazette</w:t>
            </w:r>
            <w:r>
              <w:t xml:space="preserve"> 20 Jun 2008 p. 2706)</w:t>
            </w:r>
          </w:p>
        </w:tc>
      </w:tr>
      <w:tr>
        <w:trPr>
          <w:cantSplit/>
        </w:trPr>
        <w:tc>
          <w:tcPr>
            <w:tcW w:w="2268" w:type="dxa"/>
          </w:tcPr>
          <w:p>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pPr>
              <w:pStyle w:val="nTable"/>
              <w:keepNext/>
              <w:spacing w:after="40"/>
            </w:pPr>
            <w:r>
              <w:rPr>
                <w:snapToGrid w:val="0"/>
              </w:rPr>
              <w:t>21 of 2008</w:t>
            </w:r>
          </w:p>
        </w:tc>
        <w:tc>
          <w:tcPr>
            <w:tcW w:w="1134" w:type="dxa"/>
          </w:tcPr>
          <w:p>
            <w:pPr>
              <w:pStyle w:val="nTable"/>
              <w:keepNext/>
              <w:spacing w:after="40"/>
              <w:ind w:right="-10"/>
            </w:pPr>
            <w:r>
              <w:rPr>
                <w:snapToGrid w:val="0"/>
              </w:rPr>
              <w:t>27 May 2008</w:t>
            </w:r>
          </w:p>
        </w:tc>
        <w:tc>
          <w:tcPr>
            <w:tcW w:w="2551" w:type="dxa"/>
          </w:tcPr>
          <w:p>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pPr>
              <w:pStyle w:val="nTable"/>
              <w:keepNext/>
              <w:spacing w:after="40"/>
              <w:rPr>
                <w:snapToGrid w:val="0"/>
              </w:rPr>
            </w:pPr>
            <w:r>
              <w:t>22 of 2008</w:t>
            </w:r>
          </w:p>
        </w:tc>
        <w:tc>
          <w:tcPr>
            <w:tcW w:w="1134" w:type="dxa"/>
          </w:tcPr>
          <w:p>
            <w:pPr>
              <w:pStyle w:val="nTable"/>
              <w:keepNext/>
              <w:spacing w:after="40"/>
              <w:rPr>
                <w:snapToGrid w:val="0"/>
              </w:rPr>
            </w:pPr>
            <w:r>
              <w:t>27 May 2008</w:t>
            </w:r>
          </w:p>
        </w:tc>
        <w:tc>
          <w:tcPr>
            <w:tcW w:w="2551" w:type="dxa"/>
          </w:tcPr>
          <w:p>
            <w:pPr>
              <w:pStyle w:val="nTable"/>
              <w:keepNext/>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pPr>
              <w:pStyle w:val="nTable"/>
              <w:keepNext/>
              <w:spacing w:after="40"/>
            </w:pPr>
            <w:r>
              <w:t>44 of 2008</w:t>
            </w:r>
          </w:p>
        </w:tc>
        <w:tc>
          <w:tcPr>
            <w:tcW w:w="1134" w:type="dxa"/>
          </w:tcPr>
          <w:p>
            <w:pPr>
              <w:pStyle w:val="nTable"/>
              <w:keepNext/>
              <w:spacing w:after="40"/>
            </w:pPr>
            <w:r>
              <w:t>10 Dec 2008</w:t>
            </w:r>
          </w:p>
        </w:tc>
        <w:tc>
          <w:tcPr>
            <w:tcW w:w="2551" w:type="dxa"/>
          </w:tcPr>
          <w:p>
            <w:pPr>
              <w:pStyle w:val="nTable"/>
              <w:keepNext/>
              <w:spacing w:after="40"/>
            </w:pPr>
            <w:r>
              <w:t>10 Jun 2009 (see s. 2(2))</w:t>
            </w:r>
          </w:p>
        </w:tc>
      </w:tr>
      <w:tr>
        <w:trPr>
          <w:cantSplit/>
        </w:trPr>
        <w:tc>
          <w:tcPr>
            <w:tcW w:w="7087" w:type="dxa"/>
            <w:gridSpan w:val="4"/>
          </w:tcPr>
          <w:p>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45</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rPr>
                <w:snapToGrid w:val="0"/>
              </w:rPr>
              <w:t>31 Dec 2009 (see s. 2(c))</w:t>
            </w:r>
          </w:p>
        </w:tc>
      </w:tr>
      <w:tr>
        <w:trPr>
          <w:cantSplit/>
        </w:trPr>
        <w:tc>
          <w:tcPr>
            <w:tcW w:w="2268" w:type="dxa"/>
          </w:tcPr>
          <w:p>
            <w:pPr>
              <w:pStyle w:val="nTable"/>
              <w:spacing w:after="40"/>
              <w:rPr>
                <w:i/>
                <w:snapToGrid w:val="0"/>
              </w:rPr>
            </w:pPr>
            <w:r>
              <w:rPr>
                <w:i/>
                <w:snapToGrid w:val="0"/>
              </w:rPr>
              <w:t xml:space="preserve">Police Amendment Act 2009 </w:t>
            </w:r>
            <w:r>
              <w:rPr>
                <w:iCs/>
                <w:snapToGrid w:val="0"/>
              </w:rPr>
              <w:t>s. 19</w:t>
            </w:r>
          </w:p>
        </w:tc>
        <w:tc>
          <w:tcPr>
            <w:tcW w:w="1134" w:type="dxa"/>
          </w:tcPr>
          <w:p>
            <w:pPr>
              <w:pStyle w:val="nTable"/>
              <w:spacing w:after="40"/>
            </w:pPr>
            <w:r>
              <w:t>42 of 2009</w:t>
            </w:r>
          </w:p>
        </w:tc>
        <w:tc>
          <w:tcPr>
            <w:tcW w:w="1134" w:type="dxa"/>
          </w:tcPr>
          <w:p>
            <w:pPr>
              <w:pStyle w:val="nTable"/>
              <w:spacing w:after="40"/>
            </w:pPr>
            <w:r>
              <w:t>3 Dec 2009</w:t>
            </w:r>
          </w:p>
        </w:tc>
        <w:tc>
          <w:tcPr>
            <w:tcW w:w="2551"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7087" w:type="dxa"/>
            <w:gridSpan w:val="4"/>
          </w:tcPr>
          <w:p>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keepNext/>
              <w:spacing w:after="40"/>
              <w:ind w:right="113"/>
              <w:rPr>
                <w:i/>
                <w:snapToGrid w:val="0"/>
              </w:rPr>
            </w:pPr>
            <w:r>
              <w:rPr>
                <w:i/>
                <w:snapToGrid w:val="0"/>
              </w:rPr>
              <w:lastRenderedPageBreak/>
              <w:t xml:space="preserve">Industrial Legislation Amendment Act 2011 </w:t>
            </w:r>
            <w:r>
              <w:rPr>
                <w:snapToGrid w:val="0"/>
              </w:rPr>
              <w:t>Pt. 3</w:t>
            </w:r>
          </w:p>
        </w:tc>
        <w:tc>
          <w:tcPr>
            <w:tcW w:w="1134" w:type="dxa"/>
            <w:shd w:val="clear" w:color="auto" w:fill="auto"/>
          </w:tcPr>
          <w:p>
            <w:pPr>
              <w:pStyle w:val="nTable"/>
              <w:spacing w:after="40"/>
              <w:rPr>
                <w:snapToGrid w:val="0"/>
              </w:rPr>
            </w:pPr>
            <w:r>
              <w:rPr>
                <w:snapToGrid w:val="0"/>
              </w:rPr>
              <w:t>53 of 2011</w:t>
            </w:r>
          </w:p>
        </w:tc>
        <w:tc>
          <w:tcPr>
            <w:tcW w:w="1134" w:type="dxa"/>
            <w:shd w:val="clear" w:color="auto" w:fill="auto"/>
          </w:tcPr>
          <w:p>
            <w:pPr>
              <w:pStyle w:val="nTable"/>
              <w:spacing w:after="40"/>
            </w:pPr>
            <w:r>
              <w:rPr>
                <w:snapToGrid w:val="0"/>
              </w:rPr>
              <w:t>11 Nov 2011</w:t>
            </w:r>
          </w:p>
        </w:tc>
        <w:tc>
          <w:tcPr>
            <w:tcW w:w="2551" w:type="dxa"/>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87" w:type="dxa"/>
            <w:gridSpan w:val="4"/>
            <w:shd w:val="clear" w:color="auto" w:fill="auto"/>
          </w:tcPr>
          <w:p>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trPr>
          <w:cantSplit/>
        </w:trPr>
        <w:tc>
          <w:tcPr>
            <w:tcW w:w="2268" w:type="dxa"/>
            <w:shd w:val="clear" w:color="auto" w:fill="auto"/>
          </w:tcPr>
          <w:p>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pPr>
              <w:pStyle w:val="nTable"/>
              <w:keepNext/>
              <w:spacing w:after="40"/>
            </w:pPr>
            <w:r>
              <w:t>8 of 2014</w:t>
            </w:r>
          </w:p>
        </w:tc>
        <w:tc>
          <w:tcPr>
            <w:tcW w:w="1134" w:type="dxa"/>
            <w:shd w:val="clear" w:color="auto" w:fill="auto"/>
          </w:tcPr>
          <w:p>
            <w:pPr>
              <w:pStyle w:val="nTable"/>
              <w:keepNext/>
              <w:spacing w:after="40"/>
            </w:pPr>
            <w:r>
              <w:t>20 May 2014</w:t>
            </w:r>
          </w:p>
        </w:tc>
        <w:tc>
          <w:tcPr>
            <w:tcW w:w="2551" w:type="dxa"/>
            <w:shd w:val="clear" w:color="auto" w:fill="auto"/>
          </w:tcPr>
          <w:p>
            <w:pPr>
              <w:pStyle w:val="nTable"/>
              <w:keepNext/>
              <w:spacing w:after="40"/>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pPr>
              <w:pStyle w:val="nTable"/>
              <w:keepNext/>
              <w:spacing w:after="40"/>
            </w:pPr>
            <w:r>
              <w:t>11 of 2016</w:t>
            </w:r>
          </w:p>
        </w:tc>
        <w:tc>
          <w:tcPr>
            <w:tcW w:w="1134" w:type="dxa"/>
            <w:shd w:val="clear" w:color="auto" w:fill="auto"/>
          </w:tcPr>
          <w:p>
            <w:pPr>
              <w:pStyle w:val="nTable"/>
              <w:keepNext/>
              <w:spacing w:after="40"/>
            </w:pPr>
            <w:r>
              <w:t>26 May 2016</w:t>
            </w:r>
          </w:p>
        </w:tc>
        <w:tc>
          <w:tcPr>
            <w:tcW w:w="2551" w:type="dxa"/>
            <w:shd w:val="clear" w:color="auto" w:fill="auto"/>
          </w:tcPr>
          <w:p>
            <w:pPr>
              <w:pStyle w:val="nTable"/>
              <w:keepNext/>
              <w:spacing w:after="40"/>
            </w:pPr>
            <w:r>
              <w:t xml:space="preserve">1 Jul 2016 (see s. 2(b) and </w:t>
            </w:r>
            <w:r>
              <w:rPr>
                <w:i/>
              </w:rPr>
              <w:t>Gazette</w:t>
            </w:r>
            <w:r>
              <w:t xml:space="preserve"> 24 Jun 2016 p. 2291)</w:t>
            </w:r>
          </w:p>
        </w:tc>
      </w:tr>
      <w:tr>
        <w:trPr>
          <w:cantSplit/>
        </w:trPr>
        <w:tc>
          <w:tcPr>
            <w:tcW w:w="2268" w:type="dxa"/>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3 Div. 18</w:t>
            </w:r>
          </w:p>
        </w:tc>
        <w:tc>
          <w:tcPr>
            <w:tcW w:w="1134" w:type="dxa"/>
            <w:shd w:val="clear" w:color="auto" w:fill="auto"/>
          </w:tcPr>
          <w:p>
            <w:pPr>
              <w:pStyle w:val="nTable"/>
              <w:keepNext/>
              <w:spacing w:after="40"/>
            </w:pPr>
            <w:r>
              <w:t>26 of 2016</w:t>
            </w:r>
          </w:p>
        </w:tc>
        <w:tc>
          <w:tcPr>
            <w:tcW w:w="1134" w:type="dxa"/>
            <w:shd w:val="clear" w:color="auto" w:fill="auto"/>
          </w:tcPr>
          <w:p>
            <w:pPr>
              <w:pStyle w:val="nTable"/>
              <w:keepNext/>
              <w:spacing w:after="40"/>
            </w:pPr>
            <w:r>
              <w:t>21 Sep 2016</w:t>
            </w:r>
          </w:p>
        </w:tc>
        <w:tc>
          <w:tcPr>
            <w:tcW w:w="2551" w:type="dxa"/>
            <w:shd w:val="clear" w:color="auto" w:fill="auto"/>
          </w:tcPr>
          <w:p>
            <w:pPr>
              <w:pStyle w:val="nTable"/>
              <w:keepNext/>
              <w:spacing w:after="40"/>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ind w:right="113"/>
              <w:rPr>
                <w:i/>
                <w:snapToGrid w:val="0"/>
              </w:rPr>
            </w:pPr>
            <w:r>
              <w:rPr>
                <w:i/>
                <w:snapToGrid w:val="0"/>
              </w:rPr>
              <w:t xml:space="preserve">Universities Legislation Amendment Act 2016 </w:t>
            </w:r>
            <w:r>
              <w:rPr>
                <w:snapToGrid w:val="0"/>
              </w:rPr>
              <w:t>Pt. 7 Div. 4</w:t>
            </w:r>
          </w:p>
        </w:tc>
        <w:tc>
          <w:tcPr>
            <w:tcW w:w="1134" w:type="dxa"/>
            <w:shd w:val="clear" w:color="auto" w:fill="auto"/>
          </w:tcPr>
          <w:p>
            <w:pPr>
              <w:pStyle w:val="nTable"/>
              <w:keepNext/>
              <w:spacing w:after="40"/>
            </w:pPr>
            <w:r>
              <w:t>32 of 2016</w:t>
            </w:r>
          </w:p>
        </w:tc>
        <w:tc>
          <w:tcPr>
            <w:tcW w:w="1134" w:type="dxa"/>
            <w:shd w:val="clear" w:color="auto" w:fill="auto"/>
          </w:tcPr>
          <w:p>
            <w:pPr>
              <w:pStyle w:val="nTable"/>
              <w:keepNext/>
              <w:spacing w:after="40"/>
            </w:pPr>
            <w:r>
              <w:t>19 Oct 2016</w:t>
            </w:r>
          </w:p>
        </w:tc>
        <w:tc>
          <w:tcPr>
            <w:tcW w:w="2551" w:type="dxa"/>
            <w:shd w:val="clear" w:color="auto" w:fill="auto"/>
          </w:tcPr>
          <w:p>
            <w:pPr>
              <w:pStyle w:val="nTable"/>
              <w:keepNext/>
              <w:spacing w:after="40"/>
            </w:pPr>
            <w:r>
              <w:t xml:space="preserve">2 Jan 2017 (see s. 2(b) and </w:t>
            </w:r>
            <w:r>
              <w:rPr>
                <w:i/>
              </w:rPr>
              <w:t>Gazette</w:t>
            </w:r>
            <w:r>
              <w:t xml:space="preserve"> 9 Dec 2016 p. 5557)</w:t>
            </w:r>
          </w:p>
        </w:tc>
      </w:tr>
      <w:tr>
        <w:trPr>
          <w:cantSplit/>
        </w:trPr>
        <w:tc>
          <w:tcPr>
            <w:tcW w:w="2268" w:type="dxa"/>
            <w:shd w:val="clear" w:color="auto" w:fill="auto"/>
          </w:tcPr>
          <w:p>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pPr>
              <w:pStyle w:val="nTable"/>
              <w:keepNext/>
              <w:spacing w:after="40"/>
            </w:pPr>
            <w:r>
              <w:t>50 of 2016</w:t>
            </w:r>
          </w:p>
        </w:tc>
        <w:tc>
          <w:tcPr>
            <w:tcW w:w="1134" w:type="dxa"/>
            <w:shd w:val="clear" w:color="auto" w:fill="auto"/>
          </w:tcPr>
          <w:p>
            <w:pPr>
              <w:pStyle w:val="nTable"/>
              <w:keepNext/>
              <w:spacing w:after="40"/>
            </w:pPr>
            <w:r>
              <w:t>28 Nov 2016</w:t>
            </w:r>
          </w:p>
        </w:tc>
        <w:tc>
          <w:tcPr>
            <w:tcW w:w="2551" w:type="dxa"/>
            <w:shd w:val="clear" w:color="auto" w:fill="auto"/>
          </w:tcPr>
          <w:p>
            <w:pPr>
              <w:pStyle w:val="nTable"/>
              <w:keepNext/>
              <w:spacing w:after="40"/>
            </w:pPr>
            <w:r>
              <w:t>29 Nov 2016 (see s. 2(b))</w:t>
            </w:r>
          </w:p>
        </w:tc>
      </w:tr>
      <w:tr>
        <w:trPr>
          <w:cantSplit/>
        </w:trPr>
        <w:tc>
          <w:tcPr>
            <w:tcW w:w="7087" w:type="dxa"/>
            <w:gridSpan w:val="4"/>
            <w:shd w:val="clear" w:color="auto" w:fill="auto"/>
          </w:tcPr>
          <w:p>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Industrial Relations Amendment Act 2018</w:t>
            </w:r>
            <w:r>
              <w:t xml:space="preserve"> Pt. 2</w:t>
            </w:r>
          </w:p>
        </w:tc>
        <w:tc>
          <w:tcPr>
            <w:tcW w:w="1134" w:type="dxa"/>
            <w:shd w:val="clear" w:color="auto" w:fill="auto"/>
          </w:tcPr>
          <w:p>
            <w:pPr>
              <w:pStyle w:val="nTable"/>
              <w:keepNext/>
              <w:spacing w:after="40"/>
            </w:pPr>
            <w:r>
              <w:t>39 of 2018</w:t>
            </w:r>
          </w:p>
        </w:tc>
        <w:tc>
          <w:tcPr>
            <w:tcW w:w="1134" w:type="dxa"/>
            <w:shd w:val="clear" w:color="auto" w:fill="auto"/>
          </w:tcPr>
          <w:p>
            <w:pPr>
              <w:pStyle w:val="nTable"/>
              <w:keepNext/>
              <w:spacing w:after="40"/>
            </w:pPr>
            <w:r>
              <w:t>12 Dec 2018</w:t>
            </w:r>
          </w:p>
        </w:tc>
        <w:tc>
          <w:tcPr>
            <w:tcW w:w="2551" w:type="dxa"/>
            <w:shd w:val="clear" w:color="auto" w:fill="auto"/>
          </w:tcPr>
          <w:p>
            <w:pPr>
              <w:pStyle w:val="nTable"/>
              <w:keepNext/>
              <w:spacing w:after="40"/>
            </w:pPr>
            <w:r>
              <w:t xml:space="preserve">19 Dec 2018 (see s. 2(b) and </w:t>
            </w:r>
            <w:r>
              <w:rPr>
                <w:i/>
              </w:rPr>
              <w:t>Gazette</w:t>
            </w:r>
            <w:r>
              <w:t xml:space="preserve"> 18 Dec 2018 p. 4835)</w:t>
            </w:r>
          </w:p>
        </w:tc>
      </w:tr>
      <w:tr>
        <w:trPr>
          <w:cantSplit/>
        </w:trPr>
        <w:tc>
          <w:tcPr>
            <w:tcW w:w="7087" w:type="dxa"/>
            <w:gridSpan w:val="4"/>
            <w:shd w:val="clear" w:color="auto" w:fill="auto"/>
          </w:tcPr>
          <w:p>
            <w:pPr>
              <w:pStyle w:val="nTable"/>
              <w:keepNext/>
              <w:spacing w:after="40"/>
            </w:pPr>
            <w:r>
              <w:rPr>
                <w:b/>
              </w:rPr>
              <w:t xml:space="preserve">Reprint 16: The </w:t>
            </w:r>
            <w:r>
              <w:rPr>
                <w:b/>
                <w:i/>
                <w:noProof/>
              </w:rPr>
              <w:t>Industrial Relations Act 1979</w:t>
            </w:r>
            <w:r>
              <w:rPr>
                <w:b/>
              </w:rPr>
              <w:t xml:space="preserve"> as at 30 Aug 2019</w:t>
            </w:r>
            <w:r>
              <w:t> </w:t>
            </w:r>
            <w:r>
              <w:rPr>
                <w:vertAlign w:val="superscript"/>
              </w:rPr>
              <w:t>18</w:t>
            </w:r>
            <w:r>
              <w:t xml:space="preserve"> (includes amendments listed above)</w:t>
            </w:r>
          </w:p>
        </w:tc>
      </w:tr>
      <w:tr>
        <w:trPr>
          <w:cantSplit/>
        </w:trPr>
        <w:tc>
          <w:tcPr>
            <w:tcW w:w="2268" w:type="dxa"/>
            <w:shd w:val="clear" w:color="auto" w:fill="auto"/>
          </w:tcPr>
          <w:p>
            <w:pPr>
              <w:pStyle w:val="nTable"/>
              <w:spacing w:after="40"/>
              <w:ind w:right="113"/>
              <w:rPr>
                <w:i/>
              </w:rPr>
            </w:pPr>
            <w:r>
              <w:rPr>
                <w:i/>
                <w:noProof/>
              </w:rPr>
              <w:t>Police Amendment (Medical Retirement) Act 2019</w:t>
            </w:r>
            <w:r>
              <w:rPr>
                <w:noProof/>
              </w:rPr>
              <w:t xml:space="preserve"> Pt. 3</w:t>
            </w:r>
          </w:p>
        </w:tc>
        <w:tc>
          <w:tcPr>
            <w:tcW w:w="1134" w:type="dxa"/>
            <w:shd w:val="clear" w:color="auto" w:fill="auto"/>
          </w:tcPr>
          <w:p>
            <w:pPr>
              <w:pStyle w:val="nTable"/>
              <w:keepNext/>
              <w:spacing w:after="40"/>
            </w:pPr>
            <w:r>
              <w:t>19 of 2019</w:t>
            </w:r>
          </w:p>
        </w:tc>
        <w:tc>
          <w:tcPr>
            <w:tcW w:w="1134" w:type="dxa"/>
            <w:shd w:val="clear" w:color="auto" w:fill="auto"/>
          </w:tcPr>
          <w:p>
            <w:pPr>
              <w:pStyle w:val="nTable"/>
              <w:keepNext/>
              <w:spacing w:after="40"/>
            </w:pPr>
            <w:r>
              <w:t>15 Aug 2019</w:t>
            </w:r>
          </w:p>
        </w:tc>
        <w:tc>
          <w:tcPr>
            <w:tcW w:w="2551" w:type="dxa"/>
            <w:shd w:val="clear" w:color="auto" w:fill="auto"/>
          </w:tcPr>
          <w:p>
            <w:pPr>
              <w:pStyle w:val="nTable"/>
              <w:keepNext/>
              <w:spacing w:after="40"/>
            </w:pPr>
            <w:r>
              <w:t xml:space="preserve">30 Nov 2019 (see s. 2(b) and </w:t>
            </w:r>
            <w:r>
              <w:rPr>
                <w:i/>
              </w:rPr>
              <w:t xml:space="preserve">Gazette </w:t>
            </w:r>
            <w:r>
              <w:t>29 Nov 2019 p. 4133)</w:t>
            </w:r>
          </w:p>
        </w:tc>
      </w:tr>
      <w:tr>
        <w:trPr>
          <w:cantSplit/>
        </w:trPr>
        <w:tc>
          <w:tcPr>
            <w:tcW w:w="2268" w:type="dxa"/>
            <w:shd w:val="clear" w:color="auto" w:fill="auto"/>
          </w:tcPr>
          <w:p>
            <w:pPr>
              <w:pStyle w:val="nTable"/>
              <w:spacing w:after="40"/>
              <w:ind w:right="113"/>
              <w:rPr>
                <w:i/>
                <w:noProof/>
              </w:rPr>
            </w:pPr>
            <w:r>
              <w:rPr>
                <w:i/>
              </w:rPr>
              <w:t xml:space="preserve">Work Health and Safety Act 2020 </w:t>
            </w:r>
            <w:r>
              <w:t>Pt. 15 Div. 4 Subdiv. 5</w:t>
            </w:r>
          </w:p>
        </w:tc>
        <w:tc>
          <w:tcPr>
            <w:tcW w:w="1134" w:type="dxa"/>
            <w:shd w:val="clear" w:color="auto" w:fill="auto"/>
          </w:tcPr>
          <w:p>
            <w:pPr>
              <w:pStyle w:val="nTable"/>
              <w:keepNext/>
              <w:spacing w:after="40"/>
            </w:pPr>
            <w:r>
              <w:t>36 of 2020</w:t>
            </w:r>
          </w:p>
        </w:tc>
        <w:tc>
          <w:tcPr>
            <w:tcW w:w="1134" w:type="dxa"/>
            <w:shd w:val="clear" w:color="auto" w:fill="auto"/>
          </w:tcPr>
          <w:p>
            <w:pPr>
              <w:pStyle w:val="nTable"/>
              <w:keepNext/>
              <w:spacing w:after="40"/>
            </w:pPr>
            <w:r>
              <w:t>10 Nov 2020</w:t>
            </w:r>
          </w:p>
        </w:tc>
        <w:tc>
          <w:tcPr>
            <w:tcW w:w="2551" w:type="dxa"/>
            <w:shd w:val="clear" w:color="auto" w:fill="auto"/>
          </w:tcPr>
          <w:p>
            <w:pPr>
              <w:pStyle w:val="nTable"/>
              <w:keepNext/>
              <w:spacing w:after="40"/>
            </w:pPr>
            <w:r>
              <w:rPr>
                <w:snapToGrid w:val="0"/>
              </w:rPr>
              <w:t>31 Mar 2022 (see s. 2(1)(c) and SL 2022/18 cl. 2)</w:t>
            </w:r>
          </w:p>
        </w:tc>
      </w:tr>
      <w:tr>
        <w:trPr>
          <w:cantSplit/>
        </w:trPr>
        <w:tc>
          <w:tcPr>
            <w:tcW w:w="2268" w:type="dxa"/>
            <w:tcBorders>
              <w:bottom w:val="single" w:sz="4" w:space="0" w:color="auto"/>
            </w:tcBorders>
            <w:shd w:val="clear" w:color="auto" w:fill="auto"/>
          </w:tcPr>
          <w:p>
            <w:pPr>
              <w:pStyle w:val="nTable"/>
              <w:spacing w:after="40"/>
              <w:ind w:right="113"/>
              <w:rPr>
                <w:i/>
                <w:noProof/>
              </w:rPr>
            </w:pPr>
            <w:r>
              <w:rPr>
                <w:i/>
              </w:rPr>
              <w:t>Police Amendment (Compensation Scheme) Act 2021</w:t>
            </w:r>
            <w:r>
              <w:t xml:space="preserve"> Pt. 3</w:t>
            </w:r>
          </w:p>
        </w:tc>
        <w:tc>
          <w:tcPr>
            <w:tcW w:w="1134" w:type="dxa"/>
            <w:tcBorders>
              <w:bottom w:val="single" w:sz="4" w:space="0" w:color="auto"/>
            </w:tcBorders>
            <w:shd w:val="clear" w:color="auto" w:fill="auto"/>
          </w:tcPr>
          <w:p>
            <w:pPr>
              <w:pStyle w:val="nTable"/>
              <w:keepNext/>
              <w:spacing w:after="40"/>
            </w:pPr>
            <w:r>
              <w:t>26 of 2021</w:t>
            </w:r>
          </w:p>
        </w:tc>
        <w:tc>
          <w:tcPr>
            <w:tcW w:w="1134" w:type="dxa"/>
            <w:tcBorders>
              <w:bottom w:val="single" w:sz="4" w:space="0" w:color="auto"/>
            </w:tcBorders>
            <w:shd w:val="clear" w:color="auto" w:fill="auto"/>
          </w:tcPr>
          <w:p>
            <w:pPr>
              <w:pStyle w:val="nTable"/>
              <w:keepNext/>
              <w:spacing w:after="40"/>
            </w:pPr>
            <w:r>
              <w:t>13 Dec 2021</w:t>
            </w:r>
          </w:p>
        </w:tc>
        <w:tc>
          <w:tcPr>
            <w:tcW w:w="2551" w:type="dxa"/>
            <w:tcBorders>
              <w:bottom w:val="single" w:sz="4" w:space="0" w:color="auto"/>
            </w:tcBorders>
            <w:shd w:val="clear" w:color="auto" w:fill="auto"/>
          </w:tcPr>
          <w:p>
            <w:pPr>
              <w:pStyle w:val="nTable"/>
              <w:keepNext/>
              <w:spacing w:after="40"/>
            </w:pPr>
            <w:r>
              <w:t>1 Jan 2022 (see s. 2(b) and SL 2021/222 cl. 2)</w:t>
            </w:r>
          </w:p>
        </w:tc>
      </w:tr>
    </w:tbl>
    <w:p>
      <w:pPr>
        <w:pStyle w:val="nHeading3"/>
      </w:pPr>
      <w:bookmarkStart w:id="630" w:name="_Toc98770271"/>
      <w:r>
        <w:lastRenderedPageBreak/>
        <w:t>Uncommenced provisions table</w:t>
      </w:r>
      <w:bookmarkEnd w:id="630"/>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4" w:space="0" w:color="auto"/>
            </w:tcBorders>
            <w:shd w:val="clear" w:color="auto" w:fill="auto"/>
          </w:tcPr>
          <w:p>
            <w:pPr>
              <w:pStyle w:val="nTable"/>
              <w:keepNext/>
              <w:spacing w:after="40"/>
            </w:pPr>
            <w:r>
              <w:t>43 of 2000</w:t>
            </w:r>
          </w:p>
        </w:tc>
        <w:tc>
          <w:tcPr>
            <w:tcW w:w="1134" w:type="dxa"/>
            <w:tcBorders>
              <w:top w:val="single" w:sz="4" w:space="0" w:color="auto"/>
            </w:tcBorders>
            <w:shd w:val="clear" w:color="auto" w:fill="auto"/>
          </w:tcPr>
          <w:p>
            <w:pPr>
              <w:pStyle w:val="nTable"/>
              <w:keepNext/>
              <w:spacing w:after="40"/>
            </w:pPr>
            <w:r>
              <w:t>2 Nov 2000</w:t>
            </w:r>
          </w:p>
        </w:tc>
        <w:tc>
          <w:tcPr>
            <w:tcW w:w="2554" w:type="dxa"/>
            <w:tcBorders>
              <w:top w:val="single" w:sz="4" w:space="0" w:color="auto"/>
            </w:tcBorders>
            <w:shd w:val="clear" w:color="auto" w:fill="auto"/>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rPr>
            </w:pPr>
            <w:r>
              <w:rPr>
                <w:i/>
              </w:rPr>
              <w:t>Industrial Relations Legislation Amendment Act 2021</w:t>
            </w:r>
            <w:r>
              <w:t xml:space="preserve"> Pt. 2</w:t>
            </w:r>
          </w:p>
        </w:tc>
        <w:tc>
          <w:tcPr>
            <w:tcW w:w="1134" w:type="dxa"/>
            <w:tcBorders>
              <w:bottom w:val="single" w:sz="4" w:space="0" w:color="auto"/>
            </w:tcBorders>
            <w:shd w:val="clear" w:color="auto" w:fill="auto"/>
          </w:tcPr>
          <w:p>
            <w:pPr>
              <w:pStyle w:val="nTable"/>
              <w:keepNext/>
              <w:spacing w:after="40"/>
            </w:pPr>
            <w:r>
              <w:t>30 of 2021</w:t>
            </w:r>
          </w:p>
        </w:tc>
        <w:tc>
          <w:tcPr>
            <w:tcW w:w="1134" w:type="dxa"/>
            <w:tcBorders>
              <w:bottom w:val="single" w:sz="4" w:space="0" w:color="auto"/>
            </w:tcBorders>
            <w:shd w:val="clear" w:color="auto" w:fill="auto"/>
          </w:tcPr>
          <w:p>
            <w:pPr>
              <w:pStyle w:val="nTable"/>
              <w:keepNext/>
              <w:spacing w:after="40"/>
              <w:rPr>
                <w:highlight w:val="yellow"/>
              </w:rPr>
            </w:pPr>
            <w:r>
              <w:t>22 Dec 2021</w:t>
            </w:r>
          </w:p>
        </w:tc>
        <w:tc>
          <w:tcPr>
            <w:tcW w:w="2554" w:type="dxa"/>
            <w:tcBorders>
              <w:bottom w:val="single" w:sz="4" w:space="0" w:color="auto"/>
            </w:tcBorders>
            <w:shd w:val="clear" w:color="auto" w:fill="auto"/>
          </w:tcPr>
          <w:p>
            <w:pPr>
              <w:pStyle w:val="nTable"/>
              <w:keepNext/>
              <w:spacing w:after="40"/>
              <w:rPr>
                <w:snapToGrid w:val="0"/>
              </w:rPr>
            </w:pPr>
            <w:r>
              <w:rPr>
                <w:snapToGrid w:val="0"/>
              </w:rPr>
              <w:t>To be proclaimed (see s. 2(1)(b) and (2))</w:t>
            </w:r>
          </w:p>
        </w:tc>
      </w:tr>
    </w:tbl>
    <w:p>
      <w:pPr>
        <w:pStyle w:val="nHeading3"/>
      </w:pPr>
      <w:bookmarkStart w:id="631" w:name="_Toc98770272"/>
      <w:r>
        <w:t>Other notes</w:t>
      </w:r>
      <w:bookmarkEnd w:id="631"/>
    </w:p>
    <w:p>
      <w:pPr>
        <w:pStyle w:val="nNote"/>
        <w:spacing w:before="160"/>
        <w:ind w:left="482" w:hanging="482"/>
        <w:rPr>
          <w:snapToGrid w:val="0"/>
        </w:rPr>
      </w:pPr>
      <w:r>
        <w:rPr>
          <w:snapToGrid w:val="0"/>
          <w:vertAlign w:val="superscript"/>
        </w:rPr>
        <w:t>1</w:t>
      </w:r>
      <w:r>
        <w:rPr>
          <w:snapToGrid w:val="0"/>
          <w:vertAlign w:val="superscript"/>
        </w:rPr>
        <w:tab/>
      </w:r>
      <w:r>
        <w:rPr>
          <w:snapToGrid w:val="0"/>
        </w:rPr>
        <w:t>Footnote no longer applicable.</w:t>
      </w:r>
    </w:p>
    <w:p>
      <w:pPr>
        <w:pStyle w:val="nNote"/>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iCs/>
          <w:snapToGrid w:val="0"/>
        </w:rPr>
        <w:t xml:space="preserve"> (Cwlth)</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pPr>
        <w:pStyle w:val="nNote"/>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pPr>
        <w:pStyle w:val="nNote"/>
        <w:ind w:left="482" w:hanging="482"/>
      </w:pPr>
      <w:r>
        <w:rPr>
          <w:snapToGrid w:val="0"/>
          <w:vertAlign w:val="superscript"/>
        </w:rPr>
        <w:t>4</w:t>
      </w:r>
      <w:r>
        <w:rPr>
          <w:snapToGrid w:val="0"/>
        </w:rPr>
        <w:tab/>
      </w:r>
      <w:r>
        <w:t>Repealed by the</w:t>
      </w:r>
      <w:r>
        <w:rPr>
          <w:i/>
        </w:rPr>
        <w:t xml:space="preserve"> Fair Work (Transitional Provisions and Consequential Amendments) Act 2009</w:t>
      </w:r>
      <w:r>
        <w:t xml:space="preserve"> (Cwlth). Now see the </w:t>
      </w:r>
      <w:r>
        <w:rPr>
          <w:i/>
        </w:rPr>
        <w:t>Fair Work Act 2009</w:t>
      </w:r>
      <w:r>
        <w:t xml:space="preserve"> (Cwlth).</w:t>
      </w:r>
    </w:p>
    <w:p>
      <w:pPr>
        <w:pStyle w:val="nNote"/>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Note"/>
        <w:keepNext/>
        <w:keepLines/>
        <w:spacing w:before="12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Note"/>
        <w:spacing w:before="160"/>
        <w:ind w:left="482" w:hanging="482"/>
        <w:rPr>
          <w:snapToGrid w:val="0"/>
        </w:rPr>
      </w:pPr>
      <w:r>
        <w:rPr>
          <w:snapToGrid w:val="0"/>
          <w:vertAlign w:val="superscript"/>
        </w:rPr>
        <w:t>7</w:t>
      </w:r>
      <w:r>
        <w:rPr>
          <w:snapToGrid w:val="0"/>
          <w:vertAlign w:val="superscript"/>
        </w:rPr>
        <w:tab/>
      </w:r>
      <w:r>
        <w:rPr>
          <w:snapToGrid w:val="0"/>
        </w:rPr>
        <w:t>Footnote no longer applicable.</w:t>
      </w:r>
    </w:p>
    <w:p>
      <w:pPr>
        <w:pStyle w:val="nNote"/>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pPr>
        <w:pStyle w:val="nNote"/>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Note"/>
        <w:spacing w:before="120"/>
        <w:ind w:left="482" w:hanging="482"/>
        <w:rPr>
          <w:snapToGrid w:val="0"/>
        </w:rPr>
      </w:pPr>
      <w:r>
        <w:rPr>
          <w:snapToGrid w:val="0"/>
          <w:vertAlign w:val="superscript"/>
        </w:rPr>
        <w:lastRenderedPageBreak/>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Note"/>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Note"/>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Note"/>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Note"/>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Note"/>
        <w:keepNext/>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NotePara"/>
      </w:pPr>
      <w:r>
        <w:tab/>
        <w:t>(a)</w:t>
      </w:r>
      <w:r>
        <w:tab/>
        <w:t>in Part 2 Div. 3, relating to the Government School Teachers Tribunal;</w:t>
      </w:r>
    </w:p>
    <w:p>
      <w:pPr>
        <w:pStyle w:val="nNotePara"/>
      </w:pPr>
      <w:r>
        <w:tab/>
        <w:t>(b)</w:t>
      </w:r>
      <w:r>
        <w:tab/>
        <w:t>in s. 34, relating to the Promotions Appeal Board; and</w:t>
      </w:r>
    </w:p>
    <w:p>
      <w:pPr>
        <w:pStyle w:val="nNotePara"/>
      </w:pPr>
      <w:r>
        <w:tab/>
        <w:t>(c)</w:t>
      </w:r>
      <w:r>
        <w:tab/>
        <w:t>in s. 42, relating to dismissals occurring before the commencement of that section.</w:t>
      </w:r>
    </w:p>
    <w:p>
      <w:pPr>
        <w:pStyle w:val="nNote"/>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pPr>
        <w:pStyle w:val="nNote"/>
        <w:spacing w:before="120"/>
        <w:ind w:left="480" w:hanging="480"/>
        <w:rPr>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Note"/>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Note"/>
        <w:spacing w:before="120"/>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ind w:left="480" w:hanging="480"/>
        <w:rPr>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pPr>
        <w:pStyle w:val="nNote"/>
        <w:spacing w:before="120"/>
      </w:pPr>
      <w:r>
        <w:rPr>
          <w:vertAlign w:val="superscript"/>
        </w:rPr>
        <w:t>21</w:t>
      </w:r>
      <w:r>
        <w:tab/>
        <w:t xml:space="preserve">The </w:t>
      </w:r>
      <w:r>
        <w:rPr>
          <w:i/>
        </w:rPr>
        <w:t>Labour Relations Legislation Amendment Act 2006</w:t>
      </w:r>
      <w:r>
        <w:t xml:space="preserve"> s. 22 contains transitional provisions.</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633" w:name="_Toc98505356"/>
      <w:bookmarkStart w:id="634" w:name="_Toc98507055"/>
      <w:bookmarkStart w:id="635" w:name="_Toc98508218"/>
      <w:bookmarkStart w:id="636" w:name="_Toc98770273"/>
      <w:r>
        <w:rPr>
          <w:sz w:val="28"/>
        </w:rPr>
        <w:lastRenderedPageBreak/>
        <w:t>Defined terms</w:t>
      </w:r>
      <w:bookmarkEnd w:id="633"/>
      <w:bookmarkEnd w:id="634"/>
      <w:bookmarkEnd w:id="635"/>
      <w:bookmarkEnd w:id="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adopting provision</w:t>
      </w:r>
      <w:r>
        <w:tab/>
        <w:t>71A(2)</w:t>
      </w:r>
    </w:p>
    <w:p>
      <w:pPr>
        <w:pStyle w:val="DefinedTerms"/>
      </w:pPr>
      <w:r>
        <w:t>affected person</w:t>
      </w:r>
      <w:r>
        <w:tab/>
        <w:t>23B(1)(a)</w:t>
      </w:r>
    </w:p>
    <w:p>
      <w:pPr>
        <w:pStyle w:val="DefinedTerms"/>
      </w:pPr>
      <w:r>
        <w:t>alteration</w:t>
      </w:r>
      <w:r>
        <w:tab/>
        <w:t>7(1)</w:t>
      </w:r>
    </w:p>
    <w:p>
      <w:pPr>
        <w:pStyle w:val="DefinedTerms"/>
      </w:pPr>
      <w:r>
        <w:t>amended Act</w:t>
      </w:r>
      <w:r>
        <w:tab/>
        <w:t>Sch. 6 cl. 1</w:t>
      </w:r>
    </w:p>
    <w:p>
      <w:pPr>
        <w:pStyle w:val="DefinedTerms"/>
      </w:pPr>
      <w:r>
        <w:t>amending Act</w:t>
      </w:r>
      <w:r>
        <w:tab/>
        <w:t>Sch. 6 cl. 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80C(1), Sch. 3 cl. 1</w:t>
      </w:r>
    </w:p>
    <w:p>
      <w:pPr>
        <w:pStyle w:val="DefinedTerms"/>
      </w:pPr>
      <w:r>
        <w:t>arbitrator</w:t>
      </w:r>
      <w:r>
        <w:tab/>
        <w:t>97WH</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auditor</w:t>
      </w:r>
      <w:r>
        <w:tab/>
        <w:t>65(a)</w:t>
      </w:r>
    </w:p>
    <w:p>
      <w:pPr>
        <w:pStyle w:val="DefinedTerms"/>
      </w:pPr>
      <w:r>
        <w:t>authorised representative</w:t>
      </w:r>
      <w:r>
        <w:tab/>
        <w:t>49G</w:t>
      </w:r>
    </w:p>
    <w:p>
      <w:pPr>
        <w:pStyle w:val="DefinedTerms"/>
      </w:pPr>
      <w:r>
        <w:t>award</w:t>
      </w:r>
      <w:r>
        <w:tab/>
        <w:t>7(1), 46(5), 97U(1), 97UG(7)</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CEO</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51O(2)(a)</w:t>
      </w:r>
    </w:p>
    <w:p>
      <w:pPr>
        <w:pStyle w:val="DefinedTerms"/>
      </w:pPr>
      <w:r>
        <w:t>collegiate electoral system</w:t>
      </w:r>
      <w:r>
        <w:tab/>
        <w:t>52</w:t>
      </w:r>
    </w:p>
    <w:p>
      <w:pPr>
        <w:pStyle w:val="DefinedTerms"/>
      </w:pPr>
      <w:r>
        <w:t>commencement</w:t>
      </w:r>
      <w:r>
        <w:tab/>
        <w:t>16(2E)</w:t>
      </w:r>
    </w:p>
    <w:p>
      <w:pPr>
        <w:pStyle w:val="DefinedTerms"/>
      </w:pPr>
      <w:r>
        <w:t>commencement day</w:t>
      </w:r>
      <w:r>
        <w:tab/>
        <w:t>20(8b), Sch. 6 cl. 1</w:t>
      </w:r>
    </w:p>
    <w:p>
      <w:pPr>
        <w:pStyle w:val="DefinedTerms"/>
      </w:pPr>
      <w:r>
        <w:t>Commission</w:t>
      </w:r>
      <w:r>
        <w:tab/>
        <w:t>7(1), 16(1), 22A, 42C(6), 49(1), 50(1),</w:t>
      </w:r>
      <w:r>
        <w:br/>
      </w:r>
      <w:r>
        <w:tab/>
        <w:t>51C(1), 97VW, Sch. 6 cl. 5(1)</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lastRenderedPageBreak/>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Department</w:t>
      </w:r>
      <w:r>
        <w:tab/>
        <w:t>7(1)</w:t>
      </w:r>
    </w:p>
    <w:p>
      <w:pPr>
        <w:pStyle w:val="DefinedTerms"/>
      </w:pPr>
      <w:r>
        <w:t>departmental officer</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employed</w:t>
      </w:r>
      <w:r>
        <w:tab/>
        <w:t>99C(1)</w:t>
      </w:r>
    </w:p>
    <w:p>
      <w:pPr>
        <w:pStyle w:val="DefinedTerms"/>
      </w:pPr>
      <w:r>
        <w:t>employee</w:t>
      </w:r>
      <w:r>
        <w:tab/>
        <w:t>7(1), 51O(2)(a), 97U(2), 97U(3)</w:t>
      </w:r>
    </w:p>
    <w:p>
      <w:pPr>
        <w:pStyle w:val="DefinedTerms"/>
      </w:pPr>
      <w:r>
        <w:t>employees</w:t>
      </w:r>
      <w:r>
        <w:tab/>
        <w:t>36A(1)</w:t>
      </w:r>
    </w:p>
    <w:p>
      <w:pPr>
        <w:pStyle w:val="DefinedTerms"/>
      </w:pPr>
      <w:r>
        <w:t>employer</w:t>
      </w:r>
      <w:r>
        <w:tab/>
        <w:t>7(1), 51O(2)(b), 80C(1), 97U(2), 97U(3)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51O(2)(c)</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exposure draft</w:t>
      </w:r>
      <w:r>
        <w:tab/>
        <w:t>97WA(1)</w:t>
      </w:r>
    </w:p>
    <w:p>
      <w:pPr>
        <w:pStyle w:val="DefinedTerms"/>
      </w:pPr>
      <w:r>
        <w:t>Fair Work Commission</w:t>
      </w:r>
      <w:r>
        <w:tab/>
        <w:t>7(1), 80ZF</w:t>
      </w:r>
    </w:p>
    <w:p>
      <w:pPr>
        <w:pStyle w:val="DefinedTerms"/>
      </w:pPr>
      <w:r>
        <w:t>final decision</w:t>
      </w:r>
      <w:r>
        <w:tab/>
        <w:t>35(1A)</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first agreement</w:t>
      </w:r>
      <w:r>
        <w:tab/>
        <w:t>41(8)</w:t>
      </w:r>
    </w:p>
    <w:p>
      <w:pPr>
        <w:pStyle w:val="DefinedTerms"/>
      </w:pPr>
      <w:r>
        <w:t>former</w:t>
      </w:r>
      <w:r>
        <w:tab/>
        <w:t>Sch. 6 cl. 1</w:t>
      </w:r>
    </w:p>
    <w:p>
      <w:pPr>
        <w:pStyle w:val="DefinedTerms"/>
      </w:pPr>
      <w:r>
        <w:t>former Act</w:t>
      </w:r>
      <w:r>
        <w:tab/>
        <w:t>Sch. 6 cl. 5(1)</w:t>
      </w:r>
    </w:p>
    <w:p>
      <w:pPr>
        <w:pStyle w:val="DefinedTerms"/>
      </w:pPr>
      <w:r>
        <w:t>former acting President</w:t>
      </w:r>
      <w:r>
        <w:tab/>
        <w:t>Sch. 6 cl. 1 and 2(1)</w:t>
      </w:r>
    </w:p>
    <w:p>
      <w:pPr>
        <w:pStyle w:val="DefinedTerms"/>
      </w:pPr>
      <w:r>
        <w:lastRenderedPageBreak/>
        <w:t>former section 73 summons</w:t>
      </w:r>
      <w:r>
        <w:tab/>
        <w:t>Sch. 6 cl. 8(1)</w:t>
      </w:r>
    </w:p>
    <w:p>
      <w:pPr>
        <w:pStyle w:val="DefinedTerms"/>
      </w:pPr>
      <w:r>
        <w:t>Full Bench</w:t>
      </w:r>
      <w:r>
        <w:tab/>
        <w:t>7(1)</w:t>
      </w:r>
    </w:p>
    <w:p>
      <w:pPr>
        <w:pStyle w:val="DefinedTerms"/>
      </w:pPr>
      <w:r>
        <w:t>general jurisdiction</w:t>
      </w:r>
      <w:r>
        <w:tab/>
        <w:t>81CA(1), 81CB(1)</w:t>
      </w:r>
    </w:p>
    <w:p>
      <w:pPr>
        <w:pStyle w:val="DefinedTerms"/>
      </w:pPr>
      <w:r>
        <w:t>Government Financial Projections Statement</w:t>
      </w:r>
      <w:r>
        <w:tab/>
        <w:t>26(2B)</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w:t>
      </w:r>
    </w:p>
    <w:p>
      <w:pPr>
        <w:pStyle w:val="DefinedTerms"/>
      </w:pPr>
      <w: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w:t>
      </w:r>
    </w:p>
    <w:p>
      <w:pPr>
        <w:pStyle w:val="DefinedTerms"/>
      </w:pPr>
      <w:r>
        <w:t>judgment</w:t>
      </w:r>
      <w:r>
        <w:tab/>
        <w:t>81CB(1), 88(1)</w:t>
      </w:r>
    </w:p>
    <w:p>
      <w:pPr>
        <w:pStyle w:val="DefinedTerms"/>
      </w:pPr>
      <w:r>
        <w:t>labour hire agency</w:t>
      </w:r>
      <w:r>
        <w:tab/>
        <w:t>7(1)</w:t>
      </w:r>
    </w:p>
    <w:p>
      <w:pPr>
        <w:pStyle w:val="DefinedTerms"/>
      </w:pPr>
      <w:r>
        <w:t>legal practitioner</w:t>
      </w:r>
      <w:r>
        <w:tab/>
        <w:t>7(1)</w:t>
      </w:r>
    </w:p>
    <w:p>
      <w:pPr>
        <w:pStyle w:val="DefinedTerms"/>
      </w:pPr>
      <w:r>
        <w:t>limited guardian</w:t>
      </w:r>
      <w:r>
        <w:tab/>
        <w:t>97WS(4)</w:t>
      </w:r>
    </w:p>
    <w:p>
      <w:pPr>
        <w:pStyle w:val="DefinedTerms"/>
      </w:pPr>
      <w:r>
        <w:t>matter</w:t>
      </w:r>
      <w:r>
        <w:tab/>
        <w:t>Sch. 6 cl. 1</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award</w:t>
      </w:r>
      <w:r>
        <w:tab/>
        <w:t>36A(1)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51O(2)(e)</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officer of the Commission</w:t>
      </w:r>
      <w:r>
        <w:tab/>
        <w:t>7(1)</w:t>
      </w:r>
    </w:p>
    <w:p>
      <w:pPr>
        <w:pStyle w:val="DefinedTerms"/>
      </w:pPr>
      <w:r>
        <w:t>officer of the Court</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dispute</w:t>
      </w:r>
      <w:r>
        <w:tab/>
        <w:t>97WK(1)</w:t>
      </w:r>
    </w:p>
    <w:p>
      <w:pPr>
        <w:pStyle w:val="DefinedTerms"/>
      </w:pPr>
      <w:r>
        <w:t>original term</w:t>
      </w:r>
      <w:r>
        <w:tab/>
        <w:t>56A(4)</w:t>
      </w:r>
    </w:p>
    <w:p>
      <w:pPr>
        <w:pStyle w:val="DefinedTerms"/>
      </w:pPr>
      <w:r>
        <w:lastRenderedPageBreak/>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period</w:t>
      </w:r>
      <w:r>
        <w:tab/>
        <w:t>40C, 42A(1)</w:t>
      </w:r>
    </w:p>
    <w:p>
      <w:pPr>
        <w:pStyle w:val="DefinedTerms"/>
      </w:pPr>
      <w:r>
        <w:t>prescribed amount</w:t>
      </w:r>
      <w:r>
        <w:tab/>
        <w:t>29AA(5)</w:t>
      </w:r>
    </w:p>
    <w:p>
      <w:pPr>
        <w:pStyle w:val="DefinedTerms"/>
      </w:pPr>
      <w:r>
        <w:t>presiding commissioner</w:t>
      </w:r>
      <w:r>
        <w:tab/>
        <w:t>7(1)</w:t>
      </w:r>
    </w:p>
    <w:p>
      <w:pPr>
        <w:pStyle w:val="DefinedTerms"/>
      </w:pPr>
      <w:r>
        <w:t>presiding judge</w:t>
      </w:r>
      <w:r>
        <w:tab/>
        <w:t>7(1)</w:t>
      </w:r>
    </w:p>
    <w:p>
      <w:pPr>
        <w:pStyle w:val="DefinedTerms"/>
      </w:pPr>
      <w:r>
        <w:t>principal</w:t>
      </w:r>
      <w:r>
        <w:tab/>
        <w:t>7(6)</w:t>
      </w:r>
    </w:p>
    <w:p>
      <w:pPr>
        <w:pStyle w:val="DefinedTerms"/>
      </w:pPr>
      <w:r>
        <w:t>principal executive officer</w:t>
      </w:r>
      <w:r>
        <w:tab/>
        <w:t>7(1)</w:t>
      </w:r>
    </w:p>
    <w:p>
      <w:pPr>
        <w:pStyle w:val="DefinedTerms"/>
      </w:pPr>
      <w:r>
        <w:t>proceedings</w:t>
      </w:r>
      <w:r>
        <w:tab/>
        <w:t>49(4)</w:t>
      </w:r>
    </w:p>
    <w:p>
      <w:pPr>
        <w:pStyle w:val="DefinedTerms"/>
      </w:pPr>
      <w:r>
        <w:t>proposed representative</w:t>
      </w:r>
      <w:r>
        <w:tab/>
        <w:t>97WR, 97WV(3), 97XM(3)</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sector decision</w:t>
      </w:r>
      <w:r>
        <w:tab/>
        <w:t>26(2B)</w:t>
      </w:r>
    </w:p>
    <w:p>
      <w:pPr>
        <w:pStyle w:val="DefinedTerms"/>
      </w:pPr>
      <w:r>
        <w:t>public sector entity</w:t>
      </w:r>
      <w:r>
        <w:tab/>
        <w:t>26(2B)</w:t>
      </w:r>
    </w:p>
    <w:p>
      <w:pPr>
        <w:pStyle w:val="DefinedTerms"/>
      </w:pPr>
      <w:r>
        <w:t xml:space="preserve">Public Sector Wages Policy Statement </w:t>
      </w:r>
      <w:r>
        <w:tab/>
        <w:t>26(2B)</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Registrar’s Department</w:t>
      </w:r>
      <w:r>
        <w:tab/>
        <w:t>7(1)</w:t>
      </w:r>
    </w:p>
    <w:p>
      <w:pPr>
        <w:pStyle w:val="DefinedTerms"/>
      </w:pPr>
      <w:r>
        <w:t>Registrar’s Department officer</w:t>
      </w:r>
      <w:r>
        <w:tab/>
        <w:t>7(1)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 97X, 97XO</w:t>
      </w:r>
    </w:p>
    <w:p>
      <w:pPr>
        <w:pStyle w:val="DefinedTerms"/>
      </w:pPr>
      <w:r>
        <w:t>represented person</w:t>
      </w:r>
      <w:r>
        <w:tab/>
        <w:t>7(1), 97X, 97XO</w:t>
      </w:r>
    </w:p>
    <w:p>
      <w:pPr>
        <w:pStyle w:val="DefinedTerms"/>
      </w:pPr>
      <w:r>
        <w:t>respondent</w:t>
      </w:r>
      <w:r>
        <w:tab/>
        <w:t>77(1)</w:t>
      </w:r>
    </w:p>
    <w:p>
      <w:pPr>
        <w:pStyle w:val="DefinedTerms"/>
      </w:pPr>
      <w:r>
        <w:t>revocation order</w:t>
      </w:r>
      <w:r>
        <w:tab/>
        <w:t>97WR, 97XG(b)(ii), 97XI(1)</w:t>
      </w:r>
    </w:p>
    <w:p>
      <w:pPr>
        <w:pStyle w:val="DefinedTerms"/>
      </w:pPr>
      <w:r>
        <w:t>salaried position</w:t>
      </w:r>
      <w:r>
        <w:tab/>
        <w:t>80M(1)</w:t>
      </w:r>
    </w:p>
    <w:p>
      <w:pPr>
        <w:pStyle w:val="DefinedTerms"/>
      </w:pPr>
      <w:r>
        <w:lastRenderedPageBreak/>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rules</w:t>
      </w:r>
      <w:r>
        <w:tab/>
        <w:t>71A(2)</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tcPr>
        <w:p>
          <w:pPr>
            <w:pStyle w:val="Header"/>
            <w:spacing w:before="40"/>
          </w:pPr>
          <w:r>
            <w:fldChar w:fldCharType="begin"/>
          </w:r>
          <w:r>
            <w:instrText xml:space="preserve"> styleref CharSDivText </w:instrText>
          </w:r>
          <w:r>
            <w:fldChar w:fldCharType="end"/>
          </w: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578" w:name="Schedule"/>
    <w:bookmarkEnd w:id="5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116</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published in the “Western Australian Industrial Gazette”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Matters to be published in the “Western Australian Industrial Gazette”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7" w:name="DefinedTerms"/>
    <w:bookmarkEnd w:id="63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40450"/>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 w:name="WAFER_20181213102229" w:val="RemoveTocBookmarks,RemoveUnusedBookmarks,RemoveLanguageTags,UsedStyles,ResetPageSize"/>
    <w:docVar w:name="WAFER_20181213102229_GUID" w:val="0035eb00-6e68-4be7-8ff2-f0a5115b2850"/>
    <w:docVar w:name="WAFER_20190430142427" w:val="RemoveTocBookmarks,RemoveUnusedBookmarks,RemoveLanguageTags,ResetPageSize,RunningHeaders,UpdateStyles,UsedStyles"/>
    <w:docVar w:name="WAFER_20190430142427_GUID" w:val="abad9c6f-5aa9-40e2-b90b-623b62d47f10"/>
    <w:docVar w:name="WAFER_20190703094939" w:val="RemoveTocBookmarks,RemoveUnusedBookmarks,RemoveLanguageTags,ResetPageSize,RunningHeaders,UpdateStyles,UsedStyles"/>
    <w:docVar w:name="WAFER_20190703094939_GUID" w:val="ab040f71-d61b-4bc4-8ec4-fdcf26a39b1d"/>
    <w:docVar w:name="WAFER_20191128111150" w:val="RemoveTocBookmarks,RemoveUnusedBookmarks,RemoveLanguageTags,ResetPageSize,RunningHeaders,UpdateStyles,UsedStyles"/>
    <w:docVar w:name="WAFER_20191128111150_GUID" w:val="ed3c0a35-b154-40f3-b5ef-f690fc34344e"/>
    <w:docVar w:name="WAFER_202002131418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811_GUID" w:val="4973dfed-ff9c-4d07-b1e3-c7ca07665b9b"/>
    <w:docVar w:name="WAFER_20201109162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2241_GUID" w:val="1726638d-871d-4d7b-8431-95fc759b4437"/>
    <w:docVar w:name="WAFER_20211214104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4545_GUID" w:val="747c2d23-d491-4c73-ab7e-07f294d8b7b9"/>
    <w:docVar w:name="WAFER_20211221084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84638_GUID" w:val="449db215-e74c-4c7d-b90e-7e933b7eb779"/>
    <w:docVar w:name="WAFER_202112211429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26_GUID" w:val="dced8887-f241-46b8-b61b-df14de1484b6"/>
    <w:docVar w:name="WAFER_2022030810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10_GUID" w:val="346b4b0c-bfd5-41f9-9204-a1c8e7e37812"/>
    <w:docVar w:name="WAFER_20220318140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450_GUID" w:val="0b8bcd5b-1742-4fa8-9d73-98c513782e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36597AF4-85A4-4663-A5CF-89D615E8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16AD4-612A-4935-91B8-AABA417F6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90842</Words>
  <Characters>437859</Characters>
  <Application>Microsoft Office Word</Application>
  <DocSecurity>0</DocSecurity>
  <Lines>11522</Lines>
  <Paragraphs>6527</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522174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1979 - 16-g0-00</dc:title>
  <dc:subject/>
  <dc:creator/>
  <cp:keywords/>
  <dc:description/>
  <cp:lastModifiedBy>Master Repository Process</cp:lastModifiedBy>
  <cp:revision>4</cp:revision>
  <cp:lastPrinted>2019-11-28T07:43:00Z</cp:lastPrinted>
  <dcterms:created xsi:type="dcterms:W3CDTF">2022-03-30T03:41:00Z</dcterms:created>
  <dcterms:modified xsi:type="dcterms:W3CDTF">2022-03-30T03:42:00Z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ReprintedAsAt">
    <vt:filetime>2019-08-29T16:00:00Z</vt:filetime>
  </property>
  <property fmtid="{D5CDD505-2E9C-101B-9397-08002B2CF9AE}" pid="6" name="ReprintNo">
    <vt:lpwstr>16</vt:lpwstr>
  </property>
  <property fmtid="{D5CDD505-2E9C-101B-9397-08002B2CF9AE}" pid="7" name="AsAtDate">
    <vt:lpwstr>31 Mar 2022</vt:lpwstr>
  </property>
  <property fmtid="{D5CDD505-2E9C-101B-9397-08002B2CF9AE}" pid="8" name="Suffix">
    <vt:lpwstr>16-g0-00</vt:lpwstr>
  </property>
  <property fmtid="{D5CDD505-2E9C-101B-9397-08002B2CF9AE}" pid="9" name="CommencementDate">
    <vt:lpwstr>20220331</vt:lpwstr>
  </property>
</Properties>
</file>