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Occupational Safety and Health Act 1984</w:t>
      </w:r>
      <w:r>
        <w:fldChar w:fldCharType="end"/>
      </w:r>
    </w:p>
    <w:p>
      <w:pPr>
        <w:pStyle w:val="Subsection"/>
      </w:pPr>
      <w:r>
        <w:tab/>
      </w:r>
      <w:r>
        <w:tab/>
        <w:t xml:space="preserve">This Act was repealed by the </w:t>
      </w:r>
      <w:r>
        <w:rPr>
          <w:i/>
        </w:rPr>
        <w:t>Work Health and Safety Act 2020</w:t>
      </w:r>
      <w:r>
        <w:t xml:space="preserve"> s. 278 (No. 36 of 2020) on 31 Mar 2022 (see s. 2(1)(c) and SL 2022/18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_Toc98511365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_Toc98511366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_Toc98511367 \h </w:instrText>
      </w:r>
      <w:r>
        <w:fldChar w:fldCharType="separate"/>
      </w:r>
      <w:r>
        <w:t>2</w:t>
      </w:r>
      <w:r>
        <w:fldChar w:fldCharType="end"/>
      </w:r>
    </w:p>
    <w:p>
      <w:pPr>
        <w:pStyle w:val="TOC8"/>
        <w:rPr>
          <w:rFonts w:asciiTheme="minorHAnsi" w:eastAsiaTheme="minorEastAsia" w:hAnsiTheme="minorHAnsi" w:cstheme="minorBidi"/>
          <w:szCs w:val="22"/>
        </w:rPr>
      </w:pPr>
      <w:r>
        <w:t>3A.</w:t>
      </w:r>
      <w:r>
        <w:tab/>
        <w:t>Penalty levels defined</w:t>
      </w:r>
      <w:r>
        <w:tab/>
      </w:r>
      <w:r>
        <w:fldChar w:fldCharType="begin"/>
      </w:r>
      <w:r>
        <w:instrText xml:space="preserve"> PAGEREF _Toc98511368 \h </w:instrText>
      </w:r>
      <w:r>
        <w:fldChar w:fldCharType="separate"/>
      </w:r>
      <w:r>
        <w:t>6</w:t>
      </w:r>
      <w:r>
        <w:fldChar w:fldCharType="end"/>
      </w:r>
    </w:p>
    <w:p>
      <w:pPr>
        <w:pStyle w:val="TOC8"/>
        <w:rPr>
          <w:rFonts w:asciiTheme="minorHAnsi" w:eastAsiaTheme="minorEastAsia" w:hAnsiTheme="minorHAnsi" w:cstheme="minorBidi"/>
          <w:szCs w:val="22"/>
        </w:rPr>
      </w:pPr>
      <w:r>
        <w:t>3B.</w:t>
      </w:r>
      <w:r>
        <w:tab/>
        <w:t>Offences, first and subsequent</w:t>
      </w:r>
      <w:r>
        <w:tab/>
      </w:r>
      <w:r>
        <w:fldChar w:fldCharType="begin"/>
      </w:r>
      <w:r>
        <w:instrText xml:space="preserve"> PAGEREF _Toc98511369 \h </w:instrText>
      </w:r>
      <w:r>
        <w:fldChar w:fldCharType="separate"/>
      </w:r>
      <w:r>
        <w:t>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_Toc98511370 \h </w:instrText>
      </w:r>
      <w:r>
        <w:fldChar w:fldCharType="separate"/>
      </w:r>
      <w:r>
        <w:t>9</w:t>
      </w:r>
      <w:r>
        <w:fldChar w:fldCharType="end"/>
      </w:r>
    </w:p>
    <w:p>
      <w:pPr>
        <w:pStyle w:val="TOC8"/>
        <w:rPr>
          <w:rFonts w:asciiTheme="minorHAnsi" w:eastAsiaTheme="minorEastAsia" w:hAnsiTheme="minorHAnsi" w:cstheme="minorBidi"/>
          <w:szCs w:val="22"/>
        </w:rPr>
      </w:pPr>
      <w:r>
        <w:t>4A.</w:t>
      </w:r>
      <w:r>
        <w:tab/>
        <w:t>Act does not operate to affect adversely certain police operations</w:t>
      </w:r>
      <w:r>
        <w:tab/>
      </w:r>
      <w:r>
        <w:fldChar w:fldCharType="begin"/>
      </w:r>
      <w:r>
        <w:instrText xml:space="preserve"> PAGEREF _Toc98511371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w:t>
      </w:r>
      <w:r>
        <w:tab/>
      </w:r>
      <w:r>
        <w:fldChar w:fldCharType="begin"/>
      </w:r>
      <w:r>
        <w:instrText xml:space="preserve"> PAGEREF _Toc98511372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 — Commission for Occupational Safety and Health</w:t>
      </w:r>
    </w:p>
    <w:p>
      <w:pPr>
        <w:pStyle w:val="TOC8"/>
        <w:rPr>
          <w:rFonts w:asciiTheme="minorHAnsi" w:eastAsiaTheme="minorEastAsia" w:hAnsiTheme="minorHAnsi" w:cstheme="minorBidi"/>
          <w:szCs w:val="22"/>
        </w:rPr>
      </w:pPr>
      <w:r>
        <w:t>6</w:t>
      </w:r>
      <w:r>
        <w:rPr>
          <w:snapToGrid w:val="0"/>
        </w:rPr>
        <w:t>.</w:t>
      </w:r>
      <w:r>
        <w:rPr>
          <w:snapToGrid w:val="0"/>
        </w:rPr>
        <w:tab/>
        <w:t>Commission, creation, membership of etc.</w:t>
      </w:r>
      <w:r>
        <w:tab/>
      </w:r>
      <w:r>
        <w:fldChar w:fldCharType="begin"/>
      </w:r>
      <w:r>
        <w:instrText xml:space="preserve"> PAGEREF _Toc98511374 \h </w:instrText>
      </w:r>
      <w:r>
        <w:fldChar w:fldCharType="separate"/>
      </w:r>
      <w:r>
        <w:t>13</w:t>
      </w:r>
      <w:r>
        <w:fldChar w:fldCharType="end"/>
      </w:r>
    </w:p>
    <w:p>
      <w:pPr>
        <w:pStyle w:val="TOC8"/>
        <w:rPr>
          <w:rFonts w:asciiTheme="minorHAnsi" w:eastAsiaTheme="minorEastAsia" w:hAnsiTheme="minorHAnsi" w:cstheme="minorBidi"/>
          <w:szCs w:val="22"/>
        </w:rPr>
      </w:pPr>
      <w:r>
        <w:t>6A</w:t>
      </w:r>
      <w:r>
        <w:rPr>
          <w:snapToGrid w:val="0"/>
        </w:rPr>
        <w:t xml:space="preserve">. </w:t>
      </w:r>
      <w:r>
        <w:rPr>
          <w:snapToGrid w:val="0"/>
        </w:rPr>
        <w:tab/>
        <w:t>Deputy chairperson</w:t>
      </w:r>
      <w:r>
        <w:tab/>
      </w:r>
      <w:r>
        <w:fldChar w:fldCharType="begin"/>
      </w:r>
      <w:r>
        <w:instrText xml:space="preserve"> PAGEREF _Toc98511375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Acting members</w:t>
      </w:r>
      <w:r>
        <w:tab/>
      </w:r>
      <w:r>
        <w:fldChar w:fldCharType="begin"/>
      </w:r>
      <w:r>
        <w:instrText xml:space="preserve"> PAGEREF _Toc98511376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and conditions of appointed members</w:t>
      </w:r>
      <w:r>
        <w:tab/>
      </w:r>
      <w:r>
        <w:fldChar w:fldCharType="begin"/>
      </w:r>
      <w:r>
        <w:instrText xml:space="preserve"> PAGEREF _Toc98511377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WorkSafe Western Australia Commissioner</w:t>
      </w:r>
      <w:r>
        <w:tab/>
      </w:r>
      <w:r>
        <w:fldChar w:fldCharType="begin"/>
      </w:r>
      <w:r>
        <w:instrText xml:space="preserve"> PAGEREF _Toc98511378 \h </w:instrText>
      </w:r>
      <w:r>
        <w:fldChar w:fldCharType="separate"/>
      </w:r>
      <w:r>
        <w:t>16</w:t>
      </w:r>
      <w:r>
        <w:fldChar w:fldCharType="end"/>
      </w:r>
    </w:p>
    <w:p>
      <w:pPr>
        <w:pStyle w:val="TOC8"/>
        <w:rPr>
          <w:rFonts w:asciiTheme="minorHAnsi" w:eastAsiaTheme="minorEastAsia" w:hAnsiTheme="minorHAnsi" w:cstheme="minorBidi"/>
          <w:szCs w:val="22"/>
        </w:rPr>
      </w:pPr>
      <w:r>
        <w:t>10.</w:t>
      </w:r>
      <w:r>
        <w:tab/>
        <w:t>Vacation of office</w:t>
      </w:r>
      <w:r>
        <w:tab/>
      </w:r>
      <w:r>
        <w:fldChar w:fldCharType="begin"/>
      </w:r>
      <w:r>
        <w:instrText xml:space="preserve"> PAGEREF _Toc98511379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_Toc98511380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Casual vacancies</w:t>
      </w:r>
      <w:r>
        <w:tab/>
      </w:r>
      <w:r>
        <w:fldChar w:fldCharType="begin"/>
      </w:r>
      <w:r>
        <w:instrText xml:space="preserve"> PAGEREF _Toc98511381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Commission</w:t>
      </w:r>
      <w:r>
        <w:tab/>
      </w:r>
      <w:r>
        <w:fldChar w:fldCharType="begin"/>
      </w:r>
      <w:r>
        <w:instrText xml:space="preserve"> PAGEREF _Toc98511382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Functions of Commission</w:t>
      </w:r>
      <w:r>
        <w:tab/>
      </w:r>
      <w:r>
        <w:fldChar w:fldCharType="begin"/>
      </w:r>
      <w:r>
        <w:instrText xml:space="preserve"> PAGEREF _Toc98511383 \h </w:instrText>
      </w:r>
      <w:r>
        <w:fldChar w:fldCharType="separate"/>
      </w:r>
      <w:r>
        <w:t>20</w:t>
      </w:r>
      <w:r>
        <w:fldChar w:fldCharType="end"/>
      </w:r>
    </w:p>
    <w:p>
      <w:pPr>
        <w:pStyle w:val="TOC8"/>
        <w:rPr>
          <w:rFonts w:asciiTheme="minorHAnsi" w:eastAsiaTheme="minorEastAsia" w:hAnsiTheme="minorHAnsi" w:cstheme="minorBidi"/>
          <w:szCs w:val="22"/>
        </w:rPr>
      </w:pPr>
      <w:r>
        <w:t>14A.</w:t>
      </w:r>
      <w:r>
        <w:tab/>
        <w:t>Mining Industry Advisory Committee</w:t>
      </w:r>
      <w:r>
        <w:tab/>
      </w:r>
      <w:r>
        <w:fldChar w:fldCharType="begin"/>
      </w:r>
      <w:r>
        <w:instrText xml:space="preserve"> PAGEREF _Toc98511384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Other advisory committees, appointment of etc.</w:t>
      </w:r>
      <w:r>
        <w:tab/>
      </w:r>
      <w:r>
        <w:fldChar w:fldCharType="begin"/>
      </w:r>
      <w:r>
        <w:instrText xml:space="preserve"> PAGEREF _Toc98511385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Annual report</w:t>
      </w:r>
      <w:r>
        <w:tab/>
      </w:r>
      <w:r>
        <w:fldChar w:fldCharType="begin"/>
      </w:r>
      <w:r>
        <w:instrText xml:space="preserve"> PAGEREF _Toc98511386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to assist Commission</w:t>
      </w:r>
      <w:r>
        <w:tab/>
      </w:r>
      <w:r>
        <w:fldChar w:fldCharType="begin"/>
      </w:r>
      <w:r>
        <w:instrText xml:space="preserve"> PAGEREF _Toc98511387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Commissioner and department</w:t>
      </w:r>
      <w:r>
        <w:tab/>
      </w:r>
      <w:r>
        <w:fldChar w:fldCharType="begin"/>
      </w:r>
      <w:r>
        <w:instrText xml:space="preserve"> PAGEREF _Toc98511388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General provisions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18A.</w:t>
      </w:r>
      <w:r>
        <w:tab/>
        <w:t>Meaning of gross negligence in relation to certain breaches of this Part</w:t>
      </w:r>
      <w:r>
        <w:tab/>
      </w:r>
      <w:r>
        <w:fldChar w:fldCharType="begin"/>
      </w:r>
      <w:r>
        <w:instrText xml:space="preserve"> PAGEREF _Toc98511391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General workplace duties</w:t>
      </w:r>
    </w:p>
    <w:p>
      <w:pPr>
        <w:pStyle w:val="TOC8"/>
        <w:rPr>
          <w:rFonts w:asciiTheme="minorHAnsi" w:eastAsiaTheme="minorEastAsia" w:hAnsiTheme="minorHAnsi" w:cstheme="minorBidi"/>
          <w:szCs w:val="22"/>
        </w:rPr>
      </w:pPr>
      <w:r>
        <w:t>19</w:t>
      </w:r>
      <w:r>
        <w:rPr>
          <w:snapToGrid w:val="0"/>
        </w:rPr>
        <w:t>.</w:t>
      </w:r>
      <w:r>
        <w:rPr>
          <w:snapToGrid w:val="0"/>
        </w:rPr>
        <w:tab/>
        <w:t>Duties of employers</w:t>
      </w:r>
      <w:r>
        <w:tab/>
      </w:r>
      <w:r>
        <w:fldChar w:fldCharType="begin"/>
      </w:r>
      <w:r>
        <w:instrText xml:space="preserve"> PAGEREF _Toc98511393 \h </w:instrText>
      </w:r>
      <w:r>
        <w:fldChar w:fldCharType="separate"/>
      </w:r>
      <w:r>
        <w:t>26</w:t>
      </w:r>
      <w:r>
        <w:fldChar w:fldCharType="end"/>
      </w:r>
    </w:p>
    <w:p>
      <w:pPr>
        <w:pStyle w:val="TOC8"/>
        <w:rPr>
          <w:rFonts w:asciiTheme="minorHAnsi" w:eastAsiaTheme="minorEastAsia" w:hAnsiTheme="minorHAnsi" w:cstheme="minorBidi"/>
          <w:szCs w:val="22"/>
        </w:rPr>
      </w:pPr>
      <w:r>
        <w:t>19A.</w:t>
      </w:r>
      <w:r>
        <w:tab/>
        <w:t>Breaches of s. 19(1)</w:t>
      </w:r>
      <w:r>
        <w:tab/>
      </w:r>
      <w:r>
        <w:fldChar w:fldCharType="begin"/>
      </w:r>
      <w:r>
        <w:instrText xml:space="preserve"> PAGEREF _Toc98511394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Duties of employees</w:t>
      </w:r>
      <w:r>
        <w:tab/>
      </w:r>
      <w:r>
        <w:fldChar w:fldCharType="begin"/>
      </w:r>
      <w:r>
        <w:instrText xml:space="preserve"> PAGEREF _Toc98511395 \h </w:instrText>
      </w:r>
      <w:r>
        <w:fldChar w:fldCharType="separate"/>
      </w:r>
      <w:r>
        <w:t>28</w:t>
      </w:r>
      <w:r>
        <w:fldChar w:fldCharType="end"/>
      </w:r>
    </w:p>
    <w:p>
      <w:pPr>
        <w:pStyle w:val="TOC8"/>
        <w:rPr>
          <w:rFonts w:asciiTheme="minorHAnsi" w:eastAsiaTheme="minorEastAsia" w:hAnsiTheme="minorHAnsi" w:cstheme="minorBidi"/>
          <w:szCs w:val="22"/>
        </w:rPr>
      </w:pPr>
      <w:r>
        <w:t>20A.</w:t>
      </w:r>
      <w:r>
        <w:tab/>
        <w:t>Breaches of s. 20(1) or (3)</w:t>
      </w:r>
      <w:r>
        <w:tab/>
      </w:r>
      <w:r>
        <w:fldChar w:fldCharType="begin"/>
      </w:r>
      <w:r>
        <w:instrText xml:space="preserve"> PAGEREF _Toc98511396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Duties of employers and self</w:t>
      </w:r>
      <w:r>
        <w:rPr>
          <w:snapToGrid w:val="0"/>
        </w:rPr>
        <w:noBreakHyphen/>
        <w:t>employed persons</w:t>
      </w:r>
      <w:r>
        <w:tab/>
      </w:r>
      <w:r>
        <w:fldChar w:fldCharType="begin"/>
      </w:r>
      <w:r>
        <w:instrText xml:space="preserve"> PAGEREF _Toc98511397 \h </w:instrText>
      </w:r>
      <w:r>
        <w:fldChar w:fldCharType="separate"/>
      </w:r>
      <w:r>
        <w:t>30</w:t>
      </w:r>
      <w:r>
        <w:fldChar w:fldCharType="end"/>
      </w:r>
    </w:p>
    <w:p>
      <w:pPr>
        <w:pStyle w:val="TOC8"/>
        <w:rPr>
          <w:rFonts w:asciiTheme="minorHAnsi" w:eastAsiaTheme="minorEastAsia" w:hAnsiTheme="minorHAnsi" w:cstheme="minorBidi"/>
          <w:szCs w:val="22"/>
        </w:rPr>
      </w:pPr>
      <w:r>
        <w:t>21A.</w:t>
      </w:r>
      <w:r>
        <w:tab/>
        <w:t>Breaches of s. 21</w:t>
      </w:r>
      <w:r>
        <w:tab/>
      </w:r>
      <w:r>
        <w:fldChar w:fldCharType="begin"/>
      </w:r>
      <w:r>
        <w:instrText xml:space="preserve"> PAGEREF _Toc98511398 \h </w:instrText>
      </w:r>
      <w:r>
        <w:fldChar w:fldCharType="separate"/>
      </w:r>
      <w:r>
        <w:t>31</w:t>
      </w:r>
      <w:r>
        <w:fldChar w:fldCharType="end"/>
      </w:r>
    </w:p>
    <w:p>
      <w:pPr>
        <w:pStyle w:val="TOC8"/>
        <w:rPr>
          <w:rFonts w:asciiTheme="minorHAnsi" w:eastAsiaTheme="minorEastAsia" w:hAnsiTheme="minorHAnsi" w:cstheme="minorBidi"/>
          <w:szCs w:val="22"/>
        </w:rPr>
      </w:pPr>
      <w:r>
        <w:t>21B.</w:t>
      </w:r>
      <w:r>
        <w:tab/>
        <w:t>Duty of body corporate to which s. 23D, 23E or 23F applies</w:t>
      </w:r>
      <w:r>
        <w:tab/>
      </w:r>
      <w:r>
        <w:fldChar w:fldCharType="begin"/>
      </w:r>
      <w:r>
        <w:instrText xml:space="preserve"> PAGEREF _Toc98511399 \h </w:instrText>
      </w:r>
      <w:r>
        <w:fldChar w:fldCharType="separate"/>
      </w:r>
      <w:r>
        <w:t>32</w:t>
      </w:r>
      <w:r>
        <w:fldChar w:fldCharType="end"/>
      </w:r>
    </w:p>
    <w:p>
      <w:pPr>
        <w:pStyle w:val="TOC8"/>
        <w:rPr>
          <w:rFonts w:asciiTheme="minorHAnsi" w:eastAsiaTheme="minorEastAsia" w:hAnsiTheme="minorHAnsi" w:cstheme="minorBidi"/>
          <w:szCs w:val="22"/>
        </w:rPr>
      </w:pPr>
      <w:r>
        <w:t>21C.</w:t>
      </w:r>
      <w:r>
        <w:tab/>
        <w:t>Breaches of s. 21B</w:t>
      </w:r>
      <w:r>
        <w:tab/>
      </w:r>
      <w:r>
        <w:fldChar w:fldCharType="begin"/>
      </w:r>
      <w:r>
        <w:instrText xml:space="preserve"> PAGEREF _Toc98511400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Duties of persons who have control of workplaces</w:t>
      </w:r>
      <w:r>
        <w:tab/>
      </w:r>
      <w:r>
        <w:fldChar w:fldCharType="begin"/>
      </w:r>
      <w:r>
        <w:instrText xml:space="preserve"> PAGEREF _Toc98511401 \h </w:instrText>
      </w:r>
      <w:r>
        <w:fldChar w:fldCharType="separate"/>
      </w:r>
      <w:r>
        <w:t>33</w:t>
      </w:r>
      <w:r>
        <w:fldChar w:fldCharType="end"/>
      </w:r>
    </w:p>
    <w:p>
      <w:pPr>
        <w:pStyle w:val="TOC8"/>
        <w:rPr>
          <w:rFonts w:asciiTheme="minorHAnsi" w:eastAsiaTheme="minorEastAsia" w:hAnsiTheme="minorHAnsi" w:cstheme="minorBidi"/>
          <w:szCs w:val="22"/>
        </w:rPr>
      </w:pPr>
      <w:r>
        <w:t>22A.</w:t>
      </w:r>
      <w:r>
        <w:tab/>
        <w:t>Breaches of s. 22(1)</w:t>
      </w:r>
      <w:r>
        <w:tab/>
      </w:r>
      <w:r>
        <w:fldChar w:fldCharType="begin"/>
      </w:r>
      <w:r>
        <w:instrText xml:space="preserve"> PAGEREF _Toc98511402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Duties of manufacturers etc.</w:t>
      </w:r>
      <w:r>
        <w:tab/>
      </w:r>
      <w:r>
        <w:fldChar w:fldCharType="begin"/>
      </w:r>
      <w:r>
        <w:instrText xml:space="preserve"> PAGEREF _Toc98511403 \h </w:instrText>
      </w:r>
      <w:r>
        <w:fldChar w:fldCharType="separate"/>
      </w:r>
      <w:r>
        <w:t>35</w:t>
      </w:r>
      <w:r>
        <w:fldChar w:fldCharType="end"/>
      </w:r>
    </w:p>
    <w:p>
      <w:pPr>
        <w:pStyle w:val="TOC8"/>
        <w:rPr>
          <w:rFonts w:asciiTheme="minorHAnsi" w:eastAsiaTheme="minorEastAsia" w:hAnsiTheme="minorHAnsi" w:cstheme="minorBidi"/>
          <w:szCs w:val="22"/>
        </w:rPr>
      </w:pPr>
      <w:r>
        <w:t>23AA.</w:t>
      </w:r>
      <w:r>
        <w:tab/>
        <w:t>Breaches of s. 23</w:t>
      </w:r>
      <w:r>
        <w:tab/>
      </w:r>
      <w:r>
        <w:fldChar w:fldCharType="begin"/>
      </w:r>
      <w:r>
        <w:instrText xml:space="preserve"> PAGEREF _Toc98511404 \h </w:instrText>
      </w:r>
      <w:r>
        <w:fldChar w:fldCharType="separate"/>
      </w:r>
      <w:r>
        <w:t>37</w:t>
      </w:r>
      <w:r>
        <w:fldChar w:fldCharType="end"/>
      </w:r>
    </w:p>
    <w:p>
      <w:pPr>
        <w:pStyle w:val="TOC8"/>
        <w:rPr>
          <w:rFonts w:asciiTheme="minorHAnsi" w:eastAsiaTheme="minorEastAsia" w:hAnsiTheme="minorHAnsi" w:cstheme="minorBidi"/>
          <w:szCs w:val="22"/>
        </w:rPr>
      </w:pPr>
      <w:r>
        <w:t>23A</w:t>
      </w:r>
      <w:r>
        <w:rPr>
          <w:snapToGrid w:val="0"/>
        </w:rPr>
        <w:t xml:space="preserve">. </w:t>
      </w:r>
      <w:r>
        <w:rPr>
          <w:snapToGrid w:val="0"/>
        </w:rPr>
        <w:tab/>
        <w:t>Prohibited activities in prescribed areas</w:t>
      </w:r>
      <w:r>
        <w:tab/>
      </w:r>
      <w:r>
        <w:fldChar w:fldCharType="begin"/>
      </w:r>
      <w:r>
        <w:instrText xml:space="preserve"> PAGEREF _Toc98511405 \h </w:instrText>
      </w:r>
      <w:r>
        <w:fldChar w:fldCharType="separate"/>
      </w:r>
      <w:r>
        <w:t>38</w:t>
      </w:r>
      <w:r>
        <w:fldChar w:fldCharType="end"/>
      </w:r>
    </w:p>
    <w:p>
      <w:pPr>
        <w:pStyle w:val="TOC8"/>
        <w:rPr>
          <w:rFonts w:asciiTheme="minorHAnsi" w:eastAsiaTheme="minorEastAsia" w:hAnsiTheme="minorHAnsi" w:cstheme="minorBidi"/>
          <w:szCs w:val="22"/>
        </w:rPr>
      </w:pPr>
      <w:r>
        <w:t>23B.</w:t>
      </w:r>
      <w:r>
        <w:tab/>
        <w:t>Breaches of s. 23A</w:t>
      </w:r>
      <w:r>
        <w:tab/>
      </w:r>
      <w:r>
        <w:fldChar w:fldCharType="begin"/>
      </w:r>
      <w:r>
        <w:instrText xml:space="preserve"> PAGEREF _Toc98511406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23C.</w:t>
      </w:r>
      <w:r>
        <w:tab/>
        <w:t>Terms used</w:t>
      </w:r>
      <w:r>
        <w:tab/>
      </w:r>
      <w:r>
        <w:fldChar w:fldCharType="begin"/>
      </w:r>
      <w:r>
        <w:instrText xml:space="preserve"> PAGEREF _Toc98511408 \h </w:instrText>
      </w:r>
      <w:r>
        <w:fldChar w:fldCharType="separate"/>
      </w:r>
      <w:r>
        <w:t>39</w:t>
      </w:r>
      <w:r>
        <w:fldChar w:fldCharType="end"/>
      </w:r>
    </w:p>
    <w:p>
      <w:pPr>
        <w:pStyle w:val="TOC8"/>
        <w:rPr>
          <w:rFonts w:asciiTheme="minorHAnsi" w:eastAsiaTheme="minorEastAsia" w:hAnsiTheme="minorHAnsi" w:cstheme="minorBidi"/>
          <w:szCs w:val="22"/>
        </w:rPr>
      </w:pPr>
      <w:r>
        <w:t>23D.</w:t>
      </w:r>
      <w:r>
        <w:tab/>
        <w:t>Contract work arrangements</w:t>
      </w:r>
      <w:r>
        <w:tab/>
      </w:r>
      <w:r>
        <w:fldChar w:fldCharType="begin"/>
      </w:r>
      <w:r>
        <w:instrText xml:space="preserve"> PAGEREF _Toc98511409 \h </w:instrText>
      </w:r>
      <w:r>
        <w:fldChar w:fldCharType="separate"/>
      </w:r>
      <w:r>
        <w:t>39</w:t>
      </w:r>
      <w:r>
        <w:fldChar w:fldCharType="end"/>
      </w:r>
    </w:p>
    <w:p>
      <w:pPr>
        <w:pStyle w:val="TOC8"/>
        <w:rPr>
          <w:rFonts w:asciiTheme="minorHAnsi" w:eastAsiaTheme="minorEastAsia" w:hAnsiTheme="minorHAnsi" w:cstheme="minorBidi"/>
          <w:szCs w:val="22"/>
        </w:rPr>
      </w:pPr>
      <w:r>
        <w:t>23E.</w:t>
      </w:r>
      <w:r>
        <w:tab/>
        <w:t>Labour arrangements in general</w:t>
      </w:r>
      <w:r>
        <w:tab/>
      </w:r>
      <w:r>
        <w:fldChar w:fldCharType="begin"/>
      </w:r>
      <w:r>
        <w:instrText xml:space="preserve"> PAGEREF _Toc98511410 \h </w:instrText>
      </w:r>
      <w:r>
        <w:fldChar w:fldCharType="separate"/>
      </w:r>
      <w:r>
        <w:t>41</w:t>
      </w:r>
      <w:r>
        <w:fldChar w:fldCharType="end"/>
      </w:r>
    </w:p>
    <w:p>
      <w:pPr>
        <w:pStyle w:val="TOC8"/>
        <w:rPr>
          <w:rFonts w:asciiTheme="minorHAnsi" w:eastAsiaTheme="minorEastAsia" w:hAnsiTheme="minorHAnsi" w:cstheme="minorBidi"/>
          <w:szCs w:val="22"/>
        </w:rPr>
      </w:pPr>
      <w:r>
        <w:t>23F.</w:t>
      </w:r>
      <w:r>
        <w:tab/>
        <w:t>Labour hire arrangements</w:t>
      </w:r>
      <w:r>
        <w:tab/>
      </w:r>
      <w:r>
        <w:fldChar w:fldCharType="begin"/>
      </w:r>
      <w:r>
        <w:instrText xml:space="preserve"> PAGEREF _Toc98511411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Duty relating to certain employment accommodation</w:t>
      </w:r>
    </w:p>
    <w:p>
      <w:pPr>
        <w:pStyle w:val="TOC8"/>
        <w:rPr>
          <w:rFonts w:asciiTheme="minorHAnsi" w:eastAsiaTheme="minorEastAsia" w:hAnsiTheme="minorHAnsi" w:cstheme="minorBidi"/>
          <w:szCs w:val="22"/>
        </w:rPr>
      </w:pPr>
      <w:r>
        <w:t>23G.</w:t>
      </w:r>
      <w:r>
        <w:tab/>
        <w:t>Duty of employer to maintain safe premises</w:t>
      </w:r>
      <w:r>
        <w:tab/>
      </w:r>
      <w:r>
        <w:fldChar w:fldCharType="begin"/>
      </w:r>
      <w:r>
        <w:instrText xml:space="preserve"> PAGEREF _Toc98511413 \h </w:instrText>
      </w:r>
      <w:r>
        <w:fldChar w:fldCharType="separate"/>
      </w:r>
      <w:r>
        <w:t>44</w:t>
      </w:r>
      <w:r>
        <w:fldChar w:fldCharType="end"/>
      </w:r>
    </w:p>
    <w:p>
      <w:pPr>
        <w:pStyle w:val="TOC8"/>
        <w:rPr>
          <w:rFonts w:asciiTheme="minorHAnsi" w:eastAsiaTheme="minorEastAsia" w:hAnsiTheme="minorHAnsi" w:cstheme="minorBidi"/>
          <w:szCs w:val="22"/>
        </w:rPr>
      </w:pPr>
      <w:r>
        <w:t>23H.</w:t>
      </w:r>
      <w:r>
        <w:tab/>
        <w:t>Breaches of s. 23G</w:t>
      </w:r>
      <w:r>
        <w:tab/>
      </w:r>
      <w:r>
        <w:fldChar w:fldCharType="begin"/>
      </w:r>
      <w:r>
        <w:instrText xml:space="preserve"> PAGEREF _Toc98511414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Other duties</w:t>
      </w:r>
    </w:p>
    <w:p>
      <w:pPr>
        <w:pStyle w:val="TOC8"/>
        <w:rPr>
          <w:rFonts w:asciiTheme="minorHAnsi" w:eastAsiaTheme="minorEastAsia" w:hAnsiTheme="minorHAnsi" w:cstheme="minorBidi"/>
          <w:szCs w:val="22"/>
        </w:rPr>
      </w:pPr>
      <w:r>
        <w:t>23I.</w:t>
      </w:r>
      <w:r>
        <w:tab/>
        <w:t>Notification of deaths, injuries and diseases</w:t>
      </w:r>
      <w:r>
        <w:tab/>
      </w:r>
      <w:r>
        <w:fldChar w:fldCharType="begin"/>
      </w:r>
      <w:r>
        <w:instrText xml:space="preserve"> PAGEREF _Toc98511416 \h </w:instrText>
      </w:r>
      <w:r>
        <w:fldChar w:fldCharType="separate"/>
      </w:r>
      <w:r>
        <w:t>46</w:t>
      </w:r>
      <w:r>
        <w:fldChar w:fldCharType="end"/>
      </w:r>
    </w:p>
    <w:p>
      <w:pPr>
        <w:pStyle w:val="TOC8"/>
        <w:rPr>
          <w:rFonts w:asciiTheme="minorHAnsi" w:eastAsiaTheme="minorEastAsia" w:hAnsiTheme="minorHAnsi" w:cstheme="minorBidi"/>
          <w:szCs w:val="22"/>
        </w:rPr>
      </w:pPr>
      <w:r>
        <w:t>23J.</w:t>
      </w:r>
      <w:r>
        <w:tab/>
        <w:t>Breaches of s. 23I</w:t>
      </w:r>
      <w:r>
        <w:tab/>
      </w:r>
      <w:r>
        <w:fldChar w:fldCharType="begin"/>
      </w:r>
      <w:r>
        <w:instrText xml:space="preserve"> PAGEREF _Toc98511417 \h </w:instrText>
      </w:r>
      <w:r>
        <w:fldChar w:fldCharType="separate"/>
      </w:r>
      <w:r>
        <w:t>48</w:t>
      </w:r>
      <w:r>
        <w:fldChar w:fldCharType="end"/>
      </w:r>
    </w:p>
    <w:p>
      <w:pPr>
        <w:pStyle w:val="TOC8"/>
        <w:rPr>
          <w:rFonts w:asciiTheme="minorHAnsi" w:eastAsiaTheme="minorEastAsia" w:hAnsiTheme="minorHAnsi" w:cstheme="minorBidi"/>
          <w:szCs w:val="22"/>
        </w:rPr>
      </w:pPr>
      <w:r>
        <w:t>23K.</w:t>
      </w:r>
      <w:r>
        <w:tab/>
        <w:t>Duty to inform employee who reports hazard or injury</w:t>
      </w:r>
      <w:r>
        <w:tab/>
      </w:r>
      <w:r>
        <w:fldChar w:fldCharType="begin"/>
      </w:r>
      <w:r>
        <w:instrText xml:space="preserve"> PAGEREF _Toc98511418 \h </w:instrText>
      </w:r>
      <w:r>
        <w:fldChar w:fldCharType="separate"/>
      </w:r>
      <w:r>
        <w:t>48</w:t>
      </w:r>
      <w:r>
        <w:fldChar w:fldCharType="end"/>
      </w:r>
    </w:p>
    <w:p>
      <w:pPr>
        <w:pStyle w:val="TOC8"/>
        <w:rPr>
          <w:rFonts w:asciiTheme="minorHAnsi" w:eastAsiaTheme="minorEastAsia" w:hAnsiTheme="minorHAnsi" w:cstheme="minorBidi"/>
          <w:szCs w:val="22"/>
        </w:rPr>
      </w:pPr>
      <w:r>
        <w:lastRenderedPageBreak/>
        <w:t>23L.</w:t>
      </w:r>
      <w:r>
        <w:tab/>
        <w:t>Notification of hazard to person having control of workplace</w:t>
      </w:r>
      <w:r>
        <w:tab/>
      </w:r>
      <w:r>
        <w:fldChar w:fldCharType="begin"/>
      </w:r>
      <w:r>
        <w:instrText xml:space="preserve"> PAGEREF _Toc98511419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Resolution of workplace issues, and refusal to work on grounds of risk</w:t>
      </w:r>
    </w:p>
    <w:p>
      <w:pPr>
        <w:pStyle w:val="TOC8"/>
        <w:rPr>
          <w:rFonts w:asciiTheme="minorHAnsi" w:eastAsiaTheme="minorEastAsia" w:hAnsiTheme="minorHAnsi" w:cstheme="minorBidi"/>
          <w:szCs w:val="22"/>
        </w:rPr>
      </w:pPr>
      <w:r>
        <w:t>24</w:t>
      </w:r>
      <w:r>
        <w:rPr>
          <w:snapToGrid w:val="0"/>
        </w:rPr>
        <w:t>.</w:t>
      </w:r>
      <w:r>
        <w:rPr>
          <w:snapToGrid w:val="0"/>
        </w:rPr>
        <w:tab/>
        <w:t>Resolution of issues at workplace</w:t>
      </w:r>
      <w:r>
        <w:tab/>
      </w:r>
      <w:r>
        <w:fldChar w:fldCharType="begin"/>
      </w:r>
      <w:r>
        <w:instrText xml:space="preserve"> PAGEREF _Toc98511421 \h </w:instrText>
      </w:r>
      <w:r>
        <w:fldChar w:fldCharType="separate"/>
      </w:r>
      <w:r>
        <w:t>49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Inspector may be notified where issues unresolved</w:t>
      </w:r>
      <w:r>
        <w:tab/>
      </w:r>
      <w:r>
        <w:fldChar w:fldCharType="begin"/>
      </w:r>
      <w:r>
        <w:instrText xml:space="preserve"> PAGEREF _Toc98511422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Refusal by employees to work in certain cases</w:t>
      </w:r>
      <w:r>
        <w:tab/>
      </w:r>
      <w:r>
        <w:fldChar w:fldCharType="begin"/>
      </w:r>
      <w:r>
        <w:instrText xml:space="preserve"> PAGEREF _Toc98511423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Assignment of other work</w:t>
      </w:r>
      <w:r>
        <w:tab/>
      </w:r>
      <w:r>
        <w:fldChar w:fldCharType="begin"/>
      </w:r>
      <w:r>
        <w:instrText xml:space="preserve"> PAGEREF _Toc98511424 \h </w:instrText>
      </w:r>
      <w:r>
        <w:fldChar w:fldCharType="separate"/>
      </w:r>
      <w:r>
        <w:t>52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Entitlements to continue</w:t>
      </w:r>
      <w:r>
        <w:tab/>
      </w:r>
      <w:r>
        <w:fldChar w:fldCharType="begin"/>
      </w:r>
      <w:r>
        <w:instrText xml:space="preserve"> PAGEREF _Toc98511425 \h </w:instrText>
      </w:r>
      <w:r>
        <w:fldChar w:fldCharType="separate"/>
      </w:r>
      <w:r>
        <w:t>52</w:t>
      </w:r>
      <w:r>
        <w:fldChar w:fldCharType="end"/>
      </w:r>
    </w:p>
    <w:p>
      <w:pPr>
        <w:pStyle w:val="TOC8"/>
        <w:rPr>
          <w:rFonts w:asciiTheme="minorHAnsi" w:eastAsiaTheme="minorEastAsia" w:hAnsiTheme="minorHAnsi" w:cstheme="minorBidi"/>
          <w:szCs w:val="22"/>
        </w:rPr>
      </w:pPr>
      <w:r>
        <w:t>28A</w:t>
      </w:r>
      <w:r>
        <w:rPr>
          <w:snapToGrid w:val="0"/>
        </w:rPr>
        <w:t xml:space="preserve">. </w:t>
      </w:r>
      <w:r>
        <w:rPr>
          <w:snapToGrid w:val="0"/>
        </w:rPr>
        <w:tab/>
        <w:t>Offences — refusal to work</w:t>
      </w:r>
      <w:r>
        <w:tab/>
      </w:r>
      <w:r>
        <w:fldChar w:fldCharType="begin"/>
      </w:r>
      <w:r>
        <w:instrText xml:space="preserve"> PAGEREF _Toc98511426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IV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 — Safety and health representatives</w:t>
      </w:r>
    </w:p>
    <w:p>
      <w:pPr>
        <w:pStyle w:val="TOC8"/>
        <w:rPr>
          <w:rFonts w:asciiTheme="minorHAnsi" w:eastAsiaTheme="minorEastAsia" w:hAnsiTheme="minorHAnsi" w:cstheme="minorBidi"/>
          <w:szCs w:val="22"/>
        </w:rPr>
      </w:pPr>
      <w:r>
        <w:rPr>
          <w:spacing w:val="-2"/>
        </w:rPr>
        <w:t>29</w:t>
      </w:r>
      <w:r>
        <w:rPr>
          <w:snapToGrid w:val="0"/>
          <w:spacing w:val="-2"/>
        </w:rPr>
        <w:t>.</w:t>
      </w:r>
      <w:r>
        <w:rPr>
          <w:snapToGrid w:val="0"/>
          <w:spacing w:val="-2"/>
        </w:rPr>
        <w:tab/>
        <w:t>Notices requiring election of safety and health representatives</w:t>
      </w:r>
      <w:r>
        <w:tab/>
      </w:r>
      <w:r>
        <w:fldChar w:fldCharType="begin"/>
      </w:r>
      <w:r>
        <w:instrText xml:space="preserve"> PAGEREF _Toc98511429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Consultation on matters relevant to elections</w:t>
      </w:r>
      <w:r>
        <w:tab/>
      </w:r>
      <w:r>
        <w:fldChar w:fldCharType="begin"/>
      </w:r>
      <w:r>
        <w:instrText xml:space="preserve"> PAGEREF _Toc98511430 \h </w:instrText>
      </w:r>
      <w:r>
        <w:fldChar w:fldCharType="separate"/>
      </w:r>
      <w:r>
        <w:t>54</w:t>
      </w:r>
      <w:r>
        <w:fldChar w:fldCharType="end"/>
      </w:r>
    </w:p>
    <w:p>
      <w:pPr>
        <w:pStyle w:val="TOC8"/>
        <w:rPr>
          <w:rFonts w:asciiTheme="minorHAnsi" w:eastAsiaTheme="minorEastAsia" w:hAnsiTheme="minorHAnsi" w:cstheme="minorBidi"/>
          <w:szCs w:val="22"/>
        </w:rPr>
      </w:pPr>
      <w:r>
        <w:t>30A.</w:t>
      </w:r>
      <w:r>
        <w:tab/>
        <w:t>Election scheme may be established</w:t>
      </w:r>
      <w:r>
        <w:tab/>
      </w:r>
      <w:r>
        <w:fldChar w:fldCharType="begin"/>
      </w:r>
      <w:r>
        <w:instrText xml:space="preserve"> PAGEREF _Toc98511431 \h </w:instrText>
      </w:r>
      <w:r>
        <w:fldChar w:fldCharType="separate"/>
      </w:r>
      <w:r>
        <w:t>56</w:t>
      </w:r>
      <w:r>
        <w:fldChar w:fldCharType="end"/>
      </w:r>
    </w:p>
    <w:p>
      <w:pPr>
        <w:pStyle w:val="TOC8"/>
        <w:rPr>
          <w:rFonts w:asciiTheme="minorHAnsi" w:eastAsiaTheme="minorEastAsia" w:hAnsiTheme="minorHAnsi" w:cstheme="minorBidi"/>
          <w:szCs w:val="22"/>
        </w:rPr>
      </w:pPr>
      <w:r>
        <w:t>30B.</w:t>
      </w:r>
      <w:r>
        <w:tab/>
        <w:t>What may be included in a scheme</w:t>
      </w:r>
      <w:r>
        <w:tab/>
      </w:r>
      <w:r>
        <w:fldChar w:fldCharType="begin"/>
      </w:r>
      <w:r>
        <w:instrText xml:space="preserve"> PAGEREF _Toc98511432 \h </w:instrText>
      </w:r>
      <w:r>
        <w:fldChar w:fldCharType="separate"/>
      </w:r>
      <w:r>
        <w:t>57</w:t>
      </w:r>
      <w:r>
        <w:fldChar w:fldCharType="end"/>
      </w:r>
    </w:p>
    <w:p>
      <w:pPr>
        <w:pStyle w:val="TOC8"/>
        <w:rPr>
          <w:rFonts w:asciiTheme="minorHAnsi" w:eastAsiaTheme="minorEastAsia" w:hAnsiTheme="minorHAnsi" w:cstheme="minorBidi"/>
          <w:szCs w:val="22"/>
        </w:rPr>
      </w:pPr>
      <w:r>
        <w:t>30C.</w:t>
      </w:r>
      <w:r>
        <w:tab/>
        <w:t>Appointment of further delegates may be required</w:t>
      </w:r>
      <w:r>
        <w:tab/>
      </w:r>
      <w:r>
        <w:fldChar w:fldCharType="begin"/>
      </w:r>
      <w:r>
        <w:instrText xml:space="preserve"> PAGEREF _Toc98511433 \h </w:instrText>
      </w:r>
      <w:r>
        <w:fldChar w:fldCharType="separate"/>
      </w:r>
      <w:r>
        <w:t>58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Election of safety and health representatives</w:t>
      </w:r>
      <w:r>
        <w:tab/>
      </w:r>
      <w:r>
        <w:fldChar w:fldCharType="begin"/>
      </w:r>
      <w:r>
        <w:instrText xml:space="preserve"> PAGEREF _Toc98511434 \h </w:instrText>
      </w:r>
      <w:r>
        <w:fldChar w:fldCharType="separate"/>
      </w:r>
      <w:r>
        <w:t>58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Terms of office of representatives</w:t>
      </w:r>
      <w:r>
        <w:tab/>
      </w:r>
      <w:r>
        <w:fldChar w:fldCharType="begin"/>
      </w:r>
      <w:r>
        <w:instrText xml:space="preserve"> PAGEREF _Toc98511435 \h </w:instrText>
      </w:r>
      <w:r>
        <w:fldChar w:fldCharType="separate"/>
      </w:r>
      <w:r>
        <w:t>60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Functions of safety and health representatives</w:t>
      </w:r>
      <w:r>
        <w:tab/>
      </w:r>
      <w:r>
        <w:fldChar w:fldCharType="begin"/>
      </w:r>
      <w:r>
        <w:instrText xml:space="preserve"> PAGEREF _Toc98511436 \h </w:instrText>
      </w:r>
      <w:r>
        <w:fldChar w:fldCharType="separate"/>
      </w:r>
      <w:r>
        <w:t>60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safety and health representatives</w:t>
      </w:r>
      <w:r>
        <w:tab/>
      </w:r>
      <w:r>
        <w:fldChar w:fldCharType="begin"/>
      </w:r>
      <w:r>
        <w:instrText xml:space="preserve"> PAGEREF _Toc98511437 \h </w:instrText>
      </w:r>
      <w:r>
        <w:fldChar w:fldCharType="separate"/>
      </w:r>
      <w:r>
        <w:t>62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Duties of employers in relation to safety and health representatives</w:t>
      </w:r>
      <w:r>
        <w:tab/>
      </w:r>
      <w:r>
        <w:fldChar w:fldCharType="begin"/>
      </w:r>
      <w:r>
        <w:instrText xml:space="preserve"> PAGEREF _Toc98511438 \h </w:instrText>
      </w:r>
      <w:r>
        <w:fldChar w:fldCharType="separate"/>
      </w:r>
      <w:r>
        <w:t>64</w:t>
      </w:r>
      <w:r>
        <w:fldChar w:fldCharType="end"/>
      </w:r>
    </w:p>
    <w:p>
      <w:pPr>
        <w:pStyle w:val="TOC8"/>
        <w:rPr>
          <w:rFonts w:asciiTheme="minorHAnsi" w:eastAsiaTheme="minorEastAsia" w:hAnsiTheme="minorHAnsi" w:cstheme="minorBidi"/>
          <w:szCs w:val="22"/>
        </w:rPr>
      </w:pPr>
      <w:r>
        <w:t>35A.</w:t>
      </w:r>
      <w:r>
        <w:tab/>
        <w:t>Discrimination against safety and health representative in relation to employment</w:t>
      </w:r>
      <w:r>
        <w:tab/>
      </w:r>
      <w:r>
        <w:fldChar w:fldCharType="begin"/>
      </w:r>
      <w:r>
        <w:instrText xml:space="preserve"> PAGEREF _Toc98511439 \h </w:instrText>
      </w:r>
      <w:r>
        <w:fldChar w:fldCharType="separate"/>
      </w:r>
      <w:r>
        <w:t>66</w:t>
      </w:r>
      <w:r>
        <w:fldChar w:fldCharType="end"/>
      </w:r>
    </w:p>
    <w:p>
      <w:pPr>
        <w:pStyle w:val="TOC8"/>
        <w:rPr>
          <w:rFonts w:asciiTheme="minorHAnsi" w:eastAsiaTheme="minorEastAsia" w:hAnsiTheme="minorHAnsi" w:cstheme="minorBidi"/>
          <w:szCs w:val="22"/>
        </w:rPr>
      </w:pPr>
      <w:r>
        <w:t>35B.</w:t>
      </w:r>
      <w:r>
        <w:tab/>
        <w:t>Discrimination against safety and health representative in relation to contract for services</w:t>
      </w:r>
      <w:r>
        <w:tab/>
      </w:r>
      <w:r>
        <w:fldChar w:fldCharType="begin"/>
      </w:r>
      <w:r>
        <w:instrText xml:space="preserve"> PAGEREF _Toc98511440 \h </w:instrText>
      </w:r>
      <w:r>
        <w:fldChar w:fldCharType="separate"/>
      </w:r>
      <w:r>
        <w:t>67</w:t>
      </w:r>
      <w:r>
        <w:fldChar w:fldCharType="end"/>
      </w:r>
    </w:p>
    <w:p>
      <w:pPr>
        <w:pStyle w:val="TOC8"/>
        <w:rPr>
          <w:rFonts w:asciiTheme="minorHAnsi" w:eastAsiaTheme="minorEastAsia" w:hAnsiTheme="minorHAnsi" w:cstheme="minorBidi"/>
          <w:szCs w:val="22"/>
        </w:rPr>
      </w:pPr>
      <w:r>
        <w:t>35C.</w:t>
      </w:r>
      <w:r>
        <w:tab/>
        <w:t>Claims under s. 35A or 35B may be referred to Tribunal</w:t>
      </w:r>
      <w:r>
        <w:tab/>
      </w:r>
      <w:r>
        <w:fldChar w:fldCharType="begin"/>
      </w:r>
      <w:r>
        <w:instrText xml:space="preserve"> PAGEREF _Toc98511441 \h </w:instrText>
      </w:r>
      <w:r>
        <w:fldChar w:fldCharType="separate"/>
      </w:r>
      <w:r>
        <w:t>68</w:t>
      </w:r>
      <w:r>
        <w:fldChar w:fldCharType="end"/>
      </w:r>
    </w:p>
    <w:p>
      <w:pPr>
        <w:pStyle w:val="TOC8"/>
        <w:rPr>
          <w:rFonts w:asciiTheme="minorHAnsi" w:eastAsiaTheme="minorEastAsia" w:hAnsiTheme="minorHAnsi" w:cstheme="minorBidi"/>
          <w:szCs w:val="22"/>
        </w:rPr>
      </w:pPr>
      <w:r>
        <w:t>35D.</w:t>
      </w:r>
      <w:r>
        <w:tab/>
        <w:t>Remedies that Tribunal may grant</w:t>
      </w:r>
      <w:r>
        <w:tab/>
      </w:r>
      <w:r>
        <w:fldChar w:fldCharType="begin"/>
      </w:r>
      <w:r>
        <w:instrText xml:space="preserve"> PAGEREF _Toc98511442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Safety and health committees</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_Toc98511444 \h </w:instrText>
      </w:r>
      <w:r>
        <w:fldChar w:fldCharType="separate"/>
      </w:r>
      <w:r>
        <w:t>70</w:t>
      </w:r>
      <w:r>
        <w:fldChar w:fldCharType="end"/>
      </w:r>
    </w:p>
    <w:p>
      <w:pPr>
        <w:pStyle w:val="TOC8"/>
        <w:rPr>
          <w:rFonts w:asciiTheme="minorHAnsi" w:eastAsiaTheme="minorEastAsia" w:hAnsiTheme="minorHAnsi" w:cstheme="minorBidi"/>
          <w:szCs w:val="22"/>
        </w:rPr>
      </w:pPr>
      <w:r>
        <w:t>37.</w:t>
      </w:r>
      <w:r>
        <w:tab/>
        <w:t>Employees to appoint representatives</w:t>
      </w:r>
      <w:r>
        <w:tab/>
      </w:r>
      <w:r>
        <w:fldChar w:fldCharType="begin"/>
      </w:r>
      <w:r>
        <w:instrText xml:space="preserve"> PAGEREF _Toc98511445 \h </w:instrText>
      </w:r>
      <w:r>
        <w:fldChar w:fldCharType="separate"/>
      </w:r>
      <w:r>
        <w:t>71</w:t>
      </w:r>
      <w:r>
        <w:fldChar w:fldCharType="end"/>
      </w:r>
    </w:p>
    <w:p>
      <w:pPr>
        <w:pStyle w:val="TOC8"/>
        <w:rPr>
          <w:rFonts w:asciiTheme="minorHAnsi" w:eastAsiaTheme="minorEastAsia" w:hAnsiTheme="minorHAnsi" w:cstheme="minorBidi"/>
          <w:szCs w:val="22"/>
        </w:rPr>
      </w:pPr>
      <w:r>
        <w:t>38.</w:t>
      </w:r>
      <w:r>
        <w:tab/>
        <w:t>When employer must establish safety and health committee</w:t>
      </w:r>
      <w:r>
        <w:tab/>
      </w:r>
      <w:r>
        <w:fldChar w:fldCharType="begin"/>
      </w:r>
      <w:r>
        <w:instrText xml:space="preserve"> PAGEREF _Toc98511446 \h </w:instrText>
      </w:r>
      <w:r>
        <w:fldChar w:fldCharType="separate"/>
      </w:r>
      <w:r>
        <w:t>71</w:t>
      </w:r>
      <w:r>
        <w:fldChar w:fldCharType="end"/>
      </w:r>
    </w:p>
    <w:p>
      <w:pPr>
        <w:pStyle w:val="TOC8"/>
        <w:rPr>
          <w:rFonts w:asciiTheme="minorHAnsi" w:eastAsiaTheme="minorEastAsia" w:hAnsiTheme="minorHAnsi" w:cstheme="minorBidi"/>
          <w:szCs w:val="22"/>
        </w:rPr>
      </w:pPr>
      <w:r>
        <w:lastRenderedPageBreak/>
        <w:t>39.</w:t>
      </w:r>
      <w:r>
        <w:tab/>
        <w:t>Request for establishment of safety and health committee</w:t>
      </w:r>
      <w:r>
        <w:tab/>
      </w:r>
      <w:r>
        <w:fldChar w:fldCharType="begin"/>
      </w:r>
      <w:r>
        <w:instrText xml:space="preserve"> PAGEREF _Toc98511447 \h </w:instrText>
      </w:r>
      <w:r>
        <w:fldChar w:fldCharType="separate"/>
      </w:r>
      <w:r>
        <w:t>71</w:t>
      </w:r>
      <w:r>
        <w:fldChar w:fldCharType="end"/>
      </w:r>
    </w:p>
    <w:p>
      <w:pPr>
        <w:pStyle w:val="TOC8"/>
        <w:rPr>
          <w:rFonts w:asciiTheme="minorHAnsi" w:eastAsiaTheme="minorEastAsia" w:hAnsiTheme="minorHAnsi" w:cstheme="minorBidi"/>
          <w:szCs w:val="22"/>
        </w:rPr>
      </w:pPr>
      <w:r>
        <w:t>39A.</w:t>
      </w:r>
      <w:r>
        <w:tab/>
        <w:t>Commissioner may decide if s. 39 request should be obeyed</w:t>
      </w:r>
      <w:r>
        <w:tab/>
      </w:r>
      <w:r>
        <w:fldChar w:fldCharType="begin"/>
      </w:r>
      <w:r>
        <w:instrText xml:space="preserve"> PAGEREF _Toc98511448 \h </w:instrText>
      </w:r>
      <w:r>
        <w:fldChar w:fldCharType="separate"/>
      </w:r>
      <w:r>
        <w:t>72</w:t>
      </w:r>
      <w:r>
        <w:fldChar w:fldCharType="end"/>
      </w:r>
    </w:p>
    <w:p>
      <w:pPr>
        <w:pStyle w:val="TOC8"/>
        <w:rPr>
          <w:rFonts w:asciiTheme="minorHAnsi" w:eastAsiaTheme="minorEastAsia" w:hAnsiTheme="minorHAnsi" w:cstheme="minorBidi"/>
          <w:szCs w:val="22"/>
        </w:rPr>
      </w:pPr>
      <w:r>
        <w:t>39B.</w:t>
      </w:r>
      <w:r>
        <w:tab/>
        <w:t>Employer may establish safety and health committee</w:t>
      </w:r>
      <w:r>
        <w:tab/>
      </w:r>
      <w:r>
        <w:fldChar w:fldCharType="begin"/>
      </w:r>
      <w:r>
        <w:instrText xml:space="preserve"> PAGEREF _Toc98511449 \h </w:instrText>
      </w:r>
      <w:r>
        <w:fldChar w:fldCharType="separate"/>
      </w:r>
      <w:r>
        <w:t>73</w:t>
      </w:r>
      <w:r>
        <w:fldChar w:fldCharType="end"/>
      </w:r>
    </w:p>
    <w:p>
      <w:pPr>
        <w:pStyle w:val="TOC8"/>
        <w:rPr>
          <w:rFonts w:asciiTheme="minorHAnsi" w:eastAsiaTheme="minorEastAsia" w:hAnsiTheme="minorHAnsi" w:cstheme="minorBidi"/>
          <w:szCs w:val="22"/>
        </w:rPr>
      </w:pPr>
      <w:r>
        <w:t>39C.</w:t>
      </w:r>
      <w:r>
        <w:tab/>
        <w:t>Safety and health committee, agreement as to members etc.</w:t>
      </w:r>
      <w:r>
        <w:tab/>
      </w:r>
      <w:r>
        <w:fldChar w:fldCharType="begin"/>
      </w:r>
      <w:r>
        <w:instrText xml:space="preserve"> PAGEREF _Toc98511450 \h </w:instrText>
      </w:r>
      <w:r>
        <w:fldChar w:fldCharType="separate"/>
      </w:r>
      <w:r>
        <w:t>73</w:t>
      </w:r>
      <w:r>
        <w:fldChar w:fldCharType="end"/>
      </w:r>
    </w:p>
    <w:p>
      <w:pPr>
        <w:pStyle w:val="TOC8"/>
        <w:rPr>
          <w:rFonts w:asciiTheme="minorHAnsi" w:eastAsiaTheme="minorEastAsia" w:hAnsiTheme="minorHAnsi" w:cstheme="minorBidi"/>
          <w:szCs w:val="22"/>
        </w:rPr>
      </w:pPr>
      <w:r>
        <w:t>39D.</w:t>
      </w:r>
      <w:r>
        <w:tab/>
        <w:t>Commissioner may determine matters for s. 39C agreement</w:t>
      </w:r>
      <w:r>
        <w:tab/>
      </w:r>
      <w:r>
        <w:fldChar w:fldCharType="begin"/>
      </w:r>
      <w:r>
        <w:instrText xml:space="preserve"> PAGEREF _Toc98511451 \h </w:instrText>
      </w:r>
      <w:r>
        <w:fldChar w:fldCharType="separate"/>
      </w:r>
      <w:r>
        <w:t>74</w:t>
      </w:r>
      <w:r>
        <w:fldChar w:fldCharType="end"/>
      </w:r>
    </w:p>
    <w:p>
      <w:pPr>
        <w:pStyle w:val="TOC8"/>
        <w:rPr>
          <w:rFonts w:asciiTheme="minorHAnsi" w:eastAsiaTheme="minorEastAsia" w:hAnsiTheme="minorHAnsi" w:cstheme="minorBidi"/>
          <w:szCs w:val="22"/>
        </w:rPr>
      </w:pPr>
      <w:r>
        <w:t>39E.</w:t>
      </w:r>
      <w:r>
        <w:tab/>
        <w:t>Functions of committee may cover more than one workplace</w:t>
      </w:r>
      <w:r>
        <w:tab/>
      </w:r>
      <w:r>
        <w:fldChar w:fldCharType="begin"/>
      </w:r>
      <w:r>
        <w:instrText xml:space="preserve"> PAGEREF _Toc98511452 \h </w:instrText>
      </w:r>
      <w:r>
        <w:fldChar w:fldCharType="separate"/>
      </w:r>
      <w:r>
        <w:t>75</w:t>
      </w:r>
      <w:r>
        <w:fldChar w:fldCharType="end"/>
      </w:r>
    </w:p>
    <w:p>
      <w:pPr>
        <w:pStyle w:val="TOC8"/>
        <w:rPr>
          <w:rFonts w:asciiTheme="minorHAnsi" w:eastAsiaTheme="minorEastAsia" w:hAnsiTheme="minorHAnsi" w:cstheme="minorBidi"/>
          <w:szCs w:val="22"/>
        </w:rPr>
      </w:pPr>
      <w:r>
        <w:t>39F.</w:t>
      </w:r>
      <w:r>
        <w:tab/>
        <w:t>Amendment of s. 39C agreement; abolition of committee</w:t>
      </w:r>
      <w:r>
        <w:tab/>
      </w:r>
      <w:r>
        <w:fldChar w:fldCharType="begin"/>
      </w:r>
      <w:r>
        <w:instrText xml:space="preserve"> PAGEREF _Toc98511453 \h </w:instrText>
      </w:r>
      <w:r>
        <w:fldChar w:fldCharType="separate"/>
      </w:r>
      <w:r>
        <w:t>76</w:t>
      </w:r>
      <w:r>
        <w:fldChar w:fldCharType="end"/>
      </w:r>
    </w:p>
    <w:p>
      <w:pPr>
        <w:pStyle w:val="TOC8"/>
        <w:rPr>
          <w:rFonts w:asciiTheme="minorHAnsi" w:eastAsiaTheme="minorEastAsia" w:hAnsiTheme="minorHAnsi" w:cstheme="minorBidi"/>
          <w:szCs w:val="22"/>
        </w:rPr>
      </w:pPr>
      <w:r>
        <w:t>39G.</w:t>
      </w:r>
      <w:r>
        <w:tab/>
        <w:t>Review of Commissioner’s decisions made under s. 39A, 39D or 39F</w:t>
      </w:r>
      <w:r>
        <w:tab/>
      </w:r>
      <w:r>
        <w:fldChar w:fldCharType="begin"/>
      </w:r>
      <w:r>
        <w:instrText xml:space="preserve"> PAGEREF _Toc98511454 \h </w:instrText>
      </w:r>
      <w:r>
        <w:fldChar w:fldCharType="separate"/>
      </w:r>
      <w:r>
        <w:t>77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safety and health committees</w:t>
      </w:r>
      <w:r>
        <w:tab/>
      </w:r>
      <w:r>
        <w:fldChar w:fldCharType="begin"/>
      </w:r>
      <w:r>
        <w:instrText xml:space="preserve"> PAGEREF _Toc98511455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Procedures</w:t>
      </w:r>
      <w:r>
        <w:tab/>
      </w:r>
      <w:r>
        <w:fldChar w:fldCharType="begin"/>
      </w:r>
      <w:r>
        <w:instrText xml:space="preserve"> PAGEREF _Toc98511456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 — Inspectors</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_Toc98511458 \h </w:instrText>
      </w:r>
      <w:r>
        <w:fldChar w:fldCharType="separate"/>
      </w:r>
      <w:r>
        <w:t>80</w:t>
      </w:r>
      <w:r>
        <w:fldChar w:fldCharType="end"/>
      </w:r>
    </w:p>
    <w:p>
      <w:pPr>
        <w:pStyle w:val="TOC8"/>
        <w:rPr>
          <w:rFonts w:asciiTheme="minorHAnsi" w:eastAsiaTheme="minorEastAsia" w:hAnsiTheme="minorHAnsi" w:cstheme="minorBidi"/>
          <w:szCs w:val="22"/>
        </w:rPr>
      </w:pPr>
      <w:r>
        <w:t>42.</w:t>
      </w:r>
      <w:r>
        <w:tab/>
        <w:t>Appointment of inspectors</w:t>
      </w:r>
      <w:r>
        <w:tab/>
      </w:r>
      <w:r>
        <w:fldChar w:fldCharType="begin"/>
      </w:r>
      <w:r>
        <w:instrText xml:space="preserve"> PAGEREF _Toc98511459 \h </w:instrText>
      </w:r>
      <w:r>
        <w:fldChar w:fldCharType="separate"/>
      </w:r>
      <w:r>
        <w:t>80</w:t>
      </w:r>
      <w:r>
        <w:fldChar w:fldCharType="end"/>
      </w:r>
    </w:p>
    <w:p>
      <w:pPr>
        <w:pStyle w:val="TOC8"/>
        <w:rPr>
          <w:rFonts w:asciiTheme="minorHAnsi" w:eastAsiaTheme="minorEastAsia" w:hAnsiTheme="minorHAnsi" w:cstheme="minorBidi"/>
          <w:szCs w:val="22"/>
        </w:rPr>
      </w:pPr>
      <w:r>
        <w:t>42A.</w:t>
      </w:r>
      <w:r>
        <w:tab/>
        <w:t>Appointment of restricted inspectors</w:t>
      </w:r>
      <w:r>
        <w:tab/>
      </w:r>
      <w:r>
        <w:fldChar w:fldCharType="begin"/>
      </w:r>
      <w:r>
        <w:instrText xml:space="preserve"> PAGEREF _Toc98511460 \h </w:instrText>
      </w:r>
      <w:r>
        <w:fldChar w:fldCharType="separate"/>
      </w:r>
      <w:r>
        <w:t>80</w:t>
      </w:r>
      <w:r>
        <w:fldChar w:fldCharType="end"/>
      </w:r>
    </w:p>
    <w:p>
      <w:pPr>
        <w:pStyle w:val="TOC8"/>
        <w:rPr>
          <w:rFonts w:asciiTheme="minorHAnsi" w:eastAsiaTheme="minorEastAsia" w:hAnsiTheme="minorHAnsi" w:cstheme="minorBidi"/>
          <w:szCs w:val="22"/>
        </w:rPr>
      </w:pPr>
      <w:r>
        <w:t>42B.</w:t>
      </w:r>
      <w:r>
        <w:tab/>
        <w:t>Functions of restricted inspector</w:t>
      </w:r>
      <w:r>
        <w:tab/>
      </w:r>
      <w:r>
        <w:fldChar w:fldCharType="begin"/>
      </w:r>
      <w:r>
        <w:instrText xml:space="preserve"> PAGEREF _Toc98511461 \h </w:instrText>
      </w:r>
      <w:r>
        <w:fldChar w:fldCharType="separate"/>
      </w:r>
      <w:r>
        <w:t>81</w:t>
      </w:r>
      <w:r>
        <w:fldChar w:fldCharType="end"/>
      </w:r>
    </w:p>
    <w:p>
      <w:pPr>
        <w:pStyle w:val="TOC8"/>
        <w:rPr>
          <w:rFonts w:asciiTheme="minorHAnsi" w:eastAsiaTheme="minorEastAsia" w:hAnsiTheme="minorHAnsi" w:cstheme="minorBidi"/>
          <w:szCs w:val="22"/>
        </w:rPr>
      </w:pPr>
      <w:r>
        <w:t>42C.</w:t>
      </w:r>
      <w:r>
        <w:tab/>
        <w:t>Certificate of appointment</w:t>
      </w:r>
      <w:r>
        <w:tab/>
      </w:r>
      <w:r>
        <w:fldChar w:fldCharType="begin"/>
      </w:r>
      <w:r>
        <w:instrText xml:space="preserve"> PAGEREF _Toc98511462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Powers of inspectors</w:t>
      </w:r>
      <w:r>
        <w:tab/>
      </w:r>
      <w:r>
        <w:fldChar w:fldCharType="begin"/>
      </w:r>
      <w:r>
        <w:instrText xml:space="preserve"> PAGEREF _Toc98511463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Interpreters</w:t>
      </w:r>
      <w:r>
        <w:tab/>
      </w:r>
      <w:r>
        <w:fldChar w:fldCharType="begin"/>
      </w:r>
      <w:r>
        <w:instrText xml:space="preserve"> PAGEREF _Toc98511464 \h </w:instrText>
      </w:r>
      <w:r>
        <w:fldChar w:fldCharType="separate"/>
      </w:r>
      <w:r>
        <w:t>84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by inspector</w:t>
      </w:r>
      <w:r>
        <w:tab/>
      </w:r>
      <w:r>
        <w:fldChar w:fldCharType="begin"/>
      </w:r>
      <w:r>
        <w:instrText xml:space="preserve"> PAGEREF _Toc98511465 \h </w:instrText>
      </w:r>
      <w:r>
        <w:fldChar w:fldCharType="separate"/>
      </w:r>
      <w:r>
        <w:t>85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Samples</w:t>
      </w:r>
      <w:r>
        <w:tab/>
      </w:r>
      <w:r>
        <w:fldChar w:fldCharType="begin"/>
      </w:r>
      <w:r>
        <w:instrText xml:space="preserve"> PAGEREF _Toc98511466 \h </w:instrText>
      </w:r>
      <w:r>
        <w:fldChar w:fldCharType="separate"/>
      </w:r>
      <w:r>
        <w:t>86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Offences</w:t>
      </w:r>
      <w:r>
        <w:tab/>
      </w:r>
      <w:r>
        <w:fldChar w:fldCharType="begin"/>
      </w:r>
      <w:r>
        <w:instrText xml:space="preserve"> PAGEREF _Toc98511467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 — Improvement and prohibition notices</w:t>
      </w:r>
    </w:p>
    <w:p>
      <w:pPr>
        <w:pStyle w:val="TOC4"/>
        <w:tabs>
          <w:tab w:val="right" w:leader="dot" w:pos="7077"/>
        </w:tabs>
        <w:rPr>
          <w:rFonts w:asciiTheme="minorHAnsi" w:eastAsiaTheme="minorEastAsia" w:hAnsiTheme="minorHAnsi" w:cstheme="minorBidi"/>
          <w:b w:val="0"/>
          <w:szCs w:val="22"/>
        </w:rPr>
      </w:pPr>
      <w:r>
        <w:t>Division 1 — Issue of notices by inspector</w:t>
      </w:r>
    </w:p>
    <w:p>
      <w:pPr>
        <w:pStyle w:val="TOC8"/>
        <w:rPr>
          <w:rFonts w:asciiTheme="minorHAnsi" w:eastAsiaTheme="minorEastAsia" w:hAnsiTheme="minorHAnsi" w:cstheme="minorBidi"/>
          <w:szCs w:val="22"/>
        </w:rPr>
      </w:pPr>
      <w:r>
        <w:t>47A.</w:t>
      </w:r>
      <w:r>
        <w:tab/>
        <w:t>Terms used</w:t>
      </w:r>
      <w:r>
        <w:tab/>
      </w:r>
      <w:r>
        <w:fldChar w:fldCharType="begin"/>
      </w:r>
      <w:r>
        <w:instrText xml:space="preserve"> PAGEREF _Toc98511470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Improvement notices, issue and effect of</w:t>
      </w:r>
      <w:r>
        <w:tab/>
      </w:r>
      <w:r>
        <w:fldChar w:fldCharType="begin"/>
      </w:r>
      <w:r>
        <w:instrText xml:space="preserve"> PAGEREF _Toc98511471 \h </w:instrText>
      </w:r>
      <w:r>
        <w:fldChar w:fldCharType="separate"/>
      </w:r>
      <w:r>
        <w:t>89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notices, issue and effect of</w:t>
      </w:r>
      <w:r>
        <w:tab/>
      </w:r>
      <w:r>
        <w:fldChar w:fldCharType="begin"/>
      </w:r>
      <w:r>
        <w:instrText xml:space="preserve"> PAGEREF _Toc98511472 \h </w:instrText>
      </w:r>
      <w:r>
        <w:fldChar w:fldCharType="separate"/>
      </w:r>
      <w:r>
        <w:t>91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Notices may include directions</w:t>
      </w:r>
      <w:r>
        <w:tab/>
      </w:r>
      <w:r>
        <w:fldChar w:fldCharType="begin"/>
      </w:r>
      <w:r>
        <w:instrText xml:space="preserve"> PAGEREF _Toc98511473 \h </w:instrText>
      </w:r>
      <w:r>
        <w:fldChar w:fldCharType="separate"/>
      </w:r>
      <w:r>
        <w:t>94</w:t>
      </w:r>
      <w:r>
        <w:fldChar w:fldCharType="end"/>
      </w:r>
    </w:p>
    <w:p>
      <w:pPr>
        <w:pStyle w:val="TOC8"/>
        <w:rPr>
          <w:rFonts w:asciiTheme="minorHAnsi" w:eastAsiaTheme="minorEastAsia" w:hAnsiTheme="minorHAnsi" w:cstheme="minorBidi"/>
          <w:szCs w:val="22"/>
        </w:rPr>
      </w:pPr>
      <w:r>
        <w:t>50A.</w:t>
      </w:r>
      <w:r>
        <w:tab/>
        <w:t>Notices may be issued to Crown</w:t>
      </w:r>
      <w:r>
        <w:tab/>
      </w:r>
      <w:r>
        <w:fldChar w:fldCharType="begin"/>
      </w:r>
      <w:r>
        <w:instrText xml:space="preserve"> PAGEREF _Toc98511474 \h </w:instrText>
      </w:r>
      <w:r>
        <w:fldChar w:fldCharType="separate"/>
      </w:r>
      <w:r>
        <w:t>94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Review of notices by Commissioner</w:t>
      </w:r>
      <w:r>
        <w:tab/>
      </w:r>
      <w:r>
        <w:fldChar w:fldCharType="begin"/>
      </w:r>
      <w:r>
        <w:instrText xml:space="preserve"> PAGEREF _Toc98511475 \h </w:instrText>
      </w:r>
      <w:r>
        <w:fldChar w:fldCharType="separate"/>
      </w:r>
      <w:r>
        <w:t>95</w:t>
      </w:r>
      <w:r>
        <w:fldChar w:fldCharType="end"/>
      </w:r>
    </w:p>
    <w:p>
      <w:pPr>
        <w:pStyle w:val="TOC8"/>
        <w:rPr>
          <w:rFonts w:asciiTheme="minorHAnsi" w:eastAsiaTheme="minorEastAsia" w:hAnsiTheme="minorHAnsi" w:cstheme="minorBidi"/>
          <w:szCs w:val="22"/>
        </w:rPr>
      </w:pPr>
      <w:r>
        <w:lastRenderedPageBreak/>
        <w:t>51AA.</w:t>
      </w:r>
      <w:r>
        <w:tab/>
        <w:t>Commissioner may cancel notice on own initiative</w:t>
      </w:r>
      <w:r>
        <w:tab/>
      </w:r>
      <w:r>
        <w:fldChar w:fldCharType="begin"/>
      </w:r>
      <w:r>
        <w:instrText xml:space="preserve"> PAGEREF _Toc98511476 \h </w:instrText>
      </w:r>
      <w:r>
        <w:fldChar w:fldCharType="separate"/>
      </w:r>
      <w:r>
        <w:t>96</w:t>
      </w:r>
      <w:r>
        <w:fldChar w:fldCharType="end"/>
      </w:r>
    </w:p>
    <w:p>
      <w:pPr>
        <w:pStyle w:val="TOC8"/>
        <w:rPr>
          <w:rFonts w:asciiTheme="minorHAnsi" w:eastAsiaTheme="minorEastAsia" w:hAnsiTheme="minorHAnsi" w:cstheme="minorBidi"/>
          <w:szCs w:val="22"/>
        </w:rPr>
      </w:pPr>
      <w:r>
        <w:t>51A</w:t>
      </w:r>
      <w:r>
        <w:rPr>
          <w:snapToGrid w:val="0"/>
        </w:rPr>
        <w:t xml:space="preserve">. </w:t>
      </w:r>
      <w:r>
        <w:rPr>
          <w:snapToGrid w:val="0"/>
        </w:rPr>
        <w:tab/>
        <w:t>Review of notices by Tribunal</w:t>
      </w:r>
      <w:r>
        <w:tab/>
      </w:r>
      <w:r>
        <w:fldChar w:fldCharType="begin"/>
      </w:r>
      <w:r>
        <w:instrText xml:space="preserve"> PAGEREF _Toc98511477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Issue of provisional improvement notices by safety and health representative</w:t>
      </w:r>
    </w:p>
    <w:p>
      <w:pPr>
        <w:pStyle w:val="TOC8"/>
        <w:rPr>
          <w:rFonts w:asciiTheme="minorHAnsi" w:eastAsiaTheme="minorEastAsia" w:hAnsiTheme="minorHAnsi" w:cstheme="minorBidi"/>
          <w:szCs w:val="22"/>
        </w:rPr>
      </w:pPr>
      <w:r>
        <w:t>51AB.</w:t>
      </w:r>
      <w:r>
        <w:tab/>
        <w:t>Term used: qualified representative</w:t>
      </w:r>
      <w:r>
        <w:tab/>
      </w:r>
      <w:r>
        <w:fldChar w:fldCharType="begin"/>
      </w:r>
      <w:r>
        <w:instrText xml:space="preserve"> PAGEREF _Toc98511479 \h </w:instrText>
      </w:r>
      <w:r>
        <w:fldChar w:fldCharType="separate"/>
      </w:r>
      <w:r>
        <w:t>98</w:t>
      </w:r>
      <w:r>
        <w:fldChar w:fldCharType="end"/>
      </w:r>
    </w:p>
    <w:p>
      <w:pPr>
        <w:pStyle w:val="TOC8"/>
        <w:rPr>
          <w:rFonts w:asciiTheme="minorHAnsi" w:eastAsiaTheme="minorEastAsia" w:hAnsiTheme="minorHAnsi" w:cstheme="minorBidi"/>
          <w:szCs w:val="22"/>
        </w:rPr>
      </w:pPr>
      <w:r>
        <w:t>51AC.</w:t>
      </w:r>
      <w:r>
        <w:tab/>
        <w:t>Provisional improvement notices, issue of</w:t>
      </w:r>
      <w:r>
        <w:tab/>
      </w:r>
      <w:r>
        <w:fldChar w:fldCharType="begin"/>
      </w:r>
      <w:r>
        <w:instrText xml:space="preserve"> PAGEREF _Toc98511480 \h </w:instrText>
      </w:r>
      <w:r>
        <w:fldChar w:fldCharType="separate"/>
      </w:r>
      <w:r>
        <w:t>98</w:t>
      </w:r>
      <w:r>
        <w:fldChar w:fldCharType="end"/>
      </w:r>
    </w:p>
    <w:p>
      <w:pPr>
        <w:pStyle w:val="TOC8"/>
        <w:rPr>
          <w:rFonts w:asciiTheme="minorHAnsi" w:eastAsiaTheme="minorEastAsia" w:hAnsiTheme="minorHAnsi" w:cstheme="minorBidi"/>
          <w:szCs w:val="22"/>
        </w:rPr>
      </w:pPr>
      <w:r>
        <w:t>51AD.</w:t>
      </w:r>
      <w:r>
        <w:tab/>
        <w:t>Consultation required before notice issued</w:t>
      </w:r>
      <w:r>
        <w:tab/>
      </w:r>
      <w:r>
        <w:fldChar w:fldCharType="begin"/>
      </w:r>
      <w:r>
        <w:instrText xml:space="preserve"> PAGEREF _Toc98511481 \h </w:instrText>
      </w:r>
      <w:r>
        <w:fldChar w:fldCharType="separate"/>
      </w:r>
      <w:r>
        <w:t>99</w:t>
      </w:r>
      <w:r>
        <w:fldChar w:fldCharType="end"/>
      </w:r>
    </w:p>
    <w:p>
      <w:pPr>
        <w:pStyle w:val="TOC8"/>
        <w:rPr>
          <w:rFonts w:asciiTheme="minorHAnsi" w:eastAsiaTheme="minorEastAsia" w:hAnsiTheme="minorHAnsi" w:cstheme="minorBidi"/>
          <w:szCs w:val="22"/>
        </w:rPr>
      </w:pPr>
      <w:r>
        <w:t>51AE.</w:t>
      </w:r>
      <w:r>
        <w:tab/>
        <w:t>Contents of notice</w:t>
      </w:r>
      <w:r>
        <w:tab/>
      </w:r>
      <w:r>
        <w:fldChar w:fldCharType="begin"/>
      </w:r>
      <w:r>
        <w:instrText xml:space="preserve"> PAGEREF _Toc98511482 \h </w:instrText>
      </w:r>
      <w:r>
        <w:fldChar w:fldCharType="separate"/>
      </w:r>
      <w:r>
        <w:t>100</w:t>
      </w:r>
      <w:r>
        <w:fldChar w:fldCharType="end"/>
      </w:r>
    </w:p>
    <w:p>
      <w:pPr>
        <w:pStyle w:val="TOC8"/>
        <w:rPr>
          <w:rFonts w:asciiTheme="minorHAnsi" w:eastAsiaTheme="minorEastAsia" w:hAnsiTheme="minorHAnsi" w:cstheme="minorBidi"/>
          <w:szCs w:val="22"/>
        </w:rPr>
      </w:pPr>
      <w:r>
        <w:t>51AF.</w:t>
      </w:r>
      <w:r>
        <w:tab/>
        <w:t>Notices may include directions</w:t>
      </w:r>
      <w:r>
        <w:tab/>
      </w:r>
      <w:r>
        <w:fldChar w:fldCharType="begin"/>
      </w:r>
      <w:r>
        <w:instrText xml:space="preserve"> PAGEREF _Toc98511483 \h </w:instrText>
      </w:r>
      <w:r>
        <w:fldChar w:fldCharType="separate"/>
      </w:r>
      <w:r>
        <w:t>101</w:t>
      </w:r>
      <w:r>
        <w:fldChar w:fldCharType="end"/>
      </w:r>
    </w:p>
    <w:p>
      <w:pPr>
        <w:pStyle w:val="TOC8"/>
        <w:rPr>
          <w:rFonts w:asciiTheme="minorHAnsi" w:eastAsiaTheme="minorEastAsia" w:hAnsiTheme="minorHAnsi" w:cstheme="minorBidi"/>
          <w:szCs w:val="22"/>
        </w:rPr>
      </w:pPr>
      <w:r>
        <w:t>51AG.</w:t>
      </w:r>
      <w:r>
        <w:tab/>
        <w:t>Failure to comply with notice</w:t>
      </w:r>
      <w:r>
        <w:tab/>
      </w:r>
      <w:r>
        <w:fldChar w:fldCharType="begin"/>
      </w:r>
      <w:r>
        <w:instrText xml:space="preserve"> PAGEREF _Toc98511484 \h </w:instrText>
      </w:r>
      <w:r>
        <w:fldChar w:fldCharType="separate"/>
      </w:r>
      <w:r>
        <w:t>101</w:t>
      </w:r>
      <w:r>
        <w:fldChar w:fldCharType="end"/>
      </w:r>
    </w:p>
    <w:p>
      <w:pPr>
        <w:pStyle w:val="TOC8"/>
        <w:rPr>
          <w:rFonts w:asciiTheme="minorHAnsi" w:eastAsiaTheme="minorEastAsia" w:hAnsiTheme="minorHAnsi" w:cstheme="minorBidi"/>
          <w:szCs w:val="22"/>
        </w:rPr>
      </w:pPr>
      <w:r>
        <w:t>51AH.</w:t>
      </w:r>
      <w:r>
        <w:tab/>
        <w:t>Review of notice by inspector</w:t>
      </w:r>
      <w:r>
        <w:tab/>
      </w:r>
      <w:r>
        <w:fldChar w:fldCharType="begin"/>
      </w:r>
      <w:r>
        <w:instrText xml:space="preserve"> PAGEREF _Toc98511485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VIA — Safety and health magistrates</w:t>
      </w:r>
    </w:p>
    <w:p>
      <w:pPr>
        <w:pStyle w:val="TOC8"/>
        <w:rPr>
          <w:rFonts w:asciiTheme="minorHAnsi" w:eastAsiaTheme="minorEastAsia" w:hAnsiTheme="minorHAnsi" w:cstheme="minorBidi"/>
          <w:szCs w:val="22"/>
        </w:rPr>
      </w:pPr>
      <w:r>
        <w:t>51B</w:t>
      </w:r>
      <w:r>
        <w:rPr>
          <w:snapToGrid w:val="0"/>
        </w:rPr>
        <w:t xml:space="preserve">. </w:t>
      </w:r>
      <w:r>
        <w:rPr>
          <w:snapToGrid w:val="0"/>
        </w:rPr>
        <w:tab/>
        <w:t>Safety and health magistrates</w:t>
      </w:r>
      <w:r>
        <w:tab/>
      </w:r>
      <w:r>
        <w:fldChar w:fldCharType="begin"/>
      </w:r>
      <w:r>
        <w:instrText xml:space="preserve"> PAGEREF _Toc98511487 \h </w:instrText>
      </w:r>
      <w:r>
        <w:fldChar w:fldCharType="separate"/>
      </w:r>
      <w:r>
        <w:t>103</w:t>
      </w:r>
      <w:r>
        <w:fldChar w:fldCharType="end"/>
      </w:r>
    </w:p>
    <w:p>
      <w:pPr>
        <w:pStyle w:val="TOC8"/>
        <w:rPr>
          <w:rFonts w:asciiTheme="minorHAnsi" w:eastAsiaTheme="minorEastAsia" w:hAnsiTheme="minorHAnsi" w:cstheme="minorBidi"/>
          <w:szCs w:val="22"/>
        </w:rPr>
      </w:pPr>
      <w:r>
        <w:t>51C</w:t>
      </w:r>
      <w:r>
        <w:rPr>
          <w:snapToGrid w:val="0"/>
        </w:rPr>
        <w:t xml:space="preserve">. </w:t>
      </w:r>
      <w:r>
        <w:rPr>
          <w:snapToGrid w:val="0"/>
        </w:rPr>
        <w:tab/>
        <w:t>Jurisdiction of safety and health magistrate</w:t>
      </w:r>
      <w:r>
        <w:tab/>
      </w:r>
      <w:r>
        <w:fldChar w:fldCharType="begin"/>
      </w:r>
      <w:r>
        <w:instrText xml:space="preserve"> PAGEREF _Toc98511488 \h </w:instrText>
      </w:r>
      <w:r>
        <w:fldChar w:fldCharType="separate"/>
      </w:r>
      <w:r>
        <w:t>103</w:t>
      </w:r>
      <w:r>
        <w:fldChar w:fldCharType="end"/>
      </w:r>
    </w:p>
    <w:p>
      <w:pPr>
        <w:pStyle w:val="TOC8"/>
        <w:rPr>
          <w:rFonts w:asciiTheme="minorHAnsi" w:eastAsiaTheme="minorEastAsia" w:hAnsiTheme="minorHAnsi" w:cstheme="minorBidi"/>
          <w:szCs w:val="22"/>
        </w:rPr>
      </w:pPr>
      <w:r>
        <w:t>51E</w:t>
      </w:r>
      <w:r>
        <w:rPr>
          <w:snapToGrid w:val="0"/>
        </w:rPr>
        <w:t xml:space="preserve">. </w:t>
      </w:r>
      <w:r>
        <w:rPr>
          <w:snapToGrid w:val="0"/>
        </w:rPr>
        <w:tab/>
        <w:t>Administrative arrangements</w:t>
      </w:r>
      <w:r>
        <w:tab/>
      </w:r>
      <w:r>
        <w:fldChar w:fldCharType="begin"/>
      </w:r>
      <w:r>
        <w:instrText xml:space="preserve"> PAGEREF _Toc98511489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VIB — Occupational Safety and Health Tribunal</w:t>
      </w:r>
    </w:p>
    <w:p>
      <w:pPr>
        <w:pStyle w:val="TOC8"/>
        <w:rPr>
          <w:rFonts w:asciiTheme="minorHAnsi" w:eastAsiaTheme="minorEastAsia" w:hAnsiTheme="minorHAnsi" w:cstheme="minorBidi"/>
          <w:szCs w:val="22"/>
        </w:rPr>
      </w:pPr>
      <w:r>
        <w:t>51F.</w:t>
      </w:r>
      <w:r>
        <w:tab/>
        <w:t>Terms used</w:t>
      </w:r>
      <w:r>
        <w:tab/>
      </w:r>
      <w:r>
        <w:fldChar w:fldCharType="begin"/>
      </w:r>
      <w:r>
        <w:instrText xml:space="preserve"> PAGEREF _Toc98511491 \h </w:instrText>
      </w:r>
      <w:r>
        <w:fldChar w:fldCharType="separate"/>
      </w:r>
      <w:r>
        <w:t>105</w:t>
      </w:r>
      <w:r>
        <w:fldChar w:fldCharType="end"/>
      </w:r>
    </w:p>
    <w:p>
      <w:pPr>
        <w:pStyle w:val="TOC8"/>
        <w:rPr>
          <w:rFonts w:asciiTheme="minorHAnsi" w:eastAsiaTheme="minorEastAsia" w:hAnsiTheme="minorHAnsi" w:cstheme="minorBidi"/>
          <w:szCs w:val="22"/>
        </w:rPr>
      </w:pPr>
      <w:r>
        <w:t>51G.</w:t>
      </w:r>
      <w:r>
        <w:tab/>
        <w:t>Industrial Relations Commission to be called Occupational Safety and Health Tribunal when exercising jurisdiction under this Act</w:t>
      </w:r>
      <w:r>
        <w:tab/>
      </w:r>
      <w:r>
        <w:fldChar w:fldCharType="begin"/>
      </w:r>
      <w:r>
        <w:instrText xml:space="preserve"> PAGEREF _Toc98511492 \h </w:instrText>
      </w:r>
      <w:r>
        <w:fldChar w:fldCharType="separate"/>
      </w:r>
      <w:r>
        <w:t>105</w:t>
      </w:r>
      <w:r>
        <w:fldChar w:fldCharType="end"/>
      </w:r>
    </w:p>
    <w:p>
      <w:pPr>
        <w:pStyle w:val="TOC8"/>
        <w:rPr>
          <w:rFonts w:asciiTheme="minorHAnsi" w:eastAsiaTheme="minorEastAsia" w:hAnsiTheme="minorHAnsi" w:cstheme="minorBidi"/>
          <w:szCs w:val="22"/>
        </w:rPr>
      </w:pPr>
      <w:r>
        <w:t>51H.</w:t>
      </w:r>
      <w:r>
        <w:tab/>
        <w:t>Jurisdiction to be exercised by commissioner with requisite qualifications</w:t>
      </w:r>
      <w:r>
        <w:tab/>
      </w:r>
      <w:r>
        <w:fldChar w:fldCharType="begin"/>
      </w:r>
      <w:r>
        <w:instrText xml:space="preserve"> PAGEREF _Toc98511493 \h </w:instrText>
      </w:r>
      <w:r>
        <w:fldChar w:fldCharType="separate"/>
      </w:r>
      <w:r>
        <w:t>105</w:t>
      </w:r>
      <w:r>
        <w:fldChar w:fldCharType="end"/>
      </w:r>
    </w:p>
    <w:p>
      <w:pPr>
        <w:pStyle w:val="TOC8"/>
        <w:rPr>
          <w:rFonts w:asciiTheme="minorHAnsi" w:eastAsiaTheme="minorEastAsia" w:hAnsiTheme="minorHAnsi" w:cstheme="minorBidi"/>
          <w:szCs w:val="22"/>
        </w:rPr>
      </w:pPr>
      <w:r>
        <w:t>51I.</w:t>
      </w:r>
      <w:r>
        <w:tab/>
        <w:t>Practice, procedure and appeals</w:t>
      </w:r>
      <w:r>
        <w:tab/>
      </w:r>
      <w:r>
        <w:fldChar w:fldCharType="begin"/>
      </w:r>
      <w:r>
        <w:instrText xml:space="preserve"> PAGEREF _Toc98511494 \h </w:instrText>
      </w:r>
      <w:r>
        <w:fldChar w:fldCharType="separate"/>
      </w:r>
      <w:r>
        <w:t>106</w:t>
      </w:r>
      <w:r>
        <w:fldChar w:fldCharType="end"/>
      </w:r>
    </w:p>
    <w:p>
      <w:pPr>
        <w:pStyle w:val="TOC8"/>
        <w:rPr>
          <w:rFonts w:asciiTheme="minorHAnsi" w:eastAsiaTheme="minorEastAsia" w:hAnsiTheme="minorHAnsi" w:cstheme="minorBidi"/>
          <w:szCs w:val="22"/>
        </w:rPr>
      </w:pPr>
      <w:r>
        <w:t>51J.</w:t>
      </w:r>
      <w:r>
        <w:tab/>
        <w:t>Conciliation</w:t>
      </w:r>
      <w:r>
        <w:tab/>
      </w:r>
      <w:r>
        <w:fldChar w:fldCharType="begin"/>
      </w:r>
      <w:r>
        <w:instrText xml:space="preserve"> PAGEREF _Toc98511495 \h </w:instrText>
      </w:r>
      <w:r>
        <w:fldChar w:fldCharType="separate"/>
      </w:r>
      <w:r>
        <w:t>107</w:t>
      </w:r>
      <w:r>
        <w:fldChar w:fldCharType="end"/>
      </w:r>
    </w:p>
    <w:p>
      <w:pPr>
        <w:pStyle w:val="TOC8"/>
        <w:rPr>
          <w:rFonts w:asciiTheme="minorHAnsi" w:eastAsiaTheme="minorEastAsia" w:hAnsiTheme="minorHAnsi" w:cstheme="minorBidi"/>
          <w:szCs w:val="22"/>
        </w:rPr>
      </w:pPr>
      <w:r>
        <w:t>51K.</w:t>
      </w:r>
      <w:r>
        <w:tab/>
        <w:t>Certain matters to be heard together</w:t>
      </w:r>
      <w:r>
        <w:tab/>
      </w:r>
      <w:r>
        <w:fldChar w:fldCharType="begin"/>
      </w:r>
      <w:r>
        <w:instrText xml:space="preserve"> PAGEREF _Toc98511496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52</w:t>
      </w:r>
      <w:r>
        <w:rPr>
          <w:snapToGrid w:val="0"/>
        </w:rPr>
        <w:t>.</w:t>
      </w:r>
      <w:r>
        <w:rPr>
          <w:snapToGrid w:val="0"/>
        </w:rPr>
        <w:tab/>
        <w:t>Prosecutions</w:t>
      </w:r>
      <w:r>
        <w:tab/>
      </w:r>
      <w:r>
        <w:fldChar w:fldCharType="begin"/>
      </w:r>
      <w:r>
        <w:instrText xml:space="preserve"> PAGEREF _Toc98511499 \h </w:instrText>
      </w:r>
      <w:r>
        <w:fldChar w:fldCharType="separate"/>
      </w:r>
      <w:r>
        <w:t>110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Evidentiary provisions</w:t>
      </w:r>
      <w:r>
        <w:tab/>
      </w:r>
      <w:r>
        <w:fldChar w:fldCharType="begin"/>
      </w:r>
      <w:r>
        <w:instrText xml:space="preserve"> PAGEREF _Toc98511500 \h </w:instrText>
      </w:r>
      <w:r>
        <w:fldChar w:fldCharType="separate"/>
      </w:r>
      <w:r>
        <w:t>110</w:t>
      </w:r>
      <w:r>
        <w:fldChar w:fldCharType="end"/>
      </w:r>
    </w:p>
    <w:p>
      <w:pPr>
        <w:pStyle w:val="TOC8"/>
        <w:rPr>
          <w:rFonts w:asciiTheme="minorHAnsi" w:eastAsiaTheme="minorEastAsia" w:hAnsiTheme="minorHAnsi" w:cstheme="minorBidi"/>
          <w:szCs w:val="22"/>
        </w:rPr>
      </w:pPr>
      <w:r>
        <w:t>54.</w:t>
      </w:r>
      <w:r>
        <w:tab/>
        <w:t>General penalty</w:t>
      </w:r>
      <w:r>
        <w:tab/>
      </w:r>
      <w:r>
        <w:fldChar w:fldCharType="begin"/>
      </w:r>
      <w:r>
        <w:instrText xml:space="preserve"> PAGEREF _Toc98511501 \h </w:instrText>
      </w:r>
      <w:r>
        <w:fldChar w:fldCharType="separate"/>
      </w:r>
      <w:r>
        <w:t>111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Continuing offences</w:t>
      </w:r>
      <w:r>
        <w:tab/>
      </w:r>
      <w:r>
        <w:fldChar w:fldCharType="begin"/>
      </w:r>
      <w:r>
        <w:instrText xml:space="preserve"> PAGEREF _Toc98511502 \h </w:instrText>
      </w:r>
      <w:r>
        <w:fldChar w:fldCharType="separate"/>
      </w:r>
      <w:r>
        <w:t>112</w:t>
      </w:r>
      <w:r>
        <w:fldChar w:fldCharType="end"/>
      </w:r>
    </w:p>
    <w:p>
      <w:pPr>
        <w:pStyle w:val="TOC8"/>
        <w:rPr>
          <w:rFonts w:asciiTheme="minorHAnsi" w:eastAsiaTheme="minorEastAsia" w:hAnsiTheme="minorHAnsi" w:cstheme="minorBidi"/>
          <w:szCs w:val="22"/>
        </w:rPr>
      </w:pPr>
      <w:r>
        <w:t>54B</w:t>
      </w:r>
      <w:r>
        <w:rPr>
          <w:snapToGrid w:val="0"/>
        </w:rPr>
        <w:t>.</w:t>
      </w:r>
      <w:r>
        <w:rPr>
          <w:snapToGrid w:val="0"/>
        </w:rPr>
        <w:tab/>
        <w:t>Appeals</w:t>
      </w:r>
      <w:r>
        <w:tab/>
      </w:r>
      <w:r>
        <w:fldChar w:fldCharType="begin"/>
      </w:r>
      <w:r>
        <w:instrText xml:space="preserve"> PAGEREF _Toc98511503 \h </w:instrText>
      </w:r>
      <w:r>
        <w:fldChar w:fldCharType="separate"/>
      </w:r>
      <w:r>
        <w:t>112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Offences by bodies corporate</w:t>
      </w:r>
      <w:r>
        <w:tab/>
      </w:r>
      <w:r>
        <w:fldChar w:fldCharType="begin"/>
      </w:r>
      <w:r>
        <w:instrText xml:space="preserve"> PAGEREF _Toc98511504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55A.</w:t>
      </w:r>
      <w:r>
        <w:tab/>
        <w:t>No double jeopardy</w:t>
      </w:r>
      <w:r>
        <w:tab/>
      </w:r>
      <w:r>
        <w:fldChar w:fldCharType="begin"/>
      </w:r>
      <w:r>
        <w:instrText xml:space="preserve"> PAGEREF _Toc98511505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Criminal proceedings against the Crown</w:t>
      </w:r>
    </w:p>
    <w:p>
      <w:pPr>
        <w:pStyle w:val="TOC8"/>
        <w:rPr>
          <w:rFonts w:asciiTheme="minorHAnsi" w:eastAsiaTheme="minorEastAsia" w:hAnsiTheme="minorHAnsi" w:cstheme="minorBidi"/>
          <w:szCs w:val="22"/>
        </w:rPr>
      </w:pPr>
      <w:r>
        <w:t>55B.</w:t>
      </w:r>
      <w:r>
        <w:tab/>
        <w:t>Crown may be prosecuted</w:t>
      </w:r>
      <w:r>
        <w:tab/>
      </w:r>
      <w:r>
        <w:fldChar w:fldCharType="begin"/>
      </w:r>
      <w:r>
        <w:instrText xml:space="preserve"> PAGEREF _Toc98511507 \h </w:instrText>
      </w:r>
      <w:r>
        <w:fldChar w:fldCharType="separate"/>
      </w:r>
      <w:r>
        <w:t>114</w:t>
      </w:r>
      <w:r>
        <w:fldChar w:fldCharType="end"/>
      </w:r>
    </w:p>
    <w:p>
      <w:pPr>
        <w:pStyle w:val="TOC8"/>
        <w:rPr>
          <w:rFonts w:asciiTheme="minorHAnsi" w:eastAsiaTheme="minorEastAsia" w:hAnsiTheme="minorHAnsi" w:cstheme="minorBidi"/>
          <w:szCs w:val="22"/>
        </w:rPr>
      </w:pPr>
      <w:r>
        <w:t>55C.</w:t>
      </w:r>
      <w:r>
        <w:tab/>
        <w:t>Prosecution against body corporate</w:t>
      </w:r>
      <w:r>
        <w:tab/>
      </w:r>
      <w:r>
        <w:fldChar w:fldCharType="begin"/>
      </w:r>
      <w:r>
        <w:instrText xml:space="preserve"> PAGEREF _Toc98511508 \h </w:instrText>
      </w:r>
      <w:r>
        <w:fldChar w:fldCharType="separate"/>
      </w:r>
      <w:r>
        <w:t>114</w:t>
      </w:r>
      <w:r>
        <w:fldChar w:fldCharType="end"/>
      </w:r>
    </w:p>
    <w:p>
      <w:pPr>
        <w:pStyle w:val="TOC8"/>
        <w:rPr>
          <w:rFonts w:asciiTheme="minorHAnsi" w:eastAsiaTheme="minorEastAsia" w:hAnsiTheme="minorHAnsi" w:cstheme="minorBidi"/>
          <w:szCs w:val="22"/>
        </w:rPr>
      </w:pPr>
      <w:r>
        <w:t>55D.</w:t>
      </w:r>
      <w:r>
        <w:tab/>
        <w:t>Prosecution in other cases</w:t>
      </w:r>
      <w:r>
        <w:tab/>
      </w:r>
      <w:r>
        <w:fldChar w:fldCharType="begin"/>
      </w:r>
      <w:r>
        <w:instrText xml:space="preserve"> PAGEREF _Toc98511509 \h </w:instrText>
      </w:r>
      <w:r>
        <w:fldChar w:fldCharType="separate"/>
      </w:r>
      <w:r>
        <w:t>115</w:t>
      </w:r>
      <w:r>
        <w:fldChar w:fldCharType="end"/>
      </w:r>
    </w:p>
    <w:p>
      <w:pPr>
        <w:pStyle w:val="TOC8"/>
        <w:rPr>
          <w:rFonts w:asciiTheme="minorHAnsi" w:eastAsiaTheme="minorEastAsia" w:hAnsiTheme="minorHAnsi" w:cstheme="minorBidi"/>
          <w:szCs w:val="22"/>
        </w:rPr>
      </w:pPr>
      <w:r>
        <w:t>55E.</w:t>
      </w:r>
      <w:r>
        <w:tab/>
        <w:t>Provisions applicable to responsible agency</w:t>
      </w:r>
      <w:r>
        <w:tab/>
      </w:r>
      <w:r>
        <w:fldChar w:fldCharType="begin"/>
      </w:r>
      <w:r>
        <w:instrText xml:space="preserve"> PAGEREF _Toc98511510 \h </w:instrText>
      </w:r>
      <w:r>
        <w:fldChar w:fldCharType="separate"/>
      </w:r>
      <w:r>
        <w:t>115</w:t>
      </w:r>
      <w:r>
        <w:fldChar w:fldCharType="end"/>
      </w:r>
    </w:p>
    <w:p>
      <w:pPr>
        <w:pStyle w:val="TOC8"/>
        <w:rPr>
          <w:rFonts w:asciiTheme="minorHAnsi" w:eastAsiaTheme="minorEastAsia" w:hAnsiTheme="minorHAnsi" w:cstheme="minorBidi"/>
          <w:szCs w:val="22"/>
        </w:rPr>
      </w:pPr>
      <w:r>
        <w:t>55F.</w:t>
      </w:r>
      <w:r>
        <w:tab/>
        <w:t>Proceedings where agency has ceased to exist</w:t>
      </w:r>
      <w:r>
        <w:tab/>
      </w:r>
      <w:r>
        <w:fldChar w:fldCharType="begin"/>
      </w:r>
      <w:r>
        <w:instrText xml:space="preserve"> PAGEREF _Toc98511511 \h </w:instrText>
      </w:r>
      <w:r>
        <w:fldChar w:fldCharType="separate"/>
      </w:r>
      <w:r>
        <w:t>116</w:t>
      </w:r>
      <w:r>
        <w:fldChar w:fldCharType="end"/>
      </w:r>
    </w:p>
    <w:p>
      <w:pPr>
        <w:pStyle w:val="TOC8"/>
        <w:rPr>
          <w:rFonts w:asciiTheme="minorHAnsi" w:eastAsiaTheme="minorEastAsia" w:hAnsiTheme="minorHAnsi" w:cstheme="minorBidi"/>
          <w:szCs w:val="22"/>
        </w:rPr>
      </w:pPr>
      <w:r>
        <w:t>55G.</w:t>
      </w:r>
      <w:r>
        <w:tab/>
        <w:t>Penalties in proceedings against Crown</w:t>
      </w:r>
      <w:r>
        <w:tab/>
      </w:r>
      <w:r>
        <w:fldChar w:fldCharType="begin"/>
      </w:r>
      <w:r>
        <w:instrText xml:space="preserve"> PAGEREF _Toc98511512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Undertaking by offender in lieu of payment of fine</w:t>
      </w:r>
    </w:p>
    <w:p>
      <w:pPr>
        <w:pStyle w:val="TOC8"/>
        <w:rPr>
          <w:rFonts w:asciiTheme="minorHAnsi" w:eastAsiaTheme="minorEastAsia" w:hAnsiTheme="minorHAnsi" w:cstheme="minorBidi"/>
          <w:szCs w:val="22"/>
        </w:rPr>
      </w:pPr>
      <w:r>
        <w:t>55H.</w:t>
      </w:r>
      <w:r>
        <w:tab/>
        <w:t>Terms used</w:t>
      </w:r>
      <w:r>
        <w:tab/>
      </w:r>
      <w:r>
        <w:fldChar w:fldCharType="begin"/>
      </w:r>
      <w:r>
        <w:instrText xml:space="preserve"> PAGEREF _Toc98511514 \h </w:instrText>
      </w:r>
      <w:r>
        <w:fldChar w:fldCharType="separate"/>
      </w:r>
      <w:r>
        <w:t>118</w:t>
      </w:r>
      <w:r>
        <w:fldChar w:fldCharType="end"/>
      </w:r>
    </w:p>
    <w:p>
      <w:pPr>
        <w:pStyle w:val="TOC8"/>
        <w:rPr>
          <w:rFonts w:asciiTheme="minorHAnsi" w:eastAsiaTheme="minorEastAsia" w:hAnsiTheme="minorHAnsi" w:cstheme="minorBidi"/>
          <w:szCs w:val="22"/>
        </w:rPr>
      </w:pPr>
      <w:r>
        <w:t>55I.</w:t>
      </w:r>
      <w:r>
        <w:tab/>
        <w:t>Court may order offender to elect to pay fine or enter into undertaking</w:t>
      </w:r>
      <w:r>
        <w:tab/>
      </w:r>
      <w:r>
        <w:fldChar w:fldCharType="begin"/>
      </w:r>
      <w:r>
        <w:instrText xml:space="preserve"> PAGEREF _Toc98511515 \h </w:instrText>
      </w:r>
      <w:r>
        <w:fldChar w:fldCharType="separate"/>
      </w:r>
      <w:r>
        <w:t>118</w:t>
      </w:r>
      <w:r>
        <w:fldChar w:fldCharType="end"/>
      </w:r>
    </w:p>
    <w:p>
      <w:pPr>
        <w:pStyle w:val="TOC8"/>
        <w:rPr>
          <w:rFonts w:asciiTheme="minorHAnsi" w:eastAsiaTheme="minorEastAsia" w:hAnsiTheme="minorHAnsi" w:cstheme="minorBidi"/>
          <w:szCs w:val="22"/>
        </w:rPr>
      </w:pPr>
      <w:r>
        <w:t>55J.</w:t>
      </w:r>
      <w:r>
        <w:tab/>
        <w:t>Making of election</w:t>
      </w:r>
      <w:r>
        <w:tab/>
      </w:r>
      <w:r>
        <w:fldChar w:fldCharType="begin"/>
      </w:r>
      <w:r>
        <w:instrText xml:space="preserve"> PAGEREF _Toc98511516 \h </w:instrText>
      </w:r>
      <w:r>
        <w:fldChar w:fldCharType="separate"/>
      </w:r>
      <w:r>
        <w:t>119</w:t>
      </w:r>
      <w:r>
        <w:fldChar w:fldCharType="end"/>
      </w:r>
    </w:p>
    <w:p>
      <w:pPr>
        <w:pStyle w:val="TOC8"/>
        <w:rPr>
          <w:rFonts w:asciiTheme="minorHAnsi" w:eastAsiaTheme="minorEastAsia" w:hAnsiTheme="minorHAnsi" w:cstheme="minorBidi"/>
          <w:szCs w:val="22"/>
        </w:rPr>
      </w:pPr>
      <w:r>
        <w:t>55K.</w:t>
      </w:r>
      <w:r>
        <w:tab/>
        <w:t>Failure to enter into undertaking</w:t>
      </w:r>
      <w:r>
        <w:tab/>
      </w:r>
      <w:r>
        <w:fldChar w:fldCharType="begin"/>
      </w:r>
      <w:r>
        <w:instrText xml:space="preserve"> PAGEREF _Toc98511517 \h </w:instrText>
      </w:r>
      <w:r>
        <w:fldChar w:fldCharType="separate"/>
      </w:r>
      <w:r>
        <w:t>120</w:t>
      </w:r>
      <w:r>
        <w:fldChar w:fldCharType="end"/>
      </w:r>
    </w:p>
    <w:p>
      <w:pPr>
        <w:pStyle w:val="TOC8"/>
        <w:rPr>
          <w:rFonts w:asciiTheme="minorHAnsi" w:eastAsiaTheme="minorEastAsia" w:hAnsiTheme="minorHAnsi" w:cstheme="minorBidi"/>
          <w:szCs w:val="22"/>
        </w:rPr>
      </w:pPr>
      <w:r>
        <w:t>55L.</w:t>
      </w:r>
      <w:r>
        <w:tab/>
        <w:t>Time for payment of fines</w:t>
      </w:r>
      <w:r>
        <w:tab/>
      </w:r>
      <w:r>
        <w:fldChar w:fldCharType="begin"/>
      </w:r>
      <w:r>
        <w:instrText xml:space="preserve"> PAGEREF _Toc98511518 \h </w:instrText>
      </w:r>
      <w:r>
        <w:fldChar w:fldCharType="separate"/>
      </w:r>
      <w:r>
        <w:t>120</w:t>
      </w:r>
      <w:r>
        <w:fldChar w:fldCharType="end"/>
      </w:r>
    </w:p>
    <w:p>
      <w:pPr>
        <w:pStyle w:val="TOC8"/>
        <w:rPr>
          <w:rFonts w:asciiTheme="minorHAnsi" w:eastAsiaTheme="minorEastAsia" w:hAnsiTheme="minorHAnsi" w:cstheme="minorBidi"/>
          <w:szCs w:val="22"/>
        </w:rPr>
      </w:pPr>
      <w:r>
        <w:t>55M.</w:t>
      </w:r>
      <w:r>
        <w:tab/>
        <w:t>Nature and terms of undertaking</w:t>
      </w:r>
      <w:r>
        <w:tab/>
      </w:r>
      <w:r>
        <w:fldChar w:fldCharType="begin"/>
      </w:r>
      <w:r>
        <w:instrText xml:space="preserve"> PAGEREF _Toc98511519 \h </w:instrText>
      </w:r>
      <w:r>
        <w:fldChar w:fldCharType="separate"/>
      </w:r>
      <w:r>
        <w:t>121</w:t>
      </w:r>
      <w:r>
        <w:fldChar w:fldCharType="end"/>
      </w:r>
    </w:p>
    <w:p>
      <w:pPr>
        <w:pStyle w:val="TOC8"/>
        <w:rPr>
          <w:rFonts w:asciiTheme="minorHAnsi" w:eastAsiaTheme="minorEastAsia" w:hAnsiTheme="minorHAnsi" w:cstheme="minorBidi"/>
          <w:szCs w:val="22"/>
        </w:rPr>
      </w:pPr>
      <w:r>
        <w:t>55N.</w:t>
      </w:r>
      <w:r>
        <w:tab/>
        <w:t>What may be included in undertaking</w:t>
      </w:r>
      <w:r>
        <w:tab/>
      </w:r>
      <w:r>
        <w:fldChar w:fldCharType="begin"/>
      </w:r>
      <w:r>
        <w:instrText xml:space="preserve"> PAGEREF _Toc98511520 \h </w:instrText>
      </w:r>
      <w:r>
        <w:fldChar w:fldCharType="separate"/>
      </w:r>
      <w:r>
        <w:t>121</w:t>
      </w:r>
      <w:r>
        <w:fldChar w:fldCharType="end"/>
      </w:r>
    </w:p>
    <w:p>
      <w:pPr>
        <w:pStyle w:val="TOC8"/>
        <w:rPr>
          <w:rFonts w:asciiTheme="minorHAnsi" w:eastAsiaTheme="minorEastAsia" w:hAnsiTheme="minorHAnsi" w:cstheme="minorBidi"/>
          <w:szCs w:val="22"/>
        </w:rPr>
      </w:pPr>
      <w:r>
        <w:t>55O.</w:t>
      </w:r>
      <w:r>
        <w:tab/>
        <w:t>Effect of undertaking</w:t>
      </w:r>
      <w:r>
        <w:tab/>
      </w:r>
      <w:r>
        <w:fldChar w:fldCharType="begin"/>
      </w:r>
      <w:r>
        <w:instrText xml:space="preserve"> PAGEREF _Toc98511521 \h </w:instrText>
      </w:r>
      <w:r>
        <w:fldChar w:fldCharType="separate"/>
      </w:r>
      <w:r>
        <w:t>122</w:t>
      </w:r>
      <w:r>
        <w:fldChar w:fldCharType="end"/>
      </w:r>
    </w:p>
    <w:p>
      <w:pPr>
        <w:pStyle w:val="TOC8"/>
        <w:rPr>
          <w:rFonts w:asciiTheme="minorHAnsi" w:eastAsiaTheme="minorEastAsia" w:hAnsiTheme="minorHAnsi" w:cstheme="minorBidi"/>
          <w:szCs w:val="22"/>
        </w:rPr>
      </w:pPr>
      <w:r>
        <w:t>55P.</w:t>
      </w:r>
      <w:r>
        <w:tab/>
        <w:t>Failure to comply with undertaking</w:t>
      </w:r>
      <w:r>
        <w:tab/>
      </w:r>
      <w:r>
        <w:fldChar w:fldCharType="begin"/>
      </w:r>
      <w:r>
        <w:instrText xml:space="preserve"> PAGEREF _Toc98511522 \h </w:instrText>
      </w:r>
      <w:r>
        <w:fldChar w:fldCharType="separate"/>
      </w:r>
      <w:r>
        <w:t>123</w:t>
      </w:r>
      <w:r>
        <w:fldChar w:fldCharType="end"/>
      </w:r>
    </w:p>
    <w:p>
      <w:pPr>
        <w:pStyle w:val="TOC8"/>
        <w:rPr>
          <w:rFonts w:asciiTheme="minorHAnsi" w:eastAsiaTheme="minorEastAsia" w:hAnsiTheme="minorHAnsi" w:cstheme="minorBidi"/>
          <w:szCs w:val="22"/>
        </w:rPr>
      </w:pPr>
      <w:r>
        <w:t>55Q.</w:t>
      </w:r>
      <w:r>
        <w:tab/>
        <w:t>Amendment of undertaking</w:t>
      </w:r>
      <w:r>
        <w:tab/>
      </w:r>
      <w:r>
        <w:fldChar w:fldCharType="begin"/>
      </w:r>
      <w:r>
        <w:instrText xml:space="preserve"> PAGEREF _Toc98511523 \h </w:instrText>
      </w:r>
      <w:r>
        <w:fldChar w:fldCharType="separate"/>
      </w:r>
      <w:r>
        <w:t>123</w:t>
      </w:r>
      <w:r>
        <w:fldChar w:fldCharType="end"/>
      </w:r>
    </w:p>
    <w:p>
      <w:pPr>
        <w:pStyle w:val="TOC8"/>
        <w:rPr>
          <w:rFonts w:asciiTheme="minorHAnsi" w:eastAsiaTheme="minorEastAsia" w:hAnsiTheme="minorHAnsi" w:cstheme="minorBidi"/>
          <w:szCs w:val="22"/>
        </w:rPr>
      </w:pPr>
      <w:r>
        <w:t>55R.</w:t>
      </w:r>
      <w:r>
        <w:tab/>
        <w:t>Undertaking may be published</w:t>
      </w:r>
      <w:r>
        <w:tab/>
      </w:r>
      <w:r>
        <w:fldChar w:fldCharType="begin"/>
      </w:r>
      <w:r>
        <w:instrText xml:space="preserve"> PAGEREF _Toc98511524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56</w:t>
      </w:r>
      <w:r>
        <w:rPr>
          <w:snapToGrid w:val="0"/>
        </w:rPr>
        <w:t>.</w:t>
      </w:r>
      <w:r>
        <w:rPr>
          <w:snapToGrid w:val="0"/>
        </w:rPr>
        <w:tab/>
        <w:t>Discrimination</w:t>
      </w:r>
      <w:r>
        <w:tab/>
      </w:r>
      <w:r>
        <w:fldChar w:fldCharType="begin"/>
      </w:r>
      <w:r>
        <w:instrText xml:space="preserve"> PAGEREF _Toc98511526 \h </w:instrText>
      </w:r>
      <w:r>
        <w:fldChar w:fldCharType="separate"/>
      </w:r>
      <w:r>
        <w:t>124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Codes of practice</w:t>
      </w:r>
      <w:r>
        <w:tab/>
      </w:r>
      <w:r>
        <w:fldChar w:fldCharType="begin"/>
      </w:r>
      <w:r>
        <w:instrText xml:space="preserve"> PAGEREF _Toc98511527 \h </w:instrText>
      </w:r>
      <w:r>
        <w:fldChar w:fldCharType="separate"/>
      </w:r>
      <w:r>
        <w:t>125</w:t>
      </w:r>
      <w:r>
        <w:fldChar w:fldCharType="end"/>
      </w:r>
    </w:p>
    <w:p>
      <w:pPr>
        <w:pStyle w:val="TOC8"/>
        <w:rPr>
          <w:rFonts w:asciiTheme="minorHAnsi" w:eastAsiaTheme="minorEastAsia" w:hAnsiTheme="minorHAnsi" w:cstheme="minorBidi"/>
          <w:szCs w:val="22"/>
        </w:rPr>
      </w:pPr>
      <w:r>
        <w:t>57A.</w:t>
      </w:r>
      <w:r>
        <w:tab/>
        <w:t>Visitors to workplaces to comply with directions</w:t>
      </w:r>
      <w:r>
        <w:tab/>
      </w:r>
      <w:r>
        <w:fldChar w:fldCharType="begin"/>
      </w:r>
      <w:r>
        <w:instrText xml:space="preserve"> PAGEREF _Toc98511528 \h </w:instrText>
      </w:r>
      <w:r>
        <w:fldChar w:fldCharType="separate"/>
      </w:r>
      <w:r>
        <w:t>126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Governor may transfer administration of certain laws to Minister</w:t>
      </w:r>
      <w:r>
        <w:tab/>
      </w:r>
      <w:r>
        <w:fldChar w:fldCharType="begin"/>
      </w:r>
      <w:r>
        <w:instrText xml:space="preserve"> PAGEREF _Toc98511529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Protection of Commissioner etc. from personal liability</w:t>
      </w:r>
      <w:r>
        <w:tab/>
      </w:r>
      <w:r>
        <w:fldChar w:fldCharType="begin"/>
      </w:r>
      <w:r>
        <w:instrText xml:space="preserve"> PAGEREF _Toc98511530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_Toc98511531 \h </w:instrText>
      </w:r>
      <w:r>
        <w:fldChar w:fldCharType="separate"/>
      </w:r>
      <w:r>
        <w:t>129</w:t>
      </w:r>
      <w:r>
        <w:fldChar w:fldCharType="end"/>
      </w:r>
    </w:p>
    <w:p>
      <w:pPr>
        <w:pStyle w:val="TOC8"/>
        <w:rPr>
          <w:rFonts w:asciiTheme="minorHAnsi" w:eastAsiaTheme="minorEastAsia" w:hAnsiTheme="minorHAnsi" w:cstheme="minorBidi"/>
          <w:szCs w:val="22"/>
        </w:rPr>
      </w:pPr>
      <w:r>
        <w:t>61A.</w:t>
      </w:r>
      <w:r>
        <w:tab/>
        <w:t>Review of Commissioner’s decisions under regulations</w:t>
      </w:r>
      <w:r>
        <w:tab/>
      </w:r>
      <w:r>
        <w:fldChar w:fldCharType="begin"/>
      </w:r>
      <w:r>
        <w:instrText xml:space="preserve"> PAGEREF _Toc98511532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Review of Act</w:t>
      </w:r>
      <w:r>
        <w:tab/>
      </w:r>
      <w:r>
        <w:fldChar w:fldCharType="begin"/>
      </w:r>
      <w:r>
        <w:instrText xml:space="preserve"> PAGEREF _Toc98511533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Subject matter for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_Toc98511536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_Toc98511537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Occupational Safety and Health Act 1984</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No. 30 of 1995 s. 4; No. 74 of 2003 s. 87(2); No. 51 of 2004 s. 62.]</w:t>
      </w:r>
    </w:p>
    <w:p>
      <w:pPr>
        <w:pStyle w:val="Heading2"/>
      </w:pPr>
      <w:bookmarkStart w:id="3" w:name="_Toc98510530"/>
      <w:bookmarkStart w:id="4" w:name="_Toc98511364"/>
      <w:r>
        <w:rPr>
          <w:rStyle w:val="CharPartNo"/>
        </w:rPr>
        <w:lastRenderedPageBreak/>
        <w:t>Part I</w:t>
      </w:r>
      <w:r>
        <w:rPr>
          <w:rStyle w:val="CharDivNo"/>
        </w:rPr>
        <w:t> </w:t>
      </w:r>
      <w:r>
        <w:t>—</w:t>
      </w:r>
      <w:r>
        <w:rPr>
          <w:rStyle w:val="CharDivText"/>
        </w:rPr>
        <w:t> </w:t>
      </w:r>
      <w:r>
        <w:rPr>
          <w:rStyle w:val="CharPartText"/>
        </w:rPr>
        <w:t>Preliminary</w:t>
      </w:r>
      <w:bookmarkEnd w:id="3"/>
      <w:bookmarkEnd w:id="4"/>
    </w:p>
    <w:p>
      <w:pPr>
        <w:pStyle w:val="Footnoteheading"/>
        <w:rPr>
          <w:snapToGrid w:val="0"/>
        </w:rPr>
      </w:pPr>
      <w:r>
        <w:rPr>
          <w:snapToGrid w:val="0"/>
        </w:rPr>
        <w:tab/>
        <w:t>[Heading inserted: No. 43 of 1987 s. 4.]</w:t>
      </w:r>
    </w:p>
    <w:p>
      <w:pPr>
        <w:pStyle w:val="Heading5"/>
        <w:rPr>
          <w:snapToGrid w:val="0"/>
        </w:rPr>
      </w:pPr>
      <w:bookmarkStart w:id="5" w:name="_Toc98511365"/>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w:t>
      </w:r>
    </w:p>
    <w:p>
      <w:pPr>
        <w:pStyle w:val="Footnotesection"/>
      </w:pPr>
      <w:r>
        <w:tab/>
        <w:t>[Section 1 amended: No. 30 of 1995 s. 5.]</w:t>
      </w:r>
    </w:p>
    <w:p>
      <w:pPr>
        <w:pStyle w:val="Heading5"/>
        <w:spacing w:before="160"/>
        <w:rPr>
          <w:snapToGrid w:val="0"/>
        </w:rPr>
      </w:pPr>
      <w:bookmarkStart w:id="6" w:name="_Toc98511366"/>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160"/>
        <w:rPr>
          <w:snapToGrid w:val="0"/>
        </w:rPr>
      </w:pPr>
      <w:bookmarkStart w:id="7" w:name="_Toc98511367"/>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lastRenderedPageBreak/>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lastRenderedPageBreak/>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pPr>
      <w:r>
        <w:tab/>
        <w:t>(i)</w:t>
      </w:r>
      <w:r>
        <w:tab/>
        <w:t>the injury or harm to health referred to in paragraph (a); and</w:t>
      </w:r>
    </w:p>
    <w:p>
      <w:pPr>
        <w:pStyle w:val="Defsubpara"/>
      </w:pPr>
      <w:r>
        <w:tab/>
        <w:t>(ii)</w:t>
      </w:r>
      <w:r>
        <w:tab/>
        <w:t>the risk of that injury or harm to health occurring; and</w:t>
      </w:r>
    </w:p>
    <w:p>
      <w:pPr>
        <w:pStyle w:val="Defsubpara"/>
        <w:rPr>
          <w:spacing w:val="-4"/>
        </w:rPr>
      </w:pPr>
      <w:r>
        <w:rPr>
          <w:spacing w:val="-4"/>
        </w:rPr>
        <w:tab/>
        <w:t>(iii)</w:t>
      </w:r>
      <w:r>
        <w:rPr>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lastRenderedPageBreak/>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1</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 xml:space="preserve">Anything that, under this Act, is required to be served on, or otherwise done in relation to, an employer in relation to a workplace or a matter related to a workplace, is deemed to have been so served or done if it is served on, or done in relation to, a </w:t>
      </w:r>
      <w:r>
        <w:rPr>
          <w:snapToGrid w:val="0"/>
        </w:rPr>
        <w:lastRenderedPageBreak/>
        <w:t>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No. 43 of 1987 s. 5; No. 30 of 1995 s. 6; No. 79 of 1995 s. 67(5); No. 54 of 2002 s. 4; No. 74 of 2003 s. 87(3); No. 51 of 2004 s. 14, 38, 63, 73 and 104; No. 8 of 2008 s. 15 and 23(5); No. 44 of 2008 s. 57; No. 36 of 2009 s. 4.]</w:t>
      </w:r>
    </w:p>
    <w:p>
      <w:pPr>
        <w:pStyle w:val="Heading5"/>
      </w:pPr>
      <w:bookmarkStart w:id="8" w:name="_Toc98511368"/>
      <w:r>
        <w:rPr>
          <w:rStyle w:val="CharSectno"/>
        </w:rPr>
        <w:t>3A</w:t>
      </w:r>
      <w:r>
        <w:t>.</w:t>
      </w:r>
      <w:r>
        <w:tab/>
        <w:t>Penalty levels defined</w:t>
      </w:r>
      <w:bookmarkEnd w:id="8"/>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$50 000; and</w:t>
      </w:r>
    </w:p>
    <w:p>
      <w:pPr>
        <w:pStyle w:val="Indenti"/>
      </w:pPr>
      <w:r>
        <w:tab/>
        <w:t>(ii)</w:t>
      </w:r>
      <w:r>
        <w:tab/>
        <w:t>for a subsequent offence, to a fine of $60 000;</w:t>
      </w:r>
    </w:p>
    <w:p>
      <w:pPr>
        <w:pStyle w:val="Indenta"/>
        <w:keepNext/>
      </w:pPr>
      <w:r>
        <w:lastRenderedPageBreak/>
        <w:tab/>
        <w:t>(b)</w:t>
      </w:r>
      <w:r>
        <w:tab/>
        <w:t>if paragraph (a) does not apply —</w:t>
      </w:r>
    </w:p>
    <w:p>
      <w:pPr>
        <w:pStyle w:val="Indenti"/>
        <w:keepNext/>
      </w:pPr>
      <w:r>
        <w:tab/>
        <w:t>(i)</w:t>
      </w:r>
      <w:r>
        <w:tab/>
        <w:t>in the case of an individual —</w:t>
      </w:r>
    </w:p>
    <w:p>
      <w:pPr>
        <w:pStyle w:val="IndentI0"/>
      </w:pPr>
      <w:r>
        <w:tab/>
        <w:t>(I)</w:t>
      </w:r>
      <w:r>
        <w:tab/>
        <w:t>for a first offence, to a fine of $100 000; and</w:t>
      </w:r>
    </w:p>
    <w:p>
      <w:pPr>
        <w:pStyle w:val="IndentI0"/>
      </w:pPr>
      <w:r>
        <w:tab/>
        <w:t>(II)</w:t>
      </w:r>
      <w:r>
        <w:tab/>
        <w:t>for a subsequent offence, to a fine of $120 000;</w:t>
      </w:r>
    </w:p>
    <w:p>
      <w:pPr>
        <w:pStyle w:val="Indenti"/>
      </w:pPr>
      <w:r>
        <w:tab/>
      </w:r>
      <w:r>
        <w:tab/>
        <w:t>or</w:t>
      </w:r>
    </w:p>
    <w:p>
      <w:pPr>
        <w:pStyle w:val="Indenti"/>
      </w:pPr>
      <w:r>
        <w:tab/>
        <w:t>(ii)</w:t>
      </w:r>
      <w:r>
        <w:tab/>
        <w:t>in the case of a body corporate —</w:t>
      </w:r>
    </w:p>
    <w:p>
      <w:pPr>
        <w:pStyle w:val="IndentI0"/>
      </w:pPr>
      <w:r>
        <w:tab/>
        <w:t>(I)</w:t>
      </w:r>
      <w:r>
        <w:tab/>
        <w:t>for a first offence, to a fine of $450 000; and</w:t>
      </w:r>
    </w:p>
    <w:p>
      <w:pPr>
        <w:pStyle w:val="IndentI0"/>
      </w:pPr>
      <w:r>
        <w:tab/>
        <w:t>(II)</w:t>
      </w:r>
      <w:r>
        <w:tab/>
        <w:t>for a subsequent offence, to a fine of $570 000.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$250 000; and</w:t>
      </w:r>
    </w:p>
    <w:p>
      <w:pPr>
        <w:pStyle w:val="Indenti"/>
      </w:pPr>
      <w:r>
        <w:tab/>
        <w:t>(ii)</w:t>
      </w:r>
      <w:r>
        <w:tab/>
        <w:t>for a subsequent offence, to a fine of $350 000;</w:t>
      </w:r>
    </w:p>
    <w:p>
      <w:pPr>
        <w:pStyle w:val="Indenta"/>
      </w:pPr>
      <w:r>
        <w:tab/>
      </w:r>
      <w:r>
        <w:tab/>
        <w:t>or</w:t>
      </w:r>
    </w:p>
    <w:p>
      <w:pPr>
        <w:pStyle w:val="Indenta"/>
      </w:pPr>
      <w:r>
        <w:tab/>
        <w:t>(b)</w:t>
      </w:r>
      <w:r>
        <w:tab/>
        <w:t>in the case of a body corporate —</w:t>
      </w:r>
    </w:p>
    <w:p>
      <w:pPr>
        <w:pStyle w:val="Indenti"/>
      </w:pPr>
      <w:r>
        <w:tab/>
        <w:t>(i)</w:t>
      </w:r>
      <w:r>
        <w:tab/>
        <w:t>for a first offence, to a fine of $1 500 000; and</w:t>
      </w:r>
    </w:p>
    <w:p>
      <w:pPr>
        <w:pStyle w:val="Indenti"/>
      </w:pPr>
      <w:r>
        <w:tab/>
        <w:t>(ii)</w:t>
      </w:r>
      <w:r>
        <w:tab/>
        <w:t>for a subsequent offence, to a fine of $1 800 000.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$400 000; and</w:t>
      </w:r>
    </w:p>
    <w:p>
      <w:pPr>
        <w:pStyle w:val="Indenti"/>
      </w:pPr>
      <w:r>
        <w:tab/>
        <w:t>(ii)</w:t>
      </w:r>
      <w:r>
        <w:tab/>
        <w:t>for a subsequent offence, to a fine of $500 000;</w:t>
      </w:r>
    </w:p>
    <w:p>
      <w:pPr>
        <w:pStyle w:val="Indenta"/>
      </w:pPr>
      <w:r>
        <w:tab/>
      </w:r>
      <w:r>
        <w:tab/>
        <w:t>or</w:t>
      </w:r>
    </w:p>
    <w:p>
      <w:pPr>
        <w:pStyle w:val="Indenta"/>
      </w:pPr>
      <w:r>
        <w:tab/>
        <w:t>(b)</w:t>
      </w:r>
      <w:r>
        <w:tab/>
        <w:t>in the case of a body corporate —</w:t>
      </w:r>
    </w:p>
    <w:p>
      <w:pPr>
        <w:pStyle w:val="Indenti"/>
      </w:pPr>
      <w:r>
        <w:tab/>
        <w:t>(i)</w:t>
      </w:r>
      <w:r>
        <w:tab/>
        <w:t>for a first offence, to a fine of $2 000 000; and</w:t>
      </w:r>
    </w:p>
    <w:p>
      <w:pPr>
        <w:pStyle w:val="Indenti"/>
      </w:pPr>
      <w:r>
        <w:tab/>
        <w:t>(ii)</w:t>
      </w:r>
      <w:r>
        <w:tab/>
        <w:t>for a subsequent offence, to a fine of $2 500 000.</w:t>
      </w:r>
    </w:p>
    <w:p>
      <w:pPr>
        <w:pStyle w:val="Subsection"/>
      </w:pPr>
      <w:r>
        <w:lastRenderedPageBreak/>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$550 000 and imprisonment for 5 years; and</w:t>
      </w:r>
    </w:p>
    <w:p>
      <w:pPr>
        <w:pStyle w:val="Indenti"/>
      </w:pPr>
      <w:r>
        <w:tab/>
        <w:t>(ii)</w:t>
      </w:r>
      <w:r>
        <w:tab/>
        <w:t>for a subsequent offence, to a fine of $680 000 and imprisonment for 5 years;</w:t>
      </w:r>
    </w:p>
    <w:p>
      <w:pPr>
        <w:pStyle w:val="Indenta"/>
      </w:pPr>
      <w:r>
        <w:tab/>
      </w:r>
      <w:r>
        <w:tab/>
        <w:t>or</w:t>
      </w:r>
    </w:p>
    <w:p>
      <w:pPr>
        <w:pStyle w:val="Indenta"/>
      </w:pPr>
      <w:r>
        <w:tab/>
        <w:t>(b)</w:t>
      </w:r>
      <w:r>
        <w:tab/>
        <w:t>in the case of a body corporate —</w:t>
      </w:r>
    </w:p>
    <w:p>
      <w:pPr>
        <w:pStyle w:val="Indenti"/>
      </w:pPr>
      <w:r>
        <w:tab/>
        <w:t>(i)</w:t>
      </w:r>
      <w:r>
        <w:tab/>
        <w:t>for a first offence, to a fine of $2 700 000; and</w:t>
      </w:r>
    </w:p>
    <w:p>
      <w:pPr>
        <w:pStyle w:val="Indenti"/>
      </w:pPr>
      <w:r>
        <w:tab/>
        <w:t>(ii)</w:t>
      </w:r>
      <w:r>
        <w:tab/>
        <w:t>for a subsequent offence, to a fine of $3 500 000.</w:t>
      </w:r>
    </w:p>
    <w:p>
      <w:pPr>
        <w:pStyle w:val="Footnotesection"/>
      </w:pPr>
      <w:r>
        <w:tab/>
        <w:t>[Section 3A inserted: No. 51 of 2004 s. 15; amended: No. 16 of 2018 s. 4.]</w:t>
      </w:r>
    </w:p>
    <w:p>
      <w:pPr>
        <w:pStyle w:val="Heading5"/>
      </w:pPr>
      <w:bookmarkStart w:id="9" w:name="_Toc98511369"/>
      <w:r>
        <w:rPr>
          <w:rStyle w:val="CharSectno"/>
        </w:rPr>
        <w:t>3B</w:t>
      </w:r>
      <w:r>
        <w:t>.</w:t>
      </w:r>
      <w:r>
        <w:tab/>
        <w:t>Offences, first and subsequent</w:t>
      </w:r>
      <w:bookmarkEnd w:id="9"/>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t xml:space="preserve"> comes into operation.</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No. 51 of 2004 s. 15.]</w:t>
      </w:r>
    </w:p>
    <w:p>
      <w:pPr>
        <w:pStyle w:val="Heading5"/>
        <w:rPr>
          <w:snapToGrid w:val="0"/>
        </w:rPr>
      </w:pPr>
      <w:bookmarkStart w:id="10" w:name="_Toc98511370"/>
      <w:r>
        <w:rPr>
          <w:rStyle w:val="CharSectno"/>
        </w:rPr>
        <w:lastRenderedPageBreak/>
        <w:t>4</w:t>
      </w:r>
      <w:r>
        <w:rPr>
          <w:snapToGrid w:val="0"/>
        </w:rPr>
        <w:t>.</w:t>
      </w:r>
      <w:r>
        <w:rPr>
          <w:snapToGrid w:val="0"/>
        </w:rPr>
        <w:tab/>
        <w:t>Application of this Act</w:t>
      </w:r>
      <w:bookmarkEnd w:id="10"/>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 xml:space="preserve">The Minister and the Minister for the time being administering the Act referred to in subsection (2) that is concerned may, by instrument in writing, jointly declare that this Act, or such provision of or under this Act as is specified in the instrument </w:t>
      </w:r>
      <w:r>
        <w:rPr>
          <w:snapToGrid w:val="0"/>
        </w:rPr>
        <w:lastRenderedPageBreak/>
        <w:t>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No. 43 of 1987 s. 7; amended: No. 84 of 1990 s. 2; No. 62 of 1994 s. 109; No. 54 of 2002 s. 5; No. 51 of 2004 s. 74; No. 68 of 2004 s. 94; No. 13 of 2005 s. 50; No. 35 of 2007 s. 101.]</w:t>
      </w:r>
    </w:p>
    <w:p>
      <w:pPr>
        <w:pStyle w:val="Heading5"/>
      </w:pPr>
      <w:bookmarkStart w:id="11" w:name="_Toc98511371"/>
      <w:r>
        <w:rPr>
          <w:rStyle w:val="CharSectno"/>
        </w:rPr>
        <w:t>4A</w:t>
      </w:r>
      <w:r>
        <w:t>.</w:t>
      </w:r>
      <w:r>
        <w:tab/>
        <w:t>Act does not operate to affect adversely certain police operations</w:t>
      </w:r>
      <w:bookmarkEnd w:id="11"/>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 xml:space="preserve">performance of the function is not practicable without exposing a police officer to a risk of imminent and </w:t>
      </w:r>
      <w:r>
        <w:lastRenderedPageBreak/>
        <w:t>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No. 54 of 2002 s. 6.]</w:t>
      </w:r>
    </w:p>
    <w:p>
      <w:pPr>
        <w:pStyle w:val="Heading5"/>
        <w:rPr>
          <w:snapToGrid w:val="0"/>
        </w:rPr>
      </w:pPr>
      <w:bookmarkStart w:id="12" w:name="_Toc98511372"/>
      <w:r>
        <w:rPr>
          <w:rStyle w:val="CharSectno"/>
        </w:rPr>
        <w:t>5</w:t>
      </w:r>
      <w:r>
        <w:rPr>
          <w:snapToGrid w:val="0"/>
        </w:rPr>
        <w:t>.</w:t>
      </w:r>
      <w:r>
        <w:rPr>
          <w:snapToGrid w:val="0"/>
        </w:rPr>
        <w:tab/>
        <w:t>Objects</w:t>
      </w:r>
      <w:bookmarkEnd w:id="12"/>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lastRenderedPageBreak/>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No. 43 of 1987 s. 8; No. 30 of 1995 s. 47.]</w:t>
      </w:r>
    </w:p>
    <w:p>
      <w:pPr>
        <w:pStyle w:val="Heading2"/>
      </w:pPr>
      <w:bookmarkStart w:id="13" w:name="_Toc98510539"/>
      <w:bookmarkStart w:id="14" w:name="_Toc98511373"/>
      <w:r>
        <w:rPr>
          <w:rStyle w:val="CharPartNo"/>
        </w:rPr>
        <w:lastRenderedPageBreak/>
        <w:t>Part II</w:t>
      </w:r>
      <w:r>
        <w:rPr>
          <w:rStyle w:val="CharDivNo"/>
        </w:rPr>
        <w:t> </w:t>
      </w:r>
      <w:r>
        <w:t>—</w:t>
      </w:r>
      <w:r>
        <w:rPr>
          <w:rStyle w:val="CharDivText"/>
        </w:rPr>
        <w:t> </w:t>
      </w:r>
      <w:r>
        <w:rPr>
          <w:rStyle w:val="CharPartText"/>
        </w:rPr>
        <w:t>Commission for Occupational Safety and Health</w:t>
      </w:r>
      <w:bookmarkEnd w:id="13"/>
      <w:bookmarkEnd w:id="14"/>
    </w:p>
    <w:p>
      <w:pPr>
        <w:pStyle w:val="Footnoteheading"/>
        <w:rPr>
          <w:snapToGrid w:val="0"/>
        </w:rPr>
      </w:pPr>
      <w:r>
        <w:rPr>
          <w:snapToGrid w:val="0"/>
        </w:rPr>
        <w:tab/>
        <w:t>[Heading inserted: No. 74 of 2003 s. 87(4).]</w:t>
      </w:r>
    </w:p>
    <w:p>
      <w:pPr>
        <w:pStyle w:val="Heading5"/>
        <w:rPr>
          <w:snapToGrid w:val="0"/>
        </w:rPr>
      </w:pPr>
      <w:bookmarkStart w:id="15" w:name="_Toc98511374"/>
      <w:r>
        <w:rPr>
          <w:rStyle w:val="CharSectno"/>
        </w:rPr>
        <w:t>6</w:t>
      </w:r>
      <w:r>
        <w:rPr>
          <w:snapToGrid w:val="0"/>
        </w:rPr>
        <w:t>.</w:t>
      </w:r>
      <w:r>
        <w:rPr>
          <w:snapToGrid w:val="0"/>
        </w:rPr>
        <w:tab/>
        <w:t>Commission, creation, membership of etc.</w:t>
      </w:r>
      <w:bookmarkEnd w:id="15"/>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 xml:space="preserve">3 shall be persons having knowledge of or experience in occupational safety and health who shall be nominated for appointment by the Minister after consultation between the Minister </w:t>
      </w:r>
      <w:r>
        <w:rPr>
          <w:snapToGrid w:val="0"/>
        </w:rPr>
        <w:lastRenderedPageBreak/>
        <w:t>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p>
    <w:p>
      <w:pPr>
        <w:pStyle w:val="Footnotesection"/>
      </w:pPr>
      <w:r>
        <w:tab/>
        <w:t>[Section 6 amended: No. 30 of 1995 s. 8; No. 74 of 2003 s. 87(5); No. 51 of 2004 s. 103 and 105; No. 53 of 2011 s. 61.]</w:t>
      </w:r>
    </w:p>
    <w:p>
      <w:pPr>
        <w:pStyle w:val="Heading5"/>
        <w:rPr>
          <w:snapToGrid w:val="0"/>
        </w:rPr>
      </w:pPr>
      <w:bookmarkStart w:id="16" w:name="_Toc98511375"/>
      <w:r>
        <w:rPr>
          <w:rStyle w:val="CharSectno"/>
        </w:rPr>
        <w:lastRenderedPageBreak/>
        <w:t>6A</w:t>
      </w:r>
      <w:r>
        <w:rPr>
          <w:snapToGrid w:val="0"/>
        </w:rPr>
        <w:t xml:space="preserve">. </w:t>
      </w:r>
      <w:r>
        <w:rPr>
          <w:snapToGrid w:val="0"/>
        </w:rPr>
        <w:tab/>
        <w:t>Deputy chairperson</w:t>
      </w:r>
      <w:bookmarkEnd w:id="16"/>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No. 30 of 1995 s. 9.]</w:t>
      </w:r>
    </w:p>
    <w:p>
      <w:pPr>
        <w:pStyle w:val="Heading5"/>
        <w:rPr>
          <w:snapToGrid w:val="0"/>
        </w:rPr>
      </w:pPr>
      <w:bookmarkStart w:id="17" w:name="_Toc98511376"/>
      <w:r>
        <w:rPr>
          <w:rStyle w:val="CharSectno"/>
        </w:rPr>
        <w:t>7</w:t>
      </w:r>
      <w:r>
        <w:rPr>
          <w:snapToGrid w:val="0"/>
        </w:rPr>
        <w:t>.</w:t>
      </w:r>
      <w:r>
        <w:rPr>
          <w:snapToGrid w:val="0"/>
        </w:rPr>
        <w:tab/>
        <w:t>Acting members</w:t>
      </w:r>
      <w:bookmarkEnd w:id="17"/>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lastRenderedPageBreak/>
        <w:tab/>
        <w:t>(4)</w:t>
      </w:r>
      <w:r>
        <w:rPr>
          <w:snapToGrid w:val="0"/>
        </w:rPr>
        <w:tab/>
        <w:t>The appointment of a person as an acting member may be terminated at any time by the Minister.</w:t>
      </w:r>
    </w:p>
    <w:p>
      <w:pPr>
        <w:pStyle w:val="Footnotesection"/>
      </w:pPr>
      <w:r>
        <w:tab/>
        <w:t>[Section 7 inserted: No. 30 of 1995 s. 10.]</w:t>
      </w:r>
    </w:p>
    <w:p>
      <w:pPr>
        <w:pStyle w:val="Heading5"/>
        <w:rPr>
          <w:snapToGrid w:val="0"/>
        </w:rPr>
      </w:pPr>
      <w:bookmarkStart w:id="18" w:name="_Toc98511377"/>
      <w:r>
        <w:rPr>
          <w:rStyle w:val="CharSectno"/>
        </w:rPr>
        <w:t>8</w:t>
      </w:r>
      <w:r>
        <w:rPr>
          <w:snapToGrid w:val="0"/>
        </w:rPr>
        <w:t>.</w:t>
      </w:r>
      <w:r>
        <w:rPr>
          <w:snapToGrid w:val="0"/>
        </w:rPr>
        <w:tab/>
        <w:t>Terms and conditions of appointed members</w:t>
      </w:r>
      <w:bookmarkEnd w:id="18"/>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No. 51 of 2004 s. 75; No. 39 of 2010 s. 89.]</w:t>
      </w:r>
    </w:p>
    <w:p>
      <w:pPr>
        <w:pStyle w:val="Heading5"/>
        <w:rPr>
          <w:snapToGrid w:val="0"/>
        </w:rPr>
      </w:pPr>
      <w:bookmarkStart w:id="19" w:name="_Toc98511378"/>
      <w:r>
        <w:rPr>
          <w:rStyle w:val="CharSectno"/>
        </w:rPr>
        <w:t>9</w:t>
      </w:r>
      <w:r>
        <w:rPr>
          <w:snapToGrid w:val="0"/>
        </w:rPr>
        <w:t>.</w:t>
      </w:r>
      <w:r>
        <w:rPr>
          <w:snapToGrid w:val="0"/>
        </w:rPr>
        <w:tab/>
        <w:t>WorkSafe Western Australia Commissioner</w:t>
      </w:r>
      <w:bookmarkEnd w:id="19"/>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 xml:space="preserve">is entitled upon </w:t>
      </w:r>
      <w:r>
        <w:rPr>
          <w:snapToGrid w:val="0"/>
        </w:rPr>
        <w:lastRenderedPageBreak/>
        <w:t>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[Section 9 amended: No. 43 of 1987 s. 10; No. 55 of 1987 s. 4; No. 32 of 1994 s. 19; No. 30 of 1995 s. 11 and 47; No. 51 of 2004 s. 76 and 102(2); No. 39 of 2010 s. 89.]</w:t>
      </w:r>
    </w:p>
    <w:p>
      <w:pPr>
        <w:pStyle w:val="Heading5"/>
      </w:pPr>
      <w:bookmarkStart w:id="20" w:name="_Toc98511379"/>
      <w:r>
        <w:rPr>
          <w:rStyle w:val="CharSectno"/>
        </w:rPr>
        <w:t>10</w:t>
      </w:r>
      <w:r>
        <w:t>.</w:t>
      </w:r>
      <w:r>
        <w:tab/>
        <w:t>Vacation of office</w:t>
      </w:r>
      <w:bookmarkEnd w:id="20"/>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lastRenderedPageBreak/>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No. 51 of 2004 s. 77; amended: No. 18 of 2009 s. 60.]</w:t>
      </w:r>
    </w:p>
    <w:p>
      <w:pPr>
        <w:pStyle w:val="Heading5"/>
        <w:spacing w:before="180"/>
        <w:rPr>
          <w:snapToGrid w:val="0"/>
        </w:rPr>
      </w:pPr>
      <w:bookmarkStart w:id="21" w:name="_Toc98511380"/>
      <w:r>
        <w:rPr>
          <w:rStyle w:val="CharSectno"/>
        </w:rPr>
        <w:t>11</w:t>
      </w:r>
      <w:r>
        <w:rPr>
          <w:snapToGrid w:val="0"/>
        </w:rPr>
        <w:t>.</w:t>
      </w:r>
      <w:r>
        <w:rPr>
          <w:snapToGrid w:val="0"/>
        </w:rPr>
        <w:tab/>
        <w:t>Leave of absence</w:t>
      </w:r>
      <w:bookmarkEnd w:id="21"/>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2" w:name="_Toc98511381"/>
      <w:r>
        <w:rPr>
          <w:rStyle w:val="CharSectno"/>
        </w:rPr>
        <w:t>12</w:t>
      </w:r>
      <w:r>
        <w:rPr>
          <w:snapToGrid w:val="0"/>
        </w:rPr>
        <w:t>.</w:t>
      </w:r>
      <w:r>
        <w:rPr>
          <w:snapToGrid w:val="0"/>
        </w:rPr>
        <w:tab/>
        <w:t>Casual vacancies</w:t>
      </w:r>
      <w:bookmarkEnd w:id="22"/>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No. 51 of 2004 s. 102(1).]</w:t>
      </w:r>
    </w:p>
    <w:p>
      <w:pPr>
        <w:pStyle w:val="Heading5"/>
        <w:rPr>
          <w:snapToGrid w:val="0"/>
        </w:rPr>
      </w:pPr>
      <w:bookmarkStart w:id="23" w:name="_Toc98511382"/>
      <w:r>
        <w:rPr>
          <w:rStyle w:val="CharSectno"/>
        </w:rPr>
        <w:t>13</w:t>
      </w:r>
      <w:r>
        <w:rPr>
          <w:snapToGrid w:val="0"/>
        </w:rPr>
        <w:t>.</w:t>
      </w:r>
      <w:r>
        <w:rPr>
          <w:snapToGrid w:val="0"/>
        </w:rPr>
        <w:tab/>
        <w:t>Meetings of Commission</w:t>
      </w:r>
      <w:bookmarkEnd w:id="23"/>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lastRenderedPageBreak/>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No. 30 of 1995 s. 12; No. 51 of 2004 s. 102(1).]</w:t>
      </w:r>
    </w:p>
    <w:p>
      <w:pPr>
        <w:pStyle w:val="Heading5"/>
        <w:rPr>
          <w:snapToGrid w:val="0"/>
        </w:rPr>
      </w:pPr>
      <w:bookmarkStart w:id="24" w:name="_Toc98511383"/>
      <w:r>
        <w:rPr>
          <w:rStyle w:val="CharSectno"/>
        </w:rPr>
        <w:lastRenderedPageBreak/>
        <w:t>14</w:t>
      </w:r>
      <w:r>
        <w:rPr>
          <w:snapToGrid w:val="0"/>
        </w:rPr>
        <w:t>.</w:t>
      </w:r>
      <w:r>
        <w:rPr>
          <w:snapToGrid w:val="0"/>
        </w:rPr>
        <w:tab/>
        <w:t>Functions of Commission</w:t>
      </w:r>
      <w:bookmarkEnd w:id="24"/>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lastRenderedPageBreak/>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No. 43 of 1987 s. 11; No. 30 of 1995 s. 47.]</w:t>
      </w:r>
    </w:p>
    <w:p>
      <w:pPr>
        <w:pStyle w:val="Heading5"/>
      </w:pPr>
      <w:bookmarkStart w:id="25" w:name="_Toc98511384"/>
      <w:r>
        <w:rPr>
          <w:rStyle w:val="CharSectno"/>
        </w:rPr>
        <w:lastRenderedPageBreak/>
        <w:t>14A</w:t>
      </w:r>
      <w:r>
        <w:t>.</w:t>
      </w:r>
      <w:r>
        <w:tab/>
        <w:t>Mining Industry Advisory Committee</w:t>
      </w:r>
      <w:bookmarkEnd w:id="25"/>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pPr>
      <w: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 xml:space="preserve">to prepare or recommend the adoption of codes of practice, guidelines, standards, specifications or other forms of guidance for the purpose of assisting </w:t>
      </w:r>
      <w:r>
        <w:lastRenderedPageBreak/>
        <w:t>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No. 51 of 2004 s. 106; amended: No. 39 of 2010 s. 89.]</w:t>
      </w:r>
    </w:p>
    <w:p>
      <w:pPr>
        <w:pStyle w:val="Heading5"/>
        <w:rPr>
          <w:snapToGrid w:val="0"/>
        </w:rPr>
      </w:pPr>
      <w:bookmarkStart w:id="26" w:name="_Toc98511385"/>
      <w:r>
        <w:rPr>
          <w:rStyle w:val="CharSectno"/>
        </w:rPr>
        <w:t>15</w:t>
      </w:r>
      <w:r>
        <w:rPr>
          <w:snapToGrid w:val="0"/>
        </w:rPr>
        <w:t>.</w:t>
      </w:r>
      <w:r>
        <w:rPr>
          <w:snapToGrid w:val="0"/>
        </w:rPr>
        <w:tab/>
        <w:t>Other advisory committees, appointment of etc.</w:t>
      </w:r>
      <w:bookmarkEnd w:id="26"/>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lastRenderedPageBreak/>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[Section 15 amended: No. 30 of 1995 s. 47; No. 39 of 2010 s. 89.]</w:t>
      </w:r>
    </w:p>
    <w:p>
      <w:pPr>
        <w:pStyle w:val="Heading5"/>
        <w:rPr>
          <w:snapToGrid w:val="0"/>
        </w:rPr>
      </w:pPr>
      <w:bookmarkStart w:id="27" w:name="_Toc98511386"/>
      <w:r>
        <w:rPr>
          <w:rStyle w:val="CharSectno"/>
        </w:rPr>
        <w:t>16</w:t>
      </w:r>
      <w:r>
        <w:rPr>
          <w:snapToGrid w:val="0"/>
        </w:rPr>
        <w:t>.</w:t>
      </w:r>
      <w:r>
        <w:rPr>
          <w:snapToGrid w:val="0"/>
        </w:rPr>
        <w:tab/>
        <w:t>Annual report</w:t>
      </w:r>
      <w:bookmarkEnd w:id="27"/>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No. 51 of 2004 s. 102(3).]</w:t>
      </w:r>
    </w:p>
    <w:p>
      <w:pPr>
        <w:pStyle w:val="Heading5"/>
        <w:rPr>
          <w:snapToGrid w:val="0"/>
        </w:rPr>
      </w:pPr>
      <w:bookmarkStart w:id="28" w:name="_Toc98511387"/>
      <w:r>
        <w:rPr>
          <w:rStyle w:val="CharSectno"/>
        </w:rPr>
        <w:t>17</w:t>
      </w:r>
      <w:r>
        <w:rPr>
          <w:snapToGrid w:val="0"/>
        </w:rPr>
        <w:t>.</w:t>
      </w:r>
      <w:r>
        <w:rPr>
          <w:snapToGrid w:val="0"/>
        </w:rPr>
        <w:tab/>
        <w:t>Staff to assist Commission</w:t>
      </w:r>
      <w:bookmarkEnd w:id="28"/>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w:t>
      </w:r>
      <w:r>
        <w:rPr>
          <w:snapToGrid w:val="0"/>
        </w:rPr>
        <w:lastRenderedPageBreak/>
        <w:t>employees as are necessary to assist the Commission in the performance of its functions and duties.</w:t>
      </w:r>
    </w:p>
    <w:p>
      <w:pPr>
        <w:pStyle w:val="Footnotesection"/>
      </w:pPr>
      <w:r>
        <w:tab/>
        <w:t>[Section 17 amended: No. 32 of 1994 s. 19; No. 30 of 1995 s. 47.]</w:t>
      </w:r>
    </w:p>
    <w:p>
      <w:pPr>
        <w:pStyle w:val="Heading5"/>
        <w:rPr>
          <w:snapToGrid w:val="0"/>
        </w:rPr>
      </w:pPr>
      <w:bookmarkStart w:id="29" w:name="_Toc98511388"/>
      <w:r>
        <w:rPr>
          <w:rStyle w:val="CharSectno"/>
        </w:rPr>
        <w:t>18</w:t>
      </w:r>
      <w:r>
        <w:rPr>
          <w:snapToGrid w:val="0"/>
        </w:rPr>
        <w:t>.</w:t>
      </w:r>
      <w:r>
        <w:rPr>
          <w:snapToGrid w:val="0"/>
        </w:rPr>
        <w:tab/>
        <w:t>Commissioner and department</w:t>
      </w:r>
      <w:bookmarkEnd w:id="29"/>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No. 43 of 1987 s. 12; No. 55 of 1987 s. 5; No. 32 of 1994 s. 19; No. 30 of 1995 s. 47; No. 51 of 2004 s. 102(2) and (3).]</w:t>
      </w:r>
    </w:p>
    <w:p>
      <w:pPr>
        <w:pStyle w:val="Heading2"/>
      </w:pPr>
      <w:bookmarkStart w:id="30" w:name="_Toc98510555"/>
      <w:bookmarkStart w:id="31" w:name="_Toc98511389"/>
      <w:r>
        <w:rPr>
          <w:rStyle w:val="CharPartNo"/>
        </w:rPr>
        <w:lastRenderedPageBreak/>
        <w:t>Part III</w:t>
      </w:r>
      <w:r>
        <w:rPr>
          <w:snapToGrid/>
          <w:sz w:val="26"/>
        </w:rPr>
        <w:t> </w:t>
      </w:r>
      <w:r>
        <w:t>—</w:t>
      </w:r>
      <w:r>
        <w:rPr>
          <w:snapToGrid/>
          <w:sz w:val="26"/>
        </w:rPr>
        <w:t> </w:t>
      </w:r>
      <w:r>
        <w:rPr>
          <w:rStyle w:val="CharPartText"/>
        </w:rPr>
        <w:t>General provisions relating to occupational safety and health</w:t>
      </w:r>
      <w:bookmarkEnd w:id="30"/>
      <w:bookmarkEnd w:id="31"/>
    </w:p>
    <w:p>
      <w:pPr>
        <w:pStyle w:val="Footnoteheading"/>
        <w:ind w:left="896" w:hanging="896"/>
        <w:rPr>
          <w:snapToGrid w:val="0"/>
        </w:rPr>
      </w:pPr>
      <w:r>
        <w:rPr>
          <w:snapToGrid w:val="0"/>
        </w:rPr>
        <w:tab/>
        <w:t>[Heading inserted: No. 43 of 1987 s. 13; amended: No. 30 of 1995 s. 47.]</w:t>
      </w:r>
    </w:p>
    <w:p>
      <w:pPr>
        <w:pStyle w:val="Heading3"/>
      </w:pPr>
      <w:bookmarkStart w:id="32" w:name="_Toc98510556"/>
      <w:bookmarkStart w:id="33" w:name="_Toc98511390"/>
      <w:r>
        <w:rPr>
          <w:rStyle w:val="CharDivNo"/>
        </w:rPr>
        <w:t>Division 1</w:t>
      </w:r>
      <w:r>
        <w:t> — </w:t>
      </w:r>
      <w:r>
        <w:rPr>
          <w:rStyle w:val="CharDivText"/>
        </w:rPr>
        <w:t>Preliminary</w:t>
      </w:r>
      <w:bookmarkEnd w:id="32"/>
      <w:bookmarkEnd w:id="33"/>
    </w:p>
    <w:p>
      <w:pPr>
        <w:pStyle w:val="Footnoteheading"/>
        <w:tabs>
          <w:tab w:val="left" w:pos="851"/>
        </w:tabs>
      </w:pPr>
      <w:r>
        <w:tab/>
        <w:t>[Heading inserted: No. 51 of 2004 s. 16.]</w:t>
      </w:r>
    </w:p>
    <w:p>
      <w:pPr>
        <w:pStyle w:val="Heading5"/>
      </w:pPr>
      <w:bookmarkStart w:id="34" w:name="_Toc98511391"/>
      <w:r>
        <w:rPr>
          <w:rStyle w:val="CharSectno"/>
        </w:rPr>
        <w:t>18A</w:t>
      </w:r>
      <w:r>
        <w:t>.</w:t>
      </w:r>
      <w:r>
        <w:tab/>
        <w:t>Meaning of gross negligence in relation to certain breaches of this Part</w:t>
      </w:r>
      <w:bookmarkEnd w:id="34"/>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18A inserted: No. 51 of 2004 s. 16.]</w:t>
      </w:r>
    </w:p>
    <w:p>
      <w:pPr>
        <w:pStyle w:val="Heading3"/>
      </w:pPr>
      <w:bookmarkStart w:id="35" w:name="_Toc98510558"/>
      <w:bookmarkStart w:id="36" w:name="_Toc98511392"/>
      <w:r>
        <w:rPr>
          <w:rStyle w:val="CharDivNo"/>
        </w:rPr>
        <w:t>Division 2</w:t>
      </w:r>
      <w:r>
        <w:t> — </w:t>
      </w:r>
      <w:r>
        <w:rPr>
          <w:rStyle w:val="CharDivText"/>
        </w:rPr>
        <w:t>General workplace duties</w:t>
      </w:r>
      <w:bookmarkEnd w:id="35"/>
      <w:bookmarkEnd w:id="36"/>
    </w:p>
    <w:p>
      <w:pPr>
        <w:pStyle w:val="Footnoteheading"/>
        <w:tabs>
          <w:tab w:val="left" w:pos="851"/>
        </w:tabs>
      </w:pPr>
      <w:r>
        <w:tab/>
        <w:t>[Heading inserted: No. 51 of 2004 s. 4.]</w:t>
      </w:r>
    </w:p>
    <w:p>
      <w:pPr>
        <w:pStyle w:val="Heading5"/>
        <w:rPr>
          <w:snapToGrid w:val="0"/>
        </w:rPr>
      </w:pPr>
      <w:bookmarkStart w:id="37" w:name="_Toc98511393"/>
      <w:r>
        <w:rPr>
          <w:rStyle w:val="CharSectno"/>
        </w:rPr>
        <w:t>19</w:t>
      </w:r>
      <w:r>
        <w:rPr>
          <w:snapToGrid w:val="0"/>
        </w:rPr>
        <w:t>.</w:t>
      </w:r>
      <w:r>
        <w:rPr>
          <w:snapToGrid w:val="0"/>
        </w:rPr>
        <w:tab/>
        <w:t>Duties of employers</w:t>
      </w:r>
      <w:bookmarkEnd w:id="37"/>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w:t>
      </w:r>
      <w:r>
        <w:lastRenderedPageBreak/>
        <w:t xml:space="preserve">(the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No. 43 of 1987 s. 13; amended: No. 30 of 1995 s. 13 and 47; No. 51 of 2004 s. 5, 17 and 78.]</w:t>
      </w:r>
    </w:p>
    <w:p>
      <w:pPr>
        <w:pStyle w:val="Heading5"/>
      </w:pPr>
      <w:bookmarkStart w:id="38" w:name="_Toc98511394"/>
      <w:r>
        <w:rPr>
          <w:rStyle w:val="CharSectno"/>
        </w:rPr>
        <w:lastRenderedPageBreak/>
        <w:t>19A</w:t>
      </w:r>
      <w:r>
        <w:t>.</w:t>
      </w:r>
      <w:r>
        <w:tab/>
        <w:t>Breaches of s. 19(1)</w:t>
      </w:r>
      <w:bookmarkEnd w:id="3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No. 51 of 2004 s. 18.]</w:t>
      </w:r>
    </w:p>
    <w:p>
      <w:pPr>
        <w:pStyle w:val="Heading5"/>
        <w:rPr>
          <w:snapToGrid w:val="0"/>
        </w:rPr>
      </w:pPr>
      <w:bookmarkStart w:id="39" w:name="_Toc98511395"/>
      <w:r>
        <w:rPr>
          <w:rStyle w:val="CharSectno"/>
        </w:rPr>
        <w:t>20</w:t>
      </w:r>
      <w:r>
        <w:rPr>
          <w:snapToGrid w:val="0"/>
        </w:rPr>
        <w:t>.</w:t>
      </w:r>
      <w:r>
        <w:rPr>
          <w:snapToGrid w:val="0"/>
        </w:rPr>
        <w:tab/>
        <w:t>Duties of employees</w:t>
      </w:r>
      <w:bookmarkEnd w:id="39"/>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lastRenderedPageBreak/>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No. 43 of 1987 s. 13; amended: No. 30 of 1995 s. 14 and 47; No. 51 of 2004 s. 19, 79, 102(1) and (2).]</w:t>
      </w:r>
    </w:p>
    <w:p>
      <w:pPr>
        <w:pStyle w:val="Heading5"/>
      </w:pPr>
      <w:bookmarkStart w:id="40" w:name="_Toc98511396"/>
      <w:r>
        <w:rPr>
          <w:rStyle w:val="CharSectno"/>
        </w:rPr>
        <w:t>20A</w:t>
      </w:r>
      <w:r>
        <w:t>.</w:t>
      </w:r>
      <w:r>
        <w:tab/>
        <w:t>Breaches of s. 20(1) or (3)</w:t>
      </w:r>
      <w:bookmarkEnd w:id="40"/>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$100 000; and</w:t>
      </w:r>
    </w:p>
    <w:p>
      <w:pPr>
        <w:pStyle w:val="Indenta"/>
      </w:pPr>
      <w:r>
        <w:tab/>
        <w:t>(b)</w:t>
      </w:r>
      <w:r>
        <w:tab/>
        <w:t>for a subsequent offence, to a fine of $120 000.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lastRenderedPageBreak/>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$80 000; and</w:t>
      </w:r>
    </w:p>
    <w:p>
      <w:pPr>
        <w:pStyle w:val="Indenta"/>
      </w:pPr>
      <w:r>
        <w:tab/>
        <w:t>(d)</w:t>
      </w:r>
      <w:r>
        <w:tab/>
        <w:t>for a subsequent offence, to a fine of $100 000.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$40 000; and</w:t>
      </w:r>
    </w:p>
    <w:p>
      <w:pPr>
        <w:pStyle w:val="Indenta"/>
      </w:pPr>
      <w:r>
        <w:tab/>
        <w:t>(d)</w:t>
      </w:r>
      <w:r>
        <w:tab/>
        <w:t>for a subsequent offence, to a fine of $50 000.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No. 51 of 2004 s. 20; amended: No. 16 of 2018 s. 4.]</w:t>
      </w:r>
    </w:p>
    <w:p>
      <w:pPr>
        <w:pStyle w:val="Heading5"/>
        <w:spacing w:before="180"/>
        <w:rPr>
          <w:snapToGrid w:val="0"/>
        </w:rPr>
      </w:pPr>
      <w:bookmarkStart w:id="41" w:name="_Toc98511397"/>
      <w:r>
        <w:rPr>
          <w:rStyle w:val="CharSectno"/>
        </w:rPr>
        <w:t>21</w:t>
      </w:r>
      <w:r>
        <w:rPr>
          <w:snapToGrid w:val="0"/>
        </w:rPr>
        <w:t>.</w:t>
      </w:r>
      <w:r>
        <w:rPr>
          <w:snapToGrid w:val="0"/>
        </w:rPr>
        <w:tab/>
        <w:t>Duties of employers and self</w:t>
      </w:r>
      <w:r>
        <w:rPr>
          <w:snapToGrid w:val="0"/>
        </w:rPr>
        <w:noBreakHyphen/>
        <w:t>employed persons</w:t>
      </w:r>
      <w:bookmarkEnd w:id="41"/>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lastRenderedPageBreak/>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No. 43 of 1987 s. 13; amended: No. 30 of 1995 s. 15 and 47; No. 51 of 2004 s. 6 and 21.]</w:t>
      </w:r>
    </w:p>
    <w:p>
      <w:pPr>
        <w:pStyle w:val="Heading5"/>
      </w:pPr>
      <w:bookmarkStart w:id="42" w:name="_Toc98511398"/>
      <w:r>
        <w:rPr>
          <w:rStyle w:val="CharSectno"/>
        </w:rPr>
        <w:t>21A</w:t>
      </w:r>
      <w:r>
        <w:t>.</w:t>
      </w:r>
      <w:r>
        <w:tab/>
        <w:t>Breaches of s. 21</w:t>
      </w:r>
      <w:bookmarkEnd w:id="42"/>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lastRenderedPageBreak/>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No. 51 of 2004 s. 22.]</w:t>
      </w:r>
    </w:p>
    <w:p>
      <w:pPr>
        <w:pStyle w:val="Heading5"/>
      </w:pPr>
      <w:bookmarkStart w:id="43" w:name="_Toc98511399"/>
      <w:r>
        <w:rPr>
          <w:rStyle w:val="CharSectno"/>
        </w:rPr>
        <w:t>21B</w:t>
      </w:r>
      <w:r>
        <w:t>.</w:t>
      </w:r>
      <w:r>
        <w:tab/>
        <w:t>Duty of body corporate to which s. 23D, 23E or 23F applies</w:t>
      </w:r>
      <w:bookmarkEnd w:id="43"/>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No. 51 of 2004 s. 7.]</w:t>
      </w:r>
    </w:p>
    <w:p>
      <w:pPr>
        <w:pStyle w:val="Heading5"/>
      </w:pPr>
      <w:bookmarkStart w:id="44" w:name="_Toc98511400"/>
      <w:r>
        <w:rPr>
          <w:rStyle w:val="CharSectno"/>
        </w:rPr>
        <w:lastRenderedPageBreak/>
        <w:t>21C</w:t>
      </w:r>
      <w:r>
        <w:t>.</w:t>
      </w:r>
      <w:r>
        <w:tab/>
        <w:t>Breaches of s. 21B</w:t>
      </w:r>
      <w:bookmarkEnd w:id="44"/>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No. 51 of 2004 s. 7.]</w:t>
      </w:r>
    </w:p>
    <w:p>
      <w:pPr>
        <w:pStyle w:val="Heading5"/>
        <w:rPr>
          <w:snapToGrid w:val="0"/>
        </w:rPr>
      </w:pPr>
      <w:bookmarkStart w:id="45" w:name="_Toc98511401"/>
      <w:r>
        <w:rPr>
          <w:rStyle w:val="CharSectno"/>
        </w:rPr>
        <w:t>22</w:t>
      </w:r>
      <w:r>
        <w:rPr>
          <w:snapToGrid w:val="0"/>
        </w:rPr>
        <w:t>.</w:t>
      </w:r>
      <w:r>
        <w:rPr>
          <w:snapToGrid w:val="0"/>
        </w:rPr>
        <w:tab/>
        <w:t>Duties of persons who have control of workplaces</w:t>
      </w:r>
      <w:bookmarkEnd w:id="45"/>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lastRenderedPageBreak/>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No. 30 of 1995 s. 16; amended: No. 51 of 2004 s. 23, 80 and 103.]</w:t>
      </w:r>
    </w:p>
    <w:p>
      <w:pPr>
        <w:pStyle w:val="Heading5"/>
        <w:spacing w:before="180"/>
      </w:pPr>
      <w:bookmarkStart w:id="46" w:name="_Toc98511402"/>
      <w:r>
        <w:rPr>
          <w:rStyle w:val="CharSectno"/>
        </w:rPr>
        <w:t>22A</w:t>
      </w:r>
      <w:r>
        <w:t>.</w:t>
      </w:r>
      <w:r>
        <w:tab/>
        <w:t>Breaches of s. 22(1)</w:t>
      </w:r>
      <w:bookmarkEnd w:id="46"/>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lastRenderedPageBreak/>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No. 51 of 2004 s. 24.]</w:t>
      </w:r>
    </w:p>
    <w:p>
      <w:pPr>
        <w:pStyle w:val="Heading5"/>
        <w:rPr>
          <w:snapToGrid w:val="0"/>
        </w:rPr>
      </w:pPr>
      <w:bookmarkStart w:id="47" w:name="_Toc98511403"/>
      <w:r>
        <w:rPr>
          <w:rStyle w:val="CharSectno"/>
        </w:rPr>
        <w:t>23</w:t>
      </w:r>
      <w:r>
        <w:rPr>
          <w:snapToGrid w:val="0"/>
        </w:rPr>
        <w:t>.</w:t>
      </w:r>
      <w:r>
        <w:rPr>
          <w:snapToGrid w:val="0"/>
        </w:rPr>
        <w:tab/>
        <w:t>Duties of manufacturers etc.</w:t>
      </w:r>
      <w:bookmarkEnd w:id="47"/>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lastRenderedPageBreak/>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lastRenderedPageBreak/>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No. 43 of 1987 s. 13; amended: No. 30 of 1995 s. 17; No. 51 of 2004 s. 25, 81 and 103.]</w:t>
      </w:r>
    </w:p>
    <w:p>
      <w:pPr>
        <w:pStyle w:val="Heading5"/>
      </w:pPr>
      <w:bookmarkStart w:id="48" w:name="_Toc98511404"/>
      <w:r>
        <w:rPr>
          <w:rStyle w:val="CharSectno"/>
        </w:rPr>
        <w:t>23AA</w:t>
      </w:r>
      <w:r>
        <w:t>.</w:t>
      </w:r>
      <w:r>
        <w:tab/>
        <w:t>Breaches of s. 23</w:t>
      </w:r>
      <w:bookmarkEnd w:id="48"/>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No. 51 of 2004 s. 26.]</w:t>
      </w:r>
    </w:p>
    <w:p>
      <w:pPr>
        <w:pStyle w:val="Heading5"/>
        <w:spacing w:before="180"/>
        <w:rPr>
          <w:snapToGrid w:val="0"/>
        </w:rPr>
      </w:pPr>
      <w:bookmarkStart w:id="49" w:name="_Toc98511405"/>
      <w:r>
        <w:rPr>
          <w:rStyle w:val="CharSectno"/>
        </w:rPr>
        <w:lastRenderedPageBreak/>
        <w:t>23A</w:t>
      </w:r>
      <w:r>
        <w:rPr>
          <w:snapToGrid w:val="0"/>
        </w:rPr>
        <w:t xml:space="preserve">. </w:t>
      </w:r>
      <w:r>
        <w:rPr>
          <w:snapToGrid w:val="0"/>
        </w:rPr>
        <w:tab/>
        <w:t>Prohibited activities in prescribed areas</w:t>
      </w:r>
      <w:bookmarkEnd w:id="49"/>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No. 30 of 1995 s. 18; amended: No. 51 of 2004 s. 27.]</w:t>
      </w:r>
    </w:p>
    <w:p>
      <w:pPr>
        <w:pStyle w:val="Heading5"/>
        <w:spacing w:before="180"/>
      </w:pPr>
      <w:bookmarkStart w:id="50" w:name="_Toc98511406"/>
      <w:r>
        <w:rPr>
          <w:rStyle w:val="CharSectno"/>
        </w:rPr>
        <w:t>23B</w:t>
      </w:r>
      <w:r>
        <w:t>.</w:t>
      </w:r>
      <w:r>
        <w:tab/>
        <w:t>Breaches of s. 23A</w:t>
      </w:r>
      <w:bookmarkEnd w:id="50"/>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lastRenderedPageBreak/>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No. 51 of 2004 s. 28.]</w:t>
      </w:r>
    </w:p>
    <w:p>
      <w:pPr>
        <w:pStyle w:val="Heading3"/>
      </w:pPr>
      <w:bookmarkStart w:id="51" w:name="_Toc98510573"/>
      <w:bookmarkStart w:id="52" w:name="_Toc98511407"/>
      <w:r>
        <w:rPr>
          <w:rStyle w:val="CharDivNo"/>
        </w:rPr>
        <w:t>Division 3</w:t>
      </w:r>
      <w:r>
        <w:t> — </w:t>
      </w:r>
      <w:r>
        <w:rPr>
          <w:rStyle w:val="CharDivText"/>
        </w:rPr>
        <w:t>Certain workplace situations to be treated as employment</w:t>
      </w:r>
      <w:bookmarkEnd w:id="51"/>
      <w:bookmarkEnd w:id="52"/>
    </w:p>
    <w:p>
      <w:pPr>
        <w:pStyle w:val="Footnoteheading"/>
        <w:tabs>
          <w:tab w:val="left" w:pos="851"/>
        </w:tabs>
        <w:spacing w:before="100"/>
      </w:pPr>
      <w:r>
        <w:tab/>
        <w:t>[Heading inserted: No. 51 of 2004 s. 8.]</w:t>
      </w:r>
    </w:p>
    <w:p>
      <w:pPr>
        <w:pStyle w:val="Heading5"/>
      </w:pPr>
      <w:bookmarkStart w:id="53" w:name="_Toc98511408"/>
      <w:r>
        <w:rPr>
          <w:rStyle w:val="CharSectno"/>
        </w:rPr>
        <w:t>23C</w:t>
      </w:r>
      <w:r>
        <w:t>.</w:t>
      </w:r>
      <w:r>
        <w:tab/>
        <w:t>Terms used</w:t>
      </w:r>
      <w:bookmarkEnd w:id="53"/>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No. 51 of 2004 s. 8.]</w:t>
      </w:r>
    </w:p>
    <w:p>
      <w:pPr>
        <w:pStyle w:val="Heading5"/>
      </w:pPr>
      <w:bookmarkStart w:id="54" w:name="_Toc98511409"/>
      <w:r>
        <w:rPr>
          <w:rStyle w:val="CharSectno"/>
        </w:rPr>
        <w:t>23D</w:t>
      </w:r>
      <w:r>
        <w:t>.</w:t>
      </w:r>
      <w:r>
        <w:tab/>
        <w:t>Contract work arrangements</w:t>
      </w:r>
      <w:bookmarkEnd w:id="54"/>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lastRenderedPageBreak/>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lastRenderedPageBreak/>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No. 51 of 2004 s. 8; amended: No. 36 of 2009 s. 5.]</w:t>
      </w:r>
    </w:p>
    <w:p>
      <w:pPr>
        <w:pStyle w:val="Heading5"/>
      </w:pPr>
      <w:bookmarkStart w:id="55" w:name="_Toc98511410"/>
      <w:r>
        <w:rPr>
          <w:rStyle w:val="CharSectno"/>
        </w:rPr>
        <w:t>23E</w:t>
      </w:r>
      <w:r>
        <w:t>.</w:t>
      </w:r>
      <w:r>
        <w:tab/>
        <w:t>Labour arrangements in general</w:t>
      </w:r>
      <w:bookmarkEnd w:id="55"/>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lastRenderedPageBreak/>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No. 51 of 2004 s. 8; amended: No. 36 of 2009 s. 6.]</w:t>
      </w:r>
    </w:p>
    <w:p>
      <w:pPr>
        <w:pStyle w:val="Heading5"/>
      </w:pPr>
      <w:bookmarkStart w:id="56" w:name="_Toc98511411"/>
      <w:r>
        <w:rPr>
          <w:rStyle w:val="CharSectno"/>
        </w:rPr>
        <w:t>23F</w:t>
      </w:r>
      <w:r>
        <w:t>.</w:t>
      </w:r>
      <w:r>
        <w:tab/>
        <w:t>Labour hire arrangements</w:t>
      </w:r>
      <w:bookmarkEnd w:id="56"/>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lastRenderedPageBreak/>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lastRenderedPageBreak/>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No. 51 of 2004 s. 8; amended: No. 36 of 2009 s. 7.]</w:t>
      </w:r>
    </w:p>
    <w:p>
      <w:pPr>
        <w:pStyle w:val="Heading3"/>
      </w:pPr>
      <w:bookmarkStart w:id="57" w:name="_Toc98510578"/>
      <w:bookmarkStart w:id="58" w:name="_Toc98511412"/>
      <w:r>
        <w:rPr>
          <w:rStyle w:val="CharDivNo"/>
        </w:rPr>
        <w:t>Division 4</w:t>
      </w:r>
      <w:r>
        <w:t> — </w:t>
      </w:r>
      <w:r>
        <w:rPr>
          <w:rStyle w:val="CharDivText"/>
        </w:rPr>
        <w:t>Duty relating to certain employment accommodation</w:t>
      </w:r>
      <w:bookmarkEnd w:id="57"/>
      <w:bookmarkEnd w:id="58"/>
    </w:p>
    <w:p>
      <w:pPr>
        <w:pStyle w:val="Footnoteheading"/>
        <w:tabs>
          <w:tab w:val="left" w:pos="851"/>
        </w:tabs>
      </w:pPr>
      <w:r>
        <w:tab/>
        <w:t>[Heading inserted: No. 51 of 2004 s. 8.]</w:t>
      </w:r>
    </w:p>
    <w:p>
      <w:pPr>
        <w:pStyle w:val="Heading5"/>
      </w:pPr>
      <w:bookmarkStart w:id="59" w:name="_Toc98511413"/>
      <w:r>
        <w:rPr>
          <w:rStyle w:val="CharSectno"/>
        </w:rPr>
        <w:t>23G</w:t>
      </w:r>
      <w:r>
        <w:t>.</w:t>
      </w:r>
      <w:r>
        <w:tab/>
        <w:t>Duty of employer to maintain safe premises</w:t>
      </w:r>
      <w:bookmarkEnd w:id="59"/>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lastRenderedPageBreak/>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No. 51 of 2004 s. 8; amended: No. 38 of 2005 s. 15.]</w:t>
      </w:r>
    </w:p>
    <w:p>
      <w:pPr>
        <w:pStyle w:val="Heading5"/>
      </w:pPr>
      <w:bookmarkStart w:id="60" w:name="_Toc98511414"/>
      <w:r>
        <w:rPr>
          <w:rStyle w:val="CharSectno"/>
        </w:rPr>
        <w:t>23H</w:t>
      </w:r>
      <w:r>
        <w:t>.</w:t>
      </w:r>
      <w:r>
        <w:tab/>
        <w:t>Breaches of s. 23G</w:t>
      </w:r>
      <w:bookmarkEnd w:id="60"/>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lastRenderedPageBreak/>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No. 51 of 2004 s. 8.]</w:t>
      </w:r>
    </w:p>
    <w:p>
      <w:pPr>
        <w:pStyle w:val="Heading3"/>
        <w:keepLines/>
      </w:pPr>
      <w:bookmarkStart w:id="61" w:name="_Toc98510581"/>
      <w:bookmarkStart w:id="62" w:name="_Toc98511415"/>
      <w:r>
        <w:rPr>
          <w:rStyle w:val="CharDivNo"/>
        </w:rPr>
        <w:t>Division 5</w:t>
      </w:r>
      <w:r>
        <w:t> — </w:t>
      </w:r>
      <w:r>
        <w:rPr>
          <w:rStyle w:val="CharDivText"/>
        </w:rPr>
        <w:t>Other duties</w:t>
      </w:r>
      <w:bookmarkEnd w:id="61"/>
      <w:bookmarkEnd w:id="62"/>
    </w:p>
    <w:p>
      <w:pPr>
        <w:pStyle w:val="Footnoteheading"/>
        <w:keepNext/>
        <w:keepLines/>
        <w:tabs>
          <w:tab w:val="left" w:pos="851"/>
        </w:tabs>
      </w:pPr>
      <w:r>
        <w:tab/>
        <w:t>[Heading inserted: No. 51 of 2004 s. 8.]</w:t>
      </w:r>
    </w:p>
    <w:p>
      <w:pPr>
        <w:pStyle w:val="Heading5"/>
      </w:pPr>
      <w:bookmarkStart w:id="63" w:name="_Toc98511416"/>
      <w:r>
        <w:rPr>
          <w:rStyle w:val="CharSectno"/>
        </w:rPr>
        <w:t>23I</w:t>
      </w:r>
      <w:r>
        <w:t>.</w:t>
      </w:r>
      <w:r>
        <w:tab/>
        <w:t>Notification of deaths, injuries and diseases</w:t>
      </w:r>
      <w:bookmarkEnd w:id="63"/>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lastRenderedPageBreak/>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No. 51 of 2004 s. 8.]</w:t>
      </w:r>
    </w:p>
    <w:p>
      <w:pPr>
        <w:pStyle w:val="Heading5"/>
      </w:pPr>
      <w:bookmarkStart w:id="64" w:name="_Toc98511417"/>
      <w:r>
        <w:rPr>
          <w:rStyle w:val="CharSectno"/>
        </w:rPr>
        <w:lastRenderedPageBreak/>
        <w:t>23J</w:t>
      </w:r>
      <w:r>
        <w:t>.</w:t>
      </w:r>
      <w:r>
        <w:tab/>
        <w:t>Breaches of s. 23I</w:t>
      </w:r>
      <w:bookmarkEnd w:id="64"/>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No. 51 of 2004 s. 8.]</w:t>
      </w:r>
    </w:p>
    <w:p>
      <w:pPr>
        <w:pStyle w:val="Heading5"/>
      </w:pPr>
      <w:bookmarkStart w:id="65" w:name="_Toc98511418"/>
      <w:r>
        <w:rPr>
          <w:rStyle w:val="CharSectno"/>
        </w:rPr>
        <w:t>23K</w:t>
      </w:r>
      <w:r>
        <w:t>.</w:t>
      </w:r>
      <w:r>
        <w:tab/>
        <w:t>Duty to inform employee who reports hazard or injury</w:t>
      </w:r>
      <w:bookmarkEnd w:id="65"/>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No. 51 of 2004 s. 8.]</w:t>
      </w:r>
    </w:p>
    <w:p>
      <w:pPr>
        <w:pStyle w:val="Heading5"/>
      </w:pPr>
      <w:bookmarkStart w:id="66" w:name="_Toc98511419"/>
      <w:r>
        <w:rPr>
          <w:rStyle w:val="CharSectno"/>
        </w:rPr>
        <w:t>23L</w:t>
      </w:r>
      <w:r>
        <w:t>.</w:t>
      </w:r>
      <w:r>
        <w:tab/>
        <w:t>Notification of hazard to person having control of workplace</w:t>
      </w:r>
      <w:bookmarkEnd w:id="66"/>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lastRenderedPageBreak/>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No. 51 of 2004 s. 8.]</w:t>
      </w:r>
    </w:p>
    <w:p>
      <w:pPr>
        <w:pStyle w:val="Heading3"/>
      </w:pPr>
      <w:bookmarkStart w:id="67" w:name="_Toc98510586"/>
      <w:bookmarkStart w:id="68" w:name="_Toc98511420"/>
      <w:r>
        <w:rPr>
          <w:rStyle w:val="CharDivNo"/>
        </w:rPr>
        <w:t>Division 6</w:t>
      </w:r>
      <w:r>
        <w:t> — </w:t>
      </w:r>
      <w:r>
        <w:rPr>
          <w:rStyle w:val="CharDivText"/>
        </w:rPr>
        <w:t>Resolution of workplace issues, and refusal to work on grounds of risk</w:t>
      </w:r>
      <w:bookmarkEnd w:id="67"/>
      <w:bookmarkEnd w:id="68"/>
    </w:p>
    <w:p>
      <w:pPr>
        <w:pStyle w:val="Footnoteheading"/>
        <w:tabs>
          <w:tab w:val="left" w:pos="851"/>
        </w:tabs>
      </w:pPr>
      <w:r>
        <w:tab/>
        <w:t>[Heading inserted: No. 51 of 2004 s. 8.]</w:t>
      </w:r>
    </w:p>
    <w:p>
      <w:pPr>
        <w:pStyle w:val="Heading5"/>
        <w:spacing w:before="200"/>
        <w:rPr>
          <w:snapToGrid w:val="0"/>
        </w:rPr>
      </w:pPr>
      <w:bookmarkStart w:id="69" w:name="_Toc98511421"/>
      <w:r>
        <w:rPr>
          <w:rStyle w:val="CharSectno"/>
        </w:rPr>
        <w:t>24</w:t>
      </w:r>
      <w:r>
        <w:rPr>
          <w:snapToGrid w:val="0"/>
        </w:rPr>
        <w:t>.</w:t>
      </w:r>
      <w:r>
        <w:rPr>
          <w:snapToGrid w:val="0"/>
        </w:rPr>
        <w:tab/>
        <w:t>Resolution of issues at workplace</w:t>
      </w:r>
      <w:bookmarkEnd w:id="69"/>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lastRenderedPageBreak/>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No. 43 of 1987 s. 13; amended: No. 30 of 1995 s. 47; No. 51 of 2004 s. 82.]</w:t>
      </w:r>
    </w:p>
    <w:p>
      <w:pPr>
        <w:pStyle w:val="Heading5"/>
        <w:rPr>
          <w:snapToGrid w:val="0"/>
        </w:rPr>
      </w:pPr>
      <w:bookmarkStart w:id="70" w:name="_Toc98511422"/>
      <w:r>
        <w:rPr>
          <w:rStyle w:val="CharSectno"/>
        </w:rPr>
        <w:t>25</w:t>
      </w:r>
      <w:r>
        <w:rPr>
          <w:snapToGrid w:val="0"/>
        </w:rPr>
        <w:t>.</w:t>
      </w:r>
      <w:r>
        <w:rPr>
          <w:snapToGrid w:val="0"/>
        </w:rPr>
        <w:tab/>
        <w:t>Inspector may be notified where issues unresolved</w:t>
      </w:r>
      <w:bookmarkEnd w:id="70"/>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No. 43 of 1987 s. 13; amended: No. 30 of 1995 s. 19; No. 51 of 2004 s. 102(1).]</w:t>
      </w:r>
    </w:p>
    <w:p>
      <w:pPr>
        <w:pStyle w:val="Heading5"/>
        <w:spacing w:before="200"/>
        <w:rPr>
          <w:snapToGrid w:val="0"/>
        </w:rPr>
      </w:pPr>
      <w:bookmarkStart w:id="71" w:name="_Toc98511423"/>
      <w:r>
        <w:rPr>
          <w:rStyle w:val="CharSectno"/>
        </w:rPr>
        <w:lastRenderedPageBreak/>
        <w:t>26</w:t>
      </w:r>
      <w:r>
        <w:rPr>
          <w:snapToGrid w:val="0"/>
        </w:rPr>
        <w:t>.</w:t>
      </w:r>
      <w:r>
        <w:rPr>
          <w:snapToGrid w:val="0"/>
        </w:rPr>
        <w:tab/>
        <w:t>Refusal by employees to work in certain cases</w:t>
      </w:r>
      <w:bookmarkEnd w:id="71"/>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No. 43 of 1987 s. 13; amended: No. 30 of 1995 s. 20 and 47; No. 51 of 2004 s. 102.]</w:t>
      </w:r>
    </w:p>
    <w:p>
      <w:pPr>
        <w:pStyle w:val="Heading5"/>
        <w:spacing w:before="180"/>
        <w:rPr>
          <w:snapToGrid w:val="0"/>
        </w:rPr>
      </w:pPr>
      <w:bookmarkStart w:id="72" w:name="_Toc98511424"/>
      <w:r>
        <w:rPr>
          <w:rStyle w:val="CharSectno"/>
        </w:rPr>
        <w:lastRenderedPageBreak/>
        <w:t>27</w:t>
      </w:r>
      <w:r>
        <w:rPr>
          <w:snapToGrid w:val="0"/>
        </w:rPr>
        <w:t>.</w:t>
      </w:r>
      <w:r>
        <w:rPr>
          <w:snapToGrid w:val="0"/>
        </w:rPr>
        <w:tab/>
        <w:t>Assignment of other work</w:t>
      </w:r>
      <w:bookmarkEnd w:id="72"/>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No. 43 of 1987 s. 13; amended: No. 51 of 2004 s. 83 and 102(2).]</w:t>
      </w:r>
    </w:p>
    <w:p>
      <w:pPr>
        <w:pStyle w:val="Heading5"/>
        <w:spacing w:before="180"/>
        <w:rPr>
          <w:snapToGrid w:val="0"/>
        </w:rPr>
      </w:pPr>
      <w:bookmarkStart w:id="73" w:name="_Toc98511425"/>
      <w:r>
        <w:rPr>
          <w:rStyle w:val="CharSectno"/>
        </w:rPr>
        <w:t>28</w:t>
      </w:r>
      <w:r>
        <w:rPr>
          <w:snapToGrid w:val="0"/>
        </w:rPr>
        <w:t>.</w:t>
      </w:r>
      <w:r>
        <w:rPr>
          <w:snapToGrid w:val="0"/>
        </w:rPr>
        <w:tab/>
        <w:t>Entitlements to continue</w:t>
      </w:r>
      <w:bookmarkEnd w:id="73"/>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No. 43 of 1987 s. 13; amended: No. 30 of 1995 s. 21 and 47; No. 51 of 2004 s. 69(1), 84, 102(1) and (2).]</w:t>
      </w:r>
    </w:p>
    <w:p>
      <w:pPr>
        <w:pStyle w:val="Heading5"/>
        <w:rPr>
          <w:snapToGrid w:val="0"/>
        </w:rPr>
      </w:pPr>
      <w:bookmarkStart w:id="74" w:name="_Toc98511426"/>
      <w:r>
        <w:rPr>
          <w:rStyle w:val="CharSectno"/>
        </w:rPr>
        <w:t>28A</w:t>
      </w:r>
      <w:r>
        <w:rPr>
          <w:snapToGrid w:val="0"/>
        </w:rPr>
        <w:t xml:space="preserve">. </w:t>
      </w:r>
      <w:r>
        <w:rPr>
          <w:snapToGrid w:val="0"/>
        </w:rPr>
        <w:tab/>
        <w:t>Offences — refusal to work</w:t>
      </w:r>
      <w:bookmarkEnd w:id="74"/>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lastRenderedPageBreak/>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No. 30 of 1995 s. 22; amended: No. 51 of 2004 s. 103.]</w:t>
      </w:r>
    </w:p>
    <w:p>
      <w:pPr>
        <w:pStyle w:val="Heading2"/>
      </w:pPr>
      <w:bookmarkStart w:id="75" w:name="_Toc98510593"/>
      <w:bookmarkStart w:id="76" w:name="_Toc98511427"/>
      <w:r>
        <w:rPr>
          <w:rStyle w:val="CharPartNo"/>
        </w:rPr>
        <w:lastRenderedPageBreak/>
        <w:t>Part IV</w:t>
      </w:r>
      <w:r>
        <w:t> — </w:t>
      </w:r>
      <w:r>
        <w:rPr>
          <w:rStyle w:val="CharPartText"/>
        </w:rPr>
        <w:t>Safety and health representatives and committees</w:t>
      </w:r>
      <w:bookmarkEnd w:id="75"/>
      <w:bookmarkEnd w:id="76"/>
    </w:p>
    <w:p>
      <w:pPr>
        <w:pStyle w:val="Footnoteheading"/>
        <w:ind w:left="910" w:hanging="910"/>
      </w:pPr>
      <w:r>
        <w:tab/>
        <w:t>[Heading inserted: No. 43 of 1987 s. 13; amended: No. 30 of 1995 s. 47.]</w:t>
      </w:r>
    </w:p>
    <w:p>
      <w:pPr>
        <w:pStyle w:val="Heading3"/>
      </w:pPr>
      <w:bookmarkStart w:id="77" w:name="_Toc98510594"/>
      <w:bookmarkStart w:id="78" w:name="_Toc98511428"/>
      <w:r>
        <w:rPr>
          <w:rStyle w:val="CharDivNo"/>
        </w:rPr>
        <w:t>Division 1</w:t>
      </w:r>
      <w:r>
        <w:t> — </w:t>
      </w:r>
      <w:r>
        <w:rPr>
          <w:rStyle w:val="CharDivText"/>
        </w:rPr>
        <w:t>Safety and health representatives</w:t>
      </w:r>
      <w:bookmarkEnd w:id="77"/>
      <w:bookmarkEnd w:id="78"/>
    </w:p>
    <w:p>
      <w:pPr>
        <w:pStyle w:val="Footnoteheading"/>
        <w:ind w:left="910" w:hanging="910"/>
      </w:pPr>
      <w:r>
        <w:tab/>
        <w:t>[Heading inserted: No. 51 of 2004 s. 39.]</w:t>
      </w:r>
    </w:p>
    <w:p>
      <w:pPr>
        <w:pStyle w:val="Heading5"/>
        <w:rPr>
          <w:snapToGrid w:val="0"/>
          <w:spacing w:val="-2"/>
        </w:rPr>
      </w:pPr>
      <w:bookmarkStart w:id="79" w:name="_Toc98511429"/>
      <w:r>
        <w:rPr>
          <w:rStyle w:val="CharSectno"/>
          <w:spacing w:val="-2"/>
        </w:rPr>
        <w:t>29</w:t>
      </w:r>
      <w:r>
        <w:rPr>
          <w:snapToGrid w:val="0"/>
          <w:spacing w:val="-2"/>
        </w:rPr>
        <w:t>.</w:t>
      </w:r>
      <w:r>
        <w:rPr>
          <w:snapToGrid w:val="0"/>
          <w:spacing w:val="-2"/>
        </w:rPr>
        <w:tab/>
        <w:t>Notices requiring election of safety and health representatives</w:t>
      </w:r>
      <w:bookmarkEnd w:id="79"/>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No. 43 of 1987 s. 13; amended: No. 30 of 1995 s. 47; No. 51 of 2004 s. 40.]</w:t>
      </w:r>
    </w:p>
    <w:p>
      <w:pPr>
        <w:pStyle w:val="Heading5"/>
        <w:rPr>
          <w:snapToGrid w:val="0"/>
        </w:rPr>
      </w:pPr>
      <w:bookmarkStart w:id="80" w:name="_Toc98511430"/>
      <w:r>
        <w:rPr>
          <w:rStyle w:val="CharSectno"/>
        </w:rPr>
        <w:t>30</w:t>
      </w:r>
      <w:r>
        <w:rPr>
          <w:snapToGrid w:val="0"/>
        </w:rPr>
        <w:t>.</w:t>
      </w:r>
      <w:r>
        <w:rPr>
          <w:snapToGrid w:val="0"/>
        </w:rPr>
        <w:tab/>
        <w:t>Consultation on matters relevant to elections</w:t>
      </w:r>
      <w:bookmarkEnd w:id="80"/>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lastRenderedPageBreak/>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lastRenderedPageBreak/>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No. 43 of 1987 s. 13; amended: No. 30 of 1995 s. 23 and 47; No. 51 of 2004 s. 41, 69(1) and 85.]</w:t>
      </w:r>
    </w:p>
    <w:p>
      <w:pPr>
        <w:pStyle w:val="Heading5"/>
      </w:pPr>
      <w:bookmarkStart w:id="81" w:name="_Toc98511431"/>
      <w:r>
        <w:rPr>
          <w:rStyle w:val="CharSectno"/>
        </w:rPr>
        <w:t>30A</w:t>
      </w:r>
      <w:r>
        <w:t>.</w:t>
      </w:r>
      <w:r>
        <w:tab/>
        <w:t>Election scheme may be established</w:t>
      </w:r>
      <w:bookmarkEnd w:id="8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lastRenderedPageBreak/>
        <w:tab/>
        <w:t>(b)</w:t>
      </w:r>
      <w:r>
        <w:tab/>
        <w:t>the determination of the Tribunal under subsection (4).</w:t>
      </w:r>
    </w:p>
    <w:p>
      <w:pPr>
        <w:pStyle w:val="Footnotesection"/>
      </w:pPr>
      <w:r>
        <w:tab/>
        <w:t>[Section 30A inserted: No. 51 of 2004 s. 42.]</w:t>
      </w:r>
    </w:p>
    <w:p>
      <w:pPr>
        <w:pStyle w:val="Heading5"/>
      </w:pPr>
      <w:bookmarkStart w:id="82" w:name="_Toc98511432"/>
      <w:r>
        <w:rPr>
          <w:rStyle w:val="CharSectno"/>
        </w:rPr>
        <w:t>30B</w:t>
      </w:r>
      <w:r>
        <w:t>.</w:t>
      </w:r>
      <w:r>
        <w:tab/>
        <w:t>What may be included in a scheme</w:t>
      </w:r>
      <w:bookmarkEnd w:id="82"/>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lastRenderedPageBreak/>
        <w:tab/>
        <w:t>(b)</w:t>
      </w:r>
      <w:r>
        <w:tab/>
        <w:t>the manner in which an amendment may be made to the scheme after it has been determined.</w:t>
      </w:r>
    </w:p>
    <w:p>
      <w:pPr>
        <w:pStyle w:val="Footnotesection"/>
      </w:pPr>
      <w:r>
        <w:tab/>
        <w:t>[Section 30B inserted: No. 51 of 2004 s. 42.]</w:t>
      </w:r>
    </w:p>
    <w:p>
      <w:pPr>
        <w:pStyle w:val="Heading5"/>
      </w:pPr>
      <w:bookmarkStart w:id="83" w:name="_Toc98511433"/>
      <w:r>
        <w:rPr>
          <w:rStyle w:val="CharSectno"/>
        </w:rPr>
        <w:t>30C</w:t>
      </w:r>
      <w:r>
        <w:t>.</w:t>
      </w:r>
      <w:r>
        <w:tab/>
        <w:t>Appointment of further delegates may be required</w:t>
      </w:r>
      <w:bookmarkEnd w:id="83"/>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No. 51 of 2004 s. 42.]</w:t>
      </w:r>
    </w:p>
    <w:p>
      <w:pPr>
        <w:pStyle w:val="Heading5"/>
        <w:rPr>
          <w:snapToGrid w:val="0"/>
        </w:rPr>
      </w:pPr>
      <w:bookmarkStart w:id="84" w:name="_Toc98511434"/>
      <w:r>
        <w:rPr>
          <w:rStyle w:val="CharSectno"/>
        </w:rPr>
        <w:t>31</w:t>
      </w:r>
      <w:r>
        <w:rPr>
          <w:snapToGrid w:val="0"/>
        </w:rPr>
        <w:t>.</w:t>
      </w:r>
      <w:r>
        <w:rPr>
          <w:snapToGrid w:val="0"/>
        </w:rPr>
        <w:tab/>
        <w:t>Election of safety and health representatives</w:t>
      </w:r>
      <w:bookmarkEnd w:id="84"/>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lastRenderedPageBreak/>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lastRenderedPageBreak/>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No. 43 of 1987 s. 13; amended: No. 30 of 1995 s. 24 and 47; No. 51 of 2004 s. 43, 69(1) and 102(1).]</w:t>
      </w:r>
    </w:p>
    <w:p>
      <w:pPr>
        <w:pStyle w:val="Heading5"/>
        <w:spacing w:before="180"/>
        <w:rPr>
          <w:snapToGrid w:val="0"/>
        </w:rPr>
      </w:pPr>
      <w:bookmarkStart w:id="85" w:name="_Toc98511435"/>
      <w:r>
        <w:rPr>
          <w:rStyle w:val="CharSectno"/>
        </w:rPr>
        <w:t>32</w:t>
      </w:r>
      <w:r>
        <w:rPr>
          <w:snapToGrid w:val="0"/>
        </w:rPr>
        <w:t>.</w:t>
      </w:r>
      <w:r>
        <w:rPr>
          <w:snapToGrid w:val="0"/>
        </w:rPr>
        <w:tab/>
        <w:t>Terms of office of representatives</w:t>
      </w:r>
      <w:bookmarkEnd w:id="85"/>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No. 43 of 1987 s. 13; amended: No. 30 of 1995 s. 47; No. 51 of 2004 s. 45, 86 and 102(1).]</w:t>
      </w:r>
    </w:p>
    <w:p>
      <w:pPr>
        <w:pStyle w:val="Heading5"/>
        <w:spacing w:before="180"/>
        <w:rPr>
          <w:snapToGrid w:val="0"/>
        </w:rPr>
      </w:pPr>
      <w:bookmarkStart w:id="86" w:name="_Toc98511436"/>
      <w:r>
        <w:rPr>
          <w:rStyle w:val="CharSectno"/>
        </w:rPr>
        <w:t>33</w:t>
      </w:r>
      <w:r>
        <w:rPr>
          <w:snapToGrid w:val="0"/>
        </w:rPr>
        <w:t>.</w:t>
      </w:r>
      <w:r>
        <w:rPr>
          <w:snapToGrid w:val="0"/>
        </w:rPr>
        <w:tab/>
        <w:t>Functions of safety and health representatives</w:t>
      </w:r>
      <w:bookmarkEnd w:id="86"/>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lastRenderedPageBreak/>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w:t>
      </w:r>
      <w:r>
        <w:rPr>
          <w:snapToGrid w:val="0"/>
        </w:rPr>
        <w:lastRenderedPageBreak/>
        <w:t>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No. 43 of 1987 s. 13; amended: No. 30 of 1995 s. 25 and 47; No. 51 of 2004 s. 46, 87, 102(1) and (2); No. 36 of 2009 s. 8.]</w:t>
      </w:r>
    </w:p>
    <w:p>
      <w:pPr>
        <w:pStyle w:val="Heading5"/>
        <w:rPr>
          <w:snapToGrid w:val="0"/>
        </w:rPr>
      </w:pPr>
      <w:bookmarkStart w:id="87" w:name="_Toc98511437"/>
      <w:r>
        <w:rPr>
          <w:rStyle w:val="CharSectno"/>
        </w:rPr>
        <w:t>34</w:t>
      </w:r>
      <w:r>
        <w:rPr>
          <w:snapToGrid w:val="0"/>
        </w:rPr>
        <w:t>.</w:t>
      </w:r>
      <w:r>
        <w:rPr>
          <w:snapToGrid w:val="0"/>
        </w:rPr>
        <w:tab/>
        <w:t>Disqualification of safety and health representatives</w:t>
      </w:r>
      <w:bookmarkEnd w:id="87"/>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lastRenderedPageBreak/>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No. 43 of 1987 s. 13; amended: No. 30 of 1995 s. 26 and 47; No. 51 of 2004 s. 47, 69(1), (2), 88 and 102.]</w:t>
      </w:r>
    </w:p>
    <w:p>
      <w:pPr>
        <w:pStyle w:val="Heading5"/>
        <w:rPr>
          <w:snapToGrid w:val="0"/>
        </w:rPr>
      </w:pPr>
      <w:bookmarkStart w:id="88" w:name="_Toc98511438"/>
      <w:r>
        <w:rPr>
          <w:rStyle w:val="CharSectno"/>
        </w:rPr>
        <w:lastRenderedPageBreak/>
        <w:t>35</w:t>
      </w:r>
      <w:r>
        <w:rPr>
          <w:snapToGrid w:val="0"/>
        </w:rPr>
        <w:t>.</w:t>
      </w:r>
      <w:r>
        <w:rPr>
          <w:snapToGrid w:val="0"/>
        </w:rPr>
        <w:tab/>
        <w:t>Duties of employers in relation to safety and health representatives</w:t>
      </w:r>
      <w:bookmarkEnd w:id="88"/>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where any accident or dangerous occurrence takes place in a workplace where employees who are represented by a safety and health representative work, ensure that the </w:t>
      </w:r>
      <w:r>
        <w:rPr>
          <w:snapToGrid w:val="0"/>
        </w:rPr>
        <w:lastRenderedPageBreak/>
        <w:t>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lastRenderedPageBreak/>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No. 43 of 1987 s. 13; amended: No. 30 of 1995 s. 27 and 47; No. 51 of 2004 s. 48, 69(1) and (2), 89 and 102(2); No. 36 of 2009 s. 9.]</w:t>
      </w:r>
    </w:p>
    <w:p>
      <w:pPr>
        <w:pStyle w:val="Heading5"/>
      </w:pPr>
      <w:bookmarkStart w:id="89" w:name="_Toc98511439"/>
      <w:r>
        <w:rPr>
          <w:rStyle w:val="CharSectno"/>
        </w:rPr>
        <w:t>35A</w:t>
      </w:r>
      <w:r>
        <w:t>.</w:t>
      </w:r>
      <w:r>
        <w:tab/>
        <w:t>Discrimination against safety and health representative in relation to employment</w:t>
      </w:r>
      <w:bookmarkEnd w:id="89"/>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lastRenderedPageBreak/>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No. 51 of 2004 s. 49.]</w:t>
      </w:r>
    </w:p>
    <w:p>
      <w:pPr>
        <w:pStyle w:val="Heading5"/>
      </w:pPr>
      <w:bookmarkStart w:id="90" w:name="_Toc98511440"/>
      <w:r>
        <w:rPr>
          <w:rStyle w:val="CharSectno"/>
        </w:rPr>
        <w:t>35B</w:t>
      </w:r>
      <w:r>
        <w:t>.</w:t>
      </w:r>
      <w:r>
        <w:tab/>
        <w:t>Discrimination against safety and health representative in relation to contract for services</w:t>
      </w:r>
      <w:bookmarkEnd w:id="9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lastRenderedPageBreak/>
        <w:tab/>
        <w:t>(d)</w:t>
      </w:r>
      <w:r>
        <w:tab/>
        <w:t>is performing or has performed any function as a safety and health representative.</w:t>
      </w:r>
    </w:p>
    <w:p>
      <w:pPr>
        <w:pStyle w:val="Subsection"/>
      </w:pPr>
      <w:r>
        <w:tab/>
        <w:t>(3)</w:t>
      </w:r>
      <w:r>
        <w:tab/>
        <w:t>A principal that contravenes subsection (2) commits an offence.</w:t>
      </w:r>
    </w:p>
    <w:p>
      <w:pPr>
        <w:pStyle w:val="Footnotesection"/>
      </w:pPr>
      <w:r>
        <w:tab/>
        <w:t>[Section 35B inserted: No. 51 of 2004 s. 49.]</w:t>
      </w:r>
    </w:p>
    <w:p>
      <w:pPr>
        <w:pStyle w:val="Heading5"/>
      </w:pPr>
      <w:bookmarkStart w:id="91" w:name="_Toc98511441"/>
      <w:r>
        <w:rPr>
          <w:rStyle w:val="CharSectno"/>
        </w:rPr>
        <w:t>35C</w:t>
      </w:r>
      <w:r>
        <w:t>.</w:t>
      </w:r>
      <w:r>
        <w:tab/>
        <w:t>Claims under s. 35A or 35B may be referred to Tribunal</w:t>
      </w:r>
      <w:bookmarkEnd w:id="91"/>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No. 51 of 2004 s. 49.]</w:t>
      </w:r>
    </w:p>
    <w:p>
      <w:pPr>
        <w:pStyle w:val="Heading5"/>
      </w:pPr>
      <w:bookmarkStart w:id="92" w:name="_Toc98511442"/>
      <w:r>
        <w:rPr>
          <w:rStyle w:val="CharSectno"/>
        </w:rPr>
        <w:lastRenderedPageBreak/>
        <w:t>35D</w:t>
      </w:r>
      <w:r>
        <w:t>.</w:t>
      </w:r>
      <w:r>
        <w:tab/>
        <w:t>Remedies that Tribunal may grant</w:t>
      </w:r>
      <w:bookmarkEnd w:id="92"/>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No. 51 of 2004 s. 49.]</w:t>
      </w:r>
    </w:p>
    <w:p>
      <w:pPr>
        <w:pStyle w:val="Heading3"/>
      </w:pPr>
      <w:bookmarkStart w:id="93" w:name="_Toc98510609"/>
      <w:bookmarkStart w:id="94" w:name="_Toc98511443"/>
      <w:r>
        <w:rPr>
          <w:rStyle w:val="CharDivNo"/>
        </w:rPr>
        <w:lastRenderedPageBreak/>
        <w:t>Division 2</w:t>
      </w:r>
      <w:r>
        <w:t> — </w:t>
      </w:r>
      <w:r>
        <w:rPr>
          <w:rStyle w:val="CharDivText"/>
        </w:rPr>
        <w:t>Safety and health committees</w:t>
      </w:r>
      <w:bookmarkEnd w:id="93"/>
      <w:bookmarkEnd w:id="94"/>
    </w:p>
    <w:p>
      <w:pPr>
        <w:pStyle w:val="Footnoteheading"/>
        <w:keepNext/>
      </w:pPr>
      <w:r>
        <w:tab/>
        <w:t>[Heading inserted: No. 51 of 2004 s. 50.]</w:t>
      </w:r>
    </w:p>
    <w:p>
      <w:pPr>
        <w:pStyle w:val="Heading5"/>
      </w:pPr>
      <w:bookmarkStart w:id="95" w:name="_Toc98511444"/>
      <w:r>
        <w:rPr>
          <w:rStyle w:val="CharSectno"/>
        </w:rPr>
        <w:t>36</w:t>
      </w:r>
      <w:r>
        <w:t>.</w:t>
      </w:r>
      <w:r>
        <w:tab/>
        <w:t>Terms used</w:t>
      </w:r>
      <w:bookmarkEnd w:id="95"/>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No. 51 of 2004 s. 50.]</w:t>
      </w:r>
    </w:p>
    <w:p>
      <w:pPr>
        <w:pStyle w:val="Heading5"/>
      </w:pPr>
      <w:bookmarkStart w:id="96" w:name="_Toc98511445"/>
      <w:r>
        <w:rPr>
          <w:rStyle w:val="CharSectno"/>
        </w:rPr>
        <w:lastRenderedPageBreak/>
        <w:t>37</w:t>
      </w:r>
      <w:r>
        <w:t>.</w:t>
      </w:r>
      <w:r>
        <w:tab/>
        <w:t>Employees to appoint representatives</w:t>
      </w:r>
      <w:bookmarkEnd w:id="96"/>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No. 51 of 2004 s. 50.]</w:t>
      </w:r>
    </w:p>
    <w:p>
      <w:pPr>
        <w:pStyle w:val="Heading5"/>
      </w:pPr>
      <w:bookmarkStart w:id="97" w:name="_Toc98511446"/>
      <w:r>
        <w:rPr>
          <w:rStyle w:val="CharSectno"/>
        </w:rPr>
        <w:t>38</w:t>
      </w:r>
      <w:r>
        <w:t>.</w:t>
      </w:r>
      <w:r>
        <w:tab/>
        <w:t>When employer must establish safety and health committee</w:t>
      </w:r>
      <w:bookmarkEnd w:id="97"/>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No. 51 of 2004 s. 50.]</w:t>
      </w:r>
    </w:p>
    <w:p>
      <w:pPr>
        <w:pStyle w:val="Heading5"/>
      </w:pPr>
      <w:bookmarkStart w:id="98" w:name="_Toc98511447"/>
      <w:r>
        <w:rPr>
          <w:rStyle w:val="CharSectno"/>
        </w:rPr>
        <w:t>39</w:t>
      </w:r>
      <w:r>
        <w:t>.</w:t>
      </w:r>
      <w:r>
        <w:tab/>
        <w:t>Request for establishment of safety and health committee</w:t>
      </w:r>
      <w:bookmarkEnd w:id="98"/>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lastRenderedPageBreak/>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No. 51 of 2004 s. 50.]</w:t>
      </w:r>
    </w:p>
    <w:p>
      <w:pPr>
        <w:pStyle w:val="Heading5"/>
      </w:pPr>
      <w:bookmarkStart w:id="99" w:name="_Toc98511448"/>
      <w:r>
        <w:rPr>
          <w:rStyle w:val="CharSectno"/>
        </w:rPr>
        <w:t>39A</w:t>
      </w:r>
      <w:r>
        <w:t>.</w:t>
      </w:r>
      <w:r>
        <w:tab/>
        <w:t>Commissioner may decide if s. 39 request should be obeyed</w:t>
      </w:r>
      <w:bookmarkEnd w:id="99"/>
    </w:p>
    <w:p>
      <w:pPr>
        <w:pStyle w:val="Subsection"/>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pPr>
      <w:r>
        <w:tab/>
        <w:t>(2)</w:t>
      </w:r>
      <w: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pPr>
      <w:r>
        <w:tab/>
        <w:t>(3)</w:t>
      </w:r>
      <w: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lastRenderedPageBreak/>
        <w:tab/>
        <w:t>(b)</w:t>
      </w:r>
      <w:r>
        <w:rPr>
          <w:snapToGrid w:val="0"/>
        </w:rPr>
        <w:tab/>
        <w:t>notify the employer and the employee concerned of the decision.</w:t>
      </w:r>
    </w:p>
    <w:p>
      <w:pPr>
        <w:pStyle w:val="Footnotesection"/>
      </w:pPr>
      <w:r>
        <w:tab/>
        <w:t>[Section 39A inserted: No. 51 of 2004 s. 50.]</w:t>
      </w:r>
    </w:p>
    <w:p>
      <w:pPr>
        <w:pStyle w:val="Heading5"/>
        <w:spacing w:before="180"/>
      </w:pPr>
      <w:bookmarkStart w:id="100" w:name="_Toc98511449"/>
      <w:r>
        <w:rPr>
          <w:rStyle w:val="CharSectno"/>
        </w:rPr>
        <w:t>39B</w:t>
      </w:r>
      <w:r>
        <w:t>.</w:t>
      </w:r>
      <w:r>
        <w:tab/>
        <w:t>Employer may establish safety and health committee</w:t>
      </w:r>
      <w:bookmarkEnd w:id="100"/>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No. 51 of 2004 s. 50.]</w:t>
      </w:r>
    </w:p>
    <w:p>
      <w:pPr>
        <w:pStyle w:val="Heading5"/>
        <w:spacing w:before="180"/>
      </w:pPr>
      <w:bookmarkStart w:id="101" w:name="_Toc98511450"/>
      <w:r>
        <w:rPr>
          <w:rStyle w:val="CharSectno"/>
        </w:rPr>
        <w:t>39C</w:t>
      </w:r>
      <w:r>
        <w:t>.</w:t>
      </w:r>
      <w:r>
        <w:tab/>
        <w:t>Safety and health committee, agreement as to members etc.</w:t>
      </w:r>
      <w:bookmarkEnd w:id="101"/>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lastRenderedPageBreak/>
        <w:tab/>
        <w:t>(b)</w:t>
      </w:r>
      <w:r>
        <w:tab/>
        <w:t>an employee who works at the workplace and holds office as a member representing other employees.</w:t>
      </w:r>
    </w:p>
    <w:p>
      <w:pPr>
        <w:pStyle w:val="Footnotesection"/>
      </w:pPr>
      <w:r>
        <w:tab/>
        <w:t>[Section 39C inserted: No. 51 of 2004 s. 50.]</w:t>
      </w:r>
    </w:p>
    <w:p>
      <w:pPr>
        <w:pStyle w:val="Heading5"/>
      </w:pPr>
      <w:bookmarkStart w:id="102" w:name="_Toc98511451"/>
      <w:r>
        <w:rPr>
          <w:rStyle w:val="CharSectno"/>
        </w:rPr>
        <w:t>39D</w:t>
      </w:r>
      <w:r>
        <w:t>.</w:t>
      </w:r>
      <w:r>
        <w:tab/>
        <w:t>Commissioner may determine matters for s. 39C agreement</w:t>
      </w:r>
      <w:bookmarkEnd w:id="102"/>
    </w:p>
    <w:p>
      <w:pPr>
        <w:pStyle w:val="Subsection"/>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No. 51 of 2004 s. 50.]</w:t>
      </w:r>
    </w:p>
    <w:p>
      <w:pPr>
        <w:pStyle w:val="Heading5"/>
      </w:pPr>
      <w:bookmarkStart w:id="103" w:name="_Toc98511452"/>
      <w:r>
        <w:rPr>
          <w:rStyle w:val="CharSectno"/>
        </w:rPr>
        <w:lastRenderedPageBreak/>
        <w:t>39E</w:t>
      </w:r>
      <w:r>
        <w:t>.</w:t>
      </w:r>
      <w:r>
        <w:tab/>
        <w:t>Functions of committee may cover more than one workplace</w:t>
      </w:r>
      <w:bookmarkEnd w:id="103"/>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lastRenderedPageBreak/>
        <w:tab/>
        <w:t>(4)</w:t>
      </w:r>
      <w:r>
        <w:tab/>
        <w:t>The composition of any subcommittee referred to in subsection (3) is to be determined by the parties referred to in subsection (2).</w:t>
      </w:r>
    </w:p>
    <w:p>
      <w:pPr>
        <w:pStyle w:val="Footnotesection"/>
      </w:pPr>
      <w:r>
        <w:tab/>
        <w:t>[Section 39E inserted: No. 51 of 2004 s. 50.]</w:t>
      </w:r>
    </w:p>
    <w:p>
      <w:pPr>
        <w:pStyle w:val="Heading5"/>
      </w:pPr>
      <w:bookmarkStart w:id="104" w:name="_Toc98511453"/>
      <w:r>
        <w:rPr>
          <w:rStyle w:val="CharSectno"/>
        </w:rPr>
        <w:t>39F</w:t>
      </w:r>
      <w:r>
        <w:t>.</w:t>
      </w:r>
      <w:r>
        <w:tab/>
        <w:t>Amendment of s. 39C agreement; abolition of committee</w:t>
      </w:r>
      <w:bookmarkEnd w:id="104"/>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lastRenderedPageBreak/>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No. 51 of 2004 s. 50.]</w:t>
      </w:r>
    </w:p>
    <w:p>
      <w:pPr>
        <w:pStyle w:val="Heading5"/>
      </w:pPr>
      <w:bookmarkStart w:id="105" w:name="_Toc98511454"/>
      <w:r>
        <w:rPr>
          <w:rStyle w:val="CharSectno"/>
        </w:rPr>
        <w:t>39G</w:t>
      </w:r>
      <w:r>
        <w:t>.</w:t>
      </w:r>
      <w:r>
        <w:tab/>
        <w:t>Review of Commissioner’s decisions made under s. 39A, 39D or 39F</w:t>
      </w:r>
      <w:bookmarkEnd w:id="105"/>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lastRenderedPageBreak/>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No. 51 of 2004 s. 50.]</w:t>
      </w:r>
    </w:p>
    <w:p>
      <w:pPr>
        <w:pStyle w:val="Heading5"/>
        <w:rPr>
          <w:snapToGrid w:val="0"/>
        </w:rPr>
      </w:pPr>
      <w:bookmarkStart w:id="106" w:name="_Toc98511455"/>
      <w:r>
        <w:rPr>
          <w:rStyle w:val="CharSectno"/>
        </w:rPr>
        <w:t>40</w:t>
      </w:r>
      <w:r>
        <w:rPr>
          <w:snapToGrid w:val="0"/>
        </w:rPr>
        <w:t>.</w:t>
      </w:r>
      <w:r>
        <w:rPr>
          <w:snapToGrid w:val="0"/>
        </w:rPr>
        <w:tab/>
        <w:t>Functions of safety and health committees</w:t>
      </w:r>
      <w:bookmarkEnd w:id="106"/>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lastRenderedPageBreak/>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No. 43 of 1987 s. 13; amended: No. 30 of 1995 s. 47; No. 51 of 2004 s. 52 and 90.]</w:t>
      </w:r>
    </w:p>
    <w:p>
      <w:pPr>
        <w:pStyle w:val="Heading5"/>
        <w:rPr>
          <w:snapToGrid w:val="0"/>
        </w:rPr>
      </w:pPr>
      <w:bookmarkStart w:id="107" w:name="_Toc98511456"/>
      <w:r>
        <w:rPr>
          <w:rStyle w:val="CharSectno"/>
        </w:rPr>
        <w:t>41</w:t>
      </w:r>
      <w:r>
        <w:rPr>
          <w:snapToGrid w:val="0"/>
        </w:rPr>
        <w:t>.</w:t>
      </w:r>
      <w:r>
        <w:rPr>
          <w:snapToGrid w:val="0"/>
        </w:rPr>
        <w:tab/>
        <w:t>Procedures</w:t>
      </w:r>
      <w:bookmarkEnd w:id="107"/>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No. 43 of 1987 s. 13; amended: No. 30 of 1995 s. 47; No. 51 of 2004 s. 53.]</w:t>
      </w:r>
    </w:p>
    <w:p>
      <w:pPr>
        <w:pStyle w:val="Heading2"/>
      </w:pPr>
      <w:bookmarkStart w:id="108" w:name="_Toc98510623"/>
      <w:bookmarkStart w:id="109" w:name="_Toc98511457"/>
      <w:r>
        <w:rPr>
          <w:rStyle w:val="CharPartNo"/>
        </w:rPr>
        <w:lastRenderedPageBreak/>
        <w:t>Part V</w:t>
      </w:r>
      <w:r>
        <w:rPr>
          <w:rStyle w:val="CharDivNo"/>
        </w:rPr>
        <w:t> </w:t>
      </w:r>
      <w:r>
        <w:t>—</w:t>
      </w:r>
      <w:r>
        <w:rPr>
          <w:rStyle w:val="CharDivText"/>
        </w:rPr>
        <w:t> </w:t>
      </w:r>
      <w:r>
        <w:rPr>
          <w:rStyle w:val="CharPartText"/>
        </w:rPr>
        <w:t>Inspectors</w:t>
      </w:r>
      <w:bookmarkEnd w:id="108"/>
      <w:bookmarkEnd w:id="109"/>
    </w:p>
    <w:p>
      <w:pPr>
        <w:pStyle w:val="Footnoteheading"/>
        <w:rPr>
          <w:snapToGrid w:val="0"/>
        </w:rPr>
      </w:pPr>
      <w:r>
        <w:rPr>
          <w:snapToGrid w:val="0"/>
        </w:rPr>
        <w:tab/>
        <w:t>[Heading inserted: No. 43 of 1987 s. 13.]</w:t>
      </w:r>
    </w:p>
    <w:p>
      <w:pPr>
        <w:pStyle w:val="Heading5"/>
        <w:spacing w:before="180"/>
      </w:pPr>
      <w:bookmarkStart w:id="110" w:name="_Toc98511458"/>
      <w:r>
        <w:rPr>
          <w:rStyle w:val="CharSectno"/>
        </w:rPr>
        <w:t>41A</w:t>
      </w:r>
      <w:r>
        <w:t>.</w:t>
      </w:r>
      <w:r>
        <w:tab/>
        <w:t>Terms used</w:t>
      </w:r>
      <w:bookmarkEnd w:id="110"/>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No. 51 of 2004 s. 9.]</w:t>
      </w:r>
    </w:p>
    <w:p>
      <w:pPr>
        <w:pStyle w:val="Heading5"/>
      </w:pPr>
      <w:bookmarkStart w:id="111" w:name="_Toc98511459"/>
      <w:r>
        <w:rPr>
          <w:rStyle w:val="CharSectno"/>
        </w:rPr>
        <w:t>42</w:t>
      </w:r>
      <w:r>
        <w:t>.</w:t>
      </w:r>
      <w:r>
        <w:tab/>
        <w:t>Appointment of inspectors</w:t>
      </w:r>
      <w:bookmarkEnd w:id="111"/>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No. 51 of 2004 s. 58.]</w:t>
      </w:r>
    </w:p>
    <w:p>
      <w:pPr>
        <w:pStyle w:val="Heading5"/>
      </w:pPr>
      <w:bookmarkStart w:id="112" w:name="_Toc98511460"/>
      <w:r>
        <w:rPr>
          <w:rStyle w:val="CharSectno"/>
        </w:rPr>
        <w:t>42A</w:t>
      </w:r>
      <w:r>
        <w:t>.</w:t>
      </w:r>
      <w:r>
        <w:tab/>
        <w:t>Appointment of restricted inspectors</w:t>
      </w:r>
      <w:bookmarkEnd w:id="112"/>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 xml:space="preserve">A person who ceases to be a restricted inspector must, as soon as practicable, return the certificate provided to the person under </w:t>
      </w:r>
      <w:r>
        <w:lastRenderedPageBreak/>
        <w:t>section 42C to the Commissioner or to any other person authorised by the Commissioner to receive it.</w:t>
      </w:r>
    </w:p>
    <w:p>
      <w:pPr>
        <w:pStyle w:val="Footnotesection"/>
        <w:spacing w:before="80"/>
        <w:ind w:left="890" w:hanging="890"/>
      </w:pPr>
      <w:r>
        <w:tab/>
        <w:t>[Section 42A inserted: No. 51 of 2004 s. 58.]</w:t>
      </w:r>
    </w:p>
    <w:p>
      <w:pPr>
        <w:pStyle w:val="Heading5"/>
        <w:spacing w:before="260"/>
      </w:pPr>
      <w:bookmarkStart w:id="113" w:name="_Toc98511461"/>
      <w:r>
        <w:rPr>
          <w:rStyle w:val="CharSectno"/>
        </w:rPr>
        <w:t>42B</w:t>
      </w:r>
      <w:r>
        <w:t>.</w:t>
      </w:r>
      <w:r>
        <w:tab/>
        <w:t>Functions of restricted inspector</w:t>
      </w:r>
      <w:bookmarkEnd w:id="113"/>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No. 51 of 2004 s. 58.]</w:t>
      </w:r>
    </w:p>
    <w:p>
      <w:pPr>
        <w:pStyle w:val="Heading5"/>
        <w:spacing w:before="260"/>
      </w:pPr>
      <w:bookmarkStart w:id="114" w:name="_Toc98511462"/>
      <w:r>
        <w:rPr>
          <w:rStyle w:val="CharSectno"/>
        </w:rPr>
        <w:t>42C</w:t>
      </w:r>
      <w:r>
        <w:t>.</w:t>
      </w:r>
      <w:r>
        <w:tab/>
        <w:t>Certificate of appointment</w:t>
      </w:r>
      <w:bookmarkEnd w:id="114"/>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w:t>
      </w:r>
      <w:r>
        <w:rPr>
          <w:snapToGrid w:val="0"/>
        </w:rPr>
        <w:lastRenderedPageBreak/>
        <w:t>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No. 51 of 2004 s. 58.]</w:t>
      </w:r>
    </w:p>
    <w:p>
      <w:pPr>
        <w:pStyle w:val="Heading5"/>
        <w:rPr>
          <w:snapToGrid w:val="0"/>
        </w:rPr>
      </w:pPr>
      <w:bookmarkStart w:id="115" w:name="_Toc98511463"/>
      <w:r>
        <w:rPr>
          <w:rStyle w:val="CharSectno"/>
        </w:rPr>
        <w:t>43</w:t>
      </w:r>
      <w:r>
        <w:rPr>
          <w:snapToGrid w:val="0"/>
        </w:rPr>
        <w:t>.</w:t>
      </w:r>
      <w:r>
        <w:rPr>
          <w:snapToGrid w:val="0"/>
        </w:rPr>
        <w:tab/>
        <w:t>Powers of inspectors</w:t>
      </w:r>
      <w:bookmarkEnd w:id="115"/>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lastRenderedPageBreak/>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lastRenderedPageBreak/>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No. 43 of 1987 s. 13; amended: No. 30 of 1995 s. 32; No. 54 of 2002 s. 7; No. 51 of 2004 s. 10, 59, 91, 102; No. 36 of 2009 s. 10.]</w:t>
      </w:r>
    </w:p>
    <w:p>
      <w:pPr>
        <w:pStyle w:val="Heading5"/>
        <w:rPr>
          <w:snapToGrid w:val="0"/>
        </w:rPr>
      </w:pPr>
      <w:bookmarkStart w:id="116" w:name="_Toc98511464"/>
      <w:r>
        <w:rPr>
          <w:rStyle w:val="CharSectno"/>
        </w:rPr>
        <w:t>44</w:t>
      </w:r>
      <w:r>
        <w:rPr>
          <w:snapToGrid w:val="0"/>
        </w:rPr>
        <w:t>.</w:t>
      </w:r>
      <w:r>
        <w:rPr>
          <w:snapToGrid w:val="0"/>
        </w:rPr>
        <w:tab/>
        <w:t>Interpreters</w:t>
      </w:r>
      <w:bookmarkEnd w:id="116"/>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w:t>
      </w:r>
      <w:r>
        <w:rPr>
          <w:snapToGrid w:val="0"/>
        </w:rPr>
        <w:lastRenderedPageBreak/>
        <w:t>and any answer given to the interpreter shall be deemed to have been given to the inspector.</w:t>
      </w:r>
    </w:p>
    <w:p>
      <w:pPr>
        <w:pStyle w:val="Footnotesection"/>
      </w:pPr>
      <w:r>
        <w:tab/>
        <w:t>[Section 44 inserted: No. 43 of 1987 s. 13; amended: No. 51 of 2004 s. 102(1) and (2).]</w:t>
      </w:r>
    </w:p>
    <w:p>
      <w:pPr>
        <w:pStyle w:val="Heading5"/>
        <w:rPr>
          <w:snapToGrid w:val="0"/>
        </w:rPr>
      </w:pPr>
      <w:bookmarkStart w:id="117" w:name="_Toc98511465"/>
      <w:r>
        <w:rPr>
          <w:rStyle w:val="CharSectno"/>
        </w:rPr>
        <w:t>45</w:t>
      </w:r>
      <w:r>
        <w:rPr>
          <w:snapToGrid w:val="0"/>
        </w:rPr>
        <w:t>.</w:t>
      </w:r>
      <w:r>
        <w:rPr>
          <w:snapToGrid w:val="0"/>
        </w:rPr>
        <w:tab/>
        <w:t>Notification by inspector</w:t>
      </w:r>
      <w:bookmarkEnd w:id="117"/>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w:t>
      </w:r>
      <w:r>
        <w:rPr>
          <w:snapToGrid w:val="0"/>
        </w:rPr>
        <w:lastRenderedPageBreak/>
        <w:t>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No. 43 of 1987 s. 13; amended: No. 30 of 1995 s. 47; No. 51 of 2004 s. 60, 92 and 102(1).]</w:t>
      </w:r>
    </w:p>
    <w:p>
      <w:pPr>
        <w:pStyle w:val="Heading5"/>
        <w:rPr>
          <w:snapToGrid w:val="0"/>
        </w:rPr>
      </w:pPr>
      <w:bookmarkStart w:id="118" w:name="_Toc98511466"/>
      <w:r>
        <w:rPr>
          <w:rStyle w:val="CharSectno"/>
        </w:rPr>
        <w:t>46</w:t>
      </w:r>
      <w:r>
        <w:rPr>
          <w:snapToGrid w:val="0"/>
        </w:rPr>
        <w:t>.</w:t>
      </w:r>
      <w:r>
        <w:rPr>
          <w:snapToGrid w:val="0"/>
        </w:rPr>
        <w:tab/>
        <w:t>Samples</w:t>
      </w:r>
      <w:bookmarkEnd w:id="118"/>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lastRenderedPageBreak/>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No. 43 of 1987 s. 13; amended: No. 30 of 1995 s. 33 and 47; No. 51 of 2004 s. 102(1).]</w:t>
      </w:r>
    </w:p>
    <w:p>
      <w:pPr>
        <w:pStyle w:val="Heading5"/>
        <w:spacing w:before="200"/>
        <w:rPr>
          <w:snapToGrid w:val="0"/>
        </w:rPr>
      </w:pPr>
      <w:bookmarkStart w:id="119" w:name="_Toc98511467"/>
      <w:r>
        <w:rPr>
          <w:rStyle w:val="CharSectno"/>
        </w:rPr>
        <w:t>47</w:t>
      </w:r>
      <w:r>
        <w:rPr>
          <w:snapToGrid w:val="0"/>
        </w:rPr>
        <w:t>.</w:t>
      </w:r>
      <w:r>
        <w:rPr>
          <w:snapToGrid w:val="0"/>
        </w:rPr>
        <w:tab/>
        <w:t>Offences</w:t>
      </w:r>
      <w:bookmarkEnd w:id="119"/>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lastRenderedPageBreak/>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No. 43 of 1987 s. 13; amended: No. 30 of 1995 s. 34; No. 51 of 2004 s. 61, 93 and 102(2).]</w:t>
      </w:r>
    </w:p>
    <w:p>
      <w:pPr>
        <w:pStyle w:val="Heading2"/>
      </w:pPr>
      <w:bookmarkStart w:id="120" w:name="_Toc98510634"/>
      <w:bookmarkStart w:id="121" w:name="_Toc98511468"/>
      <w:r>
        <w:rPr>
          <w:rStyle w:val="CharPartNo"/>
        </w:rPr>
        <w:lastRenderedPageBreak/>
        <w:t>Part VI</w:t>
      </w:r>
      <w:r>
        <w:t> — </w:t>
      </w:r>
      <w:r>
        <w:rPr>
          <w:rStyle w:val="CharPartText"/>
        </w:rPr>
        <w:t>Improvement and prohibition notices</w:t>
      </w:r>
      <w:bookmarkEnd w:id="120"/>
      <w:bookmarkEnd w:id="121"/>
    </w:p>
    <w:p>
      <w:pPr>
        <w:pStyle w:val="Footnoteheading"/>
        <w:rPr>
          <w:snapToGrid w:val="0"/>
        </w:rPr>
      </w:pPr>
      <w:r>
        <w:rPr>
          <w:snapToGrid w:val="0"/>
        </w:rPr>
        <w:tab/>
        <w:t>[Heading inserted: No. 43 of 1987 s. 13.]</w:t>
      </w:r>
    </w:p>
    <w:p>
      <w:pPr>
        <w:pStyle w:val="Heading3"/>
      </w:pPr>
      <w:bookmarkStart w:id="122" w:name="_Toc98510635"/>
      <w:bookmarkStart w:id="123" w:name="_Toc98511469"/>
      <w:r>
        <w:rPr>
          <w:rStyle w:val="CharDivNo"/>
        </w:rPr>
        <w:t>Division 1</w:t>
      </w:r>
      <w:r>
        <w:t> — </w:t>
      </w:r>
      <w:r>
        <w:rPr>
          <w:rStyle w:val="CharDivText"/>
        </w:rPr>
        <w:t>Issue of notices by inspector</w:t>
      </w:r>
      <w:bookmarkEnd w:id="122"/>
      <w:bookmarkEnd w:id="123"/>
    </w:p>
    <w:p>
      <w:pPr>
        <w:pStyle w:val="Footnoteheading"/>
        <w:rPr>
          <w:snapToGrid w:val="0"/>
        </w:rPr>
      </w:pPr>
      <w:r>
        <w:rPr>
          <w:snapToGrid w:val="0"/>
        </w:rPr>
        <w:tab/>
        <w:t>[Heading inserted: No. 51 of 2004 s. 54.]</w:t>
      </w:r>
    </w:p>
    <w:p>
      <w:pPr>
        <w:pStyle w:val="Heading5"/>
      </w:pPr>
      <w:bookmarkStart w:id="124" w:name="_Toc98511470"/>
      <w:r>
        <w:rPr>
          <w:rStyle w:val="CharSectno"/>
        </w:rPr>
        <w:t>47A</w:t>
      </w:r>
      <w:r>
        <w:t>.</w:t>
      </w:r>
      <w:r>
        <w:tab/>
        <w:t>Terms used</w:t>
      </w:r>
      <w:bookmarkEnd w:id="124"/>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No. 51 of 2004 s. 11.]</w:t>
      </w:r>
    </w:p>
    <w:p>
      <w:pPr>
        <w:pStyle w:val="Heading5"/>
        <w:rPr>
          <w:snapToGrid w:val="0"/>
        </w:rPr>
      </w:pPr>
      <w:bookmarkStart w:id="125" w:name="_Toc98511471"/>
      <w:r>
        <w:rPr>
          <w:rStyle w:val="CharSectno"/>
        </w:rPr>
        <w:t>48</w:t>
      </w:r>
      <w:r>
        <w:rPr>
          <w:snapToGrid w:val="0"/>
        </w:rPr>
        <w:t>.</w:t>
      </w:r>
      <w:r>
        <w:rPr>
          <w:snapToGrid w:val="0"/>
        </w:rPr>
        <w:tab/>
        <w:t>Improvement notices, issue and effect of</w:t>
      </w:r>
      <w:bookmarkEnd w:id="125"/>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lastRenderedPageBreak/>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lastRenderedPageBreak/>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No. 43 of 1987 s. 13; amended: No. 30 of 1995 s. 35; No. 51 of 2004 s. 94 and 107.]</w:t>
      </w:r>
    </w:p>
    <w:p>
      <w:pPr>
        <w:pStyle w:val="Heading5"/>
        <w:rPr>
          <w:snapToGrid w:val="0"/>
        </w:rPr>
      </w:pPr>
      <w:bookmarkStart w:id="126" w:name="_Toc98511472"/>
      <w:r>
        <w:rPr>
          <w:rStyle w:val="CharSectno"/>
        </w:rPr>
        <w:t>49</w:t>
      </w:r>
      <w:r>
        <w:rPr>
          <w:snapToGrid w:val="0"/>
        </w:rPr>
        <w:t>.</w:t>
      </w:r>
      <w:r>
        <w:rPr>
          <w:snapToGrid w:val="0"/>
        </w:rPr>
        <w:tab/>
        <w:t>Prohibition notices, issue and effect of</w:t>
      </w:r>
      <w:bookmarkEnd w:id="126"/>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lastRenderedPageBreak/>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lastRenderedPageBreak/>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No. 43 of 1987 s. 13; amended: No. 30 of 1995 s. 36; No. 51 of 2004 s. 12, 95 and 108.]</w:t>
      </w:r>
    </w:p>
    <w:p>
      <w:pPr>
        <w:pStyle w:val="Heading5"/>
        <w:rPr>
          <w:snapToGrid w:val="0"/>
        </w:rPr>
      </w:pPr>
      <w:bookmarkStart w:id="127" w:name="_Toc98511473"/>
      <w:r>
        <w:rPr>
          <w:rStyle w:val="CharSectno"/>
        </w:rPr>
        <w:lastRenderedPageBreak/>
        <w:t>50</w:t>
      </w:r>
      <w:r>
        <w:rPr>
          <w:snapToGrid w:val="0"/>
        </w:rPr>
        <w:t>.</w:t>
      </w:r>
      <w:r>
        <w:rPr>
          <w:snapToGrid w:val="0"/>
        </w:rPr>
        <w:tab/>
        <w:t>Notices may include directions</w:t>
      </w:r>
      <w:bookmarkEnd w:id="127"/>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No. 43 of 1987 s. 13; amended: No. 51 of 2004 s. 96.]</w:t>
      </w:r>
    </w:p>
    <w:p>
      <w:pPr>
        <w:pStyle w:val="Heading5"/>
      </w:pPr>
      <w:bookmarkStart w:id="128" w:name="_Toc98511474"/>
      <w:r>
        <w:rPr>
          <w:rStyle w:val="CharSectno"/>
        </w:rPr>
        <w:t>50A</w:t>
      </w:r>
      <w:r>
        <w:t>.</w:t>
      </w:r>
      <w:r>
        <w:tab/>
        <w:t>Notices may be issued to Crown</w:t>
      </w:r>
      <w:bookmarkEnd w:id="128"/>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is to be issued to the Crown under the title “State of Western Australia”;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lastRenderedPageBreak/>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No. 51 of 2004 s. 109.]</w:t>
      </w:r>
    </w:p>
    <w:p>
      <w:pPr>
        <w:pStyle w:val="Heading5"/>
        <w:spacing w:before="180"/>
        <w:rPr>
          <w:snapToGrid w:val="0"/>
        </w:rPr>
      </w:pPr>
      <w:bookmarkStart w:id="129" w:name="_Toc98511475"/>
      <w:r>
        <w:rPr>
          <w:rStyle w:val="CharSectno"/>
        </w:rPr>
        <w:t>51</w:t>
      </w:r>
      <w:r>
        <w:rPr>
          <w:snapToGrid w:val="0"/>
        </w:rPr>
        <w:t>.</w:t>
      </w:r>
      <w:r>
        <w:rPr>
          <w:snapToGrid w:val="0"/>
        </w:rPr>
        <w:tab/>
        <w:t>Review of notices by Commissioner</w:t>
      </w:r>
      <w:bookmarkEnd w:id="129"/>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lastRenderedPageBreak/>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No. 43 of 1987 s. 13; amended: No. 30 of 1995 s. 37; No. 51 of 2004 s. 97 and 103.]</w:t>
      </w:r>
    </w:p>
    <w:p>
      <w:pPr>
        <w:pStyle w:val="Heading5"/>
      </w:pPr>
      <w:bookmarkStart w:id="130" w:name="_Toc98511476"/>
      <w:r>
        <w:rPr>
          <w:rStyle w:val="CharSectno"/>
        </w:rPr>
        <w:t>51AA</w:t>
      </w:r>
      <w:r>
        <w:t>.</w:t>
      </w:r>
      <w:r>
        <w:tab/>
        <w:t>Commissioner may cancel notice on own initiative</w:t>
      </w:r>
      <w:bookmarkEnd w:id="130"/>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lastRenderedPageBreak/>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No. 51 of 2004 s. 110.]</w:t>
      </w:r>
    </w:p>
    <w:p>
      <w:pPr>
        <w:pStyle w:val="Heading5"/>
        <w:rPr>
          <w:snapToGrid w:val="0"/>
        </w:rPr>
      </w:pPr>
      <w:bookmarkStart w:id="131" w:name="_Toc98511477"/>
      <w:r>
        <w:rPr>
          <w:rStyle w:val="CharSectno"/>
        </w:rPr>
        <w:t>51A</w:t>
      </w:r>
      <w:r>
        <w:rPr>
          <w:snapToGrid w:val="0"/>
        </w:rPr>
        <w:t xml:space="preserve">. </w:t>
      </w:r>
      <w:r>
        <w:rPr>
          <w:snapToGrid w:val="0"/>
        </w:rPr>
        <w:tab/>
        <w:t>Review of notices by Tribunal</w:t>
      </w:r>
      <w:bookmarkEnd w:id="131"/>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lastRenderedPageBreak/>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No. 30 of 1995 s. 38; amended: No. 51 of 2004 s. 64, 69(1)</w:t>
      </w:r>
      <w:r>
        <w:noBreakHyphen/>
        <w:t>(3) and 98; No. 36 of 2009 s. 11.]</w:t>
      </w:r>
    </w:p>
    <w:p>
      <w:pPr>
        <w:pStyle w:val="Heading3"/>
      </w:pPr>
      <w:bookmarkStart w:id="132" w:name="_Toc98510644"/>
      <w:bookmarkStart w:id="133" w:name="_Toc98511478"/>
      <w:r>
        <w:rPr>
          <w:rStyle w:val="CharDivNo"/>
        </w:rPr>
        <w:t>Division 2</w:t>
      </w:r>
      <w:r>
        <w:t> — </w:t>
      </w:r>
      <w:r>
        <w:rPr>
          <w:rStyle w:val="CharDivText"/>
        </w:rPr>
        <w:t>Issue of provisional improvement notices by safety and health representative</w:t>
      </w:r>
      <w:bookmarkEnd w:id="132"/>
      <w:bookmarkEnd w:id="133"/>
    </w:p>
    <w:p>
      <w:pPr>
        <w:pStyle w:val="Footnoteheading"/>
        <w:rPr>
          <w:snapToGrid w:val="0"/>
        </w:rPr>
      </w:pPr>
      <w:r>
        <w:rPr>
          <w:snapToGrid w:val="0"/>
        </w:rPr>
        <w:tab/>
        <w:t>[Heading inserted: No. 51 of 2004 s. 55.]</w:t>
      </w:r>
    </w:p>
    <w:p>
      <w:pPr>
        <w:pStyle w:val="Heading5"/>
      </w:pPr>
      <w:bookmarkStart w:id="134" w:name="_Toc98511479"/>
      <w:r>
        <w:rPr>
          <w:rStyle w:val="CharSectno"/>
        </w:rPr>
        <w:t>51AB</w:t>
      </w:r>
      <w:r>
        <w:t>.</w:t>
      </w:r>
      <w:r>
        <w:tab/>
        <w:t>Term used: qualified representative</w:t>
      </w:r>
      <w:bookmarkEnd w:id="13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No. 51 of 2004 s. 55.]</w:t>
      </w:r>
    </w:p>
    <w:p>
      <w:pPr>
        <w:pStyle w:val="Heading5"/>
      </w:pPr>
      <w:bookmarkStart w:id="135" w:name="_Toc98511480"/>
      <w:r>
        <w:rPr>
          <w:rStyle w:val="CharSectno"/>
        </w:rPr>
        <w:t>51AC</w:t>
      </w:r>
      <w:r>
        <w:t>.</w:t>
      </w:r>
      <w:r>
        <w:tab/>
        <w:t>Provisional improvement notices, issue of</w:t>
      </w:r>
      <w:bookmarkEnd w:id="135"/>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lastRenderedPageBreak/>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No. 51 of 2004 s. 55.]</w:t>
      </w:r>
    </w:p>
    <w:p>
      <w:pPr>
        <w:pStyle w:val="Heading5"/>
      </w:pPr>
      <w:bookmarkStart w:id="136" w:name="_Toc98511481"/>
      <w:r>
        <w:rPr>
          <w:rStyle w:val="CharSectno"/>
        </w:rPr>
        <w:t>51AD</w:t>
      </w:r>
      <w:r>
        <w:t>.</w:t>
      </w:r>
      <w:r>
        <w:tab/>
        <w:t>Consultation required before notice issued</w:t>
      </w:r>
      <w:bookmarkEnd w:id="136"/>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lastRenderedPageBreak/>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No. 51 of 2004 s. 55.]</w:t>
      </w:r>
    </w:p>
    <w:p>
      <w:pPr>
        <w:pStyle w:val="Heading5"/>
      </w:pPr>
      <w:bookmarkStart w:id="137" w:name="_Toc98511482"/>
      <w:r>
        <w:rPr>
          <w:rStyle w:val="CharSectno"/>
        </w:rPr>
        <w:t>51AE</w:t>
      </w:r>
      <w:r>
        <w:t>.</w:t>
      </w:r>
      <w:r>
        <w:tab/>
        <w:t>Contents of notice</w:t>
      </w:r>
      <w:bookmarkEnd w:id="137"/>
    </w:p>
    <w:p>
      <w:pPr>
        <w:pStyle w:val="Subsection"/>
        <w:spacing w:before="12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spacing w:before="120"/>
      </w:pPr>
      <w:r>
        <w:lastRenderedPageBreak/>
        <w:tab/>
        <w:t>(2)</w:t>
      </w:r>
      <w:r>
        <w:tab/>
        <w:t>The day specified for the purposes of subsection (1)(d) must be more than 7 days after the day on which the notice is issued.</w:t>
      </w:r>
    </w:p>
    <w:p>
      <w:pPr>
        <w:pStyle w:val="Footnotesection"/>
      </w:pPr>
      <w:r>
        <w:tab/>
        <w:t>[Section 51AE inserted: No. 51 of 2004 s. 55.]</w:t>
      </w:r>
    </w:p>
    <w:p>
      <w:pPr>
        <w:pStyle w:val="Heading5"/>
        <w:spacing w:before="200"/>
      </w:pPr>
      <w:bookmarkStart w:id="138" w:name="_Toc98511483"/>
      <w:r>
        <w:rPr>
          <w:rStyle w:val="CharSectno"/>
        </w:rPr>
        <w:t>51AF</w:t>
      </w:r>
      <w:r>
        <w:t>.</w:t>
      </w:r>
      <w:r>
        <w:tab/>
        <w:t>Notices may include directions</w:t>
      </w:r>
      <w:bookmarkEnd w:id="138"/>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No. 51 of 2004 s. 55.]</w:t>
      </w:r>
    </w:p>
    <w:p>
      <w:pPr>
        <w:pStyle w:val="Heading5"/>
        <w:spacing w:before="180"/>
      </w:pPr>
      <w:bookmarkStart w:id="139" w:name="_Toc98511484"/>
      <w:r>
        <w:rPr>
          <w:rStyle w:val="CharSectno"/>
        </w:rPr>
        <w:t>51AG</w:t>
      </w:r>
      <w:r>
        <w:t>.</w:t>
      </w:r>
      <w:r>
        <w:tab/>
        <w:t>Failure to comply with notice</w:t>
      </w:r>
      <w:bookmarkEnd w:id="139"/>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No. 51 of 2004 s. 55.]</w:t>
      </w:r>
    </w:p>
    <w:p>
      <w:pPr>
        <w:pStyle w:val="Heading5"/>
      </w:pPr>
      <w:bookmarkStart w:id="140" w:name="_Toc98511485"/>
      <w:r>
        <w:rPr>
          <w:rStyle w:val="CharSectno"/>
        </w:rPr>
        <w:t>51AH</w:t>
      </w:r>
      <w:r>
        <w:t>.</w:t>
      </w:r>
      <w:r>
        <w:tab/>
        <w:t>Review of notice by inspector</w:t>
      </w:r>
      <w:bookmarkEnd w:id="140"/>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lastRenderedPageBreak/>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No. 51 of 2004 s. 55.]</w:t>
      </w:r>
    </w:p>
    <w:p>
      <w:pPr>
        <w:pStyle w:val="Heading2"/>
      </w:pPr>
      <w:bookmarkStart w:id="141" w:name="_Toc98510652"/>
      <w:bookmarkStart w:id="142" w:name="_Toc98511486"/>
      <w:r>
        <w:rPr>
          <w:rStyle w:val="CharPartNo"/>
        </w:rPr>
        <w:lastRenderedPageBreak/>
        <w:t>Part VIA</w:t>
      </w:r>
      <w:r>
        <w:rPr>
          <w:rStyle w:val="CharDivNo"/>
        </w:rPr>
        <w:t> </w:t>
      </w:r>
      <w:r>
        <w:t>—</w:t>
      </w:r>
      <w:r>
        <w:rPr>
          <w:rStyle w:val="CharDivText"/>
        </w:rPr>
        <w:t> </w:t>
      </w:r>
      <w:r>
        <w:rPr>
          <w:rStyle w:val="CharPartText"/>
        </w:rPr>
        <w:t>Safety and health magistrates</w:t>
      </w:r>
      <w:bookmarkEnd w:id="141"/>
      <w:bookmarkEnd w:id="142"/>
    </w:p>
    <w:p>
      <w:pPr>
        <w:pStyle w:val="Footnoteheading"/>
      </w:pPr>
      <w:r>
        <w:tab/>
        <w:t>[Heading inserted: No. 30 of 1995 s. 39.]</w:t>
      </w:r>
    </w:p>
    <w:p>
      <w:pPr>
        <w:pStyle w:val="Heading5"/>
        <w:rPr>
          <w:snapToGrid w:val="0"/>
        </w:rPr>
      </w:pPr>
      <w:bookmarkStart w:id="143" w:name="_Toc98511487"/>
      <w:r>
        <w:rPr>
          <w:rStyle w:val="CharSectno"/>
        </w:rPr>
        <w:t>51B</w:t>
      </w:r>
      <w:r>
        <w:rPr>
          <w:snapToGrid w:val="0"/>
        </w:rPr>
        <w:t xml:space="preserve">. </w:t>
      </w:r>
      <w:r>
        <w:rPr>
          <w:snapToGrid w:val="0"/>
        </w:rPr>
        <w:tab/>
        <w:t>Safety and health magistrates</w:t>
      </w:r>
      <w:bookmarkEnd w:id="143"/>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No. 30 of 1995 s. 39.]</w:t>
      </w:r>
    </w:p>
    <w:p>
      <w:pPr>
        <w:pStyle w:val="Heading5"/>
        <w:rPr>
          <w:snapToGrid w:val="0"/>
        </w:rPr>
      </w:pPr>
      <w:bookmarkStart w:id="144" w:name="_Toc98511488"/>
      <w:r>
        <w:rPr>
          <w:rStyle w:val="CharSectno"/>
        </w:rPr>
        <w:t>51C</w:t>
      </w:r>
      <w:r>
        <w:rPr>
          <w:snapToGrid w:val="0"/>
        </w:rPr>
        <w:t xml:space="preserve">. </w:t>
      </w:r>
      <w:r>
        <w:rPr>
          <w:snapToGrid w:val="0"/>
        </w:rPr>
        <w:tab/>
        <w:t>Jurisdiction of safety and health magistrate</w:t>
      </w:r>
      <w:bookmarkEnd w:id="144"/>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ind w:left="890" w:hanging="890"/>
      </w:pPr>
      <w:r>
        <w:tab/>
        <w:t>[Section 51C inserted: No. 30 of 1995 s. 39; amended: No. 51 of 2004 s. 65; No. 59 of 2004 s. 141; No. 84 of 2004 s. 78.]</w:t>
      </w:r>
    </w:p>
    <w:p>
      <w:pPr>
        <w:pStyle w:val="Ednotesection"/>
      </w:pPr>
      <w:r>
        <w:t>[</w:t>
      </w:r>
      <w:r>
        <w:rPr>
          <w:b/>
        </w:rPr>
        <w:t>51D.</w:t>
      </w:r>
      <w:r>
        <w:tab/>
        <w:t>Deleted: No. 51 of 2004 s. 66.]</w:t>
      </w:r>
    </w:p>
    <w:p>
      <w:pPr>
        <w:pStyle w:val="Heading5"/>
        <w:rPr>
          <w:snapToGrid w:val="0"/>
        </w:rPr>
      </w:pPr>
      <w:bookmarkStart w:id="145" w:name="_Toc98511489"/>
      <w:r>
        <w:rPr>
          <w:rStyle w:val="CharSectno"/>
        </w:rPr>
        <w:lastRenderedPageBreak/>
        <w:t>51E</w:t>
      </w:r>
      <w:r>
        <w:rPr>
          <w:snapToGrid w:val="0"/>
        </w:rPr>
        <w:t xml:space="preserve">. </w:t>
      </w:r>
      <w:r>
        <w:rPr>
          <w:snapToGrid w:val="0"/>
        </w:rPr>
        <w:tab/>
        <w:t>Administrative arrangements</w:t>
      </w:r>
      <w:bookmarkEnd w:id="145"/>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[Section 51E inserted: No. 30 of 1995 s. 39; amended: No. 59 of 2004 s. 141.]</w:t>
      </w:r>
    </w:p>
    <w:p>
      <w:pPr>
        <w:pStyle w:val="Heading2"/>
      </w:pPr>
      <w:bookmarkStart w:id="146" w:name="_Toc98510656"/>
      <w:bookmarkStart w:id="147" w:name="_Toc98511490"/>
      <w:r>
        <w:rPr>
          <w:rStyle w:val="CharPartNo"/>
        </w:rPr>
        <w:lastRenderedPageBreak/>
        <w:t>Part VIB</w:t>
      </w:r>
      <w:r>
        <w:t> — </w:t>
      </w:r>
      <w:r>
        <w:rPr>
          <w:rStyle w:val="CharPartText"/>
        </w:rPr>
        <w:t>Occupational Safety and Health Tribunal</w:t>
      </w:r>
      <w:bookmarkEnd w:id="146"/>
      <w:bookmarkEnd w:id="147"/>
    </w:p>
    <w:p>
      <w:pPr>
        <w:pStyle w:val="Footnoteheading"/>
        <w:spacing w:before="60"/>
        <w:rPr>
          <w:snapToGrid w:val="0"/>
        </w:rPr>
      </w:pPr>
      <w:r>
        <w:rPr>
          <w:snapToGrid w:val="0"/>
        </w:rPr>
        <w:tab/>
        <w:t>[Heading inserted: No. 51 of 2004 s. 67.]</w:t>
      </w:r>
    </w:p>
    <w:p>
      <w:pPr>
        <w:pStyle w:val="Heading5"/>
        <w:spacing w:before="180"/>
      </w:pPr>
      <w:bookmarkStart w:id="148" w:name="_Toc98511491"/>
      <w:r>
        <w:rPr>
          <w:rStyle w:val="CharSectno"/>
        </w:rPr>
        <w:t>51F</w:t>
      </w:r>
      <w:r>
        <w:t>.</w:t>
      </w:r>
      <w:r>
        <w:tab/>
        <w:t>Terms used</w:t>
      </w:r>
      <w:bookmarkEnd w:id="148"/>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No. 51 of 2004 s. 67.]</w:t>
      </w:r>
    </w:p>
    <w:p>
      <w:pPr>
        <w:pStyle w:val="Heading5"/>
        <w:spacing w:before="180"/>
      </w:pPr>
      <w:bookmarkStart w:id="149" w:name="_Toc98511492"/>
      <w:r>
        <w:rPr>
          <w:rStyle w:val="CharSectno"/>
        </w:rPr>
        <w:t>51G</w:t>
      </w:r>
      <w:r>
        <w:t>.</w:t>
      </w:r>
      <w:r>
        <w:tab/>
        <w:t>Industrial Relations Commission to be called Occupational Safety and Health Tribunal when exercising jurisdiction under this Act</w:t>
      </w:r>
      <w:bookmarkEnd w:id="149"/>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No. 51 of 2004 s. 67; amended: No. 36 of 2009 s. 12.]</w:t>
      </w:r>
    </w:p>
    <w:p>
      <w:pPr>
        <w:pStyle w:val="Heading5"/>
        <w:spacing w:before="180"/>
      </w:pPr>
      <w:bookmarkStart w:id="150" w:name="_Toc98511493"/>
      <w:r>
        <w:rPr>
          <w:rStyle w:val="CharSectno"/>
        </w:rPr>
        <w:t>51H</w:t>
      </w:r>
      <w:r>
        <w:t>.</w:t>
      </w:r>
      <w:r>
        <w:tab/>
        <w:t>Jurisdiction to be exercised by commissioner with requisite qualifications</w:t>
      </w:r>
      <w:bookmarkEnd w:id="150"/>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lastRenderedPageBreak/>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No. 51 of 2004 s. 67; amended: No. 36 of 2009 s. 13.]</w:t>
      </w:r>
    </w:p>
    <w:p>
      <w:pPr>
        <w:pStyle w:val="Heading5"/>
        <w:spacing w:before="240"/>
      </w:pPr>
      <w:bookmarkStart w:id="151" w:name="_Toc98511494"/>
      <w:r>
        <w:rPr>
          <w:rStyle w:val="CharSectno"/>
        </w:rPr>
        <w:t>51I</w:t>
      </w:r>
      <w:r>
        <w:t>.</w:t>
      </w:r>
      <w:r>
        <w:tab/>
        <w:t>Practice, procedure and appeals</w:t>
      </w:r>
      <w:bookmarkEnd w:id="151"/>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lastRenderedPageBreak/>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No. 51 of 2004 s. 67.]</w:t>
      </w:r>
    </w:p>
    <w:p>
      <w:pPr>
        <w:pStyle w:val="Heading5"/>
      </w:pPr>
      <w:bookmarkStart w:id="152" w:name="_Toc98511495"/>
      <w:r>
        <w:rPr>
          <w:rStyle w:val="CharSectno"/>
        </w:rPr>
        <w:t>51J</w:t>
      </w:r>
      <w:r>
        <w:t>.</w:t>
      </w:r>
      <w:r>
        <w:tab/>
        <w:t>Conciliation</w:t>
      </w:r>
      <w:bookmarkEnd w:id="152"/>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w:t>
      </w:r>
      <w:r>
        <w:lastRenderedPageBreak/>
        <w:t xml:space="preserve">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No. 51 of 2004 s. 67.]</w:t>
      </w:r>
    </w:p>
    <w:p>
      <w:pPr>
        <w:pStyle w:val="Heading5"/>
      </w:pPr>
      <w:bookmarkStart w:id="153" w:name="_Toc98511496"/>
      <w:r>
        <w:rPr>
          <w:rStyle w:val="CharSectno"/>
        </w:rPr>
        <w:lastRenderedPageBreak/>
        <w:t>51K</w:t>
      </w:r>
      <w:r>
        <w:t>.</w:t>
      </w:r>
      <w:r>
        <w:tab/>
        <w:t>Certain matters to be heard together</w:t>
      </w:r>
      <w:bookmarkEnd w:id="153"/>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No. 51 of 2004 s. 67.]</w:t>
      </w:r>
    </w:p>
    <w:p>
      <w:pPr>
        <w:pStyle w:val="Heading2"/>
      </w:pPr>
      <w:bookmarkStart w:id="154" w:name="_Toc98510663"/>
      <w:bookmarkStart w:id="155" w:name="_Toc98511497"/>
      <w:r>
        <w:rPr>
          <w:rStyle w:val="CharPartNo"/>
        </w:rPr>
        <w:lastRenderedPageBreak/>
        <w:t>Part VII</w:t>
      </w:r>
      <w:r>
        <w:t> — </w:t>
      </w:r>
      <w:r>
        <w:rPr>
          <w:rStyle w:val="CharPartText"/>
        </w:rPr>
        <w:t>Legal proceedings</w:t>
      </w:r>
      <w:bookmarkEnd w:id="154"/>
      <w:bookmarkEnd w:id="155"/>
    </w:p>
    <w:p>
      <w:pPr>
        <w:pStyle w:val="Footnoteheading"/>
        <w:rPr>
          <w:snapToGrid w:val="0"/>
        </w:rPr>
      </w:pPr>
      <w:r>
        <w:rPr>
          <w:snapToGrid w:val="0"/>
        </w:rPr>
        <w:tab/>
        <w:t>[Heading inserted: No. 43 of 1987 s. 13.]</w:t>
      </w:r>
    </w:p>
    <w:p>
      <w:pPr>
        <w:pStyle w:val="Heading3"/>
      </w:pPr>
      <w:bookmarkStart w:id="156" w:name="_Toc98510664"/>
      <w:bookmarkStart w:id="157" w:name="_Toc98511498"/>
      <w:r>
        <w:rPr>
          <w:rStyle w:val="CharDivNo"/>
        </w:rPr>
        <w:t>Division 1</w:t>
      </w:r>
      <w:r>
        <w:t> — </w:t>
      </w:r>
      <w:r>
        <w:rPr>
          <w:rStyle w:val="CharDivText"/>
        </w:rPr>
        <w:t>General provisions</w:t>
      </w:r>
      <w:bookmarkEnd w:id="156"/>
      <w:bookmarkEnd w:id="157"/>
    </w:p>
    <w:p>
      <w:pPr>
        <w:pStyle w:val="Footnoteheading"/>
        <w:tabs>
          <w:tab w:val="left" w:pos="851"/>
        </w:tabs>
      </w:pPr>
      <w:r>
        <w:tab/>
        <w:t>[Heading inserted: No. 51 of 2004 s. 30.]</w:t>
      </w:r>
    </w:p>
    <w:p>
      <w:pPr>
        <w:pStyle w:val="Heading5"/>
        <w:rPr>
          <w:snapToGrid w:val="0"/>
        </w:rPr>
      </w:pPr>
      <w:bookmarkStart w:id="158" w:name="_Toc98511499"/>
      <w:r>
        <w:rPr>
          <w:rStyle w:val="CharSectno"/>
        </w:rPr>
        <w:t>52</w:t>
      </w:r>
      <w:r>
        <w:rPr>
          <w:snapToGrid w:val="0"/>
        </w:rPr>
        <w:t>.</w:t>
      </w:r>
      <w:r>
        <w:rPr>
          <w:snapToGrid w:val="0"/>
        </w:rPr>
        <w:tab/>
        <w:t>Prosecutions</w:t>
      </w:r>
      <w:bookmarkEnd w:id="158"/>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No. 43 of 1987 s. 13; amended: No. 30 of 1995 s. 40; No. 63 of 1998 s. 5(1); No. 59 of 2004 s. 141.]</w:t>
      </w:r>
    </w:p>
    <w:p>
      <w:pPr>
        <w:pStyle w:val="Heading5"/>
        <w:rPr>
          <w:snapToGrid w:val="0"/>
        </w:rPr>
      </w:pPr>
      <w:bookmarkStart w:id="159" w:name="_Toc98511500"/>
      <w:r>
        <w:rPr>
          <w:rStyle w:val="CharSectno"/>
        </w:rPr>
        <w:t>53</w:t>
      </w:r>
      <w:r>
        <w:rPr>
          <w:snapToGrid w:val="0"/>
        </w:rPr>
        <w:t>.</w:t>
      </w:r>
      <w:r>
        <w:rPr>
          <w:snapToGrid w:val="0"/>
        </w:rPr>
        <w:tab/>
        <w:t>Evidentiary provisions</w:t>
      </w:r>
      <w:bookmarkEnd w:id="159"/>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lastRenderedPageBreak/>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No. 43 of 1987 s. 13; amended: No. 30 of 1995 s. 41; No. 10 of 1998 s. 56; No. 51 of 2004 s. 111; No. 84 of 2004 s. 80.]</w:t>
      </w:r>
    </w:p>
    <w:p>
      <w:pPr>
        <w:pStyle w:val="Heading5"/>
      </w:pPr>
      <w:bookmarkStart w:id="160" w:name="_Toc98511501"/>
      <w:r>
        <w:rPr>
          <w:rStyle w:val="CharSectno"/>
        </w:rPr>
        <w:t>54</w:t>
      </w:r>
      <w:r>
        <w:t>.</w:t>
      </w:r>
      <w:r>
        <w:tab/>
        <w:t>General penalty</w:t>
      </w:r>
      <w:bookmarkEnd w:id="160"/>
    </w:p>
    <w:p>
      <w:pPr>
        <w:pStyle w:val="Subsection"/>
      </w:pPr>
      <w:r>
        <w:tab/>
      </w:r>
      <w:r>
        <w:tab/>
        <w:t>If a person commits an offence against this Act for which a penalty is not otherwise provided, the person is liable to a level one penalty.</w:t>
      </w:r>
    </w:p>
    <w:p>
      <w:pPr>
        <w:pStyle w:val="Footnotesection"/>
      </w:pPr>
      <w:r>
        <w:tab/>
        <w:t>[Section 54 inserted: No. 51 of 2004 s. 31.]</w:t>
      </w:r>
    </w:p>
    <w:p>
      <w:pPr>
        <w:pStyle w:val="Ednotesection"/>
      </w:pPr>
      <w:r>
        <w:t>[</w:t>
      </w:r>
      <w:r>
        <w:rPr>
          <w:b/>
        </w:rPr>
        <w:t>54AA.</w:t>
      </w:r>
      <w:r>
        <w:tab/>
        <w:t>Deleted: No. 51 of 2004 s. 32.]</w:t>
      </w:r>
    </w:p>
    <w:p>
      <w:pPr>
        <w:pStyle w:val="Heading5"/>
        <w:rPr>
          <w:snapToGrid w:val="0"/>
        </w:rPr>
      </w:pPr>
      <w:bookmarkStart w:id="161" w:name="_Toc98511502"/>
      <w:r>
        <w:rPr>
          <w:rStyle w:val="CharSectno"/>
        </w:rPr>
        <w:lastRenderedPageBreak/>
        <w:t>54A</w:t>
      </w:r>
      <w:r>
        <w:rPr>
          <w:snapToGrid w:val="0"/>
        </w:rPr>
        <w:t>.</w:t>
      </w:r>
      <w:r>
        <w:rPr>
          <w:snapToGrid w:val="0"/>
        </w:rPr>
        <w:tab/>
        <w:t>Continuing offences</w:t>
      </w:r>
      <w:bookmarkEnd w:id="161"/>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$800, where the offence is committed by a person as an employee; and</w:t>
      </w:r>
    </w:p>
    <w:p>
      <w:pPr>
        <w:pStyle w:val="Indenta"/>
      </w:pPr>
      <w:r>
        <w:tab/>
        <w:t>(b)</w:t>
      </w:r>
      <w:r>
        <w:tab/>
        <w:t>$4 000, where the offence is committed by an individual and paragraph (a) does not apply; and</w:t>
      </w:r>
    </w:p>
    <w:p>
      <w:pPr>
        <w:pStyle w:val="Indenta"/>
      </w:pPr>
      <w:r>
        <w:tab/>
        <w:t>(c)</w:t>
      </w:r>
      <w:r>
        <w:tab/>
        <w:t>$8 000,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No. 30 of 1995 s. 42; amended: No. 51 of 2004 s. 33 and 103; No. 16 of 2018 s. 4.]</w:t>
      </w:r>
    </w:p>
    <w:p>
      <w:pPr>
        <w:pStyle w:val="Heading5"/>
        <w:rPr>
          <w:snapToGrid w:val="0"/>
        </w:rPr>
      </w:pPr>
      <w:bookmarkStart w:id="162" w:name="_Toc98511503"/>
      <w:r>
        <w:rPr>
          <w:rStyle w:val="CharSectno"/>
        </w:rPr>
        <w:t>54B</w:t>
      </w:r>
      <w:r>
        <w:rPr>
          <w:snapToGrid w:val="0"/>
        </w:rPr>
        <w:t>.</w:t>
      </w:r>
      <w:r>
        <w:rPr>
          <w:snapToGrid w:val="0"/>
        </w:rPr>
        <w:tab/>
        <w:t>Appeals</w:t>
      </w:r>
      <w:bookmarkEnd w:id="162"/>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No. 30 of 1995 s. 42; amended: No. 51 of 2004 s. 68; No. 59 of 2004 s. 141; No. 84 of 2004 s. 78.]</w:t>
      </w:r>
    </w:p>
    <w:p>
      <w:pPr>
        <w:pStyle w:val="Heading5"/>
        <w:rPr>
          <w:snapToGrid w:val="0"/>
        </w:rPr>
      </w:pPr>
      <w:bookmarkStart w:id="163" w:name="_Toc98511504"/>
      <w:r>
        <w:rPr>
          <w:rStyle w:val="CharSectno"/>
        </w:rPr>
        <w:lastRenderedPageBreak/>
        <w:t>55</w:t>
      </w:r>
      <w:r>
        <w:rPr>
          <w:snapToGrid w:val="0"/>
        </w:rPr>
        <w:t>.</w:t>
      </w:r>
      <w:r>
        <w:rPr>
          <w:snapToGrid w:val="0"/>
        </w:rPr>
        <w:tab/>
        <w:t>Offences by bodies corporate</w:t>
      </w:r>
      <w:bookmarkEnd w:id="163"/>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lastRenderedPageBreak/>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No. 43 of 1987 s. 13; amended: No. 51 of 2004 s. 34, 102(1) and (2).]</w:t>
      </w:r>
    </w:p>
    <w:p>
      <w:pPr>
        <w:pStyle w:val="Heading5"/>
        <w:spacing w:before="180"/>
      </w:pPr>
      <w:bookmarkStart w:id="164" w:name="_Toc98511505"/>
      <w:r>
        <w:rPr>
          <w:rStyle w:val="CharSectno"/>
        </w:rPr>
        <w:t>55A</w:t>
      </w:r>
      <w:r>
        <w:t>.</w:t>
      </w:r>
      <w:r>
        <w:tab/>
        <w:t>No double jeopardy</w:t>
      </w:r>
      <w:bookmarkEnd w:id="164"/>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No. 51 of 2004 s. 35.]</w:t>
      </w:r>
    </w:p>
    <w:p>
      <w:pPr>
        <w:pStyle w:val="Heading3"/>
      </w:pPr>
      <w:bookmarkStart w:id="165" w:name="_Toc98510672"/>
      <w:bookmarkStart w:id="166" w:name="_Toc98511506"/>
      <w:r>
        <w:rPr>
          <w:rStyle w:val="CharDivNo"/>
        </w:rPr>
        <w:t>Division 2</w:t>
      </w:r>
      <w:r>
        <w:t> — </w:t>
      </w:r>
      <w:r>
        <w:rPr>
          <w:rStyle w:val="CharDivText"/>
        </w:rPr>
        <w:t>Criminal proceedings against the Crown</w:t>
      </w:r>
      <w:bookmarkEnd w:id="165"/>
      <w:bookmarkEnd w:id="166"/>
    </w:p>
    <w:p>
      <w:pPr>
        <w:pStyle w:val="Footnoteheading"/>
        <w:keepNext/>
        <w:tabs>
          <w:tab w:val="left" w:pos="851"/>
        </w:tabs>
      </w:pPr>
      <w:r>
        <w:tab/>
        <w:t>[Heading inserted: No. 51 of 2004 s. 36.]</w:t>
      </w:r>
    </w:p>
    <w:p>
      <w:pPr>
        <w:pStyle w:val="Heading5"/>
        <w:spacing w:before="180"/>
      </w:pPr>
      <w:bookmarkStart w:id="167" w:name="_Toc98511507"/>
      <w:r>
        <w:rPr>
          <w:rStyle w:val="CharSectno"/>
        </w:rPr>
        <w:t>55B</w:t>
      </w:r>
      <w:r>
        <w:t>.</w:t>
      </w:r>
      <w:r>
        <w:tab/>
        <w:t>Crown may be prosecuted</w:t>
      </w:r>
      <w:bookmarkEnd w:id="167"/>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No. 51 of 2004 s. 36.]</w:t>
      </w:r>
    </w:p>
    <w:p>
      <w:pPr>
        <w:pStyle w:val="Heading5"/>
        <w:spacing w:before="180"/>
      </w:pPr>
      <w:bookmarkStart w:id="168" w:name="_Toc98511508"/>
      <w:r>
        <w:rPr>
          <w:rStyle w:val="CharSectno"/>
        </w:rPr>
        <w:t>55C</w:t>
      </w:r>
      <w:r>
        <w:t>.</w:t>
      </w:r>
      <w:r>
        <w:tab/>
        <w:t>Prosecution against body corporate</w:t>
      </w:r>
      <w:bookmarkEnd w:id="168"/>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No. 51 of 2004 s. 36.]</w:t>
      </w:r>
    </w:p>
    <w:p>
      <w:pPr>
        <w:pStyle w:val="Heading5"/>
      </w:pPr>
      <w:bookmarkStart w:id="169" w:name="_Toc98511509"/>
      <w:r>
        <w:rPr>
          <w:rStyle w:val="CharSectno"/>
        </w:rPr>
        <w:lastRenderedPageBreak/>
        <w:t>55D</w:t>
      </w:r>
      <w:r>
        <w:t>.</w:t>
      </w:r>
      <w:r>
        <w:tab/>
        <w:t>Prosecution in other cases</w:t>
      </w:r>
      <w:bookmarkEnd w:id="169"/>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No. 51 of 2004 s. 36.]</w:t>
      </w:r>
    </w:p>
    <w:p>
      <w:pPr>
        <w:pStyle w:val="Heading5"/>
      </w:pPr>
      <w:bookmarkStart w:id="170" w:name="_Toc98511510"/>
      <w:r>
        <w:rPr>
          <w:rStyle w:val="CharSectno"/>
        </w:rPr>
        <w:t>55E</w:t>
      </w:r>
      <w:r>
        <w:t>.</w:t>
      </w:r>
      <w:r>
        <w:tab/>
        <w:t>Provisions applicable to responsible agency</w:t>
      </w:r>
      <w:bookmarkEnd w:id="170"/>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lastRenderedPageBreak/>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No. 51 of 2004 s. 36.]</w:t>
      </w:r>
    </w:p>
    <w:p>
      <w:pPr>
        <w:pStyle w:val="Heading5"/>
      </w:pPr>
      <w:bookmarkStart w:id="171" w:name="_Toc98511511"/>
      <w:r>
        <w:rPr>
          <w:rStyle w:val="CharSectno"/>
        </w:rPr>
        <w:t>55F</w:t>
      </w:r>
      <w:r>
        <w:t>.</w:t>
      </w:r>
      <w:r>
        <w:tab/>
        <w:t>Proceedings where agency has ceased to exist</w:t>
      </w:r>
      <w:bookmarkEnd w:id="171"/>
    </w:p>
    <w:p>
      <w:pPr>
        <w:pStyle w:val="Subsection"/>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pPr>
      <w:r>
        <w:lastRenderedPageBreak/>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No. 51 of 2004 s. 36.]</w:t>
      </w:r>
    </w:p>
    <w:p>
      <w:pPr>
        <w:pStyle w:val="Heading5"/>
      </w:pPr>
      <w:bookmarkStart w:id="172" w:name="_Toc98511512"/>
      <w:r>
        <w:rPr>
          <w:rStyle w:val="CharSectno"/>
        </w:rPr>
        <w:t>55G</w:t>
      </w:r>
      <w:r>
        <w:t>.</w:t>
      </w:r>
      <w:r>
        <w:tab/>
        <w:t>Penalties in proceedings against Crown</w:t>
      </w:r>
      <w:bookmarkEnd w:id="172"/>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No. 51 of 2004 s. 36.]</w:t>
      </w:r>
    </w:p>
    <w:p>
      <w:pPr>
        <w:pStyle w:val="Heading3"/>
      </w:pPr>
      <w:bookmarkStart w:id="173" w:name="_Toc98510679"/>
      <w:bookmarkStart w:id="174" w:name="_Toc98511513"/>
      <w:r>
        <w:rPr>
          <w:rStyle w:val="CharDivNo"/>
        </w:rPr>
        <w:lastRenderedPageBreak/>
        <w:t>Division 3</w:t>
      </w:r>
      <w:r>
        <w:t> — </w:t>
      </w:r>
      <w:r>
        <w:rPr>
          <w:rStyle w:val="CharDivText"/>
        </w:rPr>
        <w:t>Undertaking by offender in lieu of payment of fine</w:t>
      </w:r>
      <w:bookmarkEnd w:id="173"/>
      <w:bookmarkEnd w:id="174"/>
    </w:p>
    <w:p>
      <w:pPr>
        <w:pStyle w:val="Footnoteheading"/>
        <w:tabs>
          <w:tab w:val="left" w:pos="851"/>
        </w:tabs>
      </w:pPr>
      <w:r>
        <w:tab/>
        <w:t>[Heading inserted: No. 51 of 2004 s. 36.]</w:t>
      </w:r>
    </w:p>
    <w:p>
      <w:pPr>
        <w:pStyle w:val="Heading5"/>
      </w:pPr>
      <w:bookmarkStart w:id="175" w:name="_Toc98511514"/>
      <w:r>
        <w:rPr>
          <w:rStyle w:val="CharSectno"/>
        </w:rPr>
        <w:t>55H</w:t>
      </w:r>
      <w:r>
        <w:t>.</w:t>
      </w:r>
      <w:r>
        <w:tab/>
        <w:t>Terms used</w:t>
      </w:r>
      <w:bookmarkEnd w:id="175"/>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No. 51 of 2004 s. 36.]</w:t>
      </w:r>
    </w:p>
    <w:p>
      <w:pPr>
        <w:pStyle w:val="Heading5"/>
      </w:pPr>
      <w:bookmarkStart w:id="176" w:name="_Toc98511515"/>
      <w:r>
        <w:rPr>
          <w:rStyle w:val="CharSectno"/>
        </w:rPr>
        <w:t>55I</w:t>
      </w:r>
      <w:r>
        <w:t>.</w:t>
      </w:r>
      <w:r>
        <w:tab/>
        <w:t>Court may order offender to elect to pay fine or enter into undertaking</w:t>
      </w:r>
      <w:bookmarkEnd w:id="176"/>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lastRenderedPageBreak/>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55I inserted: No. 51 of 2004 s. 36.]</w:t>
      </w:r>
    </w:p>
    <w:p>
      <w:pPr>
        <w:pStyle w:val="Heading5"/>
        <w:spacing w:before="180"/>
      </w:pPr>
      <w:bookmarkStart w:id="177" w:name="_Toc98511516"/>
      <w:r>
        <w:rPr>
          <w:rStyle w:val="CharSectno"/>
        </w:rPr>
        <w:t>55J</w:t>
      </w:r>
      <w:r>
        <w:t>.</w:t>
      </w:r>
      <w:r>
        <w:tab/>
        <w:t>Making of election</w:t>
      </w:r>
      <w:bookmarkEnd w:id="177"/>
    </w:p>
    <w:p>
      <w:pPr>
        <w:pStyle w:val="Subsection"/>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pPr>
      <w:r>
        <w:tab/>
        <w:t>(2)</w:t>
      </w:r>
      <w:r>
        <w:tab/>
        <w:t>If —</w:t>
      </w:r>
    </w:p>
    <w:p>
      <w:pPr>
        <w:pStyle w:val="Indenta"/>
      </w:pPr>
      <w:r>
        <w:tab/>
        <w:t>(a)</w:t>
      </w:r>
      <w:r>
        <w:tab/>
        <w:t>an order is made under section 55I(1); but</w:t>
      </w:r>
    </w:p>
    <w:p>
      <w:pPr>
        <w:pStyle w:val="Indenta"/>
        <w:keepNext/>
      </w:pPr>
      <w:r>
        <w:lastRenderedPageBreak/>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No. 51 of 2004 s. 36.]</w:t>
      </w:r>
    </w:p>
    <w:p>
      <w:pPr>
        <w:pStyle w:val="Heading5"/>
        <w:spacing w:before="180"/>
      </w:pPr>
      <w:bookmarkStart w:id="178" w:name="_Toc98511517"/>
      <w:r>
        <w:rPr>
          <w:rStyle w:val="CharSectno"/>
        </w:rPr>
        <w:t>55K</w:t>
      </w:r>
      <w:r>
        <w:t>.</w:t>
      </w:r>
      <w:r>
        <w:tab/>
        <w:t>Failure to enter into undertaking</w:t>
      </w:r>
      <w:bookmarkEnd w:id="178"/>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No. 51 of 2004 s. 36.]</w:t>
      </w:r>
    </w:p>
    <w:p>
      <w:pPr>
        <w:pStyle w:val="Heading5"/>
      </w:pPr>
      <w:bookmarkStart w:id="179" w:name="_Toc98511518"/>
      <w:r>
        <w:rPr>
          <w:rStyle w:val="CharSectno"/>
        </w:rPr>
        <w:t>55L</w:t>
      </w:r>
      <w:r>
        <w:t>.</w:t>
      </w:r>
      <w:r>
        <w:tab/>
        <w:t>Time for payment of fines</w:t>
      </w:r>
      <w:bookmarkEnd w:id="179"/>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Act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Act referred to in subsection (2) the fine or fines are taken to have been imposed on the day specified under section 55I(1)(d).</w:t>
      </w:r>
    </w:p>
    <w:p>
      <w:pPr>
        <w:pStyle w:val="Footnotesection"/>
      </w:pPr>
      <w:r>
        <w:tab/>
        <w:t>[Section 55L inserted: No. 51 of 2004 s. 36; amended: No. 48 of 2012 s. 63.]</w:t>
      </w:r>
    </w:p>
    <w:p>
      <w:pPr>
        <w:pStyle w:val="Heading5"/>
      </w:pPr>
      <w:bookmarkStart w:id="180" w:name="_Toc98511519"/>
      <w:r>
        <w:rPr>
          <w:rStyle w:val="CharSectno"/>
        </w:rPr>
        <w:lastRenderedPageBreak/>
        <w:t>55M</w:t>
      </w:r>
      <w:r>
        <w:t>.</w:t>
      </w:r>
      <w:r>
        <w:tab/>
        <w:t>Nature and terms of undertaking</w:t>
      </w:r>
      <w:bookmarkEnd w:id="180"/>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No. 51 of 2004 s. 36.]</w:t>
      </w:r>
    </w:p>
    <w:p>
      <w:pPr>
        <w:pStyle w:val="Heading5"/>
      </w:pPr>
      <w:bookmarkStart w:id="181" w:name="_Toc98511520"/>
      <w:r>
        <w:rPr>
          <w:rStyle w:val="CharSectno"/>
        </w:rPr>
        <w:t>55N</w:t>
      </w:r>
      <w:r>
        <w:t>.</w:t>
      </w:r>
      <w:r>
        <w:tab/>
        <w:t>What may be included in undertaking</w:t>
      </w:r>
      <w:bookmarkEnd w:id="181"/>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lastRenderedPageBreak/>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No. 51 of 2004 s. 36.]</w:t>
      </w:r>
    </w:p>
    <w:p>
      <w:pPr>
        <w:pStyle w:val="Heading5"/>
      </w:pPr>
      <w:bookmarkStart w:id="182" w:name="_Toc98511521"/>
      <w:r>
        <w:rPr>
          <w:rStyle w:val="CharSectno"/>
        </w:rPr>
        <w:t>55O</w:t>
      </w:r>
      <w:r>
        <w:t>.</w:t>
      </w:r>
      <w:r>
        <w:tab/>
        <w:t>Effect of undertaking</w:t>
      </w:r>
      <w:bookmarkEnd w:id="182"/>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lastRenderedPageBreak/>
        <w:tab/>
        <w:t>(b)</w:t>
      </w:r>
      <w:r>
        <w:tab/>
        <w:t>is cancelled by the full discharge of the offender’s obligations under the undertaking.</w:t>
      </w:r>
    </w:p>
    <w:p>
      <w:pPr>
        <w:pStyle w:val="Footnotesection"/>
      </w:pPr>
      <w:r>
        <w:tab/>
        <w:t>[Section 55O inserted: No. 51 of 2004 s. 36.]</w:t>
      </w:r>
    </w:p>
    <w:p>
      <w:pPr>
        <w:pStyle w:val="Heading5"/>
      </w:pPr>
      <w:bookmarkStart w:id="183" w:name="_Toc98511522"/>
      <w:r>
        <w:rPr>
          <w:rStyle w:val="CharSectno"/>
        </w:rPr>
        <w:t>55P</w:t>
      </w:r>
      <w:r>
        <w:t>.</w:t>
      </w:r>
      <w:r>
        <w:tab/>
        <w:t>Failure to comply with undertaking</w:t>
      </w:r>
      <w:bookmarkEnd w:id="183"/>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No. 51 of 2004 s. 36; amended: No. 48 of 2012 s. 64.]</w:t>
      </w:r>
    </w:p>
    <w:p>
      <w:pPr>
        <w:pStyle w:val="Heading5"/>
      </w:pPr>
      <w:bookmarkStart w:id="184" w:name="_Toc98511523"/>
      <w:r>
        <w:rPr>
          <w:rStyle w:val="CharSectno"/>
        </w:rPr>
        <w:t>55Q</w:t>
      </w:r>
      <w:r>
        <w:t>.</w:t>
      </w:r>
      <w:r>
        <w:tab/>
        <w:t>Amendment of undertaking</w:t>
      </w:r>
      <w:bookmarkEnd w:id="184"/>
    </w:p>
    <w:p>
      <w:pPr>
        <w:pStyle w:val="Subsection"/>
      </w:pPr>
      <w:r>
        <w:tab/>
      </w:r>
      <w:r>
        <w:tab/>
        <w:t>An undertaking may be amended by an instrument in writing signed by the offender and the Commissioner.</w:t>
      </w:r>
    </w:p>
    <w:p>
      <w:pPr>
        <w:pStyle w:val="Footnotesection"/>
      </w:pPr>
      <w:r>
        <w:tab/>
        <w:t>[Section 55Q inserted: No. 51 of 2004 s. 36.]</w:t>
      </w:r>
    </w:p>
    <w:p>
      <w:pPr>
        <w:pStyle w:val="Heading5"/>
      </w:pPr>
      <w:bookmarkStart w:id="185" w:name="_Toc98511524"/>
      <w:r>
        <w:rPr>
          <w:rStyle w:val="CharSectno"/>
        </w:rPr>
        <w:t>55R</w:t>
      </w:r>
      <w:r>
        <w:t>.</w:t>
      </w:r>
      <w:r>
        <w:tab/>
        <w:t>Undertaking may be published</w:t>
      </w:r>
      <w:bookmarkEnd w:id="185"/>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No. 51 of 2004 s. 36.]</w:t>
      </w:r>
    </w:p>
    <w:p>
      <w:pPr>
        <w:pStyle w:val="Heading2"/>
      </w:pPr>
      <w:bookmarkStart w:id="186" w:name="_Toc98510691"/>
      <w:bookmarkStart w:id="187" w:name="_Toc98511525"/>
      <w:r>
        <w:rPr>
          <w:rStyle w:val="CharPartNo"/>
        </w:rPr>
        <w:lastRenderedPageBreak/>
        <w:t>Part VIII</w:t>
      </w:r>
      <w:r>
        <w:rPr>
          <w:rStyle w:val="CharDivNo"/>
        </w:rPr>
        <w:t> </w:t>
      </w:r>
      <w:r>
        <w:t>—</w:t>
      </w:r>
      <w:r>
        <w:rPr>
          <w:rStyle w:val="CharDivText"/>
        </w:rPr>
        <w:t> </w:t>
      </w:r>
      <w:r>
        <w:rPr>
          <w:rStyle w:val="CharPartText"/>
        </w:rPr>
        <w:t>Miscellaneous</w:t>
      </w:r>
      <w:bookmarkEnd w:id="186"/>
      <w:bookmarkEnd w:id="187"/>
    </w:p>
    <w:p>
      <w:pPr>
        <w:pStyle w:val="Footnoteheading"/>
        <w:rPr>
          <w:snapToGrid w:val="0"/>
        </w:rPr>
      </w:pPr>
      <w:r>
        <w:rPr>
          <w:snapToGrid w:val="0"/>
        </w:rPr>
        <w:tab/>
        <w:t>[Heading inserted: No. 43 of 1987 s. 13.]</w:t>
      </w:r>
    </w:p>
    <w:p>
      <w:pPr>
        <w:pStyle w:val="Heading5"/>
        <w:spacing w:before="180"/>
        <w:rPr>
          <w:snapToGrid w:val="0"/>
        </w:rPr>
      </w:pPr>
      <w:bookmarkStart w:id="188" w:name="_Toc98511526"/>
      <w:r>
        <w:rPr>
          <w:rStyle w:val="CharSectno"/>
        </w:rPr>
        <w:t>56</w:t>
      </w:r>
      <w:r>
        <w:rPr>
          <w:snapToGrid w:val="0"/>
        </w:rPr>
        <w:t>.</w:t>
      </w:r>
      <w:r>
        <w:rPr>
          <w:snapToGrid w:val="0"/>
        </w:rPr>
        <w:tab/>
        <w:t>Discrimination</w:t>
      </w:r>
      <w:bookmarkEnd w:id="188"/>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No. 43 of 1987 s. 13; amended: No. 30 of 1995 s. 43 and 47; No. 51 of 2004 s. 56, 99, 102(1) and 112.]</w:t>
      </w:r>
    </w:p>
    <w:p>
      <w:pPr>
        <w:pStyle w:val="Heading5"/>
        <w:spacing w:before="180"/>
        <w:rPr>
          <w:snapToGrid w:val="0"/>
        </w:rPr>
      </w:pPr>
      <w:bookmarkStart w:id="189" w:name="_Toc98511527"/>
      <w:r>
        <w:rPr>
          <w:rStyle w:val="CharSectno"/>
        </w:rPr>
        <w:lastRenderedPageBreak/>
        <w:t>57</w:t>
      </w:r>
      <w:r>
        <w:rPr>
          <w:snapToGrid w:val="0"/>
        </w:rPr>
        <w:t>.</w:t>
      </w:r>
      <w:r>
        <w:rPr>
          <w:snapToGrid w:val="0"/>
        </w:rPr>
        <w:tab/>
        <w:t>Codes of practice</w:t>
      </w:r>
      <w:bookmarkEnd w:id="189"/>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 xml:space="preserve">Where it is alleged in a proceeding under this Act that a person has contravened a provision of this Act or the regulations in </w:t>
      </w:r>
      <w:r>
        <w:rPr>
          <w:snapToGrid w:val="0"/>
        </w:rPr>
        <w:lastRenderedPageBreak/>
        <w:t>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No. 43 of 1987 s. 13; amended: No. 30 of 1995 s. 44 and 47; No. 51 of 2004 s. 100.]</w:t>
      </w:r>
    </w:p>
    <w:p>
      <w:pPr>
        <w:pStyle w:val="Heading5"/>
      </w:pPr>
      <w:bookmarkStart w:id="190" w:name="_Toc98511528"/>
      <w:r>
        <w:rPr>
          <w:rStyle w:val="CharSectno"/>
        </w:rPr>
        <w:t>57A</w:t>
      </w:r>
      <w:r>
        <w:t>.</w:t>
      </w:r>
      <w:r>
        <w:tab/>
        <w:t>Visitors to workplaces to comply with directions</w:t>
      </w:r>
      <w:bookmarkEnd w:id="190"/>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lastRenderedPageBreak/>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No. 51 of 2004 s. 113.]</w:t>
      </w:r>
    </w:p>
    <w:p>
      <w:pPr>
        <w:pStyle w:val="Heading5"/>
        <w:rPr>
          <w:snapToGrid w:val="0"/>
        </w:rPr>
      </w:pPr>
      <w:bookmarkStart w:id="191" w:name="_Toc98511529"/>
      <w:r>
        <w:rPr>
          <w:rStyle w:val="CharSectno"/>
        </w:rPr>
        <w:t>58</w:t>
      </w:r>
      <w:r>
        <w:rPr>
          <w:snapToGrid w:val="0"/>
        </w:rPr>
        <w:t>.</w:t>
      </w:r>
      <w:r>
        <w:rPr>
          <w:snapToGrid w:val="0"/>
        </w:rPr>
        <w:tab/>
        <w:t>Governor may transfer administration of certain laws to Minister</w:t>
      </w:r>
      <w:bookmarkEnd w:id="191"/>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 xml:space="preserve">any law or provision of a law not relating to occupational safety and health that is administered by </w:t>
      </w:r>
      <w:r>
        <w:rPr>
          <w:snapToGrid w:val="0"/>
        </w:rPr>
        <w:lastRenderedPageBreak/>
        <w:t>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No. 43 of 1987 s. 14; amended: No. 30 of 1995 s. 47.]</w:t>
      </w:r>
    </w:p>
    <w:p>
      <w:pPr>
        <w:pStyle w:val="Heading5"/>
        <w:spacing w:before="180"/>
        <w:rPr>
          <w:snapToGrid w:val="0"/>
        </w:rPr>
      </w:pPr>
      <w:bookmarkStart w:id="192" w:name="_Toc98511530"/>
      <w:r>
        <w:rPr>
          <w:rStyle w:val="CharSectno"/>
        </w:rPr>
        <w:t>59</w:t>
      </w:r>
      <w:r>
        <w:rPr>
          <w:snapToGrid w:val="0"/>
        </w:rPr>
        <w:t>.</w:t>
      </w:r>
      <w:r>
        <w:rPr>
          <w:snapToGrid w:val="0"/>
        </w:rPr>
        <w:tab/>
        <w:t>Protection of Commissioner etc. from personal liability</w:t>
      </w:r>
      <w:bookmarkEnd w:id="192"/>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No. 43 of 1987 s. 15.]</w:t>
      </w:r>
    </w:p>
    <w:p>
      <w:pPr>
        <w:pStyle w:val="Heading5"/>
        <w:rPr>
          <w:snapToGrid w:val="0"/>
        </w:rPr>
      </w:pPr>
      <w:bookmarkStart w:id="193" w:name="_Toc98511531"/>
      <w:r>
        <w:rPr>
          <w:rStyle w:val="CharSectno"/>
        </w:rPr>
        <w:lastRenderedPageBreak/>
        <w:t>60</w:t>
      </w:r>
      <w:r>
        <w:rPr>
          <w:snapToGrid w:val="0"/>
        </w:rPr>
        <w:t>.</w:t>
      </w:r>
      <w:r>
        <w:rPr>
          <w:snapToGrid w:val="0"/>
        </w:rPr>
        <w:tab/>
        <w:t>Regulations</w:t>
      </w:r>
      <w:bookmarkEnd w:id="193"/>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lastRenderedPageBreak/>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No. 43 of 1987 s. 16; No. 30 of 1995 s. 45; No. 51 of 2004 s. 37; No. 36 of 2009 s. 14.]</w:t>
      </w:r>
    </w:p>
    <w:p>
      <w:pPr>
        <w:pStyle w:val="Heading5"/>
      </w:pPr>
      <w:bookmarkStart w:id="194" w:name="_Toc98511532"/>
      <w:r>
        <w:rPr>
          <w:rStyle w:val="CharSectno"/>
        </w:rPr>
        <w:lastRenderedPageBreak/>
        <w:t>61A</w:t>
      </w:r>
      <w:r>
        <w:t>.</w:t>
      </w:r>
      <w:r>
        <w:tab/>
        <w:t>Review of Commissioner’s decisions under regulations</w:t>
      </w:r>
      <w:bookmarkEnd w:id="194"/>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No. 36 of 2009 s. 15.]</w:t>
      </w:r>
    </w:p>
    <w:p>
      <w:pPr>
        <w:pStyle w:val="Heading5"/>
        <w:rPr>
          <w:snapToGrid w:val="0"/>
        </w:rPr>
      </w:pPr>
      <w:bookmarkStart w:id="195" w:name="_Toc98511533"/>
      <w:r>
        <w:rPr>
          <w:rStyle w:val="CharSectno"/>
        </w:rPr>
        <w:t>61</w:t>
      </w:r>
      <w:r>
        <w:rPr>
          <w:snapToGrid w:val="0"/>
        </w:rPr>
        <w:t>.</w:t>
      </w:r>
      <w:r>
        <w:rPr>
          <w:snapToGrid w:val="0"/>
        </w:rPr>
        <w:tab/>
        <w:t>Review of Act</w:t>
      </w:r>
      <w:bookmarkEnd w:id="195"/>
    </w:p>
    <w:p>
      <w:pPr>
        <w:pStyle w:val="Subsection"/>
        <w:rPr>
          <w:snapToGrid w:val="0"/>
        </w:rPr>
      </w:pPr>
      <w:r>
        <w:rPr>
          <w:snapToGrid w:val="0"/>
        </w:rPr>
        <w:tab/>
        <w:t>(1)</w:t>
      </w:r>
      <w:r>
        <w:rPr>
          <w:snapToGrid w:val="0"/>
        </w:rPr>
        <w:tab/>
        <w:t xml:space="preserve">The Minister shall carry out a review of the operations of this Act on every fifth anniversary of the commencement of this Act </w:t>
      </w:r>
      <w:r>
        <w:rPr>
          <w:snapToGrid w:val="0"/>
        </w:rPr>
        <w:lastRenderedPageBreak/>
        <w:t>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No. 43 of 1987 s. 17; amended: No. 30 of 1995 s. 47; No. 51 of 2004 s. 102(2) and (3).]</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96" w:name="_Toc98510700"/>
      <w:bookmarkStart w:id="197" w:name="_Toc98511534"/>
      <w:r>
        <w:rPr>
          <w:rStyle w:val="CharSchNo"/>
        </w:rPr>
        <w:lastRenderedPageBreak/>
        <w:t>Schedule 1</w:t>
      </w:r>
      <w:r>
        <w:t> — </w:t>
      </w:r>
      <w:r>
        <w:rPr>
          <w:rStyle w:val="CharSchText"/>
        </w:rPr>
        <w:t>Subject matter for regulations</w:t>
      </w:r>
      <w:bookmarkEnd w:id="196"/>
      <w:bookmarkEnd w:id="197"/>
    </w:p>
    <w:p>
      <w:pPr>
        <w:pStyle w:val="yShoulderClause"/>
      </w:pPr>
      <w:r>
        <w:t>[s. 60(5)]</w:t>
      </w:r>
    </w:p>
    <w:p>
      <w:pPr>
        <w:pStyle w:val="yFootnoteheading"/>
        <w:spacing w:before="80"/>
      </w:pPr>
      <w:r>
        <w:tab/>
        <w:t>[Heading inserted: No. 36 of 2009 s. 16.]</w:t>
      </w:r>
    </w:p>
    <w:p>
      <w:pPr>
        <w:pStyle w:val="yNumberedItem"/>
        <w:ind w:hanging="595"/>
        <w:rPr>
          <w:snapToGrid w:val="0"/>
        </w:rPr>
      </w:pPr>
      <w:r>
        <w:rPr>
          <w:snapToGrid w:val="0"/>
        </w:rPr>
        <w:t>1.</w:t>
      </w:r>
      <w:r>
        <w:rPr>
          <w:snapToGrid w:val="0"/>
        </w:rPr>
        <w:tab/>
        <w:t>Safety and health standards or procedures to be complied with —</w:t>
      </w:r>
    </w:p>
    <w:p>
      <w:pPr>
        <w:pStyle w:val="yNumberedItemPara"/>
        <w:rPr>
          <w:snapToGrid w:val="0"/>
        </w:rPr>
      </w:pPr>
      <w:r>
        <w:rPr>
          <w:snapToGrid w:val="0"/>
        </w:rPr>
        <w:tab/>
        <w:t>(a)</w:t>
      </w:r>
      <w:r>
        <w:rPr>
          <w:snapToGrid w:val="0"/>
        </w:rPr>
        <w:tab/>
        <w:t>at any workplace; or</w:t>
      </w:r>
    </w:p>
    <w:p>
      <w:pPr>
        <w:pStyle w:val="yNumberedItemPara"/>
        <w:rPr>
          <w:snapToGrid w:val="0"/>
        </w:rPr>
      </w:pPr>
      <w:r>
        <w:rPr>
          <w:snapToGrid w:val="0"/>
        </w:rPr>
        <w:tab/>
        <w:t>(b)</w:t>
      </w:r>
      <w:r>
        <w:rPr>
          <w:snapToGrid w:val="0"/>
        </w:rPr>
        <w:tab/>
        <w:t>in the performance of any work; or</w:t>
      </w:r>
    </w:p>
    <w:p>
      <w:pPr>
        <w:pStyle w:val="yNumberedItemPara"/>
        <w:rPr>
          <w:snapToGrid w:val="0"/>
        </w:rPr>
      </w:pPr>
      <w:r>
        <w:rPr>
          <w:snapToGrid w:val="0"/>
        </w:rPr>
        <w:tab/>
        <w:t>(c)</w:t>
      </w:r>
      <w:r>
        <w:rPr>
          <w:snapToGrid w:val="0"/>
        </w:rPr>
        <w:tab/>
        <w:t>in the use, cleaning, maintenance, disposal or transportation of any plant; or</w:t>
      </w:r>
    </w:p>
    <w:p>
      <w:pPr>
        <w:pStyle w:val="yNumberedItemPara"/>
        <w:rPr>
          <w:snapToGrid w:val="0"/>
        </w:rPr>
      </w:pPr>
      <w:r>
        <w:rPr>
          <w:snapToGrid w:val="0"/>
        </w:rPr>
        <w:tab/>
        <w:t>(d)</w:t>
      </w:r>
      <w:r>
        <w:rPr>
          <w:snapToGrid w:val="0"/>
        </w:rPr>
        <w:tab/>
        <w:t>in the use, handling, treatment, removal, processing, storing, transport or disposal of any substance; or</w:t>
      </w:r>
    </w:p>
    <w:p>
      <w:pPr>
        <w:pStyle w:val="yNumberedItemPara"/>
        <w:rPr>
          <w:snapToGrid w:val="0"/>
        </w:rPr>
      </w:pPr>
      <w:r>
        <w:rPr>
          <w:snapToGrid w:val="0"/>
        </w:rPr>
        <w:tab/>
        <w:t>(e)</w:t>
      </w:r>
      <w:r>
        <w:rPr>
          <w:snapToGrid w:val="0"/>
        </w:rPr>
        <w:tab/>
        <w:t>in the design, manufacture, importing or supplying of any plant; or</w:t>
      </w:r>
    </w:p>
    <w:p>
      <w:pPr>
        <w:pStyle w:val="yNumberedItemPara"/>
        <w:rPr>
          <w:snapToGrid w:val="0"/>
        </w:rPr>
      </w:pPr>
      <w:r>
        <w:rPr>
          <w:snapToGrid w:val="0"/>
        </w:rPr>
        <w:tab/>
        <w:t>(f)</w:t>
      </w:r>
      <w:r>
        <w:rPr>
          <w:snapToGrid w:val="0"/>
        </w:rPr>
        <w:tab/>
        <w:t>in the design, manufacture, importing or supplying of any substance; or</w:t>
      </w:r>
    </w:p>
    <w:p>
      <w:pPr>
        <w:pStyle w:val="yNumberedItemPara"/>
        <w:rPr>
          <w:snapToGrid w:val="0"/>
        </w:rPr>
      </w:pPr>
      <w:r>
        <w:rPr>
          <w:snapToGrid w:val="0"/>
        </w:rPr>
        <w:tab/>
        <w:t>(g)</w:t>
      </w:r>
      <w:r>
        <w:rPr>
          <w:snapToGrid w:val="0"/>
        </w:rPr>
        <w:tab/>
        <w:t>in the design or construction of any building or structure, including a temporary structure.</w:t>
      </w:r>
    </w:p>
    <w:p>
      <w:pPr>
        <w:pStyle w:val="yNumberedItem"/>
        <w:ind w:hanging="595"/>
      </w:pPr>
      <w:r>
        <w:t>1A.</w:t>
      </w:r>
      <w:r>
        <w:tab/>
        <w:t>The imposition of duties on persons in relation to —</w:t>
      </w:r>
    </w:p>
    <w:p>
      <w:pPr>
        <w:pStyle w:val="yNumberedItemPara"/>
        <w:rPr>
          <w:snapToGrid w:val="0"/>
        </w:rPr>
      </w:pPr>
      <w:r>
        <w:rPr>
          <w:snapToGrid w:val="0"/>
        </w:rPr>
        <w:tab/>
        <w:t>(a)</w:t>
      </w:r>
      <w:r>
        <w:rPr>
          <w:snapToGrid w:val="0"/>
        </w:rPr>
        <w:tab/>
        <w:t>the identification of hazards at workplaces; and</w:t>
      </w:r>
    </w:p>
    <w:p>
      <w:pPr>
        <w:pStyle w:val="yNumberedItemPara"/>
        <w:rPr>
          <w:snapToGrid w:val="0"/>
        </w:rPr>
      </w:pPr>
      <w:r>
        <w:rPr>
          <w:snapToGrid w:val="0"/>
        </w:rPr>
        <w:tab/>
        <w:t>(b)</w:t>
      </w:r>
      <w:r>
        <w:rPr>
          <w:snapToGrid w:val="0"/>
        </w:rPr>
        <w:tab/>
        <w:t>the assessment of risks resulting from such hazards; and</w:t>
      </w:r>
    </w:p>
    <w:p>
      <w:pPr>
        <w:pStyle w:val="yNumberedItemPara"/>
        <w:rPr>
          <w:snapToGrid w:val="0"/>
        </w:rPr>
      </w:pPr>
      <w:r>
        <w:rPr>
          <w:snapToGrid w:val="0"/>
        </w:rPr>
        <w:tab/>
        <w:t>(c)</w:t>
      </w:r>
      <w:r>
        <w:rPr>
          <w:snapToGrid w:val="0"/>
        </w:rPr>
        <w:tab/>
        <w:t>the taking of remedial or other action.</w:t>
      </w:r>
    </w:p>
    <w:p>
      <w:pPr>
        <w:pStyle w:val="yNumberedItem"/>
        <w:ind w:hanging="595"/>
        <w:rPr>
          <w:snapToGrid w:val="0"/>
        </w:rPr>
      </w:pPr>
      <w:r>
        <w:rPr>
          <w:snapToGrid w:val="0"/>
        </w:rPr>
        <w:t>2.</w:t>
      </w:r>
      <w:r>
        <w:rPr>
          <w:snapToGrid w:val="0"/>
        </w:rPr>
        <w:tab/>
        <w:t>The safeguarding, siting, installing, testing, altering, repairing, maintaining or dismantling of any plant.</w:t>
      </w:r>
    </w:p>
    <w:p>
      <w:pPr>
        <w:pStyle w:val="yNumberedItem"/>
        <w:ind w:hanging="595"/>
        <w:rPr>
          <w:snapToGrid w:val="0"/>
        </w:rPr>
      </w:pPr>
      <w:r>
        <w:rPr>
          <w:snapToGrid w:val="0"/>
        </w:rPr>
        <w:t>3.</w:t>
      </w:r>
      <w:r>
        <w:rPr>
          <w:snapToGrid w:val="0"/>
        </w:rPr>
        <w:tab/>
        <w:t>The testing, analysis, labelling or marking of any plant or substance.</w:t>
      </w:r>
    </w:p>
    <w:p>
      <w:pPr>
        <w:pStyle w:val="yNumberedItem"/>
        <w:ind w:hanging="595"/>
        <w:rPr>
          <w:snapToGrid w:val="0"/>
        </w:rPr>
      </w:pPr>
      <w:r>
        <w:rPr>
          <w:snapToGrid w:val="0"/>
        </w:rPr>
        <w:t>4.</w:t>
      </w:r>
      <w:r>
        <w:rPr>
          <w:snapToGrid w:val="0"/>
        </w:rPr>
        <w:tab/>
        <w:t>The registration or licensing of —</w:t>
      </w:r>
    </w:p>
    <w:p>
      <w:pPr>
        <w:pStyle w:val="yNumberedItemPara"/>
        <w:rPr>
          <w:snapToGrid w:val="0"/>
        </w:rPr>
      </w:pPr>
      <w:r>
        <w:rPr>
          <w:snapToGrid w:val="0"/>
        </w:rPr>
        <w:tab/>
        <w:t>(a)</w:t>
      </w:r>
      <w:r>
        <w:rPr>
          <w:snapToGrid w:val="0"/>
        </w:rPr>
        <w:tab/>
        <w:t>any work, plant, process, substance or workplace;</w:t>
      </w:r>
    </w:p>
    <w:p>
      <w:pPr>
        <w:pStyle w:val="yNumberedItemPara"/>
        <w:rPr>
          <w:snapToGrid w:val="0"/>
        </w:rPr>
      </w:pPr>
      <w:r>
        <w:rPr>
          <w:snapToGrid w:val="0"/>
        </w:rPr>
        <w:tab/>
        <w:t>(b)</w:t>
      </w:r>
      <w:r>
        <w:rPr>
          <w:snapToGrid w:val="0"/>
        </w:rPr>
        <w:tab/>
        <w:t>any person carrying out any kind of work,</w:t>
      </w:r>
    </w:p>
    <w:p>
      <w:pPr>
        <w:pStyle w:val="yNumberedItem"/>
        <w:ind w:hanging="595"/>
        <w:rPr>
          <w:snapToGrid w:val="0"/>
        </w:rPr>
      </w:pPr>
      <w:r>
        <w:rPr>
          <w:snapToGrid w:val="0"/>
        </w:rPr>
        <w:tab/>
        <w:t>by the Commissioner or any other prescribed person or authority.</w:t>
      </w:r>
    </w:p>
    <w:p>
      <w:pPr>
        <w:pStyle w:val="yNumberedItem"/>
        <w:ind w:hanging="595"/>
      </w:pPr>
      <w:r>
        <w:rPr>
          <w:snapToGrid w:val="0"/>
        </w:rPr>
        <w:t>4A</w:t>
      </w:r>
      <w:r>
        <w:t>.</w:t>
      </w:r>
      <w:r>
        <w:tab/>
        <w:t>Duties to be observed by —</w:t>
      </w:r>
    </w:p>
    <w:p>
      <w:pPr>
        <w:pStyle w:val="yNumberedItemPara"/>
        <w:rPr>
          <w:snapToGrid w:val="0"/>
        </w:rPr>
      </w:pPr>
      <w:r>
        <w:rPr>
          <w:snapToGrid w:val="0"/>
        </w:rPr>
        <w:tab/>
        <w:t>(a)</w:t>
      </w:r>
      <w:r>
        <w:rPr>
          <w:snapToGrid w:val="0"/>
        </w:rPr>
        <w:tab/>
        <w:t>the owner; or</w:t>
      </w:r>
    </w:p>
    <w:p>
      <w:pPr>
        <w:pStyle w:val="yNumberedItemPara"/>
        <w:rPr>
          <w:snapToGrid w:val="0"/>
        </w:rPr>
      </w:pPr>
      <w:r>
        <w:rPr>
          <w:snapToGrid w:val="0"/>
        </w:rPr>
        <w:tab/>
        <w:t>(b)</w:t>
      </w:r>
      <w:r>
        <w:rPr>
          <w:snapToGrid w:val="0"/>
        </w:rPr>
        <w:tab/>
        <w:t>a person having the control,</w:t>
      </w:r>
    </w:p>
    <w:p>
      <w:pPr>
        <w:pStyle w:val="yNumberedItem"/>
        <w:ind w:hanging="595"/>
      </w:pPr>
      <w:r>
        <w:tab/>
        <w:t>of plant used at a workplace.</w:t>
      </w:r>
    </w:p>
    <w:p>
      <w:pPr>
        <w:pStyle w:val="yNumberedItem"/>
        <w:ind w:hanging="595"/>
        <w:rPr>
          <w:snapToGrid w:val="0"/>
        </w:rPr>
      </w:pPr>
      <w:r>
        <w:rPr>
          <w:snapToGrid w:val="0"/>
        </w:rPr>
        <w:lastRenderedPageBreak/>
        <w:t>5.</w:t>
      </w:r>
      <w:r>
        <w:rPr>
          <w:snapToGrid w:val="0"/>
        </w:rPr>
        <w:tab/>
        <w:t>The issuing of certificates of competency or provisional certificates of competency for persons engaged in prescribed work and for the duration, variation, suspension or cancellation of such certificates.</w:t>
      </w:r>
    </w:p>
    <w:p>
      <w:pPr>
        <w:pStyle w:val="yNumberedItem"/>
        <w:ind w:hanging="595"/>
        <w:rPr>
          <w:snapToGrid w:val="0"/>
        </w:rPr>
      </w:pPr>
      <w:r>
        <w:rPr>
          <w:snapToGrid w:val="0"/>
        </w:rPr>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NumberedItem"/>
        <w:ind w:hanging="595"/>
        <w:rPr>
          <w:snapToGrid w:val="0"/>
        </w:rPr>
      </w:pPr>
      <w:r>
        <w:rPr>
          <w:snapToGrid w:val="0"/>
        </w:rPr>
        <w:t>6A.</w:t>
      </w:r>
      <w:r>
        <w:rPr>
          <w:snapToGrid w:val="0"/>
        </w:rPr>
        <w:tab/>
        <w:t>The prohibition of the use, handling, treatment, storage, transportation or disposal of any prescribed substance at a workplace.</w:t>
      </w:r>
    </w:p>
    <w:p>
      <w:pPr>
        <w:pStyle w:val="yNumberedItem"/>
        <w:ind w:hanging="595"/>
        <w:rPr>
          <w:snapToGrid w:val="0"/>
        </w:rPr>
      </w:pPr>
      <w:r>
        <w:rPr>
          <w:snapToGrid w:val="0"/>
        </w:rPr>
        <w:t>7.</w:t>
      </w:r>
      <w:r>
        <w:rPr>
          <w:snapToGrid w:val="0"/>
        </w:rPr>
        <w:tab/>
        <w:t>The taking of any measures or precautions to avoid any accident or dangerous occurrence at any workplace.</w:t>
      </w:r>
    </w:p>
    <w:p>
      <w:pPr>
        <w:pStyle w:val="yNumberedItem"/>
        <w:ind w:hanging="595"/>
        <w:rPr>
          <w:snapToGrid w:val="0"/>
        </w:rPr>
      </w:pPr>
      <w:r>
        <w:rPr>
          <w:snapToGrid w:val="0"/>
        </w:rPr>
        <w:t>8.</w:t>
      </w:r>
      <w:r>
        <w:rPr>
          <w:snapToGrid w:val="0"/>
        </w:rPr>
        <w:tab/>
        <w:t>The taking of any action in the event of any accident, injury, disease or dangerous occurrence.</w:t>
      </w:r>
    </w:p>
    <w:p>
      <w:pPr>
        <w:pStyle w:val="yNumberedItem"/>
        <w:ind w:hanging="595"/>
        <w:rPr>
          <w:snapToGrid w:val="0"/>
        </w:rPr>
      </w:pPr>
      <w:r>
        <w:rPr>
          <w:snapToGrid w:val="0"/>
        </w:rPr>
        <w:t>9.</w:t>
      </w:r>
      <w:r>
        <w:rPr>
          <w:snapToGrid w:val="0"/>
        </w:rPr>
        <w:tab/>
        <w:t>The monitoring by an employer of —</w:t>
      </w:r>
    </w:p>
    <w:p>
      <w:pPr>
        <w:pStyle w:val="yNumberedItemPara"/>
        <w:rPr>
          <w:snapToGrid w:val="0"/>
        </w:rPr>
      </w:pPr>
      <w:r>
        <w:rPr>
          <w:snapToGrid w:val="0"/>
        </w:rPr>
        <w:tab/>
        <w:t>(a)</w:t>
      </w:r>
      <w:r>
        <w:rPr>
          <w:snapToGrid w:val="0"/>
        </w:rPr>
        <w:tab/>
        <w:t>the health of the employees of the employer, subject to their consent; and</w:t>
      </w:r>
    </w:p>
    <w:p>
      <w:pPr>
        <w:pStyle w:val="yNumberedItemPara"/>
        <w:rPr>
          <w:snapToGrid w:val="0"/>
        </w:rPr>
      </w:pPr>
      <w:r>
        <w:rPr>
          <w:snapToGrid w:val="0"/>
        </w:rPr>
        <w:tab/>
        <w:t>(b)</w:t>
      </w:r>
      <w:r>
        <w:rPr>
          <w:snapToGrid w:val="0"/>
        </w:rPr>
        <w:tab/>
        <w:t>working conditions at each workplace at which an employee of the employer, carries out work.</w:t>
      </w:r>
    </w:p>
    <w:p>
      <w:pPr>
        <w:pStyle w:val="yNumberedItem"/>
        <w:ind w:hanging="595"/>
        <w:rPr>
          <w:snapToGrid w:val="0"/>
        </w:rPr>
      </w:pPr>
      <w:r>
        <w:rPr>
          <w:snapToGrid w:val="0"/>
        </w:rPr>
        <w:t>10.</w:t>
      </w:r>
      <w:r>
        <w:rPr>
          <w:snapToGrid w:val="0"/>
        </w:rPr>
        <w:tab/>
        <w:t>The supply, use and maintenance of clothing and equipment for occupational safety or health purposes and the approval of such clothing and equipment for particular purposes.</w:t>
      </w:r>
    </w:p>
    <w:p>
      <w:pPr>
        <w:pStyle w:val="yNumberedItem"/>
        <w:ind w:hanging="595"/>
        <w:rPr>
          <w:snapToGrid w:val="0"/>
        </w:rPr>
      </w:pPr>
      <w:r>
        <w:rPr>
          <w:snapToGrid w:val="0"/>
        </w:rPr>
        <w:t>11.</w:t>
      </w:r>
      <w:r>
        <w:rPr>
          <w:snapToGrid w:val="0"/>
        </w:rPr>
        <w:tab/>
        <w:t>Fire</w:t>
      </w:r>
      <w:r>
        <w:rPr>
          <w:snapToGrid w:val="0"/>
        </w:rPr>
        <w:noBreakHyphen/>
        <w:t>safety rules and procedures and the provision and maintenance of fire protection equipment.</w:t>
      </w:r>
    </w:p>
    <w:p>
      <w:pPr>
        <w:pStyle w:val="yNumberedItem"/>
        <w:ind w:hanging="595"/>
        <w:rPr>
          <w:snapToGrid w:val="0"/>
        </w:rPr>
      </w:pPr>
      <w:r>
        <w:rPr>
          <w:snapToGrid w:val="0"/>
        </w:rPr>
        <w:t>12.</w:t>
      </w:r>
      <w:r>
        <w:rPr>
          <w:snapToGrid w:val="0"/>
        </w:rPr>
        <w:tab/>
        <w:t>The appointment of persons who are to be responsible for the supervision of occupational safety and health in prescribed circumstances or industries.</w:t>
      </w:r>
    </w:p>
    <w:p>
      <w:pPr>
        <w:pStyle w:val="yNumberedItem"/>
        <w:ind w:hanging="595"/>
        <w:rPr>
          <w:snapToGrid w:val="0"/>
        </w:rPr>
      </w:pPr>
      <w:r>
        <w:rPr>
          <w:snapToGrid w:val="0"/>
        </w:rPr>
        <w:t>13.</w:t>
      </w:r>
      <w:r>
        <w:rPr>
          <w:snapToGrid w:val="0"/>
        </w:rPr>
        <w:tab/>
        <w:t>The form and use of scaffolding, form work, false work and related equipment.</w:t>
      </w:r>
    </w:p>
    <w:p>
      <w:pPr>
        <w:pStyle w:val="yNumberedItem"/>
        <w:ind w:hanging="595"/>
        <w:rPr>
          <w:snapToGrid w:val="0"/>
        </w:rPr>
      </w:pPr>
      <w:r>
        <w:rPr>
          <w:snapToGrid w:val="0"/>
        </w:rPr>
        <w:t xml:space="preserve">14. </w:t>
      </w:r>
      <w:r>
        <w:rPr>
          <w:snapToGrid w:val="0"/>
        </w:rPr>
        <w:tab/>
        <w:t>The carriage and handling of cash.</w:t>
      </w:r>
    </w:p>
    <w:p>
      <w:pPr>
        <w:pStyle w:val="yNumberedItem"/>
        <w:ind w:hanging="595"/>
        <w:rPr>
          <w:snapToGrid w:val="0"/>
        </w:rPr>
      </w:pPr>
      <w:r>
        <w:rPr>
          <w:snapToGrid w:val="0"/>
        </w:rPr>
        <w:t xml:space="preserve">15. </w:t>
      </w:r>
      <w:r>
        <w:rPr>
          <w:snapToGrid w:val="0"/>
        </w:rPr>
        <w:tab/>
        <w:t>The provision of first aid facilities at workplaces and the standards for such facilities.</w:t>
      </w:r>
    </w:p>
    <w:p>
      <w:pPr>
        <w:pStyle w:val="yNumberedItem"/>
        <w:ind w:hanging="595"/>
        <w:rPr>
          <w:snapToGrid w:val="0"/>
        </w:rPr>
      </w:pPr>
      <w:r>
        <w:rPr>
          <w:snapToGrid w:val="0"/>
        </w:rPr>
        <w:t>16.</w:t>
      </w:r>
      <w:r>
        <w:rPr>
          <w:snapToGrid w:val="0"/>
        </w:rPr>
        <w:tab/>
        <w:t>The provision by an employer of suitably qualified persons who are available to advise the employer on matters concerning the safety and health of the employees of the employer.</w:t>
      </w:r>
    </w:p>
    <w:p>
      <w:pPr>
        <w:pStyle w:val="yNumberedItem"/>
        <w:ind w:hanging="595"/>
        <w:rPr>
          <w:snapToGrid w:val="0"/>
        </w:rPr>
      </w:pPr>
      <w:r>
        <w:rPr>
          <w:snapToGrid w:val="0"/>
        </w:rPr>
        <w:lastRenderedPageBreak/>
        <w:t>17.</w:t>
      </w:r>
      <w:r>
        <w:rPr>
          <w:snapToGrid w:val="0"/>
        </w:rPr>
        <w:tab/>
        <w:t>The medical examination of employees subject to their consent.</w:t>
      </w:r>
    </w:p>
    <w:p>
      <w:pPr>
        <w:pStyle w:val="yNumberedItem"/>
        <w:ind w:hanging="595"/>
        <w:rPr>
          <w:snapToGrid w:val="0"/>
        </w:rPr>
      </w:pPr>
      <w:r>
        <w:rPr>
          <w:snapToGrid w:val="0"/>
        </w:rPr>
        <w:t xml:space="preserve">18. </w:t>
      </w:r>
      <w:r>
        <w:rPr>
          <w:snapToGrid w:val="0"/>
        </w:rPr>
        <w:tab/>
        <w:t>The provision by employers or occupiers of prescribed facilities for the safety and health of persons at the workplace.</w:t>
      </w:r>
    </w:p>
    <w:p>
      <w:pPr>
        <w:pStyle w:val="yNumberedItem"/>
        <w:ind w:hanging="595"/>
        <w:rPr>
          <w:snapToGrid w:val="0"/>
        </w:rPr>
      </w:pPr>
      <w:r>
        <w:rPr>
          <w:snapToGrid w:val="0"/>
        </w:rPr>
        <w:t>19.</w:t>
      </w:r>
      <w:r>
        <w:rPr>
          <w:snapToGrid w:val="0"/>
        </w:rPr>
        <w:tab/>
        <w:t>The employment of young persons.</w:t>
      </w:r>
    </w:p>
    <w:p>
      <w:pPr>
        <w:pStyle w:val="yNumberedItem"/>
        <w:ind w:hanging="595"/>
        <w:rPr>
          <w:snapToGrid w:val="0"/>
        </w:rPr>
      </w:pPr>
      <w:r>
        <w:rPr>
          <w:snapToGrid w:val="0"/>
        </w:rPr>
        <w:t>20.</w:t>
      </w:r>
      <w:r>
        <w:rPr>
          <w:snapToGrid w:val="0"/>
        </w:rPr>
        <w:tab/>
        <w:t>The safety of persons in isolated or remote areas.</w:t>
      </w:r>
    </w:p>
    <w:p>
      <w:pPr>
        <w:pStyle w:val="yNumberedItem"/>
        <w:ind w:hanging="595"/>
        <w:rPr>
          <w:snapToGrid w:val="0"/>
        </w:rPr>
      </w:pPr>
      <w:r>
        <w:rPr>
          <w:snapToGrid w:val="0"/>
        </w:rPr>
        <w:t>21.</w:t>
      </w:r>
      <w:r>
        <w:rPr>
          <w:snapToGrid w:val="0"/>
        </w:rPr>
        <w:tab/>
        <w:t>Standards for the manual handling of loads by employees.</w:t>
      </w:r>
    </w:p>
    <w:p>
      <w:pPr>
        <w:pStyle w:val="yNumberedItem"/>
        <w:ind w:hanging="595"/>
        <w:rPr>
          <w:snapToGrid w:val="0"/>
        </w:rPr>
      </w:pPr>
      <w:r>
        <w:rPr>
          <w:snapToGrid w:val="0"/>
        </w:rPr>
        <w:t>22.</w:t>
      </w:r>
      <w:r>
        <w:rPr>
          <w:snapToGrid w:val="0"/>
        </w:rPr>
        <w:tab/>
        <w:t>The safety of persons in the vicinity of any workplace.</w:t>
      </w:r>
    </w:p>
    <w:p>
      <w:pPr>
        <w:pStyle w:val="yNumberedItem"/>
        <w:ind w:hanging="595"/>
        <w:rPr>
          <w:snapToGrid w:val="0"/>
        </w:rPr>
      </w:pPr>
      <w:r>
        <w:rPr>
          <w:snapToGrid w:val="0"/>
        </w:rPr>
        <w:t>23.</w:t>
      </w:r>
      <w:r>
        <w:rPr>
          <w:snapToGrid w:val="0"/>
        </w:rPr>
        <w:tab/>
        <w:t>The giving of notices, in specified circumstances, to the Minister, an inspector or other prescribed person or authority.</w:t>
      </w:r>
    </w:p>
    <w:p>
      <w:pPr>
        <w:pStyle w:val="yNumberedItem"/>
        <w:ind w:hanging="595"/>
        <w:rPr>
          <w:snapToGrid w:val="0"/>
        </w:rPr>
      </w:pPr>
      <w:r>
        <w:rPr>
          <w:snapToGrid w:val="0"/>
        </w:rPr>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NumberedItem"/>
        <w:ind w:hanging="595"/>
        <w:rPr>
          <w:snapToGrid w:val="0"/>
        </w:rPr>
      </w:pPr>
      <w:r>
        <w:rPr>
          <w:snapToGrid w:val="0"/>
        </w:rPr>
        <w:t>24A.</w:t>
      </w:r>
      <w:r>
        <w:rPr>
          <w:snapToGrid w:val="0"/>
        </w:rPr>
        <w:tab/>
        <w:t>The reporting of injuries incurred at workplaces, or diseases affecting employees at workplaces, other than injuries and diseases prescribed for the purposes of section 23I.</w:t>
      </w:r>
    </w:p>
    <w:p>
      <w:pPr>
        <w:pStyle w:val="yNumberedItem"/>
        <w:ind w:hanging="595"/>
        <w:rPr>
          <w:snapToGrid w:val="0"/>
        </w:rPr>
      </w:pPr>
      <w:r>
        <w:rPr>
          <w:snapToGrid w:val="0"/>
        </w:rPr>
        <w:t>25.</w:t>
      </w:r>
      <w:r>
        <w:rPr>
          <w:snapToGrid w:val="0"/>
        </w:rPr>
        <w:tab/>
        <w:t>The provision by an employer to the employees of the employer, in such languages as may be appropriate, of information relating to safety and health in connection with the work carried out by the employee.</w:t>
      </w:r>
    </w:p>
    <w:p>
      <w:pPr>
        <w:pStyle w:val="yNumberedItem"/>
        <w:ind w:hanging="595"/>
        <w:rPr>
          <w:snapToGrid w:val="0"/>
        </w:rPr>
      </w:pPr>
      <w:r>
        <w:rPr>
          <w:snapToGrid w:val="0"/>
        </w:rPr>
        <w:t>26.</w:t>
      </w:r>
      <w:r>
        <w:rPr>
          <w:snapToGrid w:val="0"/>
        </w:rPr>
        <w:tab/>
        <w:t>Procedures that are to be carried out on inspections under this Act.</w:t>
      </w:r>
    </w:p>
    <w:p>
      <w:pPr>
        <w:pStyle w:val="yNumberedItem"/>
        <w:ind w:hanging="595"/>
        <w:rPr>
          <w:snapToGrid w:val="0"/>
        </w:rPr>
      </w:pPr>
      <w:r>
        <w:rPr>
          <w:snapToGrid w:val="0"/>
        </w:rPr>
        <w:tab/>
        <w:t>26A.</w:t>
      </w:r>
      <w:r>
        <w:rPr>
          <w:snapToGrid w:val="0"/>
        </w:rPr>
        <w:tab/>
        <w:t>The conduct of elections under this Act by secret ballot.</w:t>
      </w:r>
    </w:p>
    <w:p>
      <w:pPr>
        <w:pStyle w:val="yEdnotenumbereditem"/>
        <w:ind w:hanging="737"/>
      </w:pPr>
      <w:r>
        <w:t>[26B.</w:t>
      </w:r>
      <w:r>
        <w:tab/>
        <w:t>deleted]</w:t>
      </w:r>
    </w:p>
    <w:p>
      <w:pPr>
        <w:pStyle w:val="yNumberedItem"/>
        <w:ind w:hanging="595"/>
        <w:rPr>
          <w:snapToGrid w:val="0"/>
        </w:rPr>
      </w:pPr>
      <w:r>
        <w:rPr>
          <w:snapToGrid w:val="0"/>
        </w:rPr>
        <w:t>26C.</w:t>
      </w:r>
      <w:r>
        <w:rPr>
          <w:snapToGrid w:val="0"/>
        </w:rPr>
        <w:tab/>
        <w:t>The remuneration of agents for services performed in connection with appearances under section 51D.</w:t>
      </w:r>
    </w:p>
    <w:p>
      <w:pPr>
        <w:pStyle w:val="yNumberedItem"/>
        <w:ind w:hanging="595"/>
        <w:rPr>
          <w:snapToGrid w:val="0"/>
        </w:rPr>
      </w:pPr>
      <w:r>
        <w:rPr>
          <w:snapToGrid w:val="0"/>
        </w:rPr>
        <w:t>26D.</w:t>
      </w:r>
      <w:r>
        <w:rPr>
          <w:snapToGrid w:val="0"/>
        </w:rPr>
        <w:tab/>
        <w:t>The establishment of safety and health committees by employers.</w:t>
      </w:r>
    </w:p>
    <w:p>
      <w:pPr>
        <w:pStyle w:val="yNumberedItem"/>
        <w:ind w:hanging="595"/>
        <w:rPr>
          <w:snapToGrid w:val="0"/>
        </w:rPr>
      </w:pPr>
      <w:r>
        <w:rPr>
          <w:snapToGrid w:val="0"/>
        </w:rPr>
        <w:t>27.</w:t>
      </w:r>
      <w:r>
        <w:rPr>
          <w:snapToGrid w:val="0"/>
        </w:rPr>
        <w:tab/>
        <w:t>Fees (including differential and periodic fees) for the purpose of this Act.</w:t>
      </w:r>
    </w:p>
    <w:p>
      <w:pPr>
        <w:pStyle w:val="yNumberedItem"/>
        <w:ind w:hanging="595"/>
        <w:rPr>
          <w:snapToGrid w:val="0"/>
        </w:rPr>
      </w:pPr>
      <w:r>
        <w:rPr>
          <w:snapToGrid w:val="0"/>
        </w:rPr>
        <w:t>28.</w:t>
      </w:r>
      <w:r>
        <w:rPr>
          <w:snapToGrid w:val="0"/>
        </w:rPr>
        <w:tab/>
        <w:t>Forms to be used for the purposes of this Act.</w:t>
      </w:r>
    </w:p>
    <w:p>
      <w:pPr>
        <w:pStyle w:val="yNumberedItem"/>
        <w:ind w:hanging="595"/>
        <w:rPr>
          <w:snapToGrid w:val="0"/>
        </w:rPr>
      </w:pPr>
      <w:r>
        <w:rPr>
          <w:snapToGrid w:val="0"/>
        </w:rPr>
        <w:t>29.</w:t>
      </w:r>
      <w:r>
        <w:rPr>
          <w:snapToGrid w:val="0"/>
        </w:rPr>
        <w:tab/>
        <w:t>The recovery of fees under this Act.</w:t>
      </w:r>
    </w:p>
    <w:p>
      <w:pPr>
        <w:pStyle w:val="yNumberedItem"/>
        <w:ind w:hanging="595"/>
        <w:rPr>
          <w:snapToGrid w:val="0"/>
        </w:rPr>
      </w:pPr>
      <w:r>
        <w:rPr>
          <w:snapToGrid w:val="0"/>
        </w:rPr>
        <w:lastRenderedPageBreak/>
        <w:t>30.</w:t>
      </w:r>
      <w:r>
        <w:rPr>
          <w:snapToGrid w:val="0"/>
        </w:rPr>
        <w:tab/>
        <w:t>Standards in relation to the use of any physical, biological, chemical or psychological hazard (including standards concerning exposure to any of those hazards).</w:t>
      </w:r>
    </w:p>
    <w:p>
      <w:pPr>
        <w:pStyle w:val="yNumberedItem"/>
        <w:ind w:hanging="595"/>
        <w:rPr>
          <w:snapToGrid w:val="0"/>
        </w:rPr>
      </w:pPr>
      <w:r>
        <w:rPr>
          <w:snapToGrid w:val="0"/>
        </w:rPr>
        <w:t>31.</w:t>
      </w:r>
      <w:r>
        <w:rPr>
          <w:snapToGrid w:val="0"/>
        </w:rPr>
        <w:tab/>
        <w:t>The approval of laboratories for the analysis of samples taken under this Act and the conduct of tests for the purposes of this Act.</w:t>
      </w:r>
    </w:p>
    <w:p>
      <w:pPr>
        <w:pStyle w:val="yFootnotesection"/>
      </w:pPr>
      <w:r>
        <w:tab/>
        <w:t>[Schedule 1, formerly Schedule, inserted: No. 43 of 1987 s. 18; amended: No. 30 of 1995 s. 46 and 47; No. 51 of 2004 s. 13, 57, 69(4), 101 and 114; renumbered as Schedule 1: No. 36 of 2009 s.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9" w:name="_Toc98510701"/>
      <w:bookmarkStart w:id="200" w:name="_Toc98511535"/>
      <w:r>
        <w:lastRenderedPageBreak/>
        <w:t>Notes</w:t>
      </w:r>
      <w:bookmarkEnd w:id="199"/>
      <w:bookmarkEnd w:id="200"/>
    </w:p>
    <w:p>
      <w:pPr>
        <w:pStyle w:val="nStatement"/>
      </w:pPr>
      <w:r>
        <w:t xml:space="preserve">This is a compilation of the </w:t>
      </w:r>
      <w:r>
        <w:rPr>
          <w:i/>
          <w:noProof/>
        </w:rPr>
        <w:t>Occupational Safety and Health Act 1984</w:t>
      </w:r>
      <w:r>
        <w:t xml:space="preserve"> and includes amendments made by other written laws </w:t>
      </w:r>
      <w:r>
        <w:rPr>
          <w:vertAlign w:val="superscript"/>
        </w:rPr>
        <w:t xml:space="preserve">2, </w:t>
      </w:r>
      <w:r>
        <w:rPr>
          <w:snapToGrid w:val="0"/>
          <w:vertAlign w:val="superscript"/>
        </w:rPr>
        <w:t>13</w:t>
      </w:r>
      <w:r>
        <w:t>. For provisions that have come into operation, and for information about any reprints, see the compilation table.</w:t>
      </w:r>
    </w:p>
    <w:p>
      <w:pPr>
        <w:pStyle w:val="nHeading3"/>
      </w:pPr>
      <w:bookmarkStart w:id="201" w:name="_Toc98511536"/>
      <w:r>
        <w:t>Compilation table</w:t>
      </w:r>
      <w:bookmarkEnd w:id="201"/>
    </w:p>
    <w:tbl>
      <w:tblPr>
        <w:tblW w:w="725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169"/>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72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Act 1984</w:t>
            </w:r>
            <w:r>
              <w:rPr>
                <w:iCs/>
                <w:vertAlign w:val="superscript"/>
              </w:rPr>
              <w:t> 3</w:t>
            </w:r>
          </w:p>
        </w:tc>
        <w:tc>
          <w:tcPr>
            <w:tcW w:w="1134" w:type="dxa"/>
          </w:tcPr>
          <w:p>
            <w:pPr>
              <w:pStyle w:val="nTable"/>
              <w:spacing w:after="40"/>
            </w:pPr>
            <w:r>
              <w:t>101 of 1984</w:t>
            </w:r>
          </w:p>
        </w:tc>
        <w:tc>
          <w:tcPr>
            <w:tcW w:w="1134" w:type="dxa"/>
          </w:tcPr>
          <w:p>
            <w:pPr>
              <w:pStyle w:val="nTable"/>
              <w:spacing w:after="40"/>
            </w:pPr>
            <w:r>
              <w:t>19 Dec 1984</w:t>
            </w:r>
          </w:p>
        </w:tc>
        <w:tc>
          <w:tcPr>
            <w:tcW w:w="2721" w:type="dxa"/>
            <w:gridSpan w:val="2"/>
          </w:tcPr>
          <w:p>
            <w:pPr>
              <w:pStyle w:val="nTable"/>
              <w:spacing w:after="40"/>
            </w:pPr>
            <w:r>
              <w:rPr>
                <w:color w:val="000000"/>
              </w:rPr>
              <w:t xml:space="preserve">s. 1 and 2: 19 Dec 1984; </w:t>
            </w:r>
            <w:r>
              <w:rPr>
                <w:color w:val="000000"/>
              </w:rPr>
              <w:br/>
              <w:t xml:space="preserve">Act other than s. 1 and 2; </w:t>
            </w:r>
            <w:r>
              <w:t xml:space="preserve">4 Apr 1985 (see s. 2 and </w:t>
            </w:r>
            <w:r>
              <w:rPr>
                <w:i/>
              </w:rPr>
              <w:t>Gazette</w:t>
            </w:r>
            <w:r>
              <w:t xml:space="preserve"> 4 Apr 1985 p. 1241)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1987</w:t>
            </w:r>
          </w:p>
        </w:tc>
        <w:tc>
          <w:tcPr>
            <w:tcW w:w="1134" w:type="dxa"/>
          </w:tcPr>
          <w:p>
            <w:pPr>
              <w:pStyle w:val="nTable"/>
              <w:spacing w:after="40"/>
            </w:pPr>
            <w:r>
              <w:t>43 of 1987</w:t>
            </w:r>
          </w:p>
        </w:tc>
        <w:tc>
          <w:tcPr>
            <w:tcW w:w="1134" w:type="dxa"/>
          </w:tcPr>
          <w:p>
            <w:pPr>
              <w:pStyle w:val="nTable"/>
              <w:spacing w:after="40"/>
            </w:pPr>
            <w:r>
              <w:t>6 Jul 1987</w:t>
            </w:r>
          </w:p>
        </w:tc>
        <w:tc>
          <w:tcPr>
            <w:tcW w:w="2721" w:type="dxa"/>
            <w:gridSpan w:val="2"/>
          </w:tcPr>
          <w:p>
            <w:pPr>
              <w:pStyle w:val="nTable"/>
              <w:spacing w:after="40"/>
            </w:pPr>
            <w:r>
              <w:rPr>
                <w:color w:val="000000"/>
              </w:rPr>
              <w:t>s. 1 and 2: 6 Jul 1987;</w:t>
            </w:r>
            <w:r>
              <w:rPr>
                <w:color w:val="000000"/>
              </w:rPr>
              <w:br/>
              <w:t xml:space="preserve">Act other than s. 1 and 2: </w:t>
            </w:r>
            <w:r>
              <w:t xml:space="preserve">16 Sep 1988 (see s. 2 and </w:t>
            </w:r>
            <w:r>
              <w:rPr>
                <w:i/>
              </w:rPr>
              <w:t>Gazette</w:t>
            </w:r>
            <w:r>
              <w:t xml:space="preserve"> 16 Sep 1988 p. 3757)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(No. 2) 1987</w:t>
            </w:r>
          </w:p>
        </w:tc>
        <w:tc>
          <w:tcPr>
            <w:tcW w:w="1134" w:type="dxa"/>
          </w:tcPr>
          <w:p>
            <w:pPr>
              <w:pStyle w:val="nTable"/>
              <w:spacing w:after="40"/>
            </w:pPr>
            <w:r>
              <w:t>55 of 1987</w:t>
            </w:r>
          </w:p>
        </w:tc>
        <w:tc>
          <w:tcPr>
            <w:tcW w:w="1134" w:type="dxa"/>
          </w:tcPr>
          <w:p>
            <w:pPr>
              <w:pStyle w:val="nTable"/>
              <w:spacing w:after="40"/>
            </w:pPr>
            <w:r>
              <w:t>3 Nov 1987</w:t>
            </w:r>
          </w:p>
        </w:tc>
        <w:tc>
          <w:tcPr>
            <w:tcW w:w="2721" w:type="dxa"/>
            <w:gridSpan w:val="2"/>
          </w:tcPr>
          <w:p>
            <w:pPr>
              <w:pStyle w:val="nTable"/>
              <w:spacing w:after="40"/>
            </w:pPr>
            <w:r>
              <w:t>3 Nov 1987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Health, Safety and Welfare Act 1984</w:t>
            </w:r>
            <w:r>
              <w:rPr>
                <w:b/>
                <w:bCs/>
                <w:iCs/>
              </w:rPr>
              <w:t xml:space="preserve"> as at 23 Jan 1989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Health, Safety and Welfare Amendment Act 1990</w:t>
            </w:r>
          </w:p>
        </w:tc>
        <w:tc>
          <w:tcPr>
            <w:tcW w:w="1134" w:type="dxa"/>
          </w:tcPr>
          <w:p>
            <w:pPr>
              <w:pStyle w:val="nTable"/>
              <w:spacing w:after="40"/>
            </w:pPr>
            <w:r>
              <w:t>84 of 1990</w:t>
            </w:r>
          </w:p>
        </w:tc>
        <w:tc>
          <w:tcPr>
            <w:tcW w:w="1134" w:type="dxa"/>
          </w:tcPr>
          <w:p>
            <w:pPr>
              <w:pStyle w:val="nTable"/>
              <w:spacing w:after="40"/>
            </w:pPr>
            <w:r>
              <w:t>17 Dec 1990</w:t>
            </w:r>
          </w:p>
        </w:tc>
        <w:tc>
          <w:tcPr>
            <w:tcW w:w="2721" w:type="dxa"/>
            <w:gridSpan w:val="2"/>
          </w:tcPr>
          <w:p>
            <w:pPr>
              <w:pStyle w:val="nTable"/>
              <w:spacing w:after="40"/>
            </w:pPr>
            <w:r>
              <w:t>14 Jan 1991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721"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 xml:space="preserve">Mines Safety and </w:t>
            </w:r>
            <w:r>
              <w:rPr>
                <w:i/>
                <w:spacing w:val="-4"/>
              </w:rPr>
              <w:t>Inspection Act 1994</w:t>
            </w:r>
            <w:r>
              <w:rPr>
                <w:spacing w:val="-4"/>
              </w:rPr>
              <w:t xml:space="preserve"> s. 109</w:t>
            </w:r>
          </w:p>
        </w:tc>
        <w:tc>
          <w:tcPr>
            <w:tcW w:w="1134" w:type="dxa"/>
          </w:tcPr>
          <w:p>
            <w:pPr>
              <w:pStyle w:val="nTable"/>
              <w:spacing w:after="40"/>
            </w:pPr>
            <w:r>
              <w:t>62 of 1994</w:t>
            </w:r>
          </w:p>
        </w:tc>
        <w:tc>
          <w:tcPr>
            <w:tcW w:w="1134" w:type="dxa"/>
          </w:tcPr>
          <w:p>
            <w:pPr>
              <w:pStyle w:val="nTable"/>
              <w:spacing w:after="40"/>
            </w:pPr>
            <w:r>
              <w:t>7 Nov 1994</w:t>
            </w:r>
          </w:p>
        </w:tc>
        <w:tc>
          <w:tcPr>
            <w:tcW w:w="272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Occupational Safety and Health Legislation Amendment Act 1995</w:t>
            </w:r>
            <w:r>
              <w:t xml:space="preserve"> Pt. 2 </w:t>
            </w:r>
            <w:r>
              <w:rPr>
                <w:vertAlign w:val="superscript"/>
              </w:rPr>
              <w:t>4</w:t>
            </w:r>
          </w:p>
        </w:tc>
        <w:tc>
          <w:tcPr>
            <w:tcW w:w="1134" w:type="dxa"/>
          </w:tcPr>
          <w:p>
            <w:pPr>
              <w:pStyle w:val="nTable"/>
              <w:spacing w:after="40"/>
            </w:pPr>
            <w:r>
              <w:t>30 of 1995</w:t>
            </w:r>
          </w:p>
        </w:tc>
        <w:tc>
          <w:tcPr>
            <w:tcW w:w="1134" w:type="dxa"/>
          </w:tcPr>
          <w:p>
            <w:pPr>
              <w:pStyle w:val="nTable"/>
              <w:spacing w:after="40"/>
            </w:pPr>
            <w:r>
              <w:t>11 Sep 1995</w:t>
            </w:r>
          </w:p>
        </w:tc>
        <w:tc>
          <w:tcPr>
            <w:tcW w:w="2721" w:type="dxa"/>
            <w:gridSpan w:val="2"/>
          </w:tcPr>
          <w:p>
            <w:pPr>
              <w:pStyle w:val="nTable"/>
              <w:spacing w:after="40"/>
            </w:pPr>
            <w:r>
              <w:t xml:space="preserve">1 Oct 1995 (see s. 2 and </w:t>
            </w:r>
            <w:r>
              <w:rPr>
                <w:i/>
              </w:rPr>
              <w:t>Gazette</w:t>
            </w:r>
            <w:r>
              <w:t xml:space="preserve"> 15 Sep 1995 p. 4301)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16 Nov 1995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Sentencing (Consequential Provisions) Act 1995</w:t>
            </w:r>
            <w:r>
              <w:t xml:space="preserve"> Pt. 55</w:t>
            </w:r>
          </w:p>
        </w:tc>
        <w:tc>
          <w:tcPr>
            <w:tcW w:w="1134" w:type="dxa"/>
          </w:tcPr>
          <w:p>
            <w:pPr>
              <w:pStyle w:val="nTable"/>
              <w:spacing w:after="40"/>
            </w:pPr>
            <w:r>
              <w:t>78 of 1995</w:t>
            </w:r>
          </w:p>
        </w:tc>
        <w:tc>
          <w:tcPr>
            <w:tcW w:w="1134" w:type="dxa"/>
          </w:tcPr>
          <w:p>
            <w:pPr>
              <w:pStyle w:val="nTable"/>
              <w:spacing w:after="40"/>
            </w:pPr>
            <w:r>
              <w:t>16 Jan 1996</w:t>
            </w:r>
          </w:p>
        </w:tc>
        <w:tc>
          <w:tcPr>
            <w:tcW w:w="2721"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lastRenderedPageBreak/>
              <w:t>Industrial Relations Legislation Amendment and Repeal Act 1995</w:t>
            </w:r>
            <w:r>
              <w:t xml:space="preserve"> s. 67(5)</w:t>
            </w:r>
          </w:p>
        </w:tc>
        <w:tc>
          <w:tcPr>
            <w:tcW w:w="1134" w:type="dxa"/>
          </w:tcPr>
          <w:p>
            <w:pPr>
              <w:pStyle w:val="nTable"/>
              <w:keepNext/>
              <w:spacing w:after="40"/>
            </w:pPr>
            <w:r>
              <w:t>79 of 1995</w:t>
            </w:r>
          </w:p>
        </w:tc>
        <w:tc>
          <w:tcPr>
            <w:tcW w:w="1134" w:type="dxa"/>
          </w:tcPr>
          <w:p>
            <w:pPr>
              <w:pStyle w:val="nTable"/>
              <w:spacing w:after="40"/>
            </w:pPr>
            <w:r>
              <w:t>16 Jan 1996</w:t>
            </w:r>
          </w:p>
        </w:tc>
        <w:tc>
          <w:tcPr>
            <w:tcW w:w="2721" w:type="dxa"/>
            <w:gridSpan w:val="2"/>
          </w:tcPr>
          <w:p>
            <w:pPr>
              <w:pStyle w:val="nTable"/>
              <w:spacing w:after="40"/>
            </w:pPr>
            <w:r>
              <w:t>16 Jan 1996 (see s. 3(1))</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15 May 1996</w:t>
            </w:r>
            <w:r>
              <w:rPr>
                <w:iCs/>
              </w:rPr>
              <w:t xml:space="preserve"> (includes amendments listed above except those in the </w:t>
            </w:r>
            <w:r>
              <w:rPr>
                <w:i/>
              </w:rPr>
              <w:t>Sentencing (Consequential Provisions) Act 1995</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(No. 2) 1998</w:t>
            </w:r>
            <w:r>
              <w:t xml:space="preserve"> s. 56</w:t>
            </w:r>
          </w:p>
        </w:tc>
        <w:tc>
          <w:tcPr>
            <w:tcW w:w="1134" w:type="dxa"/>
          </w:tcPr>
          <w:p>
            <w:pPr>
              <w:pStyle w:val="nTable"/>
              <w:spacing w:after="40"/>
            </w:pPr>
            <w:r>
              <w:t>10 of 1998</w:t>
            </w:r>
          </w:p>
        </w:tc>
        <w:tc>
          <w:tcPr>
            <w:tcW w:w="1134" w:type="dxa"/>
          </w:tcPr>
          <w:p>
            <w:pPr>
              <w:pStyle w:val="nTable"/>
              <w:spacing w:after="40"/>
            </w:pPr>
            <w:r>
              <w:t>30 Apr 1998</w:t>
            </w:r>
          </w:p>
        </w:tc>
        <w:tc>
          <w:tcPr>
            <w:tcW w:w="2721" w:type="dxa"/>
            <w:gridSpan w:val="2"/>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vertAlign w:val="superscript"/>
              </w:rPr>
            </w:pPr>
            <w:r>
              <w:rPr>
                <w:i/>
              </w:rPr>
              <w:t>Occupational Safety and Health (Validation) Act 1998</w:t>
            </w:r>
            <w:r>
              <w:rPr>
                <w:iCs/>
                <w:vertAlign w:val="superscript"/>
              </w:rPr>
              <w:t> 5, 6</w:t>
            </w:r>
          </w:p>
        </w:tc>
        <w:tc>
          <w:tcPr>
            <w:tcW w:w="1134" w:type="dxa"/>
          </w:tcPr>
          <w:p>
            <w:pPr>
              <w:pStyle w:val="nTable"/>
              <w:spacing w:after="40"/>
            </w:pPr>
            <w:r>
              <w:t>63 of 1998</w:t>
            </w:r>
          </w:p>
        </w:tc>
        <w:tc>
          <w:tcPr>
            <w:tcW w:w="1134" w:type="dxa"/>
          </w:tcPr>
          <w:p>
            <w:pPr>
              <w:pStyle w:val="nTable"/>
              <w:spacing w:after="40"/>
            </w:pPr>
            <w:r>
              <w:t>12 Jan 1999</w:t>
            </w:r>
          </w:p>
        </w:tc>
        <w:tc>
          <w:tcPr>
            <w:tcW w:w="2721" w:type="dxa"/>
            <w:gridSpan w:val="2"/>
          </w:tcPr>
          <w:p>
            <w:pPr>
              <w:pStyle w:val="nTable"/>
              <w:spacing w:after="40"/>
            </w:pPr>
            <w:r>
              <w:t>12 Jan 1999 (see s. 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iCs/>
              </w:rPr>
            </w:pPr>
            <w:r>
              <w:rPr>
                <w:b/>
                <w:bCs/>
              </w:rPr>
              <w:t xml:space="preserve">Reprint of the </w:t>
            </w:r>
            <w:r>
              <w:rPr>
                <w:b/>
                <w:bCs/>
                <w:i/>
              </w:rPr>
              <w:t>Occupational Safety and Health Act 1984</w:t>
            </w:r>
            <w:r>
              <w:rPr>
                <w:b/>
                <w:bCs/>
                <w:iCs/>
              </w:rPr>
              <w:t xml:space="preserve"> as at 22 Mar 1999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Cs/>
              </w:rPr>
            </w:pPr>
            <w:r>
              <w:rPr>
                <w:i/>
              </w:rPr>
              <w:t>Occupational Safety and Health Amendment Act 2002</w:t>
            </w:r>
            <w:r>
              <w:rPr>
                <w:iCs/>
                <w:vertAlign w:val="superscript"/>
              </w:rPr>
              <w:t> 7</w:t>
            </w:r>
          </w:p>
        </w:tc>
        <w:tc>
          <w:tcPr>
            <w:tcW w:w="1134" w:type="dxa"/>
          </w:tcPr>
          <w:p>
            <w:pPr>
              <w:pStyle w:val="nTable"/>
              <w:spacing w:after="40"/>
            </w:pPr>
            <w:r>
              <w:t>54 of 2002</w:t>
            </w:r>
          </w:p>
        </w:tc>
        <w:tc>
          <w:tcPr>
            <w:tcW w:w="1134" w:type="dxa"/>
          </w:tcPr>
          <w:p>
            <w:pPr>
              <w:pStyle w:val="nTable"/>
              <w:spacing w:after="40"/>
            </w:pPr>
            <w:r>
              <w:t>3 Jan 2003</w:t>
            </w:r>
          </w:p>
        </w:tc>
        <w:tc>
          <w:tcPr>
            <w:tcW w:w="2721" w:type="dxa"/>
            <w:gridSpan w:val="2"/>
          </w:tcPr>
          <w:p>
            <w:pPr>
              <w:pStyle w:val="nTable"/>
              <w:spacing w:after="40"/>
            </w:pPr>
            <w:r>
              <w:t>s. 8: 3 Jan 2003 (see s. 2(2));</w:t>
            </w:r>
            <w:r>
              <w:br/>
              <w:t>Act other than s. 8: 3 Jan 2004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pPr>
            <w:r>
              <w:rPr>
                <w:i/>
              </w:rPr>
              <w:t>Statutes (Repeals and Minor Amendments) Act 2003</w:t>
            </w:r>
            <w:r>
              <w:t xml:space="preserve"> s. 87</w:t>
            </w:r>
            <w:r>
              <w:rPr>
                <w:vertAlign w:val="superscript"/>
              </w:rPr>
              <w:t> 8</w:t>
            </w:r>
          </w:p>
        </w:tc>
        <w:tc>
          <w:tcPr>
            <w:tcW w:w="1134" w:type="dxa"/>
          </w:tcPr>
          <w:p>
            <w:pPr>
              <w:pStyle w:val="nTable"/>
              <w:spacing w:after="40"/>
            </w:pPr>
            <w:r>
              <w:t>74 of 2003</w:t>
            </w:r>
          </w:p>
        </w:tc>
        <w:tc>
          <w:tcPr>
            <w:tcW w:w="1134" w:type="dxa"/>
          </w:tcPr>
          <w:p>
            <w:pPr>
              <w:pStyle w:val="nTable"/>
              <w:spacing w:after="40"/>
            </w:pPr>
            <w:r>
              <w:t>15 Dec 2003</w:t>
            </w:r>
          </w:p>
        </w:tc>
        <w:tc>
          <w:tcPr>
            <w:tcW w:w="2721"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pPr>
            <w:r>
              <w:rPr>
                <w:i/>
              </w:rPr>
              <w:t>Occupational Safety and Health Legislation Amendment and Repeal Act 2004</w:t>
            </w:r>
            <w:r>
              <w:rPr>
                <w:vertAlign w:val="superscript"/>
              </w:rPr>
              <w:t> 9, 10, 11</w:t>
            </w:r>
          </w:p>
        </w:tc>
        <w:tc>
          <w:tcPr>
            <w:tcW w:w="1134" w:type="dxa"/>
          </w:tcPr>
          <w:p>
            <w:pPr>
              <w:pStyle w:val="nTable"/>
              <w:spacing w:after="40"/>
            </w:pPr>
            <w:r>
              <w:t>51 of 2004</w:t>
            </w:r>
          </w:p>
        </w:tc>
        <w:tc>
          <w:tcPr>
            <w:tcW w:w="1134" w:type="dxa"/>
          </w:tcPr>
          <w:p>
            <w:pPr>
              <w:pStyle w:val="nTable"/>
              <w:spacing w:after="40"/>
            </w:pPr>
            <w:r>
              <w:t>12 Nov 2004</w:t>
            </w:r>
          </w:p>
        </w:tc>
        <w:tc>
          <w:tcPr>
            <w:tcW w:w="2721" w:type="dxa"/>
            <w:gridSpan w:val="2"/>
          </w:tcPr>
          <w:p>
            <w:pPr>
              <w:pStyle w:val="nTable"/>
              <w:spacing w:after="40"/>
              <w:rPr>
                <w:spacing w:val="-2"/>
              </w:rPr>
            </w:pPr>
            <w:r>
              <w:rPr>
                <w:color w:val="000000"/>
              </w:rPr>
              <w:t xml:space="preserve">s. 1 and 2: </w:t>
            </w:r>
            <w:r>
              <w:t>12 Nov 2004</w:t>
            </w:r>
            <w:r>
              <w:rPr>
                <w:color w:val="000000"/>
              </w:rPr>
              <w:t>;</w:t>
            </w:r>
            <w:r>
              <w:rPr>
                <w:color w:val="000000"/>
              </w:rPr>
              <w:br/>
            </w:r>
            <w:r>
              <w:rPr>
                <w:spacing w:val="-2"/>
              </w:rPr>
              <w:t xml:space="preserve">Act other than </w:t>
            </w:r>
            <w:r>
              <w:rPr>
                <w:color w:val="000000"/>
              </w:rPr>
              <w:t xml:space="preserve">s. 1 and 2, </w:t>
            </w:r>
            <w:r>
              <w:rPr>
                <w:spacing w:val="-2"/>
              </w:rPr>
              <w:t xml:space="preserve">Pt. 4 and 6 and s. 105 and 106: 1 Jan 2005 (see s. 2 and </w:t>
            </w:r>
            <w:r>
              <w:rPr>
                <w:i/>
                <w:spacing w:val="-2"/>
              </w:rPr>
              <w:t>Gazette</w:t>
            </w:r>
            <w:r>
              <w:rPr>
                <w:spacing w:val="-2"/>
              </w:rPr>
              <w:t xml:space="preserve"> 14 Dec 2004 p. 5999</w:t>
            </w:r>
            <w:r>
              <w:rPr>
                <w:spacing w:val="-2"/>
              </w:rPr>
              <w:noBreakHyphen/>
              <w:t>6000);</w:t>
            </w:r>
            <w:r>
              <w:rPr>
                <w:spacing w:val="-2"/>
              </w:rPr>
              <w:br/>
            </w:r>
            <w:r>
              <w:rPr>
                <w:snapToGrid w:val="0"/>
              </w:rPr>
              <w:t xml:space="preserve">Pt. 4 and 6 (other than s. 65, 66 and 68), s. 105 and 106: 4 Apr 2005 (see s. 2 and </w:t>
            </w:r>
            <w:r>
              <w:rPr>
                <w:i/>
                <w:snapToGrid w:val="0"/>
              </w:rPr>
              <w:t>Gazette</w:t>
            </w:r>
            <w:r>
              <w:rPr>
                <w:snapToGrid w:val="0"/>
              </w:rPr>
              <w:t xml:space="preserve"> 14 Dec 2004 p. 5999</w:t>
            </w:r>
            <w:r>
              <w:rPr>
                <w:snapToGrid w:val="0"/>
              </w:rPr>
              <w:noBreakHyphen/>
              <w:t>6000);</w:t>
            </w:r>
            <w:r>
              <w:rPr>
                <w:snapToGrid w:val="0"/>
              </w:rPr>
              <w:br/>
              <w:t xml:space="preserve">s. 65, 66 and 68: 14 Jul 2010 (see s. 2 and </w:t>
            </w:r>
            <w:r>
              <w:rPr>
                <w:i/>
                <w:iCs/>
                <w:snapToGrid w:val="0"/>
              </w:rPr>
              <w:t>Gazette</w:t>
            </w:r>
            <w:r>
              <w:rPr>
                <w:snapToGrid w:val="0"/>
              </w:rP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721" w:type="dxa"/>
            <w:gridSpan w:val="2"/>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snapToGrid w:val="0"/>
              </w:rPr>
              <w:t>Mines Safety and Inspection Amendment Act 2004</w:t>
            </w:r>
            <w:r>
              <w:rPr>
                <w:snapToGrid w:val="0"/>
              </w:rPr>
              <w:t xml:space="preserve"> s. 94</w:t>
            </w:r>
          </w:p>
        </w:tc>
        <w:tc>
          <w:tcPr>
            <w:tcW w:w="1134" w:type="dxa"/>
          </w:tcPr>
          <w:p>
            <w:pPr>
              <w:pStyle w:val="nTable"/>
              <w:spacing w:after="40"/>
            </w:pPr>
            <w:r>
              <w:rPr>
                <w:snapToGrid w:val="0"/>
              </w:rPr>
              <w:t>68 of 2004</w:t>
            </w:r>
          </w:p>
        </w:tc>
        <w:tc>
          <w:tcPr>
            <w:tcW w:w="1134" w:type="dxa"/>
          </w:tcPr>
          <w:p>
            <w:pPr>
              <w:pStyle w:val="nTable"/>
              <w:spacing w:after="40"/>
            </w:pPr>
            <w:r>
              <w:t>8 Dec 2004</w:t>
            </w:r>
          </w:p>
        </w:tc>
        <w:tc>
          <w:tcPr>
            <w:tcW w:w="2721" w:type="dxa"/>
            <w:gridSpan w:val="2"/>
          </w:tcPr>
          <w:p>
            <w:pPr>
              <w:pStyle w:val="nTable"/>
              <w:spacing w:after="40"/>
              <w:rPr>
                <w:spacing w:val="-2"/>
              </w:rPr>
            </w:pPr>
            <w:r>
              <w:rPr>
                <w:snapToGrid w:val="0"/>
              </w:rPr>
              <w:t xml:space="preserve">4 Apr 2005 (see s. 2(1) and </w:t>
            </w:r>
            <w:r>
              <w:rPr>
                <w:i/>
                <w:snapToGrid w:val="0"/>
              </w:rPr>
              <w:t>Gazette</w:t>
            </w:r>
            <w:r>
              <w:rPr>
                <w:snapToGrid w:val="0"/>
              </w:rPr>
              <w:t xml:space="preserve"> 11 Feb 2005 p. 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lastRenderedPageBreak/>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72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rPr>
                <w:snapToGrid w:val="0"/>
              </w:rPr>
            </w:pPr>
            <w:r>
              <w:rPr>
                <w:b/>
                <w:bCs/>
              </w:rPr>
              <w:t xml:space="preserve">Reprint 5: The </w:t>
            </w:r>
            <w:r>
              <w:rPr>
                <w:b/>
                <w:bCs/>
                <w:i/>
              </w:rPr>
              <w:t>Occupational Safety and Health Act 1984</w:t>
            </w:r>
            <w:r>
              <w:rPr>
                <w:b/>
                <w:bCs/>
                <w:iCs/>
              </w:rPr>
              <w:t xml:space="preserve"> as at 24 Jun 2005</w:t>
            </w:r>
            <w:r>
              <w:rPr>
                <w:iCs/>
              </w:rPr>
              <w:t xml:space="preserve"> (includes amendments listed above except those in the </w:t>
            </w:r>
            <w:r>
              <w:rPr>
                <w:i/>
              </w:rPr>
              <w:t>Occupational Safety and Health Legislation Amendment and Repeal Act 2004</w:t>
            </w:r>
            <w:r>
              <w:rPr>
                <w:iCs/>
              </w:rPr>
              <w:t xml:space="preserve"> </w:t>
            </w:r>
            <w:r>
              <w:rPr>
                <w:snapToGrid w:val="0"/>
              </w:rPr>
              <w:t>s. 65, 66 and 68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iCs/>
                <w:snapToGrid w:val="0"/>
              </w:rPr>
            </w:pPr>
            <w:r>
              <w:rPr>
                <w:i/>
                <w:snapToGrid w:val="0"/>
              </w:rPr>
              <w:t>Petroleum Legislation Amendment and Repeal Act 2005</w:t>
            </w:r>
            <w:r>
              <w:rPr>
                <w:iCs/>
                <w:snapToGrid w:val="0"/>
              </w:rPr>
              <w:t xml:space="preserve"> s. 50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721" w:type="dxa"/>
            <w:gridSpan w:val="2"/>
          </w:tcPr>
          <w:p>
            <w:pPr>
              <w:pStyle w:val="nTable"/>
              <w:spacing w:after="40"/>
            </w:pPr>
            <w:r>
              <w:t xml:space="preserve">15 May 2010 (see s. 2(2) and </w:t>
            </w:r>
            <w:r>
              <w:rPr>
                <w:i/>
                <w:iCs/>
              </w:rPr>
              <w:t xml:space="preserve">Gazette </w:t>
            </w:r>
            <w:r>
              <w:t>14 May 2010 p. 2015)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snapToGrid w:val="0"/>
              </w:rPr>
              <w:t>Planning and Development (Consequential and Transitional Provisions) Act 2005</w:t>
            </w:r>
            <w:r>
              <w:rPr>
                <w:iCs/>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72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vertAlign w:val="superscript"/>
              </w:rPr>
            </w:pPr>
            <w:r>
              <w:rPr>
                <w:i/>
                <w:snapToGrid w:val="0"/>
              </w:rPr>
              <w:t>Petroleum Amendment Act 2007</w:t>
            </w:r>
            <w:r>
              <w:rPr>
                <w:iCs/>
                <w:snapToGrid w:val="0"/>
              </w:rPr>
              <w:t xml:space="preserve"> s. 101</w:t>
            </w:r>
          </w:p>
        </w:tc>
        <w:tc>
          <w:tcPr>
            <w:tcW w:w="1134" w:type="dxa"/>
          </w:tcPr>
          <w:p>
            <w:pPr>
              <w:pStyle w:val="nTable"/>
              <w:spacing w:after="40"/>
              <w:rPr>
                <w:snapToGrid w:val="0"/>
              </w:rPr>
            </w:pPr>
            <w:r>
              <w:t>35 of 2007</w:t>
            </w:r>
          </w:p>
        </w:tc>
        <w:tc>
          <w:tcPr>
            <w:tcW w:w="1134" w:type="dxa"/>
          </w:tcPr>
          <w:p>
            <w:pPr>
              <w:pStyle w:val="nTable"/>
              <w:spacing w:after="40"/>
            </w:pPr>
            <w:r>
              <w:t>21 Dec 2007</w:t>
            </w:r>
          </w:p>
        </w:tc>
        <w:tc>
          <w:tcPr>
            <w:tcW w:w="2721" w:type="dxa"/>
            <w:gridSpan w:val="2"/>
          </w:tcPr>
          <w:p>
            <w:pPr>
              <w:pStyle w:val="nTable"/>
              <w:spacing w:after="40"/>
              <w:rPr>
                <w:snapToGrid w:val="0"/>
              </w:rPr>
            </w:pPr>
            <w:r>
              <w:t>19 Jan 2008 </w:t>
            </w:r>
            <w:r>
              <w:rPr>
                <w:vertAlign w:val="superscript"/>
              </w:rPr>
              <w:t>12</w:t>
            </w:r>
            <w:r>
              <w:t xml:space="preserve"> (see s. 2(b) and </w:t>
            </w:r>
            <w:r>
              <w:br/>
            </w:r>
            <w:r>
              <w:rPr>
                <w:i/>
                <w:iCs/>
              </w:rPr>
              <w:t xml:space="preserve">Gazette </w:t>
            </w:r>
            <w:r>
              <w:t>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snapToGrid w:val="0"/>
              </w:rPr>
            </w:pPr>
            <w:r>
              <w:rPr>
                <w:i/>
              </w:rPr>
              <w:t xml:space="preserve">Police Amendment Act 2008 </w:t>
            </w:r>
            <w:r>
              <w:rPr>
                <w:iCs/>
              </w:rPr>
              <w:t>s. 15 and s. 23(5)</w:t>
            </w:r>
          </w:p>
        </w:tc>
        <w:tc>
          <w:tcPr>
            <w:tcW w:w="1134" w:type="dxa"/>
          </w:tcPr>
          <w:p>
            <w:pPr>
              <w:pStyle w:val="nTable"/>
              <w:spacing w:after="40"/>
            </w:pPr>
            <w:r>
              <w:t>8 of 2008</w:t>
            </w:r>
          </w:p>
        </w:tc>
        <w:tc>
          <w:tcPr>
            <w:tcW w:w="1134" w:type="dxa"/>
          </w:tcPr>
          <w:p>
            <w:pPr>
              <w:pStyle w:val="nTable"/>
              <w:spacing w:after="40"/>
            </w:pPr>
            <w:r>
              <w:t>31 Mar 2008</w:t>
            </w:r>
          </w:p>
        </w:tc>
        <w:tc>
          <w:tcPr>
            <w:tcW w:w="2721" w:type="dxa"/>
            <w:gridSpan w:val="2"/>
          </w:tcPr>
          <w:p>
            <w:pPr>
              <w:pStyle w:val="nTable"/>
              <w:spacing w:after="40"/>
            </w:pPr>
            <w:r>
              <w:t>s. 15: 1 Apr 2008 (see s. 2(1));</w:t>
            </w:r>
            <w:r>
              <w:br/>
              <w:t xml:space="preserve">s. 23(5):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71"/>
              <w:rPr>
                <w:i/>
              </w:rPr>
            </w:pPr>
            <w:r>
              <w:rPr>
                <w:i/>
                <w:iCs/>
                <w:snapToGrid w:val="0"/>
              </w:rPr>
              <w:t>Training</w:t>
            </w:r>
            <w:r>
              <w:rPr>
                <w:snapToGrid w:val="0"/>
              </w:rPr>
              <w:t xml:space="preserve"> </w:t>
            </w:r>
            <w:r>
              <w:rPr>
                <w:i/>
                <w:iCs/>
                <w:snapToGrid w:val="0"/>
              </w:rPr>
              <w:t xml:space="preserve">Legislation Amendment and Repeal Act 2008 </w:t>
            </w:r>
            <w:r>
              <w:rPr>
                <w:snapToGrid w:val="0"/>
              </w:rPr>
              <w:t>s. 57</w:t>
            </w:r>
          </w:p>
        </w:tc>
        <w:tc>
          <w:tcPr>
            <w:tcW w:w="1134" w:type="dxa"/>
          </w:tcPr>
          <w:p>
            <w:pPr>
              <w:pStyle w:val="nTable"/>
              <w:spacing w:after="40"/>
            </w:pPr>
            <w:r>
              <w:t>44 of 2008</w:t>
            </w:r>
          </w:p>
        </w:tc>
        <w:tc>
          <w:tcPr>
            <w:tcW w:w="1134" w:type="dxa"/>
          </w:tcPr>
          <w:p>
            <w:pPr>
              <w:pStyle w:val="nTable"/>
              <w:spacing w:after="40"/>
            </w:pPr>
            <w:r>
              <w:t>10 Dec 2008</w:t>
            </w:r>
          </w:p>
        </w:tc>
        <w:tc>
          <w:tcPr>
            <w:tcW w:w="2721" w:type="dxa"/>
            <w:gridSpan w:val="2"/>
          </w:tcPr>
          <w:p>
            <w:pPr>
              <w:pStyle w:val="nTable"/>
              <w:spacing w:after="40"/>
            </w:pPr>
            <w:r>
              <w:t>10 Jun 2009 (see s. 2(2))</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spacing w:after="40"/>
            </w:pPr>
            <w:r>
              <w:rPr>
                <w:b/>
                <w:bCs/>
              </w:rPr>
              <w:t xml:space="preserve">Reprint 6: The </w:t>
            </w:r>
            <w:r>
              <w:rPr>
                <w:b/>
                <w:bCs/>
                <w:i/>
              </w:rPr>
              <w:t>Occupational Safety and Health Act 1984</w:t>
            </w:r>
            <w:r>
              <w:rPr>
                <w:b/>
                <w:bCs/>
                <w:iCs/>
              </w:rPr>
              <w:t xml:space="preserve"> as at 19 Dec 2008</w:t>
            </w:r>
            <w:r>
              <w:rPr>
                <w:iCs/>
              </w:rPr>
              <w:t xml:space="preserve"> (includes amendments listed above except those in the </w:t>
            </w:r>
            <w:r>
              <w:rPr>
                <w:i/>
              </w:rPr>
              <w:t>Occupational Safety and Health Legislation Amendment and Repeal Act 2004</w:t>
            </w:r>
            <w:r>
              <w:rPr>
                <w:iCs/>
              </w:rPr>
              <w:t xml:space="preserve"> </w:t>
            </w:r>
            <w:r>
              <w:rPr>
                <w:snapToGrid w:val="0"/>
              </w:rPr>
              <w:t xml:space="preserve">s. 65, 66 and 68, the </w:t>
            </w:r>
            <w:r>
              <w:rPr>
                <w:i/>
                <w:snapToGrid w:val="0"/>
              </w:rPr>
              <w:t>Petroleum Legislation Amendment and Repeal Act 2005</w:t>
            </w:r>
            <w:r>
              <w:rPr>
                <w:iCs/>
                <w:snapToGrid w:val="0"/>
              </w:rPr>
              <w:t>,</w:t>
            </w:r>
            <w:r>
              <w:rPr>
                <w:snapToGrid w:val="0"/>
              </w:rPr>
              <w:t xml:space="preserve"> the</w:t>
            </w:r>
            <w:r>
              <w:rPr>
                <w:i/>
                <w:iCs/>
                <w:snapToGrid w:val="0"/>
              </w:rPr>
              <w:t xml:space="preserve"> Petroleum Amendment Act 2007</w:t>
            </w:r>
            <w:r>
              <w:rPr>
                <w:snapToGrid w:val="0"/>
              </w:rPr>
              <w:t xml:space="preserve"> and the</w:t>
            </w:r>
            <w:r>
              <w:rPr>
                <w:i/>
                <w:iCs/>
                <w:snapToGrid w:val="0"/>
              </w:rPr>
              <w:t xml:space="preserve"> Training</w:t>
            </w:r>
            <w:r>
              <w:rPr>
                <w:snapToGrid w:val="0"/>
              </w:rPr>
              <w:t xml:space="preserve"> </w:t>
            </w:r>
            <w:r>
              <w:rPr>
                <w:i/>
                <w:iCs/>
                <w:snapToGrid w:val="0"/>
              </w:rPr>
              <w:t>Legislation</w:t>
            </w:r>
            <w:r>
              <w:rPr>
                <w:snapToGrid w:val="0"/>
              </w:rPr>
              <w:t xml:space="preserve"> </w:t>
            </w:r>
            <w:r>
              <w:rPr>
                <w:i/>
                <w:iCs/>
                <w:snapToGrid w:val="0"/>
              </w:rPr>
              <w:t>Amendment and Repeal Act 2008</w:t>
            </w:r>
            <w:r>
              <w:rPr>
                <w:iCs/>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60</w:t>
            </w:r>
          </w:p>
        </w:tc>
        <w:tc>
          <w:tcPr>
            <w:tcW w:w="1134" w:type="dxa"/>
          </w:tcPr>
          <w:p>
            <w:pPr>
              <w:pStyle w:val="nTable"/>
              <w:spacing w:after="40"/>
            </w:pPr>
            <w:r>
              <w:t>18 of 2009</w:t>
            </w:r>
          </w:p>
        </w:tc>
        <w:tc>
          <w:tcPr>
            <w:tcW w:w="1134" w:type="dxa"/>
          </w:tcPr>
          <w:p>
            <w:pPr>
              <w:pStyle w:val="nTable"/>
              <w:spacing w:after="40"/>
            </w:pPr>
            <w:r>
              <w:t>16 Sep 2009</w:t>
            </w:r>
          </w:p>
        </w:tc>
        <w:tc>
          <w:tcPr>
            <w:tcW w:w="2721" w:type="dxa"/>
            <w:gridSpan w:val="2"/>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Occupational Safety and Health Legislation Amendment Act 2009 </w:t>
            </w:r>
            <w:r>
              <w:rPr>
                <w:iCs/>
                <w:snapToGrid w:val="0"/>
              </w:rPr>
              <w:t>Pt. 2</w:t>
            </w:r>
          </w:p>
        </w:tc>
        <w:tc>
          <w:tcPr>
            <w:tcW w:w="1134" w:type="dxa"/>
          </w:tcPr>
          <w:p>
            <w:pPr>
              <w:pStyle w:val="nTable"/>
              <w:spacing w:after="40"/>
            </w:pPr>
            <w:r>
              <w:t>36 of 2009</w:t>
            </w:r>
          </w:p>
        </w:tc>
        <w:tc>
          <w:tcPr>
            <w:tcW w:w="1134" w:type="dxa"/>
          </w:tcPr>
          <w:p>
            <w:pPr>
              <w:pStyle w:val="nTable"/>
              <w:spacing w:after="40"/>
            </w:pPr>
            <w:r>
              <w:t>3 Dec 2009</w:t>
            </w:r>
          </w:p>
        </w:tc>
        <w:tc>
          <w:tcPr>
            <w:tcW w:w="2721" w:type="dxa"/>
            <w:gridSpan w:val="2"/>
          </w:tcPr>
          <w:p>
            <w:pPr>
              <w:pStyle w:val="nTable"/>
              <w:spacing w:after="40"/>
            </w:pPr>
            <w:r>
              <w:t>s. 3</w:t>
            </w:r>
            <w:r>
              <w:noBreakHyphen/>
              <w:t>10, 14 and 16: 4 Dec 2009 (see s. 2(d));</w:t>
            </w:r>
            <w:r>
              <w:br/>
              <w:t>s. 13: 31 Dec 2009 (see s. 2(c));</w:t>
            </w:r>
            <w:r>
              <w:br/>
              <w:t xml:space="preserve">s. 11, 12 and 15: 14 Jul 2010 (see s. 2(b) and </w:t>
            </w:r>
            <w:r>
              <w:rPr>
                <w:i/>
                <w:iCs/>
              </w:rPr>
              <w:t>Gazette</w:t>
            </w:r>
            <w:r>
              <w:t xml:space="preserve"> 13 Jul 2010 p. 3291)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72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258" w:type="dxa"/>
            <w:gridSpan w:val="5"/>
          </w:tcPr>
          <w:p>
            <w:pPr>
              <w:pStyle w:val="nTable"/>
              <w:keepNext/>
              <w:spacing w:after="40"/>
            </w:pPr>
            <w:r>
              <w:rPr>
                <w:b/>
                <w:bCs/>
              </w:rPr>
              <w:lastRenderedPageBreak/>
              <w:t xml:space="preserve">Reprint 7: The </w:t>
            </w:r>
            <w:r>
              <w:rPr>
                <w:b/>
                <w:bCs/>
                <w:i/>
              </w:rPr>
              <w:t>Occupational Safety and Health Act 1984</w:t>
            </w:r>
            <w:r>
              <w:rPr>
                <w:b/>
                <w:bCs/>
                <w:iCs/>
              </w:rPr>
              <w:t xml:space="preserve"> as at 7 Jan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Industrial Legislation Amendment Act 2011 </w:t>
            </w:r>
            <w:r>
              <w:rPr>
                <w:snapToGrid w:val="0"/>
              </w:rPr>
              <w:t>Pt. 7</w:t>
            </w:r>
          </w:p>
        </w:tc>
        <w:tc>
          <w:tcPr>
            <w:tcW w:w="1134" w:type="dxa"/>
          </w:tcPr>
          <w:p>
            <w:pPr>
              <w:pStyle w:val="nTable"/>
              <w:spacing w:after="40"/>
            </w:pPr>
            <w:r>
              <w:rPr>
                <w:snapToGrid w:val="0"/>
              </w:rPr>
              <w:t>53 of 2011</w:t>
            </w:r>
          </w:p>
        </w:tc>
        <w:tc>
          <w:tcPr>
            <w:tcW w:w="1303" w:type="dxa"/>
            <w:gridSpan w:val="2"/>
          </w:tcPr>
          <w:p>
            <w:pPr>
              <w:pStyle w:val="nTable"/>
              <w:spacing w:after="40"/>
            </w:pPr>
            <w:r>
              <w:rPr>
                <w:snapToGrid w:val="0"/>
              </w:rPr>
              <w:t>11 Nov 2011</w:t>
            </w:r>
          </w:p>
        </w:tc>
        <w:tc>
          <w:tcPr>
            <w:tcW w:w="2552" w:type="dxa"/>
          </w:tcPr>
          <w:p>
            <w:pPr>
              <w:pStyle w:val="nTable"/>
              <w:spacing w:after="40"/>
            </w:pPr>
            <w:r>
              <w:rPr>
                <w:snapToGrid w:val="0"/>
              </w:rPr>
              <w:t>1 Apr</w:t>
            </w:r>
            <w:r>
              <w:t> </w:t>
            </w:r>
            <w:r>
              <w:rPr>
                <w:snapToGrid w:val="0"/>
              </w:rPr>
              <w:t xml:space="preserve">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Fines, Penalties and Infringement Notices Enforcement Amendment Act 2012 </w:t>
            </w:r>
            <w:r>
              <w:rPr>
                <w:snapToGrid w:val="0"/>
              </w:rPr>
              <w:t>Pt. 4 Div. 4</w:t>
            </w:r>
          </w:p>
        </w:tc>
        <w:tc>
          <w:tcPr>
            <w:tcW w:w="1134" w:type="dxa"/>
          </w:tcPr>
          <w:p>
            <w:pPr>
              <w:pStyle w:val="nTable"/>
              <w:spacing w:after="40"/>
              <w:rPr>
                <w:snapToGrid w:val="0"/>
              </w:rPr>
            </w:pPr>
            <w:r>
              <w:rPr>
                <w:snapToGrid w:val="0"/>
              </w:rPr>
              <w:t>48 of 2012</w:t>
            </w:r>
          </w:p>
        </w:tc>
        <w:tc>
          <w:tcPr>
            <w:tcW w:w="1303" w:type="dxa"/>
            <w:gridSpan w:val="2"/>
          </w:tcPr>
          <w:p>
            <w:pPr>
              <w:pStyle w:val="nTable"/>
              <w:spacing w:after="40"/>
              <w:rPr>
                <w:snapToGrid w:val="0"/>
              </w:rPr>
            </w:pPr>
            <w:r>
              <w:t>29 Nov 2012</w:t>
            </w:r>
          </w:p>
        </w:tc>
        <w:tc>
          <w:tcPr>
            <w:tcW w:w="2552" w:type="dxa"/>
          </w:tcPr>
          <w:p>
            <w:pPr>
              <w:pStyle w:val="nTable"/>
              <w:spacing w:after="40"/>
            </w:pPr>
            <w:r>
              <w:rPr>
                <w:snapToGrid w:val="0"/>
              </w:rPr>
              <w:t xml:space="preserve">21 Aug 2013 (see s. 2(b) and </w:t>
            </w:r>
            <w:r>
              <w:rPr>
                <w:i/>
                <w:snapToGrid w:val="0"/>
              </w:rPr>
              <w:t>Gazette</w:t>
            </w:r>
            <w:r>
              <w:t xml:space="preserve"> </w:t>
            </w:r>
            <w:r>
              <w:rPr>
                <w:snapToGrid w:val="0"/>
              </w:rPr>
              <w:t>20 Aug 2013 p. 3815</w:t>
            </w:r>
            <w:r>
              <w:t>)</w:t>
            </w:r>
          </w:p>
        </w:tc>
      </w:tr>
      <w:tr>
        <w:trPr>
          <w:cantSplit/>
        </w:trPr>
        <w:tc>
          <w:tcPr>
            <w:tcW w:w="2269" w:type="dxa"/>
            <w:tcBorders>
              <w:top w:val="nil"/>
              <w:bottom w:val="nil"/>
            </w:tcBorders>
          </w:tcPr>
          <w:p>
            <w:pPr>
              <w:pStyle w:val="nTable"/>
              <w:spacing w:after="40"/>
              <w:rPr>
                <w:i/>
                <w:snapToGrid w:val="0"/>
              </w:rPr>
            </w:pPr>
            <w:r>
              <w:rPr>
                <w:i/>
              </w:rPr>
              <w:t>Occupational Safety and Health Amendment Act 2018</w:t>
            </w:r>
          </w:p>
        </w:tc>
        <w:tc>
          <w:tcPr>
            <w:tcW w:w="1134" w:type="dxa"/>
            <w:tcBorders>
              <w:top w:val="nil"/>
              <w:bottom w:val="nil"/>
            </w:tcBorders>
          </w:tcPr>
          <w:p>
            <w:pPr>
              <w:pStyle w:val="nTable"/>
              <w:spacing w:after="40"/>
              <w:rPr>
                <w:snapToGrid w:val="0"/>
              </w:rPr>
            </w:pPr>
            <w:r>
              <w:rPr>
                <w:snapToGrid w:val="0"/>
              </w:rPr>
              <w:t>16 of 2018</w:t>
            </w:r>
          </w:p>
        </w:tc>
        <w:tc>
          <w:tcPr>
            <w:tcW w:w="1303" w:type="dxa"/>
            <w:gridSpan w:val="2"/>
            <w:tcBorders>
              <w:top w:val="nil"/>
              <w:bottom w:val="nil"/>
            </w:tcBorders>
          </w:tcPr>
          <w:p>
            <w:pPr>
              <w:pStyle w:val="nTable"/>
              <w:spacing w:after="40"/>
            </w:pPr>
            <w:r>
              <w:t>7 Sep 2018</w:t>
            </w:r>
          </w:p>
        </w:tc>
        <w:tc>
          <w:tcPr>
            <w:tcW w:w="2552" w:type="dxa"/>
            <w:tcBorders>
              <w:top w:val="nil"/>
              <w:bottom w:val="nil"/>
            </w:tcBorders>
          </w:tcPr>
          <w:p>
            <w:pPr>
              <w:pStyle w:val="nTable"/>
              <w:spacing w:after="40"/>
              <w:rPr>
                <w:snapToGrid w:val="0"/>
              </w:rPr>
            </w:pPr>
            <w:r>
              <w:rPr>
                <w:color w:val="000000"/>
              </w:rPr>
              <w:t xml:space="preserve">s. 1 and 2: 7 Sep 2018 (see s. 2(a)); </w:t>
            </w:r>
            <w:r>
              <w:rPr>
                <w:color w:val="000000"/>
              </w:rPr>
              <w:br/>
              <w:t>Act other than s. 1 and 2: 3</w:t>
            </w:r>
            <w:r>
              <w:t xml:space="preserve"> Oct 2018 (see s. 2(b) and </w:t>
            </w:r>
            <w:r>
              <w:rPr>
                <w:i/>
              </w:rPr>
              <w:t>Gazette</w:t>
            </w:r>
            <w:r>
              <w:t xml:space="preserve"> 2 Oct 2018 p. 3780)</w:t>
            </w:r>
          </w:p>
        </w:tc>
      </w:tr>
      <w:tr>
        <w:tblPrEx>
          <w:tblBorders>
            <w:top w:val="none" w:sz="0" w:space="0" w:color="auto"/>
            <w:bottom w:val="none" w:sz="0" w:space="0" w:color="auto"/>
            <w:insideH w:val="none" w:sz="0" w:space="0" w:color="auto"/>
          </w:tblBorders>
        </w:tblPrEx>
        <w:trPr>
          <w:cantSplit/>
        </w:trPr>
        <w:tc>
          <w:tcPr>
            <w:tcW w:w="7258" w:type="dxa"/>
            <w:gridSpan w:val="5"/>
            <w:tcBorders>
              <w:bottom w:val="single" w:sz="8" w:space="0" w:color="auto"/>
            </w:tcBorders>
          </w:tcPr>
          <w:p>
            <w:pPr>
              <w:pStyle w:val="nTable"/>
              <w:spacing w:after="40"/>
              <w:rPr>
                <w:b/>
                <w:color w:val="FF0000"/>
              </w:rPr>
            </w:pPr>
            <w:r>
              <w:rPr>
                <w:b/>
                <w:color w:val="FF0000"/>
              </w:rPr>
              <w:t xml:space="preserve">This Act was repealed by the </w:t>
            </w:r>
            <w:r>
              <w:rPr>
                <w:b/>
                <w:i/>
                <w:color w:val="FF0000"/>
              </w:rPr>
              <w:t>Work Health and Safety Act 2020</w:t>
            </w:r>
            <w:r>
              <w:rPr>
                <w:b/>
                <w:color w:val="FF0000"/>
              </w:rPr>
              <w:t xml:space="preserve"> s. 278 (No. 36 of 2020) on 31 Mar 2022 (see s. 2(1)(c) and SL 2022/18 cl. 2)</w:t>
            </w:r>
          </w:p>
        </w:tc>
      </w:tr>
    </w:tbl>
    <w:p>
      <w:pPr>
        <w:pStyle w:val="nHeading3"/>
      </w:pPr>
      <w:bookmarkStart w:id="202" w:name="_Toc98511537"/>
      <w:r>
        <w:t>Other notes</w:t>
      </w:r>
      <w:bookmarkEnd w:id="202"/>
    </w:p>
    <w:p>
      <w:pPr>
        <w:pStyle w:val="nNote"/>
        <w:spacing w:before="140"/>
      </w:pPr>
      <w:r>
        <w:rPr>
          <w:snapToGrid w:val="0"/>
          <w:vertAlign w:val="superscript"/>
        </w:rPr>
        <w:t>1</w:t>
      </w:r>
      <w:r>
        <w:rPr>
          <w:snapToGrid w:val="0"/>
        </w:rPr>
        <w:tab/>
        <w:t xml:space="preserve">Now see the </w:t>
      </w:r>
      <w:r>
        <w:rPr>
          <w:i/>
          <w:iCs/>
          <w:snapToGrid w:val="0"/>
        </w:rPr>
        <w:t>Workplace Relations Act 1996</w:t>
      </w:r>
      <w:r>
        <w:rPr>
          <w:snapToGrid w:val="0"/>
        </w:rPr>
        <w:t xml:space="preserve"> of the Commonwealth.</w:t>
      </w:r>
    </w:p>
    <w:p>
      <w:pPr>
        <w:pStyle w:val="nNote"/>
        <w:spacing w:before="140"/>
      </w:pPr>
      <w:r>
        <w:rPr>
          <w:vertAlign w:val="superscript"/>
        </w:rPr>
        <w:t>2</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Note"/>
        <w:spacing w:before="140"/>
        <w:rPr>
          <w:iCs/>
          <w:snapToGrid w:val="0"/>
        </w:rPr>
      </w:pPr>
      <w:r>
        <w:rPr>
          <w:snapToGrid w:val="0"/>
          <w:vertAlign w:val="superscript"/>
        </w:rPr>
        <w:t>3</w:t>
      </w:r>
      <w:r>
        <w:rPr>
          <w:snapToGrid w:val="0"/>
        </w:rPr>
        <w:tab/>
        <w:t xml:space="preserve">Now known as the </w:t>
      </w:r>
      <w:r>
        <w:rPr>
          <w:i/>
        </w:rPr>
        <w:t>Occupational Safety and Health Act 1984</w:t>
      </w:r>
      <w:r>
        <w:rPr>
          <w:iCs/>
        </w:rPr>
        <w:t>; short title changed (see note under s. 1).</w:t>
      </w:r>
    </w:p>
    <w:p>
      <w:pPr>
        <w:pStyle w:val="nNote"/>
        <w:spacing w:before="140"/>
        <w:rPr>
          <w:snapToGrid w:val="0"/>
        </w:rPr>
      </w:pPr>
      <w:r>
        <w:rPr>
          <w:snapToGrid w:val="0"/>
          <w:vertAlign w:val="superscript"/>
        </w:rPr>
        <w:t>4</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Note"/>
        <w:keepNext/>
        <w:spacing w:before="140"/>
      </w:pPr>
      <w:r>
        <w:rPr>
          <w:vertAlign w:val="superscript"/>
        </w:rPr>
        <w:t>5</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keepNext/>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lastRenderedPageBreak/>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Note"/>
      </w:pPr>
      <w:r>
        <w:rPr>
          <w:vertAlign w:val="superscript"/>
        </w:rPr>
        <w:t>6</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Note"/>
        <w:keepNext/>
      </w:pPr>
      <w:r>
        <w:rPr>
          <w:vertAlign w:val="superscript"/>
        </w:rPr>
        <w:t>7</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Note"/>
        <w:keepNext/>
        <w:spacing w:before="120"/>
      </w:pPr>
      <w:r>
        <w:rPr>
          <w:vertAlign w:val="superscript"/>
        </w:rPr>
        <w:t>8</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Note"/>
        <w:spacing w:before="120"/>
      </w:pPr>
      <w:r>
        <w:rPr>
          <w:vertAlign w:val="superscript"/>
        </w:rPr>
        <w:t>9</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Note"/>
        <w:keepNext/>
        <w:spacing w:before="120"/>
      </w:pPr>
      <w:r>
        <w:rPr>
          <w:vertAlign w:val="superscript"/>
        </w:rPr>
        <w:lastRenderedPageBreak/>
        <w:t>10</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Note"/>
      </w:pPr>
      <w:r>
        <w:rPr>
          <w:vertAlign w:val="superscript"/>
        </w:rPr>
        <w:t>11</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lastRenderedPageBreak/>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Note"/>
        <w:keepLines/>
        <w:rPr>
          <w:snapToGrid w:val="0"/>
        </w:rPr>
      </w:pPr>
      <w:r>
        <w:rPr>
          <w:snapToGrid w:val="0"/>
          <w:vertAlign w:val="superscript"/>
        </w:rPr>
        <w:t>12</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Note"/>
        <w:keepLines/>
        <w:rPr>
          <w:snapToGrid w:val="0"/>
        </w:rPr>
      </w:pPr>
      <w:r>
        <w:rPr>
          <w:snapToGrid w:val="0"/>
          <w:vertAlign w:val="superscript"/>
        </w:rPr>
        <w:t>13</w:t>
      </w:r>
      <w:r>
        <w:rPr>
          <w:snapToGrid w:val="0"/>
        </w:rPr>
        <w:tab/>
        <w:t xml:space="preserve">The </w:t>
      </w:r>
      <w:r>
        <w:rPr>
          <w:i/>
          <w:snapToGrid w:val="0"/>
        </w:rPr>
        <w:t>Standardisation of Formatting Act 2010</w:t>
      </w:r>
      <w:r>
        <w:rPr>
          <w:snapToGrid w:val="0"/>
        </w:rPr>
        <w:t xml:space="preserve"> s. 4, the amendment to the </w:t>
      </w:r>
      <w:r>
        <w:rPr>
          <w:i/>
          <w:snapToGrid w:val="0"/>
        </w:rPr>
        <w:t>Occupational Safety and Health Act 1984</w:t>
      </w:r>
      <w:r>
        <w:rPr>
          <w:snapToGrid w:val="0"/>
        </w:rPr>
        <w:t xml:space="preserve"> Schedule, </w:t>
      </w:r>
      <w:r>
        <w:t>had</w:t>
      </w:r>
      <w:r>
        <w:rPr>
          <w:snapToGrid w:val="0"/>
        </w:rPr>
        <w:t xml:space="preserve"> not come into operation when it was deleted by the </w:t>
      </w:r>
      <w:r>
        <w:rPr>
          <w:i/>
          <w:snapToGrid w:val="0"/>
        </w:rPr>
        <w:t>Statutes (Repeals and Minor Amendments) Act 2014</w:t>
      </w:r>
      <w:r>
        <w:rPr>
          <w:snapToGrid w:val="0"/>
        </w:rPr>
        <w:t xml:space="preserve"> s. 39(2)(b).</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4" w:name="_Toc98510705"/>
      <w:bookmarkStart w:id="205" w:name="_Toc98511538"/>
      <w:r>
        <w:rPr>
          <w:sz w:val="28"/>
        </w:rPr>
        <w:lastRenderedPageBreak/>
        <w:t>Defined terms</w:t>
      </w:r>
      <w:bookmarkEnd w:id="204"/>
      <w:bookmarkEnd w:id="2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workplace</w:t>
      </w:r>
      <w:r>
        <w:tab/>
        <w:t>33(4), 35(1a)</w:t>
      </w:r>
    </w:p>
    <w:p>
      <w:pPr>
        <w:pStyle w:val="DefinedTerms"/>
      </w:pPr>
      <w:r>
        <w:t>activity</w:t>
      </w:r>
      <w:r>
        <w:tab/>
        <w:t>49(7)</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lastRenderedPageBreak/>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w:t>
      </w:r>
    </w:p>
    <w:p>
      <w:pPr>
        <w:pStyle w:val="DefinedTerms"/>
      </w:pPr>
      <w:r>
        <w:t>Ministers</w:t>
      </w:r>
      <w:r>
        <w:tab/>
        <w:t>14A(1)</w:t>
      </w:r>
    </w:p>
    <w:p>
      <w:pPr>
        <w:pStyle w:val="DefinedTerms"/>
      </w:pPr>
      <w:r>
        <w:t>offender</w:t>
      </w:r>
      <w:r>
        <w:tab/>
        <w:t>55I(1)</w:t>
      </w:r>
    </w:p>
    <w:p>
      <w:pPr>
        <w:pStyle w:val="DefinedTerms"/>
      </w:pPr>
      <w:r>
        <w:t>person mentioned in subsection (1)(a)</w:t>
      </w:r>
      <w:r>
        <w:tab/>
        <w:t>23E(1)</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relevant procedure</w:t>
      </w:r>
      <w:r>
        <w:tab/>
        <w:t>24(2)</w:t>
      </w:r>
    </w:p>
    <w:p>
      <w:pPr>
        <w:pStyle w:val="DefinedTerms"/>
      </w:pPr>
      <w:r>
        <w:t>residential premises</w:t>
      </w:r>
      <w:r>
        <w:tab/>
        <w:t>23G(1)</w:t>
      </w:r>
    </w:p>
    <w:p>
      <w:pPr>
        <w:pStyle w:val="DefinedTerms"/>
      </w:pPr>
      <w:r>
        <w:t>responsible agency</w:t>
      </w:r>
      <w:r>
        <w:tab/>
        <w:t>55D(1)</w:t>
      </w:r>
    </w:p>
    <w:p>
      <w:pPr>
        <w:pStyle w:val="DefinedTerms"/>
      </w:pPr>
      <w:r>
        <w:t>responsible person</w:t>
      </w:r>
      <w:r>
        <w:tab/>
        <w:t>23L(2)</w:t>
      </w:r>
    </w:p>
    <w:p>
      <w:pPr>
        <w:pStyle w:val="DefinedTerms"/>
      </w:pPr>
      <w:r>
        <w:t>review notice</w:t>
      </w:r>
      <w:r>
        <w:tab/>
        <w:t>51AH(2)</w:t>
      </w:r>
    </w:p>
    <w:p>
      <w:pPr>
        <w:pStyle w:val="DefinedTerms"/>
      </w:pPr>
      <w:r>
        <w:t>reviewable decision</w:t>
      </w:r>
      <w:r>
        <w:tab/>
        <w:t>61A(1)</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workplace</w:t>
      </w:r>
      <w:r>
        <w:tab/>
        <w:t>33(4), 35(1a)</w:t>
      </w:r>
    </w:p>
    <w:p>
      <w:pPr>
        <w:pStyle w:val="DefinedTerms"/>
      </w:pPr>
      <w:r>
        <w:t>trade union</w:t>
      </w:r>
      <w:r>
        <w:tab/>
        <w:t>3(1)</w:t>
      </w:r>
    </w:p>
    <w:p>
      <w:pPr>
        <w:pStyle w:val="DefinedTerms"/>
      </w:pPr>
      <w:r>
        <w:t>transferred law</w:t>
      </w:r>
      <w:r>
        <w:tab/>
        <w:t>3(1)</w:t>
      </w:r>
    </w:p>
    <w:p>
      <w:pPr>
        <w:pStyle w:val="DefinedTerms"/>
      </w:pPr>
      <w:r>
        <w:lastRenderedPageBreak/>
        <w:t>Tribunal</w:t>
      </w:r>
      <w:r>
        <w:tab/>
        <w:t>3(1), 51G(2)</w:t>
      </w:r>
    </w:p>
    <w:p>
      <w:pPr>
        <w:pStyle w:val="DefinedTerms"/>
      </w:pPr>
      <w:r>
        <w:t>visitor</w:t>
      </w:r>
      <w:r>
        <w:tab/>
        <w:t>57A(2)</w:t>
      </w:r>
    </w:p>
    <w:p>
      <w:pPr>
        <w:pStyle w:val="DefinedTerms"/>
      </w:pPr>
      <w:r>
        <w:t>WA Police</w:t>
      </w:r>
      <w:r>
        <w:tab/>
        <w:t>3(1)</w:t>
      </w:r>
    </w:p>
    <w:p>
      <w:pPr>
        <w:pStyle w:val="DefinedTerms"/>
      </w:pPr>
      <w:r>
        <w:t>worker</w:t>
      </w:r>
      <w:r>
        <w:tab/>
        <w:t>23E(1), 23F(1)</w:t>
      </w:r>
    </w:p>
    <w:p>
      <w:pPr>
        <w:pStyle w:val="DefinedTerms"/>
      </w:pPr>
      <w:r>
        <w:t>workplace</w:t>
      </w:r>
      <w:r>
        <w:tab/>
        <w:t>3(1), 23L(1), 39C(1), 40(1), 43(1a), 49(7)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jc w:val="center"/>
      </w:trP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vAlign w:val="bottom"/>
        </w:tcPr>
        <w:p>
          <w:pPr>
            <w:pStyle w:val="Header"/>
            <w:spacing w:before="40"/>
          </w:pPr>
        </w:p>
      </w:tc>
    </w:tr>
    <w:tr>
      <w:trPr>
        <w:jc w:val="center"/>
      </w:trPr>
      <w:tc>
        <w:tcPr>
          <w:tcW w:w="1490" w:type="dxa"/>
        </w:tcPr>
        <w:p>
          <w:pPr>
            <w:pStyle w:val="Header"/>
            <w:spacing w:before="40"/>
          </w:pPr>
        </w:p>
      </w:tc>
      <w:tc>
        <w:tcPr>
          <w:tcW w:w="5768"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Occupational Safety and Health Act 1984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vAlign w:val="bottom"/>
        </w:tcPr>
        <w:p>
          <w:pPr>
            <w:pStyle w:val="Header"/>
            <w:spacing w:before="40"/>
            <w:jc w:val="right"/>
          </w:pPr>
        </w:p>
      </w:tc>
      <w:tc>
        <w:tcPr>
          <w:tcW w:w="1521" w:type="dxa"/>
        </w:tcPr>
        <w:p>
          <w:pPr>
            <w:pStyle w:val="Header"/>
            <w:spacing w:before="40"/>
            <w:ind w:right="17"/>
            <w:jc w:val="right"/>
          </w:pPr>
        </w:p>
      </w:tc>
    </w:tr>
    <w:tr>
      <w:trPr>
        <w:jc w:val="center"/>
      </w:trPr>
      <w:tc>
        <w:tcPr>
          <w:tcW w:w="5742" w:type="dxa"/>
          <w:vAlign w:val="bottom"/>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Safety and Health Act 1984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6" w:name="DefinedTerms"/>
    <w:bookmarkEnd w:id="2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7" w:name="Coversheet"/>
    <w:bookmarkEnd w:id="2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E65E2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6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54102"/>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 w:name="WAFER_20150610165918" w:val="ResetPageSize,UpdateArrangement,UpdateNTable"/>
    <w:docVar w:name="WAFER_20150610165918_GUID" w:val="240a0e28-77e6-4dec-a720-69f5cace27d0"/>
    <w:docVar w:name="WAFER_20151109111457" w:val="UpdateStyles,UsedStyles"/>
    <w:docVar w:name="WAFER_20151109111457_GUID" w:val="b241c280-e3a1-4cff-a3bf-4474d1467d0b"/>
    <w:docVar w:name="WAFER_20201109162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2454_GUID" w:val="a78fc9a2-a149-4140-899e-470aecd7fbe5"/>
    <w:docVar w:name="WAFER_20220304164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64713_GUID" w:val="0f8ba7c1-d1e5-4798-a596-1dfed61ed601"/>
    <w:docVar w:name="WAFER_202203181541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54102_GUID" w:val="f14bc570-eb41-430a-b452-8e2e047724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1"/>
    <o:shapelayout v:ext="edit">
      <o:idmap v:ext="edit" data="1"/>
    </o:shapelayout>
  </w:shapeDefaults>
  <w:decimalSymbol w:val="."/>
  <w:listSeparator w:val=","/>
  <w15:docId w15:val="{478DD2CE-5FB9-4D84-A2E6-A7D68D6A8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37183</Words>
  <Characters>177364</Characters>
  <Application>Microsoft Office Word</Application>
  <DocSecurity>0</DocSecurity>
  <Lines>4926</Lines>
  <Paragraphs>3064</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1984 - 07-l0-00</dc:title>
  <dc:subject/>
  <dc:creator/>
  <cp:keywords/>
  <dc:description/>
  <cp:lastModifiedBy>Master Repository Process</cp:lastModifiedBy>
  <cp:revision>4</cp:revision>
  <cp:lastPrinted>2018-10-02T08:40:00Z</cp:lastPrinted>
  <dcterms:created xsi:type="dcterms:W3CDTF">2022-03-30T03:59:00Z</dcterms:created>
  <dcterms:modified xsi:type="dcterms:W3CDTF">2022-03-30T03:59:00Z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DocumentType">
    <vt:lpwstr>Act</vt:lpwstr>
  </property>
  <property fmtid="{D5CDD505-2E9C-101B-9397-08002B2CF9AE}" pid="4" name="OwlsUID">
    <vt:i4>555</vt:i4>
  </property>
  <property fmtid="{D5CDD505-2E9C-101B-9397-08002B2CF9AE}" pid="5" name="ReprintNo">
    <vt:lpwstr>7</vt:lpwstr>
  </property>
  <property fmtid="{D5CDD505-2E9C-101B-9397-08002B2CF9AE}" pid="6" name="ReprintedAsAt">
    <vt:filetime>2011-01-06T16:00:00Z</vt:filetime>
  </property>
  <property fmtid="{D5CDD505-2E9C-101B-9397-08002B2CF9AE}" pid="7" name="AsAtDate">
    <vt:lpwstr>31 Mar 2022</vt:lpwstr>
  </property>
  <property fmtid="{D5CDD505-2E9C-101B-9397-08002B2CF9AE}" pid="8" name="Suffix">
    <vt:lpwstr>07-l0-00</vt:lpwstr>
  </property>
  <property fmtid="{D5CDD505-2E9C-101B-9397-08002B2CF9AE}" pid="9" name="Status">
    <vt:lpwstr>NIF</vt:lpwstr>
  </property>
  <property fmtid="{D5CDD505-2E9C-101B-9397-08002B2CF9AE}" pid="10" name="CommencementDate">
    <vt:lpwstr>20220331</vt:lpwstr>
  </property>
</Properties>
</file>