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Waste Avoidance and Resource Recovery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_Toc98511332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_Toc98511333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_Toc98511334 \h </w:instrText>
      </w:r>
      <w:r>
        <w:fldChar w:fldCharType="separate"/>
      </w:r>
      <w:r>
        <w:t>1</w:t>
      </w:r>
      <w:r>
        <w:fldChar w:fldCharType="end"/>
      </w:r>
    </w:p>
    <w:p>
      <w:pPr>
        <w:pStyle w:val="TOC8"/>
        <w:rPr>
          <w:rFonts w:asciiTheme="minorHAnsi" w:eastAsiaTheme="minorEastAsia" w:hAnsiTheme="minorHAnsi" w:cstheme="minorBidi"/>
          <w:szCs w:val="22"/>
        </w:rPr>
      </w:pPr>
      <w:r>
        <w:t>3A.</w:t>
      </w:r>
      <w:r>
        <w:tab/>
        <w:t>Things excluded from meaning of beverage</w:t>
      </w:r>
      <w:r>
        <w:tab/>
      </w:r>
      <w:r>
        <w:fldChar w:fldCharType="begin"/>
      </w:r>
      <w:r>
        <w:instrText xml:space="preserve"> PAGEREF _Toc98511335 \h </w:instrText>
      </w:r>
      <w:r>
        <w:fldChar w:fldCharType="separate"/>
      </w:r>
      <w:r>
        <w:t>5</w:t>
      </w:r>
      <w:r>
        <w:fldChar w:fldCharType="end"/>
      </w:r>
    </w:p>
    <w:p>
      <w:pPr>
        <w:pStyle w:val="TOC8"/>
        <w:rPr>
          <w:rFonts w:asciiTheme="minorHAnsi" w:eastAsiaTheme="minorEastAsia" w:hAnsiTheme="minorHAnsi" w:cstheme="minorBidi"/>
          <w:szCs w:val="22"/>
        </w:rPr>
      </w:pPr>
      <w:r>
        <w:t>3B.</w:t>
      </w:r>
      <w:r>
        <w:tab/>
        <w:t>Things included in or excluded from meaning of container</w:t>
      </w:r>
      <w:r>
        <w:tab/>
      </w:r>
      <w:r>
        <w:fldChar w:fldCharType="begin"/>
      </w:r>
      <w:r>
        <w:instrText xml:space="preserve"> PAGEREF _Toc98511336 \h </w:instrText>
      </w:r>
      <w:r>
        <w:fldChar w:fldCharType="separate"/>
      </w:r>
      <w:r>
        <w:t>6</w:t>
      </w:r>
      <w:r>
        <w:fldChar w:fldCharType="end"/>
      </w:r>
    </w:p>
    <w:p>
      <w:pPr>
        <w:pStyle w:val="TOC8"/>
        <w:rPr>
          <w:rFonts w:asciiTheme="minorHAnsi" w:eastAsiaTheme="minorEastAsia" w:hAnsiTheme="minorHAnsi" w:cstheme="minorBidi"/>
          <w:szCs w:val="22"/>
        </w:rPr>
      </w:pPr>
      <w:r>
        <w:t>3C.</w:t>
      </w:r>
      <w:r>
        <w:tab/>
        <w:t>Manner prescribed to be or not to be prohibited manner</w:t>
      </w:r>
      <w:r>
        <w:tab/>
      </w:r>
      <w:r>
        <w:fldChar w:fldCharType="begin"/>
      </w:r>
      <w:r>
        <w:instrText xml:space="preserve"> PAGEREF _Toc98511337 \h </w:instrText>
      </w:r>
      <w:r>
        <w:fldChar w:fldCharType="separate"/>
      </w:r>
      <w:r>
        <w:t>8</w:t>
      </w:r>
      <w:r>
        <w:fldChar w:fldCharType="end"/>
      </w:r>
    </w:p>
    <w:p>
      <w:pPr>
        <w:pStyle w:val="TOC8"/>
        <w:rPr>
          <w:rFonts w:asciiTheme="minorHAnsi" w:eastAsiaTheme="minorEastAsia" w:hAnsiTheme="minorHAnsi" w:cstheme="minorBidi"/>
          <w:szCs w:val="22"/>
        </w:rPr>
      </w:pPr>
      <w:r>
        <w:t>3D.</w:t>
      </w:r>
      <w:r>
        <w:tab/>
        <w:t>Persons included in or excluded from meaning of refund point operator</w:t>
      </w:r>
      <w:r>
        <w:tab/>
      </w:r>
      <w:r>
        <w:fldChar w:fldCharType="begin"/>
      </w:r>
      <w:r>
        <w:instrText xml:space="preserve"> PAGEREF _Toc98511338 \h </w:instrText>
      </w:r>
      <w:r>
        <w:fldChar w:fldCharType="separate"/>
      </w:r>
      <w:r>
        <w:t>9</w:t>
      </w:r>
      <w:r>
        <w:fldChar w:fldCharType="end"/>
      </w:r>
    </w:p>
    <w:p>
      <w:pPr>
        <w:pStyle w:val="TOC8"/>
        <w:rPr>
          <w:rFonts w:asciiTheme="minorHAnsi" w:eastAsiaTheme="minorEastAsia" w:hAnsiTheme="minorHAnsi" w:cstheme="minorBidi"/>
          <w:szCs w:val="22"/>
        </w:rPr>
      </w:pPr>
      <w:r>
        <w:t>3E.</w:t>
      </w:r>
      <w:r>
        <w:tab/>
        <w:t>Meaning of first responsible supplier</w:t>
      </w:r>
      <w:r>
        <w:tab/>
      </w:r>
      <w:r>
        <w:fldChar w:fldCharType="begin"/>
      </w:r>
      <w:r>
        <w:instrText xml:space="preserve"> PAGEREF _Toc98511339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1A — Supply of beverage products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3F.</w:t>
      </w:r>
      <w:r>
        <w:tab/>
        <w:t>Terms used</w:t>
      </w:r>
      <w:r>
        <w:tab/>
      </w:r>
      <w:r>
        <w:fldChar w:fldCharType="begin"/>
      </w:r>
      <w:r>
        <w:instrText xml:space="preserve"> PAGEREF _Toc98511342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Requirement for container approval, refund mark and barcode</w:t>
      </w:r>
    </w:p>
    <w:p>
      <w:pPr>
        <w:pStyle w:val="TOC8"/>
        <w:rPr>
          <w:rFonts w:asciiTheme="minorHAnsi" w:eastAsiaTheme="minorEastAsia" w:hAnsiTheme="minorHAnsi" w:cstheme="minorBidi"/>
          <w:szCs w:val="22"/>
        </w:rPr>
      </w:pPr>
      <w:r>
        <w:t>3G.</w:t>
      </w:r>
      <w:r>
        <w:tab/>
        <w:t>Refund mark</w:t>
      </w:r>
      <w:r>
        <w:tab/>
      </w:r>
      <w:r>
        <w:fldChar w:fldCharType="begin"/>
      </w:r>
      <w:r>
        <w:instrText xml:space="preserve"> PAGEREF _Toc98511344 \h </w:instrText>
      </w:r>
      <w:r>
        <w:fldChar w:fldCharType="separate"/>
      </w:r>
      <w:r>
        <w:t>12</w:t>
      </w:r>
      <w:r>
        <w:fldChar w:fldCharType="end"/>
      </w:r>
    </w:p>
    <w:p>
      <w:pPr>
        <w:pStyle w:val="TOC8"/>
        <w:rPr>
          <w:rFonts w:asciiTheme="minorHAnsi" w:eastAsiaTheme="minorEastAsia" w:hAnsiTheme="minorHAnsi" w:cstheme="minorBidi"/>
          <w:szCs w:val="22"/>
        </w:rPr>
      </w:pPr>
      <w:r>
        <w:t>3H.</w:t>
      </w:r>
      <w:r>
        <w:tab/>
        <w:t>Barcode requirements</w:t>
      </w:r>
      <w:r>
        <w:tab/>
      </w:r>
      <w:r>
        <w:fldChar w:fldCharType="begin"/>
      </w:r>
      <w:r>
        <w:instrText xml:space="preserve"> PAGEREF _Toc98511345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Container approvals</w:t>
      </w:r>
    </w:p>
    <w:p>
      <w:pPr>
        <w:pStyle w:val="TOC6"/>
        <w:tabs>
          <w:tab w:val="right" w:leader="dot" w:pos="7077"/>
        </w:tabs>
        <w:rPr>
          <w:rFonts w:asciiTheme="minorHAnsi" w:eastAsiaTheme="minorEastAsia" w:hAnsiTheme="minorHAnsi" w:cstheme="minorBidi"/>
          <w:b w:val="0"/>
          <w:sz w:val="22"/>
          <w:szCs w:val="22"/>
        </w:rPr>
      </w:pPr>
      <w:r>
        <w:t>Subdivision 1 — Grant of container approval</w:t>
      </w:r>
    </w:p>
    <w:p>
      <w:pPr>
        <w:pStyle w:val="TOC8"/>
        <w:rPr>
          <w:rFonts w:asciiTheme="minorHAnsi" w:eastAsiaTheme="minorEastAsia" w:hAnsiTheme="minorHAnsi" w:cstheme="minorBidi"/>
          <w:szCs w:val="22"/>
        </w:rPr>
      </w:pPr>
      <w:r>
        <w:t>3I.</w:t>
      </w:r>
      <w:r>
        <w:tab/>
        <w:t>Application process for container approval</w:t>
      </w:r>
      <w:r>
        <w:tab/>
      </w:r>
      <w:r>
        <w:fldChar w:fldCharType="begin"/>
      </w:r>
      <w:r>
        <w:instrText xml:space="preserve"> PAGEREF _Toc98511348 \h </w:instrText>
      </w:r>
      <w:r>
        <w:fldChar w:fldCharType="separate"/>
      </w:r>
      <w:r>
        <w:t>14</w:t>
      </w:r>
      <w:r>
        <w:fldChar w:fldCharType="end"/>
      </w:r>
    </w:p>
    <w:p>
      <w:pPr>
        <w:pStyle w:val="TOC8"/>
        <w:rPr>
          <w:rFonts w:asciiTheme="minorHAnsi" w:eastAsiaTheme="minorEastAsia" w:hAnsiTheme="minorHAnsi" w:cstheme="minorBidi"/>
          <w:szCs w:val="22"/>
        </w:rPr>
      </w:pPr>
      <w:r>
        <w:t>3J.</w:t>
      </w:r>
      <w:r>
        <w:tab/>
        <w:t>Criteria for grant of container approval</w:t>
      </w:r>
      <w:r>
        <w:tab/>
      </w:r>
      <w:r>
        <w:fldChar w:fldCharType="begin"/>
      </w:r>
      <w:r>
        <w:instrText xml:space="preserve"> PAGEREF _Toc98511349 \h </w:instrText>
      </w:r>
      <w:r>
        <w:fldChar w:fldCharType="separate"/>
      </w:r>
      <w:r>
        <w:t>15</w:t>
      </w:r>
      <w:r>
        <w:fldChar w:fldCharType="end"/>
      </w:r>
    </w:p>
    <w:p>
      <w:pPr>
        <w:pStyle w:val="TOC8"/>
        <w:rPr>
          <w:rFonts w:asciiTheme="minorHAnsi" w:eastAsiaTheme="minorEastAsia" w:hAnsiTheme="minorHAnsi" w:cstheme="minorBidi"/>
          <w:szCs w:val="22"/>
        </w:rPr>
      </w:pPr>
      <w:r>
        <w:lastRenderedPageBreak/>
        <w:t>3K.</w:t>
      </w:r>
      <w:r>
        <w:tab/>
        <w:t>Grounds for refusal of container approval</w:t>
      </w:r>
      <w:r>
        <w:tab/>
      </w:r>
      <w:r>
        <w:fldChar w:fldCharType="begin"/>
      </w:r>
      <w:r>
        <w:instrText xml:space="preserve"> PAGEREF _Toc98511350 \h </w:instrText>
      </w:r>
      <w:r>
        <w:fldChar w:fldCharType="separate"/>
      </w:r>
      <w:r>
        <w:t>16</w:t>
      </w:r>
      <w:r>
        <w:fldChar w:fldCharType="end"/>
      </w:r>
    </w:p>
    <w:p>
      <w:pPr>
        <w:pStyle w:val="TOC8"/>
        <w:rPr>
          <w:rFonts w:asciiTheme="minorHAnsi" w:eastAsiaTheme="minorEastAsia" w:hAnsiTheme="minorHAnsi" w:cstheme="minorBidi"/>
          <w:szCs w:val="22"/>
        </w:rPr>
      </w:pPr>
      <w:r>
        <w:t>3L.</w:t>
      </w:r>
      <w:r>
        <w:tab/>
        <w:t>Matters to be considered by CEO in deciding application</w:t>
      </w:r>
      <w:r>
        <w:tab/>
      </w:r>
      <w:r>
        <w:fldChar w:fldCharType="begin"/>
      </w:r>
      <w:r>
        <w:instrText xml:space="preserve"> PAGEREF _Toc98511351 \h </w:instrText>
      </w:r>
      <w:r>
        <w:fldChar w:fldCharType="separate"/>
      </w:r>
      <w:r>
        <w:t>16</w:t>
      </w:r>
      <w:r>
        <w:fldChar w:fldCharType="end"/>
      </w:r>
    </w:p>
    <w:p>
      <w:pPr>
        <w:pStyle w:val="TOC8"/>
        <w:rPr>
          <w:rFonts w:asciiTheme="minorHAnsi" w:eastAsiaTheme="minorEastAsia" w:hAnsiTheme="minorHAnsi" w:cstheme="minorBidi"/>
          <w:szCs w:val="22"/>
        </w:rPr>
      </w:pPr>
      <w:r>
        <w:t>3M.</w:t>
      </w:r>
      <w:r>
        <w:tab/>
        <w:t>Decision in relation to container approval</w:t>
      </w:r>
      <w:r>
        <w:tab/>
      </w:r>
      <w:r>
        <w:fldChar w:fldCharType="begin"/>
      </w:r>
      <w:r>
        <w:instrText xml:space="preserve"> PAGEREF _Toc98511352 \h </w:instrText>
      </w:r>
      <w:r>
        <w:fldChar w:fldCharType="separate"/>
      </w:r>
      <w:r>
        <w:t>17</w:t>
      </w:r>
      <w:r>
        <w:fldChar w:fldCharType="end"/>
      </w:r>
    </w:p>
    <w:p>
      <w:pPr>
        <w:pStyle w:val="TOC8"/>
        <w:rPr>
          <w:rFonts w:asciiTheme="minorHAnsi" w:eastAsiaTheme="minorEastAsia" w:hAnsiTheme="minorHAnsi" w:cstheme="minorBidi"/>
          <w:szCs w:val="22"/>
        </w:rPr>
      </w:pPr>
      <w:r>
        <w:t>3N.</w:t>
      </w:r>
      <w:r>
        <w:tab/>
        <w:t>Conditions on container approvals</w:t>
      </w:r>
      <w:r>
        <w:tab/>
      </w:r>
      <w:r>
        <w:fldChar w:fldCharType="begin"/>
      </w:r>
      <w:r>
        <w:instrText xml:space="preserve"> PAGEREF _Toc98511353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Transfer of container approval by application</w:t>
      </w:r>
    </w:p>
    <w:p>
      <w:pPr>
        <w:pStyle w:val="TOC8"/>
        <w:rPr>
          <w:rFonts w:asciiTheme="minorHAnsi" w:eastAsiaTheme="minorEastAsia" w:hAnsiTheme="minorHAnsi" w:cstheme="minorBidi"/>
          <w:szCs w:val="22"/>
        </w:rPr>
      </w:pPr>
      <w:r>
        <w:t>3O.</w:t>
      </w:r>
      <w:r>
        <w:tab/>
        <w:t>Application to transfer container approval</w:t>
      </w:r>
      <w:r>
        <w:tab/>
      </w:r>
      <w:r>
        <w:fldChar w:fldCharType="begin"/>
      </w:r>
      <w:r>
        <w:instrText xml:space="preserve"> PAGEREF _Toc98511355 \h </w:instrText>
      </w:r>
      <w:r>
        <w:fldChar w:fldCharType="separate"/>
      </w:r>
      <w:r>
        <w:t>19</w:t>
      </w:r>
      <w:r>
        <w:fldChar w:fldCharType="end"/>
      </w:r>
    </w:p>
    <w:p>
      <w:pPr>
        <w:pStyle w:val="TOC8"/>
        <w:rPr>
          <w:rFonts w:asciiTheme="minorHAnsi" w:eastAsiaTheme="minorEastAsia" w:hAnsiTheme="minorHAnsi" w:cstheme="minorBidi"/>
          <w:szCs w:val="22"/>
        </w:rPr>
      </w:pPr>
      <w:r>
        <w:t>3P.</w:t>
      </w:r>
      <w:r>
        <w:tab/>
        <w:t>Deciding transfer application</w:t>
      </w:r>
      <w:r>
        <w:tab/>
      </w:r>
      <w:r>
        <w:fldChar w:fldCharType="begin"/>
      </w:r>
      <w:r>
        <w:instrText xml:space="preserve"> PAGEREF _Toc98511356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Amendment, suspension or cancellation of container approval on CEO’s initiative</w:t>
      </w:r>
    </w:p>
    <w:p>
      <w:pPr>
        <w:pStyle w:val="TOC8"/>
        <w:rPr>
          <w:rFonts w:asciiTheme="minorHAnsi" w:eastAsiaTheme="minorEastAsia" w:hAnsiTheme="minorHAnsi" w:cstheme="minorBidi"/>
          <w:szCs w:val="22"/>
        </w:rPr>
      </w:pPr>
      <w:r>
        <w:t>3Q.</w:t>
      </w:r>
      <w:r>
        <w:tab/>
        <w:t>Amendment of container approval on CEO’s initiative</w:t>
      </w:r>
      <w:r>
        <w:tab/>
      </w:r>
      <w:r>
        <w:fldChar w:fldCharType="begin"/>
      </w:r>
      <w:r>
        <w:instrText xml:space="preserve"> PAGEREF _Toc98511358 \h </w:instrText>
      </w:r>
      <w:r>
        <w:fldChar w:fldCharType="separate"/>
      </w:r>
      <w:r>
        <w:t>22</w:t>
      </w:r>
      <w:r>
        <w:fldChar w:fldCharType="end"/>
      </w:r>
    </w:p>
    <w:p>
      <w:pPr>
        <w:pStyle w:val="TOC8"/>
        <w:rPr>
          <w:rFonts w:asciiTheme="minorHAnsi" w:eastAsiaTheme="minorEastAsia" w:hAnsiTheme="minorHAnsi" w:cstheme="minorBidi"/>
          <w:szCs w:val="22"/>
        </w:rPr>
      </w:pPr>
      <w:r>
        <w:t>3R.</w:t>
      </w:r>
      <w:r>
        <w:tab/>
        <w:t>Suspension or cancellation of container approval</w:t>
      </w:r>
      <w:r>
        <w:tab/>
      </w:r>
      <w:r>
        <w:fldChar w:fldCharType="begin"/>
      </w:r>
      <w:r>
        <w:instrText xml:space="preserve"> PAGEREF _Toc98511359 \h </w:instrText>
      </w:r>
      <w:r>
        <w:fldChar w:fldCharType="separate"/>
      </w:r>
      <w:r>
        <w:t>22</w:t>
      </w:r>
      <w:r>
        <w:fldChar w:fldCharType="end"/>
      </w:r>
    </w:p>
    <w:p>
      <w:pPr>
        <w:pStyle w:val="TOC8"/>
        <w:rPr>
          <w:rFonts w:asciiTheme="minorHAnsi" w:eastAsiaTheme="minorEastAsia" w:hAnsiTheme="minorHAnsi" w:cstheme="minorBidi"/>
          <w:szCs w:val="22"/>
        </w:rPr>
      </w:pPr>
      <w:r>
        <w:t>3S.</w:t>
      </w:r>
      <w:r>
        <w:tab/>
        <w:t>Process for amendment, suspension or cancellation of container approval</w:t>
      </w:r>
      <w:r>
        <w:tab/>
      </w:r>
      <w:r>
        <w:fldChar w:fldCharType="begin"/>
      </w:r>
      <w:r>
        <w:instrText xml:space="preserve"> PAGEREF _Toc98511360 \h </w:instrText>
      </w:r>
      <w:r>
        <w:fldChar w:fldCharType="separate"/>
      </w:r>
      <w:r>
        <w:t>23</w:t>
      </w:r>
      <w:r>
        <w:fldChar w:fldCharType="end"/>
      </w:r>
    </w:p>
    <w:p>
      <w:pPr>
        <w:pStyle w:val="TOC8"/>
        <w:rPr>
          <w:rFonts w:asciiTheme="minorHAnsi" w:eastAsiaTheme="minorEastAsia" w:hAnsiTheme="minorHAnsi" w:cstheme="minorBidi"/>
          <w:szCs w:val="22"/>
        </w:rPr>
      </w:pPr>
      <w:r>
        <w:t>3T.</w:t>
      </w:r>
      <w:r>
        <w:tab/>
        <w:t>Notice of amendment, suspension or cancellation of container approval</w:t>
      </w:r>
      <w:r>
        <w:tab/>
      </w:r>
      <w:r>
        <w:fldChar w:fldCharType="begin"/>
      </w:r>
      <w:r>
        <w:instrText xml:space="preserve"> PAGEREF _Toc98511361 \h </w:instrText>
      </w:r>
      <w:r>
        <w:fldChar w:fldCharType="separate"/>
      </w:r>
      <w:r>
        <w:t>24</w:t>
      </w:r>
      <w:r>
        <w:fldChar w:fldCharType="end"/>
      </w:r>
    </w:p>
    <w:p>
      <w:pPr>
        <w:pStyle w:val="TOC8"/>
        <w:rPr>
          <w:rFonts w:asciiTheme="minorHAnsi" w:eastAsiaTheme="minorEastAsia" w:hAnsiTheme="minorHAnsi" w:cstheme="minorBidi"/>
          <w:szCs w:val="22"/>
        </w:rPr>
      </w:pPr>
      <w:r>
        <w:t>3U.</w:t>
      </w:r>
      <w:r>
        <w:tab/>
        <w:t>Container approval continues in force</w:t>
      </w:r>
      <w:r>
        <w:tab/>
      </w:r>
      <w:r>
        <w:fldChar w:fldCharType="begin"/>
      </w:r>
      <w:r>
        <w:instrText xml:space="preserve"> PAGEREF _Toc98511362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w:t>
      </w:r>
    </w:p>
    <w:p>
      <w:pPr>
        <w:pStyle w:val="TOC8"/>
        <w:rPr>
          <w:rFonts w:asciiTheme="minorHAnsi" w:eastAsiaTheme="minorEastAsia" w:hAnsiTheme="minorHAnsi" w:cstheme="minorBidi"/>
          <w:szCs w:val="22"/>
        </w:rPr>
      </w:pPr>
      <w:r>
        <w:t>3V.</w:t>
      </w:r>
      <w:r>
        <w:tab/>
        <w:t>Register of container approvals</w:t>
      </w:r>
      <w:r>
        <w:tab/>
      </w:r>
      <w:r>
        <w:fldChar w:fldCharType="begin"/>
      </w:r>
      <w:r>
        <w:instrText xml:space="preserve"> PAGEREF _Toc98511364 \h </w:instrText>
      </w:r>
      <w:r>
        <w:fldChar w:fldCharType="separate"/>
      </w:r>
      <w:r>
        <w:t>25</w:t>
      </w:r>
      <w:r>
        <w:fldChar w:fldCharType="end"/>
      </w:r>
    </w:p>
    <w:p>
      <w:pPr>
        <w:pStyle w:val="TOC8"/>
        <w:rPr>
          <w:rFonts w:asciiTheme="minorHAnsi" w:eastAsiaTheme="minorEastAsia" w:hAnsiTheme="minorHAnsi" w:cstheme="minorBidi"/>
          <w:szCs w:val="22"/>
        </w:rPr>
      </w:pPr>
      <w:r>
        <w:t>3W.</w:t>
      </w:r>
      <w:r>
        <w:tab/>
        <w:t>Verification by statutory declaration</w:t>
      </w:r>
      <w:r>
        <w:tab/>
      </w:r>
      <w:r>
        <w:fldChar w:fldCharType="begin"/>
      </w:r>
      <w:r>
        <w:instrText xml:space="preserve"> PAGEREF _Toc98511365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2 — Return of containers</w:t>
      </w:r>
    </w:p>
    <w:p>
      <w:pPr>
        <w:pStyle w:val="TOC4"/>
        <w:tabs>
          <w:tab w:val="right" w:leader="dot" w:pos="7077"/>
        </w:tabs>
        <w:rPr>
          <w:rFonts w:asciiTheme="minorHAnsi" w:eastAsiaTheme="minorEastAsia" w:hAnsiTheme="minorHAnsi" w:cstheme="minorBidi"/>
          <w:b w:val="0"/>
          <w:szCs w:val="22"/>
        </w:rPr>
      </w:pPr>
      <w:r>
        <w:t>Division 1 — Refund point operators</w:t>
      </w:r>
    </w:p>
    <w:p>
      <w:pPr>
        <w:pStyle w:val="TOC8"/>
        <w:rPr>
          <w:rFonts w:asciiTheme="minorHAnsi" w:eastAsiaTheme="minorEastAsia" w:hAnsiTheme="minorHAnsi" w:cstheme="minorBidi"/>
          <w:szCs w:val="22"/>
        </w:rPr>
      </w:pPr>
      <w:r>
        <w:t>4.</w:t>
      </w:r>
      <w:r>
        <w:tab/>
        <w:t>Eligibility criteria for refund point operators</w:t>
      </w:r>
      <w:r>
        <w:tab/>
      </w:r>
      <w:r>
        <w:fldChar w:fldCharType="begin"/>
      </w:r>
      <w:r>
        <w:instrText xml:space="preserve"> PAGEREF _Toc98511368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Claiming refund amount</w:t>
      </w:r>
    </w:p>
    <w:p>
      <w:pPr>
        <w:pStyle w:val="TOC8"/>
        <w:rPr>
          <w:rFonts w:asciiTheme="minorHAnsi" w:eastAsiaTheme="minorEastAsia" w:hAnsiTheme="minorHAnsi" w:cstheme="minorBidi"/>
          <w:szCs w:val="22"/>
        </w:rPr>
      </w:pPr>
      <w:r>
        <w:t>4A.</w:t>
      </w:r>
      <w:r>
        <w:tab/>
        <w:t>Refund amount (s. 47J)</w:t>
      </w:r>
      <w:r>
        <w:tab/>
      </w:r>
      <w:r>
        <w:fldChar w:fldCharType="begin"/>
      </w:r>
      <w:r>
        <w:instrText xml:space="preserve"> PAGEREF _Toc98511370 \h </w:instrText>
      </w:r>
      <w:r>
        <w:fldChar w:fldCharType="separate"/>
      </w:r>
      <w:r>
        <w:t>28</w:t>
      </w:r>
      <w:r>
        <w:fldChar w:fldCharType="end"/>
      </w:r>
    </w:p>
    <w:p>
      <w:pPr>
        <w:pStyle w:val="TOC8"/>
        <w:rPr>
          <w:rFonts w:asciiTheme="minorHAnsi" w:eastAsiaTheme="minorEastAsia" w:hAnsiTheme="minorHAnsi" w:cstheme="minorBidi"/>
          <w:szCs w:val="22"/>
        </w:rPr>
      </w:pPr>
      <w:r>
        <w:t>4B.</w:t>
      </w:r>
      <w:r>
        <w:tab/>
        <w:t>Claiming refund amount from refund point</w:t>
      </w:r>
      <w:r>
        <w:tab/>
      </w:r>
      <w:r>
        <w:fldChar w:fldCharType="begin"/>
      </w:r>
      <w:r>
        <w:instrText xml:space="preserve"> PAGEREF _Toc98511371 \h </w:instrText>
      </w:r>
      <w:r>
        <w:fldChar w:fldCharType="separate"/>
      </w:r>
      <w:r>
        <w:t>28</w:t>
      </w:r>
      <w:r>
        <w:fldChar w:fldCharType="end"/>
      </w:r>
    </w:p>
    <w:p>
      <w:pPr>
        <w:pStyle w:val="TOC8"/>
        <w:rPr>
          <w:rFonts w:asciiTheme="minorHAnsi" w:eastAsiaTheme="minorEastAsia" w:hAnsiTheme="minorHAnsi" w:cstheme="minorBidi"/>
          <w:szCs w:val="22"/>
        </w:rPr>
      </w:pPr>
      <w:r>
        <w:t>4C.</w:t>
      </w:r>
      <w:r>
        <w:tab/>
        <w:t>When refund point operator not required to accept container and pay person refund amount</w:t>
      </w:r>
      <w:r>
        <w:tab/>
      </w:r>
      <w:r>
        <w:fldChar w:fldCharType="begin"/>
      </w:r>
      <w:r>
        <w:instrText xml:space="preserve"> PAGEREF _Toc98511372 \h </w:instrText>
      </w:r>
      <w:r>
        <w:fldChar w:fldCharType="separate"/>
      </w:r>
      <w:r>
        <w:t>28</w:t>
      </w:r>
      <w:r>
        <w:fldChar w:fldCharType="end"/>
      </w:r>
    </w:p>
    <w:p>
      <w:pPr>
        <w:pStyle w:val="TOC8"/>
        <w:rPr>
          <w:rFonts w:asciiTheme="minorHAnsi" w:eastAsiaTheme="minorEastAsia" w:hAnsiTheme="minorHAnsi" w:cstheme="minorBidi"/>
          <w:szCs w:val="22"/>
        </w:rPr>
      </w:pPr>
      <w:r>
        <w:t>4D.</w:t>
      </w:r>
      <w:r>
        <w:tab/>
        <w:t>Guidelines in relation to contaminated containers</w:t>
      </w:r>
      <w:r>
        <w:tab/>
      </w:r>
      <w:r>
        <w:fldChar w:fldCharType="begin"/>
      </w:r>
      <w:r>
        <w:instrText xml:space="preserve"> PAGEREF _Toc98511373 \h </w:instrText>
      </w:r>
      <w:r>
        <w:fldChar w:fldCharType="separate"/>
      </w:r>
      <w:r>
        <w:t>31</w:t>
      </w:r>
      <w:r>
        <w:fldChar w:fldCharType="end"/>
      </w:r>
    </w:p>
    <w:p>
      <w:pPr>
        <w:pStyle w:val="TOC8"/>
        <w:rPr>
          <w:rFonts w:asciiTheme="minorHAnsi" w:eastAsiaTheme="minorEastAsia" w:hAnsiTheme="minorHAnsi" w:cstheme="minorBidi"/>
          <w:szCs w:val="22"/>
        </w:rPr>
      </w:pPr>
      <w:r>
        <w:t>4E.</w:t>
      </w:r>
      <w:r>
        <w:tab/>
        <w:t>Refund declaration and proof of identity</w:t>
      </w:r>
      <w:r>
        <w:tab/>
      </w:r>
      <w:r>
        <w:fldChar w:fldCharType="begin"/>
      </w:r>
      <w:r>
        <w:instrText xml:space="preserve"> PAGEREF _Toc98511374 \h </w:instrText>
      </w:r>
      <w:r>
        <w:fldChar w:fldCharType="separate"/>
      </w:r>
      <w:r>
        <w:t>31</w:t>
      </w:r>
      <w:r>
        <w:fldChar w:fldCharType="end"/>
      </w:r>
    </w:p>
    <w:p>
      <w:pPr>
        <w:pStyle w:val="TOC8"/>
        <w:rPr>
          <w:rFonts w:asciiTheme="minorHAnsi" w:eastAsiaTheme="minorEastAsia" w:hAnsiTheme="minorHAnsi" w:cstheme="minorBidi"/>
          <w:szCs w:val="22"/>
        </w:rPr>
      </w:pPr>
      <w:r>
        <w:t>4F.</w:t>
      </w:r>
      <w:r>
        <w:tab/>
        <w:t>Ways refund amount may be paid</w:t>
      </w:r>
      <w:r>
        <w:tab/>
      </w:r>
      <w:r>
        <w:fldChar w:fldCharType="begin"/>
      </w:r>
      <w:r>
        <w:instrText xml:space="preserve"> PAGEREF _Toc98511375 \h </w:instrText>
      </w:r>
      <w:r>
        <w:fldChar w:fldCharType="separate"/>
      </w:r>
      <w:r>
        <w:t>33</w:t>
      </w:r>
      <w:r>
        <w:fldChar w:fldCharType="end"/>
      </w:r>
    </w:p>
    <w:p>
      <w:pPr>
        <w:pStyle w:val="TOC8"/>
        <w:rPr>
          <w:rFonts w:asciiTheme="minorHAnsi" w:eastAsiaTheme="minorEastAsia" w:hAnsiTheme="minorHAnsi" w:cstheme="minorBidi"/>
          <w:szCs w:val="22"/>
        </w:rPr>
      </w:pPr>
      <w:r>
        <w:t>4G.</w:t>
      </w:r>
      <w:r>
        <w:tab/>
        <w:t>Claiming refund amount from refund point that is reverse vending machine</w:t>
      </w:r>
      <w:r>
        <w:tab/>
      </w:r>
      <w:r>
        <w:fldChar w:fldCharType="begin"/>
      </w:r>
      <w:r>
        <w:instrText xml:space="preserve"> PAGEREF _Toc98511376 \h </w:instrText>
      </w:r>
      <w:r>
        <w:fldChar w:fldCharType="separate"/>
      </w:r>
      <w:r>
        <w:t>34</w:t>
      </w:r>
      <w:r>
        <w:fldChar w:fldCharType="end"/>
      </w:r>
    </w:p>
    <w:p>
      <w:pPr>
        <w:pStyle w:val="TOC8"/>
        <w:rPr>
          <w:rFonts w:asciiTheme="minorHAnsi" w:eastAsiaTheme="minorEastAsia" w:hAnsiTheme="minorHAnsi" w:cstheme="minorBidi"/>
          <w:szCs w:val="22"/>
        </w:rPr>
      </w:pPr>
      <w:r>
        <w:t>4H.</w:t>
      </w:r>
      <w:r>
        <w:tab/>
        <w:t>Ways reverse vending machine may dispense refund amount</w:t>
      </w:r>
      <w:r>
        <w:tab/>
      </w:r>
      <w:r>
        <w:fldChar w:fldCharType="begin"/>
      </w:r>
      <w:r>
        <w:instrText xml:space="preserve"> PAGEREF _Toc98511377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4I.</w:t>
      </w:r>
      <w:r>
        <w:tab/>
        <w:t>When refund amount must not be claimed</w:t>
      </w:r>
      <w:r>
        <w:tab/>
      </w:r>
      <w:r>
        <w:fldChar w:fldCharType="begin"/>
      </w:r>
      <w:r>
        <w:instrText xml:space="preserve"> PAGEREF _Toc98511378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Obligations in relation to refund points</w:t>
      </w:r>
    </w:p>
    <w:p>
      <w:pPr>
        <w:pStyle w:val="TOC8"/>
        <w:rPr>
          <w:rFonts w:asciiTheme="minorHAnsi" w:eastAsiaTheme="minorEastAsia" w:hAnsiTheme="minorHAnsi" w:cstheme="minorBidi"/>
          <w:szCs w:val="22"/>
        </w:rPr>
      </w:pPr>
      <w:r>
        <w:t>4J.</w:t>
      </w:r>
      <w:r>
        <w:tab/>
        <w:t>Refund point operator must keep refund declarations</w:t>
      </w:r>
      <w:r>
        <w:tab/>
      </w:r>
      <w:r>
        <w:fldChar w:fldCharType="begin"/>
      </w:r>
      <w:r>
        <w:instrText xml:space="preserve"> PAGEREF _Toc98511380 \h </w:instrText>
      </w:r>
      <w:r>
        <w:fldChar w:fldCharType="separate"/>
      </w:r>
      <w:r>
        <w:t>38</w:t>
      </w:r>
      <w:r>
        <w:fldChar w:fldCharType="end"/>
      </w:r>
    </w:p>
    <w:p>
      <w:pPr>
        <w:pStyle w:val="TOC8"/>
        <w:rPr>
          <w:rFonts w:asciiTheme="minorHAnsi" w:eastAsiaTheme="minorEastAsia" w:hAnsiTheme="minorHAnsi" w:cstheme="minorBidi"/>
          <w:szCs w:val="22"/>
        </w:rPr>
      </w:pPr>
      <w:r>
        <w:t>4K.</w:t>
      </w:r>
      <w:r>
        <w:tab/>
        <w:t>Obligations in relation to refund points other than reverse vending machines</w:t>
      </w:r>
      <w:r>
        <w:tab/>
      </w:r>
      <w:r>
        <w:fldChar w:fldCharType="begin"/>
      </w:r>
      <w:r>
        <w:instrText xml:space="preserve"> PAGEREF _Toc98511381 \h </w:instrText>
      </w:r>
      <w:r>
        <w:fldChar w:fldCharType="separate"/>
      </w:r>
      <w:r>
        <w:t>39</w:t>
      </w:r>
      <w:r>
        <w:fldChar w:fldCharType="end"/>
      </w:r>
    </w:p>
    <w:p>
      <w:pPr>
        <w:pStyle w:val="TOC8"/>
        <w:rPr>
          <w:rFonts w:asciiTheme="minorHAnsi" w:eastAsiaTheme="minorEastAsia" w:hAnsiTheme="minorHAnsi" w:cstheme="minorBidi"/>
          <w:szCs w:val="22"/>
        </w:rPr>
      </w:pPr>
      <w:r>
        <w:t>4L.</w:t>
      </w:r>
      <w:r>
        <w:tab/>
        <w:t>Obligations in relation to reverse vending machines</w:t>
      </w:r>
      <w:r>
        <w:tab/>
      </w:r>
      <w:r>
        <w:fldChar w:fldCharType="begin"/>
      </w:r>
      <w:r>
        <w:instrText xml:space="preserve"> PAGEREF _Toc98511382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2A — Scheme agreements and scheme participants</w:t>
      </w:r>
    </w:p>
    <w:p>
      <w:pPr>
        <w:pStyle w:val="TOC4"/>
        <w:tabs>
          <w:tab w:val="right" w:leader="dot" w:pos="7077"/>
        </w:tabs>
        <w:rPr>
          <w:rFonts w:asciiTheme="minorHAnsi" w:eastAsiaTheme="minorEastAsia" w:hAnsiTheme="minorHAnsi" w:cstheme="minorBidi"/>
          <w:b w:val="0"/>
          <w:szCs w:val="22"/>
        </w:rPr>
      </w:pPr>
      <w:r>
        <w:t>Division 1 — Scheme agreements</w:t>
      </w:r>
    </w:p>
    <w:p>
      <w:pPr>
        <w:pStyle w:val="TOC8"/>
        <w:rPr>
          <w:rFonts w:asciiTheme="minorHAnsi" w:eastAsiaTheme="minorEastAsia" w:hAnsiTheme="minorHAnsi" w:cstheme="minorBidi"/>
          <w:szCs w:val="22"/>
        </w:rPr>
      </w:pPr>
      <w:r>
        <w:t>4M.</w:t>
      </w:r>
      <w:r>
        <w:tab/>
        <w:t>Terms used</w:t>
      </w:r>
      <w:r>
        <w:tab/>
      </w:r>
      <w:r>
        <w:fldChar w:fldCharType="begin"/>
      </w:r>
      <w:r>
        <w:instrText xml:space="preserve"> PAGEREF _Toc98511385 \h </w:instrText>
      </w:r>
      <w:r>
        <w:fldChar w:fldCharType="separate"/>
      </w:r>
      <w:r>
        <w:t>41</w:t>
      </w:r>
      <w:r>
        <w:fldChar w:fldCharType="end"/>
      </w:r>
    </w:p>
    <w:p>
      <w:pPr>
        <w:pStyle w:val="TOC8"/>
        <w:rPr>
          <w:rFonts w:asciiTheme="minorHAnsi" w:eastAsiaTheme="minorEastAsia" w:hAnsiTheme="minorHAnsi" w:cstheme="minorBidi"/>
          <w:szCs w:val="22"/>
        </w:rPr>
      </w:pPr>
      <w:r>
        <w:t>4N.</w:t>
      </w:r>
      <w:r>
        <w:tab/>
        <w:t>Scheme agreement template</w:t>
      </w:r>
      <w:r>
        <w:tab/>
      </w:r>
      <w:r>
        <w:fldChar w:fldCharType="begin"/>
      </w:r>
      <w:r>
        <w:instrText xml:space="preserve"> PAGEREF _Toc98511386 \h </w:instrText>
      </w:r>
      <w:r>
        <w:fldChar w:fldCharType="separate"/>
      </w:r>
      <w:r>
        <w:t>41</w:t>
      </w:r>
      <w:r>
        <w:fldChar w:fldCharType="end"/>
      </w:r>
    </w:p>
    <w:p>
      <w:pPr>
        <w:pStyle w:val="TOC8"/>
        <w:rPr>
          <w:rFonts w:asciiTheme="minorHAnsi" w:eastAsiaTheme="minorEastAsia" w:hAnsiTheme="minorHAnsi" w:cstheme="minorBidi"/>
          <w:szCs w:val="22"/>
        </w:rPr>
      </w:pPr>
      <w:r>
        <w:t>4O.</w:t>
      </w:r>
      <w:r>
        <w:tab/>
        <w:t>Amendment of scheme agreement template</w:t>
      </w:r>
      <w:r>
        <w:tab/>
      </w:r>
      <w:r>
        <w:fldChar w:fldCharType="begin"/>
      </w:r>
      <w:r>
        <w:instrText xml:space="preserve"> PAGEREF _Toc98511387 \h </w:instrText>
      </w:r>
      <w:r>
        <w:fldChar w:fldCharType="separate"/>
      </w:r>
      <w:r>
        <w:t>43</w:t>
      </w:r>
      <w:r>
        <w:fldChar w:fldCharType="end"/>
      </w:r>
    </w:p>
    <w:p>
      <w:pPr>
        <w:pStyle w:val="TOC8"/>
        <w:rPr>
          <w:rFonts w:asciiTheme="minorHAnsi" w:eastAsiaTheme="minorEastAsia" w:hAnsiTheme="minorHAnsi" w:cstheme="minorBidi"/>
          <w:szCs w:val="22"/>
        </w:rPr>
      </w:pPr>
      <w:r>
        <w:t>4P.</w:t>
      </w:r>
      <w:r>
        <w:tab/>
        <w:t>Content and publication of approved scheme agreement template</w:t>
      </w:r>
      <w:r>
        <w:tab/>
      </w:r>
      <w:r>
        <w:fldChar w:fldCharType="begin"/>
      </w:r>
      <w:r>
        <w:instrText xml:space="preserve"> PAGEREF _Toc98511388 \h </w:instrText>
      </w:r>
      <w:r>
        <w:fldChar w:fldCharType="separate"/>
      </w:r>
      <w:r>
        <w:t>43</w:t>
      </w:r>
      <w:r>
        <w:fldChar w:fldCharType="end"/>
      </w:r>
    </w:p>
    <w:p>
      <w:pPr>
        <w:pStyle w:val="TOC8"/>
        <w:rPr>
          <w:rFonts w:asciiTheme="minorHAnsi" w:eastAsiaTheme="minorEastAsia" w:hAnsiTheme="minorHAnsi" w:cstheme="minorBidi"/>
          <w:szCs w:val="22"/>
        </w:rPr>
      </w:pPr>
      <w:r>
        <w:t>4Q.</w:t>
      </w:r>
      <w:r>
        <w:tab/>
        <w:t>Compliance with approved scheme agreement template</w:t>
      </w:r>
      <w:r>
        <w:tab/>
      </w:r>
      <w:r>
        <w:fldChar w:fldCharType="begin"/>
      </w:r>
      <w:r>
        <w:instrText xml:space="preserve"> PAGEREF _Toc98511389 \h </w:instrText>
      </w:r>
      <w:r>
        <w:fldChar w:fldCharType="separate"/>
      </w:r>
      <w:r>
        <w:t>45</w:t>
      </w:r>
      <w:r>
        <w:fldChar w:fldCharType="end"/>
      </w:r>
    </w:p>
    <w:p>
      <w:pPr>
        <w:pStyle w:val="TOC8"/>
        <w:rPr>
          <w:rFonts w:asciiTheme="minorHAnsi" w:eastAsiaTheme="minorEastAsia" w:hAnsiTheme="minorHAnsi" w:cstheme="minorBidi"/>
          <w:szCs w:val="22"/>
        </w:rPr>
      </w:pPr>
      <w:r>
        <w:t>4R.</w:t>
      </w:r>
      <w:r>
        <w:tab/>
        <w:t>Deemed term in scheme agreements</w:t>
      </w:r>
      <w:r>
        <w:tab/>
      </w:r>
      <w:r>
        <w:fldChar w:fldCharType="begin"/>
      </w:r>
      <w:r>
        <w:instrText xml:space="preserve"> PAGEREF _Toc98511390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Supply agreements</w:t>
      </w:r>
    </w:p>
    <w:p>
      <w:pPr>
        <w:pStyle w:val="TOC8"/>
        <w:rPr>
          <w:rFonts w:asciiTheme="minorHAnsi" w:eastAsiaTheme="minorEastAsia" w:hAnsiTheme="minorHAnsi" w:cstheme="minorBidi"/>
          <w:szCs w:val="22"/>
        </w:rPr>
      </w:pPr>
      <w:r>
        <w:t>4S.</w:t>
      </w:r>
      <w:r>
        <w:tab/>
        <w:t>Term used: approved supply amounts calculation methodology</w:t>
      </w:r>
      <w:r>
        <w:tab/>
      </w:r>
      <w:r>
        <w:fldChar w:fldCharType="begin"/>
      </w:r>
      <w:r>
        <w:instrText xml:space="preserve"> PAGEREF _Toc98511392 \h </w:instrText>
      </w:r>
      <w:r>
        <w:fldChar w:fldCharType="separate"/>
      </w:r>
      <w:r>
        <w:t>46</w:t>
      </w:r>
      <w:r>
        <w:fldChar w:fldCharType="end"/>
      </w:r>
    </w:p>
    <w:p>
      <w:pPr>
        <w:pStyle w:val="TOC8"/>
        <w:rPr>
          <w:rFonts w:asciiTheme="minorHAnsi" w:eastAsiaTheme="minorEastAsia" w:hAnsiTheme="minorHAnsi" w:cstheme="minorBidi"/>
          <w:szCs w:val="22"/>
        </w:rPr>
      </w:pPr>
      <w:r>
        <w:t>4T.</w:t>
      </w:r>
      <w:r>
        <w:tab/>
        <w:t>Supply amounts calculation methodology</w:t>
      </w:r>
      <w:r>
        <w:tab/>
      </w:r>
      <w:r>
        <w:fldChar w:fldCharType="begin"/>
      </w:r>
      <w:r>
        <w:instrText xml:space="preserve"> PAGEREF _Toc98511393 \h </w:instrText>
      </w:r>
      <w:r>
        <w:fldChar w:fldCharType="separate"/>
      </w:r>
      <w:r>
        <w:t>46</w:t>
      </w:r>
      <w:r>
        <w:fldChar w:fldCharType="end"/>
      </w:r>
    </w:p>
    <w:p>
      <w:pPr>
        <w:pStyle w:val="TOC8"/>
        <w:rPr>
          <w:rFonts w:asciiTheme="minorHAnsi" w:eastAsiaTheme="minorEastAsia" w:hAnsiTheme="minorHAnsi" w:cstheme="minorBidi"/>
          <w:szCs w:val="22"/>
        </w:rPr>
      </w:pPr>
      <w:r>
        <w:t>4U.</w:t>
      </w:r>
      <w:r>
        <w:tab/>
        <w:t>Amendment of supply amounts calculation methodology</w:t>
      </w:r>
      <w:r>
        <w:tab/>
      </w:r>
      <w:r>
        <w:fldChar w:fldCharType="begin"/>
      </w:r>
      <w:r>
        <w:instrText xml:space="preserve"> PAGEREF _Toc98511394 \h </w:instrText>
      </w:r>
      <w:r>
        <w:fldChar w:fldCharType="separate"/>
      </w:r>
      <w:r>
        <w:t>47</w:t>
      </w:r>
      <w:r>
        <w:fldChar w:fldCharType="end"/>
      </w:r>
    </w:p>
    <w:p>
      <w:pPr>
        <w:pStyle w:val="TOC8"/>
        <w:rPr>
          <w:rFonts w:asciiTheme="minorHAnsi" w:eastAsiaTheme="minorEastAsia" w:hAnsiTheme="minorHAnsi" w:cstheme="minorBidi"/>
          <w:szCs w:val="22"/>
        </w:rPr>
      </w:pPr>
      <w:r>
        <w:t>4V.</w:t>
      </w:r>
      <w:r>
        <w:tab/>
        <w:t>Content and publication of approved supply amounts calculation methodology</w:t>
      </w:r>
      <w:r>
        <w:tab/>
      </w:r>
      <w:r>
        <w:fldChar w:fldCharType="begin"/>
      </w:r>
      <w:r>
        <w:instrText xml:space="preserve"> PAGEREF _Toc98511395 \h </w:instrText>
      </w:r>
      <w:r>
        <w:fldChar w:fldCharType="separate"/>
      </w:r>
      <w:r>
        <w:t>48</w:t>
      </w:r>
      <w:r>
        <w:fldChar w:fldCharType="end"/>
      </w:r>
    </w:p>
    <w:p>
      <w:pPr>
        <w:pStyle w:val="TOC8"/>
        <w:rPr>
          <w:rFonts w:asciiTheme="minorHAnsi" w:eastAsiaTheme="minorEastAsia" w:hAnsiTheme="minorHAnsi" w:cstheme="minorBidi"/>
          <w:szCs w:val="22"/>
        </w:rPr>
      </w:pPr>
      <w:r>
        <w:t>4W.</w:t>
      </w:r>
      <w:r>
        <w:tab/>
        <w:t>Content of supply agreement</w:t>
      </w:r>
      <w:r>
        <w:tab/>
      </w:r>
      <w:r>
        <w:fldChar w:fldCharType="begin"/>
      </w:r>
      <w:r>
        <w:instrText xml:space="preserve"> PAGEREF _Toc98511396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Export rebate agreements</w:t>
      </w:r>
    </w:p>
    <w:p>
      <w:pPr>
        <w:pStyle w:val="TOC8"/>
        <w:rPr>
          <w:rFonts w:asciiTheme="minorHAnsi" w:eastAsiaTheme="minorEastAsia" w:hAnsiTheme="minorHAnsi" w:cstheme="minorBidi"/>
          <w:szCs w:val="22"/>
        </w:rPr>
      </w:pPr>
      <w:r>
        <w:t>4X.</w:t>
      </w:r>
      <w:r>
        <w:tab/>
        <w:t>Term used: export rebate protocol</w:t>
      </w:r>
      <w:r>
        <w:tab/>
      </w:r>
      <w:r>
        <w:fldChar w:fldCharType="begin"/>
      </w:r>
      <w:r>
        <w:instrText xml:space="preserve"> PAGEREF _Toc98511398 \h </w:instrText>
      </w:r>
      <w:r>
        <w:fldChar w:fldCharType="separate"/>
      </w:r>
      <w:r>
        <w:t>49</w:t>
      </w:r>
      <w:r>
        <w:fldChar w:fldCharType="end"/>
      </w:r>
    </w:p>
    <w:p>
      <w:pPr>
        <w:pStyle w:val="TOC8"/>
        <w:rPr>
          <w:rFonts w:asciiTheme="minorHAnsi" w:eastAsiaTheme="minorEastAsia" w:hAnsiTheme="minorHAnsi" w:cstheme="minorBidi"/>
          <w:szCs w:val="22"/>
        </w:rPr>
      </w:pPr>
      <w:r>
        <w:t>4Y.</w:t>
      </w:r>
      <w:r>
        <w:tab/>
        <w:t>Export rebate protocol</w:t>
      </w:r>
      <w:r>
        <w:tab/>
      </w:r>
      <w:r>
        <w:fldChar w:fldCharType="begin"/>
      </w:r>
      <w:r>
        <w:instrText xml:space="preserve"> PAGEREF _Toc98511399 \h </w:instrText>
      </w:r>
      <w:r>
        <w:fldChar w:fldCharType="separate"/>
      </w:r>
      <w:r>
        <w:t>49</w:t>
      </w:r>
      <w:r>
        <w:fldChar w:fldCharType="end"/>
      </w:r>
    </w:p>
    <w:p>
      <w:pPr>
        <w:pStyle w:val="TOC8"/>
        <w:rPr>
          <w:rFonts w:asciiTheme="minorHAnsi" w:eastAsiaTheme="minorEastAsia" w:hAnsiTheme="minorHAnsi" w:cstheme="minorBidi"/>
          <w:szCs w:val="22"/>
        </w:rPr>
      </w:pPr>
      <w:r>
        <w:t>4Z.</w:t>
      </w:r>
      <w:r>
        <w:tab/>
        <w:t>Content of export rebate agreements</w:t>
      </w:r>
      <w:r>
        <w:tab/>
      </w:r>
      <w:r>
        <w:fldChar w:fldCharType="begin"/>
      </w:r>
      <w:r>
        <w:instrText xml:space="preserve"> PAGEREF _Toc98511400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Refund point agreements</w:t>
      </w:r>
    </w:p>
    <w:p>
      <w:pPr>
        <w:pStyle w:val="TOC8"/>
        <w:rPr>
          <w:rFonts w:asciiTheme="minorHAnsi" w:eastAsiaTheme="minorEastAsia" w:hAnsiTheme="minorHAnsi" w:cstheme="minorBidi"/>
          <w:szCs w:val="22"/>
        </w:rPr>
      </w:pPr>
      <w:r>
        <w:t>4ZA.</w:t>
      </w:r>
      <w:r>
        <w:tab/>
        <w:t>Content of refund point agreements</w:t>
      </w:r>
      <w:r>
        <w:tab/>
      </w:r>
      <w:r>
        <w:fldChar w:fldCharType="begin"/>
      </w:r>
      <w:r>
        <w:instrText xml:space="preserve"> PAGEREF _Toc98511402 \h </w:instrText>
      </w:r>
      <w:r>
        <w:fldChar w:fldCharType="separate"/>
      </w:r>
      <w:r>
        <w:t>51</w:t>
      </w:r>
      <w:r>
        <w:fldChar w:fldCharType="end"/>
      </w:r>
    </w:p>
    <w:p>
      <w:pPr>
        <w:pStyle w:val="TOC8"/>
        <w:rPr>
          <w:rFonts w:asciiTheme="minorHAnsi" w:eastAsiaTheme="minorEastAsia" w:hAnsiTheme="minorHAnsi" w:cstheme="minorBidi"/>
          <w:szCs w:val="22"/>
        </w:rPr>
      </w:pPr>
      <w:r>
        <w:t>4ZB.</w:t>
      </w:r>
      <w:r>
        <w:tab/>
        <w:t>Circumstances in which refund point operator must not claim payment</w:t>
      </w:r>
      <w:r>
        <w:tab/>
      </w:r>
      <w:r>
        <w:fldChar w:fldCharType="begin"/>
      </w:r>
      <w:r>
        <w:instrText xml:space="preserve"> PAGEREF _Toc98511403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Material recovery agreements</w:t>
      </w:r>
    </w:p>
    <w:p>
      <w:pPr>
        <w:pStyle w:val="TOC6"/>
        <w:tabs>
          <w:tab w:val="right" w:leader="dot" w:pos="7077"/>
        </w:tabs>
        <w:rPr>
          <w:rFonts w:asciiTheme="minorHAnsi" w:eastAsiaTheme="minorEastAsia" w:hAnsiTheme="minorHAnsi" w:cstheme="minorBidi"/>
          <w:b w:val="0"/>
          <w:sz w:val="22"/>
          <w:szCs w:val="22"/>
        </w:rPr>
      </w:pPr>
      <w:r>
        <w:t>Subdivision 1 — Sampling plans and eligible container factors</w:t>
      </w:r>
    </w:p>
    <w:p>
      <w:pPr>
        <w:pStyle w:val="TOC8"/>
        <w:rPr>
          <w:rFonts w:asciiTheme="minorHAnsi" w:eastAsiaTheme="minorEastAsia" w:hAnsiTheme="minorHAnsi" w:cstheme="minorBidi"/>
          <w:szCs w:val="22"/>
        </w:rPr>
      </w:pPr>
      <w:r>
        <w:t>4ZC.</w:t>
      </w:r>
      <w:r>
        <w:tab/>
        <w:t>Terms used</w:t>
      </w:r>
      <w:r>
        <w:tab/>
      </w:r>
      <w:r>
        <w:fldChar w:fldCharType="begin"/>
      </w:r>
      <w:r>
        <w:instrText xml:space="preserve"> PAGEREF _Toc98511406 \h </w:instrText>
      </w:r>
      <w:r>
        <w:fldChar w:fldCharType="separate"/>
      </w:r>
      <w:r>
        <w:t>53</w:t>
      </w:r>
      <w:r>
        <w:fldChar w:fldCharType="end"/>
      </w:r>
    </w:p>
    <w:p>
      <w:pPr>
        <w:pStyle w:val="TOC8"/>
        <w:rPr>
          <w:rFonts w:asciiTheme="minorHAnsi" w:eastAsiaTheme="minorEastAsia" w:hAnsiTheme="minorHAnsi" w:cstheme="minorBidi"/>
          <w:szCs w:val="22"/>
        </w:rPr>
      </w:pPr>
      <w:r>
        <w:t>4ZD.</w:t>
      </w:r>
      <w:r>
        <w:tab/>
        <w:t>Coordinator to prepare draft sampling plan</w:t>
      </w:r>
      <w:r>
        <w:tab/>
      </w:r>
      <w:r>
        <w:fldChar w:fldCharType="begin"/>
      </w:r>
      <w:r>
        <w:instrText xml:space="preserve"> PAGEREF _Toc98511407 \h </w:instrText>
      </w:r>
      <w:r>
        <w:fldChar w:fldCharType="separate"/>
      </w:r>
      <w:r>
        <w:t>54</w:t>
      </w:r>
      <w:r>
        <w:fldChar w:fldCharType="end"/>
      </w:r>
    </w:p>
    <w:p>
      <w:pPr>
        <w:pStyle w:val="TOC8"/>
        <w:rPr>
          <w:rFonts w:asciiTheme="minorHAnsi" w:eastAsiaTheme="minorEastAsia" w:hAnsiTheme="minorHAnsi" w:cstheme="minorBidi"/>
          <w:szCs w:val="22"/>
        </w:rPr>
      </w:pPr>
      <w:r>
        <w:t>4ZE.</w:t>
      </w:r>
      <w:r>
        <w:tab/>
        <w:t>Amendment of approved sampling plan</w:t>
      </w:r>
      <w:r>
        <w:tab/>
      </w:r>
      <w:r>
        <w:fldChar w:fldCharType="begin"/>
      </w:r>
      <w:r>
        <w:instrText xml:space="preserve"> PAGEREF _Toc98511408 \h </w:instrText>
      </w:r>
      <w:r>
        <w:fldChar w:fldCharType="separate"/>
      </w:r>
      <w:r>
        <w:t>55</w:t>
      </w:r>
      <w:r>
        <w:fldChar w:fldCharType="end"/>
      </w:r>
    </w:p>
    <w:p>
      <w:pPr>
        <w:pStyle w:val="TOC8"/>
        <w:rPr>
          <w:rFonts w:asciiTheme="minorHAnsi" w:eastAsiaTheme="minorEastAsia" w:hAnsiTheme="minorHAnsi" w:cstheme="minorBidi"/>
          <w:szCs w:val="22"/>
        </w:rPr>
      </w:pPr>
      <w:r>
        <w:t>4ZF.</w:t>
      </w:r>
      <w:r>
        <w:tab/>
        <w:t>Cooperation with sampling</w:t>
      </w:r>
      <w:r>
        <w:tab/>
      </w:r>
      <w:r>
        <w:fldChar w:fldCharType="begin"/>
      </w:r>
      <w:r>
        <w:instrText xml:space="preserve"> PAGEREF _Toc98511409 \h </w:instrText>
      </w:r>
      <w:r>
        <w:fldChar w:fldCharType="separate"/>
      </w:r>
      <w:r>
        <w:t>55</w:t>
      </w:r>
      <w:r>
        <w:fldChar w:fldCharType="end"/>
      </w:r>
    </w:p>
    <w:p>
      <w:pPr>
        <w:pStyle w:val="TOC8"/>
        <w:rPr>
          <w:rFonts w:asciiTheme="minorHAnsi" w:eastAsiaTheme="minorEastAsia" w:hAnsiTheme="minorHAnsi" w:cstheme="minorBidi"/>
          <w:szCs w:val="22"/>
        </w:rPr>
      </w:pPr>
      <w:r>
        <w:t>4ZG.</w:t>
      </w:r>
      <w:r>
        <w:tab/>
        <w:t>Eligible container factor</w:t>
      </w:r>
      <w:r>
        <w:tab/>
      </w:r>
      <w:r>
        <w:fldChar w:fldCharType="begin"/>
      </w:r>
      <w:r>
        <w:instrText xml:space="preserve"> PAGEREF _Toc98511410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MRF operators and material recovery agreements</w:t>
      </w:r>
    </w:p>
    <w:p>
      <w:pPr>
        <w:pStyle w:val="TOC8"/>
        <w:rPr>
          <w:rFonts w:asciiTheme="minorHAnsi" w:eastAsiaTheme="minorEastAsia" w:hAnsiTheme="minorHAnsi" w:cstheme="minorBidi"/>
          <w:szCs w:val="22"/>
        </w:rPr>
      </w:pPr>
      <w:r>
        <w:t>4ZH.</w:t>
      </w:r>
      <w:r>
        <w:tab/>
        <w:t>Terms used</w:t>
      </w:r>
      <w:r>
        <w:tab/>
      </w:r>
      <w:r>
        <w:fldChar w:fldCharType="begin"/>
      </w:r>
      <w:r>
        <w:instrText xml:space="preserve"> PAGEREF _Toc98511412 \h </w:instrText>
      </w:r>
      <w:r>
        <w:fldChar w:fldCharType="separate"/>
      </w:r>
      <w:r>
        <w:t>57</w:t>
      </w:r>
      <w:r>
        <w:fldChar w:fldCharType="end"/>
      </w:r>
    </w:p>
    <w:p>
      <w:pPr>
        <w:pStyle w:val="TOC8"/>
        <w:rPr>
          <w:rFonts w:asciiTheme="minorHAnsi" w:eastAsiaTheme="minorEastAsia" w:hAnsiTheme="minorHAnsi" w:cstheme="minorBidi"/>
          <w:szCs w:val="22"/>
        </w:rPr>
      </w:pPr>
      <w:r>
        <w:t>4ZI.</w:t>
      </w:r>
      <w:r>
        <w:tab/>
        <w:t>Recovery amount protocol</w:t>
      </w:r>
      <w:r>
        <w:tab/>
      </w:r>
      <w:r>
        <w:fldChar w:fldCharType="begin"/>
      </w:r>
      <w:r>
        <w:instrText xml:space="preserve"> PAGEREF _Toc98511413 \h </w:instrText>
      </w:r>
      <w:r>
        <w:fldChar w:fldCharType="separate"/>
      </w:r>
      <w:r>
        <w:t>57</w:t>
      </w:r>
      <w:r>
        <w:fldChar w:fldCharType="end"/>
      </w:r>
    </w:p>
    <w:p>
      <w:pPr>
        <w:pStyle w:val="TOC8"/>
        <w:rPr>
          <w:rFonts w:asciiTheme="minorHAnsi" w:eastAsiaTheme="minorEastAsia" w:hAnsiTheme="minorHAnsi" w:cstheme="minorBidi"/>
          <w:szCs w:val="22"/>
        </w:rPr>
      </w:pPr>
      <w:r>
        <w:t>4ZJ.</w:t>
      </w:r>
      <w:r>
        <w:tab/>
        <w:t>Content of material recovery agreement</w:t>
      </w:r>
      <w:r>
        <w:tab/>
      </w:r>
      <w:r>
        <w:fldChar w:fldCharType="begin"/>
      </w:r>
      <w:r>
        <w:instrText xml:space="preserve"> PAGEREF _Toc98511414 \h </w:instrText>
      </w:r>
      <w:r>
        <w:fldChar w:fldCharType="separate"/>
      </w:r>
      <w:r>
        <w:t>58</w:t>
      </w:r>
      <w:r>
        <w:fldChar w:fldCharType="end"/>
      </w:r>
    </w:p>
    <w:p>
      <w:pPr>
        <w:pStyle w:val="TOC8"/>
        <w:rPr>
          <w:rFonts w:asciiTheme="minorHAnsi" w:eastAsiaTheme="minorEastAsia" w:hAnsiTheme="minorHAnsi" w:cstheme="minorBidi"/>
          <w:szCs w:val="22"/>
        </w:rPr>
      </w:pPr>
      <w:r>
        <w:t>4ZK.</w:t>
      </w:r>
      <w:r>
        <w:tab/>
        <w:t>Circumstances in which MRF operator must not claim recovery amount</w:t>
      </w:r>
      <w:r>
        <w:tab/>
      </w:r>
      <w:r>
        <w:fldChar w:fldCharType="begin"/>
      </w:r>
      <w:r>
        <w:instrText xml:space="preserve"> PAGEREF _Toc98511415 \h </w:instrText>
      </w:r>
      <w:r>
        <w:fldChar w:fldCharType="separate"/>
      </w:r>
      <w:r>
        <w:t>60</w:t>
      </w:r>
      <w:r>
        <w:fldChar w:fldCharType="end"/>
      </w:r>
    </w:p>
    <w:p>
      <w:pPr>
        <w:pStyle w:val="TOC8"/>
        <w:rPr>
          <w:rFonts w:asciiTheme="minorHAnsi" w:eastAsiaTheme="minorEastAsia" w:hAnsiTheme="minorHAnsi" w:cstheme="minorBidi"/>
          <w:szCs w:val="22"/>
        </w:rPr>
      </w:pPr>
      <w:r>
        <w:t>4ZL.</w:t>
      </w:r>
      <w:r>
        <w:tab/>
        <w:t>Audits of MRF operators</w:t>
      </w:r>
      <w:r>
        <w:tab/>
      </w:r>
      <w:r>
        <w:fldChar w:fldCharType="begin"/>
      </w:r>
      <w:r>
        <w:instrText xml:space="preserve"> PAGEREF _Toc98511416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Sharing payments with local governments</w:t>
      </w:r>
    </w:p>
    <w:p>
      <w:pPr>
        <w:pStyle w:val="TOC8"/>
        <w:rPr>
          <w:rFonts w:asciiTheme="minorHAnsi" w:eastAsiaTheme="minorEastAsia" w:hAnsiTheme="minorHAnsi" w:cstheme="minorBidi"/>
          <w:szCs w:val="22"/>
        </w:rPr>
      </w:pPr>
      <w:r>
        <w:t>4ZM.</w:t>
      </w:r>
      <w:r>
        <w:tab/>
        <w:t>Terms used</w:t>
      </w:r>
      <w:r>
        <w:tab/>
      </w:r>
      <w:r>
        <w:fldChar w:fldCharType="begin"/>
      </w:r>
      <w:r>
        <w:instrText xml:space="preserve"> PAGEREF _Toc98511418 \h </w:instrText>
      </w:r>
      <w:r>
        <w:fldChar w:fldCharType="separate"/>
      </w:r>
      <w:r>
        <w:t>63</w:t>
      </w:r>
      <w:r>
        <w:fldChar w:fldCharType="end"/>
      </w:r>
    </w:p>
    <w:p>
      <w:pPr>
        <w:pStyle w:val="TOC8"/>
        <w:rPr>
          <w:rFonts w:asciiTheme="minorHAnsi" w:eastAsiaTheme="minorEastAsia" w:hAnsiTheme="minorHAnsi" w:cstheme="minorBidi"/>
          <w:szCs w:val="22"/>
        </w:rPr>
      </w:pPr>
      <w:r>
        <w:t>4ZN.</w:t>
      </w:r>
      <w:r>
        <w:tab/>
        <w:t>Local government sharing protocol</w:t>
      </w:r>
      <w:r>
        <w:tab/>
      </w:r>
      <w:r>
        <w:fldChar w:fldCharType="begin"/>
      </w:r>
      <w:r>
        <w:instrText xml:space="preserve"> PAGEREF _Toc98511419 \h </w:instrText>
      </w:r>
      <w:r>
        <w:fldChar w:fldCharType="separate"/>
      </w:r>
      <w:r>
        <w:t>64</w:t>
      </w:r>
      <w:r>
        <w:fldChar w:fldCharType="end"/>
      </w:r>
    </w:p>
    <w:p>
      <w:pPr>
        <w:pStyle w:val="TOC8"/>
        <w:rPr>
          <w:rFonts w:asciiTheme="minorHAnsi" w:eastAsiaTheme="minorEastAsia" w:hAnsiTheme="minorHAnsi" w:cstheme="minorBidi"/>
          <w:szCs w:val="22"/>
        </w:rPr>
      </w:pPr>
      <w:r>
        <w:t>4ZO.</w:t>
      </w:r>
      <w:r>
        <w:tab/>
        <w:t>MRF operators to share payments with local governments</w:t>
      </w:r>
      <w:r>
        <w:tab/>
      </w:r>
      <w:r>
        <w:fldChar w:fldCharType="begin"/>
      </w:r>
      <w:r>
        <w:instrText xml:space="preserve"> PAGEREF _Toc98511420 \h </w:instrText>
      </w:r>
      <w:r>
        <w:fldChar w:fldCharType="separate"/>
      </w:r>
      <w:r>
        <w:t>64</w:t>
      </w:r>
      <w:r>
        <w:fldChar w:fldCharType="end"/>
      </w:r>
    </w:p>
    <w:p>
      <w:pPr>
        <w:pStyle w:val="TOC8"/>
        <w:rPr>
          <w:rFonts w:asciiTheme="minorHAnsi" w:eastAsiaTheme="minorEastAsia" w:hAnsiTheme="minorHAnsi" w:cstheme="minorBidi"/>
          <w:szCs w:val="22"/>
        </w:rPr>
      </w:pPr>
      <w:r>
        <w:t>4ZP.</w:t>
      </w:r>
      <w:r>
        <w:tab/>
        <w:t>Audits of MRF operators and local governments</w:t>
      </w:r>
      <w:r>
        <w:tab/>
      </w:r>
      <w:r>
        <w:fldChar w:fldCharType="begin"/>
      </w:r>
      <w:r>
        <w:instrText xml:space="preserve"> PAGEREF _Toc98511421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3 — Coordinator of the scheme</w:t>
      </w:r>
    </w:p>
    <w:p>
      <w:pPr>
        <w:pStyle w:val="TOC4"/>
        <w:tabs>
          <w:tab w:val="right" w:leader="dot" w:pos="7077"/>
        </w:tabs>
        <w:rPr>
          <w:rFonts w:asciiTheme="minorHAnsi" w:eastAsiaTheme="minorEastAsia" w:hAnsiTheme="minorHAnsi" w:cstheme="minorBidi"/>
          <w:b w:val="0"/>
          <w:szCs w:val="22"/>
        </w:rPr>
      </w:pPr>
      <w:r>
        <w:t>Division 1 — Appointment of Coordinator of the scheme</w:t>
      </w:r>
    </w:p>
    <w:p>
      <w:pPr>
        <w:pStyle w:val="TOC8"/>
        <w:rPr>
          <w:rFonts w:asciiTheme="minorHAnsi" w:eastAsiaTheme="minorEastAsia" w:hAnsiTheme="minorHAnsi" w:cstheme="minorBidi"/>
          <w:szCs w:val="22"/>
        </w:rPr>
      </w:pPr>
      <w:r>
        <w:t>5.</w:t>
      </w:r>
      <w:r>
        <w:tab/>
        <w:t>Approval of board members</w:t>
      </w:r>
      <w:r>
        <w:tab/>
      </w:r>
      <w:r>
        <w:fldChar w:fldCharType="begin"/>
      </w:r>
      <w:r>
        <w:instrText xml:space="preserve"> PAGEREF _Toc98511424 \h </w:instrText>
      </w:r>
      <w:r>
        <w:fldChar w:fldCharType="separate"/>
      </w:r>
      <w:r>
        <w:t>67</w:t>
      </w:r>
      <w:r>
        <w:fldChar w:fldCharType="end"/>
      </w:r>
    </w:p>
    <w:p>
      <w:pPr>
        <w:pStyle w:val="TOC8"/>
        <w:rPr>
          <w:rFonts w:asciiTheme="minorHAnsi" w:eastAsiaTheme="minorEastAsia" w:hAnsiTheme="minorHAnsi" w:cstheme="minorBidi"/>
          <w:szCs w:val="22"/>
        </w:rPr>
      </w:pPr>
      <w:r>
        <w:t>6.</w:t>
      </w:r>
      <w:r>
        <w:tab/>
        <w:t>Conditions of appointment of Coordinator</w:t>
      </w:r>
      <w:r>
        <w:tab/>
      </w:r>
      <w:r>
        <w:fldChar w:fldCharType="begin"/>
      </w:r>
      <w:r>
        <w:instrText xml:space="preserve"> PAGEREF _Toc98511425 \h </w:instrText>
      </w:r>
      <w:r>
        <w:fldChar w:fldCharType="separate"/>
      </w:r>
      <w:r>
        <w:t>67</w:t>
      </w:r>
      <w:r>
        <w:fldChar w:fldCharType="end"/>
      </w:r>
    </w:p>
    <w:p>
      <w:pPr>
        <w:pStyle w:val="TOC8"/>
        <w:rPr>
          <w:rFonts w:asciiTheme="minorHAnsi" w:eastAsiaTheme="minorEastAsia" w:hAnsiTheme="minorHAnsi" w:cstheme="minorBidi"/>
          <w:szCs w:val="22"/>
        </w:rPr>
      </w:pPr>
      <w:r>
        <w:t>7.</w:t>
      </w:r>
      <w:r>
        <w:tab/>
        <w:t>Functions of Coordinator</w:t>
      </w:r>
      <w:r>
        <w:tab/>
      </w:r>
      <w:r>
        <w:fldChar w:fldCharType="begin"/>
      </w:r>
      <w:r>
        <w:instrText xml:space="preserve"> PAGEREF _Toc98511426 \h </w:instrText>
      </w:r>
      <w:r>
        <w:fldChar w:fldCharType="separate"/>
      </w:r>
      <w:r>
        <w:t>67</w:t>
      </w:r>
      <w:r>
        <w:fldChar w:fldCharType="end"/>
      </w:r>
    </w:p>
    <w:p>
      <w:pPr>
        <w:pStyle w:val="TOC8"/>
        <w:rPr>
          <w:rFonts w:asciiTheme="minorHAnsi" w:eastAsiaTheme="minorEastAsia" w:hAnsiTheme="minorHAnsi" w:cstheme="minorBidi"/>
          <w:szCs w:val="22"/>
        </w:rPr>
      </w:pPr>
      <w:r>
        <w:t>7A.</w:t>
      </w:r>
      <w:r>
        <w:tab/>
        <w:t>Performance of Coordinator’s functions in relation to contracts</w:t>
      </w:r>
      <w:r>
        <w:tab/>
      </w:r>
      <w:r>
        <w:fldChar w:fldCharType="begin"/>
      </w:r>
      <w:r>
        <w:instrText xml:space="preserve"> PAGEREF _Toc98511427 \h </w:instrText>
      </w:r>
      <w:r>
        <w:fldChar w:fldCharType="separate"/>
      </w:r>
      <w:r>
        <w:t>69</w:t>
      </w:r>
      <w:r>
        <w:fldChar w:fldCharType="end"/>
      </w:r>
    </w:p>
    <w:p>
      <w:pPr>
        <w:pStyle w:val="TOC8"/>
        <w:rPr>
          <w:rFonts w:asciiTheme="minorHAnsi" w:eastAsiaTheme="minorEastAsia" w:hAnsiTheme="minorHAnsi" w:cstheme="minorBidi"/>
          <w:szCs w:val="22"/>
        </w:rPr>
      </w:pPr>
      <w:r>
        <w:t>8.</w:t>
      </w:r>
      <w:r>
        <w:tab/>
        <w:t>Performance of Coordinator’s functions in relation to refund points</w:t>
      </w:r>
      <w:r>
        <w:tab/>
      </w:r>
      <w:r>
        <w:fldChar w:fldCharType="begin"/>
      </w:r>
      <w:r>
        <w:instrText xml:space="preserve"> PAGEREF _Toc98511428 \h </w:instrText>
      </w:r>
      <w:r>
        <w:fldChar w:fldCharType="separate"/>
      </w:r>
      <w:r>
        <w:t>69</w:t>
      </w:r>
      <w:r>
        <w:fldChar w:fldCharType="end"/>
      </w:r>
    </w:p>
    <w:p>
      <w:pPr>
        <w:pStyle w:val="TOC8"/>
        <w:rPr>
          <w:rFonts w:asciiTheme="minorHAnsi" w:eastAsiaTheme="minorEastAsia" w:hAnsiTheme="minorHAnsi" w:cstheme="minorBidi"/>
          <w:szCs w:val="22"/>
        </w:rPr>
      </w:pPr>
      <w:r>
        <w:t>9.</w:t>
      </w:r>
      <w:r>
        <w:tab/>
        <w:t>Performance of Coordinator’s functions in relation to recycling</w:t>
      </w:r>
      <w:r>
        <w:tab/>
      </w:r>
      <w:r>
        <w:fldChar w:fldCharType="begin"/>
      </w:r>
      <w:r>
        <w:instrText xml:space="preserve"> PAGEREF _Toc98511429 \h </w:instrText>
      </w:r>
      <w:r>
        <w:fldChar w:fldCharType="separate"/>
      </w:r>
      <w:r>
        <w:t>70</w:t>
      </w:r>
      <w:r>
        <w:fldChar w:fldCharType="end"/>
      </w:r>
    </w:p>
    <w:p>
      <w:pPr>
        <w:pStyle w:val="TOC8"/>
        <w:rPr>
          <w:rFonts w:asciiTheme="minorHAnsi" w:eastAsiaTheme="minorEastAsia" w:hAnsiTheme="minorHAnsi" w:cstheme="minorBidi"/>
          <w:szCs w:val="22"/>
        </w:rPr>
      </w:pPr>
      <w:r>
        <w:t>9A.</w:t>
      </w:r>
      <w:r>
        <w:tab/>
        <w:t>Performance of Coordinator’s functions in relation to verification and recycling</w:t>
      </w:r>
      <w:r>
        <w:tab/>
      </w:r>
      <w:r>
        <w:fldChar w:fldCharType="begin"/>
      </w:r>
      <w:r>
        <w:instrText xml:space="preserve"> PAGEREF _Toc98511430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Coordinator performance targets</w:t>
      </w:r>
    </w:p>
    <w:p>
      <w:pPr>
        <w:pStyle w:val="TOC8"/>
        <w:rPr>
          <w:rFonts w:asciiTheme="minorHAnsi" w:eastAsiaTheme="minorEastAsia" w:hAnsiTheme="minorHAnsi" w:cstheme="minorBidi"/>
          <w:szCs w:val="22"/>
        </w:rPr>
      </w:pPr>
      <w:r>
        <w:t>10.</w:t>
      </w:r>
      <w:r>
        <w:tab/>
        <w:t>Container recovery rate: preliminary years</w:t>
      </w:r>
      <w:r>
        <w:tab/>
      </w:r>
      <w:r>
        <w:fldChar w:fldCharType="begin"/>
      </w:r>
      <w:r>
        <w:instrText xml:space="preserve"> PAGEREF _Toc98511432 \h </w:instrText>
      </w:r>
      <w:r>
        <w:fldChar w:fldCharType="separate"/>
      </w:r>
      <w:r>
        <w:t>71</w:t>
      </w:r>
      <w:r>
        <w:fldChar w:fldCharType="end"/>
      </w:r>
    </w:p>
    <w:p>
      <w:pPr>
        <w:pStyle w:val="TOC8"/>
        <w:rPr>
          <w:rFonts w:asciiTheme="minorHAnsi" w:eastAsiaTheme="minorEastAsia" w:hAnsiTheme="minorHAnsi" w:cstheme="minorBidi"/>
          <w:szCs w:val="22"/>
        </w:rPr>
      </w:pPr>
      <w:r>
        <w:t>11.</w:t>
      </w:r>
      <w:r>
        <w:tab/>
        <w:t>Container recovery rate: other years</w:t>
      </w:r>
      <w:r>
        <w:tab/>
      </w:r>
      <w:r>
        <w:fldChar w:fldCharType="begin"/>
      </w:r>
      <w:r>
        <w:instrText xml:space="preserve"> PAGEREF _Toc98511433 \h </w:instrText>
      </w:r>
      <w:r>
        <w:fldChar w:fldCharType="separate"/>
      </w:r>
      <w:r>
        <w:t>72</w:t>
      </w:r>
      <w:r>
        <w:fldChar w:fldCharType="end"/>
      </w:r>
    </w:p>
    <w:p>
      <w:pPr>
        <w:pStyle w:val="TOC8"/>
        <w:rPr>
          <w:rFonts w:asciiTheme="minorHAnsi" w:eastAsiaTheme="minorEastAsia" w:hAnsiTheme="minorHAnsi" w:cstheme="minorBidi"/>
          <w:szCs w:val="22"/>
        </w:rPr>
      </w:pPr>
      <w:r>
        <w:t>12.</w:t>
      </w:r>
      <w:r>
        <w:tab/>
        <w:t>Accessibility and coverage of refund points</w:t>
      </w:r>
      <w:r>
        <w:tab/>
      </w:r>
      <w:r>
        <w:fldChar w:fldCharType="begin"/>
      </w:r>
      <w:r>
        <w:instrText xml:space="preserve"> PAGEREF _Toc98511434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Reporting by Coordinator</w:t>
      </w:r>
    </w:p>
    <w:p>
      <w:pPr>
        <w:pStyle w:val="TOC8"/>
        <w:rPr>
          <w:rFonts w:asciiTheme="minorHAnsi" w:eastAsiaTheme="minorEastAsia" w:hAnsiTheme="minorHAnsi" w:cstheme="minorBidi"/>
          <w:szCs w:val="22"/>
        </w:rPr>
      </w:pPr>
      <w:r>
        <w:t>13.</w:t>
      </w:r>
      <w:r>
        <w:tab/>
        <w:t>Coordinator website</w:t>
      </w:r>
      <w:r>
        <w:tab/>
      </w:r>
      <w:r>
        <w:fldChar w:fldCharType="begin"/>
      </w:r>
      <w:r>
        <w:instrText xml:space="preserve"> PAGEREF _Toc98511436 \h </w:instrText>
      </w:r>
      <w:r>
        <w:fldChar w:fldCharType="separate"/>
      </w:r>
      <w:r>
        <w:t>73</w:t>
      </w:r>
      <w:r>
        <w:fldChar w:fldCharType="end"/>
      </w:r>
    </w:p>
    <w:p>
      <w:pPr>
        <w:pStyle w:val="TOC8"/>
        <w:rPr>
          <w:rFonts w:asciiTheme="minorHAnsi" w:eastAsiaTheme="minorEastAsia" w:hAnsiTheme="minorHAnsi" w:cstheme="minorBidi"/>
          <w:szCs w:val="22"/>
        </w:rPr>
      </w:pPr>
      <w:r>
        <w:t>14.</w:t>
      </w:r>
      <w:r>
        <w:tab/>
        <w:t>Notice to Minister of adverse matters</w:t>
      </w:r>
      <w:r>
        <w:tab/>
      </w:r>
      <w:r>
        <w:fldChar w:fldCharType="begin"/>
      </w:r>
      <w:r>
        <w:instrText xml:space="preserve"> PAGEREF _Toc98511437 \h </w:instrText>
      </w:r>
      <w:r>
        <w:fldChar w:fldCharType="separate"/>
      </w:r>
      <w:r>
        <w:t>73</w:t>
      </w:r>
      <w:r>
        <w:fldChar w:fldCharType="end"/>
      </w:r>
    </w:p>
    <w:p>
      <w:pPr>
        <w:pStyle w:val="TOC8"/>
        <w:rPr>
          <w:rFonts w:asciiTheme="minorHAnsi" w:eastAsiaTheme="minorEastAsia" w:hAnsiTheme="minorHAnsi" w:cstheme="minorBidi"/>
          <w:szCs w:val="22"/>
        </w:rPr>
      </w:pPr>
      <w:r>
        <w:t>15.</w:t>
      </w:r>
      <w:r>
        <w:tab/>
        <w:t>Annual report</w:t>
      </w:r>
      <w:r>
        <w:tab/>
      </w:r>
      <w:r>
        <w:fldChar w:fldCharType="begin"/>
      </w:r>
      <w:r>
        <w:instrText xml:space="preserve"> PAGEREF _Toc98511438 \h </w:instrText>
      </w:r>
      <w:r>
        <w:fldChar w:fldCharType="separate"/>
      </w:r>
      <w:r>
        <w:t>74</w:t>
      </w:r>
      <w:r>
        <w:fldChar w:fldCharType="end"/>
      </w:r>
    </w:p>
    <w:p>
      <w:pPr>
        <w:pStyle w:val="TOC8"/>
        <w:rPr>
          <w:rFonts w:asciiTheme="minorHAnsi" w:eastAsiaTheme="minorEastAsia" w:hAnsiTheme="minorHAnsi" w:cstheme="minorBidi"/>
          <w:szCs w:val="22"/>
        </w:rPr>
      </w:pPr>
      <w:r>
        <w:t>16.</w:t>
      </w:r>
      <w:r>
        <w:tab/>
        <w:t>Quarterly report</w:t>
      </w:r>
      <w:r>
        <w:tab/>
      </w:r>
      <w:r>
        <w:fldChar w:fldCharType="begin"/>
      </w:r>
      <w:r>
        <w:instrText xml:space="preserve"> PAGEREF _Toc98511439 \h </w:instrText>
      </w:r>
      <w:r>
        <w:fldChar w:fldCharType="separate"/>
      </w:r>
      <w:r>
        <w:t>75</w:t>
      </w:r>
      <w:r>
        <w:fldChar w:fldCharType="end"/>
      </w:r>
    </w:p>
    <w:p>
      <w:pPr>
        <w:pStyle w:val="TOC8"/>
        <w:rPr>
          <w:rFonts w:asciiTheme="minorHAnsi" w:eastAsiaTheme="minorEastAsia" w:hAnsiTheme="minorHAnsi" w:cstheme="minorBidi"/>
          <w:szCs w:val="22"/>
        </w:rPr>
      </w:pPr>
      <w:r>
        <w:t>17.</w:t>
      </w:r>
      <w:r>
        <w:tab/>
        <w:t>Minister may require reports for periods of less than 3 months</w:t>
      </w:r>
      <w:r>
        <w:tab/>
      </w:r>
      <w:r>
        <w:fldChar w:fldCharType="begin"/>
      </w:r>
      <w:r>
        <w:instrText xml:space="preserve"> PAGEREF _Toc98511440 \h </w:instrText>
      </w:r>
      <w:r>
        <w:fldChar w:fldCharType="separate"/>
      </w:r>
      <w:r>
        <w:t>76</w:t>
      </w:r>
      <w:r>
        <w:fldChar w:fldCharType="end"/>
      </w:r>
    </w:p>
    <w:p>
      <w:pPr>
        <w:pStyle w:val="TOC8"/>
        <w:rPr>
          <w:rFonts w:asciiTheme="minorHAnsi" w:eastAsiaTheme="minorEastAsia" w:hAnsiTheme="minorHAnsi" w:cstheme="minorBidi"/>
          <w:szCs w:val="22"/>
        </w:rPr>
      </w:pPr>
      <w:r>
        <w:t>18.</w:t>
      </w:r>
      <w:r>
        <w:tab/>
        <w:t>Website reporting</w:t>
      </w:r>
      <w:r>
        <w:tab/>
      </w:r>
      <w:r>
        <w:fldChar w:fldCharType="begin"/>
      </w:r>
      <w:r>
        <w:instrText xml:space="preserve"> PAGEREF _Toc98511441 \h </w:instrText>
      </w:r>
      <w:r>
        <w:fldChar w:fldCharType="separate"/>
      </w:r>
      <w:r>
        <w:t>78</w:t>
      </w:r>
      <w:r>
        <w:fldChar w:fldCharType="end"/>
      </w:r>
    </w:p>
    <w:p>
      <w:pPr>
        <w:pStyle w:val="TOC8"/>
        <w:rPr>
          <w:rFonts w:asciiTheme="minorHAnsi" w:eastAsiaTheme="minorEastAsia" w:hAnsiTheme="minorHAnsi" w:cstheme="minorBidi"/>
          <w:szCs w:val="22"/>
        </w:rPr>
      </w:pPr>
      <w:r>
        <w:t>19.</w:t>
      </w:r>
      <w:r>
        <w:tab/>
        <w:t>Coordinator must obtain required information from subsidiary or contractor</w:t>
      </w:r>
      <w:r>
        <w:tab/>
      </w:r>
      <w:r>
        <w:fldChar w:fldCharType="begin"/>
      </w:r>
      <w:r>
        <w:instrText xml:space="preserve"> PAGEREF _Toc98511442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4 — Scheme Account</w:t>
      </w:r>
    </w:p>
    <w:p>
      <w:pPr>
        <w:pStyle w:val="TOC8"/>
        <w:rPr>
          <w:rFonts w:asciiTheme="minorHAnsi" w:eastAsiaTheme="minorEastAsia" w:hAnsiTheme="minorHAnsi" w:cstheme="minorBidi"/>
          <w:szCs w:val="22"/>
        </w:rPr>
      </w:pPr>
      <w:r>
        <w:t>20.</w:t>
      </w:r>
      <w:r>
        <w:tab/>
        <w:t>Scheme funds</w:t>
      </w:r>
      <w:r>
        <w:tab/>
      </w:r>
      <w:r>
        <w:fldChar w:fldCharType="begin"/>
      </w:r>
      <w:r>
        <w:instrText xml:space="preserve"> PAGEREF _Toc98511444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5 — Ministerial directions</w:t>
      </w:r>
    </w:p>
    <w:p>
      <w:pPr>
        <w:pStyle w:val="TOC8"/>
        <w:rPr>
          <w:rFonts w:asciiTheme="minorHAnsi" w:eastAsiaTheme="minorEastAsia" w:hAnsiTheme="minorHAnsi" w:cstheme="minorBidi"/>
          <w:szCs w:val="22"/>
        </w:rPr>
      </w:pPr>
      <w:r>
        <w:t>21.</w:t>
      </w:r>
      <w:r>
        <w:tab/>
        <w:t>Term used: direction</w:t>
      </w:r>
      <w:r>
        <w:tab/>
      </w:r>
      <w:r>
        <w:fldChar w:fldCharType="begin"/>
      </w:r>
      <w:r>
        <w:instrText xml:space="preserve"> PAGEREF _Toc98511446 \h </w:instrText>
      </w:r>
      <w:r>
        <w:fldChar w:fldCharType="separate"/>
      </w:r>
      <w:r>
        <w:t>80</w:t>
      </w:r>
      <w:r>
        <w:fldChar w:fldCharType="end"/>
      </w:r>
    </w:p>
    <w:p>
      <w:pPr>
        <w:pStyle w:val="TOC8"/>
        <w:rPr>
          <w:rFonts w:asciiTheme="minorHAnsi" w:eastAsiaTheme="minorEastAsia" w:hAnsiTheme="minorHAnsi" w:cstheme="minorBidi"/>
          <w:szCs w:val="22"/>
        </w:rPr>
      </w:pPr>
      <w:r>
        <w:t>22.</w:t>
      </w:r>
      <w:r>
        <w:tab/>
        <w:t>Content of direction</w:t>
      </w:r>
      <w:r>
        <w:tab/>
      </w:r>
      <w:r>
        <w:fldChar w:fldCharType="begin"/>
      </w:r>
      <w:r>
        <w:instrText xml:space="preserve"> PAGEREF _Toc98511447 \h </w:instrText>
      </w:r>
      <w:r>
        <w:fldChar w:fldCharType="separate"/>
      </w:r>
      <w:r>
        <w:t>80</w:t>
      </w:r>
      <w:r>
        <w:fldChar w:fldCharType="end"/>
      </w:r>
    </w:p>
    <w:p>
      <w:pPr>
        <w:pStyle w:val="TOC8"/>
        <w:rPr>
          <w:rFonts w:asciiTheme="minorHAnsi" w:eastAsiaTheme="minorEastAsia" w:hAnsiTheme="minorHAnsi" w:cstheme="minorBidi"/>
          <w:szCs w:val="22"/>
        </w:rPr>
      </w:pPr>
      <w:r>
        <w:t>23.</w:t>
      </w:r>
      <w:r>
        <w:tab/>
        <w:t>Form of direction</w:t>
      </w:r>
      <w:r>
        <w:tab/>
      </w:r>
      <w:r>
        <w:fldChar w:fldCharType="begin"/>
      </w:r>
      <w:r>
        <w:instrText xml:space="preserve"> PAGEREF _Toc98511448 \h </w:instrText>
      </w:r>
      <w:r>
        <w:fldChar w:fldCharType="separate"/>
      </w:r>
      <w:r>
        <w:t>81</w:t>
      </w:r>
      <w:r>
        <w:fldChar w:fldCharType="end"/>
      </w:r>
    </w:p>
    <w:p>
      <w:pPr>
        <w:pStyle w:val="TOC8"/>
        <w:rPr>
          <w:rFonts w:asciiTheme="minorHAnsi" w:eastAsiaTheme="minorEastAsia" w:hAnsiTheme="minorHAnsi" w:cstheme="minorBidi"/>
          <w:szCs w:val="22"/>
        </w:rPr>
      </w:pPr>
      <w:r>
        <w:t>24.</w:t>
      </w:r>
      <w:r>
        <w:tab/>
        <w:t>Grounds for giving direction</w:t>
      </w:r>
      <w:r>
        <w:tab/>
      </w:r>
      <w:r>
        <w:fldChar w:fldCharType="begin"/>
      </w:r>
      <w:r>
        <w:instrText xml:space="preserve"> PAGEREF _Toc98511449 \h </w:instrText>
      </w:r>
      <w:r>
        <w:fldChar w:fldCharType="separate"/>
      </w:r>
      <w:r>
        <w:t>81</w:t>
      </w:r>
      <w:r>
        <w:fldChar w:fldCharType="end"/>
      </w:r>
    </w:p>
    <w:p>
      <w:pPr>
        <w:pStyle w:val="TOC8"/>
        <w:rPr>
          <w:rFonts w:asciiTheme="minorHAnsi" w:eastAsiaTheme="minorEastAsia" w:hAnsiTheme="minorHAnsi" w:cstheme="minorBidi"/>
          <w:szCs w:val="22"/>
        </w:rPr>
      </w:pPr>
      <w:r>
        <w:t>25.</w:t>
      </w:r>
      <w:r>
        <w:tab/>
        <w:t>Process for giving direction</w:t>
      </w:r>
      <w:r>
        <w:tab/>
      </w:r>
      <w:r>
        <w:fldChar w:fldCharType="begin"/>
      </w:r>
      <w:r>
        <w:instrText xml:space="preserve"> PAGEREF _Toc98511450 \h </w:instrText>
      </w:r>
      <w:r>
        <w:fldChar w:fldCharType="separate"/>
      </w:r>
      <w:r>
        <w:t>82</w:t>
      </w:r>
      <w:r>
        <w:fldChar w:fldCharType="end"/>
      </w:r>
    </w:p>
    <w:p>
      <w:pPr>
        <w:pStyle w:val="TOC8"/>
        <w:rPr>
          <w:rFonts w:asciiTheme="minorHAnsi" w:eastAsiaTheme="minorEastAsia" w:hAnsiTheme="minorHAnsi" w:cstheme="minorBidi"/>
          <w:szCs w:val="22"/>
        </w:rPr>
      </w:pPr>
      <w:r>
        <w:t>26.</w:t>
      </w:r>
      <w:r>
        <w:tab/>
        <w:t>Urgent direction may be given immediately</w:t>
      </w:r>
      <w:r>
        <w:tab/>
      </w:r>
      <w:r>
        <w:fldChar w:fldCharType="begin"/>
      </w:r>
      <w:r>
        <w:instrText xml:space="preserve"> PAGEREF _Toc98511451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Amendment, administration and revocation</w:t>
      </w:r>
    </w:p>
    <w:p>
      <w:pPr>
        <w:pStyle w:val="TOC8"/>
        <w:rPr>
          <w:rFonts w:asciiTheme="minorHAnsi" w:eastAsiaTheme="minorEastAsia" w:hAnsiTheme="minorHAnsi" w:cstheme="minorBidi"/>
          <w:szCs w:val="22"/>
        </w:rPr>
      </w:pPr>
      <w:r>
        <w:t>27.</w:t>
      </w:r>
      <w:r>
        <w:tab/>
        <w:t>Grounds for appointing administrator or revoking appointment of Coordinator</w:t>
      </w:r>
      <w:r>
        <w:tab/>
      </w:r>
      <w:r>
        <w:fldChar w:fldCharType="begin"/>
      </w:r>
      <w:r>
        <w:instrText xml:space="preserve"> PAGEREF _Toc98511453 \h </w:instrText>
      </w:r>
      <w:r>
        <w:fldChar w:fldCharType="separate"/>
      </w:r>
      <w:r>
        <w:t>84</w:t>
      </w:r>
      <w:r>
        <w:fldChar w:fldCharType="end"/>
      </w:r>
    </w:p>
    <w:p>
      <w:pPr>
        <w:pStyle w:val="TOC8"/>
        <w:rPr>
          <w:rFonts w:asciiTheme="minorHAnsi" w:eastAsiaTheme="minorEastAsia" w:hAnsiTheme="minorHAnsi" w:cstheme="minorBidi"/>
          <w:szCs w:val="22"/>
        </w:rPr>
      </w:pPr>
      <w:r>
        <w:t>28.</w:t>
      </w:r>
      <w:r>
        <w:tab/>
        <w:t>Process for amendment, administration or revocation by request</w:t>
      </w:r>
      <w:r>
        <w:tab/>
      </w:r>
      <w:r>
        <w:fldChar w:fldCharType="begin"/>
      </w:r>
      <w:r>
        <w:instrText xml:space="preserve"> PAGEREF _Toc98511454 \h </w:instrText>
      </w:r>
      <w:r>
        <w:fldChar w:fldCharType="separate"/>
      </w:r>
      <w:r>
        <w:t>85</w:t>
      </w:r>
      <w:r>
        <w:fldChar w:fldCharType="end"/>
      </w:r>
    </w:p>
    <w:p>
      <w:pPr>
        <w:pStyle w:val="TOC8"/>
        <w:rPr>
          <w:rFonts w:asciiTheme="minorHAnsi" w:eastAsiaTheme="minorEastAsia" w:hAnsiTheme="minorHAnsi" w:cstheme="minorBidi"/>
          <w:szCs w:val="22"/>
        </w:rPr>
      </w:pPr>
      <w:r>
        <w:t>29.</w:t>
      </w:r>
      <w:r>
        <w:tab/>
        <w:t>Process for amendment, administration or revocation by Minister’s initiative</w:t>
      </w:r>
      <w:r>
        <w:tab/>
      </w:r>
      <w:r>
        <w:fldChar w:fldCharType="begin"/>
      </w:r>
      <w:r>
        <w:instrText xml:space="preserve"> PAGEREF _Toc98511455 \h </w:instrText>
      </w:r>
      <w:r>
        <w:fldChar w:fldCharType="separate"/>
      </w:r>
      <w:r>
        <w:t>85</w:t>
      </w:r>
      <w:r>
        <w:fldChar w:fldCharType="end"/>
      </w:r>
    </w:p>
    <w:p>
      <w:pPr>
        <w:pStyle w:val="TOC8"/>
        <w:rPr>
          <w:rFonts w:asciiTheme="minorHAnsi" w:eastAsiaTheme="minorEastAsia" w:hAnsiTheme="minorHAnsi" w:cstheme="minorBidi"/>
          <w:szCs w:val="22"/>
        </w:rPr>
      </w:pPr>
      <w:r>
        <w:t>30.</w:t>
      </w:r>
      <w:r>
        <w:tab/>
        <w:t>Immediate appointment of administrator</w:t>
      </w:r>
      <w:r>
        <w:tab/>
      </w:r>
      <w:r>
        <w:fldChar w:fldCharType="begin"/>
      </w:r>
      <w:r>
        <w:instrText xml:space="preserve"> PAGEREF _Toc98511456 \h </w:instrText>
      </w:r>
      <w:r>
        <w:fldChar w:fldCharType="separate"/>
      </w:r>
      <w:r>
        <w:t>87</w:t>
      </w:r>
      <w:r>
        <w:fldChar w:fldCharType="end"/>
      </w:r>
    </w:p>
    <w:p>
      <w:pPr>
        <w:pStyle w:val="TOC8"/>
        <w:rPr>
          <w:rFonts w:asciiTheme="minorHAnsi" w:eastAsiaTheme="minorEastAsia" w:hAnsiTheme="minorHAnsi" w:cstheme="minorBidi"/>
          <w:szCs w:val="22"/>
        </w:rPr>
      </w:pPr>
      <w:r>
        <w:t>31.</w:t>
      </w:r>
      <w:r>
        <w:tab/>
        <w:t>Publication of amendment, administration or revocation</w:t>
      </w:r>
      <w:r>
        <w:tab/>
      </w:r>
      <w:r>
        <w:fldChar w:fldCharType="begin"/>
      </w:r>
      <w:r>
        <w:instrText xml:space="preserve"> PAGEREF _Toc98511457 \h </w:instrText>
      </w:r>
      <w:r>
        <w:fldChar w:fldCharType="separate"/>
      </w:r>
      <w:r>
        <w:t>89</w:t>
      </w:r>
      <w:r>
        <w:fldChar w:fldCharType="end"/>
      </w:r>
    </w:p>
    <w:p>
      <w:pPr>
        <w:pStyle w:val="TOC8"/>
        <w:rPr>
          <w:rFonts w:asciiTheme="minorHAnsi" w:eastAsiaTheme="minorEastAsia" w:hAnsiTheme="minorHAnsi" w:cstheme="minorBidi"/>
          <w:szCs w:val="22"/>
        </w:rPr>
      </w:pPr>
      <w:r>
        <w:t>32.</w:t>
      </w:r>
      <w:r>
        <w:tab/>
        <w:t>Interim Coordinator and Scheme Account</w:t>
      </w:r>
      <w:r>
        <w:tab/>
      </w:r>
      <w:r>
        <w:fldChar w:fldCharType="begin"/>
      </w:r>
      <w:r>
        <w:instrText xml:space="preserve"> PAGEREF _Toc98511458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7 — Transitional arrangements</w:t>
      </w:r>
    </w:p>
    <w:p>
      <w:pPr>
        <w:pStyle w:val="TOC8"/>
        <w:rPr>
          <w:rFonts w:asciiTheme="minorHAnsi" w:eastAsiaTheme="minorEastAsia" w:hAnsiTheme="minorHAnsi" w:cstheme="minorBidi"/>
          <w:szCs w:val="22"/>
        </w:rPr>
      </w:pPr>
      <w:r>
        <w:t>32A.</w:t>
      </w:r>
      <w:r>
        <w:tab/>
        <w:t>Compliance with transition out plan</w:t>
      </w:r>
      <w:r>
        <w:tab/>
      </w:r>
      <w:r>
        <w:fldChar w:fldCharType="begin"/>
      </w:r>
      <w:r>
        <w:instrText xml:space="preserve"> PAGEREF _Toc98511460 \h </w:instrText>
      </w:r>
      <w:r>
        <w:fldChar w:fldCharType="separate"/>
      </w:r>
      <w:r>
        <w:t>90</w:t>
      </w:r>
      <w:r>
        <w:fldChar w:fldCharType="end"/>
      </w:r>
    </w:p>
    <w:p>
      <w:pPr>
        <w:pStyle w:val="TOC8"/>
        <w:rPr>
          <w:rFonts w:asciiTheme="minorHAnsi" w:eastAsiaTheme="minorEastAsia" w:hAnsiTheme="minorHAnsi" w:cstheme="minorBidi"/>
          <w:szCs w:val="22"/>
        </w:rPr>
      </w:pPr>
      <w:r>
        <w:t>32B.</w:t>
      </w:r>
      <w:r>
        <w:tab/>
        <w:t>Transition costs</w:t>
      </w:r>
      <w:r>
        <w:tab/>
      </w:r>
      <w:r>
        <w:fldChar w:fldCharType="begin"/>
      </w:r>
      <w:r>
        <w:instrText xml:space="preserve"> PAGEREF _Toc98511461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Miscellaneous</w:t>
      </w:r>
    </w:p>
    <w:p>
      <w:pPr>
        <w:pStyle w:val="TOC4"/>
        <w:tabs>
          <w:tab w:val="right" w:leader="dot" w:pos="7077"/>
        </w:tabs>
        <w:rPr>
          <w:rFonts w:asciiTheme="minorHAnsi" w:eastAsiaTheme="minorEastAsia" w:hAnsiTheme="minorHAnsi" w:cstheme="minorBidi"/>
          <w:b w:val="0"/>
          <w:szCs w:val="22"/>
        </w:rPr>
      </w:pPr>
      <w:r>
        <w:t>Division 1 — Civil penalty provisions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_Toc98511464 \h </w:instrText>
      </w:r>
      <w:r>
        <w:fldChar w:fldCharType="separate"/>
      </w:r>
      <w:r>
        <w:t>92</w:t>
      </w:r>
      <w:r>
        <w:fldChar w:fldCharType="end"/>
      </w:r>
    </w:p>
    <w:p>
      <w:pPr>
        <w:pStyle w:val="TOC8"/>
        <w:rPr>
          <w:rFonts w:asciiTheme="minorHAnsi" w:eastAsiaTheme="minorEastAsia" w:hAnsiTheme="minorHAnsi" w:cstheme="minorBidi"/>
          <w:szCs w:val="22"/>
        </w:rPr>
      </w:pPr>
      <w:r>
        <w:t>34.</w:t>
      </w:r>
      <w:r>
        <w:tab/>
        <w:t>Civil penalty provisions prescribed</w:t>
      </w:r>
      <w:r>
        <w:tab/>
      </w:r>
      <w:r>
        <w:fldChar w:fldCharType="begin"/>
      </w:r>
      <w:r>
        <w:instrText xml:space="preserve"> PAGEREF _Toc98511465 \h </w:instrText>
      </w:r>
      <w:r>
        <w:fldChar w:fldCharType="separate"/>
      </w:r>
      <w:r>
        <w:t>92</w:t>
      </w:r>
      <w:r>
        <w:fldChar w:fldCharType="end"/>
      </w:r>
    </w:p>
    <w:p>
      <w:pPr>
        <w:pStyle w:val="TOC8"/>
        <w:rPr>
          <w:rFonts w:asciiTheme="minorHAnsi" w:eastAsiaTheme="minorEastAsia" w:hAnsiTheme="minorHAnsi" w:cstheme="minorBidi"/>
          <w:szCs w:val="22"/>
        </w:rPr>
      </w:pPr>
      <w:r>
        <w:t>35.</w:t>
      </w:r>
      <w:r>
        <w:tab/>
        <w:t>Court may make orders if person has contravened civil penalty provision</w:t>
      </w:r>
      <w:r>
        <w:tab/>
      </w:r>
      <w:r>
        <w:fldChar w:fldCharType="begin"/>
      </w:r>
      <w:r>
        <w:instrText xml:space="preserve"> PAGEREF _Toc98511466 \h </w:instrText>
      </w:r>
      <w:r>
        <w:fldChar w:fldCharType="separate"/>
      </w:r>
      <w:r>
        <w:t>93</w:t>
      </w:r>
      <w:r>
        <w:fldChar w:fldCharType="end"/>
      </w:r>
    </w:p>
    <w:p>
      <w:pPr>
        <w:pStyle w:val="TOC8"/>
        <w:rPr>
          <w:rFonts w:asciiTheme="minorHAnsi" w:eastAsiaTheme="minorEastAsia" w:hAnsiTheme="minorHAnsi" w:cstheme="minorBidi"/>
          <w:szCs w:val="22"/>
        </w:rPr>
      </w:pPr>
      <w:r>
        <w:t>36.</w:t>
      </w:r>
      <w:r>
        <w:tab/>
        <w:t>Warning notice in respect of application for civil penalty order</w:t>
      </w:r>
      <w:r>
        <w:tab/>
      </w:r>
      <w:r>
        <w:fldChar w:fldCharType="begin"/>
      </w:r>
      <w:r>
        <w:instrText xml:space="preserve"> PAGEREF _Toc98511467 \h </w:instrText>
      </w:r>
      <w:r>
        <w:fldChar w:fldCharType="separate"/>
      </w:r>
      <w:r>
        <w:t>94</w:t>
      </w:r>
      <w:r>
        <w:fldChar w:fldCharType="end"/>
      </w:r>
    </w:p>
    <w:p>
      <w:pPr>
        <w:pStyle w:val="TOC8"/>
        <w:rPr>
          <w:rFonts w:asciiTheme="minorHAnsi" w:eastAsiaTheme="minorEastAsia" w:hAnsiTheme="minorHAnsi" w:cstheme="minorBidi"/>
          <w:szCs w:val="22"/>
        </w:rPr>
      </w:pPr>
      <w:r>
        <w:t>37.</w:t>
      </w:r>
      <w:r>
        <w:tab/>
        <w:t>Proceedings for civil penalty order</w:t>
      </w:r>
      <w:r>
        <w:tab/>
      </w:r>
      <w:r>
        <w:fldChar w:fldCharType="begin"/>
      </w:r>
      <w:r>
        <w:instrText xml:space="preserve"> PAGEREF _Toc98511468 \h </w:instrText>
      </w:r>
      <w:r>
        <w:fldChar w:fldCharType="separate"/>
      </w:r>
      <w:r>
        <w:t>94</w:t>
      </w:r>
      <w:r>
        <w:fldChar w:fldCharType="end"/>
      </w:r>
    </w:p>
    <w:p>
      <w:pPr>
        <w:pStyle w:val="TOC8"/>
        <w:rPr>
          <w:rFonts w:asciiTheme="minorHAnsi" w:eastAsiaTheme="minorEastAsia" w:hAnsiTheme="minorHAnsi" w:cstheme="minorBidi"/>
          <w:szCs w:val="22"/>
        </w:rPr>
      </w:pPr>
      <w:r>
        <w:t>38.</w:t>
      </w:r>
      <w:r>
        <w:tab/>
        <w:t>Enforcement of civil penalty order</w:t>
      </w:r>
      <w:r>
        <w:tab/>
      </w:r>
      <w:r>
        <w:fldChar w:fldCharType="begin"/>
      </w:r>
      <w:r>
        <w:instrText xml:space="preserve"> PAGEREF _Toc98511469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39.</w:t>
      </w:r>
      <w:r>
        <w:tab/>
        <w:t>Performance audit by CEO</w:t>
      </w:r>
      <w:r>
        <w:tab/>
      </w:r>
      <w:r>
        <w:fldChar w:fldCharType="begin"/>
      </w:r>
      <w:r>
        <w:instrText xml:space="preserve"> PAGEREF _Toc98511471 \h </w:instrText>
      </w:r>
      <w:r>
        <w:fldChar w:fldCharType="separate"/>
      </w:r>
      <w:r>
        <w:t>95</w:t>
      </w:r>
      <w:r>
        <w:fldChar w:fldCharType="end"/>
      </w:r>
    </w:p>
    <w:p>
      <w:pPr>
        <w:pStyle w:val="TOC8"/>
        <w:rPr>
          <w:rFonts w:asciiTheme="minorHAnsi" w:eastAsiaTheme="minorEastAsia" w:hAnsiTheme="minorHAnsi" w:cstheme="minorBidi"/>
          <w:szCs w:val="22"/>
        </w:rPr>
      </w:pPr>
      <w:r>
        <w:t>40.</w:t>
      </w:r>
      <w:r>
        <w:tab/>
        <w:t>Disclosure of information by CEO</w:t>
      </w:r>
      <w:r>
        <w:tab/>
      </w:r>
      <w:r>
        <w:fldChar w:fldCharType="begin"/>
      </w:r>
      <w:r>
        <w:instrText xml:space="preserve"> PAGEREF _Toc98511472 \h </w:instrText>
      </w:r>
      <w:r>
        <w:fldChar w:fldCharType="separate"/>
      </w:r>
      <w:r>
        <w:t>96</w:t>
      </w:r>
      <w:r>
        <w:fldChar w:fldCharType="end"/>
      </w:r>
    </w:p>
    <w:p>
      <w:pPr>
        <w:pStyle w:val="TOC8"/>
        <w:rPr>
          <w:rFonts w:asciiTheme="minorHAnsi" w:eastAsiaTheme="minorEastAsia" w:hAnsiTheme="minorHAnsi" w:cstheme="minorBidi"/>
          <w:szCs w:val="22"/>
        </w:rPr>
      </w:pPr>
      <w:r>
        <w:t>41.</w:t>
      </w:r>
      <w:r>
        <w:tab/>
        <w:t>Transition period for displaying refund mark on containers</w:t>
      </w:r>
      <w:r>
        <w:tab/>
      </w:r>
      <w:r>
        <w:fldChar w:fldCharType="begin"/>
      </w:r>
      <w:r>
        <w:instrText xml:space="preserve"> PAGEREF _Toc98511473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_Toc98511475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3" w:name="_Toc98501908"/>
      <w:bookmarkStart w:id="4" w:name="_Toc98502100"/>
      <w:bookmarkStart w:id="5" w:name="_Toc9851133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8511332"/>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8" w:name="_Toc9851133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9" w:name="_Toc98511334"/>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lastRenderedPageBreak/>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lastRenderedPageBreak/>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Defstart"/>
      </w:pPr>
      <w:r>
        <w:tab/>
      </w:r>
      <w:r>
        <w:rPr>
          <w:rStyle w:val="CharDefText"/>
        </w:rPr>
        <w:t>subsidiary</w:t>
      </w:r>
      <w:r>
        <w:t xml:space="preserve"> has the meaning given in the </w:t>
      </w:r>
      <w:r>
        <w:rPr>
          <w:i/>
        </w:rPr>
        <w:t>Corporations Act 2001</w:t>
      </w:r>
      <w:r>
        <w:t xml:space="preserve"> (Commonwealth) section 9.</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lastRenderedPageBreak/>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lastRenderedPageBreak/>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 SL 2020/191 r. 4.]</w:t>
      </w:r>
    </w:p>
    <w:p>
      <w:pPr>
        <w:pStyle w:val="Heading5"/>
      </w:pPr>
      <w:bookmarkStart w:id="10" w:name="_Toc98511335"/>
      <w:r>
        <w:rPr>
          <w:rStyle w:val="CharSectno"/>
        </w:rPr>
        <w:t>3A</w:t>
      </w:r>
      <w:r>
        <w:t>.</w:t>
      </w:r>
      <w:r>
        <w:tab/>
        <w:t>Things excluded from meaning of beverage</w:t>
      </w:r>
      <w:bookmarkEnd w:id="10"/>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all of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lastRenderedPageBreak/>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r>
        <w:tab/>
        <w:t>[Regulation 3A inserted: Gazette 17 Dec 2019 p. 4285-7; amended: SL 2020/191 r. 5.]</w:t>
      </w:r>
    </w:p>
    <w:p>
      <w:pPr>
        <w:pStyle w:val="Heading5"/>
      </w:pPr>
      <w:bookmarkStart w:id="11" w:name="_Toc98511336"/>
      <w:r>
        <w:rPr>
          <w:rStyle w:val="CharSectno"/>
        </w:rPr>
        <w:t>3B</w:t>
      </w:r>
      <w:r>
        <w:t>.</w:t>
      </w:r>
      <w:r>
        <w:tab/>
        <w:t>Things included in or excluded from meaning of container</w:t>
      </w:r>
      <w:bookmarkEnd w:id="11"/>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lastRenderedPageBreak/>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lastRenderedPageBreak/>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r>
        <w:tab/>
        <w:t>[Regulation 3B inserted: Gazette 17 Dec 2019 p. 4287-9.]</w:t>
      </w:r>
    </w:p>
    <w:p>
      <w:pPr>
        <w:pStyle w:val="Heading5"/>
      </w:pPr>
      <w:bookmarkStart w:id="12" w:name="_Toc98511337"/>
      <w:r>
        <w:rPr>
          <w:rStyle w:val="CharSectno"/>
        </w:rPr>
        <w:t>3C</w:t>
      </w:r>
      <w:r>
        <w:t>.</w:t>
      </w:r>
      <w:r>
        <w:tab/>
        <w:t>Manner prescribed to be or not to be prohibited manner</w:t>
      </w:r>
      <w:bookmarkEnd w:id="12"/>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lastRenderedPageBreak/>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r>
        <w:tab/>
        <w:t>[Regulation 3C inserted: Gazette 17 Dec 2019 p. 4289-90.]</w:t>
      </w:r>
    </w:p>
    <w:p>
      <w:pPr>
        <w:pStyle w:val="Heading5"/>
      </w:pPr>
      <w:bookmarkStart w:id="13" w:name="_Toc98511338"/>
      <w:r>
        <w:rPr>
          <w:rStyle w:val="CharSectno"/>
        </w:rPr>
        <w:t>3D</w:t>
      </w:r>
      <w:r>
        <w:t>.</w:t>
      </w:r>
      <w:r>
        <w:tab/>
        <w:t>Persons included in or excluded from meaning of refund point operator</w:t>
      </w:r>
      <w:bookmarkEnd w:id="13"/>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w:t>
      </w:r>
      <w:r>
        <w:lastRenderedPageBreak/>
        <w:t>subregulation (1) or the operator of a refund point that is not a reverse vending machine) is not a refund point operator.</w:t>
      </w:r>
    </w:p>
    <w:p>
      <w:pPr>
        <w:pStyle w:val="Footnotesection"/>
      </w:pPr>
      <w:r>
        <w:tab/>
        <w:t>[Regulation 3D inserted: Gazette 17 Dec 2019 p. 4290-1.]</w:t>
      </w:r>
    </w:p>
    <w:p>
      <w:pPr>
        <w:pStyle w:val="Heading5"/>
      </w:pPr>
      <w:bookmarkStart w:id="14" w:name="_Toc98511339"/>
      <w:r>
        <w:rPr>
          <w:rStyle w:val="CharSectno"/>
        </w:rPr>
        <w:t>3E</w:t>
      </w:r>
      <w:r>
        <w:t>.</w:t>
      </w:r>
      <w:r>
        <w:tab/>
        <w:t>Meaning of first responsible supplier</w:t>
      </w:r>
      <w:bookmarkEnd w:id="1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lastRenderedPageBreak/>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15" w:name="_Toc98501917"/>
      <w:bookmarkStart w:id="16" w:name="_Toc98502109"/>
      <w:bookmarkStart w:id="17" w:name="_Toc98511340"/>
      <w:r>
        <w:rPr>
          <w:rStyle w:val="CharPartNo"/>
        </w:rPr>
        <w:lastRenderedPageBreak/>
        <w:t>Part 1A</w:t>
      </w:r>
      <w:r>
        <w:t> — </w:t>
      </w:r>
      <w:r>
        <w:rPr>
          <w:rStyle w:val="CharPartText"/>
        </w:rPr>
        <w:t>Supply of beverage products</w:t>
      </w:r>
      <w:bookmarkEnd w:id="15"/>
      <w:bookmarkEnd w:id="16"/>
      <w:bookmarkEnd w:id="17"/>
    </w:p>
    <w:p>
      <w:pPr>
        <w:pStyle w:val="Footnoteheading"/>
      </w:pPr>
      <w:r>
        <w:tab/>
        <w:t>[Heading inserted: Gazette 17 Dec 2019 p. 4292.]</w:t>
      </w:r>
    </w:p>
    <w:p>
      <w:pPr>
        <w:pStyle w:val="Heading3"/>
      </w:pPr>
      <w:bookmarkStart w:id="18" w:name="_Toc98501918"/>
      <w:bookmarkStart w:id="19" w:name="_Toc98502110"/>
      <w:bookmarkStart w:id="20" w:name="_Toc98511341"/>
      <w:r>
        <w:rPr>
          <w:rStyle w:val="CharDivNo"/>
        </w:rPr>
        <w:t>Division 1</w:t>
      </w:r>
      <w:r>
        <w:t> — </w:t>
      </w:r>
      <w:r>
        <w:rPr>
          <w:rStyle w:val="CharDivText"/>
        </w:rPr>
        <w:t>Preliminary</w:t>
      </w:r>
      <w:bookmarkEnd w:id="18"/>
      <w:bookmarkEnd w:id="19"/>
      <w:bookmarkEnd w:id="20"/>
    </w:p>
    <w:p>
      <w:pPr>
        <w:pStyle w:val="Footnoteheading"/>
      </w:pPr>
      <w:r>
        <w:tab/>
        <w:t>[Heading inserted: Gazette 17 Dec 2019 p. 4292.]</w:t>
      </w:r>
    </w:p>
    <w:p>
      <w:pPr>
        <w:pStyle w:val="Heading5"/>
      </w:pPr>
      <w:bookmarkStart w:id="21" w:name="_Toc98511342"/>
      <w:r>
        <w:rPr>
          <w:rStyle w:val="CharSectno"/>
        </w:rPr>
        <w:t>3F</w:t>
      </w:r>
      <w:r>
        <w:t>.</w:t>
      </w:r>
      <w:r>
        <w:tab/>
        <w:t>Terms used</w:t>
      </w:r>
      <w:bookmarkEnd w:id="21"/>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r>
        <w:tab/>
        <w:t>[Regulation 3F inserted: Gazette 17 Dec 2019 p. 4292.]</w:t>
      </w:r>
    </w:p>
    <w:p>
      <w:pPr>
        <w:pStyle w:val="Heading3"/>
      </w:pPr>
      <w:bookmarkStart w:id="22" w:name="_Toc98501920"/>
      <w:bookmarkStart w:id="23" w:name="_Toc98502112"/>
      <w:bookmarkStart w:id="24" w:name="_Toc98511343"/>
      <w:r>
        <w:rPr>
          <w:rStyle w:val="CharDivNo"/>
        </w:rPr>
        <w:t>Division 2</w:t>
      </w:r>
      <w:r>
        <w:t> — </w:t>
      </w:r>
      <w:r>
        <w:rPr>
          <w:rStyle w:val="CharDivText"/>
        </w:rPr>
        <w:t>Requirement for container approval, refund mark and barcode</w:t>
      </w:r>
      <w:bookmarkEnd w:id="22"/>
      <w:bookmarkEnd w:id="23"/>
      <w:bookmarkEnd w:id="24"/>
    </w:p>
    <w:p>
      <w:pPr>
        <w:pStyle w:val="Footnoteheading"/>
      </w:pPr>
      <w:r>
        <w:tab/>
        <w:t>[Heading inserted: Gazette 17 Dec 2019 p. 4292.]</w:t>
      </w:r>
    </w:p>
    <w:p>
      <w:pPr>
        <w:pStyle w:val="Heading5"/>
      </w:pPr>
      <w:bookmarkStart w:id="25" w:name="_Toc98511344"/>
      <w:r>
        <w:rPr>
          <w:rStyle w:val="CharSectno"/>
        </w:rPr>
        <w:t>3G</w:t>
      </w:r>
      <w:r>
        <w:t>.</w:t>
      </w:r>
      <w:r>
        <w:tab/>
        <w:t>Refund mark</w:t>
      </w:r>
      <w:bookmarkEnd w:id="25"/>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r>
        <w:tab/>
        <w:t>[Regulation 3G inserted: Gazette 17 Dec 2019 p. 4292-3.]</w:t>
      </w:r>
    </w:p>
    <w:p>
      <w:pPr>
        <w:pStyle w:val="Heading5"/>
      </w:pPr>
      <w:bookmarkStart w:id="26" w:name="_Toc98511345"/>
      <w:r>
        <w:rPr>
          <w:rStyle w:val="CharSectno"/>
        </w:rPr>
        <w:lastRenderedPageBreak/>
        <w:t>3H</w:t>
      </w:r>
      <w:r>
        <w:t>.</w:t>
      </w:r>
      <w:r>
        <w:tab/>
        <w:t>Barcode requirements</w:t>
      </w:r>
      <w:bookmarkEnd w:id="26"/>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8, and not more than 14,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lastRenderedPageBreak/>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r>
        <w:tab/>
        <w:t>[Regulation 3H inserted: Gazette 17 Dec 2019 p. 4293-4; amended: SL 2020/191 r. 6.]</w:t>
      </w:r>
    </w:p>
    <w:p>
      <w:pPr>
        <w:pStyle w:val="Heading3"/>
      </w:pPr>
      <w:bookmarkStart w:id="27" w:name="_Toc98501923"/>
      <w:bookmarkStart w:id="28" w:name="_Toc98502115"/>
      <w:bookmarkStart w:id="29" w:name="_Toc98511346"/>
      <w:r>
        <w:rPr>
          <w:rStyle w:val="CharDivNo"/>
        </w:rPr>
        <w:t>Division 3</w:t>
      </w:r>
      <w:r>
        <w:t> — </w:t>
      </w:r>
      <w:r>
        <w:rPr>
          <w:rStyle w:val="CharDivText"/>
        </w:rPr>
        <w:t>Container approvals</w:t>
      </w:r>
      <w:bookmarkEnd w:id="27"/>
      <w:bookmarkEnd w:id="28"/>
      <w:bookmarkEnd w:id="29"/>
    </w:p>
    <w:p>
      <w:pPr>
        <w:pStyle w:val="Footnoteheading"/>
      </w:pPr>
      <w:r>
        <w:tab/>
        <w:t>[Heading inserted: Gazette 17 Dec 2019 p. 4294.]</w:t>
      </w:r>
    </w:p>
    <w:p>
      <w:pPr>
        <w:pStyle w:val="Heading4"/>
      </w:pPr>
      <w:bookmarkStart w:id="30" w:name="_Toc98501924"/>
      <w:bookmarkStart w:id="31" w:name="_Toc98502116"/>
      <w:bookmarkStart w:id="32" w:name="_Toc98511347"/>
      <w:r>
        <w:t>Subdivision 1 — Grant of container approval</w:t>
      </w:r>
      <w:bookmarkEnd w:id="30"/>
      <w:bookmarkEnd w:id="31"/>
      <w:bookmarkEnd w:id="32"/>
    </w:p>
    <w:p>
      <w:pPr>
        <w:pStyle w:val="Footnoteheading"/>
      </w:pPr>
      <w:r>
        <w:tab/>
        <w:t>[Heading inserted: Gazette 17 Dec 2019 p. 4294.]</w:t>
      </w:r>
    </w:p>
    <w:p>
      <w:pPr>
        <w:pStyle w:val="Heading5"/>
      </w:pPr>
      <w:bookmarkStart w:id="33" w:name="_Toc98511348"/>
      <w:r>
        <w:rPr>
          <w:rStyle w:val="CharSectno"/>
        </w:rPr>
        <w:t>3I</w:t>
      </w:r>
      <w:r>
        <w:t>.</w:t>
      </w:r>
      <w:r>
        <w:tab/>
        <w:t>Application process for container approval</w:t>
      </w:r>
      <w:bookmarkEnd w:id="33"/>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 xml:space="preserve">if the Coordinator considers that the criteria for the grant of a container approval in regulation 3J </w:t>
      </w:r>
      <w:r>
        <w:lastRenderedPageBreak/>
        <w:t>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r>
        <w:tab/>
        <w:t>[Regulation 3I inserted: Gazette 17 Dec 2019 p. 4294-5.]</w:t>
      </w:r>
    </w:p>
    <w:p>
      <w:pPr>
        <w:pStyle w:val="Heading5"/>
      </w:pPr>
      <w:bookmarkStart w:id="34" w:name="_Toc98511349"/>
      <w:r>
        <w:rPr>
          <w:rStyle w:val="CharSectno"/>
        </w:rPr>
        <w:t>3J</w:t>
      </w:r>
      <w:r>
        <w:t>.</w:t>
      </w:r>
      <w:r>
        <w:tab/>
        <w:t>Criteria for grant of container approval</w:t>
      </w:r>
      <w:bookmarkEnd w:id="3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lastRenderedPageBreak/>
        <w:tab/>
        <w:t>(c)</w:t>
      </w:r>
      <w:r>
        <w:tab/>
        <w:t>a barcode that complies with the requirements prescribed for the purposes of section 47E(2)(c) of the Act (other than the requirement in regulation 3H(5)) has been allocated for the beverage product.</w:t>
      </w:r>
    </w:p>
    <w:p>
      <w:pPr>
        <w:pStyle w:val="Footnotesection"/>
      </w:pPr>
      <w:r>
        <w:tab/>
        <w:t>[Regulation 3J inserted: Gazette 17 Dec 2019 p. 4296.]</w:t>
      </w:r>
    </w:p>
    <w:p>
      <w:pPr>
        <w:pStyle w:val="Heading5"/>
      </w:pPr>
      <w:bookmarkStart w:id="35" w:name="_Toc98511350"/>
      <w:r>
        <w:rPr>
          <w:rStyle w:val="CharSectno"/>
        </w:rPr>
        <w:t>3K</w:t>
      </w:r>
      <w:r>
        <w:t>.</w:t>
      </w:r>
      <w:r>
        <w:tab/>
        <w:t>Grounds for refusal of container approval</w:t>
      </w:r>
      <w:bookmarkEnd w:id="35"/>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r>
        <w:tab/>
        <w:t>[Regulation 3K inserted: Gazette 17 Dec 2019 p. 4296.]</w:t>
      </w:r>
    </w:p>
    <w:p>
      <w:pPr>
        <w:pStyle w:val="Heading5"/>
      </w:pPr>
      <w:bookmarkStart w:id="36" w:name="_Toc98511351"/>
      <w:r>
        <w:rPr>
          <w:rStyle w:val="CharSectno"/>
        </w:rPr>
        <w:t>3L</w:t>
      </w:r>
      <w:r>
        <w:t>.</w:t>
      </w:r>
      <w:r>
        <w:tab/>
        <w:t>Matters to be considered by CEO in deciding application</w:t>
      </w:r>
      <w:bookmarkEnd w:id="36"/>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lastRenderedPageBreak/>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r>
        <w:tab/>
        <w:t>[Regulation 3L inserted: Gazette 17 Dec 2019 p. 4297-8.]</w:t>
      </w:r>
    </w:p>
    <w:p>
      <w:pPr>
        <w:pStyle w:val="Heading5"/>
      </w:pPr>
      <w:bookmarkStart w:id="37" w:name="_Toc98511352"/>
      <w:r>
        <w:rPr>
          <w:rStyle w:val="CharSectno"/>
        </w:rPr>
        <w:t>3M</w:t>
      </w:r>
      <w:r>
        <w:t>.</w:t>
      </w:r>
      <w:r>
        <w:tab/>
        <w:t>Decision in relation to container approval</w:t>
      </w:r>
      <w:bookmarkEnd w:id="37"/>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w:t>
      </w:r>
      <w:r>
        <w:lastRenderedPageBreak/>
        <w:t xml:space="preserve">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r>
        <w:tab/>
        <w:t>[Regulation 3M inserted: Gazette 17 Dec 2019 p. 4298-9.]</w:t>
      </w:r>
    </w:p>
    <w:p>
      <w:pPr>
        <w:pStyle w:val="Heading5"/>
      </w:pPr>
      <w:bookmarkStart w:id="38" w:name="_Toc98511353"/>
      <w:r>
        <w:rPr>
          <w:rStyle w:val="CharSectno"/>
        </w:rPr>
        <w:t>3N</w:t>
      </w:r>
      <w:r>
        <w:t>.</w:t>
      </w:r>
      <w:r>
        <w:tab/>
        <w:t>Conditions on container approvals</w:t>
      </w:r>
      <w:bookmarkEnd w:id="38"/>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 xml:space="preserve">the holder of the container approval and any first responsible supplier of a beverage product to which the container approval applies must give the Coordinator written notice if an equivalent approval that is held by </w:t>
      </w:r>
      <w:r>
        <w:lastRenderedPageBreak/>
        <w:t>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r>
        <w:tab/>
        <w:t>[Regulation 3N inserted: Gazette 17 Dec 2019 p. 4299.]</w:t>
      </w:r>
    </w:p>
    <w:p>
      <w:pPr>
        <w:pStyle w:val="Heading4"/>
      </w:pPr>
      <w:bookmarkStart w:id="39" w:name="_Toc98501931"/>
      <w:bookmarkStart w:id="40" w:name="_Toc98502123"/>
      <w:bookmarkStart w:id="41" w:name="_Toc98511354"/>
      <w:r>
        <w:t>Subdivision 2 — Transfer of container approval by application</w:t>
      </w:r>
      <w:bookmarkEnd w:id="39"/>
      <w:bookmarkEnd w:id="40"/>
      <w:bookmarkEnd w:id="41"/>
    </w:p>
    <w:p>
      <w:pPr>
        <w:pStyle w:val="Footnoteheading"/>
      </w:pPr>
      <w:r>
        <w:tab/>
        <w:t>[Heading inserted: Gazette 17 Dec 2019 p. 4300.]</w:t>
      </w:r>
    </w:p>
    <w:p>
      <w:pPr>
        <w:pStyle w:val="Heading5"/>
      </w:pPr>
      <w:bookmarkStart w:id="42" w:name="_Toc98511355"/>
      <w:r>
        <w:rPr>
          <w:rStyle w:val="CharSectno"/>
        </w:rPr>
        <w:t>3O</w:t>
      </w:r>
      <w:r>
        <w:t>.</w:t>
      </w:r>
      <w:r>
        <w:tab/>
        <w:t>Application to transfer container approval</w:t>
      </w:r>
      <w:bookmarkEnd w:id="42"/>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lastRenderedPageBreak/>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r>
        <w:tab/>
        <w:t>[Regulation 3O inserted: Gazette 17 Dec 2019 p. 4300-1.]</w:t>
      </w:r>
    </w:p>
    <w:p>
      <w:pPr>
        <w:pStyle w:val="Heading5"/>
      </w:pPr>
      <w:bookmarkStart w:id="43" w:name="_Toc98511356"/>
      <w:r>
        <w:rPr>
          <w:rStyle w:val="CharSectno"/>
        </w:rPr>
        <w:t>3P</w:t>
      </w:r>
      <w:r>
        <w:t>.</w:t>
      </w:r>
      <w:r>
        <w:tab/>
        <w:t>Deciding transfer application</w:t>
      </w:r>
      <w:bookmarkEnd w:id="43"/>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lastRenderedPageBreak/>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r>
        <w:tab/>
        <w:t>[Regulation 3P inserted: Gazette 17 Dec 2019 p. 4301-2.]</w:t>
      </w:r>
    </w:p>
    <w:p>
      <w:pPr>
        <w:pStyle w:val="Heading4"/>
      </w:pPr>
      <w:bookmarkStart w:id="44" w:name="_Toc98501934"/>
      <w:bookmarkStart w:id="45" w:name="_Toc98502126"/>
      <w:bookmarkStart w:id="46" w:name="_Toc98511357"/>
      <w:r>
        <w:lastRenderedPageBreak/>
        <w:t>Subdivision 3 — Amendment, suspension or cancellation of container approval on CEO’s initiative</w:t>
      </w:r>
      <w:bookmarkEnd w:id="44"/>
      <w:bookmarkEnd w:id="45"/>
      <w:bookmarkEnd w:id="46"/>
    </w:p>
    <w:p>
      <w:pPr>
        <w:pStyle w:val="Footnoteheading"/>
        <w:keepNext/>
      </w:pPr>
      <w:r>
        <w:tab/>
        <w:t>[Heading inserted: Gazette 17 Dec 2019 p. 4302.]</w:t>
      </w:r>
    </w:p>
    <w:p>
      <w:pPr>
        <w:pStyle w:val="Heading5"/>
      </w:pPr>
      <w:bookmarkStart w:id="47" w:name="_Toc98511358"/>
      <w:r>
        <w:rPr>
          <w:rStyle w:val="CharSectno"/>
        </w:rPr>
        <w:t>3Q</w:t>
      </w:r>
      <w:r>
        <w:t>.</w:t>
      </w:r>
      <w:r>
        <w:tab/>
        <w:t>Amendment of container approval on CEO’s initiative</w:t>
      </w:r>
      <w:bookmarkEnd w:id="47"/>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r>
        <w:tab/>
        <w:t>[Regulation 3Q inserted: Gazette 17 Dec 2019 p. 4302.]</w:t>
      </w:r>
    </w:p>
    <w:p>
      <w:pPr>
        <w:pStyle w:val="Heading5"/>
      </w:pPr>
      <w:bookmarkStart w:id="48" w:name="_Toc98511359"/>
      <w:r>
        <w:rPr>
          <w:rStyle w:val="CharSectno"/>
        </w:rPr>
        <w:t>3R</w:t>
      </w:r>
      <w:r>
        <w:t>.</w:t>
      </w:r>
      <w:r>
        <w:tab/>
        <w:t>Suspension or cancellation of container approval</w:t>
      </w:r>
      <w:bookmarkEnd w:id="48"/>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r>
        <w:tab/>
        <w:t>[Regulation 3R inserted: Gazette 17 Dec 2019 p. 4303.]</w:t>
      </w:r>
    </w:p>
    <w:p>
      <w:pPr>
        <w:pStyle w:val="Heading5"/>
      </w:pPr>
      <w:bookmarkStart w:id="49" w:name="_Toc98511360"/>
      <w:r>
        <w:rPr>
          <w:rStyle w:val="CharSectno"/>
        </w:rPr>
        <w:lastRenderedPageBreak/>
        <w:t>3S</w:t>
      </w:r>
      <w:r>
        <w:t>.</w:t>
      </w:r>
      <w:r>
        <w:tab/>
        <w:t>Process for amendment, suspension or cancellation of container approval</w:t>
      </w:r>
      <w:bookmarkEnd w:id="49"/>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w:t>
      </w:r>
      <w:r>
        <w:lastRenderedPageBreak/>
        <w:t xml:space="preserve">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r>
        <w:tab/>
        <w:t>[Regulation 3S inserted: Gazette 17 Dec 2019 p. 4303-5.]</w:t>
      </w:r>
    </w:p>
    <w:p>
      <w:pPr>
        <w:pStyle w:val="Heading5"/>
      </w:pPr>
      <w:bookmarkStart w:id="50" w:name="_Toc98511361"/>
      <w:r>
        <w:rPr>
          <w:rStyle w:val="CharSectno"/>
        </w:rPr>
        <w:t>3T</w:t>
      </w:r>
      <w:r>
        <w:t>.</w:t>
      </w:r>
      <w:r>
        <w:tab/>
        <w:t>Notice of amendment, suspension or cancellation of container approval</w:t>
      </w:r>
      <w:bookmarkEnd w:id="50"/>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 xml:space="preserve">If the Coordinator receives written notice under subregulation (2)(a), the Coordinator must, not later than the </w:t>
      </w:r>
      <w:r>
        <w:lastRenderedPageBreak/>
        <w:t>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r>
        <w:tab/>
        <w:t>[Regulation 3T inserted: Gazette 17 Dec 2019 p. 4305.]</w:t>
      </w:r>
    </w:p>
    <w:p>
      <w:pPr>
        <w:pStyle w:val="Heading5"/>
      </w:pPr>
      <w:bookmarkStart w:id="51" w:name="_Toc98511362"/>
      <w:r>
        <w:rPr>
          <w:rStyle w:val="CharSectno"/>
        </w:rPr>
        <w:t>3U</w:t>
      </w:r>
      <w:r>
        <w:t>.</w:t>
      </w:r>
      <w:r>
        <w:tab/>
        <w:t>Container approval continues in force</w:t>
      </w:r>
      <w:bookmarkEnd w:id="51"/>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r>
        <w:tab/>
        <w:t>[Regulation 3U inserted: Gazette 17 Dec 2019 p. 4306.]</w:t>
      </w:r>
    </w:p>
    <w:p>
      <w:pPr>
        <w:pStyle w:val="Heading4"/>
      </w:pPr>
      <w:bookmarkStart w:id="52" w:name="_Toc98501940"/>
      <w:bookmarkStart w:id="53" w:name="_Toc98502132"/>
      <w:bookmarkStart w:id="54" w:name="_Toc98511363"/>
      <w:r>
        <w:t>Subdivision 4 — Miscellaneous</w:t>
      </w:r>
      <w:bookmarkEnd w:id="52"/>
      <w:bookmarkEnd w:id="53"/>
      <w:bookmarkEnd w:id="54"/>
    </w:p>
    <w:p>
      <w:pPr>
        <w:pStyle w:val="Footnoteheading"/>
      </w:pPr>
      <w:r>
        <w:tab/>
        <w:t>[Heading inserted: Gazette 17 Dec 2019 p. 4306.]</w:t>
      </w:r>
    </w:p>
    <w:p>
      <w:pPr>
        <w:pStyle w:val="Heading5"/>
      </w:pPr>
      <w:bookmarkStart w:id="55" w:name="_Toc98511364"/>
      <w:r>
        <w:rPr>
          <w:rStyle w:val="CharSectno"/>
        </w:rPr>
        <w:t>3V</w:t>
      </w:r>
      <w:r>
        <w:t>.</w:t>
      </w:r>
      <w:r>
        <w:tab/>
        <w:t>Register of container approvals</w:t>
      </w:r>
      <w:bookmarkEnd w:id="55"/>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lastRenderedPageBreak/>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r>
        <w:tab/>
        <w:t>[Regulation 3V inserted: Gazette 17 Dec 2019 p. 4306-7.]</w:t>
      </w:r>
    </w:p>
    <w:p>
      <w:pPr>
        <w:pStyle w:val="Heading5"/>
      </w:pPr>
      <w:bookmarkStart w:id="56" w:name="_Toc98511365"/>
      <w:r>
        <w:rPr>
          <w:rStyle w:val="CharSectno"/>
        </w:rPr>
        <w:t>3W</w:t>
      </w:r>
      <w:r>
        <w:t>.</w:t>
      </w:r>
      <w:r>
        <w:tab/>
        <w:t>Verification by statutory declaration</w:t>
      </w:r>
      <w:bookmarkEnd w:id="56"/>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57" w:name="_Toc98501943"/>
      <w:bookmarkStart w:id="58" w:name="_Toc98502135"/>
      <w:bookmarkStart w:id="59" w:name="_Toc98511366"/>
      <w:r>
        <w:rPr>
          <w:rStyle w:val="CharPartNo"/>
        </w:rPr>
        <w:lastRenderedPageBreak/>
        <w:t>Part 2</w:t>
      </w:r>
      <w:r>
        <w:t> — </w:t>
      </w:r>
      <w:r>
        <w:rPr>
          <w:rStyle w:val="CharPartText"/>
        </w:rPr>
        <w:t>Return of containers</w:t>
      </w:r>
      <w:bookmarkEnd w:id="57"/>
      <w:bookmarkEnd w:id="58"/>
      <w:bookmarkEnd w:id="59"/>
    </w:p>
    <w:p>
      <w:pPr>
        <w:pStyle w:val="Heading3"/>
      </w:pPr>
      <w:bookmarkStart w:id="60" w:name="_Toc98501944"/>
      <w:bookmarkStart w:id="61" w:name="_Toc98502136"/>
      <w:bookmarkStart w:id="62" w:name="_Toc98511367"/>
      <w:r>
        <w:rPr>
          <w:rStyle w:val="CharDivNo"/>
        </w:rPr>
        <w:t>Division 1</w:t>
      </w:r>
      <w:r>
        <w:t> — </w:t>
      </w:r>
      <w:r>
        <w:rPr>
          <w:rStyle w:val="CharDivText"/>
        </w:rPr>
        <w:t>Refund point operators</w:t>
      </w:r>
      <w:bookmarkEnd w:id="60"/>
      <w:bookmarkEnd w:id="61"/>
      <w:bookmarkEnd w:id="62"/>
    </w:p>
    <w:p>
      <w:pPr>
        <w:pStyle w:val="Footnoteheading"/>
      </w:pPr>
      <w:r>
        <w:tab/>
        <w:t>[Heading inserted: Gazette 17 Dec 2019 p. 4308.]</w:t>
      </w:r>
    </w:p>
    <w:p>
      <w:pPr>
        <w:pStyle w:val="Heading5"/>
      </w:pPr>
      <w:bookmarkStart w:id="63" w:name="_Toc98511368"/>
      <w:r>
        <w:rPr>
          <w:rStyle w:val="CharSectno"/>
        </w:rPr>
        <w:t>4</w:t>
      </w:r>
      <w:r>
        <w:t>.</w:t>
      </w:r>
      <w:r>
        <w:tab/>
        <w:t>Eligibility criteria for refund point operators</w:t>
      </w:r>
      <w:bookmarkEnd w:id="63"/>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64" w:name="_Toc98501946"/>
      <w:bookmarkStart w:id="65" w:name="_Toc98502138"/>
      <w:bookmarkStart w:id="66" w:name="_Toc98511369"/>
      <w:r>
        <w:rPr>
          <w:rStyle w:val="CharDivNo"/>
        </w:rPr>
        <w:lastRenderedPageBreak/>
        <w:t>Division 2</w:t>
      </w:r>
      <w:r>
        <w:t> — </w:t>
      </w:r>
      <w:r>
        <w:rPr>
          <w:rStyle w:val="CharDivText"/>
        </w:rPr>
        <w:t>Claiming refund amount</w:t>
      </w:r>
      <w:bookmarkEnd w:id="64"/>
      <w:bookmarkEnd w:id="65"/>
      <w:bookmarkEnd w:id="66"/>
    </w:p>
    <w:p>
      <w:pPr>
        <w:pStyle w:val="Footnoteheading"/>
        <w:keepNext/>
      </w:pPr>
      <w:r>
        <w:tab/>
        <w:t>[Heading inserted: Gazette 17 Dec 2019 p. 4308.]</w:t>
      </w:r>
    </w:p>
    <w:p>
      <w:pPr>
        <w:pStyle w:val="Heading5"/>
      </w:pPr>
      <w:bookmarkStart w:id="67" w:name="_Toc98511370"/>
      <w:r>
        <w:rPr>
          <w:rStyle w:val="CharSectno"/>
        </w:rPr>
        <w:t>4A</w:t>
      </w:r>
      <w:r>
        <w:t>.</w:t>
      </w:r>
      <w:r>
        <w:tab/>
        <w:t>Refund amount (s. 47J)</w:t>
      </w:r>
      <w:bookmarkEnd w:id="67"/>
    </w:p>
    <w:p>
      <w:pPr>
        <w:pStyle w:val="Subsection"/>
      </w:pPr>
      <w:r>
        <w:tab/>
      </w:r>
      <w:r>
        <w:tab/>
        <w:t>For the purposes of Part 5A of the Act, the refund amount is 10 cents.</w:t>
      </w:r>
    </w:p>
    <w:p>
      <w:pPr>
        <w:pStyle w:val="Footnotesection"/>
      </w:pPr>
      <w:r>
        <w:tab/>
        <w:t>[Regulation 4A inserted: Gazette 17 Dec 2019 p. 4308.]</w:t>
      </w:r>
    </w:p>
    <w:p>
      <w:pPr>
        <w:pStyle w:val="Heading5"/>
      </w:pPr>
      <w:bookmarkStart w:id="68" w:name="_Toc98511371"/>
      <w:r>
        <w:rPr>
          <w:rStyle w:val="CharSectno"/>
        </w:rPr>
        <w:t>4B</w:t>
      </w:r>
      <w:r>
        <w:t>.</w:t>
      </w:r>
      <w:r>
        <w:tab/>
        <w:t>Claiming refund amount from refund point</w:t>
      </w:r>
      <w:bookmarkEnd w:id="68"/>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r>
        <w:tab/>
        <w:t>[Regulation 4B inserted: Gazette 17 Dec 2019 p. 4308.]</w:t>
      </w:r>
    </w:p>
    <w:p>
      <w:pPr>
        <w:pStyle w:val="Heading5"/>
      </w:pPr>
      <w:bookmarkStart w:id="69" w:name="_Toc98511372"/>
      <w:r>
        <w:rPr>
          <w:rStyle w:val="CharSectno"/>
        </w:rPr>
        <w:t>4C</w:t>
      </w:r>
      <w:r>
        <w:t>.</w:t>
      </w:r>
      <w:r>
        <w:tab/>
        <w:t>When refund point operator not required to accept container and pay person refund amount</w:t>
      </w:r>
      <w:bookmarkEnd w:id="69"/>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lastRenderedPageBreak/>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 xml:space="preserve">if a sign at the refund point operated by the refund point operator states that the refund point operator pays refund amounts in a way other than in cash — the person </w:t>
      </w:r>
      <w:r>
        <w:lastRenderedPageBreak/>
        <w:t>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lastRenderedPageBreak/>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r>
        <w:tab/>
        <w:t>[Regulation 4C inserted: Gazette 17 Dec 2019 p. 4309-11.]</w:t>
      </w:r>
    </w:p>
    <w:p>
      <w:pPr>
        <w:pStyle w:val="Heading5"/>
      </w:pPr>
      <w:bookmarkStart w:id="70" w:name="_Toc98511373"/>
      <w:r>
        <w:rPr>
          <w:rStyle w:val="CharSectno"/>
        </w:rPr>
        <w:t>4D</w:t>
      </w:r>
      <w:r>
        <w:t>.</w:t>
      </w:r>
      <w:r>
        <w:tab/>
        <w:t>Guidelines in relation to contaminated containers</w:t>
      </w:r>
      <w:bookmarkEnd w:id="70"/>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r>
        <w:tab/>
        <w:t>[Regulation 4D inserted: Gazette 17 Dec 2019 p. 4312.]</w:t>
      </w:r>
    </w:p>
    <w:p>
      <w:pPr>
        <w:pStyle w:val="Heading5"/>
      </w:pPr>
      <w:bookmarkStart w:id="71" w:name="_Toc98511374"/>
      <w:r>
        <w:rPr>
          <w:rStyle w:val="CharSectno"/>
        </w:rPr>
        <w:t>4E</w:t>
      </w:r>
      <w:r>
        <w:t>.</w:t>
      </w:r>
      <w:r>
        <w:tab/>
        <w:t>Refund declaration and proof of identity</w:t>
      </w:r>
      <w:bookmarkEnd w:id="71"/>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lastRenderedPageBreak/>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lastRenderedPageBreak/>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r>
        <w:tab/>
        <w:t>[Regulation 4E inserted: Gazette 17 Dec 2019 p. 4312-13.]</w:t>
      </w:r>
    </w:p>
    <w:p>
      <w:pPr>
        <w:pStyle w:val="Heading5"/>
      </w:pPr>
      <w:bookmarkStart w:id="72" w:name="_Toc98511375"/>
      <w:r>
        <w:rPr>
          <w:rStyle w:val="CharSectno"/>
        </w:rPr>
        <w:t>4F</w:t>
      </w:r>
      <w:r>
        <w:t>.</w:t>
      </w:r>
      <w:r>
        <w:tab/>
        <w:t>Ways refund amount may be paid</w:t>
      </w:r>
      <w:bookmarkEnd w:id="72"/>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lastRenderedPageBreak/>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r>
        <w:tab/>
        <w:t>[Regulation 4F inserted: Gazette 17 Dec 2019 p. 4314-15.]</w:t>
      </w:r>
    </w:p>
    <w:p>
      <w:pPr>
        <w:pStyle w:val="Heading5"/>
      </w:pPr>
      <w:bookmarkStart w:id="73" w:name="_Toc98511376"/>
      <w:r>
        <w:rPr>
          <w:rStyle w:val="CharSectno"/>
        </w:rPr>
        <w:t>4G</w:t>
      </w:r>
      <w:r>
        <w:t>.</w:t>
      </w:r>
      <w:r>
        <w:tab/>
        <w:t>Claiming refund amount from refund point that is reverse vending machine</w:t>
      </w:r>
      <w:bookmarkEnd w:id="73"/>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w:t>
      </w:r>
      <w:r>
        <w:lastRenderedPageBreak/>
        <w:t xml:space="preserve">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lastRenderedPageBreak/>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r>
        <w:tab/>
        <w:t>[Regulation 4G inserted: Gazette 17 Dec 2019 p. 4315-17.]</w:t>
      </w:r>
    </w:p>
    <w:p>
      <w:pPr>
        <w:pStyle w:val="Heading5"/>
      </w:pPr>
      <w:bookmarkStart w:id="74" w:name="_Toc98511377"/>
      <w:r>
        <w:rPr>
          <w:rStyle w:val="CharSectno"/>
        </w:rPr>
        <w:t>4H</w:t>
      </w:r>
      <w:r>
        <w:t>.</w:t>
      </w:r>
      <w:r>
        <w:tab/>
        <w:t>Ways reverse vending machine may dispense refund amount</w:t>
      </w:r>
      <w:bookmarkEnd w:id="74"/>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lastRenderedPageBreak/>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r>
        <w:tab/>
        <w:t>[Regulation 4H inserted: Gazette 17 Dec 2019 p. 4317-18.]</w:t>
      </w:r>
    </w:p>
    <w:p>
      <w:pPr>
        <w:pStyle w:val="Heading5"/>
      </w:pPr>
      <w:bookmarkStart w:id="75" w:name="_Toc98511378"/>
      <w:r>
        <w:rPr>
          <w:rStyle w:val="CharSectno"/>
        </w:rPr>
        <w:t>4I</w:t>
      </w:r>
      <w:r>
        <w:t>.</w:t>
      </w:r>
      <w:r>
        <w:tab/>
        <w:t>When refund amount must not be claimed</w:t>
      </w:r>
      <w:bookmarkEnd w:id="75"/>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lastRenderedPageBreak/>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r>
        <w:tab/>
        <w:t>[Regulation 4I inserted: Gazette 17 Dec 2019 p. 4319.]</w:t>
      </w:r>
    </w:p>
    <w:p>
      <w:pPr>
        <w:pStyle w:val="Heading3"/>
      </w:pPr>
      <w:bookmarkStart w:id="76" w:name="_Toc98501956"/>
      <w:bookmarkStart w:id="77" w:name="_Toc98502148"/>
      <w:bookmarkStart w:id="78" w:name="_Toc98511379"/>
      <w:r>
        <w:rPr>
          <w:rStyle w:val="CharDivNo"/>
        </w:rPr>
        <w:t>Division 3</w:t>
      </w:r>
      <w:r>
        <w:t> — </w:t>
      </w:r>
      <w:r>
        <w:rPr>
          <w:rStyle w:val="CharDivText"/>
        </w:rPr>
        <w:t>Obligations in relation to refund points</w:t>
      </w:r>
      <w:bookmarkEnd w:id="76"/>
      <w:bookmarkEnd w:id="77"/>
      <w:bookmarkEnd w:id="78"/>
    </w:p>
    <w:p>
      <w:pPr>
        <w:pStyle w:val="Footnoteheading"/>
      </w:pPr>
      <w:r>
        <w:tab/>
        <w:t>[Heading inserted: Gazette 17 Dec 2019 p. 4319.]</w:t>
      </w:r>
    </w:p>
    <w:p>
      <w:pPr>
        <w:pStyle w:val="Heading5"/>
      </w:pPr>
      <w:bookmarkStart w:id="79" w:name="_Toc98511380"/>
      <w:r>
        <w:rPr>
          <w:rStyle w:val="CharSectno"/>
        </w:rPr>
        <w:t>4J</w:t>
      </w:r>
      <w:r>
        <w:t>.</w:t>
      </w:r>
      <w:r>
        <w:tab/>
        <w:t>Refund point operator must keep refund declarations</w:t>
      </w:r>
      <w:bookmarkEnd w:id="79"/>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r>
        <w:tab/>
        <w:t>[Regulation 4J inserted: Gazette 17 Dec 2019 p. 4319-20.]</w:t>
      </w:r>
    </w:p>
    <w:p>
      <w:pPr>
        <w:pStyle w:val="Heading5"/>
      </w:pPr>
      <w:bookmarkStart w:id="80" w:name="_Toc98511381"/>
      <w:r>
        <w:rPr>
          <w:rStyle w:val="CharSectno"/>
        </w:rPr>
        <w:lastRenderedPageBreak/>
        <w:t>4K</w:t>
      </w:r>
      <w:r>
        <w:t>.</w:t>
      </w:r>
      <w:r>
        <w:tab/>
        <w:t>Obligations in relation to refund points other than reverse vending machines</w:t>
      </w:r>
      <w:bookmarkEnd w:id="80"/>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r>
        <w:tab/>
        <w:t>[Regulation 4K inserted: Gazette 17 Dec 2019 p. 4320.]</w:t>
      </w:r>
    </w:p>
    <w:p>
      <w:pPr>
        <w:pStyle w:val="Heading5"/>
      </w:pPr>
      <w:bookmarkStart w:id="81" w:name="_Toc98511382"/>
      <w:r>
        <w:rPr>
          <w:rStyle w:val="CharSectno"/>
        </w:rPr>
        <w:t>4L</w:t>
      </w:r>
      <w:r>
        <w:t>.</w:t>
      </w:r>
      <w:r>
        <w:tab/>
        <w:t>Obligations in relation to reverse vending machines</w:t>
      </w:r>
      <w:bookmarkEnd w:id="81"/>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lastRenderedPageBreak/>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82" w:name="_Toc98501960"/>
      <w:bookmarkStart w:id="83" w:name="_Toc98502152"/>
      <w:bookmarkStart w:id="84" w:name="_Toc98511383"/>
      <w:r>
        <w:rPr>
          <w:rStyle w:val="CharPartNo"/>
        </w:rPr>
        <w:lastRenderedPageBreak/>
        <w:t>Part 2A</w:t>
      </w:r>
      <w:r>
        <w:t> — </w:t>
      </w:r>
      <w:r>
        <w:rPr>
          <w:rStyle w:val="CharPartText"/>
        </w:rPr>
        <w:t>Scheme agreements and scheme participants</w:t>
      </w:r>
      <w:bookmarkEnd w:id="82"/>
      <w:bookmarkEnd w:id="83"/>
      <w:bookmarkEnd w:id="84"/>
    </w:p>
    <w:p>
      <w:pPr>
        <w:pStyle w:val="Footnoteheading"/>
      </w:pPr>
      <w:r>
        <w:tab/>
        <w:t>[Heading inserted: Gazette 17 Dec 2019 p. 4322.]</w:t>
      </w:r>
    </w:p>
    <w:p>
      <w:pPr>
        <w:pStyle w:val="Heading3"/>
      </w:pPr>
      <w:bookmarkStart w:id="85" w:name="_Toc98501961"/>
      <w:bookmarkStart w:id="86" w:name="_Toc98502153"/>
      <w:bookmarkStart w:id="87" w:name="_Toc98511384"/>
      <w:r>
        <w:rPr>
          <w:rStyle w:val="CharDivNo"/>
        </w:rPr>
        <w:t>Division 1</w:t>
      </w:r>
      <w:r>
        <w:t> — </w:t>
      </w:r>
      <w:r>
        <w:rPr>
          <w:rStyle w:val="CharDivText"/>
        </w:rPr>
        <w:t>Scheme agreements</w:t>
      </w:r>
      <w:bookmarkEnd w:id="85"/>
      <w:bookmarkEnd w:id="86"/>
      <w:bookmarkEnd w:id="87"/>
    </w:p>
    <w:p>
      <w:pPr>
        <w:pStyle w:val="Footnoteheading"/>
      </w:pPr>
      <w:r>
        <w:tab/>
        <w:t>[Heading inserted: Gazette 17 Dec 2019 p. 4322.]</w:t>
      </w:r>
    </w:p>
    <w:p>
      <w:pPr>
        <w:pStyle w:val="Heading5"/>
      </w:pPr>
      <w:bookmarkStart w:id="88" w:name="_Toc98511385"/>
      <w:r>
        <w:rPr>
          <w:rStyle w:val="CharSectno"/>
        </w:rPr>
        <w:t>4M</w:t>
      </w:r>
      <w:r>
        <w:t>.</w:t>
      </w:r>
      <w:r>
        <w:tab/>
        <w:t>Terms used</w:t>
      </w:r>
      <w:bookmarkEnd w:id="88"/>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r>
        <w:tab/>
        <w:t>[Regulation 4M inserted: Gazette 17 Dec 2019 p. 4322.]</w:t>
      </w:r>
    </w:p>
    <w:p>
      <w:pPr>
        <w:pStyle w:val="Heading5"/>
      </w:pPr>
      <w:bookmarkStart w:id="89" w:name="_Toc98511386"/>
      <w:r>
        <w:rPr>
          <w:rStyle w:val="CharSectno"/>
        </w:rPr>
        <w:t>4N</w:t>
      </w:r>
      <w:r>
        <w:t>.</w:t>
      </w:r>
      <w:r>
        <w:tab/>
        <w:t>Scheme agreement template</w:t>
      </w:r>
      <w:bookmarkEnd w:id="89"/>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 xml:space="preserve">apply only to certain scheme agreements of that type that are to be entered into, by reference to specified </w:t>
      </w:r>
      <w:r>
        <w:lastRenderedPageBreak/>
        <w:t>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r>
        <w:tab/>
        <w:t>[Regulation 4N inserted: Gazette 17 Dec 2019 p. 4322-4.]</w:t>
      </w:r>
    </w:p>
    <w:p>
      <w:pPr>
        <w:pStyle w:val="Heading5"/>
      </w:pPr>
      <w:bookmarkStart w:id="90" w:name="_Toc98511387"/>
      <w:r>
        <w:rPr>
          <w:rStyle w:val="CharSectno"/>
        </w:rPr>
        <w:lastRenderedPageBreak/>
        <w:t>4O</w:t>
      </w:r>
      <w:r>
        <w:t>.</w:t>
      </w:r>
      <w:r>
        <w:tab/>
        <w:t>Amendment of scheme agreement template</w:t>
      </w:r>
      <w:bookmarkEnd w:id="90"/>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r>
        <w:tab/>
        <w:t>[Regulation 4O inserted: Gazette 17 Dec 2019 p. 4324.]</w:t>
      </w:r>
    </w:p>
    <w:p>
      <w:pPr>
        <w:pStyle w:val="Heading5"/>
      </w:pPr>
      <w:bookmarkStart w:id="91" w:name="_Toc98511388"/>
      <w:r>
        <w:rPr>
          <w:rStyle w:val="CharSectno"/>
        </w:rPr>
        <w:t>4P</w:t>
      </w:r>
      <w:r>
        <w:t>.</w:t>
      </w:r>
      <w:r>
        <w:tab/>
        <w:t>Content and publication of approved scheme agreement template</w:t>
      </w:r>
      <w:bookmarkEnd w:id="91"/>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lastRenderedPageBreak/>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lastRenderedPageBreak/>
        <w:tab/>
        <w:t>(3)</w:t>
      </w:r>
      <w:r>
        <w:tab/>
        <w:t>The Coordinator must publish each approved scheme agreement template on its website.</w:t>
      </w:r>
    </w:p>
    <w:p>
      <w:pPr>
        <w:pStyle w:val="Footnotesection"/>
      </w:pPr>
      <w:r>
        <w:tab/>
        <w:t>[Regulation 4P inserted: Gazette 17 Dec 2019 p. 4324-6.]</w:t>
      </w:r>
    </w:p>
    <w:p>
      <w:pPr>
        <w:pStyle w:val="Heading5"/>
      </w:pPr>
      <w:bookmarkStart w:id="92" w:name="_Toc98511389"/>
      <w:r>
        <w:rPr>
          <w:rStyle w:val="CharSectno"/>
        </w:rPr>
        <w:t>4Q</w:t>
      </w:r>
      <w:r>
        <w:t>.</w:t>
      </w:r>
      <w:r>
        <w:tab/>
        <w:t>Compliance with approved scheme agreement template</w:t>
      </w:r>
      <w:bookmarkEnd w:id="92"/>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r>
        <w:tab/>
        <w:t>[Regulation 4Q inserted: Gazette 17 Dec 2019 p. 4326-7.]</w:t>
      </w:r>
    </w:p>
    <w:p>
      <w:pPr>
        <w:pStyle w:val="Heading5"/>
      </w:pPr>
      <w:bookmarkStart w:id="93" w:name="_Toc98511390"/>
      <w:r>
        <w:rPr>
          <w:rStyle w:val="CharSectno"/>
        </w:rPr>
        <w:lastRenderedPageBreak/>
        <w:t>4R</w:t>
      </w:r>
      <w:r>
        <w:t>.</w:t>
      </w:r>
      <w:r>
        <w:tab/>
        <w:t>Deemed term in scheme agreements</w:t>
      </w:r>
      <w:bookmarkEnd w:id="93"/>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r>
        <w:tab/>
        <w:t>[Regulation 4R inserted: Gazette 17 Dec 2019 p. 4327.]</w:t>
      </w:r>
    </w:p>
    <w:p>
      <w:pPr>
        <w:pStyle w:val="Heading3"/>
      </w:pPr>
      <w:bookmarkStart w:id="94" w:name="_Toc98501968"/>
      <w:bookmarkStart w:id="95" w:name="_Toc98502160"/>
      <w:bookmarkStart w:id="96" w:name="_Toc98511391"/>
      <w:r>
        <w:rPr>
          <w:rStyle w:val="CharDivNo"/>
        </w:rPr>
        <w:t>Division 2</w:t>
      </w:r>
      <w:r>
        <w:t> — </w:t>
      </w:r>
      <w:r>
        <w:rPr>
          <w:rStyle w:val="CharDivText"/>
        </w:rPr>
        <w:t>Supply agreements</w:t>
      </w:r>
      <w:bookmarkEnd w:id="94"/>
      <w:bookmarkEnd w:id="95"/>
      <w:bookmarkEnd w:id="96"/>
    </w:p>
    <w:p>
      <w:pPr>
        <w:pStyle w:val="Footnoteheading"/>
      </w:pPr>
      <w:r>
        <w:tab/>
        <w:t>[Heading inserted: Gazette 17 Dec 2019 p. 4327.]</w:t>
      </w:r>
    </w:p>
    <w:p>
      <w:pPr>
        <w:pStyle w:val="Heading5"/>
      </w:pPr>
      <w:bookmarkStart w:id="97" w:name="_Toc98511392"/>
      <w:r>
        <w:rPr>
          <w:rStyle w:val="CharSectno"/>
        </w:rPr>
        <w:t>4S</w:t>
      </w:r>
      <w:r>
        <w:t>.</w:t>
      </w:r>
      <w:r>
        <w:tab/>
        <w:t>Term used: approved supply amounts calculation methodology</w:t>
      </w:r>
      <w:bookmarkEnd w:id="97"/>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r>
        <w:tab/>
        <w:t>[Regulation 4S inserted: Gazette 17 Dec 2019 p. 4327.]</w:t>
      </w:r>
    </w:p>
    <w:p>
      <w:pPr>
        <w:pStyle w:val="Heading5"/>
      </w:pPr>
      <w:bookmarkStart w:id="98" w:name="_Toc98511393"/>
      <w:r>
        <w:rPr>
          <w:rStyle w:val="CharSectno"/>
        </w:rPr>
        <w:t>4T</w:t>
      </w:r>
      <w:r>
        <w:t>.</w:t>
      </w:r>
      <w:r>
        <w:tab/>
        <w:t>Supply amounts calculation methodology</w:t>
      </w:r>
      <w:bookmarkEnd w:id="98"/>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lastRenderedPageBreak/>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r>
        <w:tab/>
        <w:t>[Regulation 4T inserted: Gazette 17 Dec 2019 p. 4327-8.]</w:t>
      </w:r>
    </w:p>
    <w:p>
      <w:pPr>
        <w:pStyle w:val="Heading5"/>
      </w:pPr>
      <w:bookmarkStart w:id="99" w:name="_Toc98511394"/>
      <w:r>
        <w:rPr>
          <w:rStyle w:val="CharSectno"/>
        </w:rPr>
        <w:t>4U</w:t>
      </w:r>
      <w:r>
        <w:t>.</w:t>
      </w:r>
      <w:r>
        <w:tab/>
        <w:t>Amendment of supply amounts calculation methodology</w:t>
      </w:r>
      <w:bookmarkEnd w:id="99"/>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lastRenderedPageBreak/>
        <w:tab/>
        <w:t>(2)</w:t>
      </w:r>
      <w:r>
        <w:tab/>
        <w:t>An amendment to the supply amounts calculation methodology under subregulation (1) has effect on the date stated in the notice given under subregulation (1).</w:t>
      </w:r>
    </w:p>
    <w:p>
      <w:pPr>
        <w:pStyle w:val="Footnotesection"/>
      </w:pPr>
      <w:r>
        <w:tab/>
        <w:t>[Regulation 4U inserted: Gazette 17 Dec 2019 p. 4329.]</w:t>
      </w:r>
    </w:p>
    <w:p>
      <w:pPr>
        <w:pStyle w:val="Heading5"/>
      </w:pPr>
      <w:bookmarkStart w:id="100" w:name="_Toc98511395"/>
      <w:r>
        <w:rPr>
          <w:rStyle w:val="CharSectno"/>
        </w:rPr>
        <w:t>4V</w:t>
      </w:r>
      <w:r>
        <w:t>.</w:t>
      </w:r>
      <w:r>
        <w:tab/>
        <w:t>Content and publication of approved supply amounts calculation methodology</w:t>
      </w:r>
      <w:bookmarkEnd w:id="100"/>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r>
        <w:tab/>
        <w:t>[Regulation 4V inserted: Gazette 17 Dec 2019 p. 4329-30.]</w:t>
      </w:r>
    </w:p>
    <w:p>
      <w:pPr>
        <w:pStyle w:val="Heading5"/>
      </w:pPr>
      <w:bookmarkStart w:id="101" w:name="_Toc98511396"/>
      <w:r>
        <w:rPr>
          <w:rStyle w:val="CharSectno"/>
        </w:rPr>
        <w:t>4W</w:t>
      </w:r>
      <w:r>
        <w:t>.</w:t>
      </w:r>
      <w:r>
        <w:tab/>
        <w:t>Content of supply agreement</w:t>
      </w:r>
      <w:bookmarkEnd w:id="101"/>
    </w:p>
    <w:p>
      <w:pPr>
        <w:pStyle w:val="Subsection"/>
        <w:keepNext/>
      </w:pPr>
      <w:r>
        <w:tab/>
        <w:t>(1)</w:t>
      </w:r>
      <w:r>
        <w:tab/>
        <w:t xml:space="preserve">For the purposes of section 47O(1)(b) of the Act, the following matters are prescribed as matters that a supply agreement </w:t>
      </w:r>
      <w:r>
        <w:lastRenderedPageBreak/>
        <w:t xml:space="preserve">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r>
        <w:tab/>
        <w:t>[Regulation 4W inserted: Gazette 17 Dec 2019 p. 4330.]</w:t>
      </w:r>
    </w:p>
    <w:p>
      <w:pPr>
        <w:pStyle w:val="Heading3"/>
      </w:pPr>
      <w:bookmarkStart w:id="102" w:name="_Toc98501974"/>
      <w:bookmarkStart w:id="103" w:name="_Toc98502166"/>
      <w:bookmarkStart w:id="104" w:name="_Toc98511397"/>
      <w:r>
        <w:rPr>
          <w:rStyle w:val="CharDivNo"/>
        </w:rPr>
        <w:t>Division 3</w:t>
      </w:r>
      <w:r>
        <w:t> — </w:t>
      </w:r>
      <w:r>
        <w:rPr>
          <w:rStyle w:val="CharDivText"/>
        </w:rPr>
        <w:t>Export rebate agreements</w:t>
      </w:r>
      <w:bookmarkEnd w:id="102"/>
      <w:bookmarkEnd w:id="103"/>
      <w:bookmarkEnd w:id="104"/>
    </w:p>
    <w:p>
      <w:pPr>
        <w:pStyle w:val="Footnoteheading"/>
      </w:pPr>
      <w:r>
        <w:tab/>
        <w:t>[Heading inserted: Gazette 17 Dec 2019 p. 4330.]</w:t>
      </w:r>
    </w:p>
    <w:p>
      <w:pPr>
        <w:pStyle w:val="Heading5"/>
      </w:pPr>
      <w:bookmarkStart w:id="105" w:name="_Toc98511398"/>
      <w:r>
        <w:rPr>
          <w:rStyle w:val="CharSectno"/>
        </w:rPr>
        <w:t>4X</w:t>
      </w:r>
      <w:r>
        <w:t>.</w:t>
      </w:r>
      <w:r>
        <w:tab/>
        <w:t>Term used: export rebate protocol</w:t>
      </w:r>
      <w:bookmarkEnd w:id="105"/>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r>
        <w:tab/>
        <w:t>[Regulation 4X inserted: Gazette 17 Dec 2019 p. 4330.]</w:t>
      </w:r>
    </w:p>
    <w:p>
      <w:pPr>
        <w:pStyle w:val="Heading5"/>
      </w:pPr>
      <w:bookmarkStart w:id="106" w:name="_Toc98511399"/>
      <w:r>
        <w:rPr>
          <w:rStyle w:val="CharSectno"/>
        </w:rPr>
        <w:t>4Y</w:t>
      </w:r>
      <w:r>
        <w:t>.</w:t>
      </w:r>
      <w:r>
        <w:tab/>
        <w:t>Export rebate protocol</w:t>
      </w:r>
      <w:bookmarkEnd w:id="106"/>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lastRenderedPageBreak/>
        <w:tab/>
        <w:t>(b)</w:t>
      </w:r>
      <w:r>
        <w:tab/>
        <w:t>must review the document if the Coordinator or an exporter asks the CEO in writing to review the document.</w:t>
      </w:r>
    </w:p>
    <w:p>
      <w:pPr>
        <w:pStyle w:val="Footnotesection"/>
      </w:pPr>
      <w:r>
        <w:tab/>
        <w:t>[Regulation 4Y inserted: Gazette 17 Dec 2019 p. 4330-1.]</w:t>
      </w:r>
    </w:p>
    <w:p>
      <w:pPr>
        <w:pStyle w:val="Heading5"/>
      </w:pPr>
      <w:bookmarkStart w:id="107" w:name="_Toc98511400"/>
      <w:r>
        <w:rPr>
          <w:rStyle w:val="CharSectno"/>
        </w:rPr>
        <w:t>4Z</w:t>
      </w:r>
      <w:r>
        <w:t>.</w:t>
      </w:r>
      <w:r>
        <w:tab/>
        <w:t>Content of export rebate agreements</w:t>
      </w:r>
      <w:bookmarkEnd w:id="107"/>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r>
        <w:tab/>
        <w:t>[Regulation 4Z inserted: Gazette 17 Dec 2019 p. 4331.]</w:t>
      </w:r>
    </w:p>
    <w:p>
      <w:pPr>
        <w:pStyle w:val="Heading3"/>
      </w:pPr>
      <w:bookmarkStart w:id="108" w:name="_Toc98501978"/>
      <w:bookmarkStart w:id="109" w:name="_Toc98502170"/>
      <w:bookmarkStart w:id="110" w:name="_Toc98511401"/>
      <w:r>
        <w:rPr>
          <w:rStyle w:val="CharDivNo"/>
        </w:rPr>
        <w:lastRenderedPageBreak/>
        <w:t>Division 4</w:t>
      </w:r>
      <w:r>
        <w:t> — </w:t>
      </w:r>
      <w:r>
        <w:rPr>
          <w:rStyle w:val="CharDivText"/>
        </w:rPr>
        <w:t>Refund point agreements</w:t>
      </w:r>
      <w:bookmarkEnd w:id="108"/>
      <w:bookmarkEnd w:id="109"/>
      <w:bookmarkEnd w:id="110"/>
    </w:p>
    <w:p>
      <w:pPr>
        <w:pStyle w:val="Footnoteheading"/>
        <w:keepNext/>
        <w:keepLines/>
      </w:pPr>
      <w:r>
        <w:tab/>
        <w:t>[Heading inserted: Gazette 17 Dec 2019 p. 4332.]</w:t>
      </w:r>
    </w:p>
    <w:p>
      <w:pPr>
        <w:pStyle w:val="Heading5"/>
      </w:pPr>
      <w:bookmarkStart w:id="111" w:name="_Toc98511402"/>
      <w:r>
        <w:rPr>
          <w:rStyle w:val="CharSectno"/>
        </w:rPr>
        <w:t>4ZA</w:t>
      </w:r>
      <w:r>
        <w:t>.</w:t>
      </w:r>
      <w:r>
        <w:tab/>
        <w:t>Content of refund point agreements</w:t>
      </w:r>
      <w:bookmarkEnd w:id="111"/>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lastRenderedPageBreak/>
        <w:tab/>
        <w:t>(i)</w:t>
      </w:r>
      <w:r>
        <w:tab/>
        <w:t>the process if the Coordinator reasonably suspects a fraudulent claim.</w:t>
      </w:r>
    </w:p>
    <w:p>
      <w:pPr>
        <w:pStyle w:val="Footnotesection"/>
      </w:pPr>
      <w:r>
        <w:tab/>
        <w:t>[Regulation 4ZA inserted: Gazette 17 Dec 2019 p. 4332-3.]</w:t>
      </w:r>
    </w:p>
    <w:p>
      <w:pPr>
        <w:pStyle w:val="Heading5"/>
      </w:pPr>
      <w:bookmarkStart w:id="112" w:name="_Toc98511403"/>
      <w:r>
        <w:rPr>
          <w:rStyle w:val="CharSectno"/>
        </w:rPr>
        <w:t>4ZB</w:t>
      </w:r>
      <w:r>
        <w:t>.</w:t>
      </w:r>
      <w:r>
        <w:tab/>
        <w:t>Circumstances in which refund point operator must not claim payment</w:t>
      </w:r>
      <w:bookmarkEnd w:id="112"/>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lastRenderedPageBreak/>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4ZB inserted: Gazette 17 Dec 2019 p. 4333-4.]</w:t>
      </w:r>
    </w:p>
    <w:p>
      <w:pPr>
        <w:pStyle w:val="Heading3"/>
      </w:pPr>
      <w:bookmarkStart w:id="113" w:name="_Toc98501981"/>
      <w:bookmarkStart w:id="114" w:name="_Toc98502173"/>
      <w:bookmarkStart w:id="115" w:name="_Toc98511404"/>
      <w:r>
        <w:rPr>
          <w:rStyle w:val="CharDivNo"/>
        </w:rPr>
        <w:t>Division 5</w:t>
      </w:r>
      <w:r>
        <w:t> — </w:t>
      </w:r>
      <w:r>
        <w:rPr>
          <w:rStyle w:val="CharDivText"/>
        </w:rPr>
        <w:t>Material recovery agreements</w:t>
      </w:r>
      <w:bookmarkEnd w:id="113"/>
      <w:bookmarkEnd w:id="114"/>
      <w:bookmarkEnd w:id="115"/>
    </w:p>
    <w:p>
      <w:pPr>
        <w:pStyle w:val="Footnoteheading"/>
      </w:pPr>
      <w:r>
        <w:tab/>
        <w:t>[Heading inserted: Gazette 17 Dec 2019 p. 4334.]</w:t>
      </w:r>
    </w:p>
    <w:p>
      <w:pPr>
        <w:pStyle w:val="Heading4"/>
      </w:pPr>
      <w:bookmarkStart w:id="116" w:name="_Toc98501982"/>
      <w:bookmarkStart w:id="117" w:name="_Toc98502174"/>
      <w:bookmarkStart w:id="118" w:name="_Toc98511405"/>
      <w:r>
        <w:t>Subdivision 1 — Sampling plans and eligible container factors</w:t>
      </w:r>
      <w:bookmarkEnd w:id="116"/>
      <w:bookmarkEnd w:id="117"/>
      <w:bookmarkEnd w:id="118"/>
    </w:p>
    <w:p>
      <w:pPr>
        <w:pStyle w:val="Footnoteheading"/>
      </w:pPr>
      <w:r>
        <w:tab/>
        <w:t>[Heading inserted: SL 2020/191 r. 7.]</w:t>
      </w:r>
    </w:p>
    <w:p>
      <w:pPr>
        <w:pStyle w:val="Heading5"/>
      </w:pPr>
      <w:bookmarkStart w:id="119" w:name="_Toc98511406"/>
      <w:r>
        <w:rPr>
          <w:rStyle w:val="CharSectno"/>
        </w:rPr>
        <w:t>4ZC</w:t>
      </w:r>
      <w:r>
        <w:t>.</w:t>
      </w:r>
      <w:r>
        <w:tab/>
        <w:t>Terms used</w:t>
      </w:r>
      <w:bookmarkEnd w:id="119"/>
    </w:p>
    <w:p>
      <w:pPr>
        <w:pStyle w:val="Subsection"/>
      </w:pPr>
      <w:r>
        <w:tab/>
      </w:r>
      <w:r>
        <w:tab/>
        <w:t xml:space="preserve">In this Subdivision — </w:t>
      </w:r>
    </w:p>
    <w:p>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r>
        <w:tab/>
        <w:t>[Regulation 4ZC inserted: Gazette 17 Dec 2019 p. 4334-5; amended: SL 2020/191 r. 8.]</w:t>
      </w:r>
    </w:p>
    <w:p>
      <w:pPr>
        <w:pStyle w:val="Heading5"/>
      </w:pPr>
      <w:bookmarkStart w:id="120" w:name="_Toc98511407"/>
      <w:r>
        <w:rPr>
          <w:rStyle w:val="CharSectno"/>
        </w:rPr>
        <w:lastRenderedPageBreak/>
        <w:t>4ZD</w:t>
      </w:r>
      <w:r>
        <w:t>.</w:t>
      </w:r>
      <w:r>
        <w:tab/>
        <w:t>Coordinator to prepare draft sampling plan</w:t>
      </w:r>
      <w:bookmarkEnd w:id="120"/>
    </w:p>
    <w:p>
      <w:pPr>
        <w:pStyle w:val="Subsection"/>
      </w:pPr>
      <w:r>
        <w:tab/>
        <w:t>(1)</w:t>
      </w:r>
      <w:r>
        <w:tab/>
        <w:t>If required by the CEO, the Coordinator must prepare, and give to the CEO within the time specified by the CEO, a draft sampling plan for a recovery amount protocol.</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pPr>
        <w:pStyle w:val="Subsection"/>
      </w:pPr>
      <w:r>
        <w:tab/>
        <w:t>(2A)</w:t>
      </w:r>
      <w:r>
        <w:tab/>
        <w:t xml:space="preserve">The draft sampling plan must also set out the things that the Coordinator proposes that MRF operators be required, or may be required, to do for the purpose of or in relation to — </w:t>
      </w:r>
    </w:p>
    <w:p>
      <w:pPr>
        <w:pStyle w:val="Indenta"/>
      </w:pPr>
      <w:r>
        <w:tab/>
        <w:t>(a)</w:t>
      </w:r>
      <w:r>
        <w:tab/>
        <w:t>determining numbers of containers for the purposes of the recovery amount protocol and verifying any determinations; or</w:t>
      </w:r>
    </w:p>
    <w:p>
      <w:pPr>
        <w:pStyle w:val="Indenta"/>
      </w:pPr>
      <w:r>
        <w:tab/>
        <w:t>(b)</w:t>
      </w:r>
      <w:r>
        <w:tab/>
        <w:t>estimating numbers of containers for the purposes of the recovery amount protocol and verifying any estimates.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w:t>
      </w:r>
      <w:r>
        <w:lastRenderedPageBreak/>
        <w:t xml:space="preserve">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each approved sampling plan on its website.</w:t>
      </w:r>
    </w:p>
    <w:p>
      <w:pPr>
        <w:pStyle w:val="Footnotesection"/>
      </w:pPr>
      <w:r>
        <w:tab/>
        <w:t>[Regulation 4ZD inserted: Gazette 17 Dec 2019 p. 4335-6; amended: SL 2020/191 r. 9.]</w:t>
      </w:r>
    </w:p>
    <w:p>
      <w:pPr>
        <w:pStyle w:val="Heading5"/>
      </w:pPr>
      <w:bookmarkStart w:id="121" w:name="_Toc98511408"/>
      <w:r>
        <w:rPr>
          <w:rStyle w:val="CharSectno"/>
        </w:rPr>
        <w:t>4ZE</w:t>
      </w:r>
      <w:r>
        <w:t>.</w:t>
      </w:r>
      <w:r>
        <w:tab/>
        <w:t>Amendment of approved sampling plan</w:t>
      </w:r>
      <w:bookmarkEnd w:id="121"/>
    </w:p>
    <w:p>
      <w:pPr>
        <w:pStyle w:val="Subsection"/>
      </w:pPr>
      <w:r>
        <w:tab/>
        <w:t>(1)</w:t>
      </w:r>
      <w:r>
        <w:tab/>
        <w:t>If the Coordinator wishes to amend an approved sampling plan, the Coordinator must give the amended approved sampling plan to the CEO.</w:t>
      </w:r>
    </w:p>
    <w:p>
      <w:pPr>
        <w:pStyle w:val="Subsection"/>
      </w:pPr>
      <w:r>
        <w:tab/>
        <w:t>(2)</w:t>
      </w:r>
      <w:r>
        <w:tab/>
        <w:t>An amendment to an approved sampling plan has no effect until the amended approved sampling plan has been approved by the CEO.</w:t>
      </w:r>
    </w:p>
    <w:p>
      <w:pPr>
        <w:pStyle w:val="Footnotesection"/>
      </w:pPr>
      <w:r>
        <w:tab/>
        <w:t>[Regulation 4ZE inserted: Gazette 17 Dec 2019 p. 4336; amended: SL 2020/191 r. 10.]</w:t>
      </w:r>
    </w:p>
    <w:p>
      <w:pPr>
        <w:pStyle w:val="Heading5"/>
      </w:pPr>
      <w:bookmarkStart w:id="122" w:name="_Toc98511409"/>
      <w:r>
        <w:rPr>
          <w:rStyle w:val="CharSectno"/>
        </w:rPr>
        <w:t>4ZF</w:t>
      </w:r>
      <w:r>
        <w:t>.</w:t>
      </w:r>
      <w:r>
        <w:tab/>
        <w:t>Cooperation with sampling</w:t>
      </w:r>
      <w:bookmarkEnd w:id="122"/>
    </w:p>
    <w:p>
      <w:pPr>
        <w:pStyle w:val="Subsection"/>
      </w:pPr>
      <w:r>
        <w:tab/>
      </w:r>
      <w:r>
        <w:tab/>
        <w:t xml:space="preserve">A local government and an MRF operator must — </w:t>
      </w:r>
    </w:p>
    <w:p>
      <w:pPr>
        <w:pStyle w:val="Indenta"/>
      </w:pPr>
      <w:r>
        <w:tab/>
        <w:t>(a)</w:t>
      </w:r>
      <w:r>
        <w:tab/>
        <w:t>cooperate with the conduct of any audit, or other procedure, carried out under an approved sampling plan by an independent auditor;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r>
        <w:tab/>
        <w:t>[Regulation 4ZF inserted: Gazette 17 Dec 2019 p. 4336; amended: SL 2020/191 r. 11.]</w:t>
      </w:r>
    </w:p>
    <w:p>
      <w:pPr>
        <w:pStyle w:val="Heading5"/>
      </w:pPr>
      <w:bookmarkStart w:id="123" w:name="_Toc98511410"/>
      <w:r>
        <w:rPr>
          <w:rStyle w:val="CharSectno"/>
        </w:rPr>
        <w:lastRenderedPageBreak/>
        <w:t>4ZG</w:t>
      </w:r>
      <w:r>
        <w:t>.</w:t>
      </w:r>
      <w:r>
        <w:tab/>
        <w:t>Eligible container factor</w:t>
      </w:r>
      <w:bookmarkEnd w:id="123"/>
    </w:p>
    <w:p>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for the recovery amount protocol;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pPr>
        <w:pStyle w:val="Footnotesection"/>
      </w:pPr>
      <w:r>
        <w:lastRenderedPageBreak/>
        <w:tab/>
        <w:t>[Regulation 4ZG inserted: Gazette 17 Dec 2019 p. 4336-7; amended: SL 2020/191 r. 12.]</w:t>
      </w:r>
    </w:p>
    <w:p>
      <w:pPr>
        <w:pStyle w:val="Heading4"/>
      </w:pPr>
      <w:bookmarkStart w:id="124" w:name="_Toc98501988"/>
      <w:bookmarkStart w:id="125" w:name="_Toc98502180"/>
      <w:bookmarkStart w:id="126" w:name="_Toc98511411"/>
      <w:r>
        <w:t>Subdivision 2 — MRF operators and material recovery agreements</w:t>
      </w:r>
      <w:bookmarkEnd w:id="124"/>
      <w:bookmarkEnd w:id="125"/>
      <w:bookmarkEnd w:id="126"/>
    </w:p>
    <w:p>
      <w:pPr>
        <w:pStyle w:val="Footnoteheading"/>
      </w:pPr>
      <w:r>
        <w:tab/>
        <w:t>[Heading inserted: Gazette 17 Dec 2019 p. 4337.]</w:t>
      </w:r>
    </w:p>
    <w:p>
      <w:pPr>
        <w:pStyle w:val="Heading5"/>
      </w:pPr>
      <w:bookmarkStart w:id="127" w:name="_Toc98511412"/>
      <w:r>
        <w:rPr>
          <w:rStyle w:val="CharSectno"/>
        </w:rPr>
        <w:t>4ZH</w:t>
      </w:r>
      <w:r>
        <w:t>.</w:t>
      </w:r>
      <w:r>
        <w:tab/>
        <w:t>Terms used</w:t>
      </w:r>
      <w:bookmarkEnd w:id="127"/>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r>
        <w:tab/>
        <w:t>[Regulation 4ZH inserted: Gazette 17 Dec 2019 p. 4337.]</w:t>
      </w:r>
    </w:p>
    <w:p>
      <w:pPr>
        <w:pStyle w:val="Heading5"/>
      </w:pPr>
      <w:bookmarkStart w:id="128" w:name="_Toc98511413"/>
      <w:r>
        <w:rPr>
          <w:rStyle w:val="CharSectno"/>
        </w:rPr>
        <w:t>4ZI</w:t>
      </w:r>
      <w:r>
        <w:t>.</w:t>
      </w:r>
      <w:r>
        <w:tab/>
        <w:t>Recovery amount protocol</w:t>
      </w:r>
      <w:bookmarkEnd w:id="128"/>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more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pPr>
        <w:pStyle w:val="Indenta"/>
      </w:pPr>
      <w:r>
        <w:lastRenderedPageBreak/>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r>
        <w:tab/>
        <w:t>[Regulation 4ZI inserted: Gazette 17 Dec 2019 p. 4338-9; amended: SL 2020/191 r. 13.]</w:t>
      </w:r>
    </w:p>
    <w:p>
      <w:pPr>
        <w:pStyle w:val="Heading5"/>
      </w:pPr>
      <w:bookmarkStart w:id="129" w:name="_Toc98511414"/>
      <w:r>
        <w:rPr>
          <w:rStyle w:val="CharSectno"/>
        </w:rPr>
        <w:t>4ZJ</w:t>
      </w:r>
      <w:r>
        <w:t>.</w:t>
      </w:r>
      <w:r>
        <w:tab/>
        <w:t>Content of material recovery agreement</w:t>
      </w:r>
      <w:bookmarkEnd w:id="129"/>
    </w:p>
    <w:p>
      <w:pPr>
        <w:pStyle w:val="Subsection"/>
        <w:keepNext/>
      </w:pPr>
      <w:r>
        <w:tab/>
        <w:t>(1)</w:t>
      </w:r>
      <w:r>
        <w:tab/>
        <w:t xml:space="preserve">For the purposes of section 47R(2)(b) of the Act, the following matters are prescribed as matters that a material recovery </w:t>
      </w:r>
      <w:r>
        <w:lastRenderedPageBreak/>
        <w:t xml:space="preserve">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lastRenderedPageBreak/>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r>
        <w:tab/>
        <w:t>[Regulation 4ZJ inserted: Gazette 17 Dec 2019 p. 4339-40.]</w:t>
      </w:r>
    </w:p>
    <w:p>
      <w:pPr>
        <w:pStyle w:val="Heading5"/>
      </w:pPr>
      <w:bookmarkStart w:id="130" w:name="_Toc98511415"/>
      <w:r>
        <w:rPr>
          <w:rStyle w:val="CharSectno"/>
        </w:rPr>
        <w:t>4ZK</w:t>
      </w:r>
      <w:r>
        <w:rPr>
          <w:b w:val="0"/>
        </w:rPr>
        <w:t>.</w:t>
      </w:r>
      <w:r>
        <w:rPr>
          <w:b w:val="0"/>
        </w:rPr>
        <w:tab/>
      </w:r>
      <w:r>
        <w:t>Circumstances in which MRF operator must not claim recovery amount</w:t>
      </w:r>
      <w:bookmarkEnd w:id="130"/>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lastRenderedPageBreak/>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4ZK inserted: Gazette 17 Dec 2019 p. 4341-2.]</w:t>
      </w:r>
    </w:p>
    <w:p>
      <w:pPr>
        <w:pStyle w:val="Heading5"/>
      </w:pPr>
      <w:bookmarkStart w:id="131" w:name="_Toc98511416"/>
      <w:r>
        <w:rPr>
          <w:rStyle w:val="CharSectno"/>
        </w:rPr>
        <w:t>4ZL</w:t>
      </w:r>
      <w:r>
        <w:t>.</w:t>
      </w:r>
      <w:r>
        <w:tab/>
        <w:t>Audits of MRF operators</w:t>
      </w:r>
      <w:bookmarkEnd w:id="131"/>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lastRenderedPageBreak/>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lastRenderedPageBreak/>
        <w:tab/>
        <w:t>(c)</w:t>
      </w:r>
      <w:r>
        <w:tab/>
        <w:t>provide any information and documents that the auditor requests in connection with the audit.</w:t>
      </w:r>
    </w:p>
    <w:p>
      <w:pPr>
        <w:pStyle w:val="Footnotesection"/>
      </w:pPr>
      <w:r>
        <w:tab/>
        <w:t>[Regulation 4ZL inserted: Gazette 17 Dec 2019 p. 4342-3.]</w:t>
      </w:r>
    </w:p>
    <w:p>
      <w:pPr>
        <w:pStyle w:val="Heading4"/>
      </w:pPr>
      <w:bookmarkStart w:id="132" w:name="_Toc98501994"/>
      <w:bookmarkStart w:id="133" w:name="_Toc98502186"/>
      <w:bookmarkStart w:id="134" w:name="_Toc98511417"/>
      <w:r>
        <w:t>Subdivision 3 — Sharing payments with local governments</w:t>
      </w:r>
      <w:bookmarkEnd w:id="132"/>
      <w:bookmarkEnd w:id="133"/>
      <w:bookmarkEnd w:id="134"/>
    </w:p>
    <w:p>
      <w:pPr>
        <w:pStyle w:val="Footnoteheading"/>
      </w:pPr>
      <w:r>
        <w:tab/>
        <w:t>[Heading inserted: Gazette 17 Dec 2019 p. 4344.]</w:t>
      </w:r>
    </w:p>
    <w:p>
      <w:pPr>
        <w:pStyle w:val="Heading5"/>
      </w:pPr>
      <w:bookmarkStart w:id="135" w:name="_Toc98511418"/>
      <w:r>
        <w:rPr>
          <w:rStyle w:val="CharSectno"/>
        </w:rPr>
        <w:t>4ZM</w:t>
      </w:r>
      <w:r>
        <w:t>.</w:t>
      </w:r>
      <w:r>
        <w:tab/>
        <w:t>Terms used</w:t>
      </w:r>
      <w:bookmarkEnd w:id="135"/>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w:t>
      </w:r>
      <w:r>
        <w:lastRenderedPageBreak/>
        <w:t>containers from kerbsides in one or more local government districts and deliver them to the MRF operator.</w:t>
      </w:r>
    </w:p>
    <w:p>
      <w:pPr>
        <w:pStyle w:val="Footnotesection"/>
      </w:pPr>
      <w:r>
        <w:tab/>
        <w:t>[Regulation 4ZM inserted: Gazette 17 Dec 2019 p. 4344.]</w:t>
      </w:r>
    </w:p>
    <w:p>
      <w:pPr>
        <w:pStyle w:val="Heading5"/>
      </w:pPr>
      <w:bookmarkStart w:id="136" w:name="_Toc98511419"/>
      <w:r>
        <w:rPr>
          <w:rStyle w:val="CharSectno"/>
        </w:rPr>
        <w:t>4ZN</w:t>
      </w:r>
      <w:r>
        <w:t>.</w:t>
      </w:r>
      <w:r>
        <w:tab/>
        <w:t>Local government sharing protocol</w:t>
      </w:r>
      <w:bookmarkEnd w:id="136"/>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r>
        <w:tab/>
        <w:t>[Regulation 4ZN inserted: Gazette 17 Dec 2019 p. 4345.]</w:t>
      </w:r>
    </w:p>
    <w:p>
      <w:pPr>
        <w:pStyle w:val="Heading5"/>
      </w:pPr>
      <w:bookmarkStart w:id="137" w:name="_Toc98511420"/>
      <w:r>
        <w:rPr>
          <w:rStyle w:val="CharSectno"/>
        </w:rPr>
        <w:t>4ZO</w:t>
      </w:r>
      <w:r>
        <w:t>.</w:t>
      </w:r>
      <w:r>
        <w:tab/>
        <w:t>MRF operators to share payments with local governments</w:t>
      </w:r>
      <w:bookmarkEnd w:id="137"/>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w:t>
      </w:r>
      <w:r>
        <w:lastRenderedPageBreak/>
        <w:t xml:space="preserve">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r>
        <w:tab/>
        <w:t>[Regulation 4ZO inserted: Gazette 17 Dec 2019 p. 4345-6.]</w:t>
      </w:r>
    </w:p>
    <w:p>
      <w:pPr>
        <w:pStyle w:val="Heading5"/>
      </w:pPr>
      <w:bookmarkStart w:id="138" w:name="_Toc98511421"/>
      <w:r>
        <w:rPr>
          <w:rStyle w:val="CharSectno"/>
        </w:rPr>
        <w:t>4ZP</w:t>
      </w:r>
      <w:r>
        <w:t>.</w:t>
      </w:r>
      <w:r>
        <w:tab/>
        <w:t>Audits of MRF operators and local governments</w:t>
      </w:r>
      <w:bookmarkEnd w:id="138"/>
    </w:p>
    <w:p>
      <w:pPr>
        <w:pStyle w:val="Subsection"/>
      </w:pPr>
      <w:r>
        <w:tab/>
        <w:t>(1)</w:t>
      </w:r>
      <w:r>
        <w:tab/>
        <w:t xml:space="preserve">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w:t>
      </w:r>
      <w:r>
        <w:lastRenderedPageBreak/>
        <w:t>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139" w:name="_Toc98501999"/>
      <w:bookmarkStart w:id="140" w:name="_Toc98502191"/>
      <w:bookmarkStart w:id="141" w:name="_Toc98511422"/>
      <w:r>
        <w:rPr>
          <w:rStyle w:val="CharPartNo"/>
        </w:rPr>
        <w:lastRenderedPageBreak/>
        <w:t>Part 3</w:t>
      </w:r>
      <w:r>
        <w:t> — </w:t>
      </w:r>
      <w:r>
        <w:rPr>
          <w:rStyle w:val="CharPartText"/>
        </w:rPr>
        <w:t>Coordinator of the scheme</w:t>
      </w:r>
      <w:bookmarkEnd w:id="139"/>
      <w:bookmarkEnd w:id="140"/>
      <w:bookmarkEnd w:id="141"/>
    </w:p>
    <w:p>
      <w:pPr>
        <w:pStyle w:val="Heading3"/>
      </w:pPr>
      <w:bookmarkStart w:id="142" w:name="_Toc98502000"/>
      <w:bookmarkStart w:id="143" w:name="_Toc98502192"/>
      <w:bookmarkStart w:id="144" w:name="_Toc98511423"/>
      <w:r>
        <w:rPr>
          <w:rStyle w:val="CharDivNo"/>
        </w:rPr>
        <w:t>Division 1</w:t>
      </w:r>
      <w:r>
        <w:t> — </w:t>
      </w:r>
      <w:r>
        <w:rPr>
          <w:rStyle w:val="CharDivText"/>
        </w:rPr>
        <w:t>Appointment of Coordinator of the scheme</w:t>
      </w:r>
      <w:bookmarkEnd w:id="142"/>
      <w:bookmarkEnd w:id="143"/>
      <w:bookmarkEnd w:id="144"/>
    </w:p>
    <w:p>
      <w:pPr>
        <w:pStyle w:val="Heading5"/>
      </w:pPr>
      <w:bookmarkStart w:id="145" w:name="_Toc98511424"/>
      <w:r>
        <w:rPr>
          <w:rStyle w:val="CharSectno"/>
        </w:rPr>
        <w:t>5</w:t>
      </w:r>
      <w:r>
        <w:t>.</w:t>
      </w:r>
      <w:r>
        <w:tab/>
        <w:t>Approval of board members</w:t>
      </w:r>
      <w:bookmarkEnd w:id="145"/>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146" w:name="_Toc98511425"/>
      <w:r>
        <w:rPr>
          <w:rStyle w:val="CharSectno"/>
        </w:rPr>
        <w:t>6</w:t>
      </w:r>
      <w:r>
        <w:t>.</w:t>
      </w:r>
      <w:r>
        <w:tab/>
        <w:t>Conditions of appointment of Coordinator</w:t>
      </w:r>
      <w:bookmarkEnd w:id="146"/>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147" w:name="_Toc98511426"/>
      <w:r>
        <w:rPr>
          <w:rStyle w:val="CharSectno"/>
        </w:rPr>
        <w:t>7</w:t>
      </w:r>
      <w:r>
        <w:t>.</w:t>
      </w:r>
      <w:r>
        <w:tab/>
        <w:t>Functions of Coordinator</w:t>
      </w:r>
      <w:bookmarkEnd w:id="147"/>
    </w:p>
    <w:p>
      <w:pPr>
        <w:pStyle w:val="Subsection"/>
      </w:pPr>
      <w:r>
        <w:tab/>
        <w:t>(1)</w:t>
      </w:r>
      <w:r>
        <w:tab/>
        <w:t>In carrying out any of its functions the Coordinator must endeavour to achieve the objects of Part 5A of the Act.</w:t>
      </w:r>
    </w:p>
    <w:p>
      <w:pPr>
        <w:pStyle w:val="Subsection"/>
      </w:pPr>
      <w:r>
        <w:lastRenderedPageBreak/>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148" w:name="_Toc98511427"/>
      <w:r>
        <w:rPr>
          <w:rStyle w:val="CharSectno"/>
        </w:rPr>
        <w:lastRenderedPageBreak/>
        <w:t>7A</w:t>
      </w:r>
      <w:r>
        <w:t>.</w:t>
      </w:r>
      <w:r>
        <w:tab/>
        <w:t>Performance of Coordinator’s functions in relation to contracts</w:t>
      </w:r>
      <w:bookmarkEnd w:id="148"/>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a subsidiary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Work Health and Safety Act 2020</w:t>
      </w:r>
      <w:r>
        <w:t>.</w:t>
      </w:r>
    </w:p>
    <w:p>
      <w:pPr>
        <w:pStyle w:val="Footnotesection"/>
      </w:pPr>
      <w:r>
        <w:tab/>
        <w:t>[Regulation 7A inserted: Gazette 17 Dec 2019 p. 4348-9; amended: SL 2020/191 r. 14; SL 2022/25 r. 9.]</w:t>
      </w:r>
    </w:p>
    <w:p>
      <w:pPr>
        <w:pStyle w:val="Heading5"/>
      </w:pPr>
      <w:bookmarkStart w:id="149" w:name="_Toc98511428"/>
      <w:r>
        <w:rPr>
          <w:rStyle w:val="CharSectno"/>
        </w:rPr>
        <w:t>8</w:t>
      </w:r>
      <w:r>
        <w:t>.</w:t>
      </w:r>
      <w:r>
        <w:tab/>
        <w:t>Performance of Coordinator’s functions in relation to refund points</w:t>
      </w:r>
      <w:bookmarkEnd w:id="149"/>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lastRenderedPageBreak/>
        <w:tab/>
        <w:t>(2)</w:t>
      </w:r>
      <w:r>
        <w:tab/>
        <w:t>If the Coordinator refuses to enter into a refund point agreement with a person, the Coordinator must provide the person and the CEO with written reasons for the refusal.</w:t>
      </w:r>
    </w:p>
    <w:p>
      <w:pPr>
        <w:pStyle w:val="Heading5"/>
      </w:pPr>
      <w:bookmarkStart w:id="150" w:name="_Toc98511429"/>
      <w:r>
        <w:rPr>
          <w:rStyle w:val="CharSectno"/>
        </w:rPr>
        <w:t>9</w:t>
      </w:r>
      <w:r>
        <w:t>.</w:t>
      </w:r>
      <w:r>
        <w:tab/>
        <w:t>Performance of Coordinator’s functions in relation to recycling</w:t>
      </w:r>
      <w:bookmarkEnd w:id="150"/>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r>
        <w:tab/>
        <w:t>[Regulation 9 inserted: Gazette 17 Dec 2019 p. 4349-50.]</w:t>
      </w:r>
    </w:p>
    <w:p>
      <w:pPr>
        <w:pStyle w:val="Heading5"/>
      </w:pPr>
      <w:bookmarkStart w:id="151" w:name="_Toc98511430"/>
      <w:r>
        <w:rPr>
          <w:rStyle w:val="CharSectno"/>
        </w:rPr>
        <w:lastRenderedPageBreak/>
        <w:t>9A</w:t>
      </w:r>
      <w:r>
        <w:t>.</w:t>
      </w:r>
      <w:r>
        <w:tab/>
        <w:t>Performance of Coordinator’s functions in relation to verification and recycling</w:t>
      </w:r>
      <w:bookmarkEnd w:id="151"/>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152" w:name="_Toc98502008"/>
      <w:bookmarkStart w:id="153" w:name="_Toc98502200"/>
      <w:bookmarkStart w:id="154" w:name="_Toc98511431"/>
      <w:r>
        <w:rPr>
          <w:rStyle w:val="CharDivNo"/>
        </w:rPr>
        <w:t>Division 2</w:t>
      </w:r>
      <w:r>
        <w:t> — </w:t>
      </w:r>
      <w:r>
        <w:rPr>
          <w:rStyle w:val="CharDivText"/>
        </w:rPr>
        <w:t>Coordinator performance targets</w:t>
      </w:r>
      <w:bookmarkEnd w:id="152"/>
      <w:bookmarkEnd w:id="153"/>
      <w:bookmarkEnd w:id="154"/>
    </w:p>
    <w:p>
      <w:pPr>
        <w:pStyle w:val="Heading5"/>
      </w:pPr>
      <w:bookmarkStart w:id="155" w:name="_Toc98511432"/>
      <w:r>
        <w:rPr>
          <w:rStyle w:val="CharSectno"/>
        </w:rPr>
        <w:t>10</w:t>
      </w:r>
      <w:r>
        <w:t>.</w:t>
      </w:r>
      <w:r>
        <w:tab/>
        <w:t>Container recovery rate: preliminary years</w:t>
      </w:r>
      <w:bookmarkEnd w:id="155"/>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pPr>
        <w:pStyle w:val="Defpara"/>
      </w:pPr>
      <w:r>
        <w:tab/>
        <w:t>(b)</w:t>
      </w:r>
      <w:r>
        <w:tab/>
        <w:t>the financial year starting on 1 July 2021;</w:t>
      </w:r>
    </w:p>
    <w:p>
      <w:pPr>
        <w:pStyle w:val="Defpara"/>
      </w:pPr>
      <w:r>
        <w:tab/>
        <w:t>(c)</w:t>
      </w:r>
      <w:r>
        <w:tab/>
        <w:t>the financial year starting on 1 July 2022.</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pPr>
        <w:pStyle w:val="Indenta"/>
      </w:pPr>
      <w:r>
        <w:lastRenderedPageBreak/>
        <w:tab/>
        <w:t>(b)</w:t>
      </w:r>
      <w:r>
        <w:tab/>
        <w:t>for the preliminary year starting on 1 July 2021 — 1 June 2021; and</w:t>
      </w:r>
    </w:p>
    <w:p>
      <w:pPr>
        <w:pStyle w:val="Indenta"/>
      </w:pPr>
      <w:r>
        <w:tab/>
        <w:t>(c)</w:t>
      </w:r>
      <w:r>
        <w:tab/>
        <w:t>for the preliminary year starting on 1 July 2022 — 1 June 2022.</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pPr>
      <w:r>
        <w:tab/>
        <w:t>[Regulation 10 amended: SL 2020/191 r. 15.]</w:t>
      </w:r>
    </w:p>
    <w:p>
      <w:pPr>
        <w:pStyle w:val="Heading5"/>
      </w:pPr>
      <w:bookmarkStart w:id="156" w:name="_Toc98511433"/>
      <w:r>
        <w:rPr>
          <w:rStyle w:val="CharSectno"/>
        </w:rPr>
        <w:t>11</w:t>
      </w:r>
      <w:r>
        <w:t>.</w:t>
      </w:r>
      <w:r>
        <w:tab/>
        <w:t>Container recovery rate: other years</w:t>
      </w:r>
      <w:bookmarkEnd w:id="156"/>
    </w:p>
    <w:p>
      <w:pPr>
        <w:pStyle w:val="Subsection"/>
      </w:pPr>
      <w:r>
        <w:tab/>
      </w:r>
      <w:r>
        <w:tab/>
        <w:t xml:space="preserve">The Coordinator must achieve a container recovery rate of at least 85% for — </w:t>
      </w:r>
    </w:p>
    <w:p>
      <w:pPr>
        <w:pStyle w:val="Indenta"/>
      </w:pPr>
      <w:r>
        <w:tab/>
        <w:t>(a)</w:t>
      </w:r>
      <w:r>
        <w:tab/>
        <w:t>the financial year starting on 1 July 2023; and</w:t>
      </w:r>
    </w:p>
    <w:p>
      <w:pPr>
        <w:pStyle w:val="Indenta"/>
      </w:pPr>
      <w:r>
        <w:tab/>
        <w:t>(b)</w:t>
      </w:r>
      <w:r>
        <w:tab/>
        <w:t>each later financial year.</w:t>
      </w:r>
    </w:p>
    <w:p>
      <w:pPr>
        <w:pStyle w:val="Penstart"/>
      </w:pPr>
      <w:r>
        <w:tab/>
        <w:t>Civil penalty: $25 000.</w:t>
      </w:r>
    </w:p>
    <w:p>
      <w:pPr>
        <w:pStyle w:val="Footnotesection"/>
      </w:pPr>
      <w:r>
        <w:tab/>
        <w:t>[Regulation 11 amended: SL 2020/191 r. 16.]</w:t>
      </w:r>
    </w:p>
    <w:p>
      <w:pPr>
        <w:pStyle w:val="Heading5"/>
      </w:pPr>
      <w:bookmarkStart w:id="157" w:name="_Toc98511434"/>
      <w:r>
        <w:rPr>
          <w:rStyle w:val="CharSectno"/>
        </w:rPr>
        <w:t>12</w:t>
      </w:r>
      <w:r>
        <w:t>.</w:t>
      </w:r>
      <w:r>
        <w:tab/>
        <w:t>Accessibility and coverage of refund points</w:t>
      </w:r>
      <w:bookmarkEnd w:id="157"/>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lastRenderedPageBreak/>
        <w:tab/>
        <w:t>(3)</w:t>
      </w:r>
      <w:r>
        <w:tab/>
        <w:t>The Coordinator must comply with each requirement contained in the Minimum Network Standards.</w:t>
      </w:r>
    </w:p>
    <w:p>
      <w:pPr>
        <w:pStyle w:val="Penstart"/>
      </w:pPr>
      <w:r>
        <w:tab/>
        <w:t>Civil penalty: $25 000.</w:t>
      </w:r>
    </w:p>
    <w:p>
      <w:pPr>
        <w:pStyle w:val="Footnotesection"/>
      </w:pPr>
      <w:r>
        <w:tab/>
        <w:t>[Regulation 12 amended: Gazette 17 Dec 2019 p. 4350.]</w:t>
      </w:r>
    </w:p>
    <w:p>
      <w:pPr>
        <w:pStyle w:val="Heading3"/>
      </w:pPr>
      <w:bookmarkStart w:id="158" w:name="_Toc98502012"/>
      <w:bookmarkStart w:id="159" w:name="_Toc98502204"/>
      <w:bookmarkStart w:id="160" w:name="_Toc98511435"/>
      <w:r>
        <w:rPr>
          <w:rStyle w:val="CharDivNo"/>
        </w:rPr>
        <w:t>Division 3</w:t>
      </w:r>
      <w:r>
        <w:t> — </w:t>
      </w:r>
      <w:r>
        <w:rPr>
          <w:rStyle w:val="CharDivText"/>
        </w:rPr>
        <w:t>Reporting by Coordinator</w:t>
      </w:r>
      <w:bookmarkEnd w:id="158"/>
      <w:bookmarkEnd w:id="159"/>
      <w:bookmarkEnd w:id="160"/>
    </w:p>
    <w:p>
      <w:pPr>
        <w:pStyle w:val="Heading5"/>
      </w:pPr>
      <w:bookmarkStart w:id="161" w:name="_Toc98511436"/>
      <w:r>
        <w:rPr>
          <w:rStyle w:val="CharSectno"/>
        </w:rPr>
        <w:t>13</w:t>
      </w:r>
      <w:r>
        <w:t>.</w:t>
      </w:r>
      <w:r>
        <w:tab/>
        <w:t>Coordinator website</w:t>
      </w:r>
      <w:bookmarkEnd w:id="161"/>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162" w:name="_Toc98511437"/>
      <w:r>
        <w:rPr>
          <w:rStyle w:val="CharSectno"/>
        </w:rPr>
        <w:t>14</w:t>
      </w:r>
      <w:r>
        <w:t>.</w:t>
      </w:r>
      <w:r>
        <w:tab/>
        <w:t>Notice to Minister of adverse matters</w:t>
      </w:r>
      <w:bookmarkEnd w:id="162"/>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163" w:name="_Toc98511438"/>
      <w:r>
        <w:rPr>
          <w:rStyle w:val="CharSectno"/>
        </w:rPr>
        <w:lastRenderedPageBreak/>
        <w:t>15</w:t>
      </w:r>
      <w:r>
        <w:t>.</w:t>
      </w:r>
      <w:r>
        <w:tab/>
        <w:t>Annual report</w:t>
      </w:r>
      <w:bookmarkEnd w:id="163"/>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lastRenderedPageBreak/>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164" w:name="_Toc98511439"/>
      <w:r>
        <w:rPr>
          <w:rStyle w:val="CharSectno"/>
        </w:rPr>
        <w:t>16</w:t>
      </w:r>
      <w:r>
        <w:t>.</w:t>
      </w:r>
      <w:r>
        <w:tab/>
        <w:t>Quarterly report</w:t>
      </w:r>
      <w:bookmarkEnd w:id="164"/>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lastRenderedPageBreak/>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165" w:name="_Toc98511440"/>
      <w:r>
        <w:rPr>
          <w:rStyle w:val="CharSectno"/>
        </w:rPr>
        <w:t>17</w:t>
      </w:r>
      <w:r>
        <w:t>.</w:t>
      </w:r>
      <w:r>
        <w:tab/>
        <w:t>Minister may require reports for periods of less than 3 months</w:t>
      </w:r>
      <w:bookmarkEnd w:id="165"/>
    </w:p>
    <w:p>
      <w:pPr>
        <w:pStyle w:val="Subsection"/>
      </w:pPr>
      <w:r>
        <w:tab/>
        <w:t>(1)</w:t>
      </w:r>
      <w:r>
        <w:tab/>
        <w:t xml:space="preserve">The Minister may, by written notice, require the Coordinator to give the Minister a report about its operations for a period </w:t>
      </w:r>
      <w:r>
        <w:lastRenderedPageBreak/>
        <w:t xml:space="preserve">specified in the notice (the </w:t>
      </w:r>
      <w:r>
        <w:rPr>
          <w:rStyle w:val="CharDefText"/>
        </w:rPr>
        <w:t>specified period</w:t>
      </w:r>
      <w:r>
        <w:t>) that is less than 3 months.</w:t>
      </w:r>
    </w:p>
    <w:p>
      <w:pPr>
        <w:pStyle w:val="Subsection"/>
      </w:pPr>
      <w:r>
        <w:tab/>
        <w:t>(2)</w:t>
      </w:r>
      <w:r>
        <w:tab/>
        <w:t xml:space="preserve">The report must — </w:t>
      </w:r>
    </w:p>
    <w:p>
      <w:pPr>
        <w:pStyle w:val="Indenta"/>
      </w:pPr>
      <w:r>
        <w:tab/>
        <w:t>(a)</w:t>
      </w:r>
      <w:r>
        <w:tab/>
        <w:t xml:space="preserve">subject to subregulation (3), be given to the Minister within 20 business days after — </w:t>
      </w:r>
    </w:p>
    <w:p>
      <w:pPr>
        <w:pStyle w:val="Indenti"/>
      </w:pPr>
      <w:r>
        <w:tab/>
        <w:t>(i)</w:t>
      </w:r>
      <w:r>
        <w:tab/>
        <w:t>the last day of the specified period; or</w:t>
      </w:r>
    </w:p>
    <w:p>
      <w:pPr>
        <w:pStyle w:val="Indenti"/>
      </w:pPr>
      <w:r>
        <w:tab/>
        <w:t>(ii)</w:t>
      </w:r>
      <w:r>
        <w:tab/>
        <w:t>if the Minister’s notice is given to the Coordinator after the end of the specified period — the day on which the Minister’s notice is given to the Coordinator;</w:t>
      </w:r>
    </w:p>
    <w:p>
      <w:pPr>
        <w:pStyle w:val="Indenta"/>
      </w:pPr>
      <w:r>
        <w:tab/>
      </w:r>
      <w:r>
        <w:tab/>
        <w:t>and</w:t>
      </w:r>
    </w:p>
    <w:p>
      <w:pPr>
        <w:pStyle w:val="Indenta"/>
      </w:pPr>
      <w:r>
        <w:tab/>
        <w:t>(b)</w:t>
      </w:r>
      <w:r>
        <w:tab/>
        <w:t>be given to the Minister in a manner approved by the Minister; and</w:t>
      </w:r>
    </w:p>
    <w:p>
      <w:pPr>
        <w:pStyle w:val="Indenta"/>
      </w:pPr>
      <w:r>
        <w:tab/>
        <w:t>(c)</w:t>
      </w:r>
      <w:r>
        <w:tab/>
        <w:t xml:space="preserve">include the following information — </w:t>
      </w:r>
    </w:p>
    <w:p>
      <w:pPr>
        <w:pStyle w:val="Indenti"/>
      </w:pPr>
      <w:r>
        <w:tab/>
        <w:t>(i)</w:t>
      </w:r>
      <w:r>
        <w:tab/>
        <w:t>if the specified period is 1 month — the information that the Reporting Code specifies must be included in a report for 1 month;</w:t>
      </w:r>
    </w:p>
    <w:p>
      <w:pPr>
        <w:pStyle w:val="Indenti"/>
      </w:pPr>
      <w:r>
        <w:tab/>
        <w:t>(ii)</w:t>
      </w:r>
      <w:r>
        <w:tab/>
        <w:t>in any other case — the information that the Minister’s notice specifies must be included;</w:t>
      </w:r>
    </w:p>
    <w:p>
      <w:pPr>
        <w:pStyle w:val="Indenta"/>
      </w:pPr>
      <w:r>
        <w:tab/>
      </w:r>
      <w:r>
        <w:tab/>
        <w:t>and</w:t>
      </w:r>
    </w:p>
    <w:p>
      <w:pPr>
        <w:pStyle w:val="Indenta"/>
      </w:pPr>
      <w:r>
        <w:tab/>
        <w:t>(d)</w:t>
      </w:r>
      <w:r>
        <w:tab/>
        <w:t>be signed by the chief executive officer (however described) of the Coordinator.</w:t>
      </w:r>
    </w:p>
    <w:p>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pPr>
        <w:pStyle w:val="Footnotesection"/>
      </w:pPr>
      <w:r>
        <w:tab/>
        <w:t>[Regulation 17 inserted: SL 2020/191 r. 17.]</w:t>
      </w:r>
    </w:p>
    <w:p>
      <w:pPr>
        <w:pStyle w:val="Heading5"/>
      </w:pPr>
      <w:bookmarkStart w:id="166" w:name="_Toc98511441"/>
      <w:r>
        <w:rPr>
          <w:rStyle w:val="CharSectno"/>
        </w:rPr>
        <w:lastRenderedPageBreak/>
        <w:t>18</w:t>
      </w:r>
      <w:r>
        <w:t>.</w:t>
      </w:r>
      <w:r>
        <w:tab/>
        <w:t>Website reporting</w:t>
      </w:r>
      <w:bookmarkEnd w:id="166"/>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167" w:name="_Toc98511442"/>
      <w:r>
        <w:rPr>
          <w:rStyle w:val="CharSectno"/>
        </w:rPr>
        <w:t>19</w:t>
      </w:r>
      <w:r>
        <w:t>.</w:t>
      </w:r>
      <w:r>
        <w:tab/>
        <w:t>Coordinator must obtain required information from subsidiary or contractor</w:t>
      </w:r>
      <w:bookmarkEnd w:id="167"/>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Pr>
      <w:bookmarkStart w:id="168" w:name="_Toc98502020"/>
      <w:bookmarkStart w:id="169" w:name="_Toc98502212"/>
      <w:bookmarkStart w:id="170" w:name="_Toc98511443"/>
      <w:r>
        <w:rPr>
          <w:rStyle w:val="CharDivNo"/>
        </w:rPr>
        <w:lastRenderedPageBreak/>
        <w:t>Division 4</w:t>
      </w:r>
      <w:r>
        <w:t> — </w:t>
      </w:r>
      <w:r>
        <w:rPr>
          <w:rStyle w:val="CharDivText"/>
        </w:rPr>
        <w:t>Scheme Account</w:t>
      </w:r>
      <w:bookmarkEnd w:id="168"/>
      <w:bookmarkEnd w:id="169"/>
      <w:bookmarkEnd w:id="170"/>
    </w:p>
    <w:p>
      <w:pPr>
        <w:pStyle w:val="Heading5"/>
      </w:pPr>
      <w:bookmarkStart w:id="171" w:name="_Toc98511444"/>
      <w:r>
        <w:rPr>
          <w:rStyle w:val="CharSectno"/>
        </w:rPr>
        <w:t>20</w:t>
      </w:r>
      <w:r>
        <w:t>.</w:t>
      </w:r>
      <w:r>
        <w:tab/>
        <w:t>Scheme funds</w:t>
      </w:r>
      <w:bookmarkEnd w:id="171"/>
    </w:p>
    <w:p>
      <w:pPr>
        <w:pStyle w:val="Subsection"/>
      </w:pPr>
      <w:r>
        <w:tab/>
        <w:t>(1)</w:t>
      </w:r>
      <w:r>
        <w:tab/>
        <w:t xml:space="preserve">In this regulation — </w:t>
      </w:r>
    </w:p>
    <w:p>
      <w:pPr>
        <w:pStyle w:val="Defstart"/>
      </w:pPr>
      <w:r>
        <w:tab/>
      </w:r>
      <w:r>
        <w:rPr>
          <w:rStyle w:val="CharDefText"/>
        </w:rPr>
        <w:t>approved recycler</w:t>
      </w:r>
      <w:r>
        <w:t xml:space="preserve"> means a person who is an approved recycler under regulation 9.</w:t>
      </w:r>
    </w:p>
    <w:p>
      <w:pPr>
        <w:pStyle w:val="Subsection"/>
        <w:keepNext/>
      </w:pPr>
      <w:r>
        <w:tab/>
        <w:t>(2)</w:t>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(ba)</w:t>
      </w:r>
      <w:r>
        <w:tab/>
        <w:t>any amount received by the Coordinator, or by any of its subsidiaries, from an approved recycler in respect of the sale of containers for the purpose of the containers being recycled;</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pPr>
        <w:pStyle w:val="Indenta"/>
      </w:pPr>
      <w:r>
        <w:tab/>
        <w:t>(ca)</w:t>
      </w:r>
      <w:r>
        <w:tab/>
        <w:t xml:space="preserve">any amount that is refunded under the </w:t>
      </w:r>
      <w:r>
        <w:rPr>
          <w:i/>
        </w:rPr>
        <w:t>A New Tax System (Goods and Services Tax) Act 1999</w:t>
      </w:r>
      <w:r>
        <w:t xml:space="preserv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lastRenderedPageBreak/>
        <w:tab/>
        <w:t>(cb)</w:t>
      </w:r>
      <w:r>
        <w:tab/>
        <w:t xml:space="preserve">any amount of interest, in respect of the late payment of a refund referred to in paragraph (ca), paid on behalf of the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(d)</w:t>
      </w:r>
      <w:r>
        <w:tab/>
        <w:t>any interest earned on money in the Scheme Account;</w:t>
      </w:r>
    </w:p>
    <w:p>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 SL 2020/191 r. 18.]</w:t>
      </w:r>
    </w:p>
    <w:p>
      <w:pPr>
        <w:pStyle w:val="Heading3"/>
      </w:pPr>
      <w:bookmarkStart w:id="172" w:name="_Toc98502022"/>
      <w:bookmarkStart w:id="173" w:name="_Toc98502214"/>
      <w:bookmarkStart w:id="174" w:name="_Toc98511445"/>
      <w:r>
        <w:rPr>
          <w:rStyle w:val="CharDivNo"/>
        </w:rPr>
        <w:t>Division 5</w:t>
      </w:r>
      <w:r>
        <w:t> — </w:t>
      </w:r>
      <w:r>
        <w:rPr>
          <w:rStyle w:val="CharDivText"/>
        </w:rPr>
        <w:t>Ministerial directions</w:t>
      </w:r>
      <w:bookmarkEnd w:id="172"/>
      <w:bookmarkEnd w:id="173"/>
      <w:bookmarkEnd w:id="174"/>
    </w:p>
    <w:p>
      <w:pPr>
        <w:pStyle w:val="Heading5"/>
      </w:pPr>
      <w:bookmarkStart w:id="175" w:name="_Toc98511446"/>
      <w:r>
        <w:rPr>
          <w:rStyle w:val="CharSectno"/>
        </w:rPr>
        <w:t>21</w:t>
      </w:r>
      <w:r>
        <w:t>.</w:t>
      </w:r>
      <w:r>
        <w:tab/>
        <w:t>Term used: direction</w:t>
      </w:r>
      <w:bookmarkEnd w:id="175"/>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176" w:name="_Toc98511447"/>
      <w:r>
        <w:rPr>
          <w:rStyle w:val="CharSectno"/>
        </w:rPr>
        <w:t>22</w:t>
      </w:r>
      <w:r>
        <w:t>.</w:t>
      </w:r>
      <w:r>
        <w:tab/>
        <w:t>Content of direction</w:t>
      </w:r>
      <w:bookmarkEnd w:id="176"/>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lastRenderedPageBreak/>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177" w:name="_Toc98511448"/>
      <w:r>
        <w:rPr>
          <w:rStyle w:val="CharSectno"/>
        </w:rPr>
        <w:t>23</w:t>
      </w:r>
      <w:r>
        <w:t>.</w:t>
      </w:r>
      <w:r>
        <w:tab/>
        <w:t>Form of direction</w:t>
      </w:r>
      <w:bookmarkEnd w:id="177"/>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178" w:name="_Toc98511449"/>
      <w:r>
        <w:rPr>
          <w:rStyle w:val="CharSectno"/>
        </w:rPr>
        <w:t>24</w:t>
      </w:r>
      <w:r>
        <w:t>.</w:t>
      </w:r>
      <w:r>
        <w:tab/>
        <w:t>Grounds for giving direction</w:t>
      </w:r>
      <w:bookmarkEnd w:id="178"/>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lastRenderedPageBreak/>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179" w:name="_Toc98511450"/>
      <w:r>
        <w:rPr>
          <w:rStyle w:val="CharSectno"/>
        </w:rPr>
        <w:t>25</w:t>
      </w:r>
      <w:r>
        <w:t>.</w:t>
      </w:r>
      <w:r>
        <w:tab/>
        <w:t>Process for giving direction</w:t>
      </w:r>
      <w:bookmarkEnd w:id="179"/>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w:t>
      </w:r>
      <w:r>
        <w:lastRenderedPageBreak/>
        <w:t xml:space="preserve">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180" w:name="_Toc98511451"/>
      <w:r>
        <w:rPr>
          <w:rStyle w:val="CharSectno"/>
        </w:rPr>
        <w:t>26</w:t>
      </w:r>
      <w:r>
        <w:t>.</w:t>
      </w:r>
      <w:r>
        <w:tab/>
        <w:t>Urgent direction may be given immediately</w:t>
      </w:r>
      <w:bookmarkEnd w:id="18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Pr>
      <w:bookmarkStart w:id="181" w:name="_Toc98502029"/>
      <w:bookmarkStart w:id="182" w:name="_Toc98502221"/>
      <w:bookmarkStart w:id="183" w:name="_Toc98511452"/>
      <w:r>
        <w:rPr>
          <w:rStyle w:val="CharDivNo"/>
        </w:rPr>
        <w:lastRenderedPageBreak/>
        <w:t>Division 6</w:t>
      </w:r>
      <w:r>
        <w:t> — </w:t>
      </w:r>
      <w:r>
        <w:rPr>
          <w:rStyle w:val="CharDivText"/>
        </w:rPr>
        <w:t>Amendment, administration and revocation</w:t>
      </w:r>
      <w:bookmarkEnd w:id="181"/>
      <w:bookmarkEnd w:id="182"/>
      <w:bookmarkEnd w:id="183"/>
    </w:p>
    <w:p>
      <w:pPr>
        <w:pStyle w:val="Heading5"/>
      </w:pPr>
      <w:bookmarkStart w:id="184" w:name="_Toc98511453"/>
      <w:r>
        <w:rPr>
          <w:rStyle w:val="CharSectno"/>
        </w:rPr>
        <w:t>27</w:t>
      </w:r>
      <w:r>
        <w:t>.</w:t>
      </w:r>
      <w:r>
        <w:tab/>
        <w:t>Grounds for appointing administrator or revoking appointment of Coordinator</w:t>
      </w:r>
      <w:bookmarkEnd w:id="184"/>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lastRenderedPageBreak/>
        <w:tab/>
        <w:t>[Regulation 27 amended: Gazette 17 Dec 2019 p. 4353.]</w:t>
      </w:r>
    </w:p>
    <w:p>
      <w:pPr>
        <w:pStyle w:val="Heading5"/>
      </w:pPr>
      <w:bookmarkStart w:id="185" w:name="_Toc98511454"/>
      <w:r>
        <w:rPr>
          <w:rStyle w:val="CharSectno"/>
        </w:rPr>
        <w:t>28</w:t>
      </w:r>
      <w:r>
        <w:t>.</w:t>
      </w:r>
      <w:r>
        <w:tab/>
        <w:t>Process for amendment, administration or revocation by request</w:t>
      </w:r>
      <w:bookmarkEnd w:id="185"/>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186" w:name="_Toc98511455"/>
      <w:r>
        <w:rPr>
          <w:rStyle w:val="CharSectno"/>
        </w:rPr>
        <w:t>29</w:t>
      </w:r>
      <w:r>
        <w:t>.</w:t>
      </w:r>
      <w:r>
        <w:tab/>
        <w:t>Process for amendment, administration or revocation by Minister’s initiative</w:t>
      </w:r>
      <w:bookmarkEnd w:id="186"/>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lastRenderedPageBreak/>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lastRenderedPageBreak/>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187" w:name="_Toc98511456"/>
      <w:r>
        <w:rPr>
          <w:rStyle w:val="CharSectno"/>
        </w:rPr>
        <w:t>30</w:t>
      </w:r>
      <w:r>
        <w:t>.</w:t>
      </w:r>
      <w:r>
        <w:tab/>
        <w:t>Immediate appointment of administrator</w:t>
      </w:r>
      <w:bookmarkEnd w:id="187"/>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lastRenderedPageBreak/>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lastRenderedPageBreak/>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188" w:name="_Toc98511457"/>
      <w:r>
        <w:rPr>
          <w:rStyle w:val="CharSectno"/>
        </w:rPr>
        <w:t>31</w:t>
      </w:r>
      <w:r>
        <w:t>.</w:t>
      </w:r>
      <w:r>
        <w:tab/>
        <w:t>Publication of amendment, administration or revocation</w:t>
      </w:r>
      <w:bookmarkEnd w:id="188"/>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189" w:name="_Toc98511458"/>
      <w:r>
        <w:rPr>
          <w:rStyle w:val="CharSectno"/>
        </w:rPr>
        <w:t>32</w:t>
      </w:r>
      <w:r>
        <w:t>.</w:t>
      </w:r>
      <w:r>
        <w:tab/>
        <w:t>Interim Coordinator and Scheme Account</w:t>
      </w:r>
      <w:bookmarkEnd w:id="189"/>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190" w:name="_Toc98502036"/>
      <w:bookmarkStart w:id="191" w:name="_Toc98502228"/>
      <w:bookmarkStart w:id="192" w:name="_Toc98511459"/>
      <w:r>
        <w:rPr>
          <w:rStyle w:val="CharDivNo"/>
        </w:rPr>
        <w:lastRenderedPageBreak/>
        <w:t>Division 7</w:t>
      </w:r>
      <w:r>
        <w:t> — </w:t>
      </w:r>
      <w:r>
        <w:rPr>
          <w:rStyle w:val="CharDivText"/>
        </w:rPr>
        <w:t>Transitional arrangements</w:t>
      </w:r>
      <w:bookmarkEnd w:id="190"/>
      <w:bookmarkEnd w:id="191"/>
      <w:bookmarkEnd w:id="192"/>
    </w:p>
    <w:p>
      <w:pPr>
        <w:pStyle w:val="Footnoteheading"/>
      </w:pPr>
      <w:r>
        <w:tab/>
        <w:t>[Heading inserted: Gazette 17 Dec 2019 p. 4353.]</w:t>
      </w:r>
    </w:p>
    <w:p>
      <w:pPr>
        <w:pStyle w:val="Heading5"/>
      </w:pPr>
      <w:bookmarkStart w:id="193" w:name="_Toc98511460"/>
      <w:r>
        <w:rPr>
          <w:rStyle w:val="CharSectno"/>
        </w:rPr>
        <w:t>32A</w:t>
      </w:r>
      <w:r>
        <w:t>.</w:t>
      </w:r>
      <w:r>
        <w:tab/>
        <w:t>Compliance with transition out plan</w:t>
      </w:r>
      <w:bookmarkEnd w:id="193"/>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r>
        <w:tab/>
        <w:t>[Regulation 32A inserted: Gazette 17 Dec 2019 p. 4353-4.]</w:t>
      </w:r>
    </w:p>
    <w:p>
      <w:pPr>
        <w:pStyle w:val="Heading5"/>
      </w:pPr>
      <w:bookmarkStart w:id="194" w:name="_Toc98511461"/>
      <w:r>
        <w:rPr>
          <w:rStyle w:val="CharSectno"/>
        </w:rPr>
        <w:t>32B</w:t>
      </w:r>
      <w:r>
        <w:t>.</w:t>
      </w:r>
      <w:r>
        <w:tab/>
        <w:t>Transition costs</w:t>
      </w:r>
      <w:bookmarkEnd w:id="194"/>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lastRenderedPageBreak/>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195" w:name="_Toc98502039"/>
      <w:bookmarkStart w:id="196" w:name="_Toc98502231"/>
      <w:bookmarkStart w:id="197" w:name="_Toc98511462"/>
      <w:r>
        <w:rPr>
          <w:rStyle w:val="CharPartNo"/>
        </w:rPr>
        <w:lastRenderedPageBreak/>
        <w:t>Part 4</w:t>
      </w:r>
      <w:r>
        <w:t> — </w:t>
      </w:r>
      <w:r>
        <w:rPr>
          <w:rStyle w:val="CharPartText"/>
        </w:rPr>
        <w:t>Miscellaneous</w:t>
      </w:r>
      <w:bookmarkEnd w:id="195"/>
      <w:bookmarkEnd w:id="196"/>
      <w:bookmarkEnd w:id="197"/>
    </w:p>
    <w:p>
      <w:pPr>
        <w:pStyle w:val="Heading3"/>
      </w:pPr>
      <w:bookmarkStart w:id="198" w:name="_Toc98502040"/>
      <w:bookmarkStart w:id="199" w:name="_Toc98502232"/>
      <w:bookmarkStart w:id="200" w:name="_Toc98511463"/>
      <w:r>
        <w:rPr>
          <w:rStyle w:val="CharDivNo"/>
        </w:rPr>
        <w:t>Division 1</w:t>
      </w:r>
      <w:r>
        <w:t> — </w:t>
      </w:r>
      <w:r>
        <w:rPr>
          <w:rStyle w:val="CharDivText"/>
        </w:rPr>
        <w:t>Civil penalty provisions</w:t>
      </w:r>
      <w:bookmarkEnd w:id="198"/>
      <w:bookmarkEnd w:id="199"/>
      <w:bookmarkEnd w:id="200"/>
    </w:p>
    <w:p>
      <w:pPr>
        <w:pStyle w:val="Heading5"/>
      </w:pPr>
      <w:bookmarkStart w:id="201" w:name="_Toc98511464"/>
      <w:r>
        <w:rPr>
          <w:rStyle w:val="CharSectno"/>
        </w:rPr>
        <w:t>33</w:t>
      </w:r>
      <w:r>
        <w:t>.</w:t>
      </w:r>
      <w:r>
        <w:tab/>
        <w:t>Terms used</w:t>
      </w:r>
      <w:bookmarkEnd w:id="201"/>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202" w:name="_Toc98511465"/>
      <w:r>
        <w:rPr>
          <w:rStyle w:val="CharSectno"/>
        </w:rPr>
        <w:t>34</w:t>
      </w:r>
      <w:r>
        <w:t>.</w:t>
      </w:r>
      <w:r>
        <w:tab/>
        <w:t>Civil penalty provisions prescribed</w:t>
      </w:r>
      <w:bookmarkEnd w:id="202"/>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lastRenderedPageBreak/>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203" w:name="_Toc98511466"/>
      <w:r>
        <w:rPr>
          <w:rStyle w:val="CharSectno"/>
        </w:rPr>
        <w:t>35</w:t>
      </w:r>
      <w:r>
        <w:t>.</w:t>
      </w:r>
      <w:r>
        <w:tab/>
        <w:t>Court may make orders if person has contravened civil penalty provision</w:t>
      </w:r>
      <w:bookmarkEnd w:id="203"/>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204" w:name="_Toc98511467"/>
      <w:r>
        <w:rPr>
          <w:rStyle w:val="CharSectno"/>
        </w:rPr>
        <w:lastRenderedPageBreak/>
        <w:t>36</w:t>
      </w:r>
      <w:r>
        <w:t>.</w:t>
      </w:r>
      <w:r>
        <w:tab/>
        <w:t>Warning notice in respect of application for civil penalty order</w:t>
      </w:r>
      <w:bookmarkEnd w:id="204"/>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205" w:name="_Toc98511468"/>
      <w:r>
        <w:rPr>
          <w:rStyle w:val="CharSectno"/>
        </w:rPr>
        <w:t>37</w:t>
      </w:r>
      <w:r>
        <w:t>.</w:t>
      </w:r>
      <w:r>
        <w:tab/>
        <w:t>Proceedings for civil penalty order</w:t>
      </w:r>
      <w:bookmarkEnd w:id="205"/>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lastRenderedPageBreak/>
        <w:tab/>
        <w:t>(3)</w:t>
      </w:r>
      <w:r>
        <w:tab/>
        <w:t>The court must apply the rules of evidence and procedure for civil matters when hearing proceedings for a civil penalty order.</w:t>
      </w:r>
    </w:p>
    <w:p>
      <w:pPr>
        <w:pStyle w:val="Heading5"/>
      </w:pPr>
      <w:bookmarkStart w:id="206" w:name="_Toc98511469"/>
      <w:r>
        <w:rPr>
          <w:rStyle w:val="CharSectno"/>
        </w:rPr>
        <w:t>38</w:t>
      </w:r>
      <w:r>
        <w:t>.</w:t>
      </w:r>
      <w:r>
        <w:tab/>
        <w:t>Enforcement of civil penalty order</w:t>
      </w:r>
      <w:bookmarkEnd w:id="206"/>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207" w:name="_Toc98502047"/>
      <w:bookmarkStart w:id="208" w:name="_Toc98502239"/>
      <w:bookmarkStart w:id="209" w:name="_Toc98511470"/>
      <w:r>
        <w:rPr>
          <w:rStyle w:val="CharDivNo"/>
        </w:rPr>
        <w:t>Division 2</w:t>
      </w:r>
      <w:r>
        <w:t> — </w:t>
      </w:r>
      <w:r>
        <w:rPr>
          <w:rStyle w:val="CharDivText"/>
        </w:rPr>
        <w:t>Miscellaneous</w:t>
      </w:r>
      <w:bookmarkEnd w:id="207"/>
      <w:bookmarkEnd w:id="208"/>
      <w:bookmarkEnd w:id="209"/>
    </w:p>
    <w:p>
      <w:pPr>
        <w:pStyle w:val="Footnoteheading"/>
      </w:pPr>
      <w:r>
        <w:tab/>
        <w:t>[Heading inserted: Gazette 17 Dec 2019 p. 4356.]</w:t>
      </w:r>
    </w:p>
    <w:p>
      <w:pPr>
        <w:pStyle w:val="Heading5"/>
      </w:pPr>
      <w:bookmarkStart w:id="210" w:name="_Toc98511471"/>
      <w:r>
        <w:rPr>
          <w:rStyle w:val="CharSectno"/>
        </w:rPr>
        <w:t>39</w:t>
      </w:r>
      <w:r>
        <w:t>.</w:t>
      </w:r>
      <w:r>
        <w:tab/>
        <w:t>Performance audit by CEO</w:t>
      </w:r>
      <w:bookmarkEnd w:id="210"/>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r>
        <w:tab/>
        <w:t>[Regulation 39 inserted: Gazette 17 Dec 2019 p. 4356.]</w:t>
      </w:r>
    </w:p>
    <w:p>
      <w:pPr>
        <w:pStyle w:val="Heading5"/>
      </w:pPr>
      <w:bookmarkStart w:id="211" w:name="_Toc98511472"/>
      <w:r>
        <w:rPr>
          <w:rStyle w:val="CharSectno"/>
        </w:rPr>
        <w:lastRenderedPageBreak/>
        <w:t>40</w:t>
      </w:r>
      <w:r>
        <w:t>.</w:t>
      </w:r>
      <w:r>
        <w:tab/>
        <w:t>Disclosure of information by CEO</w:t>
      </w:r>
      <w:bookmarkEnd w:id="211"/>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lastRenderedPageBreak/>
        <w:tab/>
        <w:t>(4)</w:t>
      </w:r>
      <w:r>
        <w:tab/>
        <w:t>The CEO must consider any written submissions made by the person within the submission period.</w:t>
      </w:r>
    </w:p>
    <w:p>
      <w:pPr>
        <w:pStyle w:val="Footnotesection"/>
      </w:pPr>
      <w:r>
        <w:tab/>
        <w:t>[Regulation 40 inserted: Gazette 17 Dec 2019 p. 4356-7.]</w:t>
      </w:r>
    </w:p>
    <w:p>
      <w:pPr>
        <w:pStyle w:val="Heading5"/>
      </w:pPr>
      <w:bookmarkStart w:id="212" w:name="_Toc98511473"/>
      <w:r>
        <w:rPr>
          <w:rStyle w:val="CharSectno"/>
        </w:rPr>
        <w:t>41</w:t>
      </w:r>
      <w:r>
        <w:t>.</w:t>
      </w:r>
      <w:r>
        <w:tab/>
        <w:t>Transition period for displaying refund mark on containers</w:t>
      </w:r>
      <w:bookmarkEnd w:id="212"/>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213" w:name="_Toc98502051"/>
      <w:bookmarkStart w:id="214" w:name="_Toc98502243"/>
      <w:bookmarkStart w:id="215" w:name="_Toc98511474"/>
      <w:r>
        <w:lastRenderedPageBreak/>
        <w:t>Notes</w:t>
      </w:r>
      <w:bookmarkEnd w:id="213"/>
      <w:bookmarkEnd w:id="214"/>
      <w:bookmarkEnd w:id="215"/>
    </w:p>
    <w:p>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w:t>
      </w:r>
    </w:p>
    <w:p>
      <w:pPr>
        <w:pStyle w:val="nHeading3"/>
      </w:pPr>
      <w:bookmarkStart w:id="216" w:name="_Toc98511475"/>
      <w:r>
        <w:t>Compilation table</w:t>
      </w:r>
      <w:bookmarkEnd w:id="2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c>
          <w:tcPr>
            <w:tcW w:w="3118" w:type="dxa"/>
            <w:tcBorders>
              <w:top w:val="nil"/>
              <w:bottom w:val="nil"/>
            </w:tcBorders>
          </w:tcPr>
          <w:p>
            <w:pPr>
              <w:pStyle w:val="nTable"/>
              <w:spacing w:after="40"/>
              <w:rPr>
                <w:i/>
                <w:noProof/>
              </w:rPr>
            </w:pPr>
            <w:r>
              <w:rPr>
                <w:i/>
              </w:rPr>
              <w:t>Waste Avoidance and Resource Recovery (Container Deposit Scheme) Amendment Regulations 2020</w:t>
            </w:r>
          </w:p>
        </w:tc>
        <w:tc>
          <w:tcPr>
            <w:tcW w:w="1276" w:type="dxa"/>
            <w:tcBorders>
              <w:top w:val="nil"/>
              <w:bottom w:val="nil"/>
            </w:tcBorders>
          </w:tcPr>
          <w:p>
            <w:pPr>
              <w:pStyle w:val="nTable"/>
              <w:spacing w:after="40"/>
            </w:pPr>
            <w:r>
              <w:t>SL 2020/191 9 Oct 2020</w:t>
            </w:r>
          </w:p>
        </w:tc>
        <w:tc>
          <w:tcPr>
            <w:tcW w:w="2693" w:type="dxa"/>
            <w:tcBorders>
              <w:top w:val="nil"/>
              <w:bottom w:val="nil"/>
            </w:tcBorders>
          </w:tcPr>
          <w:p>
            <w:pPr>
              <w:pStyle w:val="nTable"/>
              <w:spacing w:after="40"/>
            </w:pPr>
            <w:r>
              <w:t>r. 1 and 2: 9 Oct 2020 (see r. 2(a));</w:t>
            </w:r>
            <w:r>
              <w:br/>
              <w:t>Regulations other than r. 1 and 2: 10 Oct 2020 (see r. 2(b))</w:t>
            </w:r>
          </w:p>
        </w:tc>
      </w:tr>
      <w:tr>
        <w:tc>
          <w:tcPr>
            <w:tcW w:w="3118" w:type="dxa"/>
            <w:tcBorders>
              <w:top w:val="nil"/>
              <w:bottom w:val="single" w:sz="4" w:space="0" w:color="auto"/>
            </w:tcBorders>
          </w:tcPr>
          <w:p>
            <w:pPr>
              <w:pStyle w:val="nTable"/>
              <w:spacing w:after="40"/>
              <w:rPr>
                <w:i/>
              </w:rPr>
            </w:pPr>
            <w:r>
              <w:rPr>
                <w:i/>
              </w:rPr>
              <w:t>Environment Regulations Amendment (Work Health and Safety) Regulations 2022</w:t>
            </w:r>
            <w:r>
              <w:t xml:space="preserve"> Pt. 3</w:t>
            </w:r>
          </w:p>
        </w:tc>
        <w:tc>
          <w:tcPr>
            <w:tcW w:w="1276" w:type="dxa"/>
            <w:tcBorders>
              <w:top w:val="nil"/>
              <w:bottom w:val="single" w:sz="4" w:space="0" w:color="auto"/>
            </w:tcBorders>
          </w:tcPr>
          <w:p>
            <w:pPr>
              <w:pStyle w:val="nTable"/>
              <w:spacing w:after="40"/>
            </w:pPr>
            <w:r>
              <w:t>SL 2022/25 11 Mar 2022</w:t>
            </w:r>
          </w:p>
        </w:tc>
        <w:tc>
          <w:tcPr>
            <w:tcW w:w="2693" w:type="dxa"/>
            <w:tcBorders>
              <w:top w:val="nil"/>
              <w:bottom w:val="single" w:sz="4" w:space="0" w:color="auto"/>
            </w:tcBorders>
          </w:tcPr>
          <w:p>
            <w:pPr>
              <w:pStyle w:val="nTable"/>
              <w:spacing w:after="40"/>
            </w:pPr>
            <w:r>
              <w:t>31 Mar 2022 (see r. 2(b) and SL 2022/18 cl. 2)</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218" w:name="_Toc98502054"/>
      <w:bookmarkStart w:id="219" w:name="_Toc98502245"/>
      <w:bookmarkStart w:id="220" w:name="_Toc98511476"/>
      <w:r>
        <w:rPr>
          <w:sz w:val="28"/>
        </w:rPr>
        <w:lastRenderedPageBreak/>
        <w:t>Defined terms</w:t>
      </w:r>
      <w:bookmarkEnd w:id="218"/>
      <w:bookmarkEnd w:id="219"/>
      <w:bookmarkEnd w:id="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alternative action</w:t>
      </w:r>
      <w:r>
        <w:tab/>
        <w:t>3S(4), 3S(4), 3T(1), 29(4)</w:t>
      </w:r>
    </w:p>
    <w:p>
      <w:pPr>
        <w:pStyle w:val="DefinedTerms"/>
      </w:pPr>
      <w:r>
        <w:t>annual report</w:t>
      </w:r>
      <w:r>
        <w:tab/>
        <w:t>15(1)</w:t>
      </w:r>
    </w:p>
    <w:p>
      <w:pPr>
        <w:pStyle w:val="DefinedTerms"/>
      </w:pPr>
      <w:r>
        <w:t>approved beverage product</w:t>
      </w:r>
      <w:r>
        <w:tab/>
        <w:t>3(1A)</w:t>
      </w:r>
    </w:p>
    <w:p>
      <w:pPr>
        <w:pStyle w:val="DefinedTerms"/>
      </w:pPr>
      <w:r>
        <w:t>approved recycler</w:t>
      </w:r>
      <w:r>
        <w:tab/>
        <w:t>9(1), 20(1)</w:t>
      </w:r>
    </w:p>
    <w:p>
      <w:pPr>
        <w:pStyle w:val="DefinedTerms"/>
      </w:pPr>
      <w:r>
        <w:t>approved sampling plan</w:t>
      </w:r>
      <w:r>
        <w:tab/>
        <w:t>4ZC</w:t>
      </w:r>
    </w:p>
    <w:p>
      <w:pPr>
        <w:pStyle w:val="DefinedTerms"/>
      </w:pPr>
      <w:r>
        <w:t>approved scheme agreement template</w:t>
      </w:r>
      <w:r>
        <w:tab/>
        <w:t>4M</w:t>
      </w:r>
    </w:p>
    <w:p>
      <w:pPr>
        <w:pStyle w:val="DefinedTerms"/>
      </w:pPr>
      <w:r>
        <w:t>approved supply amounts calculation methodology</w:t>
      </w:r>
      <w:r>
        <w:tab/>
        <w:t>4S</w:t>
      </w:r>
    </w:p>
    <w:p>
      <w:pPr>
        <w:pStyle w:val="DefinedTerms"/>
      </w:pPr>
      <w:r>
        <w:t>bale</w:t>
      </w:r>
      <w:r>
        <w:tab/>
        <w:t>3(1)</w:t>
      </w:r>
    </w:p>
    <w:p>
      <w:pPr>
        <w:pStyle w:val="DefinedTerms"/>
      </w:pPr>
      <w:r>
        <w:t>beverage product class</w:t>
      </w:r>
      <w:r>
        <w:tab/>
        <w:t>3F(2)</w:t>
      </w:r>
    </w:p>
    <w:p>
      <w:pPr>
        <w:pStyle w:val="DefinedTerms"/>
      </w:pPr>
      <w:r>
        <w:t>bottle crushing machine</w:t>
      </w:r>
      <w:r>
        <w:tab/>
        <w:t>3(1)</w:t>
      </w:r>
    </w:p>
    <w:p>
      <w:pPr>
        <w:pStyle w:val="DefinedTerms"/>
      </w:pPr>
      <w:r>
        <w:t>bottle crushing machine operator</w:t>
      </w:r>
      <w:r>
        <w:tab/>
        <w:t>4ZL(1)</w:t>
      </w:r>
    </w:p>
    <w:p>
      <w:pPr>
        <w:pStyle w:val="DefinedTerms"/>
      </w:pPr>
      <w:r>
        <w:t>bottle crushing service business</w:t>
      </w:r>
      <w:r>
        <w:tab/>
        <w:t>3(1)</w:t>
      </w:r>
    </w:p>
    <w:p>
      <w:pPr>
        <w:pStyle w:val="DefinedTerms"/>
      </w:pPr>
      <w:r>
        <w:t>bulk claim arrangement</w:t>
      </w:r>
      <w:r>
        <w:tab/>
        <w:t>4E(1)</w:t>
      </w:r>
    </w:p>
    <w:p>
      <w:pPr>
        <w:pStyle w:val="DefinedTerms"/>
      </w:pPr>
      <w:r>
        <w:t>bulk quantity</w:t>
      </w:r>
      <w:r>
        <w:tab/>
        <w:t>4E(1)</w:t>
      </w:r>
    </w:p>
    <w:p>
      <w:pPr>
        <w:pStyle w:val="DefinedTerms"/>
      </w:pPr>
      <w:r>
        <w:t>business day</w:t>
      </w:r>
      <w:r>
        <w:tab/>
        <w:t>3(1)</w:t>
      </w:r>
    </w:p>
    <w:p>
      <w:pPr>
        <w:pStyle w:val="DefinedTerms"/>
      </w:pPr>
      <w:r>
        <w:t>business plan</w:t>
      </w:r>
      <w:r>
        <w:tab/>
        <w:t>3(1)</w:t>
      </w:r>
    </w:p>
    <w:p>
      <w:pPr>
        <w:pStyle w:val="DefinedTerms"/>
      </w:pPr>
      <w:r>
        <w:t>civil penalty</w:t>
      </w:r>
      <w:r>
        <w:tab/>
        <w:t>33</w:t>
      </w:r>
    </w:p>
    <w:p>
      <w:pPr>
        <w:pStyle w:val="DefinedTerms"/>
      </w:pPr>
      <w:r>
        <w:t>civil penalty order</w:t>
      </w:r>
      <w:r>
        <w:tab/>
        <w:t>33</w:t>
      </w:r>
    </w:p>
    <w:p>
      <w:pPr>
        <w:pStyle w:val="DefinedTerms"/>
      </w:pPr>
      <w:r>
        <w:t>civil penalty provision</w:t>
      </w:r>
      <w:r>
        <w:tab/>
        <w:t>33</w:t>
      </w:r>
    </w:p>
    <w:p>
      <w:pPr>
        <w:pStyle w:val="DefinedTerms"/>
      </w:pPr>
      <w:r>
        <w:t>collection network</w:t>
      </w:r>
      <w:r>
        <w:tab/>
        <w:t>3(1)</w:t>
      </w:r>
    </w:p>
    <w:p>
      <w:pPr>
        <w:pStyle w:val="DefinedTerms"/>
      </w:pPr>
      <w:r>
        <w:t>common transaction platform</w:t>
      </w:r>
      <w:r>
        <w:tab/>
        <w:t>3(1), 9A</w:t>
      </w:r>
    </w:p>
    <w:p>
      <w:pPr>
        <w:pStyle w:val="DefinedTerms"/>
      </w:pPr>
      <w:r>
        <w:t>container recovery rate</w:t>
      </w:r>
      <w:r>
        <w:tab/>
        <w:t>3(1)</w:t>
      </w:r>
    </w:p>
    <w:p>
      <w:pPr>
        <w:pStyle w:val="DefinedTerms"/>
      </w:pPr>
      <w:r>
        <w:t>contaminated container</w:t>
      </w:r>
      <w:r>
        <w:tab/>
        <w:t>4C(1), 4G(1)</w:t>
      </w:r>
    </w:p>
    <w:p>
      <w:pPr>
        <w:pStyle w:val="DefinedTerms"/>
      </w:pPr>
      <w:r>
        <w:t>contract bottler</w:t>
      </w:r>
      <w:r>
        <w:tab/>
        <w:t>3E(1)</w:t>
      </w:r>
    </w:p>
    <w:p>
      <w:pPr>
        <w:pStyle w:val="DefinedTerms"/>
      </w:pPr>
      <w:r>
        <w:t>contract counterparty</w:t>
      </w:r>
      <w:r>
        <w:tab/>
        <w:t>3E(1)</w:t>
      </w:r>
    </w:p>
    <w:p>
      <w:pPr>
        <w:pStyle w:val="DefinedTerms"/>
      </w:pPr>
      <w:r>
        <w:t>cordial</w:t>
      </w:r>
      <w:r>
        <w:tab/>
        <w:t>3A(1)</w:t>
      </w:r>
    </w:p>
    <w:p>
      <w:pPr>
        <w:pStyle w:val="DefinedTerms"/>
      </w:pPr>
      <w:r>
        <w:t>counterparty</w:t>
      </w:r>
      <w:r>
        <w:tab/>
        <w:t>4M, 4V(1), 4W(1), 4ZA</w:t>
      </w:r>
    </w:p>
    <w:p>
      <w:pPr>
        <w:pStyle w:val="DefinedTerms"/>
      </w:pPr>
      <w:r>
        <w:t>court</w:t>
      </w:r>
      <w:r>
        <w:tab/>
        <w:t>33</w:t>
      </w:r>
    </w:p>
    <w:p>
      <w:pPr>
        <w:pStyle w:val="DefinedTerms"/>
      </w:pPr>
      <w:r>
        <w:t>damaged container</w:t>
      </w:r>
      <w:r>
        <w:tab/>
        <w:t>4C(1)</w:t>
      </w:r>
    </w:p>
    <w:p>
      <w:pPr>
        <w:pStyle w:val="DefinedTerms"/>
      </w:pPr>
      <w:r>
        <w:t>direction</w:t>
      </w:r>
      <w:r>
        <w:tab/>
        <w:t>21</w:t>
      </w:r>
    </w:p>
    <w:p>
      <w:pPr>
        <w:pStyle w:val="DefinedTerms"/>
      </w:pPr>
      <w:r>
        <w:t>eligible container factor</w:t>
      </w:r>
      <w:r>
        <w:tab/>
        <w:t>4ZH</w:t>
      </w:r>
    </w:p>
    <w:p>
      <w:pPr>
        <w:pStyle w:val="DefinedTerms"/>
      </w:pPr>
      <w:r>
        <w:t>equivalent approval</w:t>
      </w:r>
      <w:r>
        <w:tab/>
        <w:t>3F(1)</w:t>
      </w:r>
    </w:p>
    <w:p>
      <w:pPr>
        <w:pStyle w:val="DefinedTerms"/>
      </w:pPr>
      <w:r>
        <w:t>executive officer</w:t>
      </w:r>
      <w:r>
        <w:tab/>
        <w:t>3(1)</w:t>
      </w:r>
    </w:p>
    <w:p>
      <w:pPr>
        <w:pStyle w:val="DefinedTerms"/>
      </w:pPr>
      <w:r>
        <w:t>export rebate protocol</w:t>
      </w:r>
      <w:r>
        <w:tab/>
        <w:t>4X, 4Y(1)</w:t>
      </w:r>
    </w:p>
    <w:p>
      <w:pPr>
        <w:pStyle w:val="DefinedTerms"/>
      </w:pPr>
      <w:r>
        <w:t>fermented milk product</w:t>
      </w:r>
      <w:r>
        <w:tab/>
        <w:t>3A(1)</w:t>
      </w:r>
    </w:p>
    <w:p>
      <w:pPr>
        <w:pStyle w:val="DefinedTerms"/>
      </w:pPr>
      <w:r>
        <w:t>first supplier agreement</w:t>
      </w:r>
      <w:r>
        <w:tab/>
        <w:t>3E(2)</w:t>
      </w:r>
    </w:p>
    <w:p>
      <w:pPr>
        <w:pStyle w:val="DefinedTerms"/>
      </w:pPr>
      <w:r>
        <w:t>flavoured milk</w:t>
      </w:r>
      <w:r>
        <w:tab/>
        <w:t>3A(1), 3B(1)</w:t>
      </w:r>
    </w:p>
    <w:p>
      <w:pPr>
        <w:pStyle w:val="DefinedTerms"/>
      </w:pPr>
      <w:r>
        <w:t>flavouring</w:t>
      </w:r>
      <w:r>
        <w:tab/>
        <w:t>3A(1), 3B(1)</w:t>
      </w:r>
    </w:p>
    <w:p>
      <w:pPr>
        <w:pStyle w:val="DefinedTerms"/>
      </w:pPr>
      <w:r>
        <w:t>growler</w:t>
      </w:r>
      <w:r>
        <w:tab/>
        <w:t>3B(1)</w:t>
      </w:r>
    </w:p>
    <w:p>
      <w:pPr>
        <w:pStyle w:val="DefinedTerms"/>
      </w:pPr>
      <w:r>
        <w:t>GS1 Standard</w:t>
      </w:r>
      <w:r>
        <w:tab/>
        <w:t>3H(1)</w:t>
      </w:r>
    </w:p>
    <w:p>
      <w:pPr>
        <w:pStyle w:val="DefinedTerms"/>
      </w:pPr>
      <w:r>
        <w:lastRenderedPageBreak/>
        <w:t>GTIN barcode</w:t>
      </w:r>
      <w:r>
        <w:tab/>
        <w:t>3H(1)</w:t>
      </w:r>
    </w:p>
    <w:p>
      <w:pPr>
        <w:pStyle w:val="DefinedTerms"/>
      </w:pPr>
      <w:r>
        <w:t>incoming Coordinator</w:t>
      </w:r>
      <w:r>
        <w:tab/>
        <w:t>20(2), 32B(1)</w:t>
      </w:r>
    </w:p>
    <w:p>
      <w:pPr>
        <w:pStyle w:val="DefinedTerms"/>
      </w:pPr>
      <w:r>
        <w:t>initial period</w:t>
      </w:r>
      <w:r>
        <w:tab/>
        <w:t>16(1)</w:t>
      </w:r>
    </w:p>
    <w:p>
      <w:pPr>
        <w:pStyle w:val="DefinedTerms"/>
      </w:pPr>
      <w:r>
        <w:t>local government sharing protocol</w:t>
      </w:r>
      <w:r>
        <w:tab/>
        <w:t>4ZM(1), 4ZN(1)</w:t>
      </w:r>
    </w:p>
    <w:p>
      <w:pPr>
        <w:pStyle w:val="DefinedTerms"/>
      </w:pPr>
      <w:r>
        <w:t>milk</w:t>
      </w:r>
      <w:r>
        <w:tab/>
        <w:t>3A(1)</w:t>
      </w:r>
    </w:p>
    <w:p>
      <w:pPr>
        <w:pStyle w:val="DefinedTerms"/>
      </w:pPr>
      <w:r>
        <w:t>Minimum Network Standards</w:t>
      </w:r>
      <w:r>
        <w:tab/>
        <w:t>12(1)</w:t>
      </w:r>
    </w:p>
    <w:p>
      <w:pPr>
        <w:pStyle w:val="DefinedTerms"/>
      </w:pPr>
      <w:r>
        <w:t>minor beverage supplier</w:t>
      </w:r>
      <w:r>
        <w:tab/>
        <w:t>3(1)</w:t>
      </w:r>
    </w:p>
    <w:p>
      <w:pPr>
        <w:pStyle w:val="DefinedTerms"/>
      </w:pPr>
      <w:r>
        <w:t>outgoing Coordinator</w:t>
      </w:r>
      <w:r>
        <w:tab/>
        <w:t>32B(1)</w:t>
      </w:r>
    </w:p>
    <w:p>
      <w:pPr>
        <w:pStyle w:val="DefinedTerms"/>
      </w:pPr>
      <w:r>
        <w:t>performance target</w:t>
      </w:r>
      <w:r>
        <w:tab/>
        <w:t>3(1)</w:t>
      </w:r>
    </w:p>
    <w:p>
      <w:pPr>
        <w:pStyle w:val="DefinedTerms"/>
      </w:pPr>
      <w:r>
        <w:t>preliminary year</w:t>
      </w:r>
      <w:r>
        <w:tab/>
        <w:t>10(1)</w:t>
      </w:r>
    </w:p>
    <w:p>
      <w:pPr>
        <w:pStyle w:val="DefinedTerms"/>
      </w:pPr>
      <w:r>
        <w:t>processed disposal</w:t>
      </w:r>
      <w:r>
        <w:tab/>
        <w:t>3C(1)</w:t>
      </w:r>
    </w:p>
    <w:p>
      <w:pPr>
        <w:pStyle w:val="DefinedTerms"/>
      </w:pPr>
      <w:r>
        <w:t>proposed action</w:t>
      </w:r>
      <w:r>
        <w:tab/>
        <w:t>3S(1), 3T(1), 29(1)</w:t>
      </w:r>
    </w:p>
    <w:p>
      <w:pPr>
        <w:pStyle w:val="DefinedTerms"/>
      </w:pPr>
      <w:r>
        <w:t>proposed auditor</w:t>
      </w:r>
      <w:r>
        <w:tab/>
        <w:t>4ZP(2)</w:t>
      </w:r>
    </w:p>
    <w:p>
      <w:pPr>
        <w:pStyle w:val="DefinedTerms"/>
      </w:pPr>
      <w:r>
        <w:t>quarter</w:t>
      </w:r>
      <w:r>
        <w:tab/>
        <w:t>16(1)</w:t>
      </w:r>
    </w:p>
    <w:p>
      <w:pPr>
        <w:pStyle w:val="DefinedTerms"/>
      </w:pPr>
      <w:r>
        <w:t>quarterly report</w:t>
      </w:r>
      <w:r>
        <w:tab/>
        <w:t>16(2)</w:t>
      </w:r>
    </w:p>
    <w:p>
      <w:pPr>
        <w:pStyle w:val="DefinedTerms"/>
      </w:pPr>
      <w:r>
        <w:t>recovery amount payments</w:t>
      </w:r>
      <w:r>
        <w:tab/>
        <w:t>4ZM(1)</w:t>
      </w:r>
    </w:p>
    <w:p>
      <w:pPr>
        <w:pStyle w:val="DefinedTerms"/>
      </w:pPr>
      <w:r>
        <w:t>recovery amount protocol</w:t>
      </w:r>
      <w:r>
        <w:tab/>
        <w:t>4ZC, 4ZH, 4ZI(1)</w:t>
      </w:r>
    </w:p>
    <w:p>
      <w:pPr>
        <w:pStyle w:val="DefinedTerms"/>
      </w:pPr>
      <w:r>
        <w:t>refund declaration</w:t>
      </w:r>
      <w:r>
        <w:tab/>
        <w:t>4E(3)</w:t>
      </w:r>
    </w:p>
    <w:p>
      <w:pPr>
        <w:pStyle w:val="DefinedTerms"/>
      </w:pPr>
      <w:r>
        <w:t>registered health tonic</w:t>
      </w:r>
      <w:r>
        <w:tab/>
        <w:t>3A(1)</w:t>
      </w:r>
    </w:p>
    <w:p>
      <w:pPr>
        <w:pStyle w:val="DefinedTerms"/>
      </w:pPr>
      <w:r>
        <w:t>relevant approved scheme agreement template</w:t>
      </w:r>
      <w:r>
        <w:tab/>
        <w:t>4Q(1)</w:t>
      </w:r>
    </w:p>
    <w:p>
      <w:pPr>
        <w:pStyle w:val="DefinedTerms"/>
      </w:pPr>
      <w:r>
        <w:t>relevant beverage product</w:t>
      </w:r>
      <w:r>
        <w:tab/>
        <w:t>3(1)</w:t>
      </w:r>
    </w:p>
    <w:p>
      <w:pPr>
        <w:pStyle w:val="DefinedTerms"/>
      </w:pPr>
      <w:r>
        <w:t>relevant local government</w:t>
      </w:r>
      <w:r>
        <w:tab/>
        <w:t>4ZM(2)</w:t>
      </w:r>
    </w:p>
    <w:p>
      <w:pPr>
        <w:pStyle w:val="DefinedTerms"/>
      </w:pPr>
      <w:r>
        <w:t>relevant matter</w:t>
      </w:r>
      <w:r>
        <w:tab/>
        <w:t>40(2)</w:t>
      </w:r>
    </w:p>
    <w:p>
      <w:pPr>
        <w:pStyle w:val="DefinedTerms"/>
      </w:pPr>
      <w:r>
        <w:t>relevant recovery amount protocol</w:t>
      </w:r>
      <w:r>
        <w:tab/>
        <w:t>4ZJ(2)</w:t>
      </w:r>
    </w:p>
    <w:p>
      <w:pPr>
        <w:pStyle w:val="DefinedTerms"/>
      </w:pPr>
      <w:r>
        <w:t>Reporting Code</w:t>
      </w:r>
      <w:r>
        <w:tab/>
        <w:t>3(1)</w:t>
      </w:r>
    </w:p>
    <w:p>
      <w:pPr>
        <w:pStyle w:val="DefinedTerms"/>
      </w:pPr>
      <w:r>
        <w:t>requested action</w:t>
      </w:r>
      <w:r>
        <w:tab/>
        <w:t>28(1)</w:t>
      </w:r>
    </w:p>
    <w:p>
      <w:pPr>
        <w:pStyle w:val="DefinedTerms"/>
      </w:pPr>
      <w:r>
        <w:t>reverse vending machine</w:t>
      </w:r>
      <w:r>
        <w:tab/>
        <w:t>3(1)</w:t>
      </w:r>
    </w:p>
    <w:p>
      <w:pPr>
        <w:pStyle w:val="DefinedTerms"/>
      </w:pPr>
      <w:r>
        <w:t>scheme participant</w:t>
      </w:r>
      <w:r>
        <w:tab/>
        <w:t>3(1)</w:t>
      </w:r>
    </w:p>
    <w:p>
      <w:pPr>
        <w:pStyle w:val="DefinedTerms"/>
      </w:pPr>
      <w:r>
        <w:t>sealable aluminium can</w:t>
      </w:r>
      <w:r>
        <w:tab/>
        <w:t>3B(1)</w:t>
      </w:r>
    </w:p>
    <w:p>
      <w:pPr>
        <w:pStyle w:val="DefinedTerms"/>
      </w:pPr>
      <w:r>
        <w:t>specified counterparty</w:t>
      </w:r>
      <w:r>
        <w:tab/>
        <w:t>7A(1)</w:t>
      </w:r>
    </w:p>
    <w:p>
      <w:pPr>
        <w:pStyle w:val="DefinedTerms"/>
      </w:pPr>
      <w:r>
        <w:t>specified period</w:t>
      </w:r>
      <w:r>
        <w:tab/>
        <w:t>17(1)</w:t>
      </w:r>
    </w:p>
    <w:p>
      <w:pPr>
        <w:pStyle w:val="DefinedTerms"/>
      </w:pPr>
      <w:r>
        <w:t>spirituous liquor</w:t>
      </w:r>
      <w:r>
        <w:tab/>
        <w:t>3B(2)</w:t>
      </w:r>
    </w:p>
    <w:p>
      <w:pPr>
        <w:pStyle w:val="DefinedTerms"/>
      </w:pPr>
      <w:r>
        <w:t>submission period</w:t>
      </w:r>
      <w:r>
        <w:tab/>
        <w:t>3S(3), 25(2), 29(2), 30(4), 40(2)</w:t>
      </w:r>
    </w:p>
    <w:p>
      <w:pPr>
        <w:pStyle w:val="DefinedTerms"/>
      </w:pPr>
      <w:r>
        <w:t>subsidiary</w:t>
      </w:r>
      <w:r>
        <w:tab/>
        <w:t>3(1)</w:t>
      </w:r>
    </w:p>
    <w:p>
      <w:pPr>
        <w:pStyle w:val="DefinedTerms"/>
      </w:pPr>
      <w:r>
        <w:t>third party operator</w:t>
      </w:r>
      <w:r>
        <w:tab/>
        <w:t>4ZM(3)</w:t>
      </w:r>
    </w:p>
    <w:p>
      <w:pPr>
        <w:pStyle w:val="DefinedTerms"/>
      </w:pPr>
      <w:r>
        <w:t>transition day</w:t>
      </w:r>
      <w:r>
        <w:tab/>
        <w:t>41(1)</w:t>
      </w:r>
    </w:p>
    <w:p>
      <w:pPr>
        <w:pStyle w:val="DefinedTerms"/>
      </w:pPr>
      <w:r>
        <w:t>transition out plan</w:t>
      </w:r>
      <w:r>
        <w:tab/>
        <w:t>32A(1)</w:t>
      </w:r>
    </w:p>
    <w:p>
      <w:pPr>
        <w:pStyle w:val="DefinedTerms"/>
      </w:pPr>
      <w:r>
        <w:t>website annual report</w:t>
      </w:r>
      <w:r>
        <w:tab/>
        <w:t>18(1)</w:t>
      </w:r>
    </w:p>
    <w:p>
      <w:pPr>
        <w:pStyle w:val="DefinedTerms"/>
      </w:pPr>
      <w:r>
        <w:t>whole container</w:t>
      </w:r>
      <w:r>
        <w:tab/>
        <w:t>4C(1)</w:t>
      </w:r>
    </w:p>
    <w:p>
      <w:pPr>
        <w:pStyle w:val="DefinedTerms"/>
      </w:pPr>
      <w:r>
        <w:t>wine</w:t>
      </w:r>
      <w:r>
        <w:tab/>
        <w:t>3B(3)</w:t>
      </w:r>
    </w:p>
    <w:p>
      <w:pPr>
        <w:pStyle w:val="DefinedTerms"/>
      </w:pPr>
      <w:r>
        <w:t>wine</w:t>
      </w:r>
      <w:r>
        <w:noBreakHyphen/>
        <w:t>based beverage</w:t>
      </w:r>
      <w:r>
        <w:tab/>
        <w:t>3B(1)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7" w:name="Compilation"/>
    <w:bookmarkEnd w:id="2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1" w:name="DefinedTerms"/>
    <w:bookmarkEnd w:id="22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2" w:name="Coversheet"/>
    <w:bookmarkEnd w:id="2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033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 w:name="WAFER_20220308120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0545_GUID" w:val="ba1a0fc0-93a7-4d22-84df-7f797a45e16a"/>
    <w:docVar w:name="WAFER_202203181303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336_GUID" w:val="d5a9c65b-affa-4775-bee3-18763c72f9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78EF3D3C-5BB8-4360-8F5B-E876A54E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831E7-6556-447E-9BA3-7DAAC802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23909</Words>
  <Characters>121219</Characters>
  <Application>Microsoft Office Word</Application>
  <DocSecurity>0</DocSecurity>
  <Lines>3276</Lines>
  <Paragraphs>1909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2019 - 00-e0-00</dc:title>
  <dc:subject/>
  <dc:creator/>
  <cp:keywords/>
  <dc:description/>
  <cp:lastModifiedBy>Master Repository Process</cp:lastModifiedBy>
  <cp:revision>4</cp:revision>
  <cp:lastPrinted>2019-12-16T08:01:00Z</cp:lastPrinted>
  <dcterms:created xsi:type="dcterms:W3CDTF">2022-03-30T05:59:00Z</dcterms:created>
  <dcterms:modified xsi:type="dcterms:W3CDTF">2022-03-30T05:59:00Z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31 Mar 2022</vt:lpwstr>
  </property>
  <property fmtid="{D5CDD505-2E9C-101B-9397-08002B2CF9AE}" pid="4" name="Suffix">
    <vt:lpwstr>00-e0-00</vt:lpwstr>
  </property>
  <property fmtid="{D5CDD505-2E9C-101B-9397-08002B2CF9AE}" pid="5" name="CommencementDate">
    <vt:lpwstr>20220331</vt:lpwstr>
  </property>
</Properties>
</file>