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Taxation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_Toc122233102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_Toc122233103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Rate of interest for refunds and credits (section 39)</w:t>
      </w:r>
      <w:r>
        <w:rPr>
          <w:noProof/>
        </w:rPr>
        <w:tab/>
      </w:r>
      <w:r>
        <w:rPr>
          <w:noProof/>
        </w:rPr>
        <w:fldChar w:fldCharType="begin"/>
      </w:r>
      <w:r>
        <w:rPr>
          <w:noProof/>
        </w:rPr>
        <w:instrText xml:space="preserve"> PAGEREF _Toc122233104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Rate of interest for overpaid amounts (section 43)</w:t>
      </w:r>
      <w:r>
        <w:rPr>
          <w:noProof/>
        </w:rPr>
        <w:tab/>
      </w:r>
      <w:r>
        <w:rPr>
          <w:noProof/>
        </w:rPr>
        <w:fldChar w:fldCharType="begin"/>
      </w:r>
      <w:r>
        <w:rPr>
          <w:noProof/>
        </w:rPr>
        <w:instrText xml:space="preserve"> PAGEREF _Toc122233105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Rate of interest for outstanding amounts (section 47)</w:t>
      </w:r>
      <w:r>
        <w:rPr>
          <w:noProof/>
        </w:rPr>
        <w:tab/>
      </w:r>
      <w:r>
        <w:rPr>
          <w:noProof/>
        </w:rPr>
        <w:fldChar w:fldCharType="begin"/>
      </w:r>
      <w:r>
        <w:rPr>
          <w:noProof/>
        </w:rPr>
        <w:instrText xml:space="preserve"> PAGEREF _Toc122233106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5A.</w:t>
      </w:r>
      <w:r>
        <w:rPr>
          <w:noProof/>
          <w:sz w:val="24"/>
          <w:szCs w:val="24"/>
        </w:rPr>
        <w:tab/>
      </w:r>
      <w:r>
        <w:rPr>
          <w:noProof/>
          <w:szCs w:val="24"/>
        </w:rPr>
        <w:t>Special tax return arrangements — corrections and alterations (section 50(1)(f))</w:t>
      </w:r>
      <w:r>
        <w:rPr>
          <w:noProof/>
        </w:rPr>
        <w:tab/>
      </w:r>
      <w:r>
        <w:rPr>
          <w:noProof/>
        </w:rPr>
        <w:fldChar w:fldCharType="begin"/>
      </w:r>
      <w:r>
        <w:rPr>
          <w:noProof/>
        </w:rPr>
        <w:instrText xml:space="preserve"> PAGEREF _Toc122233107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Limit for waiving payment of tax (section 56)</w:t>
      </w:r>
      <w:r>
        <w:rPr>
          <w:noProof/>
        </w:rPr>
        <w:tab/>
      </w:r>
      <w:r>
        <w:rPr>
          <w:noProof/>
        </w:rPr>
        <w:fldChar w:fldCharType="begin"/>
      </w:r>
      <w:r>
        <w:rPr>
          <w:noProof/>
        </w:rPr>
        <w:instrText xml:space="preserve"> PAGEREF _Toc122233108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Statutory administrator of a taxpayer's assets (section 64)</w:t>
      </w:r>
      <w:r>
        <w:rPr>
          <w:noProof/>
        </w:rPr>
        <w:tab/>
      </w:r>
      <w:r>
        <w:rPr>
          <w:noProof/>
        </w:rPr>
        <w:fldChar w:fldCharType="begin"/>
      </w:r>
      <w:r>
        <w:rPr>
          <w:noProof/>
        </w:rPr>
        <w:instrText xml:space="preserve"> PAGEREF _Toc122233109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Fee for certificate (section 80)</w:t>
      </w:r>
      <w:r>
        <w:rPr>
          <w:noProof/>
        </w:rPr>
        <w:tab/>
      </w:r>
      <w:r>
        <w:rPr>
          <w:noProof/>
        </w:rPr>
        <w:fldChar w:fldCharType="begin"/>
      </w:r>
      <w:r>
        <w:rPr>
          <w:noProof/>
        </w:rPr>
        <w:instrText xml:space="preserve"> PAGEREF _Toc122233110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Where tax records are to be kept (section 89)</w:t>
      </w:r>
      <w:r>
        <w:rPr>
          <w:noProof/>
        </w:rPr>
        <w:tab/>
      </w:r>
      <w:r>
        <w:rPr>
          <w:noProof/>
        </w:rPr>
        <w:fldChar w:fldCharType="begin"/>
      </w:r>
      <w:r>
        <w:rPr>
          <w:noProof/>
        </w:rPr>
        <w:instrText xml:space="preserve"> PAGEREF _Toc122233111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Exemption from requirement to keep tax records (section 91)</w:t>
      </w:r>
      <w:r>
        <w:rPr>
          <w:noProof/>
        </w:rPr>
        <w:tab/>
      </w:r>
      <w:r>
        <w:rPr>
          <w:noProof/>
        </w:rPr>
        <w:fldChar w:fldCharType="begin"/>
      </w:r>
      <w:r>
        <w:rPr>
          <w:noProof/>
        </w:rPr>
        <w:instrText xml:space="preserve"> PAGEREF _Toc122233112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Expenses of witnesses (section 95)</w:t>
      </w:r>
      <w:r>
        <w:rPr>
          <w:noProof/>
        </w:rPr>
        <w:tab/>
      </w:r>
      <w:r>
        <w:rPr>
          <w:noProof/>
        </w:rPr>
        <w:fldChar w:fldCharType="begin"/>
      </w:r>
      <w:r>
        <w:rPr>
          <w:noProof/>
        </w:rPr>
        <w:instrText xml:space="preserve"> PAGEREF _Toc122233113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Law enforcement agency authorised to receive confidential information (section 114)</w:t>
      </w:r>
      <w:r>
        <w:rPr>
          <w:noProof/>
        </w:rPr>
        <w:tab/>
      </w:r>
      <w:r>
        <w:rPr>
          <w:noProof/>
        </w:rPr>
        <w:fldChar w:fldCharType="begin"/>
      </w:r>
      <w:r>
        <w:rPr>
          <w:noProof/>
        </w:rPr>
        <w:instrText xml:space="preserve"> PAGEREF _Toc122233114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Circumstances in which confidential information may be disclosed (section 114)</w:t>
      </w:r>
      <w:r>
        <w:rPr>
          <w:noProof/>
        </w:rPr>
        <w:tab/>
      </w:r>
      <w:r>
        <w:rPr>
          <w:noProof/>
        </w:rPr>
        <w:fldChar w:fldCharType="begin"/>
      </w:r>
      <w:r>
        <w:rPr>
          <w:noProof/>
        </w:rPr>
        <w:instrText xml:space="preserve"> PAGEREF _Toc122233115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Service on the Commissioner (section 115)</w:t>
      </w:r>
      <w:r>
        <w:rPr>
          <w:noProof/>
        </w:rPr>
        <w:tab/>
      </w:r>
      <w:r>
        <w:rPr>
          <w:noProof/>
        </w:rPr>
        <w:fldChar w:fldCharType="begin"/>
      </w:r>
      <w:r>
        <w:rPr>
          <w:noProof/>
        </w:rPr>
        <w:instrText xml:space="preserve"> PAGEREF _Toc122233116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Prescription of Commissioner as State taxation officer</w:t>
      </w:r>
      <w:r>
        <w:rPr>
          <w:noProof/>
        </w:rPr>
        <w:tab/>
      </w:r>
      <w:r>
        <w:rPr>
          <w:noProof/>
        </w:rPr>
        <w:fldChar w:fldCharType="begin"/>
      </w:r>
      <w:r>
        <w:rPr>
          <w:noProof/>
        </w:rPr>
        <w:instrText xml:space="preserve"> PAGEREF _Toc122233117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_Toc122233119 \h </w:instrText>
      </w:r>
      <w:r>
        <w:rPr>
          <w:noProof/>
        </w:rPr>
      </w:r>
      <w:r>
        <w:rPr>
          <w:noProof/>
        </w:rPr>
        <w:fldChar w:fldCharType="separate"/>
      </w:r>
      <w:r>
        <w:rPr>
          <w:noProof/>
        </w:rPr>
        <w:t>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Taxation Administration Act 2003</w:t>
      </w:r>
    </w:p>
    <w:p>
      <w:pPr>
        <w:pStyle w:val="NameofActReg"/>
      </w:pPr>
      <w:r>
        <w:t>Taxation Administration Regulations 2003</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2223310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43103469"/>
      <w:bookmarkStart w:id="16" w:name="_Toc12223310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pPr>
        <w:pStyle w:val="Subsection"/>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Heading5"/>
      </w:pPr>
      <w:bookmarkStart w:id="17" w:name="_Toc43103470"/>
      <w:bookmarkStart w:id="18" w:name="_Toc122233104"/>
      <w:r>
        <w:rPr>
          <w:rStyle w:val="CharSectno"/>
        </w:rPr>
        <w:t>3</w:t>
      </w:r>
      <w:r>
        <w:t>.</w:t>
      </w:r>
      <w:r>
        <w:tab/>
        <w:t>Rate of interest for refunds and credits (section 39)</w:t>
      </w:r>
      <w:bookmarkEnd w:id="17"/>
      <w:bookmarkEnd w:id="18"/>
    </w:p>
    <w:p>
      <w:pPr>
        <w:pStyle w:val="Subsection"/>
      </w:pPr>
      <w:r>
        <w:tab/>
      </w:r>
      <w:r>
        <w:tab/>
        <w:t>The rate of interest payable for the purposes of section 39(2) of the Act is 6% per annum.</w:t>
      </w:r>
    </w:p>
    <w:p>
      <w:pPr>
        <w:pStyle w:val="Heading5"/>
      </w:pPr>
      <w:bookmarkStart w:id="19" w:name="_Toc43103471"/>
      <w:bookmarkStart w:id="20" w:name="_Toc122233105"/>
      <w:r>
        <w:rPr>
          <w:rStyle w:val="CharSectno"/>
        </w:rPr>
        <w:t>4</w:t>
      </w:r>
      <w:r>
        <w:t>.</w:t>
      </w:r>
      <w:r>
        <w:tab/>
        <w:t>Rate of interest for overpaid amounts (section 43)</w:t>
      </w:r>
      <w:bookmarkEnd w:id="19"/>
      <w:bookmarkEnd w:id="20"/>
    </w:p>
    <w:p>
      <w:pPr>
        <w:pStyle w:val="Subsection"/>
      </w:pPr>
      <w:r>
        <w:tab/>
      </w:r>
      <w:r>
        <w:tab/>
        <w:t>The rate of interest payable for the purposes of section 43(3) of the Act is 6% per annum.</w:t>
      </w:r>
    </w:p>
    <w:p>
      <w:pPr>
        <w:pStyle w:val="Heading5"/>
      </w:pPr>
      <w:bookmarkStart w:id="21" w:name="_Toc43103472"/>
      <w:bookmarkStart w:id="22" w:name="_Toc122233106"/>
      <w:r>
        <w:rPr>
          <w:rStyle w:val="CharSectno"/>
        </w:rPr>
        <w:t>5</w:t>
      </w:r>
      <w:r>
        <w:t>.</w:t>
      </w:r>
      <w:r>
        <w:tab/>
        <w:t>Rate of interest for outstanding amounts (section 47)</w:t>
      </w:r>
      <w:bookmarkEnd w:id="21"/>
      <w:bookmarkEnd w:id="22"/>
    </w:p>
    <w:p>
      <w:pPr>
        <w:pStyle w:val="Subsection"/>
      </w:pPr>
      <w:r>
        <w:tab/>
      </w:r>
      <w:r>
        <w:tab/>
        <w:t>The rate of interest payable for the purposes of section 47(3) of the Act is 10% per annum.</w:t>
      </w:r>
    </w:p>
    <w:p>
      <w:pPr>
        <w:pStyle w:val="Footnotesection"/>
      </w:pPr>
      <w:r>
        <w:tab/>
        <w:t>[Regulation 5 amended in Gazette 13 Aug 2004 p. 3253.]</w:t>
      </w:r>
    </w:p>
    <w:p>
      <w:pPr>
        <w:pStyle w:val="Heading5"/>
      </w:pPr>
      <w:bookmarkStart w:id="23" w:name="_Toc122233107"/>
      <w:bookmarkStart w:id="24" w:name="_Toc43103473"/>
      <w:r>
        <w:rPr>
          <w:rStyle w:val="CharSectno"/>
        </w:rPr>
        <w:lastRenderedPageBreak/>
        <w:t>5A</w:t>
      </w:r>
      <w:r>
        <w:t>.</w:t>
      </w:r>
      <w:r>
        <w:tab/>
        <w:t>Special tax return arrangements — corrections and alterations (section 50(1)(f))</w:t>
      </w:r>
      <w:bookmarkEnd w:id="23"/>
    </w:p>
    <w:p>
      <w:pPr>
        <w:pStyle w:val="Subsection"/>
      </w:pPr>
      <w:r>
        <w:tab/>
        <w:t>(1)</w:t>
      </w:r>
      <w:r>
        <w:tab/>
        <w:t>An online stamping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stamping arrangement may authorise the responsible party to alter a self</w:t>
      </w:r>
      <w:r>
        <w:noBreakHyphen/>
        <w:t xml:space="preserve">assessment of the stamp duty payable on an instrument if — </w:t>
      </w:r>
    </w:p>
    <w:p>
      <w:pPr>
        <w:pStyle w:val="Indenta"/>
      </w:pPr>
      <w:r>
        <w:tab/>
        <w:t>(a)</w:t>
      </w:r>
      <w:r>
        <w:tab/>
        <w:t xml:space="preserve">the responsible party has made an error of the kind referred to in subregulation (1); </w:t>
      </w:r>
    </w:p>
    <w:p>
      <w:pPr>
        <w:pStyle w:val="Indenta"/>
      </w:pPr>
      <w:r>
        <w:tab/>
        <w:t>(b)</w:t>
      </w:r>
      <w:r>
        <w:tab/>
        <w:t xml:space="preserve">as a result of the error an incorrect decision was made as to — </w:t>
      </w:r>
    </w:p>
    <w:p>
      <w:pPr>
        <w:pStyle w:val="Indenti"/>
      </w:pPr>
      <w:r>
        <w:tab/>
        <w:t>(i)</w:t>
      </w:r>
      <w:r>
        <w:tab/>
        <w:t>whether stamp duty was payable on the instrument; or</w:t>
      </w:r>
    </w:p>
    <w:p>
      <w:pPr>
        <w:pStyle w:val="Indenti"/>
      </w:pPr>
      <w:r>
        <w:tab/>
        <w:t>(ii)</w:t>
      </w:r>
      <w:r>
        <w:tab/>
        <w:t>the amount of stamp duty payable on the instrument;</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rPr>
          <w:b/>
        </w:rPr>
        <w:tab/>
        <w:t>“</w:t>
      </w:r>
      <w:r>
        <w:rPr>
          <w:rStyle w:val="CharDefText"/>
        </w:rPr>
        <w:t>online stamping arrangement</w:t>
      </w:r>
      <w:r>
        <w:rPr>
          <w:b/>
        </w:rPr>
        <w:t>”</w:t>
      </w:r>
      <w:r>
        <w:t xml:space="preserve"> means a special tax return arrangement under which the responsible party may make a self</w:t>
      </w:r>
      <w:r>
        <w:noBreakHyphen/>
        <w:t>assessment of the stamp duty payable on an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w:t>
      </w:r>
    </w:p>
    <w:p>
      <w:pPr>
        <w:pStyle w:val="Heading5"/>
      </w:pPr>
      <w:bookmarkStart w:id="25" w:name="_Toc122233108"/>
      <w:r>
        <w:rPr>
          <w:rStyle w:val="CharSectno"/>
        </w:rPr>
        <w:lastRenderedPageBreak/>
        <w:t>6</w:t>
      </w:r>
      <w:r>
        <w:t>.</w:t>
      </w:r>
      <w:r>
        <w:tab/>
        <w:t>Limit for waiving payment of tax (section 56)</w:t>
      </w:r>
      <w:bookmarkEnd w:id="24"/>
      <w:bookmarkEnd w:id="25"/>
    </w:p>
    <w:p>
      <w:pPr>
        <w:pStyle w:val="Subsection"/>
      </w:pPr>
      <w:r>
        <w:tab/>
      </w:r>
      <w:r>
        <w:tab/>
        <w:t>The limit for waiving payment of tax for the purposes of section 56(1) of the Act is $20.</w:t>
      </w:r>
    </w:p>
    <w:p>
      <w:pPr>
        <w:pStyle w:val="Heading5"/>
      </w:pPr>
      <w:bookmarkStart w:id="26" w:name="_Toc43103474"/>
      <w:bookmarkStart w:id="27" w:name="_Toc122233109"/>
      <w:r>
        <w:rPr>
          <w:rStyle w:val="CharSectno"/>
        </w:rPr>
        <w:t>7</w:t>
      </w:r>
      <w:r>
        <w:t>.</w:t>
      </w:r>
      <w:r>
        <w:tab/>
        <w:t>Statutory administrator of a taxpayer's assets (section 64)</w:t>
      </w:r>
      <w:bookmarkEnd w:id="26"/>
      <w:bookmarkEnd w:id="27"/>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8" w:name="_Toc43103475"/>
      <w:bookmarkStart w:id="29" w:name="_Toc122233110"/>
      <w:r>
        <w:rPr>
          <w:rStyle w:val="CharSectno"/>
        </w:rPr>
        <w:t>8</w:t>
      </w:r>
      <w:r>
        <w:t>.</w:t>
      </w:r>
      <w:r>
        <w:tab/>
        <w:t>Fee for certificate (section 80)</w:t>
      </w:r>
      <w:bookmarkEnd w:id="28"/>
      <w:bookmarkEnd w:id="2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Department of Land Information and the Office of State Revenue — $30; or</w:t>
      </w:r>
    </w:p>
    <w:p>
      <w:pPr>
        <w:pStyle w:val="Indenta"/>
      </w:pPr>
      <w:r>
        <w:tab/>
        <w:t>(b)</w:t>
      </w:r>
      <w:r>
        <w:tab/>
        <w:t>in any other case — $50.</w:t>
      </w:r>
    </w:p>
    <w:p>
      <w:pPr>
        <w:pStyle w:val="Footnotesection"/>
      </w:pPr>
      <w:r>
        <w:tab/>
        <w:t>[Regulation 8 amended in Gazette 7 May 2004 p. 1413.]</w:t>
      </w:r>
    </w:p>
    <w:p>
      <w:pPr>
        <w:pStyle w:val="Heading5"/>
      </w:pPr>
      <w:bookmarkStart w:id="30" w:name="_Toc43103476"/>
      <w:bookmarkStart w:id="31" w:name="_Toc122233111"/>
      <w:r>
        <w:rPr>
          <w:rStyle w:val="CharSectno"/>
        </w:rPr>
        <w:t>9</w:t>
      </w:r>
      <w:r>
        <w:t>.</w:t>
      </w:r>
      <w:r>
        <w:tab/>
        <w:t>Where tax records are to be kept (section 89)</w:t>
      </w:r>
      <w:bookmarkEnd w:id="30"/>
      <w:bookmarkEnd w:id="3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 1921</w:t>
      </w:r>
      <w:r>
        <w:t>.</w:t>
      </w:r>
    </w:p>
    <w:p>
      <w:pPr>
        <w:pStyle w:val="Subsection"/>
      </w:pPr>
      <w:r>
        <w:lastRenderedPageBreak/>
        <w:tab/>
        <w:t>(2)</w:t>
      </w:r>
      <w:r>
        <w:tab/>
        <w:t>Subregulation (1) does not apply to a tax record if the Commissioner requires the person who keeps the record to bring the record into Western Australia under section 89(2).</w:t>
      </w:r>
    </w:p>
    <w:p>
      <w:pPr>
        <w:pStyle w:val="Heading5"/>
      </w:pPr>
      <w:bookmarkStart w:id="32" w:name="_Toc122233112"/>
      <w:bookmarkStart w:id="33" w:name="_Toc43103478"/>
      <w:r>
        <w:t>10.</w:t>
      </w:r>
      <w:r>
        <w:tab/>
        <w:t>Exemption from requirement to keep tax records (section 91)</w:t>
      </w:r>
      <w:bookmarkEnd w:id="3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4" w:name="_Toc122233113"/>
      <w:r>
        <w:rPr>
          <w:rStyle w:val="CharSectno"/>
        </w:rPr>
        <w:t>11</w:t>
      </w:r>
      <w:r>
        <w:t>.</w:t>
      </w:r>
      <w:r>
        <w:tab/>
        <w:t>Expenses of witnesses (section 95)</w:t>
      </w:r>
      <w:bookmarkEnd w:id="33"/>
      <w:bookmarkEnd w:id="34"/>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pPr>
      <w:bookmarkStart w:id="35" w:name="_Toc43103479"/>
      <w:bookmarkStart w:id="36" w:name="_Toc122233114"/>
      <w:r>
        <w:rPr>
          <w:rStyle w:val="CharSectno"/>
        </w:rPr>
        <w:t>12</w:t>
      </w:r>
      <w:r>
        <w:t>.</w:t>
      </w:r>
      <w:r>
        <w:tab/>
        <w:t>Law enforcement agency authorised to receive confidential information (section 114)</w:t>
      </w:r>
      <w:bookmarkEnd w:id="35"/>
      <w:bookmarkEnd w:id="36"/>
    </w:p>
    <w:p>
      <w:pPr>
        <w:pStyle w:val="Subsection"/>
      </w:pPr>
      <w:r>
        <w:tab/>
      </w:r>
      <w:r>
        <w:tab/>
        <w:t>For the purposes of section 114(3)(a)(iv) of the Act, the Australian Crime Commission is authorised to receive confidential information.</w:t>
      </w:r>
    </w:p>
    <w:p>
      <w:pPr>
        <w:pStyle w:val="Heading5"/>
      </w:pPr>
      <w:bookmarkStart w:id="37" w:name="_Toc43103480"/>
      <w:bookmarkStart w:id="38" w:name="_Toc122233115"/>
      <w:r>
        <w:rPr>
          <w:rStyle w:val="CharSectno"/>
        </w:rPr>
        <w:t>13</w:t>
      </w:r>
      <w:r>
        <w:t>.</w:t>
      </w:r>
      <w:r>
        <w:tab/>
        <w:t>Circumstances in which confidential information may be disclosed (section 114)</w:t>
      </w:r>
      <w:bookmarkEnd w:id="37"/>
      <w:bookmarkEnd w:id="38"/>
    </w:p>
    <w:p>
      <w:pPr>
        <w:pStyle w:val="Subsection"/>
      </w:pPr>
      <w:r>
        <w:tab/>
        <w:t>(1)</w:t>
      </w:r>
      <w:r>
        <w:tab/>
        <w:t xml:space="preserve">For the purposes of section 114(3)(g) of the Act, the Commissioner may disclose information about the affairs of a person that was disclosed or obtained under Part IIIC of the </w:t>
      </w:r>
      <w:r>
        <w:rPr>
          <w:i/>
        </w:rPr>
        <w:t>Stamp Act 1921</w:t>
      </w:r>
      <w:r>
        <w:t xml:space="preserve"> to the Director General as defined in section 76B of the </w:t>
      </w:r>
      <w:r>
        <w:rPr>
          <w:i/>
        </w:rPr>
        <w:t>Stamp Act 1921</w:t>
      </w:r>
      <w:r>
        <w:t>.</w:t>
      </w:r>
    </w:p>
    <w:p>
      <w:pPr>
        <w:pStyle w:val="Subsection"/>
      </w:pPr>
      <w:r>
        <w:tab/>
        <w:t>(2)</w:t>
      </w:r>
      <w:r>
        <w:tab/>
        <w:t xml:space="preserve">For the purposes of section 114(3)(g) of the Act, the Commissioner may disclose to the chief executive officer of the Department of Industry and Resources,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Act 1967</w:t>
      </w:r>
      <w:r>
        <w:t>;</w:t>
      </w:r>
    </w:p>
    <w:p>
      <w:pPr>
        <w:pStyle w:val="Indenta"/>
      </w:pPr>
      <w:r>
        <w:tab/>
        <w:t>(b)</w:t>
      </w:r>
      <w:r>
        <w:tab/>
        <w:t xml:space="preserve">exploration permits, production licences, retention leases and pipeline licences granted under the </w:t>
      </w:r>
      <w:r>
        <w:rPr>
          <w:i/>
        </w:rPr>
        <w:t>Petroleum (Submerged Lands) Act 1982 (WA)</w:t>
      </w:r>
      <w:r>
        <w:t>;</w:t>
      </w:r>
    </w:p>
    <w:p>
      <w:pPr>
        <w:pStyle w:val="Indenta"/>
        <w:rPr>
          <w:i/>
        </w:rPr>
      </w:pPr>
      <w:r>
        <w:tab/>
        <w:t>(c)</w:t>
      </w:r>
      <w:r>
        <w:tab/>
        <w:t xml:space="preserve">pipeline licences granted pursuant to the </w:t>
      </w:r>
      <w:r>
        <w:rPr>
          <w:i/>
        </w:rPr>
        <w:t>Petroleum Pipelines Act 1969 (WA).</w:t>
      </w:r>
    </w:p>
    <w:p>
      <w:pPr>
        <w:pStyle w:val="Subsection"/>
      </w:pPr>
      <w:r>
        <w:tab/>
        <w:t>(3)</w:t>
      </w:r>
      <w:r>
        <w:tab/>
        <w:t>For the purposes of section 114(3)(g) of the Act, information identifying persons authorised to pay stamp duty under a special tax return arrangement may be disclosed to the chief executive officer of the Department of Land Information.</w:t>
      </w:r>
    </w:p>
    <w:p>
      <w:pPr>
        <w:pStyle w:val="Subsection"/>
      </w:pPr>
      <w:r>
        <w:tab/>
        <w:t>(4)</w:t>
      </w:r>
      <w:r>
        <w:tab/>
        <w:t xml:space="preserve">For the purposes of section 114(3)(g) of the Act, the Commissioner may disclose to the Pastoral Lands Board information that was disclosed to or obtained by the Commissioner under the </w:t>
      </w:r>
      <w:r>
        <w:rPr>
          <w:i/>
        </w:rPr>
        <w:t>Stamp Act 1921</w:t>
      </w:r>
      <w:r>
        <w:t xml:space="preserve"> about the affairs of persons who are or were pastoral lessees within the meaning of section 3(1) of the </w:t>
      </w:r>
      <w:r>
        <w:rPr>
          <w:i/>
        </w:rPr>
        <w:t>Land Administration Act 1997</w:t>
      </w:r>
      <w:r>
        <w:t>.</w:t>
      </w:r>
    </w:p>
    <w:p>
      <w:pPr>
        <w:pStyle w:val="Footnotesection"/>
      </w:pPr>
      <w:r>
        <w:tab/>
        <w:t>[Regulation 13 amended in Gazette 7 May 2004 p. 1413.]</w:t>
      </w:r>
    </w:p>
    <w:p>
      <w:pPr>
        <w:pStyle w:val="Heading5"/>
      </w:pPr>
      <w:bookmarkStart w:id="39" w:name="_Toc43103481"/>
      <w:bookmarkStart w:id="40" w:name="_Toc122233116"/>
      <w:r>
        <w:rPr>
          <w:rStyle w:val="CharSectno"/>
        </w:rPr>
        <w:t>14</w:t>
      </w:r>
      <w:r>
        <w:t>.</w:t>
      </w:r>
      <w:r>
        <w:tab/>
        <w:t>Service on the Commissioner (section 115)</w:t>
      </w:r>
      <w:bookmarkEnd w:id="39"/>
      <w:bookmarkEnd w:id="40"/>
    </w:p>
    <w:p>
      <w:pPr>
        <w:pStyle w:val="Subsection"/>
      </w:pPr>
      <w:r>
        <w:tab/>
        <w:t>(1)</w:t>
      </w:r>
      <w:r>
        <w:tab/>
        <w:t xml:space="preserve">For the purposes of section 115(c) of the Act, the fax number for service of a document is — </w:t>
      </w:r>
    </w:p>
    <w:p>
      <w:pPr>
        <w:pStyle w:val="Indenta"/>
      </w:pPr>
      <w:r>
        <w:tab/>
        <w:t>(a)</w:t>
      </w:r>
      <w:r>
        <w:tab/>
        <w:t>for land tax — (08) 9226 0837;</w:t>
      </w:r>
    </w:p>
    <w:p>
      <w:pPr>
        <w:pStyle w:val="Indenta"/>
      </w:pPr>
      <w:r>
        <w:tab/>
        <w:t>(b)</w:t>
      </w:r>
      <w:r>
        <w:tab/>
        <w:t>for stamp duty — (08) 9226 0834; and</w:t>
      </w:r>
    </w:p>
    <w:p>
      <w:pPr>
        <w:pStyle w:val="Indenta"/>
      </w:pPr>
      <w:r>
        <w:tab/>
        <w:t>(c)</w:t>
      </w:r>
      <w:r>
        <w:tab/>
        <w:t>for pay</w:t>
      </w:r>
      <w:r>
        <w:noBreakHyphen/>
        <w:t>roll tax — (08) 9262 1348.</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w:t>
      </w:r>
    </w:p>
    <w:p>
      <w:pPr>
        <w:pStyle w:val="Heading5"/>
      </w:pPr>
      <w:bookmarkStart w:id="41" w:name="_Toc43103482"/>
      <w:bookmarkStart w:id="42" w:name="_Toc122233117"/>
      <w:r>
        <w:rPr>
          <w:rStyle w:val="CharSectno"/>
        </w:rPr>
        <w:t>15</w:t>
      </w:r>
      <w:r>
        <w:t>.</w:t>
      </w:r>
      <w:r>
        <w:tab/>
        <w:t>Prescription of Commissioner as State taxation officer</w:t>
      </w:r>
      <w:bookmarkEnd w:id="41"/>
      <w:bookmarkEnd w:id="42"/>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 w:name="_Toc81882498"/>
      <w:bookmarkStart w:id="44" w:name="_Toc92426114"/>
      <w:bookmarkStart w:id="45" w:name="_Toc122161946"/>
      <w:bookmarkStart w:id="46" w:name="_Toc122233118"/>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p>
    <w:p>
      <w:pPr>
        <w:pStyle w:val="nHeading3"/>
      </w:pPr>
      <w:bookmarkStart w:id="47" w:name="_Toc511102520"/>
      <w:bookmarkStart w:id="48" w:name="_Toc513888953"/>
      <w:bookmarkStart w:id="49" w:name="_Toc516991868"/>
      <w:bookmarkStart w:id="50" w:name="_Toc122233119"/>
      <w:r>
        <w:t>Compilation table</w:t>
      </w:r>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4" w:space="0" w:color="auto"/>
            </w:tcBorders>
          </w:tcPr>
          <w:p>
            <w:pPr>
              <w:pStyle w:val="nTable"/>
            </w:pPr>
            <w:r>
              <w:rPr>
                <w:i/>
                <w:noProof/>
                <w:snapToGrid w:val="0"/>
              </w:rPr>
              <w:t>Taxation Administration Regulations 2003</w:t>
            </w:r>
          </w:p>
        </w:tc>
        <w:tc>
          <w:tcPr>
            <w:tcW w:w="1276" w:type="dxa"/>
            <w:tcBorders>
              <w:top w:val="single" w:sz="4" w:space="0" w:color="auto"/>
            </w:tcBorders>
          </w:tcPr>
          <w:p>
            <w:pPr>
              <w:pStyle w:val="nTable"/>
            </w:pPr>
            <w:r>
              <w:t>27 Jun 2003 p. 2419-22</w:t>
            </w:r>
          </w:p>
        </w:tc>
        <w:tc>
          <w:tcPr>
            <w:tcW w:w="2693" w:type="dxa"/>
            <w:tcBorders>
              <w:top w:val="single" w:sz="4" w:space="0" w:color="auto"/>
            </w:tcBorders>
          </w:tcPr>
          <w:p>
            <w:pPr>
              <w:pStyle w:val="nTable"/>
            </w:pPr>
            <w:r>
              <w:t xml:space="preserve">1 Jul 2003 (see r. 2 and </w:t>
            </w:r>
            <w:r>
              <w:rPr>
                <w:i/>
              </w:rPr>
              <w:t>Gazette</w:t>
            </w:r>
            <w:r>
              <w:t xml:space="preserve"> 27 Jun 2003 p. 2383)</w:t>
            </w:r>
          </w:p>
        </w:tc>
      </w:tr>
      <w:tr>
        <w:tc>
          <w:tcPr>
            <w:tcW w:w="3119" w:type="dxa"/>
          </w:tcPr>
          <w:p>
            <w:pPr>
              <w:pStyle w:val="nTable"/>
              <w:rPr>
                <w:i/>
                <w:noProof/>
                <w:snapToGrid w:val="0"/>
              </w:rPr>
            </w:pPr>
            <w:r>
              <w:rPr>
                <w:i/>
                <w:noProof/>
                <w:snapToGrid w:val="0"/>
              </w:rPr>
              <w:t>Taxation Administration Amendment Regulations 2004</w:t>
            </w:r>
          </w:p>
        </w:tc>
        <w:tc>
          <w:tcPr>
            <w:tcW w:w="1276" w:type="dxa"/>
          </w:tcPr>
          <w:p>
            <w:pPr>
              <w:pStyle w:val="nTable"/>
            </w:pPr>
            <w:r>
              <w:t>7 May 2004 p. 1413</w:t>
            </w:r>
          </w:p>
        </w:tc>
        <w:tc>
          <w:tcPr>
            <w:tcW w:w="2693" w:type="dxa"/>
          </w:tcPr>
          <w:p>
            <w:pPr>
              <w:pStyle w:val="nTable"/>
            </w:pPr>
            <w:r>
              <w:t>7 May 2004</w:t>
            </w:r>
          </w:p>
        </w:tc>
      </w:tr>
      <w:tr>
        <w:tc>
          <w:tcPr>
            <w:tcW w:w="3119" w:type="dxa"/>
          </w:tcPr>
          <w:p>
            <w:pPr>
              <w:pStyle w:val="nTable"/>
              <w:rPr>
                <w:i/>
                <w:noProof/>
                <w:snapToGrid w:val="0"/>
              </w:rPr>
            </w:pPr>
            <w:r>
              <w:rPr>
                <w:i/>
                <w:noProof/>
                <w:snapToGrid w:val="0"/>
              </w:rPr>
              <w:t>Taxation Administration Amendment Regulations (No. 2) 2004</w:t>
            </w:r>
          </w:p>
        </w:tc>
        <w:tc>
          <w:tcPr>
            <w:tcW w:w="1276" w:type="dxa"/>
          </w:tcPr>
          <w:p>
            <w:pPr>
              <w:pStyle w:val="nTable"/>
            </w:pPr>
            <w:r>
              <w:t>13 Aug 2004 p. 3253</w:t>
            </w:r>
          </w:p>
        </w:tc>
        <w:tc>
          <w:tcPr>
            <w:tcW w:w="2693" w:type="dxa"/>
          </w:tcPr>
          <w:p>
            <w:pPr>
              <w:pStyle w:val="nTable"/>
            </w:pPr>
            <w:r>
              <w:t>1 Sep 2004 (see r. 2)</w:t>
            </w:r>
          </w:p>
        </w:tc>
      </w:tr>
      <w:tr>
        <w:tc>
          <w:tcPr>
            <w:tcW w:w="3119" w:type="dxa"/>
          </w:tcPr>
          <w:p>
            <w:pPr>
              <w:pStyle w:val="nTable"/>
              <w:rPr>
                <w:i/>
                <w:noProof/>
                <w:snapToGrid w:val="0"/>
              </w:rPr>
            </w:pPr>
            <w:r>
              <w:rPr>
                <w:i/>
                <w:noProof/>
                <w:snapToGrid w:val="0"/>
              </w:rPr>
              <w:t>Taxation Administration Amendment Regulations (No. 3) 2004</w:t>
            </w:r>
          </w:p>
        </w:tc>
        <w:tc>
          <w:tcPr>
            <w:tcW w:w="1276" w:type="dxa"/>
          </w:tcPr>
          <w:p>
            <w:pPr>
              <w:pStyle w:val="nTable"/>
            </w:pPr>
            <w:r>
              <w:t>17 Dec 2004 p. 6092-3</w:t>
            </w:r>
          </w:p>
        </w:tc>
        <w:tc>
          <w:tcPr>
            <w:tcW w:w="2693" w:type="dxa"/>
          </w:tcPr>
          <w:p>
            <w:pPr>
              <w:pStyle w:val="nTable"/>
            </w:pPr>
            <w:r>
              <w:t>1 Jan 2005 (see r. 2)</w:t>
            </w:r>
          </w:p>
        </w:tc>
      </w:tr>
      <w:tr>
        <w:tc>
          <w:tcPr>
            <w:tcW w:w="3119" w:type="dxa"/>
            <w:tcBorders>
              <w:bottom w:val="single" w:sz="8" w:space="0" w:color="auto"/>
            </w:tcBorders>
          </w:tcPr>
          <w:p>
            <w:pPr>
              <w:pStyle w:val="nTable"/>
              <w:rPr>
                <w:i/>
                <w:noProof/>
                <w:snapToGrid w:val="0"/>
              </w:rPr>
            </w:pPr>
            <w:r>
              <w:rPr>
                <w:i/>
                <w:noProof/>
                <w:snapToGrid w:val="0"/>
              </w:rPr>
              <w:t>Taxation Administration Amendment Regulations 2005</w:t>
            </w:r>
          </w:p>
        </w:tc>
        <w:tc>
          <w:tcPr>
            <w:tcW w:w="1276" w:type="dxa"/>
            <w:tcBorders>
              <w:bottom w:val="single" w:sz="8" w:space="0" w:color="auto"/>
            </w:tcBorders>
          </w:tcPr>
          <w:p>
            <w:pPr>
              <w:pStyle w:val="nTable"/>
            </w:pPr>
            <w:r>
              <w:t>13 Dec 2005 p. 5992-3</w:t>
            </w:r>
          </w:p>
        </w:tc>
        <w:tc>
          <w:tcPr>
            <w:tcW w:w="2693" w:type="dxa"/>
            <w:tcBorders>
              <w:bottom w:val="single" w:sz="8" w:space="0" w:color="auto"/>
            </w:tcBorders>
          </w:tcPr>
          <w:p>
            <w:pPr>
              <w:pStyle w:val="nTable"/>
            </w:pPr>
            <w:r>
              <w:t>13 Dec 2005</w:t>
            </w:r>
          </w:p>
        </w:tc>
      </w:tr>
    </w:tbl>
    <w:p>
      <w:bookmarkStart w:id="51" w:name="UpToHere"/>
      <w:bookmarkEnd w:id="51"/>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69C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F4C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36CC2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F8AA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D7E6B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DCC1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D82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6BAD9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7423DC"/>
    <w:lvl w:ilvl="0">
      <w:start w:val="1"/>
      <w:numFmt w:val="decimal"/>
      <w:pStyle w:val="ListNumber"/>
      <w:lvlText w:val="%1."/>
      <w:lvlJc w:val="left"/>
      <w:pPr>
        <w:tabs>
          <w:tab w:val="num" w:pos="360"/>
        </w:tabs>
        <w:ind w:left="360" w:hanging="360"/>
      </w:pPr>
    </w:lvl>
  </w:abstractNum>
  <w:abstractNum w:abstractNumId="9">
    <w:nsid w:val="FFFFFF89"/>
    <w:multiLevelType w:val="singleLevel"/>
    <w:tmpl w:val="725CAE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CA0F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396C6A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58"/>
    <w:docVar w:name="WAFER_20151210154858" w:val="RemoveTrackChanges"/>
    <w:docVar w:name="WAFER_20151210154858_GUID" w:val="c22ccf1d-aef4-427a-9484-9d3e2553b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1715</Words>
  <Characters>8700</Characters>
  <Application>Microsoft Office Word</Application>
  <DocSecurity>0</DocSecurity>
  <Lines>263</Lines>
  <Paragraphs>167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2003 - 00-d0-04</dc:title>
  <dc:subject/>
  <dc:creator/>
  <cp:keywords/>
  <dc:description/>
  <cp:lastModifiedBy>svcMRProcess</cp:lastModifiedBy>
  <cp:revision>4</cp:revision>
  <cp:lastPrinted>2003-06-28T02:09:00Z</cp:lastPrinted>
  <dcterms:created xsi:type="dcterms:W3CDTF">2015-12-15T01:10:00Z</dcterms:created>
  <dcterms:modified xsi:type="dcterms:W3CDTF">2015-12-15T01:10:00Z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20051213</vt:lpwstr>
  </property>
  <property fmtid="{D5CDD505-2E9C-101B-9397-08002B2CF9AE}" pid="4" name="DocumentType">
    <vt:lpwstr>Reg</vt:lpwstr>
  </property>
  <property fmtid="{D5CDD505-2E9C-101B-9397-08002B2CF9AE}" pid="5" name="OwlsUID">
    <vt:i4>15940</vt:i4>
  </property>
  <property fmtid="{D5CDD505-2E9C-101B-9397-08002B2CF9AE}" pid="6" name="AsAtDate">
    <vt:lpwstr>13 Dec 2005</vt:lpwstr>
  </property>
  <property fmtid="{D5CDD505-2E9C-101B-9397-08002B2CF9AE}" pid="7" name="Suffix">
    <vt:lpwstr>00-d0-04</vt:lpwstr>
  </property>
</Properties>
</file>