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2200"/>
        <w:outlineLvl w:val="0"/>
      </w:pPr>
      <w:r>
        <w:fldChar w:fldCharType="begin"/>
      </w:r>
      <w:r>
        <w:instrText xml:space="preserve"> STYLEREF "Name Of Act/Reg"</w:instrText>
      </w:r>
      <w:r>
        <w:fldChar w:fldCharType="separate"/>
      </w:r>
      <w:r>
        <w:rPr>
          <w:noProof/>
        </w:rPr>
        <w:t>Fair Trading (Retirement Villages Interim Code) Regulations (No. 2) 2021</w:t>
      </w:r>
      <w:r>
        <w:fldChar w:fldCharType="end"/>
      </w:r>
    </w:p>
    <w:p>
      <w:pPr>
        <w:pStyle w:val="Subsection"/>
      </w:pPr>
      <w:bookmarkStart w:id="1" w:name="_Hlk83302527"/>
      <w:r>
        <w:tab/>
      </w:r>
      <w:r>
        <w:tab/>
        <w:t>These regulations expired at the end of 31 Mar 2022 (see r. 4).</w:t>
      </w:r>
    </w:p>
    <w:bookmarkEnd w:id="1"/>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(No. 2) 2021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_Toc98426627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_Toc98426628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_Toc98426629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_Toc98426630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 and boxed and shaded paragraphs in code of practice</w:t>
      </w:r>
      <w:r>
        <w:tab/>
      </w:r>
      <w:r>
        <w:fldChar w:fldCharType="begin"/>
      </w:r>
      <w:r>
        <w:instrText xml:space="preserve"> PAGEREF _Toc98426631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Interim Code of Practice for Retirement Villages (No. 2) 2021</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_Toc98426634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_Toc98426635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_Toc98426636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_Toc98426637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_Toc98426638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_Toc98426640 \h </w:instrText>
      </w:r>
      <w:r>
        <w:fldChar w:fldCharType="separate"/>
      </w:r>
      <w:r>
        <w:t>12</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_Toc98426641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_Toc98426642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_Toc98426643 \h </w:instrText>
      </w:r>
      <w:r>
        <w:fldChar w:fldCharType="separate"/>
      </w:r>
      <w:r>
        <w:t>13</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_Toc98426644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Prospective resident’s right to information before entering into service contract</w:t>
      </w:r>
    </w:p>
    <w:p>
      <w:pPr>
        <w:pStyle w:val="TOC8"/>
        <w:rPr>
          <w:rFonts w:asciiTheme="minorHAnsi" w:eastAsiaTheme="minorEastAsia" w:hAnsiTheme="minorHAnsi" w:cstheme="minorBidi"/>
          <w:szCs w:val="22"/>
        </w:rPr>
      </w:pPr>
      <w:r>
        <w:t>11.</w:t>
      </w:r>
      <w:r>
        <w:tab/>
        <w:t>Before entering into service contract</w:t>
      </w:r>
      <w:r>
        <w:tab/>
      </w:r>
      <w:r>
        <w:fldChar w:fldCharType="begin"/>
      </w:r>
      <w:r>
        <w:instrText xml:space="preserve"> PAGEREF _Toc98426646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Service contract</w:t>
      </w:r>
    </w:p>
    <w:p>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_Toc98426648 \h </w:instrText>
      </w:r>
      <w:r>
        <w:fldChar w:fldCharType="separate"/>
      </w:r>
      <w:r>
        <w:t>14</w:t>
      </w:r>
      <w:r>
        <w:fldChar w:fldCharType="end"/>
      </w:r>
    </w:p>
    <w:p>
      <w:pPr>
        <w:pStyle w:val="TOC8"/>
        <w:rPr>
          <w:rFonts w:asciiTheme="minorHAnsi" w:eastAsiaTheme="minorEastAsia" w:hAnsiTheme="minorHAnsi" w:cstheme="minorBidi"/>
          <w:szCs w:val="22"/>
        </w:rPr>
      </w:pPr>
      <w:r>
        <w:t>13.</w:t>
      </w:r>
      <w:r>
        <w:tab/>
        <w:t>Services</w:t>
      </w:r>
      <w:r>
        <w:tab/>
      </w:r>
      <w:r>
        <w:fldChar w:fldCharType="begin"/>
      </w:r>
      <w:r>
        <w:instrText xml:space="preserve"> PAGEREF _Toc98426649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_Toc98426651 \h </w:instrText>
      </w:r>
      <w:r>
        <w:fldChar w:fldCharType="separate"/>
      </w:r>
      <w:r>
        <w:t>16</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_Toc98426652 \h </w:instrText>
      </w:r>
      <w:r>
        <w:fldChar w:fldCharType="separate"/>
      </w:r>
      <w:r>
        <w:t>17</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_Toc98426653 \h </w:instrText>
      </w:r>
      <w:r>
        <w:fldChar w:fldCharType="separate"/>
      </w:r>
      <w:r>
        <w:t>20</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_Toc98426654 \h </w:instrText>
      </w:r>
      <w:r>
        <w:fldChar w:fldCharType="separate"/>
      </w:r>
      <w:r>
        <w:t>21</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_Toc98426655 \h </w:instrText>
      </w:r>
      <w:r>
        <w:fldChar w:fldCharType="separate"/>
      </w:r>
      <w:r>
        <w:t>25</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_Toc98426656 \h </w:instrText>
      </w:r>
      <w:r>
        <w:fldChar w:fldCharType="separate"/>
      </w:r>
      <w:r>
        <w:t>26</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_Toc98426657 \h </w:instrText>
      </w:r>
      <w:r>
        <w:fldChar w:fldCharType="separate"/>
      </w:r>
      <w:r>
        <w:t>28</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_Toc98426658 \h </w:instrText>
      </w:r>
      <w:r>
        <w:fldChar w:fldCharType="separate"/>
      </w:r>
      <w:r>
        <w:t>28</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_Toc98426659 \h </w:instrText>
      </w:r>
      <w:r>
        <w:fldChar w:fldCharType="separate"/>
      </w:r>
      <w:r>
        <w:t>28</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_Toc98426660 \h </w:instrText>
      </w:r>
      <w:r>
        <w:fldChar w:fldCharType="separate"/>
      </w:r>
      <w:r>
        <w:t>30</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_Toc98426661 \h </w:instrText>
      </w:r>
      <w:r>
        <w:fldChar w:fldCharType="separate"/>
      </w:r>
      <w:r>
        <w:t>31</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_Toc98426662 \h </w:instrText>
      </w:r>
      <w:r>
        <w:fldChar w:fldCharType="separate"/>
      </w:r>
      <w:r>
        <w:t>32</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_Toc98426663 \h </w:instrText>
      </w:r>
      <w:r>
        <w:fldChar w:fldCharType="separate"/>
      </w:r>
      <w:r>
        <w:t>34</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_Toc98426664 \h </w:instrText>
      </w:r>
      <w:r>
        <w:fldChar w:fldCharType="separate"/>
      </w:r>
      <w:r>
        <w:t>37</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_Toc98426665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_Toc98426667 \h </w:instrText>
      </w:r>
      <w:r>
        <w:fldChar w:fldCharType="separate"/>
      </w:r>
      <w:r>
        <w:t>41</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_Toc98426668 \h </w:instrText>
      </w:r>
      <w:r>
        <w:fldChar w:fldCharType="separate"/>
      </w:r>
      <w:r>
        <w:t>41</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_Toc98426669 \h </w:instrText>
      </w:r>
      <w:r>
        <w:fldChar w:fldCharType="separate"/>
      </w:r>
      <w:r>
        <w:t>43</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_Toc98426670 \h </w:instrText>
      </w:r>
      <w:r>
        <w:fldChar w:fldCharType="separate"/>
      </w:r>
      <w:r>
        <w:t>46</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_Toc98426671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_Toc98426673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_Toc98426675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lastRenderedPageBreak/>
        <w:t>Appendix 1 — Checklist for prospective resident</w:t>
      </w:r>
    </w:p>
    <w:p>
      <w:pPr>
        <w:pStyle w:val="TOC4"/>
        <w:tabs>
          <w:tab w:val="right" w:leader="dot" w:pos="7077"/>
        </w:tabs>
        <w:rPr>
          <w:rFonts w:asciiTheme="minorHAnsi" w:eastAsiaTheme="minorEastAsia" w:hAnsiTheme="minorHAnsi" w:cstheme="minorBidi"/>
          <w:b w:val="0"/>
          <w:szCs w:val="22"/>
        </w:rPr>
      </w:pPr>
      <w:r>
        <w:t>Appendix 2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_Toc98426679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Fair Trading Act 2010</w:t>
      </w:r>
    </w:p>
    <w:p>
      <w:pPr>
        <w:pStyle w:val="NameofActReg"/>
      </w:pPr>
      <w:r>
        <w:t>Fair Trading (Retirement Villages Interim Code) Regulations (No. 2) 2021</w:t>
      </w:r>
    </w:p>
    <w:p>
      <w:pPr>
        <w:pStyle w:val="Heading5"/>
      </w:pPr>
      <w:bookmarkStart w:id="4" w:name="_Toc98426627"/>
      <w:r>
        <w:rPr>
          <w:rStyle w:val="CharSectno"/>
        </w:rPr>
        <w:t>1</w:t>
      </w:r>
      <w:r>
        <w:t>.</w:t>
      </w:r>
      <w:r>
        <w:tab/>
        <w:t>Citation</w:t>
      </w:r>
      <w:bookmarkEnd w:id="4"/>
    </w:p>
    <w:p>
      <w:pPr>
        <w:pStyle w:val="Subsection"/>
      </w:pPr>
      <w:r>
        <w:tab/>
      </w:r>
      <w:r>
        <w:tab/>
      </w:r>
      <w:bookmarkStart w:id="5" w:name="Start_Cursor"/>
      <w:bookmarkEnd w:id="5"/>
      <w:r>
        <w:t xml:space="preserve">These </w:t>
      </w:r>
      <w:r>
        <w:rPr>
          <w:spacing w:val="-2"/>
        </w:rPr>
        <w:t>regulations</w:t>
      </w:r>
      <w:r>
        <w:t xml:space="preserve"> are the </w:t>
      </w:r>
      <w:r>
        <w:rPr>
          <w:i/>
        </w:rPr>
        <w:t>Fair Trading (Retirement Villages Interim Code) Regulations (No. 2) 2021</w:t>
      </w:r>
      <w:r>
        <w:t>.</w:t>
      </w:r>
    </w:p>
    <w:p>
      <w:pPr>
        <w:pStyle w:val="Heading5"/>
        <w:rPr>
          <w:spacing w:val="-2"/>
        </w:rPr>
      </w:pPr>
      <w:bookmarkStart w:id="6" w:name="_Toc98426628"/>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2021.</w:t>
      </w:r>
    </w:p>
    <w:p>
      <w:pPr>
        <w:pStyle w:val="Heading5"/>
        <w:rPr>
          <w:snapToGrid w:val="0"/>
        </w:rPr>
      </w:pPr>
      <w:bookmarkStart w:id="7" w:name="_Toc98426629"/>
      <w:r>
        <w:rPr>
          <w:rStyle w:val="CharSectno"/>
        </w:rPr>
        <w:t>3</w:t>
      </w:r>
      <w:r>
        <w:rPr>
          <w:snapToGrid w:val="0"/>
        </w:rPr>
        <w:t>.</w:t>
      </w:r>
      <w:r>
        <w:rPr>
          <w:snapToGrid w:val="0"/>
        </w:rPr>
        <w:tab/>
        <w:t>Code of practice prescribed</w:t>
      </w:r>
      <w:bookmarkEnd w:id="7"/>
    </w:p>
    <w:p>
      <w:pPr>
        <w:pStyle w:val="Subsection"/>
      </w:pPr>
      <w:r>
        <w:tab/>
        <w:t>(1)</w:t>
      </w:r>
      <w:r>
        <w:tab/>
        <w:t xml:space="preserve">The code of practice set out in Schedule 1 and cited as the </w:t>
      </w:r>
      <w:r>
        <w:rPr>
          <w:rStyle w:val="CharSchText"/>
          <w:i/>
        </w:rPr>
        <w:t>Interim Code of Practice for Retirement Villages (No. 2) 2021</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Practice for Retirement Villages (No. 2) 2021 </w:t>
      </w:r>
      <w:r>
        <w:t>has effect for the period of 6 months beginning on 1 October 2021.</w:t>
      </w:r>
    </w:p>
    <w:p>
      <w:pPr>
        <w:pStyle w:val="Heading5"/>
      </w:pPr>
      <w:bookmarkStart w:id="8" w:name="_Toc98426630"/>
      <w:r>
        <w:rPr>
          <w:rStyle w:val="CharSectno"/>
        </w:rPr>
        <w:t>4</w:t>
      </w:r>
      <w:r>
        <w:t>.</w:t>
      </w:r>
      <w:r>
        <w:tab/>
        <w:t>Expiry</w:t>
      </w:r>
      <w:bookmarkEnd w:id="8"/>
    </w:p>
    <w:p>
      <w:pPr>
        <w:pStyle w:val="Subsection"/>
        <w:rPr>
          <w:spacing w:val="-2"/>
        </w:rPr>
      </w:pPr>
      <w:r>
        <w:tab/>
      </w:r>
      <w:r>
        <w:tab/>
        <w:t xml:space="preserve">These </w:t>
      </w:r>
      <w:r>
        <w:rPr>
          <w:spacing w:val="-2"/>
        </w:rPr>
        <w:t>regulations expire at the end of 31 March 2022.</w:t>
      </w:r>
    </w:p>
    <w:p>
      <w:pPr>
        <w:pStyle w:val="Heading5"/>
      </w:pPr>
      <w:bookmarkStart w:id="9" w:name="_Toc98426631"/>
      <w:r>
        <w:rPr>
          <w:rStyle w:val="CharSectno"/>
        </w:rPr>
        <w:lastRenderedPageBreak/>
        <w:t>5</w:t>
      </w:r>
      <w:r>
        <w:t>.</w:t>
      </w:r>
      <w:r>
        <w:tab/>
        <w:t>Terms used and boxed and shaded paragraphs in code of practice</w:t>
      </w:r>
      <w:bookmarkEnd w:id="9"/>
    </w:p>
    <w:p>
      <w:pPr>
        <w:pStyle w:val="Subsection"/>
      </w:pPr>
      <w:r>
        <w:tab/>
        <w:t>(1)</w:t>
      </w:r>
      <w:r>
        <w:tab/>
        <w:t xml:space="preserve">Except where the contrary intention appears, a term used in the </w:t>
      </w:r>
      <w:r>
        <w:rPr>
          <w:i/>
        </w:rPr>
        <w:t xml:space="preserve">Interim Code of Practice for Retirement Villages (No. 2) 2021 </w:t>
      </w:r>
      <w:r>
        <w:t xml:space="preserve">has the same meaning as it has in the </w:t>
      </w:r>
      <w:r>
        <w:rPr>
          <w:i/>
        </w:rPr>
        <w:t>Retirement Villages Act 1992</w:t>
      </w:r>
      <w:r>
        <w:t>.</w:t>
      </w:r>
    </w:p>
    <w:p>
      <w:pPr>
        <w:pStyle w:val="Subsection"/>
      </w:pPr>
      <w:r>
        <w:tab/>
        <w:t>(2)</w:t>
      </w:r>
      <w:r>
        <w:tab/>
        <w:t xml:space="preserve">Boxed and shaded paragraphs in the </w:t>
      </w:r>
      <w:r>
        <w:rPr>
          <w:i/>
        </w:rPr>
        <w:t>Interim Code of Practice for Retirement Villages (No. 2) 2021</w:t>
      </w:r>
      <w:r>
        <w:t xml:space="preserve"> are not part of the Code and are included only to assist readers of the Code.</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rPr>
          <w:sz w:val="24"/>
        </w:rPr>
      </w:pPr>
      <w:bookmarkStart w:id="10" w:name="_Toc83714636"/>
      <w:bookmarkStart w:id="11" w:name="_Toc83715344"/>
      <w:bookmarkStart w:id="12" w:name="_Toc83715398"/>
      <w:bookmarkStart w:id="13" w:name="_Toc83715634"/>
      <w:bookmarkStart w:id="14" w:name="_Toc83717579"/>
      <w:bookmarkStart w:id="15" w:name="_Toc98401293"/>
      <w:bookmarkStart w:id="16" w:name="_Toc98426456"/>
      <w:bookmarkStart w:id="17" w:name="_Toc98426632"/>
      <w:r>
        <w:rPr>
          <w:rStyle w:val="CharSchNo"/>
        </w:rPr>
        <w:lastRenderedPageBreak/>
        <w:t>Schedule 1</w:t>
      </w:r>
      <w:r>
        <w:t> — </w:t>
      </w:r>
      <w:r>
        <w:rPr>
          <w:rStyle w:val="CharSchText"/>
          <w:i/>
        </w:rPr>
        <w:t>Interim Code of Practice for Retirement Villages (No. 2) 2021</w:t>
      </w:r>
      <w:bookmarkEnd w:id="10"/>
      <w:bookmarkEnd w:id="11"/>
      <w:bookmarkEnd w:id="12"/>
      <w:bookmarkEnd w:id="13"/>
      <w:bookmarkEnd w:id="14"/>
      <w:bookmarkEnd w:id="15"/>
      <w:bookmarkEnd w:id="16"/>
      <w:bookmarkEnd w:id="17"/>
    </w:p>
    <w:p>
      <w:pPr>
        <w:pStyle w:val="yShoulderClause"/>
      </w:pPr>
      <w:r>
        <w:t>[r. 3(1)]</w:t>
      </w:r>
    </w:p>
    <w:p>
      <w:pPr>
        <w:pStyle w:val="yMiscellaneousBody"/>
        <w:pBdr>
          <w:top w:val="single" w:sz="4" w:space="1" w:color="auto"/>
          <w:left w:val="single" w:sz="4" w:space="4"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szCs w:val="22"/>
        </w:rPr>
        <w:t xml:space="preserve">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w:t>
      </w:r>
      <w:r>
        <w:t>strata title, community title or</w:t>
      </w:r>
      <w:r>
        <w:rPr>
          <w:szCs w:val="22"/>
        </w:rPr>
        <w:t xml:space="preserve"> freehold title. Retirement villages also differ widely with regard to the nature of care and other amenities and services that may be available.</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szCs w:val="22"/>
        </w:rPr>
      </w:pPr>
      <w:r>
        <w:rPr>
          <w:b/>
          <w:szCs w:val="22"/>
        </w:rPr>
        <w:lastRenderedPageBreak/>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w:t>
      </w:r>
    </w:p>
    <w:p>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sectPr>
          <w:headerReference w:type="even" r:id="rId24"/>
          <w:headerReference w:type="default" r:id="rId25"/>
          <w:pgSz w:w="11907" w:h="16840" w:code="9"/>
          <w:pgMar w:top="2381" w:right="2410" w:bottom="3544" w:left="2410" w:header="720" w:footer="3544" w:gutter="0"/>
          <w:cols w:space="720"/>
        </w:sectPr>
      </w:pPr>
    </w:p>
    <w:p>
      <w:pPr>
        <w:pStyle w:val="yHeading3"/>
      </w:pPr>
      <w:bookmarkStart w:id="18" w:name="_Toc83714637"/>
      <w:bookmarkStart w:id="19" w:name="_Toc83715345"/>
      <w:bookmarkStart w:id="20" w:name="_Toc83715399"/>
      <w:bookmarkStart w:id="21" w:name="_Toc83715635"/>
      <w:bookmarkStart w:id="22" w:name="_Toc83717580"/>
      <w:bookmarkStart w:id="23" w:name="_Toc98401294"/>
      <w:bookmarkStart w:id="24" w:name="_Toc98426457"/>
      <w:bookmarkStart w:id="25" w:name="_Toc98426633"/>
      <w:r>
        <w:rPr>
          <w:rStyle w:val="CharSDivNo"/>
        </w:rPr>
        <w:lastRenderedPageBreak/>
        <w:t>Division 1</w:t>
      </w:r>
      <w:r>
        <w:t> — </w:t>
      </w:r>
      <w:r>
        <w:rPr>
          <w:rStyle w:val="CharSDivText"/>
        </w:rPr>
        <w:t>Preliminary</w:t>
      </w:r>
      <w:bookmarkEnd w:id="18"/>
      <w:bookmarkEnd w:id="19"/>
      <w:bookmarkEnd w:id="20"/>
      <w:bookmarkEnd w:id="21"/>
      <w:bookmarkEnd w:id="22"/>
      <w:bookmarkEnd w:id="23"/>
      <w:bookmarkEnd w:id="24"/>
      <w:bookmarkEnd w:id="25"/>
    </w:p>
    <w:p>
      <w:pPr>
        <w:pStyle w:val="yHeading5"/>
      </w:pPr>
      <w:bookmarkStart w:id="26" w:name="_Toc98426634"/>
      <w:r>
        <w:rPr>
          <w:rStyle w:val="CharSClsNo"/>
        </w:rPr>
        <w:t>1</w:t>
      </w:r>
      <w:r>
        <w:t>.</w:t>
      </w:r>
      <w:r>
        <w:tab/>
        <w:t>Citation</w:t>
      </w:r>
      <w:bookmarkEnd w:id="26"/>
    </w:p>
    <w:p>
      <w:pPr>
        <w:pStyle w:val="ySubsection"/>
        <w:rPr>
          <w:szCs w:val="22"/>
        </w:rPr>
      </w:pPr>
      <w:r>
        <w:rPr>
          <w:sz w:val="24"/>
        </w:rPr>
        <w:tab/>
      </w:r>
      <w:r>
        <w:rPr>
          <w:sz w:val="24"/>
        </w:rPr>
        <w:tab/>
      </w:r>
      <w:r>
        <w:rPr>
          <w:szCs w:val="22"/>
        </w:rPr>
        <w:t xml:space="preserve">This Code is the </w:t>
      </w:r>
      <w:r>
        <w:rPr>
          <w:i/>
        </w:rPr>
        <w:t>Interim Code of Practice for Retirement Villages (No. 2) 2021</w:t>
      </w:r>
      <w:r>
        <w:t>.</w:t>
      </w:r>
    </w:p>
    <w:p>
      <w:pPr>
        <w:pStyle w:val="yMiscellaneousBody"/>
        <w:pBdr>
          <w:top w:val="single" w:sz="4" w:space="0" w:color="auto"/>
          <w:left w:val="single" w:sz="4" w:space="4"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recurrent charge</w:t>
      </w:r>
      <w:r>
        <w:rPr>
          <w:szCs w:val="22"/>
        </w:rPr>
        <w:t xml:space="preserve"> means any amount (including rent) payable by a resident to the administering body of a retirement village on a recurrent basis;</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lastRenderedPageBreak/>
        <w:tab/>
        <w:t>(h)</w:t>
      </w:r>
      <w:r>
        <w:rPr>
          <w:szCs w:val="22"/>
        </w:rPr>
        <w:tab/>
        <w:t>any other services,</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pPr>
        <w:pStyle w:val="yHeading5"/>
      </w:pPr>
      <w:bookmarkStart w:id="27" w:name="_Toc98426635"/>
      <w:r>
        <w:rPr>
          <w:rStyle w:val="CharSClsNo"/>
        </w:rPr>
        <w:t>2</w:t>
      </w:r>
      <w:r>
        <w:t>.</w:t>
      </w:r>
      <w:r>
        <w:tab/>
        <w:t>Application</w:t>
      </w:r>
      <w:bookmarkEnd w:id="27"/>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as defined in the </w:t>
      </w:r>
      <w:r>
        <w:rPr>
          <w:i/>
        </w:rPr>
        <w:t>Aged Care Quality and Safety Commission Act 2018</w:t>
      </w:r>
      <w:r>
        <w:t xml:space="preserve"> (Commonwealth) section 7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as defined in the </w:t>
      </w:r>
      <w:r>
        <w:rPr>
          <w:i/>
        </w:rPr>
        <w:t>Aged Care Act 1997</w:t>
      </w:r>
      <w:r>
        <w:t xml:space="preserve"> (Commonwealth) Schedule 1;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as defined in the </w:t>
      </w:r>
      <w:r>
        <w:rPr>
          <w:i/>
        </w:rPr>
        <w:t>Aged Care Act 1997</w:t>
      </w:r>
      <w:r>
        <w:t xml:space="preserve"> (Commonwealth) Schedule 1.</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 xml:space="preserve">If a contract, agreement or arrangement made or entered into before the commencement of this Code is silent on a matter with which </w:t>
      </w:r>
      <w:r>
        <w:lastRenderedPageBreak/>
        <w:t>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28" w:name="_Toc98426636"/>
      <w:r>
        <w:rPr>
          <w:rStyle w:val="CharSClsNo"/>
        </w:rPr>
        <w:t>3</w:t>
      </w:r>
      <w:r>
        <w:t>.</w:t>
      </w:r>
      <w:r>
        <w:tab/>
        <w:t>General principles</w:t>
      </w:r>
      <w:bookmarkEnd w:id="28"/>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29" w:name="_Toc98426637"/>
      <w:r>
        <w:rPr>
          <w:rStyle w:val="CharSClsNo"/>
        </w:rPr>
        <w:t>4</w:t>
      </w:r>
      <w:r>
        <w:t>.</w:t>
      </w:r>
      <w:r>
        <w:tab/>
        <w:t>Objectives of Code</w:t>
      </w:r>
      <w:bookmarkEnd w:id="29"/>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lastRenderedPageBreak/>
        <w:tab/>
        <w:t>(c)</w:t>
      </w:r>
      <w:r>
        <w:tab/>
        <w:t>require the disclosure of all relevant information to a person who is considering becoming a resident of a retirement village; and</w:t>
      </w:r>
    </w:p>
    <w:p>
      <w:pPr>
        <w:pStyle w:val="yIndenta"/>
        <w:keepNext/>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lastRenderedPageBreak/>
        <w:t>(f)</w:t>
      </w:r>
      <w:r>
        <w:rPr>
          <w:szCs w:val="22"/>
        </w:rPr>
        <w:tab/>
        <w:t>if there is a dispute, the administering body documenting the concerns raised and actions taken to resolve the dispute; and</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30" w:name="_Toc98426638"/>
      <w:r>
        <w:rPr>
          <w:rStyle w:val="CharSClsNo"/>
        </w:rPr>
        <w:t>5</w:t>
      </w:r>
      <w:r>
        <w:t>.</w:t>
      </w:r>
      <w:r>
        <w:tab/>
        <w:t>Resident’s rights</w:t>
      </w:r>
      <w:bookmarkEnd w:id="30"/>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w:t>
      </w:r>
      <w:r>
        <w:t xml:space="preserve">apply. If residential premises in a retirement village are community titles under the </w:t>
      </w:r>
      <w:r>
        <w:rPr>
          <w:i/>
        </w:rPr>
        <w:t>Community Titles Act 2018</w:t>
      </w:r>
      <w:r>
        <w:t xml:space="preserve"> then the provisions of that Act and any relevant by</w:t>
      </w:r>
      <w:r>
        <w:noBreakHyphen/>
        <w:t>laws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keepLines/>
      </w:pPr>
      <w:bookmarkStart w:id="31" w:name="_Toc83714643"/>
      <w:bookmarkStart w:id="32" w:name="_Toc83715351"/>
      <w:bookmarkStart w:id="33" w:name="_Toc83715405"/>
      <w:bookmarkStart w:id="34" w:name="_Toc83715641"/>
      <w:bookmarkStart w:id="35" w:name="_Toc83717586"/>
      <w:bookmarkStart w:id="36" w:name="_Toc98401300"/>
      <w:bookmarkStart w:id="37" w:name="_Toc98426463"/>
      <w:bookmarkStart w:id="38" w:name="_Toc98426639"/>
      <w:r>
        <w:rPr>
          <w:rStyle w:val="CharSDivNo"/>
        </w:rPr>
        <w:lastRenderedPageBreak/>
        <w:t>Division 2</w:t>
      </w:r>
      <w:r>
        <w:t> — </w:t>
      </w:r>
      <w:r>
        <w:rPr>
          <w:rStyle w:val="CharSDivText"/>
        </w:rPr>
        <w:t>Advertising and promotion of retirement villages</w:t>
      </w:r>
      <w:bookmarkEnd w:id="31"/>
      <w:bookmarkEnd w:id="32"/>
      <w:bookmarkEnd w:id="33"/>
      <w:bookmarkEnd w:id="34"/>
      <w:bookmarkEnd w:id="35"/>
      <w:bookmarkEnd w:id="36"/>
      <w:bookmarkEnd w:id="37"/>
      <w:bookmarkEnd w:id="38"/>
    </w:p>
    <w:p>
      <w:pPr>
        <w:pStyle w:val="yHeading5"/>
      </w:pPr>
      <w:bookmarkStart w:id="39" w:name="_Toc98426640"/>
      <w:r>
        <w:rPr>
          <w:rStyle w:val="CharSClsNo"/>
        </w:rPr>
        <w:t>6</w:t>
      </w:r>
      <w:r>
        <w:t>.</w:t>
      </w:r>
      <w:r>
        <w:tab/>
        <w:t>General</w:t>
      </w:r>
      <w:bookmarkEnd w:id="39"/>
    </w:p>
    <w:p>
      <w:pPr>
        <w:pStyle w:val="ySubsection"/>
        <w:keepNext/>
        <w:keepLines/>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keepNext/>
        <w:keepLines/>
      </w:pPr>
      <w:r>
        <w:tab/>
        <w:t>(a)</w:t>
      </w:r>
      <w:r>
        <w:tab/>
        <w:t>truthful, accurate and unambiguous; and</w:t>
      </w:r>
    </w:p>
    <w:p>
      <w:pPr>
        <w:pStyle w:val="yIndenta"/>
        <w:keepLines/>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40" w:name="_Toc98426641"/>
      <w:r>
        <w:rPr>
          <w:rStyle w:val="CharSClsNo"/>
        </w:rPr>
        <w:t>7</w:t>
      </w:r>
      <w:r>
        <w:t>.</w:t>
      </w:r>
      <w:r>
        <w:tab/>
        <w:t>Retirement village developments</w:t>
      </w:r>
      <w:bookmarkEnd w:id="40"/>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41" w:name="_Toc98426642"/>
      <w:r>
        <w:rPr>
          <w:rStyle w:val="CharSClsNo"/>
        </w:rPr>
        <w:t>8</w:t>
      </w:r>
      <w:r>
        <w:t>.</w:t>
      </w:r>
      <w:r>
        <w:tab/>
        <w:t>Proposed amenities and services</w:t>
      </w:r>
      <w:bookmarkEnd w:id="41"/>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lastRenderedPageBreak/>
        <w:tab/>
      </w:r>
      <w:r>
        <w:tab/>
        <w:t>and</w:t>
      </w:r>
    </w:p>
    <w:p>
      <w:pPr>
        <w:pStyle w:val="yIndenta"/>
      </w:pPr>
      <w:r>
        <w:tab/>
        <w:t>(b)</w:t>
      </w:r>
      <w:r>
        <w:tab/>
        <w:t>state any charges or conditions that apply to the residents’ access to, or use of, those amenities or services.</w:t>
      </w:r>
    </w:p>
    <w:p>
      <w:pPr>
        <w:pStyle w:val="yHeading5"/>
      </w:pPr>
      <w:bookmarkStart w:id="42" w:name="_Toc98426643"/>
      <w:r>
        <w:rPr>
          <w:rStyle w:val="CharSClsNo"/>
        </w:rPr>
        <w:t>9</w:t>
      </w:r>
      <w:r>
        <w:t>.</w:t>
      </w:r>
      <w:r>
        <w:tab/>
        <w:t>Approvals for facilities that provide residential aged care services</w:t>
      </w:r>
      <w:bookmarkEnd w:id="42"/>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43" w:name="_Toc98426644"/>
      <w:r>
        <w:rPr>
          <w:rStyle w:val="CharSClsNo"/>
        </w:rPr>
        <w:t>10</w:t>
      </w:r>
      <w:r>
        <w:t>.</w:t>
      </w:r>
      <w:r>
        <w:tab/>
        <w:t>Access to residential aged care services</w:t>
      </w:r>
      <w:bookmarkEnd w:id="43"/>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clause 1 must be included in the promotional or sales material.</w:t>
      </w:r>
    </w:p>
    <w:p>
      <w:pPr>
        <w:pStyle w:val="yHeading3"/>
      </w:pPr>
      <w:bookmarkStart w:id="44" w:name="_Toc83714649"/>
      <w:bookmarkStart w:id="45" w:name="_Toc83715357"/>
      <w:bookmarkStart w:id="46" w:name="_Toc83715411"/>
      <w:bookmarkStart w:id="47" w:name="_Toc83715647"/>
      <w:bookmarkStart w:id="48" w:name="_Toc83717592"/>
      <w:bookmarkStart w:id="49" w:name="_Toc98401306"/>
      <w:bookmarkStart w:id="50" w:name="_Toc98426469"/>
      <w:bookmarkStart w:id="51" w:name="_Toc98426645"/>
      <w:r>
        <w:rPr>
          <w:rStyle w:val="CharSDivNo"/>
        </w:rPr>
        <w:t>Division 3</w:t>
      </w:r>
      <w:r>
        <w:t> — </w:t>
      </w:r>
      <w:r>
        <w:rPr>
          <w:rStyle w:val="CharSDivText"/>
        </w:rPr>
        <w:t>Prospective resident’s right to information before entering into service contract</w:t>
      </w:r>
      <w:bookmarkEnd w:id="44"/>
      <w:bookmarkEnd w:id="45"/>
      <w:bookmarkEnd w:id="46"/>
      <w:bookmarkEnd w:id="47"/>
      <w:bookmarkEnd w:id="48"/>
      <w:bookmarkEnd w:id="49"/>
      <w:bookmarkEnd w:id="50"/>
      <w:bookmarkEnd w:id="51"/>
    </w:p>
    <w:p>
      <w:pPr>
        <w:pStyle w:val="yHeading5"/>
      </w:pPr>
      <w:bookmarkStart w:id="52" w:name="_Toc98426646"/>
      <w:r>
        <w:rPr>
          <w:rStyle w:val="CharSClsNo"/>
        </w:rPr>
        <w:t>11</w:t>
      </w:r>
      <w:r>
        <w:t>.</w:t>
      </w:r>
      <w:r>
        <w:tab/>
        <w:t>Before entering into service contract</w:t>
      </w:r>
      <w:bookmarkEnd w:id="52"/>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lastRenderedPageBreak/>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53" w:name="_Toc83714651"/>
      <w:bookmarkStart w:id="54" w:name="_Toc83715359"/>
      <w:bookmarkStart w:id="55" w:name="_Toc83715413"/>
      <w:bookmarkStart w:id="56" w:name="_Toc83715649"/>
      <w:bookmarkStart w:id="57" w:name="_Toc83717594"/>
      <w:bookmarkStart w:id="58" w:name="_Toc98401308"/>
      <w:bookmarkStart w:id="59" w:name="_Toc98426471"/>
      <w:bookmarkStart w:id="60" w:name="_Toc98426647"/>
      <w:r>
        <w:rPr>
          <w:rStyle w:val="CharSDivNo"/>
        </w:rPr>
        <w:t>Division 4</w:t>
      </w:r>
      <w:r>
        <w:t> — </w:t>
      </w:r>
      <w:r>
        <w:rPr>
          <w:rStyle w:val="CharSDivText"/>
        </w:rPr>
        <w:t>Service contract</w:t>
      </w:r>
      <w:bookmarkEnd w:id="53"/>
      <w:bookmarkEnd w:id="54"/>
      <w:bookmarkEnd w:id="55"/>
      <w:bookmarkEnd w:id="56"/>
      <w:bookmarkEnd w:id="57"/>
      <w:bookmarkEnd w:id="58"/>
      <w:bookmarkEnd w:id="59"/>
      <w:bookmarkEnd w:id="60"/>
    </w:p>
    <w:p>
      <w:pPr>
        <w:pStyle w:val="yHeading5"/>
      </w:pPr>
      <w:bookmarkStart w:id="61" w:name="_Toc98426648"/>
      <w:r>
        <w:rPr>
          <w:rStyle w:val="CharSClsNo"/>
        </w:rPr>
        <w:t>12</w:t>
      </w:r>
      <w:r>
        <w:t>.</w:t>
      </w:r>
      <w:r>
        <w:tab/>
        <w:t>Legibility and presentation requirements</w:t>
      </w:r>
      <w:bookmarkEnd w:id="61"/>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lastRenderedPageBreak/>
        <w:t>Rescission of contract</w:t>
      </w:r>
    </w:p>
    <w:p>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and all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62" w:name="_Toc98426649"/>
      <w:r>
        <w:rPr>
          <w:rStyle w:val="CharSClsNo"/>
        </w:rPr>
        <w:t>13</w:t>
      </w:r>
      <w:r>
        <w:t>.</w:t>
      </w:r>
      <w:r>
        <w:tab/>
      </w:r>
      <w:r>
        <w:rPr>
          <w:szCs w:val="22"/>
        </w:rPr>
        <w:t>Services</w:t>
      </w:r>
      <w:bookmarkEnd w:id="62"/>
    </w:p>
    <w:p>
      <w:pPr>
        <w:pStyle w:val="ySubsection"/>
        <w:rPr>
          <w:szCs w:val="22"/>
        </w:rPr>
      </w:pPr>
      <w:r>
        <w:tab/>
        <w:t>(1)</w:t>
      </w:r>
      <w:r>
        <w:tab/>
      </w:r>
      <w:r>
        <w:rPr>
          <w:szCs w:val="22"/>
        </w:rPr>
        <w:t xml:space="preserve">A service contract must state — </w:t>
      </w:r>
    </w:p>
    <w:p>
      <w:pPr>
        <w:pStyle w:val="yIndenta"/>
      </w:pPr>
      <w:r>
        <w:tab/>
        <w:t>(a)</w:t>
      </w:r>
      <w:r>
        <w:tab/>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keepNext/>
        <w:rPr>
          <w:szCs w:val="22"/>
        </w:rPr>
      </w:pPr>
      <w:r>
        <w:lastRenderedPageBreak/>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pPr>
      <w:r>
        <w:tab/>
        <w:t>(a)</w:t>
      </w:r>
      <w:r>
        <w:tab/>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pPr>
      <w:bookmarkStart w:id="63" w:name="_Toc83714654"/>
      <w:bookmarkStart w:id="64" w:name="_Toc83715362"/>
      <w:bookmarkStart w:id="65" w:name="_Toc83715416"/>
      <w:bookmarkStart w:id="66" w:name="_Toc83715652"/>
      <w:bookmarkStart w:id="67" w:name="_Toc83717597"/>
      <w:bookmarkStart w:id="68" w:name="_Toc98401311"/>
      <w:bookmarkStart w:id="69" w:name="_Toc98426474"/>
      <w:bookmarkStart w:id="70" w:name="_Toc98426650"/>
      <w:r>
        <w:rPr>
          <w:rStyle w:val="CharSDivNo"/>
        </w:rPr>
        <w:t>Division 5</w:t>
      </w:r>
      <w:r>
        <w:t> — </w:t>
      </w:r>
      <w:r>
        <w:rPr>
          <w:rStyle w:val="CharSDivText"/>
        </w:rPr>
        <w:t>Village management</w:t>
      </w:r>
      <w:bookmarkEnd w:id="63"/>
      <w:bookmarkEnd w:id="64"/>
      <w:bookmarkEnd w:id="65"/>
      <w:bookmarkEnd w:id="66"/>
      <w:bookmarkEnd w:id="67"/>
      <w:bookmarkEnd w:id="68"/>
      <w:bookmarkEnd w:id="69"/>
      <w:bookmarkEnd w:id="70"/>
    </w:p>
    <w:p>
      <w:pPr>
        <w:pStyle w:val="yHeading5"/>
      </w:pPr>
      <w:bookmarkStart w:id="71" w:name="_Toc98426651"/>
      <w:r>
        <w:rPr>
          <w:rStyle w:val="CharSClsNo"/>
        </w:rPr>
        <w:t>14</w:t>
      </w:r>
      <w:r>
        <w:t>.</w:t>
      </w:r>
      <w:r>
        <w:tab/>
        <w:t>Terms used</w:t>
      </w:r>
      <w:bookmarkEnd w:id="71"/>
    </w:p>
    <w:p>
      <w:pPr>
        <w:pStyle w:val="ySubsection"/>
        <w:keepNext/>
        <w:keepLines/>
        <w:rPr>
          <w:szCs w:val="22"/>
        </w:rPr>
      </w:pPr>
      <w:r>
        <w:tab/>
        <w:t>(1)</w:t>
      </w:r>
      <w:r>
        <w:tab/>
      </w:r>
      <w:r>
        <w:rPr>
          <w:szCs w:val="22"/>
        </w:rPr>
        <w:t xml:space="preserve">In this Division — </w:t>
      </w:r>
    </w:p>
    <w:p>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 Code;</w:t>
      </w:r>
    </w:p>
    <w:p>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lastRenderedPageBreak/>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section 100(2)(a) of that Act; and</w:t>
      </w:r>
    </w:p>
    <w:p>
      <w:pPr>
        <w:pStyle w:val="yDefpara"/>
      </w:pPr>
      <w:r>
        <w:tab/>
        <w:t>(c)</w:t>
      </w:r>
      <w:r>
        <w:tab/>
        <w:t xml:space="preserve">if the village is comprised in a scheme plan for a community titles scheme registered under the </w:t>
      </w:r>
      <w:r>
        <w:rPr>
          <w:i/>
        </w:rPr>
        <w:t>Community Titles Act 2018</w:t>
      </w:r>
      <w:r>
        <w:t>, includes the reserve fund established by the community corporation for the community titles scheme under section 85(1)(b) of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 </w:t>
      </w:r>
    </w:p>
    <w:p>
      <w:pPr>
        <w:pStyle w:val="yDefstart"/>
      </w:pPr>
      <w:r>
        <w:rPr>
          <w:rStyle w:val="CharDefText"/>
          <w:szCs w:val="22"/>
        </w:rPr>
        <w:tab/>
        <w:t>relevant</w:t>
      </w:r>
      <w:r>
        <w:t xml:space="preserve"> and </w:t>
      </w:r>
      <w:r>
        <w:rPr>
          <w:rStyle w:val="CharDefText"/>
          <w:szCs w:val="22"/>
        </w:rPr>
        <w:t>material</w:t>
      </w:r>
      <w:r>
        <w:t xml:space="preserve"> have the same meanings as they have in the Australian Accounting Standards.</w:t>
      </w:r>
    </w:p>
    <w:p>
      <w:pPr>
        <w:pStyle w:val="yHeading5"/>
        <w:rPr>
          <w:szCs w:val="22"/>
        </w:rPr>
      </w:pPr>
      <w:bookmarkStart w:id="72" w:name="_Toc98426652"/>
      <w:r>
        <w:rPr>
          <w:rStyle w:val="CharSClsNo"/>
        </w:rPr>
        <w:t>15</w:t>
      </w:r>
      <w:r>
        <w:t>.</w:t>
      </w:r>
      <w:r>
        <w:tab/>
      </w:r>
      <w:r>
        <w:rPr>
          <w:szCs w:val="22"/>
        </w:rPr>
        <w:t>Special resolutions</w:t>
      </w:r>
      <w:bookmarkEnd w:id="72"/>
    </w:p>
    <w:p>
      <w:pPr>
        <w:pStyle w:val="ySubsection"/>
        <w:rPr>
          <w:szCs w:val="22"/>
        </w:rPr>
      </w:pPr>
      <w:r>
        <w:tab/>
        <w:t>(1)</w:t>
      </w:r>
      <w:r>
        <w:tab/>
      </w:r>
      <w:r>
        <w:rPr>
          <w:szCs w:val="22"/>
        </w:rPr>
        <w:t xml:space="preserve">To pass a special resolution at a meeting of the residents of a retirement village — </w:t>
      </w:r>
    </w:p>
    <w:p>
      <w:pPr>
        <w:pStyle w:val="yIndenta"/>
      </w:pPr>
      <w:r>
        <w:tab/>
        <w:t>(a)</w:t>
      </w:r>
      <w:r>
        <w:tab/>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pPr>
      <w:r>
        <w:tab/>
        <w:t>(i)</w:t>
      </w:r>
      <w:r>
        <w:tab/>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keepNext/>
        <w:keepLines/>
        <w:rPr>
          <w:szCs w:val="22"/>
        </w:rPr>
      </w:pPr>
      <w:r>
        <w:lastRenderedPageBreak/>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w:t>
      </w:r>
      <w:r>
        <w:rPr>
          <w:szCs w:val="22"/>
        </w:rPr>
        <w:t>28</w:t>
      </w:r>
      <w: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lastRenderedPageBreak/>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varying the dispute resolution processes prescribed in this Code (clause 30).</w:t>
      </w:r>
    </w:p>
    <w:p>
      <w:pPr>
        <w:pStyle w:val="yHeading5"/>
      </w:pPr>
      <w:bookmarkStart w:id="73" w:name="_Toc98426653"/>
      <w:r>
        <w:rPr>
          <w:rStyle w:val="CharSClsNo"/>
        </w:rPr>
        <w:lastRenderedPageBreak/>
        <w:t>16</w:t>
      </w:r>
      <w:r>
        <w:t>.</w:t>
      </w:r>
      <w:r>
        <w:tab/>
        <w:t>Management procedures and resident consultation</w:t>
      </w:r>
      <w:bookmarkEnd w:id="73"/>
    </w:p>
    <w:p>
      <w:pPr>
        <w:pStyle w:val="ySubsection"/>
        <w:keepNext/>
        <w:keepLines/>
      </w:pPr>
      <w:r>
        <w:tab/>
        <w:t>(1)</w:t>
      </w:r>
      <w:r>
        <w:tab/>
        <w:t xml:space="preserve">The administering body of a retirement village must — </w:t>
      </w:r>
    </w:p>
    <w:p>
      <w:pPr>
        <w:pStyle w:val="yIndenta"/>
      </w:pPr>
      <w:r>
        <w:tab/>
        <w:t>(a)</w:t>
      </w:r>
      <w:r>
        <w:tab/>
        <w:t>provide prudent, efficient and economical management of the retirement village, having regard to the terms and conditions of the residence contract and any related contracts; and</w:t>
      </w:r>
    </w:p>
    <w:p>
      <w:pPr>
        <w:pStyle w:val="yIndenta"/>
        <w:keepNext/>
        <w:keepLines/>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lastRenderedPageBreak/>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make available to be inspected or copied any document that might reasonably be expected to be material to that request.</w:t>
      </w:r>
    </w:p>
    <w:p>
      <w:pPr>
        <w:pStyle w:val="ySubsection"/>
        <w:keepLines/>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rPr>
          <w:szCs w:val="22"/>
        </w:rPr>
      </w:pPr>
      <w:bookmarkStart w:id="74" w:name="_Toc98426654"/>
      <w:r>
        <w:rPr>
          <w:rStyle w:val="CharSClsNo"/>
        </w:rPr>
        <w:t>17</w:t>
      </w:r>
      <w:r>
        <w:t>.</w:t>
      </w:r>
      <w:r>
        <w:tab/>
      </w:r>
      <w:r>
        <w:rPr>
          <w:szCs w:val="22"/>
        </w:rPr>
        <w:t>Village budget</w:t>
      </w:r>
      <w:bookmarkEnd w:id="74"/>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pPr>
      <w:r>
        <w:tab/>
        <w:t>(i)</w:t>
      </w:r>
      <w:r>
        <w:tab/>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lastRenderedPageBreak/>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lastRenderedPageBreak/>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keepNext/>
        <w:keepLines/>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keepLines/>
        <w:rPr>
          <w:szCs w:val="22"/>
        </w:rPr>
      </w:pPr>
      <w:r>
        <w:tab/>
        <w:t>(g)</w:t>
      </w:r>
      <w:r>
        <w:tab/>
      </w:r>
      <w:r>
        <w:rPr>
          <w:szCs w:val="22"/>
        </w:rPr>
        <w:t>total reserve fund income;</w:t>
      </w:r>
    </w:p>
    <w:p>
      <w:pPr>
        <w:pStyle w:val="yIndenta"/>
        <w:rPr>
          <w:szCs w:val="22"/>
        </w:rPr>
      </w:pPr>
      <w:r>
        <w:lastRenderedPageBreak/>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keepNext/>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keepNext/>
        <w:keepLines/>
      </w:pPr>
      <w:r>
        <w:tab/>
        <w:t>(e)</w:t>
      </w:r>
      <w:r>
        <w:tab/>
        <w:t>for</w:t>
      </w:r>
      <w:r>
        <w:rPr>
          <w:szCs w:val="22"/>
        </w:rPr>
        <w:t xml:space="preserve"> </w:t>
      </w:r>
      <w:r>
        <w:t xml:space="preserve">management and administration fees other than those described in paragraph (d) — </w:t>
      </w:r>
    </w:p>
    <w:p>
      <w:pPr>
        <w:pStyle w:val="yIndenti0"/>
        <w:keepNext/>
        <w:keepLines/>
        <w:rPr>
          <w:szCs w:val="22"/>
        </w:rPr>
      </w:pPr>
      <w:r>
        <w:tab/>
        <w:t>(i)</w:t>
      </w:r>
      <w:r>
        <w:tab/>
      </w:r>
      <w:r>
        <w:rPr>
          <w:szCs w:val="22"/>
        </w:rPr>
        <w:t>the method of calculation; and</w:t>
      </w:r>
    </w:p>
    <w:p>
      <w:pPr>
        <w:pStyle w:val="yIndenti0"/>
      </w:pPr>
      <w:r>
        <w:tab/>
        <w:t>(ii)</w:t>
      </w:r>
      <w:r>
        <w:tab/>
        <w:t xml:space="preserve">the separate disclosure of the material items of expenses that comprise the management and </w:t>
      </w:r>
      <w:r>
        <w:lastRenderedPageBreak/>
        <w:t>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keepNext/>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keepNext w:val="0"/>
        <w:keepLines w:val="0"/>
        <w:rPr>
          <w:szCs w:val="22"/>
        </w:rPr>
      </w:pPr>
      <w:bookmarkStart w:id="75" w:name="_Toc98426655"/>
      <w:r>
        <w:rPr>
          <w:rStyle w:val="CharSClsNo"/>
        </w:rPr>
        <w:t>18</w:t>
      </w:r>
      <w:r>
        <w:t>.</w:t>
      </w:r>
      <w:r>
        <w:tab/>
      </w:r>
      <w:r>
        <w:rPr>
          <w:szCs w:val="22"/>
        </w:rPr>
        <w:t>Quarterly financial statements</w:t>
      </w:r>
      <w:bookmarkEnd w:id="75"/>
    </w:p>
    <w:p>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(the </w:t>
      </w:r>
      <w:r>
        <w:rPr>
          <w:rStyle w:val="CharDefText"/>
        </w:rPr>
        <w:t>quarterly financial statements</w:t>
      </w:r>
      <w:r>
        <w:rPr>
          <w:szCs w:val="22"/>
        </w:rPr>
        <w:t>), including the notes to the statements —</w:t>
      </w:r>
    </w:p>
    <w:p>
      <w:pPr>
        <w:pStyle w:val="yIndenta"/>
        <w:rPr>
          <w:szCs w:val="22"/>
        </w:rPr>
      </w:pPr>
      <w:r>
        <w:tab/>
        <w:t>(a)</w:t>
      </w:r>
      <w:r>
        <w:tab/>
      </w:r>
      <w:r>
        <w:rPr>
          <w:szCs w:val="22"/>
        </w:rPr>
        <w:t xml:space="preserve">a statement of income and expenditure; </w:t>
      </w:r>
    </w:p>
    <w:p>
      <w:pPr>
        <w:pStyle w:val="yIndenta"/>
        <w:rPr>
          <w:szCs w:val="22"/>
        </w:rPr>
      </w:pPr>
      <w:r>
        <w:tab/>
        <w:t>(b)</w:t>
      </w:r>
      <w:r>
        <w:tab/>
      </w:r>
      <w:r>
        <w:rPr>
          <w:szCs w:val="22"/>
        </w:rPr>
        <w:t>a reserve fund statement.</w:t>
      </w:r>
    </w:p>
    <w:p>
      <w:pPr>
        <w:pStyle w:val="ySubsection"/>
        <w:rPr>
          <w:szCs w:val="22"/>
        </w:rPr>
      </w:pPr>
      <w:r>
        <w:tab/>
        <w:t>(2)</w:t>
      </w:r>
      <w:r>
        <w:tab/>
      </w:r>
      <w:r>
        <w:rPr>
          <w:szCs w:val="22"/>
        </w:rPr>
        <w:t>A quarterly financial statement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lastRenderedPageBreak/>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76" w:name="_Toc98426656"/>
      <w:r>
        <w:rPr>
          <w:rStyle w:val="CharSClsNo"/>
        </w:rPr>
        <w:t>19</w:t>
      </w:r>
      <w:r>
        <w:t>.</w:t>
      </w:r>
      <w:r>
        <w:tab/>
        <w:t>Annual financial statements</w:t>
      </w:r>
      <w:bookmarkEnd w:id="76"/>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lastRenderedPageBreak/>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pPr>
      <w:r>
        <w:tab/>
        <w:t>(i)</w:t>
      </w:r>
      <w:r>
        <w:tab/>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lastRenderedPageBreak/>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keepNext w:val="0"/>
        <w:keepLines w:val="0"/>
        <w:rPr>
          <w:szCs w:val="22"/>
        </w:rPr>
      </w:pPr>
      <w:bookmarkStart w:id="77" w:name="_Toc98426657"/>
      <w:r>
        <w:rPr>
          <w:rStyle w:val="CharSClsNo"/>
        </w:rPr>
        <w:t>20</w:t>
      </w:r>
      <w:r>
        <w:t>.</w:t>
      </w:r>
      <w:r>
        <w:tab/>
      </w:r>
      <w:r>
        <w:rPr>
          <w:szCs w:val="22"/>
        </w:rPr>
        <w:t>Budget surplus</w:t>
      </w:r>
      <w:bookmarkEnd w:id="77"/>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78" w:name="_Toc98426658"/>
      <w:r>
        <w:rPr>
          <w:rStyle w:val="CharSClsNo"/>
        </w:rPr>
        <w:t>21</w:t>
      </w:r>
      <w:r>
        <w:t>.</w:t>
      </w:r>
      <w:r>
        <w:tab/>
      </w:r>
      <w:r>
        <w:rPr>
          <w:szCs w:val="22"/>
        </w:rPr>
        <w:t>Marketing of residential premises</w:t>
      </w:r>
      <w:bookmarkEnd w:id="78"/>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pPr>
      <w:r>
        <w:tab/>
        <w:t>(a)</w:t>
      </w:r>
      <w:r>
        <w:tab/>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79" w:name="_Toc98426659"/>
      <w:r>
        <w:rPr>
          <w:rStyle w:val="CharSClsNo"/>
        </w:rPr>
        <w:t>22</w:t>
      </w:r>
      <w:r>
        <w:t>.</w:t>
      </w:r>
      <w:r>
        <w:tab/>
      </w:r>
      <w:r>
        <w:rPr>
          <w:szCs w:val="22"/>
        </w:rPr>
        <w:t>Refurbishment of residential premises</w:t>
      </w:r>
      <w:bookmarkEnd w:id="79"/>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lastRenderedPageBreak/>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pPr>
      <w:r>
        <w:tab/>
        <w:t>(i)</w:t>
      </w:r>
      <w:r>
        <w:tab/>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keepNext/>
        <w:rPr>
          <w:szCs w:val="22"/>
        </w:rPr>
      </w:pPr>
      <w:r>
        <w:tab/>
        <w:t>(3)</w:t>
      </w:r>
      <w:r>
        <w:tab/>
      </w:r>
      <w:r>
        <w:rPr>
          <w:szCs w:val="22"/>
        </w:rPr>
        <w:t xml:space="preserve">The former resident, or the former resident’s personal representative, may apply to the State Administrative Tribunal for an order in relation </w:t>
      </w:r>
      <w:r>
        <w:rPr>
          <w:szCs w:val="22"/>
        </w:rPr>
        <w:lastRenderedPageBreak/>
        <w:t xml:space="preserve">to any refurbishment work that has been, or is proposed to be, carried out on the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80" w:name="_Toc98426660"/>
      <w:r>
        <w:rPr>
          <w:rStyle w:val="CharSClsNo"/>
        </w:rPr>
        <w:t>23</w:t>
      </w:r>
      <w:r>
        <w:t>.</w:t>
      </w:r>
      <w:r>
        <w:tab/>
      </w:r>
      <w:r>
        <w:rPr>
          <w:szCs w:val="22"/>
        </w:rPr>
        <w:t>Residence rules</w:t>
      </w:r>
      <w:bookmarkEnd w:id="80"/>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lastRenderedPageBreak/>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81" w:name="_Toc98426661"/>
      <w:r>
        <w:rPr>
          <w:rStyle w:val="CharSClsNo"/>
        </w:rPr>
        <w:t>24</w:t>
      </w:r>
      <w:r>
        <w:t>.</w:t>
      </w:r>
      <w:r>
        <w:tab/>
      </w:r>
      <w:r>
        <w:rPr>
          <w:szCs w:val="22"/>
        </w:rPr>
        <w:t>Residents’ committee of retirement village residents</w:t>
      </w:r>
      <w:bookmarkEnd w:id="81"/>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pPr>
      <w:r>
        <w:tab/>
        <w:t>(a)</w:t>
      </w:r>
      <w:r>
        <w:tab/>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pPr>
      <w:r>
        <w:tab/>
        <w:t>(i)</w:t>
      </w:r>
      <w:r>
        <w:tab/>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keepNext/>
        <w:rPr>
          <w:szCs w:val="22"/>
        </w:rPr>
      </w:pPr>
      <w:r>
        <w:lastRenderedPageBreak/>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82" w:name="_Toc98426662"/>
      <w:r>
        <w:rPr>
          <w:rStyle w:val="CharSClsNo"/>
        </w:rPr>
        <w:t>25</w:t>
      </w:r>
      <w:r>
        <w:t>.</w:t>
      </w:r>
      <w:r>
        <w:tab/>
      </w:r>
      <w:r>
        <w:rPr>
          <w:szCs w:val="22"/>
        </w:rPr>
        <w:t>Incorporated association formed to carry out function of residents’ committee</w:t>
      </w:r>
      <w:bookmarkEnd w:id="82"/>
    </w:p>
    <w:p>
      <w:pPr>
        <w:pStyle w:val="ySubsection"/>
        <w:rPr>
          <w:szCs w:val="22"/>
        </w:rPr>
      </w:pPr>
      <w:r>
        <w:tab/>
        <w:t>(1)</w:t>
      </w:r>
      <w:r>
        <w:tab/>
      </w:r>
      <w:r>
        <w:rPr>
          <w:szCs w:val="22"/>
        </w:rPr>
        <w:t>The residents may only establish a residents’ committee under clause 24(2)(c) by special resolution.</w:t>
      </w:r>
    </w:p>
    <w:p>
      <w:pPr>
        <w:pStyle w:val="ySubsection"/>
        <w:keepNext/>
        <w:rPr>
          <w:szCs w:val="22"/>
        </w:rPr>
      </w:pPr>
      <w:r>
        <w:lastRenderedPageBreak/>
        <w:tab/>
        <w:t>(2)</w:t>
      </w:r>
      <w:r>
        <w:tab/>
      </w:r>
      <w:r>
        <w:rPr>
          <w:szCs w:val="22"/>
        </w:rPr>
        <w:t xml:space="preserve">The residents of a retirement village must not form an incorporated association under clause 24(2)(c) unless the incorporated association’s rules provide — </w:t>
      </w:r>
    </w:p>
    <w:p>
      <w:pPr>
        <w:pStyle w:val="yIndenta"/>
      </w:pPr>
      <w:r>
        <w:tab/>
        <w:t>(a)</w:t>
      </w:r>
      <w:r>
        <w:tab/>
        <w:t>that an object or purpose of the incorporated association is to consult with the administering body of the retirement village for which it is formed, on behalf of that village’s residents, about the day</w:t>
      </w:r>
      <w:r>
        <w:noBreakHyphen/>
        <w:t>to</w:t>
      </w:r>
      <w: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pPr>
      <w:r>
        <w:tab/>
        <w:t>(i)</w:t>
      </w:r>
      <w:r>
        <w:tab/>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lastRenderedPageBreak/>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83" w:name="_Toc98426663"/>
      <w:r>
        <w:rPr>
          <w:rStyle w:val="CharSClsNo"/>
        </w:rPr>
        <w:t>26</w:t>
      </w:r>
      <w:r>
        <w:t>.</w:t>
      </w:r>
      <w:r>
        <w:tab/>
        <w:t>Residents’ meetings</w:t>
      </w:r>
      <w:bookmarkEnd w:id="83"/>
    </w:p>
    <w:p>
      <w:pPr>
        <w:pStyle w:val="ySubsection"/>
      </w:pPr>
      <w:r>
        <w:tab/>
        <w:t>(1)</w:t>
      </w:r>
      <w:r>
        <w:tab/>
        <w:t xml:space="preserve">The administering body of a retirement village — </w:t>
      </w:r>
    </w:p>
    <w:p>
      <w:pPr>
        <w:pStyle w:val="yIndenta"/>
      </w:pPr>
      <w:r>
        <w:tab/>
        <w:t>(a)</w:t>
      </w:r>
      <w:r>
        <w:tab/>
        <w:t>must hold an annual meeting of the residents of the retirement village within 5 months after the end of each financial year, at which the business to be transacted must be limited to dealing with matters relating to the presentation of the annual financial statements and the auditor’s report (if any) for the retirement village; and</w:t>
      </w:r>
    </w:p>
    <w:p>
      <w:pPr>
        <w:pStyle w:val="yIndenta"/>
        <w:rPr>
          <w:szCs w:val="22"/>
        </w:rPr>
      </w:pPr>
      <w:r>
        <w:lastRenderedPageBreak/>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pPr>
      <w:r>
        <w:tab/>
        <w:t>(i)</w:t>
      </w:r>
      <w:r>
        <w:tab/>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lastRenderedPageBreak/>
        <w:tab/>
        <w:t>(6)</w:t>
      </w:r>
      <w:r>
        <w:tab/>
      </w:r>
      <w:r>
        <w:rPr>
          <w:szCs w:val="22"/>
        </w:rPr>
        <w:t>Subject to subclause (7), the administering body or the residents’ committee must give each resident at least 10 working days’ written notice of a meeting to be held under subclause (1) or (3).</w:t>
      </w:r>
    </w:p>
    <w:p>
      <w:pPr>
        <w:pStyle w:val="ySubsection"/>
        <w:keepNext/>
        <w:keepLines/>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 xml:space="preserve">Unless otherwise provided in the residence contract, if 2 or more residents occupy the same residential premises in the retirement </w:t>
      </w:r>
      <w:r>
        <w:rPr>
          <w:szCs w:val="22"/>
        </w:rPr>
        <w:lastRenderedPageBreak/>
        <w:t>village, each of them may vote at a meeting of the residents on any matter that requires, or provides for, a vote of the residents.</w:t>
      </w:r>
    </w:p>
    <w:p>
      <w:pPr>
        <w:pStyle w:val="ySubsection"/>
        <w:keepNext/>
        <w:keepLines/>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pPr>
      <w:r>
        <w:tab/>
        <w:t>(b)</w:t>
      </w:r>
      <w:r>
        <w:tab/>
      </w:r>
      <w:r>
        <w:rPr>
          <w:szCs w:val="22"/>
        </w:rPr>
        <w:t xml:space="preserve">a meeting held under the </w:t>
      </w:r>
      <w:r>
        <w:rPr>
          <w:i/>
        </w:rPr>
        <w:t>Associations Incorporation Act 2015</w:t>
      </w:r>
      <w:r>
        <w:t>; or</w:t>
      </w:r>
    </w:p>
    <w:p>
      <w:pPr>
        <w:pStyle w:val="yIndenta"/>
      </w:pPr>
      <w:r>
        <w:tab/>
        <w:t>(c)</w:t>
      </w:r>
      <w:r>
        <w:tab/>
        <w:t xml:space="preserve">a meeting held under the </w:t>
      </w:r>
      <w:r>
        <w:rPr>
          <w:i/>
        </w:rPr>
        <w:t>Community Titles Act 2018</w:t>
      </w:r>
      <w:r>
        <w:t xml:space="preserve"> if the retirement village is comprised in a scheme plan for a community titles scheme registered under that Act.</w:t>
      </w:r>
    </w:p>
    <w:p>
      <w:pPr>
        <w:pStyle w:val="ySubsection"/>
        <w:rPr>
          <w:szCs w:val="22"/>
        </w:rPr>
      </w:pPr>
      <w:r>
        <w:tab/>
        <w:t>(14)</w:t>
      </w:r>
      <w:r>
        <w:tab/>
      </w:r>
      <w:r>
        <w:rPr>
          <w:szCs w:val="22"/>
        </w:rPr>
        <w:t>At a meeting of the residents under this clause voting may be by a secret ballot.</w:t>
      </w:r>
    </w:p>
    <w:p>
      <w:pPr>
        <w:pStyle w:val="ySubsection"/>
        <w:keepNext/>
        <w:keepLines/>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voted on; and</w:t>
      </w:r>
    </w:p>
    <w:p>
      <w:pPr>
        <w:pStyle w:val="yIndenta"/>
        <w:rPr>
          <w:szCs w:val="22"/>
        </w:rPr>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84" w:name="_Toc98426664"/>
      <w:r>
        <w:rPr>
          <w:rStyle w:val="CharSClsNo"/>
        </w:rPr>
        <w:t>27</w:t>
      </w:r>
      <w:r>
        <w:t>.</w:t>
      </w:r>
      <w:r>
        <w:tab/>
      </w:r>
      <w:r>
        <w:rPr>
          <w:szCs w:val="22"/>
        </w:rPr>
        <w:t>Proxy voting</w:t>
      </w:r>
      <w:bookmarkEnd w:id="84"/>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pPr>
      <w:r>
        <w:tab/>
        <w:t>(a)</w:t>
      </w:r>
      <w:r>
        <w:tab/>
        <w:t xml:space="preserve">if the administering body is an individual — </w:t>
      </w:r>
    </w:p>
    <w:p>
      <w:pPr>
        <w:pStyle w:val="yDefsubpara"/>
      </w:pPr>
      <w:r>
        <w:tab/>
        <w:t>(i)</w:t>
      </w:r>
      <w:r>
        <w:tab/>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lastRenderedPageBreak/>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notice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that person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lastRenderedPageBreak/>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keepNext w:val="0"/>
        <w:keepLines w:val="0"/>
        <w:spacing w:before="120"/>
        <w:rPr>
          <w:szCs w:val="22"/>
        </w:rPr>
      </w:pPr>
      <w:bookmarkStart w:id="85" w:name="_Toc98426665"/>
      <w:r>
        <w:rPr>
          <w:rStyle w:val="CharSClsNo"/>
        </w:rPr>
        <w:t>28</w:t>
      </w:r>
      <w:r>
        <w:t>.</w:t>
      </w:r>
      <w:r>
        <w:tab/>
      </w:r>
      <w:r>
        <w:rPr>
          <w:szCs w:val="22"/>
        </w:rPr>
        <w:t>Voting by secret ballot</w:t>
      </w:r>
      <w:bookmarkEnd w:id="85"/>
    </w:p>
    <w:p>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w:t>
      </w:r>
      <w:r>
        <w:rPr>
          <w:szCs w:val="22"/>
        </w:rPr>
        <w:lastRenderedPageBreak/>
        <w:t>using an electronic voting process (or a combination of these processes).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lastRenderedPageBreak/>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pPr>
      <w:bookmarkStart w:id="86" w:name="_Toc83714670"/>
      <w:bookmarkStart w:id="87" w:name="_Toc83715378"/>
      <w:bookmarkStart w:id="88" w:name="_Toc83715432"/>
      <w:bookmarkStart w:id="89" w:name="_Toc83715668"/>
      <w:bookmarkStart w:id="90" w:name="_Toc83717613"/>
      <w:bookmarkStart w:id="91" w:name="_Toc98401327"/>
      <w:bookmarkStart w:id="92" w:name="_Toc98426490"/>
      <w:bookmarkStart w:id="93" w:name="_Toc98426666"/>
      <w:r>
        <w:rPr>
          <w:rStyle w:val="CharSDivNo"/>
        </w:rPr>
        <w:t>Division 6</w:t>
      </w:r>
      <w:r>
        <w:t> — </w:t>
      </w:r>
      <w:r>
        <w:rPr>
          <w:rStyle w:val="CharSDivText"/>
        </w:rPr>
        <w:t>Dispute resolution</w:t>
      </w:r>
      <w:bookmarkEnd w:id="86"/>
      <w:bookmarkEnd w:id="87"/>
      <w:bookmarkEnd w:id="88"/>
      <w:bookmarkEnd w:id="89"/>
      <w:bookmarkEnd w:id="90"/>
      <w:bookmarkEnd w:id="91"/>
      <w:bookmarkEnd w:id="92"/>
      <w:bookmarkEnd w:id="93"/>
    </w:p>
    <w:p>
      <w:pPr>
        <w:pStyle w:val="yHeading5"/>
        <w:rPr>
          <w:szCs w:val="22"/>
        </w:rPr>
      </w:pPr>
      <w:bookmarkStart w:id="94" w:name="_Toc98426667"/>
      <w:r>
        <w:rPr>
          <w:rStyle w:val="CharSClsNo"/>
        </w:rPr>
        <w:t>29</w:t>
      </w:r>
      <w:r>
        <w:t>.</w:t>
      </w:r>
      <w:r>
        <w:tab/>
      </w:r>
      <w:r>
        <w:rPr>
          <w:szCs w:val="22"/>
        </w:rPr>
        <w:t>Terms used</w:t>
      </w:r>
      <w:bookmarkEnd w:id="94"/>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t xml:space="preserve"> — </w:t>
      </w:r>
    </w:p>
    <w:p>
      <w:pPr>
        <w:pStyle w:val="yDefpara"/>
      </w:pPr>
      <w:r>
        <w:tab/>
        <w:t>(a)</w:t>
      </w:r>
      <w:r>
        <w:tab/>
        <w:t xml:space="preserve">means a dispute that occurs in a retirement village between a resident and the administering body of a retirement village, or between residents of a retirement village; but </w:t>
      </w:r>
    </w:p>
    <w:p>
      <w:pPr>
        <w:pStyle w:val="yDefpara"/>
      </w:pPr>
      <w:r>
        <w:tab/>
        <w:t>(b)</w:t>
      </w:r>
      <w:r>
        <w:tab/>
        <w:t xml:space="preserve">does not include a dispute that may be determined by the State Administrative Tribunal under the </w:t>
      </w:r>
      <w:r>
        <w:rPr>
          <w:i/>
        </w:rPr>
        <w:t>Retirement Villages Act 1992</w:t>
      </w:r>
      <w: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95" w:name="_Toc98426668"/>
      <w:r>
        <w:rPr>
          <w:rStyle w:val="CharSClsNo"/>
        </w:rPr>
        <w:t>30</w:t>
      </w:r>
      <w:r>
        <w:t>.</w:t>
      </w:r>
      <w:r>
        <w:tab/>
      </w:r>
      <w:r>
        <w:rPr>
          <w:szCs w:val="22"/>
        </w:rPr>
        <w:t>Village dispute resolution process</w:t>
      </w:r>
      <w:bookmarkEnd w:id="95"/>
    </w:p>
    <w:p>
      <w:pPr>
        <w:pStyle w:val="ySubsection"/>
      </w:pPr>
      <w:r>
        <w:tab/>
        <w:t>(1)</w:t>
      </w:r>
      <w:r>
        <w:tab/>
        <w:t xml:space="preserve">A resident who considers that a retirement village dispute has arisen must — </w:t>
      </w:r>
    </w:p>
    <w:p>
      <w:pPr>
        <w:pStyle w:val="yIndenta"/>
      </w:pPr>
      <w:r>
        <w:tab/>
        <w:t>(a)</w:t>
      </w:r>
      <w:r>
        <w:tab/>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 xml:space="preserve">the administering body of the retirement village must nominate a suitable person or body, who is acceptable to all </w:t>
      </w:r>
      <w:r>
        <w:rPr>
          <w:szCs w:val="22"/>
        </w:rPr>
        <w:lastRenderedPageBreak/>
        <w:t>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matters in dispute are rejected.</w:t>
      </w:r>
    </w:p>
    <w:p>
      <w:pPr>
        <w:pStyle w:val="ySubsection"/>
        <w:rPr>
          <w:szCs w:val="22"/>
        </w:rPr>
      </w:pPr>
      <w:r>
        <w:tab/>
        <w:t>(3)</w:t>
      </w:r>
      <w:r>
        <w:tab/>
      </w:r>
      <w:r>
        <w:rPr>
          <w:szCs w:val="22"/>
        </w:rPr>
        <w:t xml:space="preserve">The parties to the dispute must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lastRenderedPageBreak/>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(8).</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96" w:name="_Toc98426669"/>
      <w:r>
        <w:rPr>
          <w:rStyle w:val="CharSClsNo"/>
        </w:rPr>
        <w:t>31</w:t>
      </w:r>
      <w:r>
        <w:t>.</w:t>
      </w:r>
      <w:r>
        <w:tab/>
      </w:r>
      <w:r>
        <w:rPr>
          <w:szCs w:val="22"/>
        </w:rPr>
        <w:t>Mediation of dispute</w:t>
      </w:r>
      <w:bookmarkEnd w:id="96"/>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pPr>
      <w:r>
        <w:tab/>
        <w:t>(a)</w:t>
      </w:r>
      <w:r>
        <w:tab/>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lastRenderedPageBreak/>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pPr>
      <w:r>
        <w:tab/>
        <w:t>(i)</w:t>
      </w:r>
      <w:r>
        <w:tab/>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lastRenderedPageBreak/>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must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lastRenderedPageBreak/>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rPr>
          <w:szCs w:val="22"/>
        </w:rPr>
      </w:pPr>
      <w:bookmarkStart w:id="97" w:name="_Toc98426670"/>
      <w:r>
        <w:rPr>
          <w:rStyle w:val="CharSClsNo"/>
        </w:rPr>
        <w:t>32</w:t>
      </w:r>
      <w:r>
        <w:t>.</w:t>
      </w:r>
      <w:r>
        <w:tab/>
      </w:r>
      <w:r>
        <w:rPr>
          <w:szCs w:val="22"/>
        </w:rPr>
        <w:t>Costs associated with dispute resolution process</w:t>
      </w:r>
      <w:bookmarkEnd w:id="97"/>
    </w:p>
    <w:p>
      <w:pPr>
        <w:pStyle w:val="ySubsection"/>
        <w:keepNext/>
        <w:keepLines/>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keepLines w:val="0"/>
      </w:pPr>
      <w:bookmarkStart w:id="98" w:name="_Toc98426671"/>
      <w:r>
        <w:rPr>
          <w:rStyle w:val="CharSClsNo"/>
        </w:rPr>
        <w:t>33</w:t>
      </w:r>
      <w:r>
        <w:t>.</w:t>
      </w:r>
      <w:r>
        <w:tab/>
        <w:t>Costs associated with Commissioner</w:t>
      </w:r>
      <w:r>
        <w:noBreakHyphen/>
        <w:t>appointed mediation</w:t>
      </w:r>
      <w:bookmarkEnd w:id="98"/>
    </w:p>
    <w:p>
      <w:pPr>
        <w:pStyle w:val="ySubsection"/>
        <w:rPr>
          <w:szCs w:val="22"/>
        </w:rPr>
      </w:pPr>
      <w:r>
        <w:rPr>
          <w:szCs w:val="22"/>
        </w:rPr>
        <w:tab/>
      </w:r>
      <w:r>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r>
      <w:r>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w:t>
      </w:r>
      <w:r>
        <w:rPr>
          <w:szCs w:val="22"/>
        </w:rPr>
        <w:lastRenderedPageBreak/>
        <w:t>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resolution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99" w:name="_Toc83714676"/>
      <w:bookmarkStart w:id="100" w:name="_Toc83715384"/>
      <w:bookmarkStart w:id="101" w:name="_Toc83715438"/>
      <w:bookmarkStart w:id="102" w:name="_Toc83715674"/>
      <w:bookmarkStart w:id="103" w:name="_Toc83717619"/>
      <w:bookmarkStart w:id="104" w:name="_Toc98401333"/>
      <w:bookmarkStart w:id="105" w:name="_Toc98426496"/>
      <w:bookmarkStart w:id="106" w:name="_Toc98426672"/>
      <w:r>
        <w:rPr>
          <w:rStyle w:val="CharSDivNo"/>
        </w:rPr>
        <w:t>Division 7</w:t>
      </w:r>
      <w:r>
        <w:t> — </w:t>
      </w:r>
      <w:r>
        <w:rPr>
          <w:rStyle w:val="CharSDivText"/>
        </w:rPr>
        <w:t>Termination of residence contracts</w:t>
      </w:r>
      <w:bookmarkEnd w:id="99"/>
      <w:bookmarkEnd w:id="100"/>
      <w:bookmarkEnd w:id="101"/>
      <w:bookmarkEnd w:id="102"/>
      <w:bookmarkEnd w:id="103"/>
      <w:bookmarkEnd w:id="104"/>
      <w:bookmarkEnd w:id="105"/>
      <w:bookmarkEnd w:id="106"/>
    </w:p>
    <w:p>
      <w:pPr>
        <w:pStyle w:val="yHeading5"/>
        <w:rPr>
          <w:szCs w:val="22"/>
        </w:rPr>
      </w:pPr>
      <w:bookmarkStart w:id="107" w:name="_Toc98426673"/>
      <w:r>
        <w:rPr>
          <w:rStyle w:val="CharSClsNo"/>
        </w:rPr>
        <w:t>34</w:t>
      </w:r>
      <w:r>
        <w:t>.</w:t>
      </w:r>
      <w:r>
        <w:tab/>
      </w:r>
      <w:r>
        <w:rPr>
          <w:szCs w:val="22"/>
        </w:rPr>
        <w:t>Notice of intention to terminate</w:t>
      </w:r>
      <w:bookmarkEnd w:id="107"/>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pPr>
      <w:r>
        <w:tab/>
        <w:t>(a)</w:t>
      </w:r>
      <w:r>
        <w:tab/>
        <w:t>if the application is to be made under the</w:t>
      </w:r>
      <w:r>
        <w:rPr>
          <w:i/>
        </w:rPr>
        <w:t xml:space="preserve"> Retirement Villages Act 1992 </w:t>
      </w:r>
      <w: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pPr>
      <w:r>
        <w:tab/>
        <w:t>(i)</w:t>
      </w:r>
      <w:r>
        <w:tab/>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lastRenderedPageBreak/>
        <w:tab/>
        <w:t>(d)</w:t>
      </w:r>
      <w:r>
        <w:tab/>
      </w:r>
      <w:r>
        <w:rPr>
          <w:szCs w:val="22"/>
        </w:rPr>
        <w:t>advise the resident of the resident’s right to occupy the residential premises until the State Administrative Tribunal fixes a termination date.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lastRenderedPageBreak/>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must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When ordering the termination of a residence contract, the State Administrative Tribunal may make any order for the payment or </w:t>
      </w:r>
      <w:r>
        <w:rPr>
          <w:szCs w:val="22"/>
        </w:rPr>
        <w:lastRenderedPageBreak/>
        <w:t>refund of money by the administering body to the resident or by the resident to the administering body.</w:t>
      </w:r>
    </w:p>
    <w:p>
      <w:pPr>
        <w:pStyle w:val="yHeading3"/>
      </w:pPr>
      <w:bookmarkStart w:id="108" w:name="_Toc83714678"/>
      <w:bookmarkStart w:id="109" w:name="_Toc83715386"/>
      <w:bookmarkStart w:id="110" w:name="_Toc83715440"/>
      <w:bookmarkStart w:id="111" w:name="_Toc83715676"/>
      <w:bookmarkStart w:id="112" w:name="_Toc83717621"/>
      <w:bookmarkStart w:id="113" w:name="_Toc98401335"/>
      <w:bookmarkStart w:id="114" w:name="_Toc98426498"/>
      <w:bookmarkStart w:id="115" w:name="_Toc98426674"/>
      <w:r>
        <w:rPr>
          <w:rStyle w:val="CharSDivNo"/>
        </w:rPr>
        <w:t>Division 8</w:t>
      </w:r>
      <w:r>
        <w:t> — </w:t>
      </w:r>
      <w:r>
        <w:rPr>
          <w:rStyle w:val="CharSDivText"/>
        </w:rPr>
        <w:t>Service of documents</w:t>
      </w:r>
      <w:bookmarkEnd w:id="108"/>
      <w:bookmarkEnd w:id="109"/>
      <w:bookmarkEnd w:id="110"/>
      <w:bookmarkEnd w:id="111"/>
      <w:bookmarkEnd w:id="112"/>
      <w:bookmarkEnd w:id="113"/>
      <w:bookmarkEnd w:id="114"/>
      <w:bookmarkEnd w:id="115"/>
    </w:p>
    <w:p>
      <w:pPr>
        <w:pStyle w:val="yHeading5"/>
        <w:rPr>
          <w:szCs w:val="22"/>
        </w:rPr>
      </w:pPr>
      <w:bookmarkStart w:id="116" w:name="_Toc98426675"/>
      <w:r>
        <w:rPr>
          <w:rStyle w:val="CharSClsNo"/>
        </w:rPr>
        <w:t>35</w:t>
      </w:r>
      <w:r>
        <w:t>.</w:t>
      </w:r>
      <w:r>
        <w:tab/>
      </w:r>
      <w:r>
        <w:rPr>
          <w:szCs w:val="22"/>
        </w:rPr>
        <w:t>Service of documents</w:t>
      </w:r>
      <w:bookmarkEnd w:id="116"/>
    </w:p>
    <w:p>
      <w:pPr>
        <w:pStyle w:val="ySubsection"/>
        <w:spacing w:before="120"/>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pPr>
      <w:r>
        <w:tab/>
        <w:t>(a)</w:t>
      </w:r>
      <w:r>
        <w:tab/>
        <w:t xml:space="preserve">delivered by hand to — </w:t>
      </w:r>
    </w:p>
    <w:p>
      <w:pPr>
        <w:pStyle w:val="yIndenti0"/>
      </w:pPr>
      <w:r>
        <w:tab/>
        <w:t>(i)</w:t>
      </w:r>
      <w:r>
        <w:tab/>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keepNext/>
        <w:keepLines/>
        <w:spacing w:before="60"/>
        <w:rPr>
          <w:szCs w:val="22"/>
        </w:rPr>
      </w:pPr>
      <w:r>
        <w:tab/>
        <w:t>(b)</w:t>
      </w:r>
      <w:r>
        <w:tab/>
      </w:r>
      <w:r>
        <w:rPr>
          <w:szCs w:val="22"/>
        </w:rPr>
        <w:t xml:space="preserve">addressed to the resident and sent by post to — </w:t>
      </w:r>
    </w:p>
    <w:p>
      <w:pPr>
        <w:pStyle w:val="yIndenti0"/>
        <w:spacing w:before="60"/>
      </w:pPr>
      <w:r>
        <w:tab/>
        <w:t>(i)</w:t>
      </w:r>
      <w:r>
        <w:tab/>
        <w:t>the residential premises occupied by the resident; or</w:t>
      </w:r>
    </w:p>
    <w:p>
      <w:pPr>
        <w:pStyle w:val="yIndenti0"/>
        <w:spacing w:before="60"/>
      </w:pPr>
      <w:r>
        <w:tab/>
        <w:t>(ii)</w:t>
      </w:r>
      <w:r>
        <w:tab/>
        <w:t>if the resident has temporarily or permanently vacated the residential premises, another address as notified by the resident to the administering body of the retirement village; or</w:t>
      </w:r>
    </w:p>
    <w:p>
      <w:pPr>
        <w:pStyle w:val="yIndenti0"/>
        <w:spacing w:before="60"/>
      </w:pPr>
      <w:r>
        <w:tab/>
        <w:t>(iii)</w:t>
      </w:r>
      <w:r>
        <w:tab/>
        <w:t>the address of the resident’s personal representative.</w:t>
      </w:r>
    </w:p>
    <w:p>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pPr>
        <w:pStyle w:val="yIndenta"/>
        <w:spacing w:before="60"/>
        <w:rPr>
          <w:szCs w:val="22"/>
        </w:rPr>
      </w:pPr>
      <w:r>
        <w:tab/>
        <w:t>(a)</w:t>
      </w:r>
      <w:r>
        <w:tab/>
      </w:r>
      <w:r>
        <w:rPr>
          <w:szCs w:val="22"/>
        </w:rPr>
        <w:t xml:space="preserve">delivered by hand to — </w:t>
      </w:r>
    </w:p>
    <w:p>
      <w:pPr>
        <w:pStyle w:val="yIndenti0"/>
        <w:spacing w:before="60"/>
      </w:pPr>
      <w:r>
        <w:tab/>
        <w:t>(i)</w:t>
      </w:r>
      <w:r>
        <w:tab/>
        <w:t>the administering body’s usual place of business on any working day; or</w:t>
      </w:r>
    </w:p>
    <w:p>
      <w:pPr>
        <w:pStyle w:val="yIndenti0"/>
        <w:spacing w:before="60"/>
      </w:pPr>
      <w:r>
        <w:tab/>
        <w:t>(ii)</w:t>
      </w:r>
      <w:r>
        <w:tab/>
        <w:t>the administering body’s mailbox;</w:t>
      </w:r>
    </w:p>
    <w:p>
      <w:pPr>
        <w:pStyle w:val="yIndenta"/>
        <w:spacing w:before="60"/>
        <w:rPr>
          <w:szCs w:val="22"/>
        </w:rPr>
      </w:pPr>
      <w:r>
        <w:rPr>
          <w:szCs w:val="22"/>
        </w:rPr>
        <w:tab/>
      </w:r>
      <w:r>
        <w:rPr>
          <w:szCs w:val="22"/>
        </w:rPr>
        <w:tab/>
        <w:t>or</w:t>
      </w:r>
    </w:p>
    <w:p>
      <w:pPr>
        <w:pStyle w:val="yIndenta"/>
        <w:spacing w:before="60"/>
        <w:rPr>
          <w:szCs w:val="22"/>
        </w:rPr>
      </w:pPr>
      <w:r>
        <w:tab/>
        <w:t>(b)</w:t>
      </w:r>
      <w:r>
        <w:tab/>
      </w:r>
      <w:r>
        <w:rPr>
          <w:szCs w:val="22"/>
        </w:rPr>
        <w:t>addressed to the administering body and sent by post to the administering body’s usual place of business.</w:t>
      </w:r>
    </w:p>
    <w:p>
      <w:pPr>
        <w:pStyle w:val="ySubsection"/>
        <w:spacing w:before="120"/>
      </w:pPr>
      <w:r>
        <w:tab/>
        <w:t>(4)</w:t>
      </w:r>
      <w:r>
        <w:tab/>
      </w:r>
      <w:r>
        <w:rPr>
          <w:szCs w:val="22"/>
        </w:rPr>
        <w:t xml:space="preserve">Subject to any evidence to the contrary, any written notice, correspondence or other document referred to in this clause that is </w:t>
      </w:r>
      <w:r>
        <w:rPr>
          <w:szCs w:val="22"/>
        </w:rPr>
        <w:lastRenderedPageBreak/>
        <w:t xml:space="preserve">sent by post is taken </w:t>
      </w:r>
      <w:r>
        <w:t>to have been given to the person to whom it is addressed at the time at which the written notice, correspondence or other document would be delivered in the ordinary course of post.</w:t>
      </w:r>
    </w:p>
    <w:p>
      <w:pPr>
        <w:sectPr>
          <w:headerReference w:type="even" r:id="rId26"/>
          <w:headerReference w:type="default" r:id="rId27"/>
          <w:pgSz w:w="11907" w:h="16840" w:code="9"/>
          <w:pgMar w:top="2381" w:right="2410" w:bottom="3544" w:left="2410" w:header="720" w:footer="3544" w:gutter="0"/>
          <w:cols w:space="720"/>
        </w:sectPr>
      </w:pPr>
    </w:p>
    <w:p>
      <w:pPr>
        <w:pStyle w:val="yHeading3"/>
      </w:pPr>
      <w:bookmarkStart w:id="117" w:name="_Toc83714680"/>
      <w:bookmarkStart w:id="118" w:name="_Toc83715388"/>
      <w:bookmarkStart w:id="119" w:name="_Toc83715442"/>
      <w:bookmarkStart w:id="120" w:name="_Toc83715678"/>
      <w:bookmarkStart w:id="121" w:name="_Toc83717623"/>
      <w:bookmarkStart w:id="122" w:name="_Toc98401337"/>
      <w:bookmarkStart w:id="123" w:name="_Toc98426500"/>
      <w:bookmarkStart w:id="124" w:name="_Toc98426676"/>
      <w:r>
        <w:rPr>
          <w:rStyle w:val="CharSDivNo"/>
        </w:rPr>
        <w:lastRenderedPageBreak/>
        <w:t>Appendix 1</w:t>
      </w:r>
      <w:r>
        <w:t> — </w:t>
      </w:r>
      <w:r>
        <w:rPr>
          <w:rStyle w:val="CharSDivText"/>
        </w:rPr>
        <w:t>Checklist for prospective resident</w:t>
      </w:r>
      <w:bookmarkEnd w:id="117"/>
      <w:bookmarkEnd w:id="118"/>
      <w:bookmarkEnd w:id="119"/>
      <w:bookmarkEnd w:id="120"/>
      <w:bookmarkEnd w:id="121"/>
      <w:bookmarkEnd w:id="122"/>
      <w:bookmarkEnd w:id="123"/>
      <w:bookmarkEnd w:id="124"/>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lastRenderedPageBreak/>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(No. 2) 2021 </w:t>
      </w:r>
      <w:r>
        <w:rPr>
          <w:szCs w:val="22"/>
        </w:rPr>
        <w:t xml:space="preserve">and the </w:t>
      </w:r>
      <w:r>
        <w:rPr>
          <w:i/>
          <w:szCs w:val="22"/>
        </w:rPr>
        <w:t>Retirement Villages Act 1992</w:t>
      </w:r>
      <w:r>
        <w:rPr>
          <w:szCs w:val="22"/>
        </w:rPr>
        <w:t>?</w:t>
      </w:r>
    </w:p>
    <w:p>
      <w:pPr>
        <w:pStyle w:val="yHeading3"/>
        <w:pageBreakBefore/>
      </w:pPr>
      <w:bookmarkStart w:id="125" w:name="_Toc83714681"/>
      <w:bookmarkStart w:id="126" w:name="_Toc83715389"/>
      <w:bookmarkStart w:id="127" w:name="_Toc83715443"/>
      <w:bookmarkStart w:id="128" w:name="_Toc83715679"/>
      <w:bookmarkStart w:id="129" w:name="_Toc83717624"/>
      <w:bookmarkStart w:id="130" w:name="_Toc98401338"/>
      <w:bookmarkStart w:id="131" w:name="_Toc98426501"/>
      <w:bookmarkStart w:id="132" w:name="_Toc98426677"/>
      <w:r>
        <w:rPr>
          <w:rStyle w:val="CharSDivNo"/>
        </w:rPr>
        <w:lastRenderedPageBreak/>
        <w:t>Appendix 2</w:t>
      </w:r>
      <w:r>
        <w:t> — </w:t>
      </w:r>
      <w:r>
        <w:rPr>
          <w:rStyle w:val="CharSDivText"/>
        </w:rPr>
        <w:t>Form of appointment of proxy</w:t>
      </w:r>
      <w:bookmarkEnd w:id="125"/>
      <w:bookmarkEnd w:id="126"/>
      <w:bookmarkEnd w:id="127"/>
      <w:bookmarkEnd w:id="128"/>
      <w:bookmarkEnd w:id="129"/>
      <w:bookmarkEnd w:id="130"/>
      <w:bookmarkEnd w:id="131"/>
      <w:bookmarkEnd w:id="132"/>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lastRenderedPageBreak/>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day of......................................... 20..........</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as a proxy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10" w:bottom="3544" w:left="2410" w:header="720" w:footer="3544" w:gutter="0"/>
          <w:cols w:space="720"/>
        </w:sectPr>
      </w:pPr>
    </w:p>
    <w:p>
      <w:pPr>
        <w:pStyle w:val="nHeading2"/>
      </w:pPr>
      <w:bookmarkStart w:id="134" w:name="_Toc83715390"/>
      <w:bookmarkStart w:id="135" w:name="_Toc83715444"/>
      <w:bookmarkStart w:id="136" w:name="_Toc83715680"/>
      <w:bookmarkStart w:id="137" w:name="_Toc83717625"/>
      <w:bookmarkStart w:id="138" w:name="_Toc98401339"/>
      <w:bookmarkStart w:id="139" w:name="_Toc98426502"/>
      <w:bookmarkStart w:id="140" w:name="_Toc98426678"/>
      <w:r>
        <w:lastRenderedPageBreak/>
        <w:t>Notes</w:t>
      </w:r>
      <w:bookmarkEnd w:id="134"/>
      <w:bookmarkEnd w:id="135"/>
      <w:bookmarkEnd w:id="136"/>
      <w:bookmarkEnd w:id="137"/>
      <w:bookmarkEnd w:id="138"/>
      <w:bookmarkEnd w:id="139"/>
      <w:bookmarkEnd w:id="140"/>
    </w:p>
    <w:p>
      <w:pPr>
        <w:pStyle w:val="nStatement"/>
      </w:pPr>
      <w:r>
        <w:t xml:space="preserve">This is a compilation of the </w:t>
      </w:r>
      <w:r>
        <w:rPr>
          <w:i/>
          <w:noProof/>
        </w:rPr>
        <w:t>Fair Trading (Retirement Villages Interim Code) Regulations (No. 2) 2021</w:t>
      </w:r>
      <w:r>
        <w:t>. For provisions that have come into operation see the compilation table.</w:t>
      </w:r>
    </w:p>
    <w:p>
      <w:pPr>
        <w:pStyle w:val="nHeading3"/>
      </w:pPr>
      <w:bookmarkStart w:id="141" w:name="_Toc98426679"/>
      <w:r>
        <w:t>Compilation table</w:t>
      </w:r>
      <w:bookmarkEnd w:id="14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(Retirement Villages Interim Code) Regulations (No. 2) 2021</w:t>
            </w:r>
          </w:p>
        </w:tc>
        <w:tc>
          <w:tcPr>
            <w:tcW w:w="1276" w:type="dxa"/>
            <w:tcBorders>
              <w:bottom w:val="nil"/>
            </w:tcBorders>
          </w:tcPr>
          <w:p>
            <w:pPr>
              <w:pStyle w:val="nTable"/>
              <w:spacing w:after="40"/>
            </w:pPr>
            <w:r>
              <w:t>SL 2021/159 10 Sep 2021</w:t>
            </w:r>
          </w:p>
        </w:tc>
        <w:tc>
          <w:tcPr>
            <w:tcW w:w="2693" w:type="dxa"/>
            <w:tcBorders>
              <w:bottom w:val="nil"/>
            </w:tcBorders>
          </w:tcPr>
          <w:p>
            <w:pPr>
              <w:pStyle w:val="nTable"/>
              <w:spacing w:after="40"/>
            </w:pPr>
            <w:r>
              <w:t>r. 1 and 2: 10 Sep 2021 (see r. 2(a));</w:t>
            </w:r>
            <w:r>
              <w:br/>
              <w:t>Regulations other than r. 1 and 2: 1 Oct 2021 (see r. 2(b))</w:t>
            </w:r>
          </w:p>
        </w:tc>
      </w:tr>
      <w:tr>
        <w:tc>
          <w:tcPr>
            <w:tcW w:w="7087" w:type="dxa"/>
            <w:gridSpan w:val="3"/>
            <w:tcBorders>
              <w:top w:val="nil"/>
            </w:tcBorders>
          </w:tcPr>
          <w:p>
            <w:pPr>
              <w:pStyle w:val="nTable"/>
              <w:spacing w:after="40"/>
              <w:rPr>
                <w:b/>
                <w:color w:val="FF0000"/>
              </w:rPr>
            </w:pPr>
            <w:r>
              <w:rPr>
                <w:b/>
                <w:color w:val="FF0000"/>
              </w:rPr>
              <w:t>These regulations expired at the end of 31 Mar 2022 (see r. 4)</w:t>
            </w:r>
          </w:p>
        </w:tc>
      </w:tr>
    </w:tbl>
    <w:p/>
    <w:p>
      <w:pPr>
        <w:sectPr>
          <w:headerReference w:type="even" r:id="rId31"/>
          <w:headerReference w:type="default" r:id="rId32"/>
          <w:pgSz w:w="11907" w:h="16840" w:code="9"/>
          <w:pgMar w:top="2376" w:right="2404" w:bottom="3544" w:left="2404" w:header="720" w:footer="3552" w:gutter="0"/>
          <w:cols w:space="720"/>
          <w:noEndnote/>
          <w:docGrid w:linePitch="326"/>
        </w:sectPr>
      </w:pPr>
    </w:p>
    <w:p>
      <w:pPr>
        <w:pStyle w:val="nHeading2"/>
        <w:rPr>
          <w:sz w:val="28"/>
        </w:rPr>
      </w:pPr>
      <w:bookmarkStart w:id="143" w:name="_Toc83715392"/>
      <w:bookmarkStart w:id="144" w:name="_Toc83715446"/>
      <w:bookmarkStart w:id="145" w:name="_Toc83715682"/>
      <w:bookmarkStart w:id="146" w:name="_Toc83717627"/>
      <w:bookmarkStart w:id="147" w:name="_Toc98401341"/>
      <w:bookmarkStart w:id="148" w:name="_Toc98426504"/>
      <w:bookmarkStart w:id="149" w:name="_Toc98426680"/>
      <w:r>
        <w:rPr>
          <w:sz w:val="28"/>
        </w:rPr>
        <w:lastRenderedPageBreak/>
        <w:t>Defined terms</w:t>
      </w:r>
      <w:bookmarkEnd w:id="143"/>
      <w:bookmarkEnd w:id="144"/>
      <w:bookmarkEnd w:id="145"/>
      <w:bookmarkEnd w:id="146"/>
      <w:bookmarkEnd w:id="147"/>
      <w:bookmarkEnd w:id="148"/>
      <w:bookmarkEnd w:id="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annual financial statements</w:t>
      </w:r>
      <w:r>
        <w:tab/>
        <w:t>Sch. 1 cl. 19(1)</w:t>
      </w:r>
    </w:p>
    <w:p>
      <w:pPr>
        <w:pStyle w:val="DefinedTerms"/>
      </w:pPr>
      <w:r>
        <w:t>approved form</w:t>
      </w:r>
      <w:r>
        <w:tab/>
        <w:t>Sch. 1 cl. 28(2)</w:t>
      </w:r>
    </w:p>
    <w:p>
      <w:pPr>
        <w:pStyle w:val="DefinedTerms"/>
      </w:pPr>
      <w:r>
        <w:t>Australian Accounting Standards</w:t>
      </w:r>
      <w:r>
        <w:tab/>
        <w:t>Sch. 1 cl. 14(1)</w:t>
      </w:r>
    </w:p>
    <w:p>
      <w:pPr>
        <w:pStyle w:val="DefinedTerms"/>
      </w:pPr>
      <w:r>
        <w:t>Australian Accounting Standards Board</w:t>
      </w:r>
      <w:r>
        <w:tab/>
        <w:t>Sch. 1 cl. 14(1)</w:t>
      </w:r>
    </w:p>
    <w:p>
      <w:pPr>
        <w:pStyle w:val="DefinedTerms"/>
      </w:pPr>
      <w:r>
        <w:t>budget documents</w:t>
      </w:r>
      <w:r>
        <w:tab/>
        <w:t>Sch. 1 cl. 17(1)</w:t>
      </w:r>
    </w:p>
    <w:p>
      <w:pPr>
        <w:pStyle w:val="DefinedTerms"/>
      </w:pPr>
      <w:r>
        <w:t>close associate</w:t>
      </w:r>
      <w:r>
        <w:tab/>
        <w:t>Sch. 1 cl. 27(1)</w:t>
      </w:r>
    </w:p>
    <w:p>
      <w:pPr>
        <w:pStyle w:val="DefinedTerms"/>
      </w:pPr>
      <w:r>
        <w:t>Commissioner</w:t>
      </w:r>
      <w:r>
        <w:tab/>
        <w:t>Sch. 1 cl. 1</w:t>
      </w:r>
    </w:p>
    <w:p>
      <w:pPr>
        <w:pStyle w:val="DefinedTerms"/>
      </w:pPr>
      <w:r>
        <w:t>levy</w:t>
      </w:r>
      <w:r>
        <w:tab/>
        <w:t>Sch. 1 cl. 1</w:t>
      </w:r>
    </w:p>
    <w:p>
      <w:pPr>
        <w:pStyle w:val="DefinedTerms"/>
      </w:pPr>
      <w:r>
        <w:t>material</w:t>
      </w:r>
      <w:r>
        <w:tab/>
        <w:t>Sch. 1 cl. 14(2)</w:t>
      </w:r>
    </w:p>
    <w:p>
      <w:pPr>
        <w:pStyle w:val="DefinedTerms"/>
      </w:pPr>
      <w:r>
        <w:t>notes</w:t>
      </w:r>
      <w:r>
        <w:tab/>
        <w:t>Sch. 1 cl. 14(1)</w:t>
      </w:r>
    </w:p>
    <w:p>
      <w:pPr>
        <w:pStyle w:val="DefinedTerms"/>
      </w:pPr>
      <w:r>
        <w:t>owner</w:t>
      </w:r>
      <w:r>
        <w:tab/>
        <w:t>Sch. 1 cl. 1</w:t>
      </w:r>
    </w:p>
    <w:p>
      <w:pPr>
        <w:pStyle w:val="DefinedTerms"/>
      </w:pPr>
      <w:r>
        <w:t>personal representative</w:t>
      </w:r>
      <w:r>
        <w:tab/>
        <w:t>Sch. 1 cl. 14(1) and 35(1)</w:t>
      </w:r>
    </w:p>
    <w:p>
      <w:pPr>
        <w:pStyle w:val="DefinedTerms"/>
      </w:pPr>
      <w:r>
        <w:t>personal services</w:t>
      </w:r>
      <w:r>
        <w:tab/>
        <w:t>Sch. 1 cl. 13(3)</w:t>
      </w:r>
    </w:p>
    <w:p>
      <w:pPr>
        <w:pStyle w:val="DefinedTerms"/>
      </w:pPr>
      <w:r>
        <w:t>premium</w:t>
      </w:r>
      <w:r>
        <w:tab/>
        <w:t>Sch. 1 cl. 1</w:t>
      </w:r>
    </w:p>
    <w:p>
      <w:pPr>
        <w:pStyle w:val="DefinedTerms"/>
      </w:pPr>
      <w:r>
        <w:t>proxy notice</w:t>
      </w:r>
      <w:r>
        <w:tab/>
        <w:t>Sch. 1 cl. 27(1)</w:t>
      </w:r>
    </w:p>
    <w:p>
      <w:pPr>
        <w:pStyle w:val="DefinedTerms"/>
      </w:pPr>
      <w:r>
        <w:t>quarterly financial statements</w:t>
      </w:r>
      <w:r>
        <w:tab/>
        <w:t>Sch. 1 cl. 18(1)</w:t>
      </w:r>
    </w:p>
    <w:p>
      <w:pPr>
        <w:pStyle w:val="DefinedTerms"/>
      </w:pPr>
      <w:r>
        <w:t>recurrent charge</w:t>
      </w:r>
      <w:r>
        <w:tab/>
        <w:t>Sch. 1 cl. 1</w:t>
      </w:r>
    </w:p>
    <w:p>
      <w:pPr>
        <w:pStyle w:val="DefinedTerms"/>
      </w:pPr>
      <w:r>
        <w:t>refurbishment work</w:t>
      </w:r>
      <w:r>
        <w:tab/>
        <w:t>Sch. 1 cl. 22(1)</w:t>
      </w:r>
    </w:p>
    <w:p>
      <w:pPr>
        <w:pStyle w:val="DefinedTerms"/>
      </w:pPr>
      <w:r>
        <w:t>registered company auditor</w:t>
      </w:r>
      <w:r>
        <w:tab/>
        <w:t>Sch. 1 cl. 14(1)</w:t>
      </w:r>
    </w:p>
    <w:p>
      <w:pPr>
        <w:pStyle w:val="DefinedTerms"/>
      </w:pPr>
      <w:r>
        <w:t>related body corporate</w:t>
      </w:r>
      <w:r>
        <w:tab/>
        <w:t>Sch. 1 cl. 27(1)</w:t>
      </w:r>
    </w:p>
    <w:p>
      <w:pPr>
        <w:pStyle w:val="DefinedTerms"/>
      </w:pPr>
      <w:r>
        <w:t>relevant</w:t>
      </w:r>
      <w:r>
        <w:tab/>
        <w:t>Sch. 1 cl. 14(2)</w:t>
      </w:r>
    </w:p>
    <w:p>
      <w:pPr>
        <w:pStyle w:val="DefinedTerms"/>
      </w:pPr>
      <w:r>
        <w:t>reserve fund</w:t>
      </w:r>
      <w:r>
        <w:tab/>
        <w:t>Sch. 1 cl. 14(1)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dispute</w:t>
      </w:r>
      <w:r>
        <w:tab/>
        <w:t>Sch. 1 cl. 29</w:t>
      </w:r>
    </w:p>
    <w:p>
      <w:pPr>
        <w:pStyle w:val="DefinedTerms"/>
      </w:pPr>
      <w:r>
        <w:t>retirement village scheme</w:t>
      </w:r>
      <w:r>
        <w:tab/>
        <w:t>Sch. 1 cl. 1</w:t>
      </w:r>
    </w:p>
    <w:p>
      <w:pPr>
        <w:pStyle w:val="DefinedTerms"/>
      </w:pPr>
      <w:r>
        <w:t>scheme</w:t>
      </w:r>
      <w:r>
        <w:tab/>
        <w:t>Sch. 1 cl. 1</w:t>
      </w:r>
    </w:p>
    <w:p>
      <w:pPr>
        <w:pStyle w:val="DefinedTerms"/>
      </w:pPr>
      <w:r>
        <w:t>secret ballot</w:t>
      </w:r>
      <w:r>
        <w:tab/>
        <w:t>Sch. 1 cl. 14(1)</w:t>
      </w:r>
    </w:p>
    <w:p>
      <w:pPr>
        <w:pStyle w:val="DefinedTerms"/>
      </w:pPr>
      <w:r>
        <w:t>service contract</w:t>
      </w:r>
      <w:r>
        <w:tab/>
        <w:t>Sch. 1 cl. 1</w:t>
      </w:r>
    </w:p>
    <w:p>
      <w:pPr>
        <w:pStyle w:val="DefinedTerms"/>
      </w:pPr>
      <w:r>
        <w:t>special resolution</w:t>
      </w:r>
      <w:r>
        <w:tab/>
        <w:t>Sch. 1 cl. 14(1) and 29</w:t>
      </w:r>
    </w:p>
    <w:p>
      <w:pPr>
        <w:pStyle w:val="DefinedTerms"/>
      </w:pPr>
      <w:r>
        <w:t>voting resident</w:t>
      </w:r>
      <w:r>
        <w:tab/>
        <w:t>Sch. 1 cl. 27(1)</w:t>
      </w:r>
    </w:p>
    <w:p>
      <w:pPr>
        <w:pStyle w:val="DefinedTerms"/>
        <w:keepNext/>
      </w:pPr>
      <w:r>
        <w:lastRenderedPageBreak/>
        <w:t>withdrawal notice</w:t>
      </w:r>
      <w:r>
        <w:tab/>
        <w:t>Sch. 1 cl. 31(15)</w:t>
      </w:r>
    </w:p>
    <w:p>
      <w:pPr>
        <w:pStyle w:val="DefinedTerms"/>
        <w:keepNext/>
      </w:pPr>
      <w:r>
        <w:t>working day</w:t>
      </w:r>
      <w:r>
        <w:tab/>
        <w:t>Sch. 1 cl. 1</w:t>
      </w:r>
    </w:p>
    <w:p>
      <w:pPr>
        <w:keepNext/>
      </w:pPr>
    </w:p>
    <w:p>
      <w:pPr>
        <w:keepNext/>
        <w:sectPr>
          <w:headerReference w:type="even" r:id="rId33"/>
          <w:headerReference w:type="default" r:id="rId34"/>
          <w:pgSz w:w="11907" w:h="16840" w:code="9"/>
          <w:pgMar w:top="2381" w:right="2409" w:bottom="3543" w:left="2409" w:header="720" w:footer="3552"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itlePage"/>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2021</w: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Interim Code of Practice for Retirement Villages (No. 2) 2021</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2021</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2021</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2021</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2021</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8</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33" w:name="Schedule"/>
    <w:bookmarkEnd w:id="13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0" w:name="DefinedTerms"/>
    <w:bookmarkEnd w:id="150"/>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 w:numId="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21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092809402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719122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9122450_GUID" w:val="0937d125-39fe-48ef-8c79-a27a9a93f966"/>
    <w:docVar w:name="WAFER_20210907150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50814_GUID" w:val="2df8e37b-3caa-4f60-bf04-70b950a8ab2a"/>
    <w:docVar w:name="WAFER_20210928094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4029_GUID" w:val="ae2a92f3-4e05-4e57-ae1a-afb3594169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5:docId w15:val="{E928D855-2DA5-4C3A-A88D-6BC36B343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E3AE3-677F-4FAB-90B3-0E53A7684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15498</Words>
  <Characters>80128</Characters>
  <Application>Microsoft Office Word</Application>
  <DocSecurity>0</DocSecurity>
  <Lines>1907</Lines>
  <Paragraphs>975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(No. 2) 2021 - 00-c0-00</dc:title>
  <dc:subject/>
  <dc:creator/>
  <cp:keywords/>
  <dc:description/>
  <cp:lastModifiedBy>Master Repository Process</cp:lastModifiedBy>
  <cp:revision>4</cp:revision>
  <cp:lastPrinted>2021-09-07T03:27:00Z</cp:lastPrinted>
  <dcterms:created xsi:type="dcterms:W3CDTF">2022-03-31T05:01:00Z</dcterms:created>
  <dcterms:modified xsi:type="dcterms:W3CDTF">2022-03-31T05:01:00Z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53371</vt:lpwstr>
  </property>
  <property fmtid="{D5CDD505-2E9C-101B-9397-08002B2CF9AE}" pid="3" name="DocumentType">
    <vt:lpwstr>Reg</vt:lpwstr>
  </property>
  <property fmtid="{D5CDD505-2E9C-101B-9397-08002B2CF9AE}" pid="4" name="CommencementDate">
    <vt:lpwstr>20220401</vt:lpwstr>
  </property>
  <property fmtid="{D5CDD505-2E9C-101B-9397-08002B2CF9AE}" pid="5" name="AsAtDate">
    <vt:lpwstr>01 Apr 2022</vt:lpwstr>
  </property>
  <property fmtid="{D5CDD505-2E9C-101B-9397-08002B2CF9AE}" pid="6" name="Suffix">
    <vt:lpwstr>00-c0-00</vt:lpwstr>
  </property>
  <property fmtid="{D5CDD505-2E9C-101B-9397-08002B2CF9AE}" pid="7" name="Status">
    <vt:lpwstr>NIF</vt:lpwstr>
  </property>
</Properties>
</file>