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_Toc100242590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_Toc100242591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_Toc100242592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_Toc100242594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_Toc100242595 \h </w:instrText>
      </w:r>
      <w:r>
        <w:fldChar w:fldCharType="separate"/>
      </w:r>
      <w:r>
        <w:t>11</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_Toc100242596 \h </w:instrText>
      </w:r>
      <w:r>
        <w:fldChar w:fldCharType="separate"/>
      </w:r>
      <w:r>
        <w:t>11</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_Toc100242597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_Toc100242599 \h </w:instrText>
      </w:r>
      <w:r>
        <w:fldChar w:fldCharType="separate"/>
      </w:r>
      <w:r>
        <w:t>13</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_Toc100242600 \h </w:instrText>
      </w:r>
      <w:r>
        <w:fldChar w:fldCharType="separate"/>
      </w:r>
      <w:r>
        <w:t>14</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_Toc100242601 \h </w:instrText>
      </w:r>
      <w:r>
        <w:fldChar w:fldCharType="separate"/>
      </w:r>
      <w:r>
        <w:t>14</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_Toc100242602 \h </w:instrText>
      </w:r>
      <w:r>
        <w:fldChar w:fldCharType="separate"/>
      </w:r>
      <w:r>
        <w:t>15</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_Toc100242603 \h </w:instrText>
      </w:r>
      <w:r>
        <w:fldChar w:fldCharType="separate"/>
      </w:r>
      <w:r>
        <w:t>16</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_Toc100242604 \h </w:instrText>
      </w:r>
      <w:r>
        <w:fldChar w:fldCharType="separate"/>
      </w:r>
      <w:r>
        <w:t>18</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_Toc100242605 \h </w:instrText>
      </w:r>
      <w:r>
        <w:fldChar w:fldCharType="separate"/>
      </w:r>
      <w:r>
        <w:t>20</w:t>
      </w:r>
      <w:r>
        <w:fldChar w:fldCharType="end"/>
      </w:r>
    </w:p>
    <w:p>
      <w:pPr>
        <w:pStyle w:val="TOC8"/>
        <w:rPr>
          <w:rFonts w:asciiTheme="minorHAnsi" w:eastAsiaTheme="minorEastAsia" w:hAnsiTheme="minorHAnsi" w:cstheme="minorBidi"/>
          <w:szCs w:val="22"/>
        </w:rPr>
      </w:pPr>
      <w:r>
        <w:t>13C.</w:t>
      </w:r>
      <w:r>
        <w:tab/>
        <w:t xml:space="preserve">Disclosure of information in compliance with request under </w:t>
      </w:r>
      <w:r>
        <w:rPr>
          <w:i/>
        </w:rPr>
        <w:t>Fines, Penalties and Infringement Notices Enforcement Act 1994</w:t>
      </w:r>
      <w:r>
        <w:tab/>
      </w:r>
      <w:r>
        <w:fldChar w:fldCharType="begin"/>
      </w:r>
      <w:r>
        <w:instrText xml:space="preserve"> PAGEREF _Toc100242606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13D.</w:t>
      </w:r>
      <w:r>
        <w:tab/>
        <w:t>Disclosure of incident information to ICWA</w:t>
      </w:r>
      <w:r>
        <w:tab/>
      </w:r>
      <w:r>
        <w:fldChar w:fldCharType="begin"/>
      </w:r>
      <w:r>
        <w:instrText xml:space="preserve"> PAGEREF _Toc100242607 \h </w:instrText>
      </w:r>
      <w:r>
        <w:fldChar w:fldCharType="separate"/>
      </w:r>
      <w:r>
        <w:t>21</w:t>
      </w:r>
      <w:r>
        <w:fldChar w:fldCharType="end"/>
      </w:r>
    </w:p>
    <w:p>
      <w:pPr>
        <w:pStyle w:val="TOC8"/>
        <w:rPr>
          <w:rFonts w:asciiTheme="minorHAnsi" w:eastAsiaTheme="minorEastAsia" w:hAnsiTheme="minorHAnsi" w:cstheme="minorBidi"/>
          <w:szCs w:val="22"/>
        </w:rPr>
      </w:pPr>
      <w:r>
        <w:t>13E.</w:t>
      </w:r>
      <w:r>
        <w:tab/>
        <w:t>Disclosure of incident information to involved persons</w:t>
      </w:r>
      <w:r>
        <w:tab/>
      </w:r>
      <w:r>
        <w:fldChar w:fldCharType="begin"/>
      </w:r>
      <w:r>
        <w:instrText xml:space="preserve"> PAGEREF _Toc100242608 \h </w:instrText>
      </w:r>
      <w:r>
        <w:fldChar w:fldCharType="separate"/>
      </w:r>
      <w:r>
        <w:t>22</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_Toc100242609 \h </w:instrText>
      </w:r>
      <w:r>
        <w:fldChar w:fldCharType="separate"/>
      </w:r>
      <w:r>
        <w:t>22</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_Toc100242610 \h </w:instrText>
      </w:r>
      <w:r>
        <w:fldChar w:fldCharType="separate"/>
      </w:r>
      <w:r>
        <w:t>23</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_Toc100242611 \h </w:instrText>
      </w:r>
      <w:r>
        <w:fldChar w:fldCharType="separate"/>
      </w:r>
      <w:r>
        <w:t>24</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_Toc100242612 \h </w:instrText>
      </w:r>
      <w:r>
        <w:fldChar w:fldCharType="separate"/>
      </w:r>
      <w:r>
        <w:t>25</w:t>
      </w:r>
      <w:r>
        <w:fldChar w:fldCharType="end"/>
      </w:r>
    </w:p>
    <w:p>
      <w:pPr>
        <w:pStyle w:val="TOC8"/>
        <w:rPr>
          <w:rFonts w:asciiTheme="minorHAnsi" w:eastAsiaTheme="minorEastAsia" w:hAnsiTheme="minorHAnsi" w:cstheme="minorBidi"/>
          <w:szCs w:val="22"/>
        </w:rPr>
      </w:pPr>
      <w:r>
        <w:t>16B.</w:t>
      </w:r>
      <w:r>
        <w:tab/>
        <w:t>Disclosure of information with consent</w:t>
      </w:r>
      <w:r>
        <w:tab/>
      </w:r>
      <w:r>
        <w:fldChar w:fldCharType="begin"/>
      </w:r>
      <w:r>
        <w:instrText xml:space="preserve"> PAGEREF _Toc100242613 \h </w:instrText>
      </w:r>
      <w:r>
        <w:fldChar w:fldCharType="separate"/>
      </w:r>
      <w:r>
        <w:t>25</w:t>
      </w:r>
      <w:r>
        <w:fldChar w:fldCharType="end"/>
      </w:r>
    </w:p>
    <w:p>
      <w:pPr>
        <w:pStyle w:val="TOC8"/>
        <w:rPr>
          <w:rFonts w:asciiTheme="minorHAnsi" w:eastAsiaTheme="minorEastAsia" w:hAnsiTheme="minorHAnsi" w:cstheme="minorBidi"/>
          <w:szCs w:val="22"/>
        </w:rPr>
      </w:pPr>
      <w:r>
        <w:t>16C.</w:t>
      </w:r>
      <w:r>
        <w:tab/>
        <w:t>Disclosure by means of automated system</w:t>
      </w:r>
      <w:r>
        <w:tab/>
      </w:r>
      <w:r>
        <w:fldChar w:fldCharType="begin"/>
      </w:r>
      <w:r>
        <w:instrText xml:space="preserve"> PAGEREF _Toc100242614 \h </w:instrText>
      </w:r>
      <w:r>
        <w:fldChar w:fldCharType="separate"/>
      </w:r>
      <w:r>
        <w:t>26</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_Toc100242615 \h </w:instrText>
      </w:r>
      <w:r>
        <w:fldChar w:fldCharType="separate"/>
      </w:r>
      <w:r>
        <w:t>26</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_Toc100242616 \h </w:instrText>
      </w:r>
      <w:r>
        <w:fldChar w:fldCharType="separate"/>
      </w:r>
      <w:r>
        <w:t>26</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_Toc100242617 \h </w:instrText>
      </w:r>
      <w:r>
        <w:fldChar w:fldCharType="separate"/>
      </w:r>
      <w:r>
        <w:t>27</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_Toc100242618 \h </w:instrText>
      </w:r>
      <w:r>
        <w:fldChar w:fldCharType="separate"/>
      </w:r>
      <w:r>
        <w:t>29</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_Toc100242619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_Toc100242621 \h </w:instrText>
      </w:r>
      <w:r>
        <w:fldChar w:fldCharType="separate"/>
      </w:r>
      <w:r>
        <w:t>31</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_Toc100242622 \h </w:instrText>
      </w:r>
      <w:r>
        <w:fldChar w:fldCharType="separate"/>
      </w:r>
      <w:r>
        <w:t>31</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_Toc100242623 \h </w:instrText>
      </w:r>
      <w:r>
        <w:fldChar w:fldCharType="separate"/>
      </w:r>
      <w:r>
        <w:t>31</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_Toc100242624 \h </w:instrText>
      </w:r>
      <w:r>
        <w:fldChar w:fldCharType="separate"/>
      </w:r>
      <w:r>
        <w:t>32</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_Toc100242625 \h </w:instrText>
      </w:r>
      <w:r>
        <w:fldChar w:fldCharType="separate"/>
      </w:r>
      <w:r>
        <w:t>32</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_Toc100242626 \h </w:instrText>
      </w:r>
      <w:r>
        <w:fldChar w:fldCharType="separate"/>
      </w:r>
      <w:r>
        <w:t>33</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_Toc100242627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_Toc100242630 \h </w:instrText>
      </w:r>
      <w:r>
        <w:fldChar w:fldCharType="separate"/>
      </w:r>
      <w:r>
        <w:t>35</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_Toc100242631 \h </w:instrText>
      </w:r>
      <w:r>
        <w:fldChar w:fldCharType="separate"/>
      </w:r>
      <w:r>
        <w:t>38</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_Toc100242632 \h </w:instrText>
      </w:r>
      <w:r>
        <w:fldChar w:fldCharType="separate"/>
      </w:r>
      <w:r>
        <w:t>39</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_Toc100242633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_Toc100242635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_Toc100242637 \h </w:instrText>
      </w:r>
      <w:r>
        <w:fldChar w:fldCharType="separate"/>
      </w:r>
      <w:r>
        <w:t>41</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_Toc100242638 \h </w:instrText>
      </w:r>
      <w:r>
        <w:fldChar w:fldCharType="separate"/>
      </w:r>
      <w:r>
        <w:t>42</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_Toc100242639 \h </w:instrText>
      </w:r>
      <w:r>
        <w:fldChar w:fldCharType="separate"/>
      </w:r>
      <w:r>
        <w:t>43</w:t>
      </w:r>
      <w:r>
        <w:fldChar w:fldCharType="end"/>
      </w:r>
    </w:p>
    <w:p>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_Toc100242640 \h </w:instrText>
      </w:r>
      <w:r>
        <w:fldChar w:fldCharType="separate"/>
      </w:r>
      <w:r>
        <w:t>45</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_Toc100242641 \h </w:instrText>
      </w:r>
      <w:r>
        <w:fldChar w:fldCharType="separate"/>
      </w:r>
      <w:r>
        <w:t>46</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_Toc100242642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_Toc100242644 \h </w:instrText>
      </w:r>
      <w:r>
        <w:fldChar w:fldCharType="separate"/>
      </w:r>
      <w:r>
        <w:t>47</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_Toc100242645 \h </w:instrText>
      </w:r>
      <w:r>
        <w:fldChar w:fldCharType="separate"/>
      </w:r>
      <w:r>
        <w:t>48</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_Toc100242646 \h </w:instrText>
      </w:r>
      <w:r>
        <w:fldChar w:fldCharType="separate"/>
      </w:r>
      <w:r>
        <w:t>49</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_Toc100242647 \h </w:instrText>
      </w:r>
      <w:r>
        <w:fldChar w:fldCharType="separate"/>
      </w:r>
      <w:r>
        <w:t>50</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_Toc100242648 \h </w:instrText>
      </w:r>
      <w:r>
        <w:fldChar w:fldCharType="separate"/>
      </w:r>
      <w:r>
        <w:t>51</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_Toc100242649 \h </w:instrText>
      </w:r>
      <w:r>
        <w:fldChar w:fldCharType="separate"/>
      </w:r>
      <w:r>
        <w:t>51</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_Toc100242650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_Toc100242652 \h </w:instrText>
      </w:r>
      <w:r>
        <w:fldChar w:fldCharType="separate"/>
      </w:r>
      <w:r>
        <w:t>52</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_Toc100242653 \h </w:instrText>
      </w:r>
      <w:r>
        <w:fldChar w:fldCharType="separate"/>
      </w:r>
      <w:r>
        <w:t>53</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_Toc100242654 \h </w:instrText>
      </w:r>
      <w:r>
        <w:fldChar w:fldCharType="separate"/>
      </w:r>
      <w:r>
        <w:t>54</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_Toc100242655 \h </w:instrText>
      </w:r>
      <w:r>
        <w:fldChar w:fldCharType="separate"/>
      </w:r>
      <w:r>
        <w:t>55</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_Toc100242656 \h </w:instrText>
      </w:r>
      <w:r>
        <w:fldChar w:fldCharType="separate"/>
      </w:r>
      <w:r>
        <w:t>56</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_Toc100242657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_Toc100242659 \h </w:instrText>
      </w:r>
      <w:r>
        <w:fldChar w:fldCharType="separate"/>
      </w:r>
      <w:r>
        <w:t>56</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_Toc100242660 \h </w:instrText>
      </w:r>
      <w:r>
        <w:fldChar w:fldCharType="separate"/>
      </w:r>
      <w:r>
        <w:t>57</w:t>
      </w:r>
      <w:r>
        <w:fldChar w:fldCharType="end"/>
      </w:r>
    </w:p>
    <w:p>
      <w:pPr>
        <w:pStyle w:val="TOC8"/>
        <w:rPr>
          <w:rFonts w:asciiTheme="minorHAnsi" w:eastAsiaTheme="minorEastAsia" w:hAnsiTheme="minorHAnsi" w:cstheme="minorBidi"/>
          <w:szCs w:val="22"/>
        </w:rPr>
      </w:pPr>
      <w:r>
        <w:lastRenderedPageBreak/>
        <w:t>53.</w:t>
      </w:r>
      <w:r>
        <w:tab/>
        <w:t>Search of vehicles on roads, in public places or certain official premises</w:t>
      </w:r>
      <w:r>
        <w:tab/>
      </w:r>
      <w:r>
        <w:fldChar w:fldCharType="begin"/>
      </w:r>
      <w:r>
        <w:instrText xml:space="preserve"> PAGEREF _Toc100242661 \h </w:instrText>
      </w:r>
      <w:r>
        <w:fldChar w:fldCharType="separate"/>
      </w:r>
      <w:r>
        <w:t>58</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_Toc100242662 \h </w:instrText>
      </w:r>
      <w:r>
        <w:fldChar w:fldCharType="separate"/>
      </w:r>
      <w:r>
        <w:t>60</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_Toc100242663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_Toc100242665 \h </w:instrText>
      </w:r>
      <w:r>
        <w:fldChar w:fldCharType="separate"/>
      </w:r>
      <w:r>
        <w:t>64</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_Toc100242666 \h </w:instrText>
      </w:r>
      <w:r>
        <w:fldChar w:fldCharType="separate"/>
      </w:r>
      <w:r>
        <w:t>66</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_Toc100242667 \h </w:instrText>
      </w:r>
      <w:r>
        <w:fldChar w:fldCharType="separate"/>
      </w:r>
      <w:r>
        <w:t>67</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_Toc100242668 \h </w:instrText>
      </w:r>
      <w:r>
        <w:fldChar w:fldCharType="separate"/>
      </w:r>
      <w:r>
        <w:t>69</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_Toc100242669 \h </w:instrText>
      </w:r>
      <w:r>
        <w:fldChar w:fldCharType="separate"/>
      </w:r>
      <w:r>
        <w:t>70</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_Toc100242670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6A — Powers of inspection and search for RTA Part 6A compliance purposes</w:t>
      </w:r>
    </w:p>
    <w:p>
      <w:pPr>
        <w:pStyle w:val="TOC8"/>
        <w:rPr>
          <w:rFonts w:asciiTheme="minorHAnsi" w:eastAsiaTheme="minorEastAsia" w:hAnsiTheme="minorHAnsi" w:cstheme="minorBidi"/>
          <w:szCs w:val="22"/>
        </w:rPr>
      </w:pPr>
      <w:r>
        <w:t>61A.</w:t>
      </w:r>
      <w:r>
        <w:tab/>
        <w:t>Inspection of premises</w:t>
      </w:r>
      <w:r>
        <w:tab/>
      </w:r>
      <w:r>
        <w:fldChar w:fldCharType="begin"/>
      </w:r>
      <w:r>
        <w:instrText xml:space="preserve"> PAGEREF _Toc100242672 \h </w:instrText>
      </w:r>
      <w:r>
        <w:fldChar w:fldCharType="separate"/>
      </w:r>
      <w:r>
        <w:t>71</w:t>
      </w:r>
      <w:r>
        <w:fldChar w:fldCharType="end"/>
      </w:r>
    </w:p>
    <w:p>
      <w:pPr>
        <w:pStyle w:val="TOC8"/>
        <w:rPr>
          <w:rFonts w:asciiTheme="minorHAnsi" w:eastAsiaTheme="minorEastAsia" w:hAnsiTheme="minorHAnsi" w:cstheme="minorBidi"/>
          <w:szCs w:val="22"/>
        </w:rPr>
      </w:pPr>
      <w:r>
        <w:t>61B.</w:t>
      </w:r>
      <w:r>
        <w:tab/>
        <w:t>Search of premises</w:t>
      </w:r>
      <w:r>
        <w:tab/>
      </w:r>
      <w:r>
        <w:fldChar w:fldCharType="begin"/>
      </w:r>
      <w:r>
        <w:instrText xml:space="preserve"> PAGEREF _Toc100242673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6B — Other directions in relation to RTA Part 6A compliance purposes</w:t>
      </w:r>
    </w:p>
    <w:p>
      <w:pPr>
        <w:pStyle w:val="TOC8"/>
        <w:rPr>
          <w:rFonts w:asciiTheme="minorHAnsi" w:eastAsiaTheme="minorEastAsia" w:hAnsiTheme="minorHAnsi" w:cstheme="minorBidi"/>
          <w:szCs w:val="22"/>
        </w:rPr>
      </w:pPr>
      <w:r>
        <w:t>61C.</w:t>
      </w:r>
      <w:r>
        <w:tab/>
        <w:t>Direction to produce records, devices or other things</w:t>
      </w:r>
      <w:r>
        <w:tab/>
      </w:r>
      <w:r>
        <w:fldChar w:fldCharType="begin"/>
      </w:r>
      <w:r>
        <w:instrText xml:space="preserve"> PAGEREF _Toc100242675 \h </w:instrText>
      </w:r>
      <w:r>
        <w:fldChar w:fldCharType="separate"/>
      </w:r>
      <w:r>
        <w:t>73</w:t>
      </w:r>
      <w:r>
        <w:fldChar w:fldCharType="end"/>
      </w:r>
    </w:p>
    <w:p>
      <w:pPr>
        <w:pStyle w:val="TOC8"/>
        <w:rPr>
          <w:rFonts w:asciiTheme="minorHAnsi" w:eastAsiaTheme="minorEastAsia" w:hAnsiTheme="minorHAnsi" w:cstheme="minorBidi"/>
          <w:szCs w:val="22"/>
        </w:rPr>
      </w:pPr>
      <w:r>
        <w:t>61D.</w:t>
      </w:r>
      <w:r>
        <w:tab/>
        <w:t>Direction to provide information</w:t>
      </w:r>
      <w:r>
        <w:tab/>
      </w:r>
      <w:r>
        <w:fldChar w:fldCharType="begin"/>
      </w:r>
      <w:r>
        <w:instrText xml:space="preserve"> PAGEREF _Toc100242676 \h </w:instrText>
      </w:r>
      <w:r>
        <w:fldChar w:fldCharType="separate"/>
      </w:r>
      <w:r>
        <w:t>75</w:t>
      </w:r>
      <w:r>
        <w:fldChar w:fldCharType="end"/>
      </w:r>
    </w:p>
    <w:p>
      <w:pPr>
        <w:pStyle w:val="TOC8"/>
        <w:rPr>
          <w:rFonts w:asciiTheme="minorHAnsi" w:eastAsiaTheme="minorEastAsia" w:hAnsiTheme="minorHAnsi" w:cstheme="minorBidi"/>
          <w:szCs w:val="22"/>
        </w:rPr>
      </w:pPr>
      <w:r>
        <w:t>61E.</w:t>
      </w:r>
      <w:r>
        <w:tab/>
        <w:t>Direction to provide reasonable assistance for powers of inspection and search</w:t>
      </w:r>
      <w:r>
        <w:tab/>
      </w:r>
      <w:r>
        <w:fldChar w:fldCharType="begin"/>
      </w:r>
      <w:r>
        <w:instrText xml:space="preserve"> PAGEREF _Toc100242677 \h </w:instrText>
      </w:r>
      <w:r>
        <w:fldChar w:fldCharType="separate"/>
      </w:r>
      <w:r>
        <w:t>76</w:t>
      </w:r>
      <w:r>
        <w:fldChar w:fldCharType="end"/>
      </w:r>
    </w:p>
    <w:p>
      <w:pPr>
        <w:pStyle w:val="TOC8"/>
        <w:rPr>
          <w:rFonts w:asciiTheme="minorHAnsi" w:eastAsiaTheme="minorEastAsia" w:hAnsiTheme="minorHAnsi" w:cstheme="minorBidi"/>
          <w:szCs w:val="22"/>
        </w:rPr>
      </w:pPr>
      <w:r>
        <w:t>61F.</w:t>
      </w:r>
      <w:r>
        <w:tab/>
        <w:t>Directions under this Division</w:t>
      </w:r>
      <w:r>
        <w:tab/>
      </w:r>
      <w:r>
        <w:fldChar w:fldCharType="begin"/>
      </w:r>
      <w:r>
        <w:instrText xml:space="preserve"> PAGEREF _Toc100242678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 or RTA Part 6A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_Toc100242680 \h </w:instrText>
      </w:r>
      <w:r>
        <w:fldChar w:fldCharType="separate"/>
      </w:r>
      <w:r>
        <w:t>77</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_Toc100242681 \h </w:instrText>
      </w:r>
      <w:r>
        <w:fldChar w:fldCharType="separate"/>
      </w:r>
      <w:r>
        <w:t>77</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_Toc100242682 \h </w:instrText>
      </w:r>
      <w:r>
        <w:fldChar w:fldCharType="separate"/>
      </w:r>
      <w:r>
        <w:t>78</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_Toc100242683 \h </w:instrText>
      </w:r>
      <w:r>
        <w:fldChar w:fldCharType="separate"/>
      </w:r>
      <w:r>
        <w:t>80</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_Toc100242684 \h </w:instrText>
      </w:r>
      <w:r>
        <w:fldChar w:fldCharType="separate"/>
      </w:r>
      <w:r>
        <w:t>80</w:t>
      </w:r>
      <w:r>
        <w:fldChar w:fldCharType="end"/>
      </w:r>
    </w:p>
    <w:p>
      <w:pPr>
        <w:pStyle w:val="TOC4"/>
        <w:keepLines/>
        <w:tabs>
          <w:tab w:val="right" w:leader="dot" w:pos="7077"/>
        </w:tabs>
        <w:rPr>
          <w:rFonts w:asciiTheme="minorHAnsi" w:eastAsiaTheme="minorEastAsia" w:hAnsiTheme="minorHAnsi" w:cstheme="minorBidi"/>
          <w:b w:val="0"/>
          <w:szCs w:val="22"/>
        </w:rPr>
      </w:pPr>
      <w:r>
        <w:lastRenderedPageBreak/>
        <w:t>Division 8 — Other provisions regarding inspections and searches for MDLR compliance purposes or RTA Part 6A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_Toc100242686 \h </w:instrText>
      </w:r>
      <w:r>
        <w:fldChar w:fldCharType="separate"/>
      </w:r>
      <w:r>
        <w:t>81</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_Toc100242687 \h </w:instrText>
      </w:r>
      <w:r>
        <w:fldChar w:fldCharType="separate"/>
      </w:r>
      <w:r>
        <w:t>81</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_Toc100242688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 or RTA Part 6A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_Toc100242690 \h </w:instrText>
      </w:r>
      <w:r>
        <w:fldChar w:fldCharType="separate"/>
      </w:r>
      <w:r>
        <w:t>83</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_Toc100242691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_Toc100242693 \h </w:instrText>
      </w:r>
      <w:r>
        <w:fldChar w:fldCharType="separate"/>
      </w:r>
      <w:r>
        <w:t>87</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_Toc100242694 \h </w:instrText>
      </w:r>
      <w:r>
        <w:fldChar w:fldCharType="separate"/>
      </w:r>
      <w:r>
        <w:t>87</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_Toc100242695 \h </w:instrText>
      </w:r>
      <w:r>
        <w:fldChar w:fldCharType="separate"/>
      </w:r>
      <w:r>
        <w:t>87</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_Toc100242696 \h </w:instrText>
      </w:r>
      <w:r>
        <w:fldChar w:fldCharType="separate"/>
      </w:r>
      <w:r>
        <w:t>89</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_Toc100242697 \h </w:instrText>
      </w:r>
      <w:r>
        <w:fldChar w:fldCharType="separate"/>
      </w:r>
      <w:r>
        <w:t>90</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_Toc100242698 \h </w:instrText>
      </w:r>
      <w:r>
        <w:fldChar w:fldCharType="separate"/>
      </w:r>
      <w:r>
        <w:t>90</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_Toc100242699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_Toc100242702 \h </w:instrText>
      </w:r>
      <w:r>
        <w:fldChar w:fldCharType="separate"/>
      </w:r>
      <w:r>
        <w:t>91</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_Toc100242703 \h </w:instrText>
      </w:r>
      <w:r>
        <w:fldChar w:fldCharType="separate"/>
      </w:r>
      <w:r>
        <w:t>91</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_Toc100242704 \h </w:instrText>
      </w:r>
      <w:r>
        <w:fldChar w:fldCharType="separate"/>
      </w:r>
      <w:r>
        <w:t>91</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_Toc100242705 \h </w:instrText>
      </w:r>
      <w:r>
        <w:fldChar w:fldCharType="separate"/>
      </w:r>
      <w:r>
        <w:t>92</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_Toc100242706 \h </w:instrText>
      </w:r>
      <w:r>
        <w:fldChar w:fldCharType="separate"/>
      </w:r>
      <w:r>
        <w:t>92</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_Toc100242707 \h </w:instrText>
      </w:r>
      <w:r>
        <w:fldChar w:fldCharType="separate"/>
      </w:r>
      <w:r>
        <w:t>93</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_Toc100242708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_Toc100242710 \h </w:instrText>
      </w:r>
      <w:r>
        <w:fldChar w:fldCharType="separate"/>
      </w:r>
      <w:r>
        <w:t>94</w:t>
      </w:r>
      <w:r>
        <w:fldChar w:fldCharType="end"/>
      </w:r>
    </w:p>
    <w:p>
      <w:pPr>
        <w:pStyle w:val="TOC8"/>
        <w:rPr>
          <w:rFonts w:asciiTheme="minorHAnsi" w:eastAsiaTheme="minorEastAsia" w:hAnsiTheme="minorHAnsi" w:cstheme="minorBidi"/>
          <w:szCs w:val="22"/>
        </w:rPr>
      </w:pPr>
      <w:r>
        <w:lastRenderedPageBreak/>
        <w:t>87.</w:t>
      </w:r>
      <w:r>
        <w:tab/>
        <w:t>If more than one responsible person</w:t>
      </w:r>
      <w:r>
        <w:tab/>
      </w:r>
      <w:r>
        <w:fldChar w:fldCharType="begin"/>
      </w:r>
      <w:r>
        <w:instrText xml:space="preserve"> PAGEREF _Toc100242711 \h </w:instrText>
      </w:r>
      <w:r>
        <w:fldChar w:fldCharType="separate"/>
      </w:r>
      <w:r>
        <w:t>94</w:t>
      </w:r>
      <w:r>
        <w:fldChar w:fldCharType="end"/>
      </w:r>
    </w:p>
    <w:p>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_Toc100242712 \h </w:instrText>
      </w:r>
      <w:r>
        <w:fldChar w:fldCharType="separate"/>
      </w:r>
      <w:r>
        <w:t>95</w:t>
      </w:r>
      <w:r>
        <w:fldChar w:fldCharType="end"/>
      </w:r>
    </w:p>
    <w:p>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_Toc100242713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_Toc100242715 \h </w:instrText>
      </w:r>
      <w:r>
        <w:fldChar w:fldCharType="separate"/>
      </w:r>
      <w:r>
        <w:t>95</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_Toc100242716 \h </w:instrText>
      </w:r>
      <w:r>
        <w:fldChar w:fldCharType="separate"/>
      </w:r>
      <w:r>
        <w:t>96</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_Toc100242717 \h </w:instrText>
      </w:r>
      <w:r>
        <w:fldChar w:fldCharType="separate"/>
      </w:r>
      <w:r>
        <w:t>96</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_Toc100242718 \h </w:instrText>
      </w:r>
      <w:r>
        <w:fldChar w:fldCharType="separate"/>
      </w:r>
      <w:r>
        <w:t>97</w:t>
      </w:r>
      <w:r>
        <w:fldChar w:fldCharType="end"/>
      </w:r>
    </w:p>
    <w:p>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_Toc100242719 \h </w:instrText>
      </w:r>
      <w:r>
        <w:fldChar w:fldCharType="separate"/>
      </w:r>
      <w:r>
        <w:t>97</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_Toc100242720 \h </w:instrText>
      </w:r>
      <w:r>
        <w:fldChar w:fldCharType="separate"/>
      </w:r>
      <w:r>
        <w:t>99</w:t>
      </w:r>
      <w:r>
        <w:fldChar w:fldCharType="end"/>
      </w:r>
    </w:p>
    <w:p>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_Toc100242721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_Toc100242723 \h </w:instrText>
      </w:r>
      <w:r>
        <w:fldChar w:fldCharType="separate"/>
      </w:r>
      <w:r>
        <w:t>99</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_Toc100242724 \h </w:instrText>
      </w:r>
      <w:r>
        <w:fldChar w:fldCharType="separate"/>
      </w:r>
      <w:r>
        <w:t>99</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_Toc100242725 \h </w:instrText>
      </w:r>
      <w:r>
        <w:fldChar w:fldCharType="separate"/>
      </w:r>
      <w:r>
        <w:t>100</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_Toc100242726 \h </w:instrText>
      </w:r>
      <w:r>
        <w:fldChar w:fldCharType="separate"/>
      </w:r>
      <w:r>
        <w:t>100</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_Toc100242727 \h </w:instrText>
      </w:r>
      <w:r>
        <w:fldChar w:fldCharType="separate"/>
      </w:r>
      <w:r>
        <w:t>102</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_Toc100242728 \h </w:instrText>
      </w:r>
      <w:r>
        <w:fldChar w:fldCharType="separate"/>
      </w:r>
      <w:r>
        <w:t>102</w:t>
      </w:r>
      <w:r>
        <w:fldChar w:fldCharType="end"/>
      </w:r>
    </w:p>
    <w:p>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_Toc100242729 \h </w:instrText>
      </w:r>
      <w:r>
        <w:fldChar w:fldCharType="separate"/>
      </w:r>
      <w:r>
        <w:t>102</w:t>
      </w:r>
      <w:r>
        <w:fldChar w:fldCharType="end"/>
      </w:r>
    </w:p>
    <w:p>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_Toc100242730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_Toc100242733 \h </w:instrText>
      </w:r>
      <w:r>
        <w:fldChar w:fldCharType="separate"/>
      </w:r>
      <w:r>
        <w:t>104</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_Toc100242734 \h </w:instrText>
      </w:r>
      <w:r>
        <w:fldChar w:fldCharType="separate"/>
      </w:r>
      <w:r>
        <w:t>105</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_Toc100242735 \h </w:instrText>
      </w:r>
      <w:r>
        <w:fldChar w:fldCharType="separate"/>
      </w:r>
      <w:r>
        <w:t>105</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_Toc100242736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_Toc100242738 \h </w:instrText>
      </w:r>
      <w:r>
        <w:fldChar w:fldCharType="separate"/>
      </w:r>
      <w:r>
        <w:t>106</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_Toc100242739 \h </w:instrText>
      </w:r>
      <w:r>
        <w:fldChar w:fldCharType="separate"/>
      </w:r>
      <w:r>
        <w:t>109</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_Toc100242740 \h </w:instrText>
      </w:r>
      <w:r>
        <w:fldChar w:fldCharType="separate"/>
      </w:r>
      <w:r>
        <w:t>110</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_Toc100242741 \h </w:instrText>
      </w:r>
      <w:r>
        <w:fldChar w:fldCharType="separate"/>
      </w:r>
      <w:r>
        <w:t>112</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_Toc100242742 \h </w:instrText>
      </w:r>
      <w:r>
        <w:fldChar w:fldCharType="separate"/>
      </w:r>
      <w:r>
        <w:t>112</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_Toc100242743 \h </w:instrText>
      </w:r>
      <w:r>
        <w:fldChar w:fldCharType="separate"/>
      </w:r>
      <w:r>
        <w:t>113</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_Toc100242744 \h </w:instrText>
      </w:r>
      <w:r>
        <w:fldChar w:fldCharType="separate"/>
      </w:r>
      <w:r>
        <w:t>114</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_Toc100242745 \h </w:instrText>
      </w:r>
      <w:r>
        <w:fldChar w:fldCharType="separate"/>
      </w:r>
      <w:r>
        <w:t>115</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_Toc100242746 \h </w:instrText>
      </w:r>
      <w:r>
        <w:fldChar w:fldCharType="separate"/>
      </w:r>
      <w:r>
        <w:t>115</w:t>
      </w:r>
      <w:r>
        <w:fldChar w:fldCharType="end"/>
      </w:r>
    </w:p>
    <w:p>
      <w:pPr>
        <w:pStyle w:val="TOC8"/>
        <w:rPr>
          <w:rFonts w:asciiTheme="minorHAnsi" w:eastAsiaTheme="minorEastAsia" w:hAnsiTheme="minorHAnsi" w:cstheme="minorBidi"/>
          <w:szCs w:val="22"/>
        </w:rPr>
      </w:pPr>
      <w:r>
        <w:t>117A.</w:t>
      </w:r>
      <w:r>
        <w:tab/>
        <w:t>Evidentiary provisions for images recorded by speed measuring and recording equipment</w:t>
      </w:r>
      <w:r>
        <w:tab/>
      </w:r>
      <w:r>
        <w:fldChar w:fldCharType="begin"/>
      </w:r>
      <w:r>
        <w:instrText xml:space="preserve"> PAGEREF _Toc100242747 \h </w:instrText>
      </w:r>
      <w:r>
        <w:fldChar w:fldCharType="separate"/>
      </w:r>
      <w:r>
        <w:t>119</w:t>
      </w:r>
      <w:r>
        <w:fldChar w:fldCharType="end"/>
      </w:r>
    </w:p>
    <w:p>
      <w:pPr>
        <w:pStyle w:val="TOC8"/>
        <w:rPr>
          <w:rFonts w:asciiTheme="minorHAnsi" w:eastAsiaTheme="minorEastAsia" w:hAnsiTheme="minorHAnsi" w:cstheme="minorBidi"/>
          <w:szCs w:val="22"/>
        </w:rPr>
      </w:pPr>
      <w:r>
        <w:t>117B.</w:t>
      </w:r>
      <w:r>
        <w:tab/>
        <w:t>Evidence of average speed as actual speed</w:t>
      </w:r>
      <w:r>
        <w:tab/>
      </w:r>
      <w:r>
        <w:fldChar w:fldCharType="begin"/>
      </w:r>
      <w:r>
        <w:instrText xml:space="preserve"> PAGEREF _Toc100242748 \h </w:instrText>
      </w:r>
      <w:r>
        <w:fldChar w:fldCharType="separate"/>
      </w:r>
      <w:r>
        <w:t>120</w:t>
      </w:r>
      <w:r>
        <w:fldChar w:fldCharType="end"/>
      </w:r>
    </w:p>
    <w:p>
      <w:pPr>
        <w:pStyle w:val="TOC8"/>
        <w:rPr>
          <w:rFonts w:asciiTheme="minorHAnsi" w:eastAsiaTheme="minorEastAsia" w:hAnsiTheme="minorHAnsi" w:cstheme="minorBidi"/>
          <w:szCs w:val="22"/>
        </w:rPr>
      </w:pPr>
      <w:r>
        <w:t>117C.</w:t>
      </w:r>
      <w:r>
        <w:tab/>
        <w:t>Average speed detection systems</w:t>
      </w:r>
      <w:r>
        <w:tab/>
      </w:r>
      <w:r>
        <w:fldChar w:fldCharType="begin"/>
      </w:r>
      <w:r>
        <w:instrText xml:space="preserve"> PAGEREF _Toc100242749 \h </w:instrText>
      </w:r>
      <w:r>
        <w:fldChar w:fldCharType="separate"/>
      </w:r>
      <w:r>
        <w:t>122</w:t>
      </w:r>
      <w:r>
        <w:fldChar w:fldCharType="end"/>
      </w:r>
    </w:p>
    <w:p>
      <w:pPr>
        <w:pStyle w:val="TOC8"/>
        <w:rPr>
          <w:rFonts w:asciiTheme="minorHAnsi" w:eastAsiaTheme="minorEastAsia" w:hAnsiTheme="minorHAnsi" w:cstheme="minorBidi"/>
          <w:szCs w:val="22"/>
        </w:rPr>
      </w:pPr>
      <w:r>
        <w:t>117D.</w:t>
      </w:r>
      <w:r>
        <w:tab/>
        <w:t>How average speed is to be calculated</w:t>
      </w:r>
      <w:r>
        <w:tab/>
      </w:r>
      <w:r>
        <w:fldChar w:fldCharType="begin"/>
      </w:r>
      <w:r>
        <w:instrText xml:space="preserve"> PAGEREF _Toc100242750 \h </w:instrText>
      </w:r>
      <w:r>
        <w:fldChar w:fldCharType="separate"/>
      </w:r>
      <w:r>
        <w:t>123</w:t>
      </w:r>
      <w:r>
        <w:fldChar w:fldCharType="end"/>
      </w:r>
    </w:p>
    <w:p>
      <w:pPr>
        <w:pStyle w:val="TOC8"/>
        <w:rPr>
          <w:rFonts w:asciiTheme="minorHAnsi" w:eastAsiaTheme="minorEastAsia" w:hAnsiTheme="minorHAnsi" w:cstheme="minorBidi"/>
          <w:szCs w:val="22"/>
        </w:rPr>
      </w:pPr>
      <w:r>
        <w:t>117E.</w:t>
      </w:r>
      <w:r>
        <w:tab/>
        <w:t>How average speed limit is to be calculated</w:t>
      </w:r>
      <w:r>
        <w:tab/>
      </w:r>
      <w:r>
        <w:fldChar w:fldCharType="begin"/>
      </w:r>
      <w:r>
        <w:instrText xml:space="preserve"> PAGEREF _Toc100242751 \h </w:instrText>
      </w:r>
      <w:r>
        <w:fldChar w:fldCharType="separate"/>
      </w:r>
      <w:r>
        <w:t>123</w:t>
      </w:r>
      <w:r>
        <w:fldChar w:fldCharType="end"/>
      </w:r>
    </w:p>
    <w:p>
      <w:pPr>
        <w:pStyle w:val="TOC8"/>
        <w:rPr>
          <w:rFonts w:asciiTheme="minorHAnsi" w:eastAsiaTheme="minorEastAsia" w:hAnsiTheme="minorHAnsi" w:cstheme="minorBidi"/>
          <w:szCs w:val="22"/>
        </w:rPr>
      </w:pPr>
      <w:r>
        <w:t>117F.</w:t>
      </w:r>
      <w:r>
        <w:tab/>
        <w:t>Evidence of, proceedings for, certain matters related to evidence of average speed</w:t>
      </w:r>
      <w:r>
        <w:tab/>
      </w:r>
      <w:r>
        <w:fldChar w:fldCharType="begin"/>
      </w:r>
      <w:r>
        <w:instrText xml:space="preserve"> PAGEREF _Toc100242752 \h </w:instrText>
      </w:r>
      <w:r>
        <w:fldChar w:fldCharType="separate"/>
      </w:r>
      <w:r>
        <w:t>124</w:t>
      </w:r>
      <w:r>
        <w:fldChar w:fldCharType="end"/>
      </w:r>
    </w:p>
    <w:p>
      <w:pPr>
        <w:pStyle w:val="TOC8"/>
        <w:rPr>
          <w:rFonts w:asciiTheme="minorHAnsi" w:eastAsiaTheme="minorEastAsia" w:hAnsiTheme="minorHAnsi" w:cstheme="minorBidi"/>
          <w:szCs w:val="22"/>
        </w:rPr>
      </w:pPr>
      <w:r>
        <w:t>117G.</w:t>
      </w:r>
      <w:r>
        <w:tab/>
        <w:t>Evidentiary provisions for images recorded by average speed detection systems</w:t>
      </w:r>
      <w:r>
        <w:tab/>
      </w:r>
      <w:r>
        <w:fldChar w:fldCharType="begin"/>
      </w:r>
      <w:r>
        <w:instrText xml:space="preserve"> PAGEREF _Toc100242753 \h </w:instrText>
      </w:r>
      <w:r>
        <w:fldChar w:fldCharType="separate"/>
      </w:r>
      <w:r>
        <w:t>125</w:t>
      </w:r>
      <w:r>
        <w:fldChar w:fldCharType="end"/>
      </w:r>
    </w:p>
    <w:p>
      <w:pPr>
        <w:pStyle w:val="TOC8"/>
        <w:rPr>
          <w:rFonts w:asciiTheme="minorHAnsi" w:eastAsiaTheme="minorEastAsia" w:hAnsiTheme="minorHAnsi" w:cstheme="minorBidi"/>
          <w:szCs w:val="22"/>
        </w:rPr>
      </w:pPr>
      <w:r>
        <w:t>117H.</w:t>
      </w:r>
      <w:r>
        <w:tab/>
        <w:t>Certificate evidence as to shortest practicable distance</w:t>
      </w:r>
      <w:r>
        <w:tab/>
      </w:r>
      <w:r>
        <w:fldChar w:fldCharType="begin"/>
      </w:r>
      <w:r>
        <w:instrText xml:space="preserve"> PAGEREF _Toc100242754 \h </w:instrText>
      </w:r>
      <w:r>
        <w:fldChar w:fldCharType="separate"/>
      </w:r>
      <w:r>
        <w:t>127</w:t>
      </w:r>
      <w:r>
        <w:fldChar w:fldCharType="end"/>
      </w:r>
    </w:p>
    <w:p>
      <w:pPr>
        <w:pStyle w:val="TOC8"/>
        <w:rPr>
          <w:rFonts w:asciiTheme="minorHAnsi" w:eastAsiaTheme="minorEastAsia" w:hAnsiTheme="minorHAnsi" w:cstheme="minorBidi"/>
          <w:szCs w:val="22"/>
        </w:rPr>
      </w:pPr>
      <w:r>
        <w:t>117I.</w:t>
      </w:r>
      <w:r>
        <w:tab/>
        <w:t>Certificate, image copies to be given before proceedings</w:t>
      </w:r>
      <w:r>
        <w:tab/>
      </w:r>
      <w:r>
        <w:fldChar w:fldCharType="begin"/>
      </w:r>
      <w:r>
        <w:instrText xml:space="preserve"> PAGEREF _Toc100242755 \h </w:instrText>
      </w:r>
      <w:r>
        <w:fldChar w:fldCharType="separate"/>
      </w:r>
      <w:r>
        <w:t>128</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_Toc100242756 \h </w:instrText>
      </w:r>
      <w:r>
        <w:fldChar w:fldCharType="separate"/>
      </w:r>
      <w:r>
        <w:t>129</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_Toc100242757 \h </w:instrText>
      </w:r>
      <w:r>
        <w:fldChar w:fldCharType="separate"/>
      </w:r>
      <w:r>
        <w:t>129</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_Toc100242758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_Toc100242760 \h </w:instrText>
      </w:r>
      <w:r>
        <w:fldChar w:fldCharType="separate"/>
      </w:r>
      <w:r>
        <w:t>131</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_Toc100242761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_Toc100242763 \h </w:instrText>
      </w:r>
      <w:r>
        <w:fldChar w:fldCharType="separate"/>
      </w:r>
      <w:r>
        <w:t>132</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_Toc100242764 \h </w:instrText>
      </w:r>
      <w:r>
        <w:fldChar w:fldCharType="separate"/>
      </w:r>
      <w:r>
        <w:t>133</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_Toc100242765 \h </w:instrText>
      </w:r>
      <w:r>
        <w:fldChar w:fldCharType="separate"/>
      </w:r>
      <w:r>
        <w:t>133</w:t>
      </w:r>
      <w:r>
        <w:fldChar w:fldCharType="end"/>
      </w:r>
    </w:p>
    <w:p>
      <w:pPr>
        <w:pStyle w:val="TOC8"/>
        <w:rPr>
          <w:rFonts w:asciiTheme="minorHAnsi" w:eastAsiaTheme="minorEastAsia" w:hAnsiTheme="minorHAnsi" w:cstheme="minorBidi"/>
          <w:szCs w:val="22"/>
        </w:rPr>
      </w:pPr>
      <w:r>
        <w:lastRenderedPageBreak/>
        <w:t>126.</w:t>
      </w:r>
      <w:r>
        <w:tab/>
        <w:t>Service of certificates</w:t>
      </w:r>
      <w:r>
        <w:tab/>
      </w:r>
      <w:r>
        <w:fldChar w:fldCharType="begin"/>
      </w:r>
      <w:r>
        <w:instrText xml:space="preserve"> PAGEREF _Toc100242766 \h </w:instrText>
      </w:r>
      <w:r>
        <w:fldChar w:fldCharType="separate"/>
      </w:r>
      <w:r>
        <w:t>134</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_Toc100242767 \h </w:instrText>
      </w:r>
      <w:r>
        <w:fldChar w:fldCharType="separate"/>
      </w:r>
      <w:r>
        <w:t>135</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_Toc100242768 \h </w:instrText>
      </w:r>
      <w:r>
        <w:fldChar w:fldCharType="separate"/>
      </w:r>
      <w:r>
        <w:t>135</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_Toc100242769 \h </w:instrText>
      </w:r>
      <w:r>
        <w:fldChar w:fldCharType="separate"/>
      </w:r>
      <w:r>
        <w:t>135</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_Toc100242770 \h </w:instrText>
      </w:r>
      <w:r>
        <w:fldChar w:fldCharType="separate"/>
      </w:r>
      <w:r>
        <w:t>136</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_Toc100242771 \h </w:instrText>
      </w:r>
      <w:r>
        <w:fldChar w:fldCharType="separate"/>
      </w:r>
      <w:r>
        <w:t>136</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_Toc100242772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_Toc100242774 \h </w:instrText>
      </w:r>
      <w:r>
        <w:fldChar w:fldCharType="separate"/>
      </w:r>
      <w:r>
        <w:t>139</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_Toc100242775 \h </w:instrText>
      </w:r>
      <w:r>
        <w:fldChar w:fldCharType="separate"/>
      </w:r>
      <w:r>
        <w:t>140</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_Toc100242776 \h </w:instrText>
      </w:r>
      <w:r>
        <w:fldChar w:fldCharType="separate"/>
      </w:r>
      <w:r>
        <w:t>140</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_Toc100242777 \h </w:instrText>
      </w:r>
      <w:r>
        <w:fldChar w:fldCharType="separate"/>
      </w:r>
      <w:r>
        <w:t>141</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_Toc100242778 \h </w:instrText>
      </w:r>
      <w:r>
        <w:fldChar w:fldCharType="separate"/>
      </w:r>
      <w:r>
        <w:t>142</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_Toc100242779 \h </w:instrText>
      </w:r>
      <w:r>
        <w:fldChar w:fldCharType="separate"/>
      </w:r>
      <w:r>
        <w:t>142</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_Toc100242780 \h </w:instrText>
      </w:r>
      <w:r>
        <w:fldChar w:fldCharType="separate"/>
      </w:r>
      <w:r>
        <w:t>143</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_Toc100242781 \h </w:instrText>
      </w:r>
      <w:r>
        <w:fldChar w:fldCharType="separate"/>
      </w:r>
      <w:r>
        <w:t>143</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_Toc100242782 \h </w:instrText>
      </w:r>
      <w:r>
        <w:fldChar w:fldCharType="separate"/>
      </w:r>
      <w:r>
        <w:t>146</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_Toc100242783 \h </w:instrText>
      </w:r>
      <w:r>
        <w:fldChar w:fldCharType="separate"/>
      </w:r>
      <w:r>
        <w:t>146</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_Toc100242784 \h </w:instrText>
      </w:r>
      <w:r>
        <w:fldChar w:fldCharType="separate"/>
      </w:r>
      <w:r>
        <w:t>146</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_Toc100242785 \h </w:instrText>
      </w:r>
      <w:r>
        <w:fldChar w:fldCharType="separate"/>
      </w:r>
      <w:r>
        <w:t>147</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_Toc100242786 \h </w:instrText>
      </w:r>
      <w:r>
        <w:fldChar w:fldCharType="separate"/>
      </w:r>
      <w:r>
        <w:t>148</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_Toc100242787 \h </w:instrText>
      </w:r>
      <w:r>
        <w:fldChar w:fldCharType="separate"/>
      </w:r>
      <w:r>
        <w:t>148</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_Toc100242788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keepNext w:val="0"/>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t> </w:t>
      </w:r>
      <w:r>
        <w:rPr>
          <w:i/>
          <w:iCs/>
        </w:rPr>
        <w:t>2012</w:t>
      </w:r>
    </w:p>
    <w:p>
      <w:pPr>
        <w:pStyle w:val="TOC6"/>
        <w:keepLines/>
        <w:tabs>
          <w:tab w:val="right" w:leader="dot" w:pos="7077"/>
        </w:tabs>
        <w:rPr>
          <w:rFonts w:asciiTheme="minorHAnsi" w:eastAsiaTheme="minorEastAsia" w:hAnsiTheme="minorHAnsi" w:cstheme="minorBidi"/>
          <w:b w:val="0"/>
          <w:sz w:val="22"/>
          <w:szCs w:val="22"/>
        </w:rPr>
      </w:pPr>
      <w:r>
        <w:lastRenderedPageBreak/>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_Toc100242792 \h </w:instrText>
      </w:r>
      <w:r>
        <w:fldChar w:fldCharType="separate"/>
      </w:r>
      <w:r>
        <w:t>150</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_Toc100242793 \h </w:instrText>
      </w:r>
      <w:r>
        <w:fldChar w:fldCharType="separate"/>
      </w:r>
      <w:r>
        <w:t>150</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_Toc100242794 \h </w:instrText>
      </w:r>
      <w:r>
        <w:fldChar w:fldCharType="separate"/>
      </w:r>
      <w:r>
        <w:t>150</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_Toc100242795 \h </w:instrText>
      </w:r>
      <w:r>
        <w:fldChar w:fldCharType="separate"/>
      </w:r>
      <w:r>
        <w:t>151</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_Toc100242796 \h </w:instrText>
      </w:r>
      <w:r>
        <w:fldChar w:fldCharType="separate"/>
      </w:r>
      <w:r>
        <w:t>151</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_Toc100242797 \h </w:instrText>
      </w:r>
      <w:r>
        <w:fldChar w:fldCharType="separate"/>
      </w:r>
      <w:r>
        <w:t>151</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_Toc100242798 \h </w:instrText>
      </w:r>
      <w:r>
        <w:fldChar w:fldCharType="separate"/>
      </w:r>
      <w:r>
        <w:t>151</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_Toc100242799 \h </w:instrText>
      </w:r>
      <w:r>
        <w:fldChar w:fldCharType="separate"/>
      </w:r>
      <w:r>
        <w:t>152</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_Toc100242800 \h </w:instrText>
      </w:r>
      <w:r>
        <w:fldChar w:fldCharType="separate"/>
      </w:r>
      <w:r>
        <w:t>152</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_Toc100242801 \h </w:instrText>
      </w:r>
      <w:r>
        <w:fldChar w:fldCharType="separate"/>
      </w:r>
      <w:r>
        <w:t>152</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_Toc100242802 \h </w:instrText>
      </w:r>
      <w:r>
        <w:fldChar w:fldCharType="separate"/>
      </w:r>
      <w:r>
        <w:t>152</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_Toc100242803 \h </w:instrText>
      </w:r>
      <w:r>
        <w:fldChar w:fldCharType="separate"/>
      </w:r>
      <w:r>
        <w:t>152</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_Toc100242804 \h </w:instrText>
      </w:r>
      <w:r>
        <w:fldChar w:fldCharType="separate"/>
      </w:r>
      <w:r>
        <w:t>153</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_Toc100242805 \h </w:instrText>
      </w:r>
      <w:r>
        <w:fldChar w:fldCharType="separate"/>
      </w:r>
      <w:r>
        <w:t>153</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_Toc100242806 \h </w:instrText>
      </w:r>
      <w:r>
        <w:fldChar w:fldCharType="separate"/>
      </w:r>
      <w:r>
        <w:t>153</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_Toc100242807 \h </w:instrText>
      </w:r>
      <w:r>
        <w:fldChar w:fldCharType="separate"/>
      </w:r>
      <w:r>
        <w:t>154</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_Toc100242808 \h </w:instrText>
      </w:r>
      <w:r>
        <w:fldChar w:fldCharType="separate"/>
      </w:r>
      <w:r>
        <w:t>154</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_Toc100242809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_Toc100242811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arising from certain amendments made by the </w:t>
      </w:r>
      <w:r>
        <w:rPr>
          <w:i/>
        </w:rPr>
        <w:t>Road Traffic Legislation Amendment Act 2016</w:t>
      </w:r>
    </w:p>
    <w:p>
      <w:pPr>
        <w:pStyle w:val="TOC8"/>
        <w:rPr>
          <w:rFonts w:asciiTheme="minorHAnsi" w:eastAsiaTheme="minorEastAsia" w:hAnsiTheme="minorHAnsi" w:cstheme="minorBidi"/>
          <w:szCs w:val="22"/>
        </w:rPr>
      </w:pPr>
      <w:r>
        <w:t>166.</w:t>
      </w:r>
      <w:r>
        <w:tab/>
        <w:t>Terms used</w:t>
      </w:r>
      <w:r>
        <w:tab/>
      </w:r>
      <w:r>
        <w:fldChar w:fldCharType="begin"/>
      </w:r>
      <w:r>
        <w:instrText xml:space="preserve"> PAGEREF _Toc100242813 \h </w:instrText>
      </w:r>
      <w:r>
        <w:fldChar w:fldCharType="separate"/>
      </w:r>
      <w:r>
        <w:t>155</w:t>
      </w:r>
      <w:r>
        <w:fldChar w:fldCharType="end"/>
      </w:r>
    </w:p>
    <w:p>
      <w:pPr>
        <w:pStyle w:val="TOC8"/>
        <w:rPr>
          <w:rFonts w:asciiTheme="minorHAnsi" w:eastAsiaTheme="minorEastAsia" w:hAnsiTheme="minorHAnsi" w:cstheme="minorBidi"/>
          <w:szCs w:val="22"/>
        </w:rPr>
      </w:pPr>
      <w:r>
        <w:lastRenderedPageBreak/>
        <w:t>167.</w:t>
      </w:r>
      <w:r>
        <w:tab/>
        <w:t>Approval of apparatus for ascertaining vehicle speed</w:t>
      </w:r>
      <w:r>
        <w:tab/>
      </w:r>
      <w:r>
        <w:fldChar w:fldCharType="begin"/>
      </w:r>
      <w:r>
        <w:instrText xml:space="preserve"> PAGEREF _Toc100242814 \h </w:instrText>
      </w:r>
      <w:r>
        <w:fldChar w:fldCharType="separate"/>
      </w:r>
      <w:r>
        <w:t>156</w:t>
      </w:r>
      <w:r>
        <w:fldChar w:fldCharType="end"/>
      </w:r>
    </w:p>
    <w:p>
      <w:pPr>
        <w:pStyle w:val="TOC8"/>
        <w:rPr>
          <w:rFonts w:asciiTheme="minorHAnsi" w:eastAsiaTheme="minorEastAsia" w:hAnsiTheme="minorHAnsi" w:cstheme="minorBidi"/>
          <w:szCs w:val="22"/>
        </w:rPr>
      </w:pPr>
      <w:r>
        <w:t>168.</w:t>
      </w:r>
      <w:r>
        <w:tab/>
        <w:t>Approval of apparatus for ascertaining distances on roads</w:t>
      </w:r>
      <w:r>
        <w:tab/>
      </w:r>
      <w:r>
        <w:fldChar w:fldCharType="begin"/>
      </w:r>
      <w:r>
        <w:instrText xml:space="preserve"> PAGEREF _Toc100242815 \h </w:instrText>
      </w:r>
      <w:r>
        <w:fldChar w:fldCharType="separate"/>
      </w:r>
      <w:r>
        <w:t>156</w:t>
      </w:r>
      <w:r>
        <w:fldChar w:fldCharType="end"/>
      </w:r>
    </w:p>
    <w:p>
      <w:pPr>
        <w:pStyle w:val="TOC8"/>
        <w:rPr>
          <w:rFonts w:asciiTheme="minorHAnsi" w:eastAsiaTheme="minorEastAsia" w:hAnsiTheme="minorHAnsi" w:cstheme="minorBidi"/>
          <w:szCs w:val="22"/>
        </w:rPr>
      </w:pPr>
      <w:r>
        <w:t>169.</w:t>
      </w:r>
      <w:r>
        <w:tab/>
        <w:t>Certain authorised persons to be authorised persons for speed measuring and recording equipment, average speed detection systems</w:t>
      </w:r>
      <w:r>
        <w:tab/>
      </w:r>
      <w:r>
        <w:fldChar w:fldCharType="begin"/>
      </w:r>
      <w:r>
        <w:instrText xml:space="preserve"> PAGEREF _Toc100242816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_Toc100242818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3" w:name="_Toc100234198"/>
      <w:bookmarkStart w:id="4" w:name="_Toc100234428"/>
      <w:bookmarkStart w:id="5" w:name="_Toc100236006"/>
      <w:bookmarkStart w:id="6" w:name="_Toc100242588"/>
      <w:r>
        <w:rPr>
          <w:rStyle w:val="CharPartNo"/>
        </w:rPr>
        <w:lastRenderedPageBreak/>
        <w:t>Part 1</w:t>
      </w:r>
      <w:r>
        <w:t> — </w:t>
      </w:r>
      <w:r>
        <w:rPr>
          <w:rStyle w:val="CharPartText"/>
        </w:rPr>
        <w:t>Preliminary</w:t>
      </w:r>
      <w:bookmarkEnd w:id="3"/>
      <w:bookmarkEnd w:id="4"/>
      <w:bookmarkEnd w:id="5"/>
      <w:bookmarkEnd w:id="6"/>
    </w:p>
    <w:p>
      <w:pPr>
        <w:pStyle w:val="Heading3"/>
      </w:pPr>
      <w:bookmarkStart w:id="7" w:name="_Toc100234199"/>
      <w:bookmarkStart w:id="8" w:name="_Toc100234429"/>
      <w:bookmarkStart w:id="9" w:name="_Toc100236007"/>
      <w:bookmarkStart w:id="10" w:name="_Toc100242589"/>
      <w:r>
        <w:rPr>
          <w:rStyle w:val="CharDivNo"/>
        </w:rPr>
        <w:t>Division 1</w:t>
      </w:r>
      <w:r>
        <w:t> — </w:t>
      </w:r>
      <w:r>
        <w:rPr>
          <w:rStyle w:val="CharDivText"/>
        </w:rPr>
        <w:t>General</w:t>
      </w:r>
      <w:bookmarkEnd w:id="7"/>
      <w:bookmarkEnd w:id="8"/>
      <w:bookmarkEnd w:id="9"/>
      <w:bookmarkEnd w:id="10"/>
    </w:p>
    <w:p>
      <w:pPr>
        <w:pStyle w:val="Heading5"/>
      </w:pPr>
      <w:bookmarkStart w:id="11" w:name="_Toc100242590"/>
      <w:r>
        <w:rPr>
          <w:rStyle w:val="CharSectno"/>
        </w:rPr>
        <w:t>1</w:t>
      </w:r>
      <w:r>
        <w:t>.</w:t>
      </w:r>
      <w:r>
        <w:tab/>
      </w:r>
      <w:r>
        <w:rPr>
          <w:snapToGrid w:val="0"/>
        </w:rPr>
        <w:t>Short title</w:t>
      </w:r>
      <w:bookmarkEnd w:id="11"/>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2" w:name="_Toc100242591"/>
      <w:r>
        <w:rPr>
          <w:rStyle w:val="CharSectno"/>
        </w:rPr>
        <w:t>2</w:t>
      </w:r>
      <w:r>
        <w:rPr>
          <w:snapToGrid w:val="0"/>
        </w:rPr>
        <w:t>.</w:t>
      </w:r>
      <w:r>
        <w:rPr>
          <w:snapToGrid w:val="0"/>
        </w:rPr>
        <w:tab/>
      </w:r>
      <w:r>
        <w:t>Commencement</w:t>
      </w:r>
      <w:bookmarkEnd w:id="12"/>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13" w:name="_Toc100242592"/>
      <w:r>
        <w:rPr>
          <w:rStyle w:val="CharSectno"/>
        </w:rPr>
        <w:t>3</w:t>
      </w:r>
      <w:r>
        <w:t>.</w:t>
      </w:r>
      <w:r>
        <w:tab/>
        <w:t>Crown bound</w:t>
      </w:r>
      <w:bookmarkEnd w:id="13"/>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14" w:name="_Toc100234203"/>
      <w:bookmarkStart w:id="15" w:name="_Toc100234433"/>
      <w:bookmarkStart w:id="16" w:name="_Toc100236011"/>
      <w:bookmarkStart w:id="17" w:name="_Toc100242593"/>
      <w:r>
        <w:rPr>
          <w:rStyle w:val="CharDivNo"/>
        </w:rPr>
        <w:t>Division 2</w:t>
      </w:r>
      <w:r>
        <w:t> — </w:t>
      </w:r>
      <w:r>
        <w:rPr>
          <w:rStyle w:val="CharDivText"/>
        </w:rPr>
        <w:t>Terms used in road laws</w:t>
      </w:r>
      <w:bookmarkEnd w:id="14"/>
      <w:bookmarkEnd w:id="15"/>
      <w:bookmarkEnd w:id="16"/>
      <w:bookmarkEnd w:id="17"/>
    </w:p>
    <w:p>
      <w:pPr>
        <w:pStyle w:val="Heading5"/>
      </w:pPr>
      <w:bookmarkStart w:id="18" w:name="_Toc100242594"/>
      <w:r>
        <w:rPr>
          <w:rStyle w:val="CharSectno"/>
        </w:rPr>
        <w:t>4</w:t>
      </w:r>
      <w:r>
        <w:t>.</w:t>
      </w:r>
      <w:r>
        <w:tab/>
        <w:t>Terms used in road laws</w:t>
      </w:r>
      <w:bookmarkEnd w:id="18"/>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lastRenderedPageBreak/>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pPr>
      <w:r>
        <w:tab/>
      </w:r>
      <w:r>
        <w:rPr>
          <w:rStyle w:val="CharDefText"/>
        </w:rPr>
        <w:t>DVO</w:t>
      </w:r>
      <w:r>
        <w:rPr>
          <w:b/>
        </w:rPr>
        <w:t xml:space="preserve"> </w:t>
      </w:r>
      <w:r>
        <w:t xml:space="preserve">has the meaning given in the </w:t>
      </w:r>
      <w:r>
        <w:rPr>
          <w:i/>
        </w:rPr>
        <w:t>Domestic Violence Orders (National Recognition) Act 2017</w:t>
      </w:r>
      <w:r>
        <w:t xml:space="preserve"> section 4(1);</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 xml:space="preserve">Family Law Act 1975 </w:t>
      </w:r>
      <w:r>
        <w:t>(Commonwealth) section 68B or 114;</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family violence evidentiary document</w:t>
      </w:r>
      <w:r>
        <w:t xml:space="preserve">, in relation to a responsible person, means any of the following — </w:t>
      </w:r>
    </w:p>
    <w:p>
      <w:pPr>
        <w:pStyle w:val="Defpara"/>
      </w:pPr>
      <w:r>
        <w:tab/>
        <w:t>(a)</w:t>
      </w:r>
      <w:r>
        <w:tab/>
        <w:t>a DVO;</w:t>
      </w:r>
    </w:p>
    <w:p>
      <w:pPr>
        <w:pStyle w:val="Defpara"/>
      </w:pPr>
      <w:r>
        <w:tab/>
        <w:t>(b)</w:t>
      </w:r>
      <w:r>
        <w:tab/>
        <w:t>a Family Court injunction or an application for a Family Court injunction;</w:t>
      </w:r>
    </w:p>
    <w:p>
      <w:pPr>
        <w:pStyle w:val="Defpara"/>
      </w:pPr>
      <w:r>
        <w:lastRenderedPageBreak/>
        <w:tab/>
        <w:t>(c)</w:t>
      </w:r>
      <w:r>
        <w:tab/>
        <w:t>a copy of a prosecution notice or indictment containing a charge relating to violence against the responsible person or a court record of a conviction of the charge;</w:t>
      </w:r>
    </w:p>
    <w:p>
      <w:pPr>
        <w:pStyle w:val="Defpara"/>
      </w:pPr>
      <w:r>
        <w:tab/>
        <w:t>(d)</w:t>
      </w:r>
      <w:r>
        <w:tab/>
        <w:t>a report of family violence, in a form approved by the Minister, completed by a person who has worked with the responsible person and is 1 of the following —</w:t>
      </w:r>
    </w:p>
    <w:p>
      <w:pPr>
        <w:pStyle w:val="Defsubpara"/>
      </w:pPr>
      <w:r>
        <w:tab/>
        <w:t>(i)</w:t>
      </w:r>
      <w:r>
        <w:tab/>
        <w:t xml:space="preserve">a person registered under the </w:t>
      </w:r>
      <w:r>
        <w:rPr>
          <w:i/>
        </w:rPr>
        <w:t>Health Practitioner Regulation National Law (Western Australia)</w:t>
      </w:r>
      <w:r>
        <w:t xml:space="preserve"> in the medical profession;</w:t>
      </w:r>
    </w:p>
    <w:p>
      <w:pPr>
        <w:pStyle w:val="Defsubpara"/>
      </w:pPr>
      <w:r>
        <w:tab/>
        <w:t>(ii)</w:t>
      </w:r>
      <w:r>
        <w:tab/>
        <w:t xml:space="preserve">a person registered under the </w:t>
      </w:r>
      <w:r>
        <w:rPr>
          <w:i/>
        </w:rPr>
        <w:t>Health Practitioner Regulation National Law (Western Australia)</w:t>
      </w:r>
      <w:r>
        <w:t xml:space="preserve"> in the psychology profession;</w:t>
      </w:r>
    </w:p>
    <w:p>
      <w:pPr>
        <w:pStyle w:val="Defsubpara"/>
      </w:pPr>
      <w:r>
        <w:tab/>
        <w:t>(iii)</w:t>
      </w:r>
      <w:r>
        <w:tab/>
        <w:t xml:space="preserve">a social worker as defined in the </w:t>
      </w:r>
      <w:r>
        <w:rPr>
          <w:i/>
        </w:rPr>
        <w:t>Mental Health Act 2014</w:t>
      </w:r>
      <w:r>
        <w:t xml:space="preserve"> section 4;</w:t>
      </w:r>
    </w:p>
    <w:p>
      <w:pPr>
        <w:pStyle w:val="Defsubpara"/>
      </w:pPr>
      <w:r>
        <w:tab/>
        <w:t>(iv)</w:t>
      </w:r>
      <w:r>
        <w:tab/>
        <w:t>a police officer;</w:t>
      </w:r>
    </w:p>
    <w:p>
      <w:pPr>
        <w:pStyle w:val="Defsubpara"/>
      </w:pPr>
      <w:r>
        <w:tab/>
        <w:t>(v)</w:t>
      </w:r>
      <w:r>
        <w:tab/>
        <w:t>a person in charge of a women’s refuge;</w:t>
      </w:r>
    </w:p>
    <w:p>
      <w:pPr>
        <w:pStyle w:val="Defsubpara"/>
      </w:pPr>
      <w:r>
        <w:tab/>
        <w:t>(vi)</w:t>
      </w:r>
      <w:r>
        <w:tab/>
        <w:t>a prescribed person or class of persons;</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lastRenderedPageBreak/>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lastRenderedPageBreak/>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tab/>
      </w:r>
      <w:r>
        <w:rPr>
          <w:rStyle w:val="CharDefText"/>
        </w:rPr>
        <w:t>photograph</w:t>
      </w:r>
      <w:r>
        <w:t xml:space="preserve"> includes an electronic record of a photograph;</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lastRenderedPageBreak/>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lastRenderedPageBreak/>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RTA Part 6A compliance purposes</w:t>
      </w:r>
      <w:r>
        <w:t xml:space="preserve"> has the meaning given in section 28;</w:t>
      </w:r>
    </w:p>
    <w:p>
      <w:pPr>
        <w:pStyle w:val="Defstart"/>
      </w:pPr>
      <w:r>
        <w:tab/>
      </w:r>
      <w:r>
        <w:rPr>
          <w:rStyle w:val="CharDefText"/>
        </w:rPr>
        <w:t>signature</w:t>
      </w:r>
      <w:r>
        <w:t xml:space="preserve"> includes an electronic record of a signature;</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keepNex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 No. 38 of 2020 s. 7; No. 30 of 2020 s. 86; No. 8 of 2022 s. 4.]</w:t>
      </w:r>
    </w:p>
    <w:p>
      <w:pPr>
        <w:pStyle w:val="Heading5"/>
      </w:pPr>
      <w:bookmarkStart w:id="19" w:name="_Toc100242595"/>
      <w:r>
        <w:rPr>
          <w:rStyle w:val="CharSectno"/>
        </w:rPr>
        <w:lastRenderedPageBreak/>
        <w:t>5</w:t>
      </w:r>
      <w:r>
        <w:t>.</w:t>
      </w:r>
      <w:r>
        <w:tab/>
        <w:t>Owner of vehicle</w:t>
      </w:r>
      <w:bookmarkEnd w:id="19"/>
    </w:p>
    <w:p>
      <w:pPr>
        <w:pStyle w:val="Subsection"/>
        <w:keepNext/>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20" w:name="_Toc100242596"/>
      <w:r>
        <w:rPr>
          <w:rStyle w:val="CharSectno"/>
        </w:rPr>
        <w:t>6</w:t>
      </w:r>
      <w:r>
        <w:t>.</w:t>
      </w:r>
      <w:r>
        <w:tab/>
        <w:t>Person responsible for vehicle</w:t>
      </w:r>
      <w:bookmarkEnd w:id="20"/>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w:t>
      </w:r>
      <w:r>
        <w:rPr>
          <w:snapToGrid w:val="0"/>
        </w:rPr>
        <w:lastRenderedPageBreak/>
        <w:t>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No. 8 of 2012 s. 232.]</w:t>
      </w:r>
    </w:p>
    <w:p>
      <w:pPr>
        <w:pStyle w:val="Heading5"/>
      </w:pPr>
      <w:bookmarkStart w:id="21" w:name="_Toc100242597"/>
      <w:r>
        <w:rPr>
          <w:rStyle w:val="CharSectno"/>
        </w:rPr>
        <w:t>7</w:t>
      </w:r>
      <w:r>
        <w:t>.</w:t>
      </w:r>
      <w:r>
        <w:tab/>
        <w:t>Abbreviations</w:t>
      </w:r>
      <w:bookmarkEnd w:id="21"/>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22" w:name="_Toc100234208"/>
      <w:bookmarkStart w:id="23" w:name="_Toc100234438"/>
      <w:bookmarkStart w:id="24" w:name="_Toc100236016"/>
      <w:bookmarkStart w:id="25" w:name="_Toc100242598"/>
      <w:r>
        <w:rPr>
          <w:rStyle w:val="CharPartNo"/>
        </w:rPr>
        <w:lastRenderedPageBreak/>
        <w:t>Part 2</w:t>
      </w:r>
      <w:r>
        <w:rPr>
          <w:rStyle w:val="CharDivNo"/>
        </w:rPr>
        <w:t> </w:t>
      </w:r>
      <w:r>
        <w:t>—</w:t>
      </w:r>
      <w:r>
        <w:rPr>
          <w:rStyle w:val="CharDivText"/>
        </w:rPr>
        <w:t> </w:t>
      </w:r>
      <w:r>
        <w:rPr>
          <w:rStyle w:val="CharPartText"/>
        </w:rPr>
        <w:t>Administration — general matters</w:t>
      </w:r>
      <w:bookmarkEnd w:id="22"/>
      <w:bookmarkEnd w:id="23"/>
      <w:bookmarkEnd w:id="24"/>
      <w:bookmarkEnd w:id="25"/>
    </w:p>
    <w:p>
      <w:pPr>
        <w:pStyle w:val="Heading5"/>
      </w:pPr>
      <w:bookmarkStart w:id="26" w:name="_Toc100242599"/>
      <w:r>
        <w:rPr>
          <w:rStyle w:val="CharSectno"/>
        </w:rPr>
        <w:t>8</w:t>
      </w:r>
      <w:r>
        <w:t>.</w:t>
      </w:r>
      <w:r>
        <w:tab/>
        <w:t>Delegation of CEO’s functions</w:t>
      </w:r>
      <w:bookmarkEnd w:id="26"/>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No. 8 of 2012 s. 209.]</w:t>
      </w:r>
    </w:p>
    <w:p>
      <w:pPr>
        <w:pStyle w:val="Heading5"/>
        <w:pageBreakBefore/>
        <w:spacing w:before="0"/>
      </w:pPr>
      <w:bookmarkStart w:id="27" w:name="_Toc100242600"/>
      <w:r>
        <w:rPr>
          <w:rStyle w:val="CharSectno"/>
        </w:rPr>
        <w:lastRenderedPageBreak/>
        <w:t>9</w:t>
      </w:r>
      <w:r>
        <w:t>.</w:t>
      </w:r>
      <w:r>
        <w:tab/>
        <w:t>Delegation of functions of Commissioner of Police</w:t>
      </w:r>
      <w:bookmarkEnd w:id="27"/>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28" w:name="_Toc100242601"/>
      <w:r>
        <w:rPr>
          <w:rStyle w:val="CharSectno"/>
        </w:rPr>
        <w:t>10</w:t>
      </w:r>
      <w:r>
        <w:t>.</w:t>
      </w:r>
      <w:r>
        <w:tab/>
        <w:t>Delegation of functions of Commissioner of Main Roads</w:t>
      </w:r>
      <w:bookmarkEnd w:id="28"/>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29" w:name="_Toc100242602"/>
      <w:r>
        <w:rPr>
          <w:rStyle w:val="CharSectno"/>
        </w:rPr>
        <w:t>11</w:t>
      </w:r>
      <w:r>
        <w:t>.</w:t>
      </w:r>
      <w:r>
        <w:tab/>
        <w:t>Agreements for performance of functions</w:t>
      </w:r>
      <w:bookmarkEnd w:id="29"/>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to the body or person with whom the agreement is made if the CEO considers that the disclosure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lastRenderedPageBreak/>
        <w:tab/>
        <w:t>(db)</w:t>
      </w:r>
      <w:r>
        <w:tab/>
        <w:t xml:space="preserve">information obtained by the CEO under the </w:t>
      </w:r>
      <w:r>
        <w:rPr>
          <w:i/>
        </w:rPr>
        <w:t>Road Traffic Act 1974</w:t>
      </w:r>
      <w:r>
        <w:t xml:space="preserve"> Part 6A;</w:t>
      </w:r>
    </w:p>
    <w:p>
      <w:pPr>
        <w:pStyle w:val="Indenta"/>
      </w:pPr>
      <w:r>
        <w:tab/>
        <w:t>(d)</w:t>
      </w:r>
      <w:r>
        <w:tab/>
        <w:t>demerit points information;</w:t>
      </w:r>
    </w:p>
    <w:p>
      <w:pPr>
        <w:pStyle w:val="Indenta"/>
      </w:pPr>
      <w:r>
        <w:tab/>
        <w:t>(e)</w:t>
      </w:r>
      <w:r>
        <w:tab/>
        <w:t>instructor information;</w:t>
      </w:r>
    </w:p>
    <w:p>
      <w:pPr>
        <w:pStyle w:val="Indenta"/>
      </w:pPr>
      <w:r>
        <w:tab/>
        <w:t>(f)</w:t>
      </w:r>
      <w:r>
        <w:tab/>
        <w:t xml:space="preserve">photographs and signatures provided to the CEO under the </w:t>
      </w:r>
      <w:r>
        <w:rPr>
          <w:i/>
        </w:rPr>
        <w:t>Road Traffic (Authorisation to Drive) Act </w:t>
      </w:r>
      <w:r>
        <w:rPr>
          <w:i/>
          <w:iCs/>
        </w:rPr>
        <w:t>2008</w:t>
      </w:r>
      <w:r>
        <w:t xml:space="preserve"> Part 2.</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 No. 38 of 2020 s. 8; No. 8 of 2022 s. 5.]</w:t>
      </w:r>
    </w:p>
    <w:p>
      <w:pPr>
        <w:pStyle w:val="Heading5"/>
      </w:pPr>
      <w:bookmarkStart w:id="30" w:name="_Toc100242603"/>
      <w:r>
        <w:rPr>
          <w:rStyle w:val="CharSectno"/>
        </w:rPr>
        <w:t>12</w:t>
      </w:r>
      <w:r>
        <w:t>.</w:t>
      </w:r>
      <w:r>
        <w:tab/>
        <w:t>Exchange of information between CEO and Commissioner of Police</w:t>
      </w:r>
      <w:bookmarkEnd w:id="30"/>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lastRenderedPageBreak/>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(ea)</w:t>
      </w:r>
      <w:r>
        <w:tab/>
        <w:t xml:space="preserve">information obtained by the CEO under the </w:t>
      </w:r>
      <w:r>
        <w:rPr>
          <w:i/>
        </w:rPr>
        <w:t>Road Traffic Act 1974</w:t>
      </w:r>
      <w:r>
        <w:t xml:space="preserve"> Part 6A;</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 xml:space="preserve">ay be disclosed by the Commissioner of Police to an officer, department or instrumentality of this State, another State, a Territory, the Commonwealth or another </w:t>
      </w:r>
      <w:r>
        <w:rPr>
          <w:snapToGrid w:val="0"/>
        </w:rPr>
        <w:lastRenderedPageBreak/>
        <w:t>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 No. 38 of 2020 s. 9.]</w:t>
      </w:r>
    </w:p>
    <w:p>
      <w:pPr>
        <w:pStyle w:val="Heading5"/>
        <w:spacing w:before="180"/>
      </w:pPr>
      <w:bookmarkStart w:id="31" w:name="_Toc100242604"/>
      <w:r>
        <w:rPr>
          <w:rStyle w:val="CharSectno"/>
        </w:rPr>
        <w:t>13A</w:t>
      </w:r>
      <w:r>
        <w:t>.</w:t>
      </w:r>
      <w:r>
        <w:tab/>
        <w:t>Exchange of information between CEO and other authorities</w:t>
      </w:r>
      <w:bookmarkEnd w:id="31"/>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lastRenderedPageBreak/>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keepNext/>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keepNext/>
      </w:pPr>
      <w:r>
        <w:lastRenderedPageBreak/>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w:t>
      </w:r>
    </w:p>
    <w:p>
      <w:pPr>
        <w:pStyle w:val="Heading5"/>
      </w:pPr>
      <w:bookmarkStart w:id="32" w:name="_Toc100242605"/>
      <w:r>
        <w:rPr>
          <w:rStyle w:val="CharSectno"/>
        </w:rPr>
        <w:t>13B</w:t>
      </w:r>
      <w:r>
        <w:t>.</w:t>
      </w:r>
      <w:r>
        <w:tab/>
        <w:t>Disclosure of information to Commissioner of Main Roads</w:t>
      </w:r>
      <w:bookmarkEnd w:id="32"/>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33" w:name="_Toc100242606"/>
      <w:r>
        <w:rPr>
          <w:rStyle w:val="CharSectno"/>
        </w:rPr>
        <w:t>13C</w:t>
      </w:r>
      <w:r>
        <w:t>.</w:t>
      </w:r>
      <w:r>
        <w:tab/>
        <w:t xml:space="preserve">Disclosure of information in compliance with request under </w:t>
      </w:r>
      <w:r>
        <w:rPr>
          <w:i/>
        </w:rPr>
        <w:t>Fines, Penalties and Infringement Notices Enforcement Act 1994</w:t>
      </w:r>
      <w:bookmarkEnd w:id="33"/>
    </w:p>
    <w:p>
      <w:pPr>
        <w:pStyle w:val="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pPr>
        <w:pStyle w:val="Subsection"/>
      </w:pPr>
      <w:r>
        <w:tab/>
        <w:t>(2)</w:t>
      </w:r>
      <w:r>
        <w:tab/>
        <w:t xml:space="preserve">The information disclosed in compliance with a request referred to in subsection (1) may include the following — </w:t>
      </w:r>
    </w:p>
    <w:p>
      <w:pPr>
        <w:pStyle w:val="Indenta"/>
      </w:pPr>
      <w:r>
        <w:tab/>
        <w:t>(a)</w:t>
      </w:r>
      <w:r>
        <w:tab/>
        <w:t>driver’s licence information;</w:t>
      </w:r>
    </w:p>
    <w:p>
      <w:pPr>
        <w:pStyle w:val="Indenta"/>
      </w:pPr>
      <w:r>
        <w:tab/>
        <w:t>(b)</w:t>
      </w:r>
      <w:r>
        <w:tab/>
        <w:t>permit information;</w:t>
      </w:r>
    </w:p>
    <w:p>
      <w:pPr>
        <w:pStyle w:val="Indenta"/>
      </w:pPr>
      <w:r>
        <w:lastRenderedPageBreak/>
        <w:tab/>
        <w:t>(c)</w:t>
      </w:r>
      <w:r>
        <w:tab/>
        <w:t>vehicle licence information.</w:t>
      </w:r>
    </w:p>
    <w:p>
      <w:pPr>
        <w:pStyle w:val="Subsection"/>
      </w:pPr>
      <w:r>
        <w:tab/>
        <w:t>(3)</w:t>
      </w:r>
      <w:r>
        <w:tab/>
        <w:t>The disclosure of information under subsection (1) is to be free of charge.</w:t>
      </w:r>
    </w:p>
    <w:p>
      <w:pPr>
        <w:pStyle w:val="Footnotesection"/>
      </w:pPr>
      <w:r>
        <w:tab/>
        <w:t>[Section 13C inserted: No. 25 of 2020 s. 122.]</w:t>
      </w:r>
    </w:p>
    <w:p>
      <w:pPr>
        <w:pStyle w:val="Heading5"/>
      </w:pPr>
      <w:bookmarkStart w:id="34" w:name="_Toc100242607"/>
      <w:r>
        <w:rPr>
          <w:rStyle w:val="CharSectno"/>
        </w:rPr>
        <w:t>13D</w:t>
      </w:r>
      <w:r>
        <w:t>.</w:t>
      </w:r>
      <w:r>
        <w:tab/>
        <w:t>Disclosure of incident information to ICWA</w:t>
      </w:r>
      <w:bookmarkEnd w:id="34"/>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Insurance Commission of Western Australia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w:t>
      </w:r>
    </w:p>
    <w:p>
      <w:pPr>
        <w:pStyle w:val="Heading5"/>
      </w:pPr>
      <w:bookmarkStart w:id="35" w:name="_Toc100242608"/>
      <w:r>
        <w:rPr>
          <w:rStyle w:val="CharSectno"/>
        </w:rPr>
        <w:lastRenderedPageBreak/>
        <w:t>13E</w:t>
      </w:r>
      <w:r>
        <w:t>.</w:t>
      </w:r>
      <w:r>
        <w:tab/>
        <w:t>Disclosure of incident information to involved persons</w:t>
      </w:r>
      <w:bookmarkEnd w:id="35"/>
    </w:p>
    <w:p>
      <w:pPr>
        <w:pStyle w:val="Subsection"/>
        <w:keepNext/>
      </w:pPr>
      <w:r>
        <w:tab/>
        <w:t>(1)</w:t>
      </w:r>
      <w:r>
        <w:tab/>
        <w:t xml:space="preserve">In this section — </w:t>
      </w:r>
    </w:p>
    <w:p>
      <w:pPr>
        <w:pStyle w:val="Defstart"/>
        <w:keepNex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w:t>
      </w:r>
    </w:p>
    <w:p>
      <w:pPr>
        <w:pStyle w:val="Heading5"/>
      </w:pPr>
      <w:bookmarkStart w:id="36" w:name="_Toc100242609"/>
      <w:r>
        <w:rPr>
          <w:rStyle w:val="CharSectno"/>
        </w:rPr>
        <w:t>13</w:t>
      </w:r>
      <w:r>
        <w:t>.</w:t>
      </w:r>
      <w:r>
        <w:tab/>
        <w:t>Disclosure of information to corresponding authorities</w:t>
      </w:r>
      <w:bookmarkEnd w:id="36"/>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keepNext/>
      </w:pPr>
      <w:r>
        <w:lastRenderedPageBreak/>
        <w:tab/>
        <w:t>(2)</w:t>
      </w:r>
      <w:r>
        <w:tab/>
        <w:t>This section neither affects nor is affected by section 13A or 78.</w:t>
      </w:r>
    </w:p>
    <w:p>
      <w:pPr>
        <w:pStyle w:val="Footnotesection"/>
      </w:pPr>
      <w:r>
        <w:tab/>
        <w:t>[Section 13 amended: No. 18 of 2011 s. 20.]</w:t>
      </w:r>
    </w:p>
    <w:p>
      <w:pPr>
        <w:pStyle w:val="Heading5"/>
      </w:pPr>
      <w:bookmarkStart w:id="37" w:name="_Toc100242610"/>
      <w:r>
        <w:rPr>
          <w:rStyle w:val="CharSectno"/>
        </w:rPr>
        <w:t>14</w:t>
      </w:r>
      <w:r>
        <w:t>.</w:t>
      </w:r>
      <w:r>
        <w:tab/>
        <w:t>Disclosure of information to prescribed persons</w:t>
      </w:r>
      <w:bookmarkEnd w:id="37"/>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for this subsection: imprisonment for 12 months or a fine of 240 PU.</w:t>
      </w:r>
    </w:p>
    <w:p>
      <w:pPr>
        <w:pStyle w:val="Footnotesection"/>
      </w:pPr>
      <w:r>
        <w:lastRenderedPageBreak/>
        <w:tab/>
        <w:t>[Section 14 inserted: No. 18 of 2011 s. 21; amended: No. 26 of 2018 s. 315.]</w:t>
      </w:r>
    </w:p>
    <w:p>
      <w:pPr>
        <w:pStyle w:val="Heading5"/>
        <w:spacing w:before="180"/>
      </w:pPr>
      <w:bookmarkStart w:id="38" w:name="_Toc100242611"/>
      <w:r>
        <w:rPr>
          <w:rStyle w:val="CharSectno"/>
        </w:rPr>
        <w:t>15</w:t>
      </w:r>
      <w:r>
        <w:t>.</w:t>
      </w:r>
      <w:r>
        <w:tab/>
        <w:t>Disclosure of information for road safety purposes</w:t>
      </w:r>
      <w:bookmarkEnd w:id="38"/>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keepNext/>
      </w:pPr>
      <w:r>
        <w:lastRenderedPageBreak/>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w:t>
      </w:r>
    </w:p>
    <w:p>
      <w:pPr>
        <w:pStyle w:val="Heading5"/>
      </w:pPr>
      <w:bookmarkStart w:id="39" w:name="_Toc100242612"/>
      <w:r>
        <w:rPr>
          <w:rStyle w:val="CharSectno"/>
        </w:rPr>
        <w:t>16A</w:t>
      </w:r>
      <w:r>
        <w:t>.</w:t>
      </w:r>
      <w:r>
        <w:tab/>
        <w:t xml:space="preserve">Disclosure of information for purposes of </w:t>
      </w:r>
      <w:r>
        <w:rPr>
          <w:i/>
        </w:rPr>
        <w:t>Personal Property Securities Act 2009</w:t>
      </w:r>
      <w:r>
        <w:t xml:space="preserve"> (Commonwealth)</w:t>
      </w:r>
      <w:bookmarkEnd w:id="39"/>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40" w:name="_Toc100144602"/>
      <w:bookmarkStart w:id="41" w:name="_Toc100242613"/>
      <w:r>
        <w:rPr>
          <w:rStyle w:val="CharSectno"/>
        </w:rPr>
        <w:t>16B</w:t>
      </w:r>
      <w:r>
        <w:t>.</w:t>
      </w:r>
      <w:r>
        <w:tab/>
        <w:t>Disclosure of information with consent</w:t>
      </w:r>
      <w:bookmarkEnd w:id="40"/>
      <w:bookmarkEnd w:id="41"/>
    </w:p>
    <w:p>
      <w:pPr>
        <w:pStyle w:val="Subsection"/>
      </w:pPr>
      <w:r>
        <w:tab/>
      </w:r>
      <w:r>
        <w:tab/>
        <w:t>The CEO may disclose information about a person obtained in the administration of a road law to another person with the consent of the person to whom the information relates.</w:t>
      </w:r>
    </w:p>
    <w:p>
      <w:pPr>
        <w:pStyle w:val="Footnotesection"/>
      </w:pPr>
      <w:bookmarkStart w:id="42" w:name="_Toc100144603"/>
      <w:r>
        <w:tab/>
        <w:t>[Section 16B inserted: No. 8 of 2022 s. 6.]</w:t>
      </w:r>
    </w:p>
    <w:p>
      <w:pPr>
        <w:pStyle w:val="Heading5"/>
      </w:pPr>
      <w:bookmarkStart w:id="43" w:name="_Toc100242614"/>
      <w:r>
        <w:rPr>
          <w:rStyle w:val="CharSectno"/>
        </w:rPr>
        <w:lastRenderedPageBreak/>
        <w:t>16C</w:t>
      </w:r>
      <w:r>
        <w:t>.</w:t>
      </w:r>
      <w:r>
        <w:tab/>
        <w:t>Disclosure by means of automated system</w:t>
      </w:r>
      <w:bookmarkEnd w:id="42"/>
      <w:bookmarkEnd w:id="43"/>
    </w:p>
    <w:p>
      <w:pPr>
        <w:pStyle w:val="Subsection"/>
      </w:pPr>
      <w:r>
        <w:tab/>
        <w:t>(1)</w:t>
      </w:r>
      <w:r>
        <w:tab/>
        <w:t>If the CEO is authorised to disclose a photograph, signature or information under a road law, the disclosure may, subject to the regulations, be made by means of an automated system.</w:t>
      </w:r>
    </w:p>
    <w:p>
      <w:pPr>
        <w:pStyle w:val="Subsection"/>
      </w:pPr>
      <w:r>
        <w:tab/>
        <w:t>(2)</w:t>
      </w:r>
      <w:r>
        <w:tab/>
        <w:t>The automated system must comply with any requirements set out in the regulations.</w:t>
      </w:r>
    </w:p>
    <w:p>
      <w:pPr>
        <w:pStyle w:val="Subsection"/>
      </w:pPr>
      <w:r>
        <w:tab/>
        <w:t>(3)</w:t>
      </w:r>
      <w:r>
        <w:tab/>
        <w:t>The automated system may, subject to the regulations, allow relevant persons to retrieve data in the system and to be sent alerts about data that has been modified or added to the system.</w:t>
      </w:r>
    </w:p>
    <w:p>
      <w:pPr>
        <w:pStyle w:val="Footnotesection"/>
      </w:pPr>
      <w:r>
        <w:tab/>
        <w:t>[Section 16C inserted: No. 8 of 2022 s. 6.]</w:t>
      </w:r>
    </w:p>
    <w:p>
      <w:pPr>
        <w:pStyle w:val="Heading5"/>
      </w:pPr>
      <w:bookmarkStart w:id="44" w:name="_Toc100242615"/>
      <w:r>
        <w:rPr>
          <w:rStyle w:val="CharSectno"/>
        </w:rPr>
        <w:t>16</w:t>
      </w:r>
      <w:r>
        <w:t>.</w:t>
      </w:r>
      <w:r>
        <w:tab/>
        <w:t>Information about new motor vehicles</w:t>
      </w:r>
      <w:bookmarkEnd w:id="44"/>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keepNext/>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45" w:name="_Toc100242616"/>
      <w:r>
        <w:rPr>
          <w:rStyle w:val="CharSectno"/>
        </w:rPr>
        <w:t>17</w:t>
      </w:r>
      <w:r>
        <w:t>.</w:t>
      </w:r>
      <w:r>
        <w:tab/>
        <w:t>Reciprocal powers of officers</w:t>
      </w:r>
      <w:bookmarkEnd w:id="45"/>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lastRenderedPageBreak/>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46" w:name="_Toc100242617"/>
      <w:r>
        <w:rPr>
          <w:rStyle w:val="CharSectno"/>
        </w:rPr>
        <w:t>18</w:t>
      </w:r>
      <w:r>
        <w:t>.</w:t>
      </w:r>
      <w:r>
        <w:tab/>
        <w:t>Effect of directions etc., administrative actions of other jurisdictions</w:t>
      </w:r>
      <w:bookmarkEnd w:id="46"/>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lastRenderedPageBreak/>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lastRenderedPageBreak/>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47" w:name="_Toc100242618"/>
      <w:r>
        <w:rPr>
          <w:rStyle w:val="CharSectno"/>
        </w:rPr>
        <w:t>19</w:t>
      </w:r>
      <w:r>
        <w:t>.</w:t>
      </w:r>
      <w:r>
        <w:tab/>
        <w:t>Effect of court orders of other jurisdictions</w:t>
      </w:r>
      <w:bookmarkEnd w:id="47"/>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48" w:name="_Toc100242619"/>
      <w:r>
        <w:rPr>
          <w:rStyle w:val="CharSectno"/>
        </w:rPr>
        <w:t>20</w:t>
      </w:r>
      <w:r>
        <w:t>.</w:t>
      </w:r>
      <w:r>
        <w:tab/>
        <w:t>Funds to which c</w:t>
      </w:r>
      <w:r>
        <w:rPr>
          <w:snapToGrid w:val="0"/>
        </w:rPr>
        <w:t>harges and fees credited</w:t>
      </w:r>
      <w:bookmarkEnd w:id="48"/>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lastRenderedPageBreak/>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49" w:name="_Toc100234228"/>
      <w:bookmarkStart w:id="50" w:name="_Toc100234458"/>
      <w:bookmarkStart w:id="51" w:name="_Toc100236038"/>
      <w:bookmarkStart w:id="52" w:name="_Toc100242620"/>
      <w:r>
        <w:rPr>
          <w:rStyle w:val="CharPartNo"/>
        </w:rPr>
        <w:lastRenderedPageBreak/>
        <w:t>Part 3</w:t>
      </w:r>
      <w:r>
        <w:rPr>
          <w:rStyle w:val="CharDivNo"/>
        </w:rPr>
        <w:t> </w:t>
      </w:r>
      <w:r>
        <w:t>—</w:t>
      </w:r>
      <w:r>
        <w:rPr>
          <w:rStyle w:val="CharDivText"/>
        </w:rPr>
        <w:t> </w:t>
      </w:r>
      <w:r>
        <w:rPr>
          <w:rStyle w:val="CharPartText"/>
        </w:rPr>
        <w:t>Wardens and police officers</w:t>
      </w:r>
      <w:bookmarkEnd w:id="49"/>
      <w:bookmarkEnd w:id="50"/>
      <w:bookmarkEnd w:id="51"/>
      <w:bookmarkEnd w:id="52"/>
    </w:p>
    <w:p>
      <w:pPr>
        <w:pStyle w:val="Heading5"/>
      </w:pPr>
      <w:bookmarkStart w:id="53" w:name="_Toc100242621"/>
      <w:r>
        <w:rPr>
          <w:rStyle w:val="CharSectno"/>
        </w:rPr>
        <w:t>21</w:t>
      </w:r>
      <w:r>
        <w:t>.</w:t>
      </w:r>
      <w:r>
        <w:tab/>
        <w:t>Terms used</w:t>
      </w:r>
      <w:bookmarkEnd w:id="53"/>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54" w:name="_Toc100242622"/>
      <w:r>
        <w:rPr>
          <w:rStyle w:val="CharSectno"/>
        </w:rPr>
        <w:t>22</w:t>
      </w:r>
      <w:r>
        <w:t>.</w:t>
      </w:r>
      <w:r>
        <w:tab/>
        <w:t xml:space="preserve">CEO </w:t>
      </w:r>
      <w:r>
        <w:rPr>
          <w:snapToGrid w:val="0"/>
        </w:rPr>
        <w:t>may authorise persons to perform certain warden functions</w:t>
      </w:r>
      <w:bookmarkEnd w:id="54"/>
    </w:p>
    <w:p>
      <w:pPr>
        <w:pStyle w:val="Subsection"/>
        <w:rPr>
          <w:snapToGrid w:val="0"/>
        </w:rPr>
      </w:pPr>
      <w:r>
        <w:tab/>
        <w:t>(1)</w:t>
      </w:r>
      <w:r>
        <w:tab/>
        <w:t>The</w:t>
      </w:r>
      <w:r>
        <w:rPr>
          <w:snapToGrid w:val="0"/>
        </w:rPr>
        <w:t xml:space="preserve"> CEO may authorise a person to perform one or more of the functions relating to any provision of a road </w:t>
      </w:r>
      <w:r>
        <w:t>law</w:t>
      </w:r>
      <w:r>
        <w:rPr>
          <w:snapToGrid w:val="0"/>
        </w:rPr>
        <w:t xml:space="preserve"> that are prescribed by the regulations as functions that can be performed by a warden.</w:t>
      </w:r>
    </w:p>
    <w:p>
      <w:pPr>
        <w:pStyle w:val="Subsection"/>
      </w:pPr>
      <w:r>
        <w:tab/>
        <w:t>(2)</w:t>
      </w:r>
      <w:r>
        <w:tab/>
        <w:t xml:space="preserve">A reference in subsection (1) to a provision of a road law does not include a provision of the </w:t>
      </w:r>
      <w:r>
        <w:rPr>
          <w:i/>
        </w:rPr>
        <w:t>Road Traffic Act 1974</w:t>
      </w:r>
      <w:r>
        <w:t>, other than a provision in Part 6A of that Act or a regulation made for the purposes of Part 6A of that Act.</w:t>
      </w:r>
    </w:p>
    <w:p>
      <w:pPr>
        <w:pStyle w:val="Footnotesection"/>
      </w:pPr>
      <w:r>
        <w:tab/>
        <w:t>[Section 22 amended: No. 38 of 2020 s. 10.]</w:t>
      </w:r>
    </w:p>
    <w:p>
      <w:pPr>
        <w:pStyle w:val="Heading5"/>
        <w:rPr>
          <w:snapToGrid w:val="0"/>
        </w:rPr>
      </w:pPr>
      <w:bookmarkStart w:id="55" w:name="_Toc100242623"/>
      <w:r>
        <w:rPr>
          <w:rStyle w:val="CharSectno"/>
        </w:rPr>
        <w:t>23</w:t>
      </w:r>
      <w:r>
        <w:t>.</w:t>
      </w:r>
      <w:r>
        <w:tab/>
      </w:r>
      <w:r>
        <w:rPr>
          <w:snapToGrid w:val="0"/>
        </w:rPr>
        <w:t>Commissioner of Police may authorise persons to perform certain warden functions</w:t>
      </w:r>
      <w:bookmarkEnd w:id="55"/>
    </w:p>
    <w:p>
      <w:pPr>
        <w:pStyle w:val="Subsection"/>
        <w:keepNext/>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lastRenderedPageBreak/>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56" w:name="_Toc100242624"/>
      <w:r>
        <w:rPr>
          <w:rStyle w:val="CharSectno"/>
        </w:rPr>
        <w:t>24</w:t>
      </w:r>
      <w:r>
        <w:t>.</w:t>
      </w:r>
      <w:r>
        <w:tab/>
        <w:t>Powers of wardens</w:t>
      </w:r>
      <w:bookmarkEnd w:id="56"/>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57" w:name="_Toc100242625"/>
      <w:r>
        <w:rPr>
          <w:rStyle w:val="CharSectno"/>
        </w:rPr>
        <w:t>25</w:t>
      </w:r>
      <w:r>
        <w:t>.</w:t>
      </w:r>
      <w:r>
        <w:tab/>
        <w:t>Identification cards</w:t>
      </w:r>
      <w:bookmarkEnd w:id="57"/>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lastRenderedPageBreak/>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58" w:name="_Toc100242626"/>
      <w:r>
        <w:rPr>
          <w:rStyle w:val="CharSectno"/>
        </w:rPr>
        <w:t>26</w:t>
      </w:r>
      <w:r>
        <w:t>.</w:t>
      </w:r>
      <w:r>
        <w:tab/>
        <w:t>Production of identification</w:t>
      </w:r>
      <w:bookmarkEnd w:id="58"/>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or RTA Part 6A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 xml:space="preserve">A warden or police officer need only identify himself or herself once to a particular person during the course of an incident, </w:t>
      </w:r>
      <w:r>
        <w:lastRenderedPageBreak/>
        <w:t>even though more than one power is being exercised during the course of the incident.</w:t>
      </w:r>
    </w:p>
    <w:p>
      <w:pPr>
        <w:pStyle w:val="Footnotesection"/>
      </w:pPr>
      <w:r>
        <w:tab/>
        <w:t>[Section 26 amended: No. 38 of 2020 s. 11.]</w:t>
      </w:r>
    </w:p>
    <w:p>
      <w:pPr>
        <w:pStyle w:val="Heading5"/>
      </w:pPr>
      <w:bookmarkStart w:id="59" w:name="_Toc100242627"/>
      <w:r>
        <w:rPr>
          <w:rStyle w:val="CharSectno"/>
        </w:rPr>
        <w:t>27</w:t>
      </w:r>
      <w:r>
        <w:t>.</w:t>
      </w:r>
      <w:r>
        <w:tab/>
        <w:t>Return of identification cards</w:t>
      </w:r>
      <w:bookmarkEnd w:id="59"/>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60" w:name="_Toc100234236"/>
      <w:bookmarkStart w:id="61" w:name="_Toc100234466"/>
      <w:bookmarkStart w:id="62" w:name="_Toc100236046"/>
      <w:bookmarkStart w:id="63" w:name="_Toc100242628"/>
      <w:r>
        <w:rPr>
          <w:rStyle w:val="CharPartNo"/>
        </w:rPr>
        <w:lastRenderedPageBreak/>
        <w:t>Part 4</w:t>
      </w:r>
      <w:r>
        <w:t> — </w:t>
      </w:r>
      <w:r>
        <w:rPr>
          <w:rStyle w:val="CharPartText"/>
        </w:rPr>
        <w:t>Enforcement of road laws</w:t>
      </w:r>
      <w:bookmarkEnd w:id="60"/>
      <w:bookmarkEnd w:id="61"/>
      <w:bookmarkEnd w:id="62"/>
      <w:bookmarkEnd w:id="63"/>
    </w:p>
    <w:p>
      <w:pPr>
        <w:pStyle w:val="Heading3"/>
        <w:spacing w:before="200"/>
      </w:pPr>
      <w:bookmarkStart w:id="64" w:name="_Toc100234237"/>
      <w:bookmarkStart w:id="65" w:name="_Toc100234467"/>
      <w:bookmarkStart w:id="66" w:name="_Toc100236047"/>
      <w:bookmarkStart w:id="67" w:name="_Toc100242629"/>
      <w:r>
        <w:rPr>
          <w:rStyle w:val="CharDivNo"/>
        </w:rPr>
        <w:t>Division 1</w:t>
      </w:r>
      <w:r>
        <w:t> — </w:t>
      </w:r>
      <w:r>
        <w:rPr>
          <w:rStyle w:val="CharDivText"/>
        </w:rPr>
        <w:t>Terms used in this Part</w:t>
      </w:r>
      <w:bookmarkEnd w:id="64"/>
      <w:bookmarkEnd w:id="65"/>
      <w:bookmarkEnd w:id="66"/>
      <w:bookmarkEnd w:id="67"/>
    </w:p>
    <w:p>
      <w:pPr>
        <w:pStyle w:val="Heading5"/>
        <w:spacing w:before="180"/>
      </w:pPr>
      <w:bookmarkStart w:id="68" w:name="_Toc100242630"/>
      <w:r>
        <w:rPr>
          <w:rStyle w:val="CharSectno"/>
        </w:rPr>
        <w:t>28</w:t>
      </w:r>
      <w:r>
        <w:t>.</w:t>
      </w:r>
      <w:r>
        <w:tab/>
        <w:t>Terms used</w:t>
      </w:r>
      <w:bookmarkEnd w:id="68"/>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lastRenderedPageBreak/>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lastRenderedPageBreak/>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pPr>
      <w:r>
        <w:tab/>
      </w:r>
      <w:r>
        <w:rPr>
          <w:rStyle w:val="CharDefText"/>
        </w:rPr>
        <w:t>RTA Part 6A compliance purposes</w:t>
      </w:r>
      <w:r>
        <w:t xml:space="preserve"> means either or both of the following purposes — </w:t>
      </w:r>
    </w:p>
    <w:p>
      <w:pPr>
        <w:pStyle w:val="Defpara"/>
      </w:pPr>
      <w:r>
        <w:tab/>
        <w:t>(a)</w:t>
      </w:r>
      <w:r>
        <w:tab/>
        <w:t xml:space="preserve">to find out whether any of the following provisions is being complied with — </w:t>
      </w:r>
    </w:p>
    <w:p>
      <w:pPr>
        <w:pStyle w:val="Defsubpara"/>
      </w:pPr>
      <w:r>
        <w:tab/>
        <w:t>(i)</w:t>
      </w:r>
      <w:r>
        <w:tab/>
        <w:t xml:space="preserve">a provision in the </w:t>
      </w:r>
      <w:r>
        <w:rPr>
          <w:i/>
        </w:rPr>
        <w:t xml:space="preserve">Road Traffic Act 1974 </w:t>
      </w:r>
      <w:r>
        <w:t>Part 6A;</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tab/>
      </w:r>
      <w:r>
        <w:rPr>
          <w:rStyle w:val="CharDefText"/>
        </w:rPr>
        <w:t>RTA Part 6A documentation</w:t>
      </w:r>
      <w:r>
        <w:t xml:space="preserve"> means any documentation, whether in paper, electronic or any other form, that is directly or indirectly associated with the immobilisation, towing or detention of motor vehicles;</w:t>
      </w:r>
    </w:p>
    <w:p>
      <w:pPr>
        <w:pStyle w:val="Defstart"/>
      </w:pPr>
      <w:r>
        <w:tab/>
      </w:r>
      <w:r>
        <w:rPr>
          <w:rStyle w:val="CharDefText"/>
        </w:rPr>
        <w:t>RTA Part 6A offence</w:t>
      </w:r>
      <w:r>
        <w:t xml:space="preserve"> means an offence under any of the following provisions — </w:t>
      </w:r>
    </w:p>
    <w:p>
      <w:pPr>
        <w:pStyle w:val="Defpara"/>
      </w:pPr>
      <w:r>
        <w:tab/>
        <w:t>(a)</w:t>
      </w:r>
      <w:r>
        <w:tab/>
        <w:t xml:space="preserve">a provision in the </w:t>
      </w:r>
      <w:r>
        <w:rPr>
          <w:i/>
        </w:rPr>
        <w:t xml:space="preserve">Road Traffic Act 1974 </w:t>
      </w:r>
      <w:r>
        <w:t>Part 6A;</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section 61C(4);</w:t>
      </w:r>
    </w:p>
    <w:p>
      <w:pPr>
        <w:pStyle w:val="Defpara"/>
      </w:pPr>
      <w:r>
        <w:tab/>
        <w:t>(e)</w:t>
      </w:r>
      <w:r>
        <w:tab/>
        <w:t>section 61D(2) or (3);</w:t>
      </w:r>
    </w:p>
    <w:p>
      <w:pPr>
        <w:pStyle w:val="Defpara"/>
      </w:pPr>
      <w:r>
        <w:tab/>
        <w:t>(f)</w:t>
      </w:r>
      <w:r>
        <w:tab/>
        <w:t>section 61E(3);</w:t>
      </w:r>
    </w:p>
    <w:p>
      <w:pPr>
        <w:pStyle w:val="Defpara"/>
      </w:pPr>
      <w:r>
        <w:lastRenderedPageBreak/>
        <w:tab/>
        <w:t>(g)</w:t>
      </w:r>
      <w:r>
        <w:tab/>
        <w:t>section 71(5A) or (7A);</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 No. 38 of 2020 s. 12.]</w:t>
      </w:r>
    </w:p>
    <w:p>
      <w:pPr>
        <w:pStyle w:val="Heading5"/>
      </w:pPr>
      <w:bookmarkStart w:id="69" w:name="_Toc100242631"/>
      <w:r>
        <w:rPr>
          <w:rStyle w:val="CharSectno"/>
        </w:rPr>
        <w:t>29</w:t>
      </w:r>
      <w:r>
        <w:t>.</w:t>
      </w:r>
      <w:r>
        <w:tab/>
        <w:t>Qualified, fit or authorised to drive or run engine</w:t>
      </w:r>
      <w:bookmarkEnd w:id="69"/>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w:t>
      </w:r>
      <w:r>
        <w:lastRenderedPageBreak/>
        <w:t xml:space="preserve">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70" w:name="_Toc100242632"/>
      <w:r>
        <w:rPr>
          <w:rStyle w:val="CharSectno"/>
        </w:rPr>
        <w:t>30</w:t>
      </w:r>
      <w:r>
        <w:t>.</w:t>
      </w:r>
      <w:r>
        <w:tab/>
        <w:t>Unattended vehicle</w:t>
      </w:r>
      <w:bookmarkEnd w:id="70"/>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71" w:name="_Toc100242633"/>
      <w:r>
        <w:rPr>
          <w:rStyle w:val="CharSectno"/>
        </w:rPr>
        <w:t>31</w:t>
      </w:r>
      <w:r>
        <w:t>.</w:t>
      </w:r>
      <w:r>
        <w:tab/>
        <w:t>Broken down vehicle</w:t>
      </w:r>
      <w:bookmarkEnd w:id="71"/>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72" w:name="_Toc100234242"/>
      <w:bookmarkStart w:id="73" w:name="_Toc100234472"/>
      <w:bookmarkStart w:id="74" w:name="_Toc100236052"/>
      <w:bookmarkStart w:id="75" w:name="_Toc100242634"/>
      <w:r>
        <w:rPr>
          <w:rStyle w:val="CharDivNo"/>
        </w:rPr>
        <w:lastRenderedPageBreak/>
        <w:t>Division 2A</w:t>
      </w:r>
      <w:r>
        <w:t> — </w:t>
      </w:r>
      <w:r>
        <w:rPr>
          <w:rStyle w:val="CharDivText"/>
        </w:rPr>
        <w:t>When person taken to be instructor or in charge of vehicle</w:t>
      </w:r>
      <w:bookmarkEnd w:id="72"/>
      <w:bookmarkEnd w:id="73"/>
      <w:bookmarkEnd w:id="74"/>
      <w:bookmarkEnd w:id="75"/>
    </w:p>
    <w:p>
      <w:pPr>
        <w:pStyle w:val="Footnoteheading"/>
        <w:keepNext/>
      </w:pPr>
      <w:r>
        <w:tab/>
        <w:t>[Heading inserted: No. 25 of 2016 s. 57.]</w:t>
      </w:r>
    </w:p>
    <w:p>
      <w:pPr>
        <w:pStyle w:val="Heading5"/>
      </w:pPr>
      <w:bookmarkStart w:id="76" w:name="_Toc100242635"/>
      <w:r>
        <w:rPr>
          <w:rStyle w:val="CharSectno"/>
        </w:rPr>
        <w:t>32A</w:t>
      </w:r>
      <w:r>
        <w:t>.</w:t>
      </w:r>
      <w:r>
        <w:tab/>
        <w:t>Circumstances in which person taken to be instructor or in charge of motor vehicle</w:t>
      </w:r>
      <w:bookmarkEnd w:id="76"/>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77" w:name="_Toc100234244"/>
      <w:bookmarkStart w:id="78" w:name="_Toc100234474"/>
      <w:bookmarkStart w:id="79" w:name="_Toc100236054"/>
      <w:bookmarkStart w:id="80" w:name="_Toc100242636"/>
      <w:r>
        <w:rPr>
          <w:rStyle w:val="CharDivNo"/>
        </w:rPr>
        <w:lastRenderedPageBreak/>
        <w:t>Division 2</w:t>
      </w:r>
      <w:r>
        <w:t> — </w:t>
      </w:r>
      <w:r>
        <w:rPr>
          <w:rStyle w:val="CharDivText"/>
        </w:rPr>
        <w:t>General obligations</w:t>
      </w:r>
      <w:bookmarkEnd w:id="77"/>
      <w:bookmarkEnd w:id="78"/>
      <w:bookmarkEnd w:id="79"/>
      <w:bookmarkEnd w:id="80"/>
    </w:p>
    <w:p>
      <w:pPr>
        <w:pStyle w:val="Heading5"/>
      </w:pPr>
      <w:bookmarkStart w:id="81" w:name="_Toc100242637"/>
      <w:r>
        <w:rPr>
          <w:rStyle w:val="CharSectno"/>
        </w:rPr>
        <w:t>32</w:t>
      </w:r>
      <w:r>
        <w:t>.</w:t>
      </w:r>
      <w:r>
        <w:tab/>
        <w:t>Giving name, address etc.</w:t>
      </w:r>
      <w:bookmarkEnd w:id="81"/>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lastRenderedPageBreak/>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82" w:name="_Toc100242638"/>
      <w:r>
        <w:rPr>
          <w:rStyle w:val="CharSectno"/>
        </w:rPr>
        <w:t>33</w:t>
      </w:r>
      <w:r>
        <w:t>.</w:t>
      </w:r>
      <w:r>
        <w:tab/>
        <w:t>Production of d</w:t>
      </w:r>
      <w:r>
        <w:rPr>
          <w:snapToGrid w:val="0"/>
        </w:rPr>
        <w:t>river’s licence document, learner’s permit</w:t>
      </w:r>
      <w:bookmarkEnd w:id="82"/>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w:t>
      </w:r>
      <w:r>
        <w:lastRenderedPageBreak/>
        <w:t xml:space="preserve">driver’s licence document or learner’s permit </w:t>
      </w:r>
      <w:r>
        <w:rPr>
          <w:snapToGrid w:val="0"/>
        </w:rPr>
        <w:t>to the CEO or the Commissioner of Police.</w:t>
      </w:r>
    </w:p>
    <w:p>
      <w:pPr>
        <w:pStyle w:val="Footnotesection"/>
      </w:pPr>
      <w:r>
        <w:tab/>
        <w:t>[Section 33 amended: No. 25 of 2016 s. 58.]</w:t>
      </w:r>
    </w:p>
    <w:p>
      <w:pPr>
        <w:pStyle w:val="Heading5"/>
      </w:pPr>
      <w:bookmarkStart w:id="83" w:name="_Toc100242639"/>
      <w:r>
        <w:rPr>
          <w:rStyle w:val="CharSectno"/>
        </w:rPr>
        <w:t>34</w:t>
      </w:r>
      <w:r>
        <w:t>.</w:t>
      </w:r>
      <w:r>
        <w:tab/>
        <w:t>Duty to identify offending driver or person in charge of vehicle</w:t>
      </w:r>
      <w:bookmarkEnd w:id="83"/>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keepNext/>
      </w:pPr>
      <w:r>
        <w:lastRenderedPageBreak/>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pPr>
      <w:r>
        <w:tab/>
        <w:t>(3A)</w:t>
      </w:r>
      <w:r>
        <w:tab/>
        <w:t>Subsection (2) does not apply if the responsible person for the vehicle supplies to the police officer who has made the request for information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request because of a risk or apprehended risk of being subjected to family violence if the responsible person took steps to find or provide that information.</w:t>
      </w:r>
    </w:p>
    <w:p>
      <w:pPr>
        <w:pStyle w:val="Subsection"/>
      </w:pPr>
      <w:r>
        <w:tab/>
        <w:t>(3B)</w:t>
      </w:r>
      <w:r>
        <w:tab/>
        <w:t>A statutory declaration under subsection (3A) must be accompanied by a family violence evidentiary document that relates to the responsible person.</w:t>
      </w:r>
    </w:p>
    <w:p>
      <w:pPr>
        <w:pStyle w:val="Subsection"/>
      </w:pPr>
      <w:r>
        <w:tab/>
        <w:t>(3C)</w:t>
      </w:r>
      <w:r>
        <w:tab/>
        <w:t xml:space="preserve">Subsection (3A) does not apply if the request for information was made under the </w:t>
      </w:r>
      <w:r>
        <w:rPr>
          <w:i/>
          <w:iCs/>
        </w:rPr>
        <w:t xml:space="preserve">Road Traffic Act 1974 </w:t>
      </w:r>
      <w:r>
        <w:t>section 57.</w:t>
      </w:r>
    </w:p>
    <w:p>
      <w:pPr>
        <w:pStyle w:val="Subsection"/>
      </w:pPr>
      <w:r>
        <w:tab/>
        <w:t>(3D)</w:t>
      </w:r>
      <w:r>
        <w:tab/>
        <w:t xml:space="preserve">The provision of information under subsection (3A)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Footnotesection"/>
      </w:pPr>
      <w:r>
        <w:tab/>
        <w:t>[Section 34 amended: No. 30 of 2020 s. 87.]</w:t>
      </w:r>
    </w:p>
    <w:p>
      <w:pPr>
        <w:pStyle w:val="Heading5"/>
      </w:pPr>
      <w:bookmarkStart w:id="84" w:name="_Toc100242640"/>
      <w:r>
        <w:rPr>
          <w:rStyle w:val="CharSectno"/>
        </w:rPr>
        <w:lastRenderedPageBreak/>
        <w:t>35</w:t>
      </w:r>
      <w:r>
        <w:t>.</w:t>
      </w:r>
      <w:r>
        <w:tab/>
        <w:t>Duty to take reasonable measures to be able to comply with identity request</w:t>
      </w:r>
      <w:bookmarkEnd w:id="84"/>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pPr>
      <w:r>
        <w:tab/>
        <w:t>(3)</w:t>
      </w:r>
      <w:r>
        <w:tab/>
        <w:t>Subsection (2) does not apply if the responsible person for the vehicle supplies to the person who has made the identity request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identity request because of a risk or apprehended risk of being subjected to family violence if the responsible person took steps to find or provide that information.</w:t>
      </w:r>
    </w:p>
    <w:p>
      <w:pPr>
        <w:pStyle w:val="Subsection"/>
      </w:pPr>
      <w:r>
        <w:tab/>
        <w:t>(4)</w:t>
      </w:r>
      <w:r>
        <w:tab/>
        <w:t>A statutory declaration under subsection (3) must be accompanied by a family violence evidentiary document that relates to the responsible person.</w:t>
      </w:r>
    </w:p>
    <w:p>
      <w:pPr>
        <w:pStyle w:val="Subsection"/>
      </w:pPr>
      <w:r>
        <w:tab/>
        <w:t>(5)</w:t>
      </w:r>
      <w:r>
        <w:tab/>
        <w:t xml:space="preserve">Subsection (3) does not apply if the request for information was made under the </w:t>
      </w:r>
      <w:r>
        <w:rPr>
          <w:i/>
          <w:iCs/>
        </w:rPr>
        <w:t xml:space="preserve">Road Traffic Act 1974 </w:t>
      </w:r>
      <w:r>
        <w:t>section 57.</w:t>
      </w:r>
    </w:p>
    <w:p>
      <w:pPr>
        <w:pStyle w:val="Subsection"/>
      </w:pPr>
      <w:r>
        <w:lastRenderedPageBreak/>
        <w:tab/>
        <w:t>(6)</w:t>
      </w:r>
      <w:r>
        <w:tab/>
        <w:t xml:space="preserve">The provision of information under subsection (3)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pPr>
      <w:r>
        <w:tab/>
        <w:t>[Section 35 amended: No. 25 of 2016 s. 59; No. 30 of 2020 s. 88.]</w:t>
      </w:r>
    </w:p>
    <w:p>
      <w:pPr>
        <w:pStyle w:val="Heading5"/>
        <w:rPr>
          <w:snapToGrid w:val="0"/>
        </w:rPr>
      </w:pPr>
      <w:bookmarkStart w:id="85" w:name="_Toc100242641"/>
      <w:r>
        <w:rPr>
          <w:rStyle w:val="CharSectno"/>
        </w:rPr>
        <w:t>36</w:t>
      </w:r>
      <w:r>
        <w:t>.</w:t>
      </w:r>
      <w:r>
        <w:tab/>
      </w:r>
      <w:r>
        <w:rPr>
          <w:snapToGrid w:val="0"/>
        </w:rPr>
        <w:t>Other offences</w:t>
      </w:r>
      <w:bookmarkEnd w:id="85"/>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 or</w:t>
      </w:r>
    </w:p>
    <w:p>
      <w:pPr>
        <w:pStyle w:val="Indenta"/>
      </w:pPr>
      <w:r>
        <w:tab/>
        <w:t>(ba)</w:t>
      </w:r>
      <w:r>
        <w:tab/>
        <w:t>while disqualified from obtaining any particular licence other than a driver’s licence apply for or obtain such a licence; or</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lastRenderedPageBreak/>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No. 39 of 2009 s. 11; No. 8 of 2012 s. 216 and 232; No. 2 of 2015 s. 15 No. 8 of 2022 s. 7.]</w:t>
      </w:r>
    </w:p>
    <w:p>
      <w:pPr>
        <w:pStyle w:val="Heading5"/>
      </w:pPr>
      <w:bookmarkStart w:id="86" w:name="_Toc100242642"/>
      <w:r>
        <w:rPr>
          <w:rStyle w:val="CharSectno"/>
        </w:rPr>
        <w:t>37</w:t>
      </w:r>
      <w:r>
        <w:t>.</w:t>
      </w:r>
      <w:r>
        <w:tab/>
        <w:t>Manner of giving directions etc. under this Division</w:t>
      </w:r>
      <w:bookmarkEnd w:id="86"/>
    </w:p>
    <w:p>
      <w:pPr>
        <w:pStyle w:val="Subsection"/>
      </w:pPr>
      <w:r>
        <w:tab/>
      </w:r>
      <w:r>
        <w:tab/>
        <w:t>A direction or request under this Division may be given orally or in writing.</w:t>
      </w:r>
    </w:p>
    <w:p>
      <w:pPr>
        <w:pStyle w:val="Heading3"/>
      </w:pPr>
      <w:bookmarkStart w:id="87" w:name="_Toc100234251"/>
      <w:bookmarkStart w:id="88" w:name="_Toc100234481"/>
      <w:bookmarkStart w:id="89" w:name="_Toc100236061"/>
      <w:bookmarkStart w:id="90" w:name="_Toc100242643"/>
      <w:r>
        <w:rPr>
          <w:rStyle w:val="CharDivNo"/>
        </w:rPr>
        <w:t>Division 3</w:t>
      </w:r>
      <w:r>
        <w:t> — </w:t>
      </w:r>
      <w:r>
        <w:rPr>
          <w:rStyle w:val="CharDivText"/>
        </w:rPr>
        <w:t>Directions to stop, move or leave vehicles</w:t>
      </w:r>
      <w:bookmarkEnd w:id="87"/>
      <w:bookmarkEnd w:id="88"/>
      <w:bookmarkEnd w:id="89"/>
      <w:bookmarkEnd w:id="90"/>
    </w:p>
    <w:p>
      <w:pPr>
        <w:pStyle w:val="Heading5"/>
      </w:pPr>
      <w:bookmarkStart w:id="91" w:name="_Toc100242644"/>
      <w:r>
        <w:rPr>
          <w:rStyle w:val="CharSectno"/>
        </w:rPr>
        <w:t>38</w:t>
      </w:r>
      <w:r>
        <w:t>.</w:t>
      </w:r>
      <w:r>
        <w:tab/>
        <w:t>Vehicles and drivers to which this Division applies</w:t>
      </w:r>
      <w:bookmarkEnd w:id="91"/>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lastRenderedPageBreak/>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w:t>
      </w:r>
      <w:r>
        <w:t>5 or 6A.</w:t>
      </w:r>
    </w:p>
    <w:p>
      <w:pPr>
        <w:pStyle w:val="Footnotesection"/>
      </w:pPr>
      <w:r>
        <w:tab/>
        <w:t>[Section 38 amended: No. 38 of 2020 s. 13.]</w:t>
      </w:r>
    </w:p>
    <w:p>
      <w:pPr>
        <w:pStyle w:val="Heading5"/>
      </w:pPr>
      <w:bookmarkStart w:id="92" w:name="_Toc100242645"/>
      <w:r>
        <w:rPr>
          <w:rStyle w:val="CharSectno"/>
        </w:rPr>
        <w:t>39</w:t>
      </w:r>
      <w:r>
        <w:t>.</w:t>
      </w:r>
      <w:r>
        <w:tab/>
        <w:t>Direction to stop vehicle: to enable exercise of other powers</w:t>
      </w:r>
      <w:bookmarkEnd w:id="92"/>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w:t>
      </w:r>
      <w:r>
        <w:lastRenderedPageBreak/>
        <w:t xml:space="preserve">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93" w:name="_Toc100242646"/>
      <w:r>
        <w:rPr>
          <w:rStyle w:val="CharSectno"/>
        </w:rPr>
        <w:t>40</w:t>
      </w:r>
      <w:r>
        <w:t>.</w:t>
      </w:r>
      <w:r>
        <w:tab/>
        <w:t>Direction to move vehicle: to enable exercise of other powers</w:t>
      </w:r>
      <w:bookmarkEnd w:id="93"/>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lastRenderedPageBreak/>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94" w:name="_Toc100242647"/>
      <w:r>
        <w:rPr>
          <w:rStyle w:val="CharSectno"/>
        </w:rPr>
        <w:t>41</w:t>
      </w:r>
      <w:r>
        <w:t>.</w:t>
      </w:r>
      <w:r>
        <w:tab/>
        <w:t>Direction to move vehicle: where danger or obstruction</w:t>
      </w:r>
      <w:bookmarkEnd w:id="94"/>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95" w:name="_Toc100242648"/>
      <w:r>
        <w:rPr>
          <w:rStyle w:val="CharSectno"/>
        </w:rPr>
        <w:lastRenderedPageBreak/>
        <w:t>42</w:t>
      </w:r>
      <w:r>
        <w:t>.</w:t>
      </w:r>
      <w:r>
        <w:tab/>
        <w:t>Direction to leave vehicle</w:t>
      </w:r>
      <w:bookmarkEnd w:id="95"/>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96" w:name="_Toc100242649"/>
      <w:r>
        <w:rPr>
          <w:rStyle w:val="CharSectno"/>
        </w:rPr>
        <w:t>43</w:t>
      </w:r>
      <w:r>
        <w:t>.</w:t>
      </w:r>
      <w:r>
        <w:tab/>
        <w:t>Manner of giving directions under this Division</w:t>
      </w:r>
      <w:bookmarkEnd w:id="96"/>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97" w:name="_Toc100242650"/>
      <w:r>
        <w:rPr>
          <w:rStyle w:val="CharSectno"/>
        </w:rPr>
        <w:lastRenderedPageBreak/>
        <w:t>44</w:t>
      </w:r>
      <w:r>
        <w:t>.</w:t>
      </w:r>
      <w:r>
        <w:tab/>
        <w:t>Directions to be complied with</w:t>
      </w:r>
      <w:bookmarkEnd w:id="97"/>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98" w:name="_Toc100234259"/>
      <w:bookmarkStart w:id="99" w:name="_Toc100234489"/>
      <w:bookmarkStart w:id="100" w:name="_Toc100236069"/>
      <w:bookmarkStart w:id="101" w:name="_Toc100242651"/>
      <w:r>
        <w:rPr>
          <w:rStyle w:val="CharDivNo"/>
        </w:rPr>
        <w:t>Division 4</w:t>
      </w:r>
      <w:r>
        <w:t> — </w:t>
      </w:r>
      <w:r>
        <w:rPr>
          <w:rStyle w:val="CharDivText"/>
        </w:rPr>
        <w:t>Power to move vehicles</w:t>
      </w:r>
      <w:bookmarkEnd w:id="98"/>
      <w:bookmarkEnd w:id="99"/>
      <w:bookmarkEnd w:id="100"/>
      <w:bookmarkEnd w:id="101"/>
    </w:p>
    <w:p>
      <w:pPr>
        <w:pStyle w:val="Heading5"/>
        <w:spacing w:before="180"/>
      </w:pPr>
      <w:bookmarkStart w:id="102" w:name="_Toc100242652"/>
      <w:r>
        <w:rPr>
          <w:rStyle w:val="CharSectno"/>
        </w:rPr>
        <w:t>45</w:t>
      </w:r>
      <w:r>
        <w:t>.</w:t>
      </w:r>
      <w:r>
        <w:tab/>
        <w:t>Moving unattended vehicle to exercise Division 5 powers</w:t>
      </w:r>
      <w:bookmarkEnd w:id="102"/>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keepNext/>
        <w:rPr>
          <w:szCs w:val="23"/>
        </w:rPr>
      </w:pPr>
      <w:r>
        <w:lastRenderedPageBreak/>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103" w:name="_Toc100242653"/>
      <w:r>
        <w:rPr>
          <w:rStyle w:val="CharSectno"/>
        </w:rPr>
        <w:t>46</w:t>
      </w:r>
      <w:r>
        <w:t>.</w:t>
      </w:r>
      <w:r>
        <w:tab/>
        <w:t>Moving unattended or broken down vehicle where danger or obstruction</w:t>
      </w:r>
      <w:bookmarkEnd w:id="103"/>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lastRenderedPageBreak/>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04" w:name="_Toc100242654"/>
      <w:r>
        <w:rPr>
          <w:rStyle w:val="CharSectno"/>
        </w:rPr>
        <w:t>47</w:t>
      </w:r>
      <w:r>
        <w:t>.</w:t>
      </w:r>
      <w:r>
        <w:tab/>
        <w:t xml:space="preserve">Moving vehicles parked without </w:t>
      </w:r>
      <w:r>
        <w:rPr>
          <w:snapToGrid w:val="0"/>
        </w:rPr>
        <w:t>authority in certain areas</w:t>
      </w:r>
      <w:bookmarkEnd w:id="10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lastRenderedPageBreak/>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05" w:name="_Toc100242655"/>
      <w:r>
        <w:rPr>
          <w:rStyle w:val="CharSectno"/>
        </w:rPr>
        <w:t>48</w:t>
      </w:r>
      <w:r>
        <w:t>.</w:t>
      </w:r>
      <w:r>
        <w:tab/>
        <w:t xml:space="preserve">Moving </w:t>
      </w:r>
      <w:r>
        <w:rPr>
          <w:snapToGrid w:val="0"/>
        </w:rPr>
        <w:t>vehicles involved in offence</w:t>
      </w:r>
      <w:bookmarkEnd w:id="105"/>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06" w:name="_Toc100242656"/>
      <w:r>
        <w:rPr>
          <w:rStyle w:val="CharSectno"/>
        </w:rPr>
        <w:lastRenderedPageBreak/>
        <w:t>49</w:t>
      </w:r>
      <w:r>
        <w:t>.</w:t>
      </w:r>
      <w:r>
        <w:tab/>
        <w:t>Removal of other unattended vehicles</w:t>
      </w:r>
      <w:bookmarkEnd w:id="106"/>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07" w:name="_Toc100242657"/>
      <w:r>
        <w:rPr>
          <w:rStyle w:val="CharSectno"/>
        </w:rPr>
        <w:t>50</w:t>
      </w:r>
      <w:r>
        <w:t>.</w:t>
      </w:r>
      <w:r>
        <w:tab/>
        <w:t>Authorisation of responsible person not required</w:t>
      </w:r>
      <w:bookmarkEnd w:id="107"/>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08" w:name="_Toc100234266"/>
      <w:bookmarkStart w:id="109" w:name="_Toc100234496"/>
      <w:bookmarkStart w:id="110" w:name="_Toc100236076"/>
      <w:bookmarkStart w:id="111" w:name="_Toc100242658"/>
      <w:r>
        <w:rPr>
          <w:rStyle w:val="CharDivNo"/>
        </w:rPr>
        <w:t>Division 5</w:t>
      </w:r>
      <w:r>
        <w:t> — </w:t>
      </w:r>
      <w:r>
        <w:rPr>
          <w:rStyle w:val="CharDivText"/>
        </w:rPr>
        <w:t>Powers of inspection and search for MDLR compliance purposes</w:t>
      </w:r>
      <w:bookmarkEnd w:id="108"/>
      <w:bookmarkEnd w:id="109"/>
      <w:bookmarkEnd w:id="110"/>
      <w:bookmarkEnd w:id="111"/>
    </w:p>
    <w:p>
      <w:pPr>
        <w:pStyle w:val="Heading5"/>
      </w:pPr>
      <w:bookmarkStart w:id="112" w:name="_Toc100242659"/>
      <w:r>
        <w:rPr>
          <w:rStyle w:val="CharSectno"/>
        </w:rPr>
        <w:t>51</w:t>
      </w:r>
      <w:r>
        <w:t>.</w:t>
      </w:r>
      <w:r>
        <w:tab/>
        <w:t>Residential purposes</w:t>
      </w:r>
      <w:bookmarkEnd w:id="112"/>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lastRenderedPageBreak/>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Pr>
      <w:bookmarkStart w:id="113" w:name="_Toc100242660"/>
      <w:r>
        <w:rPr>
          <w:rStyle w:val="CharSectno"/>
        </w:rPr>
        <w:t>52</w:t>
      </w:r>
      <w:r>
        <w:t>.</w:t>
      </w:r>
      <w:r>
        <w:tab/>
        <w:t>Inspection of vehicles on roads, in public places or certain official premises</w:t>
      </w:r>
      <w:bookmarkEnd w:id="113"/>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 xml:space="preserve">the power to check the existence or details of, or take photographs of, placards or other information required </w:t>
      </w:r>
      <w:r>
        <w:lastRenderedPageBreak/>
        <w:t>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114" w:name="_Toc100242661"/>
      <w:r>
        <w:rPr>
          <w:rStyle w:val="CharSectno"/>
        </w:rPr>
        <w:t>53</w:t>
      </w:r>
      <w:r>
        <w:t>.</w:t>
      </w:r>
      <w:r>
        <w:tab/>
        <w:t xml:space="preserve">Search of vehicles on roads, in public places or </w:t>
      </w:r>
      <w:r>
        <w:rPr>
          <w:szCs w:val="21"/>
        </w:rPr>
        <w:t>certain official premises</w:t>
      </w:r>
      <w:bookmarkEnd w:id="114"/>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lastRenderedPageBreak/>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115" w:name="_Toc100242662"/>
      <w:r>
        <w:rPr>
          <w:rStyle w:val="CharSectno"/>
        </w:rPr>
        <w:lastRenderedPageBreak/>
        <w:t>54</w:t>
      </w:r>
      <w:r>
        <w:t>.</w:t>
      </w:r>
      <w:r>
        <w:tab/>
        <w:t>Inspection of premises</w:t>
      </w:r>
      <w:bookmarkEnd w:id="115"/>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lastRenderedPageBreak/>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 xml:space="preserve">inspect anything that has been opened or otherwise accessed under the power to use reasonable force in the </w:t>
      </w:r>
      <w:r>
        <w:lastRenderedPageBreak/>
        <w:t>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116" w:name="_Toc100242663"/>
      <w:r>
        <w:rPr>
          <w:rStyle w:val="CharSectno"/>
        </w:rPr>
        <w:t>55</w:t>
      </w:r>
      <w:r>
        <w:t>.</w:t>
      </w:r>
      <w:r>
        <w:tab/>
        <w:t>Search of premises</w:t>
      </w:r>
      <w:bookmarkEnd w:id="116"/>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lastRenderedPageBreak/>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lastRenderedPageBreak/>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17" w:name="_Toc100234272"/>
      <w:bookmarkStart w:id="118" w:name="_Toc100234502"/>
      <w:bookmarkStart w:id="119" w:name="_Toc100236082"/>
      <w:bookmarkStart w:id="120" w:name="_Toc100242664"/>
      <w:r>
        <w:rPr>
          <w:rStyle w:val="CharDivNo"/>
        </w:rPr>
        <w:t>Division 6</w:t>
      </w:r>
      <w:r>
        <w:t> — </w:t>
      </w:r>
      <w:r>
        <w:rPr>
          <w:rStyle w:val="CharDivText"/>
        </w:rPr>
        <w:t>Other directions in relation to MDLR compliance purposes</w:t>
      </w:r>
      <w:bookmarkEnd w:id="117"/>
      <w:bookmarkEnd w:id="118"/>
      <w:bookmarkEnd w:id="119"/>
      <w:bookmarkEnd w:id="120"/>
    </w:p>
    <w:p>
      <w:pPr>
        <w:pStyle w:val="Heading5"/>
      </w:pPr>
      <w:bookmarkStart w:id="121" w:name="_Toc100242665"/>
      <w:r>
        <w:rPr>
          <w:rStyle w:val="CharSectno"/>
        </w:rPr>
        <w:t>56</w:t>
      </w:r>
      <w:r>
        <w:t>.</w:t>
      </w:r>
      <w:r>
        <w:tab/>
        <w:t>Direction to produce records, devices or other things</w:t>
      </w:r>
      <w:bookmarkEnd w:id="121"/>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lastRenderedPageBreak/>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w:t>
      </w:r>
    </w:p>
    <w:p>
      <w:pPr>
        <w:pStyle w:val="Heading5"/>
        <w:spacing w:before="180"/>
      </w:pPr>
      <w:bookmarkStart w:id="122" w:name="_Toc100242666"/>
      <w:r>
        <w:rPr>
          <w:rStyle w:val="CharSectno"/>
        </w:rPr>
        <w:lastRenderedPageBreak/>
        <w:t>57</w:t>
      </w:r>
      <w:r>
        <w:t>.</w:t>
      </w:r>
      <w:r>
        <w:tab/>
        <w:t>Direction to provide information</w:t>
      </w:r>
      <w:bookmarkEnd w:id="122"/>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lastRenderedPageBreak/>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123" w:name="_Toc100242667"/>
      <w:r>
        <w:rPr>
          <w:rStyle w:val="CharSectno"/>
        </w:rPr>
        <w:t>58</w:t>
      </w:r>
      <w:r>
        <w:t>.</w:t>
      </w:r>
      <w:r>
        <w:tab/>
        <w:t>Direction to provide reasonable assistance for powers of inspection and search</w:t>
      </w:r>
      <w:bookmarkEnd w:id="123"/>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lastRenderedPageBreak/>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lastRenderedPageBreak/>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w:t>
      </w:r>
    </w:p>
    <w:p>
      <w:pPr>
        <w:pStyle w:val="Heading5"/>
        <w:spacing w:before="180"/>
      </w:pPr>
      <w:bookmarkStart w:id="124" w:name="_Toc100242668"/>
      <w:r>
        <w:rPr>
          <w:rStyle w:val="CharSectno"/>
        </w:rPr>
        <w:t>59</w:t>
      </w:r>
      <w:r>
        <w:t>.</w:t>
      </w:r>
      <w:r>
        <w:tab/>
        <w:t>Provisions relating to running engine</w:t>
      </w:r>
      <w:bookmarkEnd w:id="124"/>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lastRenderedPageBreak/>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25" w:name="_Toc100242669"/>
      <w:r>
        <w:rPr>
          <w:rStyle w:val="CharSectno"/>
        </w:rPr>
        <w:t>60</w:t>
      </w:r>
      <w:r>
        <w:t>.</w:t>
      </w:r>
      <w:r>
        <w:tab/>
        <w:t>Manner of giving directions under this Division</w:t>
      </w:r>
      <w:bookmarkEnd w:id="125"/>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126" w:name="_Toc100242670"/>
      <w:r>
        <w:rPr>
          <w:rStyle w:val="CharSectno"/>
        </w:rPr>
        <w:t>61</w:t>
      </w:r>
      <w:r>
        <w:t>.</w:t>
      </w:r>
      <w:r>
        <w:tab/>
        <w:t>Directions to state when to be complied with</w:t>
      </w:r>
      <w:bookmarkEnd w:id="126"/>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127" w:name="_Toc100234279"/>
      <w:bookmarkStart w:id="128" w:name="_Toc100234509"/>
      <w:bookmarkStart w:id="129" w:name="_Toc100236089"/>
      <w:bookmarkStart w:id="130" w:name="_Toc100242671"/>
      <w:r>
        <w:rPr>
          <w:rStyle w:val="CharDivNo"/>
        </w:rPr>
        <w:lastRenderedPageBreak/>
        <w:t>Division 6A</w:t>
      </w:r>
      <w:r>
        <w:t> — </w:t>
      </w:r>
      <w:r>
        <w:rPr>
          <w:rStyle w:val="CharDivText"/>
        </w:rPr>
        <w:t>Powers of inspection and search for RTA Part 6A compliance purposes</w:t>
      </w:r>
      <w:bookmarkEnd w:id="127"/>
      <w:bookmarkEnd w:id="128"/>
      <w:bookmarkEnd w:id="129"/>
      <w:bookmarkEnd w:id="130"/>
    </w:p>
    <w:p>
      <w:pPr>
        <w:pStyle w:val="Footnoteheading"/>
        <w:keepNext/>
      </w:pPr>
      <w:r>
        <w:tab/>
        <w:t>[Heading inserted: No. 38 of 2020 s. 14.]</w:t>
      </w:r>
    </w:p>
    <w:p>
      <w:pPr>
        <w:pStyle w:val="Heading5"/>
      </w:pPr>
      <w:bookmarkStart w:id="131" w:name="_Toc100242672"/>
      <w:r>
        <w:rPr>
          <w:rStyle w:val="CharSectno"/>
        </w:rPr>
        <w:t>61A</w:t>
      </w:r>
      <w:r>
        <w:t>.</w:t>
      </w:r>
      <w:r>
        <w:tab/>
        <w:t>Inspection of premises</w:t>
      </w:r>
      <w:bookmarkEnd w:id="131"/>
    </w:p>
    <w:p>
      <w:pPr>
        <w:pStyle w:val="Subsection"/>
      </w:pPr>
      <w:r>
        <w:tab/>
        <w:t>(1)</w:t>
      </w:r>
      <w:r>
        <w:tab/>
        <w:t xml:space="preserve">In this section — </w:t>
      </w:r>
    </w:p>
    <w:p>
      <w:pPr>
        <w:pStyle w:val="Defstart"/>
      </w:pPr>
      <w:r>
        <w:tab/>
      </w:r>
      <w:r>
        <w:rPr>
          <w:rStyle w:val="CharDefText"/>
        </w:rPr>
        <w:t>premises</w:t>
      </w:r>
      <w:r>
        <w:t xml:space="preserve"> means — </w:t>
      </w:r>
    </w:p>
    <w:p>
      <w:pPr>
        <w:pStyle w:val="Defpara"/>
      </w:pPr>
      <w:r>
        <w:tab/>
        <w:t>(a)</w:t>
      </w:r>
      <w:r>
        <w:tab/>
        <w:t>premises at or from which a person carries on business relating to or involving the immobilisation, towing or detention of motor vehicles; or</w:t>
      </w:r>
    </w:p>
    <w:p>
      <w:pPr>
        <w:pStyle w:val="Defpara"/>
      </w:pPr>
      <w:r>
        <w:tab/>
        <w:t>(b)</w:t>
      </w:r>
      <w:r>
        <w:tab/>
        <w:t xml:space="preserve">premises that are occupied by a person in connection with a business relating to or involving the immobilisation, towing or detention of motor vehicles; or </w:t>
      </w:r>
    </w:p>
    <w:p>
      <w:pPr>
        <w:pStyle w:val="Defpara"/>
      </w:pPr>
      <w:r>
        <w:tab/>
        <w:t>(c)</w:t>
      </w:r>
      <w:r>
        <w:tab/>
        <w:t>premises that are a registered office of a person in connection with a business relating to or involving the immobilisation, towing or detention of motor vehicles; or</w:t>
      </w:r>
    </w:p>
    <w:p>
      <w:pPr>
        <w:pStyle w:val="Defpara"/>
        <w:rPr>
          <w:szCs w:val="23"/>
        </w:rPr>
      </w:pPr>
      <w:r>
        <w:tab/>
        <w:t>(d)</w:t>
      </w:r>
      <w:r>
        <w:tab/>
        <w:t xml:space="preserve">premises where records required to be kept under the </w:t>
      </w:r>
      <w:r>
        <w:rPr>
          <w:i/>
          <w:iCs/>
        </w:rPr>
        <w:t>Road Traffic Act 1974</w:t>
      </w:r>
      <w:r>
        <w:t xml:space="preserve"> Part 6A (including any regulation made, or requirement imposed, under or for the purposes of that Part) are located or where any such records are </w:t>
      </w:r>
      <w:r>
        <w:rPr>
          <w:szCs w:val="23"/>
        </w:rPr>
        <w:t>required to be located; or</w:t>
      </w:r>
    </w:p>
    <w:p>
      <w:pPr>
        <w:pStyle w:val="Defpara"/>
      </w:pPr>
      <w:r>
        <w:tab/>
        <w:t>(e)</w:t>
      </w:r>
      <w:r>
        <w:tab/>
        <w:t xml:space="preserve">a storage yard, as defined in the </w:t>
      </w:r>
      <w:r>
        <w:rPr>
          <w:i/>
          <w:iCs/>
        </w:rPr>
        <w:t xml:space="preserve">Road Traffic Act 1974 </w:t>
      </w:r>
      <w:r>
        <w:rPr>
          <w:iCs/>
        </w:rPr>
        <w:t>section 91</w:t>
      </w:r>
      <w:r>
        <w:t>.</w:t>
      </w:r>
    </w:p>
    <w:p>
      <w:pPr>
        <w:pStyle w:val="Subsection"/>
      </w:pPr>
      <w:r>
        <w:tab/>
        <w:t>(2)</w:t>
      </w:r>
      <w:r>
        <w:tab/>
        <w:t>A police officer may inspect premises for RTA Part 6A compliance purposes.</w:t>
      </w:r>
    </w:p>
    <w:p>
      <w:pPr>
        <w:pStyle w:val="Subsection"/>
      </w:pPr>
      <w:r>
        <w:tab/>
        <w:t>(3)</w:t>
      </w:r>
      <w:r>
        <w:tab/>
        <w:t xml:space="preserve">The power to inspect premises under this section includes — </w:t>
      </w:r>
    </w:p>
    <w:p>
      <w:pPr>
        <w:pStyle w:val="Indenta"/>
      </w:pPr>
      <w:r>
        <w:tab/>
        <w:t>(a)</w:t>
      </w:r>
      <w:r>
        <w:tab/>
        <w:t xml:space="preserve">the power to inspect and take copies of or extracts from any records located at the premises (including in any vehicle located at the premises) and required to be kept under the </w:t>
      </w:r>
      <w:r>
        <w:rPr>
          <w:i/>
          <w:iCs/>
        </w:rPr>
        <w:t>Road Traffic Act 1974</w:t>
      </w:r>
      <w:r>
        <w:t xml:space="preserve"> Part 6A (including any </w:t>
      </w:r>
      <w:r>
        <w:lastRenderedPageBreak/>
        <w:t>regulation made, or requirement imposed, under or for the purposes of that Part); and</w:t>
      </w:r>
    </w:p>
    <w:p>
      <w:pPr>
        <w:pStyle w:val="Indenta"/>
      </w:pPr>
      <w:r>
        <w:tab/>
        <w:t>(b)</w:t>
      </w:r>
      <w:r>
        <w:tab/>
        <w:t>the power to use photocopying equipment on the premises free of charge for the purpose of copying any records or other material.</w:t>
      </w:r>
    </w:p>
    <w:p>
      <w:pPr>
        <w:pStyle w:val="Subsection"/>
      </w:pPr>
      <w:r>
        <w:tab/>
        <w:t>(4)</w:t>
      </w:r>
      <w:r>
        <w:tab/>
        <w:t>Section 54(3), (4), (5), (6), (7) and (9) apply to an inspection of premises or exercise of powers under this section as if it were an inspection of premises or exercise of powers under section 54.</w:t>
      </w:r>
    </w:p>
    <w:p>
      <w:pPr>
        <w:pStyle w:val="Footnotesection"/>
      </w:pPr>
      <w:r>
        <w:tab/>
        <w:t>[Section 61A inserted: No. 38 of 2020 s. 14.]</w:t>
      </w:r>
    </w:p>
    <w:p>
      <w:pPr>
        <w:pStyle w:val="Heading5"/>
      </w:pPr>
      <w:bookmarkStart w:id="132" w:name="_Toc100242673"/>
      <w:r>
        <w:rPr>
          <w:rStyle w:val="CharSectno"/>
        </w:rPr>
        <w:t>61B</w:t>
      </w:r>
      <w:r>
        <w:t>.</w:t>
      </w:r>
      <w:r>
        <w:tab/>
        <w:t>Search of premises</w:t>
      </w:r>
      <w:bookmarkEnd w:id="132"/>
    </w:p>
    <w:p>
      <w:pPr>
        <w:pStyle w:val="Subsection"/>
      </w:pPr>
      <w:r>
        <w:tab/>
        <w:t>(1)</w:t>
      </w:r>
      <w:r>
        <w:tab/>
        <w:t xml:space="preserve">In this section — </w:t>
      </w:r>
    </w:p>
    <w:p>
      <w:pPr>
        <w:pStyle w:val="Defstart"/>
      </w:pPr>
      <w:r>
        <w:tab/>
      </w:r>
      <w:r>
        <w:rPr>
          <w:rStyle w:val="CharDefText"/>
        </w:rPr>
        <w:t>premises</w:t>
      </w:r>
      <w:r>
        <w:t xml:space="preserve"> has the meaning given to that term in section 61A(1) and includes premises where the officer concerned reasonably believes that any RTA Part 6A documentation is located. </w:t>
      </w:r>
    </w:p>
    <w:p>
      <w:pPr>
        <w:pStyle w:val="Subsection"/>
      </w:pPr>
      <w:r>
        <w:tab/>
        <w:t>(2)</w:t>
      </w:r>
      <w:r>
        <w:tab/>
        <w:t>A police officer may search premises for RTA Part 6A compliance purposes.</w:t>
      </w:r>
    </w:p>
    <w:p>
      <w:pPr>
        <w:pStyle w:val="Subsection"/>
      </w:pPr>
      <w:r>
        <w:tab/>
        <w:t>(3)</w:t>
      </w:r>
      <w:r>
        <w:tab/>
        <w:t>A police officer may, for RTA Part 6A compliance purposes, search, or enter and search, any vehicle at premises being searched under this section.</w:t>
      </w:r>
    </w:p>
    <w:p>
      <w:pPr>
        <w:pStyle w:val="Subsection"/>
      </w:pPr>
      <w:r>
        <w:tab/>
        <w:t>(4)</w:t>
      </w:r>
      <w:r>
        <w:tab/>
        <w:t xml:space="preserve">The power to search premises under this section includes — </w:t>
      </w:r>
    </w:p>
    <w:p>
      <w:pPr>
        <w:pStyle w:val="Indenta"/>
      </w:pPr>
      <w:r>
        <w:rPr>
          <w:szCs w:val="24"/>
        </w:rPr>
        <w:tab/>
        <w:t>(a)</w:t>
      </w:r>
      <w:r>
        <w:rPr>
          <w:szCs w:val="24"/>
        </w:rPr>
        <w:tab/>
        <w:t xml:space="preserve">the power to search for and inspect any records, devices or other things </w:t>
      </w:r>
      <w:r>
        <w:t xml:space="preserve">that are located at the premises (including in any vehicle located at the premises) </w:t>
      </w:r>
      <w:r>
        <w:rPr>
          <w:szCs w:val="24"/>
        </w:rPr>
        <w:t xml:space="preserve">that the officer </w:t>
      </w:r>
      <w:r>
        <w:t xml:space="preserve">reasonably believes are or contain </w:t>
      </w:r>
      <w:r>
        <w:rPr>
          <w:szCs w:val="24"/>
        </w:rPr>
        <w:t xml:space="preserve">RTA Part 6A documentation or are </w:t>
      </w:r>
      <w:r>
        <w:t>relevant to RTA Part 6A compliance purposes; and</w:t>
      </w:r>
    </w:p>
    <w:p>
      <w:pPr>
        <w:pStyle w:val="Indenta"/>
      </w:pPr>
      <w:r>
        <w:tab/>
        <w:t>(b)</w:t>
      </w:r>
      <w:r>
        <w:tab/>
        <w:t xml:space="preserve">the power to take copies of or extracts from any of the following — </w:t>
      </w:r>
    </w:p>
    <w:p>
      <w:pPr>
        <w:pStyle w:val="Indenti"/>
      </w:pPr>
      <w:r>
        <w:rPr>
          <w:szCs w:val="24"/>
        </w:rPr>
        <w:tab/>
        <w:t>(i)</w:t>
      </w:r>
      <w:r>
        <w:rPr>
          <w:szCs w:val="24"/>
        </w:rPr>
        <w:tab/>
        <w:t>any RTA Part 6A documentation located at the premises;</w:t>
      </w:r>
    </w:p>
    <w:p>
      <w:pPr>
        <w:pStyle w:val="Indenti"/>
      </w:pPr>
      <w:r>
        <w:lastRenderedPageBreak/>
        <w:tab/>
        <w:t>(ii)</w:t>
      </w:r>
      <w:r>
        <w:tab/>
        <w:t>any other records, or any readout or other data obtained from any device or thing, located at the premises that the officer reasonably believes provide, or may on further inspection provide, evidence of an RTA Part 6A offence;</w:t>
      </w:r>
    </w:p>
    <w:p>
      <w:pPr>
        <w:pStyle w:val="Indenta"/>
      </w:pPr>
      <w:r>
        <w:tab/>
      </w:r>
      <w:r>
        <w:tab/>
        <w:t>and</w:t>
      </w:r>
    </w:p>
    <w:p>
      <w:pPr>
        <w:pStyle w:val="Indenta"/>
      </w:pPr>
      <w:r>
        <w:tab/>
        <w:t>(c)</w:t>
      </w:r>
      <w:r>
        <w:tab/>
        <w:t>the power to use photocopying equipment on the premises free of charge for the purpose of copying any records or other material.</w:t>
      </w:r>
    </w:p>
    <w:p>
      <w:pPr>
        <w:pStyle w:val="Subsection"/>
      </w:pPr>
      <w:r>
        <w:tab/>
        <w:t>(5)</w:t>
      </w:r>
      <w:r>
        <w:tab/>
        <w:t>During a search of premises under this section a police officer may seize and remove any records, devices or other things from the premises that the officer reasonably believes provide, or may on further inspection provide, evidence of an RTA Part 6A offence.</w:t>
      </w:r>
    </w:p>
    <w:p>
      <w:pPr>
        <w:pStyle w:val="Subsection"/>
      </w:pPr>
      <w:r>
        <w:tab/>
        <w:t>(6)</w:t>
      </w:r>
      <w:r>
        <w:tab/>
        <w:t>Section 55(3), (5), (6), (7), (9) and (11) apply to a search of premises or exercise of powers under this section as if it were a search of premises or exercise of powers under section 55.</w:t>
      </w:r>
    </w:p>
    <w:p>
      <w:pPr>
        <w:pStyle w:val="Footnotesection"/>
      </w:pPr>
      <w:r>
        <w:tab/>
        <w:t>[Section 61B inserted: No. 38 of 2020 s. 14.]</w:t>
      </w:r>
    </w:p>
    <w:p>
      <w:pPr>
        <w:pStyle w:val="Heading3"/>
      </w:pPr>
      <w:bookmarkStart w:id="133" w:name="_Toc100234282"/>
      <w:bookmarkStart w:id="134" w:name="_Toc100234512"/>
      <w:bookmarkStart w:id="135" w:name="_Toc100236092"/>
      <w:bookmarkStart w:id="136" w:name="_Toc100242674"/>
      <w:r>
        <w:rPr>
          <w:rStyle w:val="CharDivNo"/>
        </w:rPr>
        <w:t>Division 6B</w:t>
      </w:r>
      <w:r>
        <w:t> — </w:t>
      </w:r>
      <w:r>
        <w:rPr>
          <w:rStyle w:val="CharDivText"/>
        </w:rPr>
        <w:t>Other directions in relation to RTA Part 6A compliance purposes</w:t>
      </w:r>
      <w:bookmarkEnd w:id="133"/>
      <w:bookmarkEnd w:id="134"/>
      <w:bookmarkEnd w:id="135"/>
      <w:bookmarkEnd w:id="136"/>
    </w:p>
    <w:p>
      <w:pPr>
        <w:pStyle w:val="Footnoteheading"/>
      </w:pPr>
      <w:r>
        <w:tab/>
        <w:t>[Heading inserted: No. 38 of 2020 s. 14.]</w:t>
      </w:r>
    </w:p>
    <w:p>
      <w:pPr>
        <w:pStyle w:val="Heading5"/>
      </w:pPr>
      <w:bookmarkStart w:id="137" w:name="_Toc100242675"/>
      <w:r>
        <w:rPr>
          <w:rStyle w:val="CharSectno"/>
        </w:rPr>
        <w:t>61C</w:t>
      </w:r>
      <w:r>
        <w:t>.</w:t>
      </w:r>
      <w:r>
        <w:tab/>
        <w:t>Direction to produce records, devices or other things</w:t>
      </w:r>
      <w:bookmarkEnd w:id="137"/>
    </w:p>
    <w:p>
      <w:pPr>
        <w:pStyle w:val="Subsection"/>
      </w:pPr>
      <w:r>
        <w:tab/>
        <w:t>(1)</w:t>
      </w:r>
      <w:r>
        <w:tab/>
        <w:t xml:space="preserve">A police officer may, for RTA Part 6A compliance purposes, </w:t>
      </w:r>
      <w:r>
        <w:rPr>
          <w:szCs w:val="23"/>
        </w:rPr>
        <w:t xml:space="preserve">direct a person to produce any of the following — </w:t>
      </w:r>
    </w:p>
    <w:p>
      <w:pPr>
        <w:pStyle w:val="Indenta"/>
      </w:pPr>
      <w:r>
        <w:tab/>
        <w:t>(a)</w:t>
      </w:r>
      <w:r>
        <w:tab/>
        <w:t xml:space="preserve">a record required to be kept under the </w:t>
      </w:r>
      <w:r>
        <w:rPr>
          <w:i/>
          <w:iCs/>
        </w:rPr>
        <w:t>Road Traffic Act 1974</w:t>
      </w:r>
      <w:r>
        <w:t xml:space="preserve"> Part 6A (including any regulation made, or requirement imposed, under or for the purposes of that Part);</w:t>
      </w:r>
    </w:p>
    <w:p>
      <w:pPr>
        <w:pStyle w:val="Indenta"/>
        <w:rPr>
          <w:szCs w:val="23"/>
        </w:rPr>
      </w:pPr>
      <w:r>
        <w:tab/>
        <w:t>(b)</w:t>
      </w:r>
      <w:r>
        <w:tab/>
        <w:t xml:space="preserve">a record comprising RTA Part 6A documentation </w:t>
      </w:r>
      <w:r>
        <w:rPr>
          <w:szCs w:val="23"/>
        </w:rPr>
        <w:t>in the person’s possession or under the person’s control;</w:t>
      </w:r>
    </w:p>
    <w:p>
      <w:pPr>
        <w:pStyle w:val="Indenta"/>
      </w:pPr>
      <w:r>
        <w:lastRenderedPageBreak/>
        <w:tab/>
        <w:t>(c)</w:t>
      </w:r>
      <w:r>
        <w:tab/>
        <w:t>a device or other thing that contains or may contain a record referred to in paragraph (a) or (b), in the person’s possession or under the person’s control.</w:t>
      </w:r>
    </w:p>
    <w:p>
      <w:pPr>
        <w:pStyle w:val="Subsection"/>
      </w:pPr>
      <w:r>
        <w:tab/>
        <w:t>(2)</w:t>
      </w:r>
      <w:r>
        <w:tab/>
        <w:t xml:space="preserve">A direction under subsection (1) must — </w:t>
      </w:r>
    </w:p>
    <w:p>
      <w:pPr>
        <w:pStyle w:val="Indenta"/>
      </w:pPr>
      <w:r>
        <w:tab/>
        <w:t>(a)</w:t>
      </w:r>
      <w:r>
        <w:tab/>
        <w:t xml:space="preserve">specify — </w:t>
      </w:r>
    </w:p>
    <w:p>
      <w:pPr>
        <w:pStyle w:val="Indenti"/>
      </w:pPr>
      <w:r>
        <w:tab/>
        <w:t>(i)</w:t>
      </w:r>
      <w:r>
        <w:tab/>
        <w:t xml:space="preserve">the record, device or other thing to be produced; or </w:t>
      </w:r>
    </w:p>
    <w:p>
      <w:pPr>
        <w:pStyle w:val="Indenti"/>
      </w:pPr>
      <w:r>
        <w:tab/>
        <w:t>(ii)</w:t>
      </w:r>
      <w:r>
        <w:tab/>
        <w:t xml:space="preserve">the classes of record, device or other thing to be produced; </w:t>
      </w:r>
    </w:p>
    <w:p>
      <w:pPr>
        <w:pStyle w:val="Indenta"/>
      </w:pPr>
      <w:r>
        <w:tab/>
      </w:r>
      <w:r>
        <w:tab/>
        <w:t>and</w:t>
      </w:r>
    </w:p>
    <w:p>
      <w:pPr>
        <w:pStyle w:val="Indenta"/>
      </w:pPr>
      <w:r>
        <w:tab/>
        <w:t>(b)</w:t>
      </w:r>
      <w:r>
        <w:tab/>
        <w:t>state where and to whom the record, device or other thing is 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pPr>
      <w:r>
        <w:tab/>
        <w:t>(b)</w:t>
      </w:r>
      <w:r>
        <w:tab/>
        <w:t>make copies of, or take extracts from, a record, device or other thing that is produced;</w:t>
      </w:r>
    </w:p>
    <w:p>
      <w:pPr>
        <w:pStyle w:val="Indenta"/>
      </w:pPr>
      <w:r>
        <w:tab/>
        <w:t>(c)</w:t>
      </w:r>
      <w:r>
        <w:tab/>
        <w:t>seize and remove a record, device or other thing that is produced that the officer reasonably believes may on further inspection provide evidence of an RTA Part 6A offence.</w:t>
      </w:r>
    </w:p>
    <w:p>
      <w:pPr>
        <w:pStyle w:val="Subsection"/>
      </w:pPr>
      <w:r>
        <w:tab/>
        <w:t>(4)</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(5)</w:t>
      </w:r>
      <w:r>
        <w:tab/>
        <w:t xml:space="preserve">In subsection (4) — </w:t>
      </w:r>
    </w:p>
    <w:p>
      <w:pPr>
        <w:pStyle w:val="Defstart"/>
      </w:pPr>
      <w: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 xml:space="preserve">Despite subsection (5), a record, device or other thing produced by a person in compliance with a direction under subsection (1) </w:t>
      </w:r>
      <w:r>
        <w:lastRenderedPageBreak/>
        <w:t>is not admissible in evidence in any proceedings against the person.</w:t>
      </w:r>
    </w:p>
    <w:p>
      <w:pPr>
        <w:pStyle w:val="Footnotesection"/>
      </w:pPr>
      <w:r>
        <w:tab/>
        <w:t>[Section 61C inserted: No. 38 of 2020 s. 14.]</w:t>
      </w:r>
    </w:p>
    <w:p>
      <w:pPr>
        <w:pStyle w:val="Heading5"/>
      </w:pPr>
      <w:bookmarkStart w:id="138" w:name="_Toc100242676"/>
      <w:r>
        <w:rPr>
          <w:rStyle w:val="CharSectno"/>
        </w:rPr>
        <w:t>61D</w:t>
      </w:r>
      <w:r>
        <w:t>.</w:t>
      </w:r>
      <w:r>
        <w:tab/>
        <w:t>Direction to provide information</w:t>
      </w:r>
      <w:bookmarkEnd w:id="138"/>
    </w:p>
    <w:p>
      <w:pPr>
        <w:pStyle w:val="Subsection"/>
      </w:pPr>
      <w:r>
        <w:tab/>
        <w:t>(1)</w:t>
      </w:r>
      <w:r>
        <w:tab/>
        <w:t>A police officer may, for RTA Part 6A compliance purposes, direct a person to provide information to the officer in relation to any matter related to the RTA Part 6A compliance purposes.</w:t>
      </w:r>
    </w:p>
    <w:p>
      <w:pPr>
        <w:pStyle w:val="Subsection"/>
      </w:pPr>
      <w:r>
        <w:tab/>
        <w:t>(2)</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(3)</w:t>
      </w:r>
      <w:r>
        <w:tab/>
        <w:t>A person to whom a direction is given under subsection (1) must not provide information that is false or misleading in a material particular in purported compliance with the direction.</w:t>
      </w:r>
    </w:p>
    <w:p>
      <w:pPr>
        <w:pStyle w:val="Penstart"/>
      </w:pPr>
      <w:r>
        <w:tab/>
        <w:t>Penalty for this subsection: a fine of 100 PU.</w:t>
      </w:r>
    </w:p>
    <w:p>
      <w:pPr>
        <w:pStyle w:val="Subsection"/>
      </w:pPr>
      <w:r>
        <w:tab/>
        <w:t>(4)</w:t>
      </w:r>
      <w:r>
        <w:tab/>
        <w:t xml:space="preserve">In subsection (2) — </w:t>
      </w:r>
    </w:p>
    <w:p>
      <w:pPr>
        <w:pStyle w:val="Defstart"/>
      </w:pPr>
      <w:r>
        <w:tab/>
      </w:r>
      <w:r>
        <w:rPr>
          <w:rStyle w:val="CharDefText"/>
        </w:rPr>
        <w:t>reasonable excuse</w:t>
      </w:r>
      <w:r>
        <w:t xml:space="preserve"> — </w:t>
      </w:r>
    </w:p>
    <w:p>
      <w:pPr>
        <w:pStyle w:val="Defpara"/>
      </w:pPr>
      <w:r>
        <w:tab/>
        <w:t>(a)</w:t>
      </w:r>
      <w:r>
        <w:tab/>
        <w:t xml:space="preserve">includes that the person did not know and could not have been reasonably expected to know or </w:t>
      </w:r>
      <w:r>
        <w:rPr>
          <w:szCs w:val="23"/>
        </w:rPr>
        <w:t>ascertain the required information; but</w:t>
      </w:r>
    </w:p>
    <w:p>
      <w:pPr>
        <w:pStyle w:val="Defpara"/>
      </w:pPr>
      <w:r>
        <w:tab/>
        <w:t>(b)</w:t>
      </w:r>
      <w:r>
        <w:tab/>
        <w:t>does not include the excuse that the required information might tend to incriminate the person or make the person liable to a penalty.</w:t>
      </w:r>
    </w:p>
    <w:p>
      <w:pPr>
        <w:pStyle w:val="Subsection"/>
      </w:pPr>
      <w:r>
        <w:tab/>
        <w:t>(5)</w:t>
      </w:r>
      <w:r>
        <w:tab/>
        <w:t>Despite subsection (4), information provided by a person in compliance with a direction under subsection (1) is not admissible in evidence in any proceedings against the person other than a prosecution for an offence under subsection (3).</w:t>
      </w:r>
    </w:p>
    <w:p>
      <w:pPr>
        <w:pStyle w:val="Footnotesection"/>
      </w:pPr>
      <w:r>
        <w:tab/>
        <w:t>[Section 61D inserted: No. 38 of 2020 s. 14.]</w:t>
      </w:r>
    </w:p>
    <w:p>
      <w:pPr>
        <w:pStyle w:val="Heading5"/>
      </w:pPr>
      <w:bookmarkStart w:id="139" w:name="_Toc100242677"/>
      <w:r>
        <w:rPr>
          <w:rStyle w:val="CharSectno"/>
        </w:rPr>
        <w:lastRenderedPageBreak/>
        <w:t>61E</w:t>
      </w:r>
      <w:r>
        <w:t>.</w:t>
      </w:r>
      <w:r>
        <w:tab/>
        <w:t>Direction to provide reasonable assistance for powers of inspection and search</w:t>
      </w:r>
      <w:bookmarkEnd w:id="139"/>
    </w:p>
    <w:p>
      <w:pPr>
        <w:pStyle w:val="Subsection"/>
      </w:pPr>
      <w:r>
        <w:tab/>
        <w:t>(1)</w:t>
      </w:r>
      <w:r>
        <w:tab/>
        <w:t xml:space="preserve">A police officer may direct a person </w:t>
      </w:r>
      <w:r>
        <w:rPr>
          <w:szCs w:val="23"/>
        </w:rPr>
        <w:t xml:space="preserve">to provide assistance to the officer to enable the officer to effectively exercise a power under </w:t>
      </w:r>
      <w:r>
        <w:t>section 61A or 61B.</w:t>
      </w:r>
    </w:p>
    <w:p>
      <w:pPr>
        <w:pStyle w:val="Subsection"/>
      </w:pPr>
      <w:r>
        <w:tab/>
        <w:t>(2)</w:t>
      </w:r>
      <w:r>
        <w:tab/>
        <w:t xml:space="preserve">A direction under subsection (1) — </w:t>
      </w:r>
    </w:p>
    <w:p>
      <w:pPr>
        <w:pStyle w:val="Indenta"/>
      </w:pPr>
      <w:r>
        <w:tab/>
        <w:t>(a)</w:t>
      </w:r>
      <w:r>
        <w:tab/>
        <w:t xml:space="preserve">can be given in relation to a power under section 61A or 61B </w:t>
      </w:r>
      <w:r>
        <w:rPr>
          <w:szCs w:val="23"/>
        </w:rPr>
        <w:t>only while the power can lawfully be exercised; and</w:t>
      </w:r>
    </w:p>
    <w:p>
      <w:pPr>
        <w:pStyle w:val="Indenta"/>
      </w:pPr>
      <w:r>
        <w:tab/>
        <w:t>(b)</w:t>
      </w:r>
      <w:r>
        <w:tab/>
        <w:t>ceases to have effect when that power is no longer exercisable.</w:t>
      </w:r>
    </w:p>
    <w:p>
      <w:pPr>
        <w:pStyle w:val="Subsection"/>
      </w:pPr>
      <w:r>
        <w:tab/>
        <w:t>(3)</w:t>
      </w:r>
      <w:r>
        <w:tab/>
      </w:r>
      <w:r>
        <w:rPr>
          <w:szCs w:val="23"/>
        </w:rPr>
        <w:t>A person to whom a direction is given</w:t>
      </w:r>
      <w:r>
        <w:t xml:space="preserve"> under subsection (1) must not, without reasonable excuse, fail to comply with </w:t>
      </w:r>
      <w:r>
        <w:rPr>
          <w:szCs w:val="23"/>
        </w:rPr>
        <w:t>the direction.</w:t>
      </w:r>
    </w:p>
    <w:p>
      <w:pPr>
        <w:pStyle w:val="Penstart"/>
      </w:pPr>
      <w:r>
        <w:tab/>
        <w:t>Penalty for this subsection: a fine of 50 PU.</w:t>
      </w:r>
    </w:p>
    <w:p>
      <w:pPr>
        <w:pStyle w:val="Subsection"/>
      </w:pPr>
      <w:r>
        <w:tab/>
        <w:t>(4)</w:t>
      </w:r>
      <w:r>
        <w:tab/>
        <w:t>In subsection (3)</w:t>
      </w:r>
      <w:r>
        <w:rPr>
          <w:szCs w:val="23"/>
        </w:rPr>
        <w:t xml:space="preserve"> — </w:t>
      </w:r>
    </w:p>
    <w:p>
      <w:pPr>
        <w:pStyle w:val="Defstart"/>
      </w:pPr>
      <w:r>
        <w:tab/>
      </w:r>
      <w:r>
        <w:rPr>
          <w:rStyle w:val="CharDefText"/>
        </w:rPr>
        <w:t>reasonable excuse</w:t>
      </w:r>
      <w:r>
        <w:t xml:space="preserve"> — </w:t>
      </w:r>
    </w:p>
    <w:p>
      <w:pPr>
        <w:pStyle w:val="Defpara"/>
      </w:pPr>
      <w:r>
        <w:tab/>
        <w:t>(a)</w:t>
      </w:r>
      <w:r>
        <w:tab/>
        <w:t xml:space="preserve">includes — </w:t>
      </w:r>
    </w:p>
    <w:p>
      <w:pPr>
        <w:pStyle w:val="Defsubpara"/>
      </w:pPr>
      <w:r>
        <w:tab/>
        <w:t>(i)</w:t>
      </w:r>
      <w:r>
        <w:tab/>
        <w:t>that the direction was unreasonable; or</w:t>
      </w:r>
    </w:p>
    <w:p>
      <w:pPr>
        <w:pStyle w:val="Defsubpara"/>
      </w:pPr>
      <w:r>
        <w:tab/>
        <w:t>(ii)</w:t>
      </w:r>
      <w:r>
        <w:tab/>
        <w:t>that the direction or its subject matter was outside the scope of the business or other activities of the person;</w:t>
      </w:r>
    </w:p>
    <w:p>
      <w:pPr>
        <w:pStyle w:val="Defpara"/>
      </w:pPr>
      <w:r>
        <w:tab/>
      </w:r>
      <w:r>
        <w:tab/>
        <w:t>but</w:t>
      </w:r>
    </w:p>
    <w:p>
      <w:pPr>
        <w:pStyle w:val="Defpara"/>
      </w:pPr>
      <w:r>
        <w:tab/>
        <w:t>(b)</w:t>
      </w:r>
      <w:r>
        <w:tab/>
        <w:t>does not include the excuse that the assistance may result in information being provided that might tend to incriminate the person or make the person liable to a penalty.</w:t>
      </w:r>
    </w:p>
    <w:p>
      <w:pPr>
        <w:pStyle w:val="Subsection"/>
      </w:pPr>
      <w:r>
        <w:tab/>
        <w:t>(5)</w:t>
      </w:r>
      <w:r>
        <w:tab/>
        <w:t>Despite subsection (4), information that resulted from the assistance provided by a person in compliance with a direction under subsection (1) is not admissible in evidence in any proceedings against the person.</w:t>
      </w:r>
    </w:p>
    <w:p>
      <w:pPr>
        <w:pStyle w:val="Footnotesection"/>
      </w:pPr>
      <w:r>
        <w:tab/>
        <w:t>[Section 61E inserted: No. 38 of 2020 s. 14.]</w:t>
      </w:r>
    </w:p>
    <w:p>
      <w:pPr>
        <w:pStyle w:val="Heading5"/>
      </w:pPr>
      <w:bookmarkStart w:id="140" w:name="_Toc100242678"/>
      <w:r>
        <w:rPr>
          <w:rStyle w:val="CharSectno"/>
        </w:rPr>
        <w:lastRenderedPageBreak/>
        <w:t>61F</w:t>
      </w:r>
      <w:r>
        <w:t>.</w:t>
      </w:r>
      <w:r>
        <w:tab/>
        <w:t>Directions under this Division</w:t>
      </w:r>
      <w:bookmarkEnd w:id="140"/>
    </w:p>
    <w:p>
      <w:pPr>
        <w:pStyle w:val="Subsection"/>
      </w:pPr>
      <w:r>
        <w:tab/>
      </w:r>
      <w:r>
        <w:tab/>
        <w:t>Sections 60 and 61 apply to a direction under this Division as if the direction were a direction under Division 6.</w:t>
      </w:r>
    </w:p>
    <w:p>
      <w:pPr>
        <w:pStyle w:val="Footnotesection"/>
      </w:pPr>
      <w:r>
        <w:tab/>
        <w:t>[Section 61F inserted: No. 38 of 2020 s. 14.]</w:t>
      </w:r>
    </w:p>
    <w:p>
      <w:pPr>
        <w:pStyle w:val="Heading3"/>
        <w:spacing w:before="220"/>
      </w:pPr>
      <w:bookmarkStart w:id="141" w:name="_Toc100234287"/>
      <w:bookmarkStart w:id="142" w:name="_Toc100234517"/>
      <w:bookmarkStart w:id="143" w:name="_Toc100236097"/>
      <w:bookmarkStart w:id="144" w:name="_Toc100242679"/>
      <w:r>
        <w:rPr>
          <w:rStyle w:val="CharDivNo"/>
        </w:rPr>
        <w:t>Division 7</w:t>
      </w:r>
      <w:r>
        <w:t> — </w:t>
      </w:r>
      <w:r>
        <w:rPr>
          <w:rStyle w:val="CharDivText"/>
        </w:rPr>
        <w:t>Warrants to enter premises for MDLR compliance purposes or RTA Part 6A compliance purposes</w:t>
      </w:r>
      <w:bookmarkEnd w:id="141"/>
      <w:bookmarkEnd w:id="142"/>
      <w:bookmarkEnd w:id="143"/>
      <w:bookmarkEnd w:id="144"/>
    </w:p>
    <w:p>
      <w:pPr>
        <w:pStyle w:val="Footnoteheading"/>
      </w:pPr>
      <w:r>
        <w:tab/>
        <w:t>[Heading amended: No. 38 of 2020 s. 15.]</w:t>
      </w:r>
    </w:p>
    <w:p>
      <w:pPr>
        <w:pStyle w:val="Heading5"/>
      </w:pPr>
      <w:bookmarkStart w:id="145" w:name="_Toc100242680"/>
      <w:r>
        <w:rPr>
          <w:rStyle w:val="CharSectno"/>
        </w:rPr>
        <w:t>62</w:t>
      </w:r>
      <w:r>
        <w:t>.</w:t>
      </w:r>
      <w:r>
        <w:tab/>
        <w:t>Terms used</w:t>
      </w:r>
      <w:bookmarkEnd w:id="145"/>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46" w:name="_Toc100242681"/>
      <w:r>
        <w:rPr>
          <w:rStyle w:val="CharSectno"/>
        </w:rPr>
        <w:t>63</w:t>
      </w:r>
      <w:r>
        <w:t>.</w:t>
      </w:r>
      <w:r>
        <w:tab/>
        <w:t>Warrant, grounds for application</w:t>
      </w:r>
      <w:bookmarkEnd w:id="146"/>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or RTA Part 6A compliance purposes in respect of which it is desired to search the premises; and</w:t>
      </w:r>
    </w:p>
    <w:p>
      <w:pPr>
        <w:pStyle w:val="Indenta"/>
        <w:keepNext/>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or in paragraph (a) of the </w:t>
      </w:r>
      <w:r>
        <w:lastRenderedPageBreak/>
        <w:t xml:space="preserve">definition of </w:t>
      </w:r>
      <w:r>
        <w:rPr>
          <w:b/>
          <w:i/>
        </w:rPr>
        <w:t>RTA Part 6A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Footnotesection"/>
      </w:pPr>
      <w:r>
        <w:tab/>
        <w:t>[Section 63 amended: No. 38 of 2020 s. 16.]</w:t>
      </w:r>
    </w:p>
    <w:p>
      <w:pPr>
        <w:pStyle w:val="Heading5"/>
      </w:pPr>
      <w:bookmarkStart w:id="147" w:name="_Toc100242682"/>
      <w:r>
        <w:rPr>
          <w:rStyle w:val="CharSectno"/>
        </w:rPr>
        <w:t>64</w:t>
      </w:r>
      <w:r>
        <w:t>.</w:t>
      </w:r>
      <w:r>
        <w:tab/>
        <w:t>Warrant, manner of application</w:t>
      </w:r>
      <w:bookmarkEnd w:id="147"/>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lastRenderedPageBreak/>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lastRenderedPageBreak/>
        <w:tab/>
        <w:t>(7)</w:t>
      </w:r>
      <w:r>
        <w:tab/>
        <w:t>The copy of the original warrant sent, or the form of the warrant completed, as the case may be, under subsection (6) has the same force and effect as the original warrant.</w:t>
      </w:r>
    </w:p>
    <w:p>
      <w:pPr>
        <w:pStyle w:val="Heading5"/>
      </w:pPr>
      <w:bookmarkStart w:id="148" w:name="_Toc100242683"/>
      <w:r>
        <w:rPr>
          <w:rStyle w:val="CharSectno"/>
        </w:rPr>
        <w:t>65</w:t>
      </w:r>
      <w:r>
        <w:t>.</w:t>
      </w:r>
      <w:r>
        <w:tab/>
        <w:t>Warrant, issue of</w:t>
      </w:r>
      <w:bookmarkEnd w:id="148"/>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149" w:name="_Toc100242684"/>
      <w:r>
        <w:rPr>
          <w:rStyle w:val="CharSectno"/>
        </w:rPr>
        <w:t>66</w:t>
      </w:r>
      <w:r>
        <w:t>.</w:t>
      </w:r>
      <w:r>
        <w:tab/>
        <w:t>Warrant, duration and execution of</w:t>
      </w:r>
      <w:bookmarkEnd w:id="149"/>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 xml:space="preserve">A warrant must be executed between 6 a.m. and 9 p.m. unless the officer executing it reasonably suspects that if it were, the </w:t>
      </w:r>
      <w:r>
        <w:lastRenderedPageBreak/>
        <w:t>safety of any person, including the officer, may be endangered or the effectiveness of the proposed search may be jeopardised.</w:t>
      </w:r>
    </w:p>
    <w:p>
      <w:pPr>
        <w:pStyle w:val="Subsection"/>
        <w:keepNext/>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150" w:name="_Toc100234293"/>
      <w:bookmarkStart w:id="151" w:name="_Toc100234523"/>
      <w:bookmarkStart w:id="152" w:name="_Toc100236103"/>
      <w:bookmarkStart w:id="153" w:name="_Toc100242685"/>
      <w:r>
        <w:rPr>
          <w:rStyle w:val="CharDivNo"/>
        </w:rPr>
        <w:t>Division 8</w:t>
      </w:r>
      <w:r>
        <w:t> — </w:t>
      </w:r>
      <w:r>
        <w:rPr>
          <w:rStyle w:val="CharDivText"/>
        </w:rPr>
        <w:t>Other provisions regarding inspections and searches for MDLR compliance purposes or RTA Part 6A compliance purposes</w:t>
      </w:r>
      <w:bookmarkEnd w:id="150"/>
      <w:bookmarkEnd w:id="151"/>
      <w:bookmarkEnd w:id="152"/>
      <w:bookmarkEnd w:id="153"/>
    </w:p>
    <w:p>
      <w:pPr>
        <w:pStyle w:val="Footnoteheading"/>
      </w:pPr>
      <w:r>
        <w:tab/>
        <w:t>[Heading amended: No. 38 of 2020 s. 17.]</w:t>
      </w:r>
    </w:p>
    <w:p>
      <w:pPr>
        <w:pStyle w:val="Heading5"/>
      </w:pPr>
      <w:bookmarkStart w:id="154" w:name="_Toc100242686"/>
      <w:r>
        <w:rPr>
          <w:rStyle w:val="CharSectno"/>
        </w:rPr>
        <w:t>67</w:t>
      </w:r>
      <w:r>
        <w:t>.</w:t>
      </w:r>
      <w:r>
        <w:tab/>
        <w:t>Use of assistants and equipment</w:t>
      </w:r>
      <w:bookmarkEnd w:id="154"/>
    </w:p>
    <w:p>
      <w:pPr>
        <w:pStyle w:val="Subsection"/>
      </w:pPr>
      <w:r>
        <w:tab/>
        <w:t>(1)</w:t>
      </w:r>
      <w:r>
        <w:tab/>
        <w:t>A police officer may exercise powers under Division 5 or 6A with the aid of such assistants and equipment as the officer considers reasonably necessary in the circumstances.</w:t>
      </w:r>
    </w:p>
    <w:p>
      <w:pPr>
        <w:pStyle w:val="Subsection"/>
      </w:pPr>
      <w:r>
        <w:tab/>
        <w:t>(2)</w:t>
      </w:r>
      <w:r>
        <w:tab/>
        <w:t xml:space="preserve">Powers that may be exercised by a police officer under Division 5 or 6A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Footnotesection"/>
      </w:pPr>
      <w:r>
        <w:tab/>
        <w:t>[Section 67 amended: No. 38 of 2020 s. 18.]</w:t>
      </w:r>
    </w:p>
    <w:p>
      <w:pPr>
        <w:pStyle w:val="Heading5"/>
        <w:spacing w:before="180"/>
      </w:pPr>
      <w:bookmarkStart w:id="155" w:name="_Toc100242687"/>
      <w:r>
        <w:rPr>
          <w:rStyle w:val="CharSectno"/>
        </w:rPr>
        <w:t>68</w:t>
      </w:r>
      <w:r>
        <w:t>.</w:t>
      </w:r>
      <w:r>
        <w:tab/>
        <w:t>Use of equipment to examine or process things</w:t>
      </w:r>
      <w:bookmarkEnd w:id="155"/>
    </w:p>
    <w:p>
      <w:pPr>
        <w:pStyle w:val="Subsection"/>
        <w:rPr>
          <w:szCs w:val="23"/>
        </w:rPr>
      </w:pPr>
      <w:r>
        <w:tab/>
        <w:t>(1)</w:t>
      </w:r>
      <w:r>
        <w:tab/>
        <w:t xml:space="preserve">Without limiting section 67, a police officer exercising a power under Division 5 or 6A may bring to, or on to, a vehicle or </w:t>
      </w:r>
      <w:r>
        <w:lastRenderedPageBreak/>
        <w:t xml:space="preserve">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Footnotesection"/>
      </w:pPr>
      <w:r>
        <w:tab/>
        <w:t>[Section 68 amended: No. 38 of 2020 s. 19.]</w:t>
      </w:r>
    </w:p>
    <w:p>
      <w:pPr>
        <w:pStyle w:val="Heading5"/>
        <w:spacing w:before="180"/>
      </w:pPr>
      <w:bookmarkStart w:id="156" w:name="_Toc100242688"/>
      <w:r>
        <w:rPr>
          <w:rStyle w:val="CharSectno"/>
        </w:rPr>
        <w:t>69</w:t>
      </w:r>
      <w:r>
        <w:t>.</w:t>
      </w:r>
      <w:r>
        <w:tab/>
        <w:t>Use or seizure of electronic equipment</w:t>
      </w:r>
      <w:bookmarkEnd w:id="156"/>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lastRenderedPageBreak/>
        <w:tab/>
        <w:t>(c)</w:t>
      </w:r>
      <w:r>
        <w:tab/>
        <w:t>the police officer reasonably believes that the information may provide evidence of an MDLR offence or an RTA Part 6A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Footnotesection"/>
      </w:pPr>
      <w:r>
        <w:tab/>
        <w:t>[Section 69 amended: No. 38 of 2020 s. 20.]</w:t>
      </w:r>
    </w:p>
    <w:p>
      <w:pPr>
        <w:pStyle w:val="Heading3"/>
      </w:pPr>
      <w:bookmarkStart w:id="157" w:name="_Toc100234297"/>
      <w:bookmarkStart w:id="158" w:name="_Toc100234527"/>
      <w:bookmarkStart w:id="159" w:name="_Toc100236107"/>
      <w:bookmarkStart w:id="160" w:name="_Toc100242689"/>
      <w:r>
        <w:rPr>
          <w:rStyle w:val="CharDivNo"/>
        </w:rPr>
        <w:t>Division 9</w:t>
      </w:r>
      <w:r>
        <w:t> — </w:t>
      </w:r>
      <w:r>
        <w:rPr>
          <w:rStyle w:val="CharDivText"/>
        </w:rPr>
        <w:t>Other provisions regarding seizure for MDLR compliance purposes or RTA Part 6A compliance purposes</w:t>
      </w:r>
      <w:bookmarkEnd w:id="157"/>
      <w:bookmarkEnd w:id="158"/>
      <w:bookmarkEnd w:id="159"/>
      <w:bookmarkEnd w:id="160"/>
    </w:p>
    <w:p>
      <w:pPr>
        <w:pStyle w:val="Footnoteheading"/>
        <w:keepNext/>
      </w:pPr>
      <w:r>
        <w:tab/>
        <w:t>[Heading amended: No. 38 of 2020 s. 21.]</w:t>
      </w:r>
    </w:p>
    <w:p>
      <w:pPr>
        <w:pStyle w:val="Heading5"/>
      </w:pPr>
      <w:bookmarkStart w:id="161" w:name="_Toc100242690"/>
      <w:r>
        <w:rPr>
          <w:rStyle w:val="CharSectno"/>
        </w:rPr>
        <w:t>70</w:t>
      </w:r>
      <w:r>
        <w:t>.</w:t>
      </w:r>
      <w:r>
        <w:tab/>
        <w:t>Seized material: receipts, copies, access to originals</w:t>
      </w:r>
      <w:bookmarkEnd w:id="161"/>
    </w:p>
    <w:p>
      <w:pPr>
        <w:pStyle w:val="Subsection"/>
        <w:keepNext/>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lastRenderedPageBreak/>
        <w:tab/>
        <w:t>(2)</w:t>
      </w:r>
      <w:r>
        <w:tab/>
        <w:t>A police officer who seizes and removes a record, device or other thing under Division 5, 6, 6A or 6B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 amended: No. 38 of 2020 s. 22.]</w:t>
      </w:r>
    </w:p>
    <w:p>
      <w:pPr>
        <w:pStyle w:val="Heading5"/>
      </w:pPr>
      <w:bookmarkStart w:id="162" w:name="_Toc100242691"/>
      <w:r>
        <w:rPr>
          <w:rStyle w:val="CharSectno"/>
        </w:rPr>
        <w:t>71</w:t>
      </w:r>
      <w:r>
        <w:t>.</w:t>
      </w:r>
      <w:r>
        <w:tab/>
        <w:t>Embargo notices</w:t>
      </w:r>
      <w:bookmarkEnd w:id="162"/>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w:t>
      </w:r>
      <w:r>
        <w:t>5, 6, 6A or 6B; and</w:t>
      </w:r>
    </w:p>
    <w:p>
      <w:pPr>
        <w:pStyle w:val="Indenta"/>
        <w:rPr>
          <w:szCs w:val="23"/>
        </w:rPr>
      </w:pPr>
      <w:r>
        <w:tab/>
        <w:t>(b)</w:t>
      </w:r>
      <w:r>
        <w:tab/>
        <w:t xml:space="preserve">the record, device or other thing cannot, or cannot readily, be </w:t>
      </w:r>
      <w:r>
        <w:rPr>
          <w:szCs w:val="23"/>
        </w:rPr>
        <w:t>physically seized and removed.</w:t>
      </w:r>
    </w:p>
    <w:p>
      <w:pPr>
        <w:pStyle w:val="Subsection"/>
        <w:keepNext/>
        <w:rPr>
          <w:szCs w:val="23"/>
        </w:rPr>
      </w:pPr>
      <w:r>
        <w:tab/>
        <w:t>(2)</w:t>
      </w:r>
      <w:r>
        <w:tab/>
        <w:t xml:space="preserve">An embargo notice may prohibit a person from such of the following activities as are listed in the notice unless the person </w:t>
      </w:r>
      <w:r>
        <w:lastRenderedPageBreak/>
        <w:t xml:space="preserve">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 or subsections (5A) and (7A), whichever are applicable.</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If an embargo notice (an </w:t>
      </w:r>
      <w:r>
        <w:rPr>
          <w:rStyle w:val="CharDefText"/>
        </w:rPr>
        <w:t>MDLR embargo notice</w:t>
      </w:r>
      <w:r>
        <w:t xml:space="preserve">) is issued in relation to a record, device or other thing that a police officer is authorised to seize under Division 5 or 6, a person commits an offence if the person knows that the embargo notice relates to the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for this subsection: a fine of 100 PU.</w:t>
      </w:r>
    </w:p>
    <w:p>
      <w:pPr>
        <w:pStyle w:val="Subsection"/>
      </w:pPr>
      <w:r>
        <w:lastRenderedPageBreak/>
        <w:tab/>
        <w:t>(5A)</w:t>
      </w:r>
      <w:r>
        <w:tab/>
        <w:t xml:space="preserve">If an embargo notice (an </w:t>
      </w:r>
      <w:r>
        <w:rPr>
          <w:rStyle w:val="CharDefText"/>
        </w:rPr>
        <w:t>RTA Part 6A embargo notice</w:t>
      </w:r>
      <w:r>
        <w:t xml:space="preserve">) is issued in relation to a record, device or other thing that a police officer is authorised to seize under Division 6A or 6B, a person commits an offence if the person knows that the embargo notice relates to the record, device or other thing and the person — </w:t>
      </w:r>
    </w:p>
    <w:p>
      <w:pPr>
        <w:pStyle w:val="Indenta"/>
      </w:pPr>
      <w:r>
        <w:tab/>
        <w:t>(a)</w:t>
      </w:r>
      <w:r>
        <w:tab/>
        <w:t>does anything that is prohibited by the notice;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first-mentioned person from doing.</w:t>
      </w:r>
    </w:p>
    <w:p>
      <w:pPr>
        <w:pStyle w:val="Penstart"/>
      </w:pPr>
      <w:r>
        <w:tab/>
        <w:t>Penalty for this subsection: a fine of 100 PU.</w:t>
      </w:r>
    </w:p>
    <w:p>
      <w:pPr>
        <w:pStyle w:val="Subsection"/>
        <w:keepNext/>
        <w:rPr>
          <w:szCs w:val="23"/>
        </w:rPr>
      </w:pPr>
      <w:r>
        <w:tab/>
        <w:t>(6)</w:t>
      </w:r>
      <w:r>
        <w:tab/>
        <w:t>In a prosecution for an offence under subsection (5) or (5A)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MDLR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for this subsection: a fine of 100 PU.</w:t>
      </w:r>
    </w:p>
    <w:p>
      <w:pPr>
        <w:pStyle w:val="Subsection"/>
      </w:pPr>
      <w:r>
        <w:tab/>
        <w:t>(7A)</w:t>
      </w:r>
      <w:r>
        <w:tab/>
        <w:t xml:space="preserve">A person commits an offence if — </w:t>
      </w:r>
    </w:p>
    <w:p>
      <w:pPr>
        <w:pStyle w:val="Indenta"/>
      </w:pPr>
      <w:r>
        <w:tab/>
        <w:t>(a)</w:t>
      </w:r>
      <w:r>
        <w:tab/>
        <w:t>an RTA Part 6A embargo notice has been served on the person; and</w:t>
      </w:r>
    </w:p>
    <w:p>
      <w:pPr>
        <w:pStyle w:val="Indenta"/>
      </w:pPr>
      <w:r>
        <w:tab/>
        <w:t>(b)</w:t>
      </w:r>
      <w:r>
        <w:tab/>
        <w:t>the person fails to take reasonable steps to prevent any other person from doing anything forbidden by the notice.</w:t>
      </w:r>
    </w:p>
    <w:p>
      <w:pPr>
        <w:pStyle w:val="Penstart"/>
      </w:pPr>
      <w:r>
        <w:tab/>
        <w:t>Penalty for this subsection: a fine of 100 PU.</w:t>
      </w:r>
    </w:p>
    <w:p>
      <w:pPr>
        <w:pStyle w:val="Subsection"/>
        <w:rPr>
          <w:szCs w:val="23"/>
        </w:rPr>
      </w:pPr>
      <w:r>
        <w:lastRenderedPageBreak/>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Footnotesection"/>
      </w:pPr>
      <w:r>
        <w:tab/>
        <w:t>[Section 71 amended: No. 38 of 2020 s. 23.]</w:t>
      </w:r>
    </w:p>
    <w:p>
      <w:pPr>
        <w:pStyle w:val="Heading3"/>
        <w:spacing w:before="220"/>
      </w:pPr>
      <w:bookmarkStart w:id="163" w:name="_Toc100234300"/>
      <w:bookmarkStart w:id="164" w:name="_Toc100234530"/>
      <w:bookmarkStart w:id="165" w:name="_Toc100236110"/>
      <w:bookmarkStart w:id="166" w:name="_Toc100242692"/>
      <w:r>
        <w:rPr>
          <w:rStyle w:val="CharDivNo"/>
        </w:rPr>
        <w:t>Division 10</w:t>
      </w:r>
      <w:r>
        <w:t> — </w:t>
      </w:r>
      <w:r>
        <w:rPr>
          <w:rStyle w:val="CharDivText"/>
        </w:rPr>
        <w:t>Miscellaneous</w:t>
      </w:r>
      <w:bookmarkEnd w:id="163"/>
      <w:bookmarkEnd w:id="164"/>
      <w:bookmarkEnd w:id="165"/>
      <w:bookmarkEnd w:id="166"/>
    </w:p>
    <w:p>
      <w:pPr>
        <w:pStyle w:val="Heading5"/>
      </w:pPr>
      <w:bookmarkStart w:id="167" w:name="_Toc100242693"/>
      <w:r>
        <w:rPr>
          <w:rStyle w:val="CharSectno"/>
        </w:rPr>
        <w:t>72</w:t>
      </w:r>
      <w:r>
        <w:t>.</w:t>
      </w:r>
      <w:r>
        <w:tab/>
        <w:t>Power to use force against persons to be exercised only by police officers</w:t>
      </w:r>
      <w:bookmarkEnd w:id="167"/>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168" w:name="_Toc100242694"/>
      <w:r>
        <w:rPr>
          <w:rStyle w:val="CharSectno"/>
        </w:rPr>
        <w:t>73</w:t>
      </w:r>
      <w:r>
        <w:t>.</w:t>
      </w:r>
      <w:r>
        <w:tab/>
        <w:t>Consent</w:t>
      </w:r>
      <w:bookmarkEnd w:id="168"/>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169" w:name="_Toc100242695"/>
      <w:r>
        <w:rPr>
          <w:rStyle w:val="CharSectno"/>
        </w:rPr>
        <w:t>74</w:t>
      </w:r>
      <w:r>
        <w:t>.</w:t>
      </w:r>
      <w:r>
        <w:tab/>
        <w:t>Occupier’s rights</w:t>
      </w:r>
      <w:bookmarkEnd w:id="169"/>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lastRenderedPageBreak/>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(including under any of those sections as applied by section 61A(4) or 61B(6)),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(including under any of those sections as applied by section 61A(4) or 61B(6)),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lastRenderedPageBreak/>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(including under any of those sections as applied by section 61A(4) or 61B(6)),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Footnotesection"/>
      </w:pPr>
      <w:r>
        <w:tab/>
        <w:t>[Section 74 amended: No. 38 of 2020 s. 24.]</w:t>
      </w:r>
    </w:p>
    <w:p>
      <w:pPr>
        <w:pStyle w:val="Heading5"/>
        <w:spacing w:before="120"/>
      </w:pPr>
      <w:bookmarkStart w:id="170" w:name="_Toc100242696"/>
      <w:r>
        <w:rPr>
          <w:rStyle w:val="CharSectno"/>
        </w:rPr>
        <w:t>75</w:t>
      </w:r>
      <w:r>
        <w:t>.</w:t>
      </w:r>
      <w:r>
        <w:tab/>
        <w:t>Directions may be given under more than one provision</w:t>
      </w:r>
      <w:bookmarkEnd w:id="170"/>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keepNext/>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171" w:name="_Toc100242697"/>
      <w:r>
        <w:rPr>
          <w:rStyle w:val="CharSectno"/>
        </w:rPr>
        <w:lastRenderedPageBreak/>
        <w:t>76</w:t>
      </w:r>
      <w:r>
        <w:t>.</w:t>
      </w:r>
      <w:r>
        <w:tab/>
        <w:t>Defence of compliance with direction</w:t>
      </w:r>
      <w:bookmarkEnd w:id="171"/>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172" w:name="_Toc100242698"/>
      <w:r>
        <w:rPr>
          <w:rStyle w:val="CharSectno"/>
        </w:rPr>
        <w:t>77</w:t>
      </w:r>
      <w:r>
        <w:t>.</w:t>
      </w:r>
      <w:r>
        <w:tab/>
        <w:t>Restoring vehicle or premises to original condition after action taken</w:t>
      </w:r>
      <w:bookmarkEnd w:id="172"/>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173" w:name="_Toc100242699"/>
      <w:r>
        <w:rPr>
          <w:rStyle w:val="CharSectno"/>
        </w:rPr>
        <w:t>78</w:t>
      </w:r>
      <w:r>
        <w:t>.</w:t>
      </w:r>
      <w:r>
        <w:tab/>
        <w:t>Providing evidence to other authorities</w:t>
      </w:r>
      <w:bookmarkEnd w:id="173"/>
    </w:p>
    <w:p>
      <w:pPr>
        <w:pStyle w:val="Subsection"/>
        <w:rPr>
          <w:szCs w:val="23"/>
        </w:rPr>
      </w:pPr>
      <w:r>
        <w:tab/>
      </w:r>
      <w:r>
        <w:tab/>
        <w:t xml:space="preserve">Any record, device or other thing seized, or any information obtained, under Division 5, 6, 6A or 6B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Footnotesection"/>
      </w:pPr>
      <w:r>
        <w:tab/>
        <w:t>[Section 78 amended: No. 38 of 2020 s. 25.]</w:t>
      </w:r>
    </w:p>
    <w:p>
      <w:pPr>
        <w:pStyle w:val="Heading2"/>
      </w:pPr>
      <w:bookmarkStart w:id="174" w:name="_Toc100234308"/>
      <w:bookmarkStart w:id="175" w:name="_Toc100234538"/>
      <w:bookmarkStart w:id="176" w:name="_Toc100236118"/>
      <w:bookmarkStart w:id="177" w:name="_Toc100242700"/>
      <w:r>
        <w:rPr>
          <w:rStyle w:val="CharPartNo"/>
        </w:rPr>
        <w:lastRenderedPageBreak/>
        <w:t>Part 5</w:t>
      </w:r>
      <w:r>
        <w:t> — </w:t>
      </w:r>
      <w:r>
        <w:rPr>
          <w:rStyle w:val="CharPartText"/>
        </w:rPr>
        <w:t>Infringement notices</w:t>
      </w:r>
      <w:bookmarkEnd w:id="174"/>
      <w:bookmarkEnd w:id="175"/>
      <w:bookmarkEnd w:id="176"/>
      <w:bookmarkEnd w:id="177"/>
    </w:p>
    <w:p>
      <w:pPr>
        <w:pStyle w:val="Heading3"/>
      </w:pPr>
      <w:bookmarkStart w:id="178" w:name="_Toc100234309"/>
      <w:bookmarkStart w:id="179" w:name="_Toc100234539"/>
      <w:bookmarkStart w:id="180" w:name="_Toc100236119"/>
      <w:bookmarkStart w:id="181" w:name="_Toc100242701"/>
      <w:r>
        <w:rPr>
          <w:rStyle w:val="CharDivNo"/>
        </w:rPr>
        <w:t>Division 1</w:t>
      </w:r>
      <w:r>
        <w:t> — </w:t>
      </w:r>
      <w:r>
        <w:rPr>
          <w:rStyle w:val="CharDivText"/>
        </w:rPr>
        <w:t>Infringement notices generally</w:t>
      </w:r>
      <w:bookmarkEnd w:id="178"/>
      <w:bookmarkEnd w:id="179"/>
      <w:bookmarkEnd w:id="180"/>
      <w:bookmarkEnd w:id="181"/>
    </w:p>
    <w:p>
      <w:pPr>
        <w:pStyle w:val="Heading5"/>
        <w:rPr>
          <w:snapToGrid w:val="0"/>
        </w:rPr>
      </w:pPr>
      <w:bookmarkStart w:id="182" w:name="_Toc100242702"/>
      <w:r>
        <w:rPr>
          <w:rStyle w:val="CharSectno"/>
        </w:rPr>
        <w:t>79</w:t>
      </w:r>
      <w:r>
        <w:t>.</w:t>
      </w:r>
      <w:r>
        <w:tab/>
        <w:t>I</w:t>
      </w:r>
      <w:r>
        <w:rPr>
          <w:snapToGrid w:val="0"/>
        </w:rPr>
        <w:t>nfringement notices</w:t>
      </w:r>
      <w:bookmarkEnd w:id="182"/>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183" w:name="_Toc100242703"/>
      <w:r>
        <w:rPr>
          <w:rStyle w:val="CharSectno"/>
        </w:rPr>
        <w:t>80</w:t>
      </w:r>
      <w:r>
        <w:t>.</w:t>
      </w:r>
      <w:r>
        <w:tab/>
        <w:t>Service of infringement notices</w:t>
      </w:r>
      <w:bookmarkEnd w:id="183"/>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184" w:name="_Toc100242704"/>
      <w:r>
        <w:rPr>
          <w:rStyle w:val="CharSectno"/>
        </w:rPr>
        <w:t>81</w:t>
      </w:r>
      <w:r>
        <w:t>.</w:t>
      </w:r>
      <w:r>
        <w:tab/>
        <w:t>Infringement notices for not applying for transfer of vehicle licence</w:t>
      </w:r>
      <w:bookmarkEnd w:id="184"/>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lastRenderedPageBreak/>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No. 8 of 2012 s. 232.]</w:t>
      </w:r>
    </w:p>
    <w:p>
      <w:pPr>
        <w:pStyle w:val="Heading5"/>
      </w:pPr>
      <w:bookmarkStart w:id="185" w:name="_Toc100242705"/>
      <w:r>
        <w:rPr>
          <w:rStyle w:val="CharSectno"/>
        </w:rPr>
        <w:t>82</w:t>
      </w:r>
      <w:r>
        <w:t>.</w:t>
      </w:r>
      <w:r>
        <w:tab/>
        <w:t>Declining to be dealt with under this Division</w:t>
      </w:r>
      <w:bookmarkEnd w:id="185"/>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186" w:name="_Toc100242706"/>
      <w:r>
        <w:rPr>
          <w:rStyle w:val="CharSectno"/>
        </w:rPr>
        <w:t>83</w:t>
      </w:r>
      <w:r>
        <w:t>.</w:t>
      </w:r>
      <w:r>
        <w:tab/>
        <w:t>Withdrawal of infringement notices</w:t>
      </w:r>
      <w:bookmarkEnd w:id="186"/>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ageBreakBefore/>
        <w:spacing w:before="0"/>
      </w:pPr>
      <w:bookmarkStart w:id="187" w:name="_Toc100242707"/>
      <w:r>
        <w:rPr>
          <w:rStyle w:val="CharSectno"/>
        </w:rPr>
        <w:lastRenderedPageBreak/>
        <w:t>84</w:t>
      </w:r>
      <w:r>
        <w:t>.</w:t>
      </w:r>
      <w:r>
        <w:tab/>
        <w:t>Effect of payment of prescribed penalty</w:t>
      </w:r>
      <w:bookmarkEnd w:id="187"/>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rPr>
          <w:spacing w:val="-6"/>
        </w:rPr>
      </w:pPr>
      <w:r>
        <w:tab/>
      </w:r>
      <w:r>
        <w:rPr>
          <w:spacing w:val="-6"/>
        </w:rPr>
        <w:t>[Section 84 amended: No. 8 of 2012 s. 232; No. 25 of 2016 s. 17.]</w:t>
      </w:r>
    </w:p>
    <w:p>
      <w:pPr>
        <w:pStyle w:val="Heading5"/>
      </w:pPr>
      <w:bookmarkStart w:id="188" w:name="_Toc100242708"/>
      <w:r>
        <w:rPr>
          <w:rStyle w:val="CharSectno"/>
        </w:rPr>
        <w:t>85</w:t>
      </w:r>
      <w:r>
        <w:t>.</w:t>
      </w:r>
      <w:r>
        <w:tab/>
        <w:t>Regulations as to infringement notices</w:t>
      </w:r>
      <w:bookmarkEnd w:id="188"/>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 xml:space="preserve">by setting out the offences or by reference to the provision creating the offence or by reference to all or </w:t>
      </w:r>
      <w:r>
        <w:rPr>
          <w:snapToGrid w:val="0"/>
        </w:rPr>
        <w:lastRenderedPageBreak/>
        <w:t>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No. 8 of 2012 s. 232; No. 10 of 2015 s. 7.]</w:t>
      </w:r>
    </w:p>
    <w:p>
      <w:pPr>
        <w:pStyle w:val="Heading3"/>
        <w:spacing w:before="200"/>
      </w:pPr>
      <w:bookmarkStart w:id="189" w:name="_Toc100234317"/>
      <w:bookmarkStart w:id="190" w:name="_Toc100234547"/>
      <w:bookmarkStart w:id="191" w:name="_Toc100236127"/>
      <w:bookmarkStart w:id="192" w:name="_Toc100242709"/>
      <w:r>
        <w:rPr>
          <w:rStyle w:val="CharDivNo"/>
        </w:rPr>
        <w:t>Division 2</w:t>
      </w:r>
      <w:r>
        <w:t> — </w:t>
      </w:r>
      <w:r>
        <w:rPr>
          <w:rStyle w:val="CharDivText"/>
        </w:rPr>
        <w:t>Infringement notices left on vehicles</w:t>
      </w:r>
      <w:bookmarkEnd w:id="189"/>
      <w:bookmarkEnd w:id="190"/>
      <w:bookmarkEnd w:id="191"/>
      <w:bookmarkEnd w:id="192"/>
    </w:p>
    <w:p>
      <w:pPr>
        <w:pStyle w:val="Heading5"/>
        <w:spacing w:before="180"/>
      </w:pPr>
      <w:bookmarkStart w:id="193" w:name="_Toc100242710"/>
      <w:r>
        <w:rPr>
          <w:rStyle w:val="CharSectno"/>
        </w:rPr>
        <w:t>86</w:t>
      </w:r>
      <w:r>
        <w:t>.</w:t>
      </w:r>
      <w:r>
        <w:tab/>
        <w:t>Circumstances in which infringement notices can be left on vehicles</w:t>
      </w:r>
      <w:bookmarkEnd w:id="193"/>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194" w:name="_Toc100242711"/>
      <w:r>
        <w:rPr>
          <w:rStyle w:val="CharSectno"/>
        </w:rPr>
        <w:t>87</w:t>
      </w:r>
      <w:r>
        <w:t>.</w:t>
      </w:r>
      <w:r>
        <w:tab/>
        <w:t>If more than one responsible person</w:t>
      </w:r>
      <w:bookmarkEnd w:id="194"/>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195" w:name="_Toc100242712"/>
      <w:r>
        <w:rPr>
          <w:rStyle w:val="CharSectno"/>
        </w:rPr>
        <w:lastRenderedPageBreak/>
        <w:t>88</w:t>
      </w:r>
      <w:r>
        <w:t>.</w:t>
      </w:r>
      <w:r>
        <w:tab/>
        <w:t>Effect of leaving infringement notice on vehicle</w:t>
      </w:r>
      <w:bookmarkEnd w:id="195"/>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196" w:name="_Toc100242713"/>
      <w:r>
        <w:rPr>
          <w:rStyle w:val="CharSectno"/>
        </w:rPr>
        <w:t>89</w:t>
      </w:r>
      <w:r>
        <w:t>.</w:t>
      </w:r>
      <w:r>
        <w:tab/>
        <w:t>Contents of infringement notices left on vehicles</w:t>
      </w:r>
      <w:bookmarkEnd w:id="196"/>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197" w:name="_Toc100234322"/>
      <w:bookmarkStart w:id="198" w:name="_Toc100234552"/>
      <w:bookmarkStart w:id="199" w:name="_Toc100236132"/>
      <w:bookmarkStart w:id="200" w:name="_Toc100242714"/>
      <w:r>
        <w:rPr>
          <w:rStyle w:val="CharDivNo"/>
        </w:rPr>
        <w:t>Division 3</w:t>
      </w:r>
      <w:r>
        <w:t> — </w:t>
      </w:r>
      <w:r>
        <w:rPr>
          <w:rStyle w:val="CharDivText"/>
        </w:rPr>
        <w:t>Infringement notices served on responsible persons</w:t>
      </w:r>
      <w:bookmarkEnd w:id="197"/>
      <w:bookmarkEnd w:id="198"/>
      <w:bookmarkEnd w:id="199"/>
      <w:bookmarkEnd w:id="200"/>
    </w:p>
    <w:p>
      <w:pPr>
        <w:pStyle w:val="Heading5"/>
      </w:pPr>
      <w:bookmarkStart w:id="201" w:name="_Toc100242715"/>
      <w:r>
        <w:rPr>
          <w:rStyle w:val="CharSectno"/>
        </w:rPr>
        <w:t>90</w:t>
      </w:r>
      <w:r>
        <w:t>.</w:t>
      </w:r>
      <w:r>
        <w:tab/>
        <w:t>Terms used</w:t>
      </w:r>
      <w:bookmarkEnd w:id="201"/>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lastRenderedPageBreak/>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202" w:name="_Toc100242716"/>
      <w:r>
        <w:rPr>
          <w:rStyle w:val="CharSectno"/>
        </w:rPr>
        <w:t>91</w:t>
      </w:r>
      <w:r>
        <w:t>.</w:t>
      </w:r>
      <w:r>
        <w:tab/>
        <w:t>Service of infringement notice on responsible person if identity of alleged offender not known</w:t>
      </w:r>
      <w:bookmarkEnd w:id="202"/>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rPr>
          <w:spacing w:val="-6"/>
        </w:rPr>
      </w:pPr>
      <w:r>
        <w:tab/>
      </w:r>
      <w:r>
        <w:rPr>
          <w:spacing w:val="-6"/>
        </w:rPr>
        <w:t>[Section 91 amended: No. 8 of 2012 s. 232; No. 25 of 2016 s. 18.]</w:t>
      </w:r>
    </w:p>
    <w:p>
      <w:pPr>
        <w:pStyle w:val="Heading5"/>
        <w:keepNext w:val="0"/>
        <w:spacing w:before="180"/>
      </w:pPr>
      <w:bookmarkStart w:id="203" w:name="_Toc100242717"/>
      <w:r>
        <w:rPr>
          <w:rStyle w:val="CharSectno"/>
        </w:rPr>
        <w:t>92</w:t>
      </w:r>
      <w:r>
        <w:t>.</w:t>
      </w:r>
      <w:r>
        <w:tab/>
        <w:t>If more than one responsible person</w:t>
      </w:r>
      <w:bookmarkEnd w:id="203"/>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pageBreakBefore/>
        <w:spacing w:before="0"/>
      </w:pPr>
      <w:bookmarkStart w:id="204" w:name="_Toc100242718"/>
      <w:r>
        <w:rPr>
          <w:rStyle w:val="CharSectno"/>
        </w:rPr>
        <w:lastRenderedPageBreak/>
        <w:t>93</w:t>
      </w:r>
      <w:r>
        <w:t>.</w:t>
      </w:r>
      <w:r>
        <w:tab/>
        <w:t>If photographic evidence not included with infringement notice</w:t>
      </w:r>
      <w:bookmarkEnd w:id="204"/>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205" w:name="_Toc100242719"/>
      <w:r>
        <w:rPr>
          <w:rStyle w:val="CharSectno"/>
        </w:rPr>
        <w:t>94</w:t>
      </w:r>
      <w:r>
        <w:t>.</w:t>
      </w:r>
      <w:r>
        <w:tab/>
        <w:t>Responsible person presumed to be driver in certain circumstances</w:t>
      </w:r>
      <w:bookmarkEnd w:id="205"/>
    </w:p>
    <w:p>
      <w:pPr>
        <w:pStyle w:val="Subsection"/>
      </w:pPr>
      <w:r>
        <w:tab/>
        <w:t>(1)</w:t>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 xml:space="preserve">the responsible person informs an officer specified in the notice that the responsible person was not the driver or </w:t>
      </w:r>
      <w:r>
        <w:lastRenderedPageBreak/>
        <w:t>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Subsection"/>
      </w:pPr>
      <w:r>
        <w:tab/>
        <w:t>(2)</w:t>
      </w:r>
      <w:r>
        <w:tab/>
        <w:t>Subsection (1) does not apply if the responsible person for the vehicle supplies to the officer specified in the notice a statutory declaration —</w:t>
      </w:r>
    </w:p>
    <w:p>
      <w:pPr>
        <w:pStyle w:val="Indenta"/>
      </w:pPr>
      <w:r>
        <w:tab/>
        <w:t>(a)</w:t>
      </w:r>
      <w:r>
        <w:tab/>
        <w:t>that the responsible person was not the driver or person in charge of the vehicle at the time of the alleged offence; and</w:t>
      </w:r>
    </w:p>
    <w:p>
      <w:pPr>
        <w:pStyle w:val="Indenta"/>
      </w:pPr>
      <w:r>
        <w:tab/>
        <w:t>(b)</w:t>
      </w:r>
      <w:r>
        <w:tab/>
        <w:t>that the responsible person is concerned about providing information in response to the notice because of a risk or apprehended risk of being subjected to family violence if the responsible person took steps to find or provide any information required under that subsection.</w:t>
      </w:r>
    </w:p>
    <w:p>
      <w:pPr>
        <w:pStyle w:val="Subsection"/>
      </w:pPr>
      <w:r>
        <w:tab/>
        <w:t>(3)</w:t>
      </w:r>
      <w:r>
        <w:tab/>
        <w:t>A statutory declaration under subsection (2) must be accompanied by a family violence evidentiary document that relates to the responsible person.</w:t>
      </w:r>
    </w:p>
    <w:p>
      <w:pPr>
        <w:pStyle w:val="Subsection"/>
      </w:pPr>
      <w:r>
        <w:tab/>
        <w:t>(4)</w:t>
      </w:r>
      <w:r>
        <w:tab/>
        <w:t xml:space="preserve">The provision of information under subsection (2)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pPr>
      <w:r>
        <w:tab/>
        <w:t>[Section 94 amended: No. 30 of 2020 s. 89.]</w:t>
      </w:r>
    </w:p>
    <w:p>
      <w:pPr>
        <w:pStyle w:val="Heading5"/>
      </w:pPr>
      <w:bookmarkStart w:id="206" w:name="_Toc100242720"/>
      <w:r>
        <w:rPr>
          <w:rStyle w:val="CharSectno"/>
        </w:rPr>
        <w:lastRenderedPageBreak/>
        <w:t>95</w:t>
      </w:r>
      <w:r>
        <w:t>.</w:t>
      </w:r>
      <w:r>
        <w:tab/>
        <w:t>Contents of infringement notices served on responsible persons</w:t>
      </w:r>
      <w:bookmarkEnd w:id="206"/>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207" w:name="_Toc100242721"/>
      <w:r>
        <w:rPr>
          <w:rStyle w:val="CharSectno"/>
        </w:rPr>
        <w:t>96</w:t>
      </w:r>
      <w:r>
        <w:t>.</w:t>
      </w:r>
      <w:r>
        <w:tab/>
        <w:t>Statutory declarations: requirements as to delivery etc.</w:t>
      </w:r>
      <w:bookmarkEnd w:id="207"/>
    </w:p>
    <w:p>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pPr>
        <w:pStyle w:val="Heading3"/>
        <w:keepNext w:val="0"/>
      </w:pPr>
      <w:bookmarkStart w:id="208" w:name="_Toc100234330"/>
      <w:bookmarkStart w:id="209" w:name="_Toc100234560"/>
      <w:bookmarkStart w:id="210" w:name="_Toc100236140"/>
      <w:bookmarkStart w:id="211" w:name="_Toc100242722"/>
      <w:r>
        <w:rPr>
          <w:rStyle w:val="CharDivNo"/>
        </w:rPr>
        <w:t>Division 4</w:t>
      </w:r>
      <w:r>
        <w:t> — </w:t>
      </w:r>
      <w:r>
        <w:rPr>
          <w:rStyle w:val="CharDivText"/>
        </w:rPr>
        <w:t>Notices requesting information from responsible persons</w:t>
      </w:r>
      <w:bookmarkEnd w:id="208"/>
      <w:bookmarkEnd w:id="209"/>
      <w:bookmarkEnd w:id="210"/>
      <w:bookmarkEnd w:id="211"/>
    </w:p>
    <w:p>
      <w:pPr>
        <w:pStyle w:val="Heading5"/>
        <w:keepNext w:val="0"/>
        <w:keepLines w:val="0"/>
        <w:spacing w:before="240"/>
      </w:pPr>
      <w:bookmarkStart w:id="212" w:name="_Toc100242723"/>
      <w:r>
        <w:rPr>
          <w:rStyle w:val="CharSectno"/>
        </w:rPr>
        <w:t>97</w:t>
      </w:r>
      <w:r>
        <w:t>.</w:t>
      </w:r>
      <w:r>
        <w:tab/>
        <w:t>Term used: period for complying</w:t>
      </w:r>
      <w:bookmarkEnd w:id="212"/>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213" w:name="_Toc100242724"/>
      <w:r>
        <w:rPr>
          <w:rStyle w:val="CharSectno"/>
        </w:rPr>
        <w:t>98</w:t>
      </w:r>
      <w:r>
        <w:t>.</w:t>
      </w:r>
      <w:r>
        <w:tab/>
        <w:t>Notices requesting information</w:t>
      </w:r>
      <w:bookmarkEnd w:id="213"/>
    </w:p>
    <w:p>
      <w:pPr>
        <w:pStyle w:val="Subsection"/>
      </w:pPr>
      <w:r>
        <w:tab/>
      </w:r>
      <w:r>
        <w:tab/>
        <w:t xml:space="preserve">If an infringement notice could be addressed to and served on a responsible person under Division 3 but for there not being any individual who is a responsible person for the vehicle, a police </w:t>
      </w:r>
      <w:r>
        <w:lastRenderedPageBreak/>
        <w:t>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214" w:name="_Toc100242725"/>
      <w:r>
        <w:rPr>
          <w:rStyle w:val="CharSectno"/>
        </w:rPr>
        <w:t>99</w:t>
      </w:r>
      <w:r>
        <w:t>.</w:t>
      </w:r>
      <w:r>
        <w:tab/>
        <w:t>If photographic evidence not included with notice</w:t>
      </w:r>
      <w:bookmarkEnd w:id="214"/>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215" w:name="_Toc100242726"/>
      <w:r>
        <w:rPr>
          <w:rStyle w:val="CharSectno"/>
        </w:rPr>
        <w:t>100</w:t>
      </w:r>
      <w:r>
        <w:t>.</w:t>
      </w:r>
      <w:r>
        <w:tab/>
        <w:t>Offence of failing to provide information, statutory declaration</w:t>
      </w:r>
      <w:bookmarkEnd w:id="215"/>
    </w:p>
    <w:p>
      <w:pPr>
        <w:pStyle w:val="Subsection"/>
      </w:pPr>
      <w:r>
        <w:tab/>
        <w:t>(1)</w:t>
      </w:r>
      <w:r>
        <w:tab/>
        <w:t xml:space="preserve">A responsible person on which a notice enclosing photographic evidence is served under section 98 or 99 commits an offence unless, within the period specified in the notice for complying </w:t>
      </w:r>
      <w:r>
        <w:lastRenderedPageBreak/>
        <w:t xml:space="preserve">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pPr>
      <w:r>
        <w:tab/>
        <w:t>(1A)</w:t>
      </w:r>
      <w:r>
        <w:tab/>
        <w:t>Subsection (1) does not apply if the responsible person for the vehicle supplies to the officer specified in the notice a statutory declaration —</w:t>
      </w:r>
    </w:p>
    <w:p>
      <w:pPr>
        <w:pStyle w:val="Indenta"/>
      </w:pPr>
      <w:r>
        <w:tab/>
        <w:t>(a)</w:t>
      </w:r>
      <w:r>
        <w:tab/>
        <w:t>that the responsible person was not the driver or person in charge of the vehicle at the time of the offence described in the notice; and</w:t>
      </w:r>
    </w:p>
    <w:p>
      <w:pPr>
        <w:pStyle w:val="Indenta"/>
      </w:pPr>
      <w:r>
        <w:tab/>
        <w:t>(b)</w:t>
      </w:r>
      <w:r>
        <w:tab/>
        <w:t>that the responsible person is concerned about providing information in response to the notice because of a risk or apprehended risk of being subjected to family violence if the responsible person took steps to find or provide any information required under that subsection.</w:t>
      </w:r>
    </w:p>
    <w:p>
      <w:pPr>
        <w:pStyle w:val="Subsection"/>
      </w:pPr>
      <w:r>
        <w:tab/>
        <w:t>(1B)</w:t>
      </w:r>
      <w:r>
        <w:tab/>
        <w:t>A statutory declaration under subsection (1A) must be accompanied by a family violence evidentiary document that relates to the responsible person.</w:t>
      </w:r>
    </w:p>
    <w:p>
      <w:pPr>
        <w:pStyle w:val="Subsection"/>
      </w:pPr>
      <w:r>
        <w:tab/>
        <w:t>(1C)</w:t>
      </w:r>
      <w:r>
        <w:tab/>
        <w:t xml:space="preserve">The provision of information under subsection (1A) does not give rise to a requirement for a police officer to carry out an investigation under the </w:t>
      </w:r>
      <w:r>
        <w:rPr>
          <w:i/>
        </w:rPr>
        <w:t xml:space="preserve">Restraining Orders Act 1997 </w:t>
      </w:r>
      <w:r>
        <w:lastRenderedPageBreak/>
        <w:t>section 62A (but this subsection does not prevent such an investigation occurring if the police officer thinks fit).</w:t>
      </w:r>
    </w:p>
    <w:p>
      <w:pPr>
        <w:pStyle w:val="Subsection"/>
      </w:pPr>
      <w:r>
        <w:tab/>
        <w:t>(2)</w:t>
      </w:r>
      <w:r>
        <w:tab/>
        <w:t>If a person is charged with an offence under subsection (1) the person may be convicted of an offence under section 35.</w:t>
      </w:r>
    </w:p>
    <w:p>
      <w:pPr>
        <w:pStyle w:val="Footnotesection"/>
      </w:pPr>
      <w:r>
        <w:tab/>
        <w:t>[Section 100 amended: No. 30 of 2020 s. 90.]</w:t>
      </w:r>
    </w:p>
    <w:p>
      <w:pPr>
        <w:pStyle w:val="Heading5"/>
      </w:pPr>
      <w:bookmarkStart w:id="216" w:name="_Toc100242727"/>
      <w:r>
        <w:rPr>
          <w:rStyle w:val="CharSectno"/>
        </w:rPr>
        <w:t>101</w:t>
      </w:r>
      <w:r>
        <w:t>.</w:t>
      </w:r>
      <w:r>
        <w:tab/>
        <w:t>Withdrawal of notices</w:t>
      </w:r>
      <w:bookmarkEnd w:id="216"/>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217" w:name="_Toc100242728"/>
      <w:r>
        <w:rPr>
          <w:rStyle w:val="CharSectno"/>
        </w:rPr>
        <w:t>102</w:t>
      </w:r>
      <w:r>
        <w:t>.</w:t>
      </w:r>
      <w:r>
        <w:tab/>
        <w:t>Contents of notices</w:t>
      </w:r>
      <w:bookmarkEnd w:id="217"/>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218" w:name="_Toc100242729"/>
      <w:r>
        <w:rPr>
          <w:rStyle w:val="CharSectno"/>
        </w:rPr>
        <w:t>103</w:t>
      </w:r>
      <w:r>
        <w:t>.</w:t>
      </w:r>
      <w:r>
        <w:tab/>
        <w:t>Statutory declarations: requirements as to delivery etc.</w:t>
      </w:r>
      <w:bookmarkEnd w:id="218"/>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219" w:name="_Toc100242730"/>
      <w:r>
        <w:rPr>
          <w:rStyle w:val="CharSectno"/>
        </w:rPr>
        <w:lastRenderedPageBreak/>
        <w:t>104</w:t>
      </w:r>
      <w:r>
        <w:t>.</w:t>
      </w:r>
      <w:r>
        <w:tab/>
        <w:t>Notice under s. 98 or 99 may become an infringement notice</w:t>
      </w:r>
      <w:bookmarkEnd w:id="219"/>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220" w:name="_Toc100234339"/>
      <w:bookmarkStart w:id="221" w:name="_Toc100234569"/>
      <w:bookmarkStart w:id="222" w:name="_Toc100236149"/>
      <w:bookmarkStart w:id="223" w:name="_Toc100242731"/>
      <w:r>
        <w:rPr>
          <w:rStyle w:val="CharPartNo"/>
        </w:rPr>
        <w:lastRenderedPageBreak/>
        <w:t>Part 6</w:t>
      </w:r>
      <w:r>
        <w:t> — </w:t>
      </w:r>
      <w:r>
        <w:rPr>
          <w:rStyle w:val="CharPartText"/>
        </w:rPr>
        <w:t>Prosecutions</w:t>
      </w:r>
      <w:bookmarkEnd w:id="220"/>
      <w:bookmarkEnd w:id="221"/>
      <w:bookmarkEnd w:id="222"/>
      <w:bookmarkEnd w:id="223"/>
    </w:p>
    <w:p>
      <w:pPr>
        <w:pStyle w:val="Heading3"/>
      </w:pPr>
      <w:bookmarkStart w:id="224" w:name="_Toc100234340"/>
      <w:bookmarkStart w:id="225" w:name="_Toc100234570"/>
      <w:bookmarkStart w:id="226" w:name="_Toc100236150"/>
      <w:bookmarkStart w:id="227" w:name="_Toc100242732"/>
      <w:r>
        <w:rPr>
          <w:rStyle w:val="CharDivNo"/>
        </w:rPr>
        <w:t>Division 1</w:t>
      </w:r>
      <w:r>
        <w:t> — </w:t>
      </w:r>
      <w:r>
        <w:rPr>
          <w:rStyle w:val="CharDivText"/>
        </w:rPr>
        <w:t>Commencing prosecutions</w:t>
      </w:r>
      <w:bookmarkEnd w:id="224"/>
      <w:bookmarkEnd w:id="225"/>
      <w:bookmarkEnd w:id="226"/>
      <w:bookmarkEnd w:id="227"/>
    </w:p>
    <w:p>
      <w:pPr>
        <w:pStyle w:val="Heading5"/>
      </w:pPr>
      <w:bookmarkStart w:id="228" w:name="_Toc100242733"/>
      <w:r>
        <w:rPr>
          <w:rStyle w:val="CharSectno"/>
        </w:rPr>
        <w:t>105</w:t>
      </w:r>
      <w:r>
        <w:t>.</w:t>
      </w:r>
      <w:r>
        <w:tab/>
        <w:t>Who may commence prosecution</w:t>
      </w:r>
      <w:bookmarkEnd w:id="228"/>
    </w:p>
    <w:p>
      <w:pPr>
        <w:pStyle w:val="Subsection"/>
        <w:rPr>
          <w:snapToGrid w:val="0"/>
        </w:rPr>
      </w:pPr>
      <w:r>
        <w:rPr>
          <w:snapToGrid w:val="0"/>
        </w:rPr>
        <w:tab/>
        <w:t>(1)</w:t>
      </w:r>
      <w:r>
        <w:rPr>
          <w:snapToGrid w:val="0"/>
        </w:rPr>
        <w:tab/>
        <w:t xml:space="preserve">A prosecution for an offence under the </w:t>
      </w:r>
      <w:r>
        <w:rPr>
          <w:i/>
        </w:rPr>
        <w:t>Road Traffic Act 1974</w:t>
      </w:r>
      <w:r>
        <w:t xml:space="preserve">, other than an offence under Part 6A of that Act or a regulation made for the purposes of Part 6A of that Act,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w:t>
      </w:r>
      <w:r>
        <w:t xml:space="preserve">law, other than an offence to which subsection (1) applies,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 No. 38 of 2020 s. 26.]</w:t>
      </w:r>
    </w:p>
    <w:p>
      <w:pPr>
        <w:pStyle w:val="Heading5"/>
        <w:spacing w:before="180"/>
      </w:pPr>
      <w:bookmarkStart w:id="229" w:name="_Toc100242734"/>
      <w:r>
        <w:rPr>
          <w:rStyle w:val="CharSectno"/>
        </w:rPr>
        <w:lastRenderedPageBreak/>
        <w:t>106</w:t>
      </w:r>
      <w:r>
        <w:t>.</w:t>
      </w:r>
      <w:r>
        <w:tab/>
        <w:t>When prosecution can be commenced</w:t>
      </w:r>
      <w:bookmarkEnd w:id="229"/>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w:t>
      </w:r>
    </w:p>
    <w:p>
      <w:pPr>
        <w:pStyle w:val="Heading5"/>
        <w:rPr>
          <w:snapToGrid w:val="0"/>
        </w:rPr>
      </w:pPr>
      <w:bookmarkStart w:id="230" w:name="_Toc100242735"/>
      <w:r>
        <w:rPr>
          <w:rStyle w:val="CharSectno"/>
        </w:rPr>
        <w:t>107</w:t>
      </w:r>
      <w:r>
        <w:t>.</w:t>
      </w:r>
      <w:r>
        <w:tab/>
      </w:r>
      <w:r>
        <w:rPr>
          <w:snapToGrid w:val="0"/>
        </w:rPr>
        <w:t>Limitation on period for which previous offences taken into account</w:t>
      </w:r>
      <w:bookmarkEnd w:id="230"/>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lastRenderedPageBreak/>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rPr>
          <w:snapToGrid w:val="0"/>
        </w:rPr>
      </w:pPr>
      <w:bookmarkStart w:id="231" w:name="_Toc100242736"/>
      <w:r>
        <w:rPr>
          <w:rStyle w:val="CharSectno"/>
        </w:rPr>
        <w:t>108</w:t>
      </w:r>
      <w:r>
        <w:t>.</w:t>
      </w:r>
      <w:r>
        <w:tab/>
      </w:r>
      <w:r>
        <w:rPr>
          <w:snapToGrid w:val="0"/>
        </w:rPr>
        <w:t>Production of licences, permits at hearings</w:t>
      </w:r>
      <w:bookmarkEnd w:id="231"/>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232" w:name="_Toc100234345"/>
      <w:bookmarkStart w:id="233" w:name="_Toc100234575"/>
      <w:bookmarkStart w:id="234" w:name="_Toc100236155"/>
      <w:bookmarkStart w:id="235" w:name="_Toc100242737"/>
      <w:r>
        <w:rPr>
          <w:rStyle w:val="CharDivNo"/>
        </w:rPr>
        <w:t>Division 2</w:t>
      </w:r>
      <w:r>
        <w:t> — </w:t>
      </w:r>
      <w:r>
        <w:rPr>
          <w:rStyle w:val="CharDivText"/>
        </w:rPr>
        <w:t>Evidentiary provisions</w:t>
      </w:r>
      <w:bookmarkEnd w:id="232"/>
      <w:bookmarkEnd w:id="233"/>
      <w:bookmarkEnd w:id="234"/>
      <w:bookmarkEnd w:id="235"/>
    </w:p>
    <w:p>
      <w:pPr>
        <w:pStyle w:val="Heading5"/>
        <w:spacing w:before="240"/>
        <w:rPr>
          <w:snapToGrid w:val="0"/>
        </w:rPr>
      </w:pPr>
      <w:bookmarkStart w:id="236" w:name="_Toc100242738"/>
      <w:r>
        <w:rPr>
          <w:rStyle w:val="CharSectno"/>
        </w:rPr>
        <w:t>109</w:t>
      </w:r>
      <w:r>
        <w:t>.</w:t>
      </w:r>
      <w:r>
        <w:tab/>
        <w:t>A</w:t>
      </w:r>
      <w:r>
        <w:rPr>
          <w:snapToGrid w:val="0"/>
        </w:rPr>
        <w:t>verments etc. in prosecution notices</w:t>
      </w:r>
      <w:bookmarkEnd w:id="236"/>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lastRenderedPageBreak/>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w:t>
      </w:r>
      <w:r>
        <w:rPr>
          <w:szCs w:val="23"/>
        </w:rPr>
        <w:lastRenderedPageBreak/>
        <w:t>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keepNext/>
      </w:pPr>
      <w:r>
        <w:lastRenderedPageBreak/>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w:t>
      </w:r>
    </w:p>
    <w:p>
      <w:pPr>
        <w:pStyle w:val="Heading5"/>
      </w:pPr>
      <w:bookmarkStart w:id="237" w:name="_Toc100242739"/>
      <w:r>
        <w:rPr>
          <w:rStyle w:val="CharSectno"/>
        </w:rPr>
        <w:t>110</w:t>
      </w:r>
      <w:r>
        <w:t>.</w:t>
      </w:r>
      <w:r>
        <w:tab/>
        <w:t>Certificate evidence</w:t>
      </w:r>
      <w:bookmarkEnd w:id="237"/>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keepNext/>
        <w:rPr>
          <w:snapToGrid w:val="0"/>
        </w:rPr>
      </w:pPr>
      <w:r>
        <w:rPr>
          <w:snapToGrid w:val="0"/>
        </w:rPr>
        <w:lastRenderedPageBreak/>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keepNext/>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w:t>
      </w:r>
    </w:p>
    <w:p>
      <w:pPr>
        <w:pStyle w:val="Heading5"/>
      </w:pPr>
      <w:bookmarkStart w:id="238" w:name="_Toc100242740"/>
      <w:r>
        <w:rPr>
          <w:rStyle w:val="CharSectno"/>
        </w:rPr>
        <w:t>111</w:t>
      </w:r>
      <w:r>
        <w:t>.</w:t>
      </w:r>
      <w:r>
        <w:tab/>
        <w:t>Proof of authority of warden, vehicle examiner</w:t>
      </w:r>
      <w:bookmarkEnd w:id="238"/>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lastRenderedPageBreak/>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239" w:name="_Toc100242741"/>
      <w:r>
        <w:rPr>
          <w:rStyle w:val="CharSectno"/>
        </w:rPr>
        <w:lastRenderedPageBreak/>
        <w:t>112</w:t>
      </w:r>
      <w:r>
        <w:t>.</w:t>
      </w:r>
      <w:r>
        <w:tab/>
        <w:t>Ascertainment of mass by weighbridge</w:t>
      </w:r>
      <w:bookmarkEnd w:id="239"/>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240" w:name="_Toc100242742"/>
      <w:r>
        <w:rPr>
          <w:rStyle w:val="CharSectno"/>
        </w:rPr>
        <w:t>113</w:t>
      </w:r>
      <w:r>
        <w:t>.</w:t>
      </w:r>
      <w:r>
        <w:tab/>
        <w:t>Ascertainment of mass by loadmeter etc.</w:t>
      </w:r>
      <w:bookmarkEnd w:id="240"/>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lastRenderedPageBreak/>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241" w:name="_Toc100242743"/>
      <w:r>
        <w:rPr>
          <w:rStyle w:val="CharSectno"/>
        </w:rPr>
        <w:t>114</w:t>
      </w:r>
      <w:r>
        <w:t>.</w:t>
      </w:r>
      <w:r>
        <w:tab/>
        <w:t>Ascertainment of mass by reference to manufacturer’s specifications</w:t>
      </w:r>
      <w:bookmarkEnd w:id="241"/>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 xml:space="preserve">the aggregate of the masses ascertained under paragraphs (a) and (b), together with the mass of 10 L of </w:t>
      </w:r>
      <w:r>
        <w:lastRenderedPageBreak/>
        <w:t>fuel, is to be taken to be the mass of the vehicle and its load.</w:t>
      </w:r>
    </w:p>
    <w:p>
      <w:pPr>
        <w:pStyle w:val="Heading5"/>
      </w:pPr>
      <w:bookmarkStart w:id="242" w:name="_Toc100242744"/>
      <w:r>
        <w:rPr>
          <w:rStyle w:val="CharSectno"/>
        </w:rPr>
        <w:t>115</w:t>
      </w:r>
      <w:r>
        <w:t>.</w:t>
      </w:r>
      <w:r>
        <w:tab/>
        <w:t>Evidence regarding manufacturer’s ratings</w:t>
      </w:r>
      <w:bookmarkEnd w:id="242"/>
    </w:p>
    <w:p>
      <w:pPr>
        <w:pStyle w:val="Subsection"/>
        <w:keepNext/>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243" w:name="_Toc100242745"/>
      <w:r>
        <w:rPr>
          <w:rStyle w:val="CharSectno"/>
        </w:rPr>
        <w:lastRenderedPageBreak/>
        <w:t>116</w:t>
      </w:r>
      <w:r>
        <w:t>.</w:t>
      </w:r>
      <w:r>
        <w:tab/>
        <w:t>Proof of appointments and signatures unnecessary</w:t>
      </w:r>
      <w:bookmarkEnd w:id="243"/>
    </w:p>
    <w:p>
      <w:pPr>
        <w:pStyle w:val="Subsection"/>
        <w:keepNext/>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w:t>
      </w:r>
    </w:p>
    <w:p>
      <w:pPr>
        <w:pStyle w:val="Heading5"/>
        <w:rPr>
          <w:snapToGrid w:val="0"/>
        </w:rPr>
      </w:pPr>
      <w:bookmarkStart w:id="244" w:name="_Toc100242746"/>
      <w:r>
        <w:rPr>
          <w:rStyle w:val="CharSectno"/>
        </w:rPr>
        <w:t>117</w:t>
      </w:r>
      <w:r>
        <w:t>.</w:t>
      </w:r>
      <w:r>
        <w:tab/>
      </w:r>
      <w:r>
        <w:rPr>
          <w:snapToGrid w:val="0"/>
        </w:rPr>
        <w:t>Certain measuring equipment</w:t>
      </w:r>
      <w:bookmarkEnd w:id="244"/>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lastRenderedPageBreak/>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lastRenderedPageBreak/>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lastRenderedPageBreak/>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w:t>
      </w:r>
    </w:p>
    <w:p>
      <w:pPr>
        <w:pStyle w:val="Heading5"/>
      </w:pPr>
      <w:bookmarkStart w:id="245" w:name="_Toc100242747"/>
      <w:r>
        <w:rPr>
          <w:rStyle w:val="CharSectno"/>
        </w:rPr>
        <w:lastRenderedPageBreak/>
        <w:t>117A</w:t>
      </w:r>
      <w:r>
        <w:t>.</w:t>
      </w:r>
      <w:r>
        <w:tab/>
        <w:t>Evidentiary provisions for images recorded by speed measuring and recording equipment</w:t>
      </w:r>
      <w:bookmarkEnd w:id="245"/>
    </w:p>
    <w:p>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lastRenderedPageBreak/>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w:t>
      </w:r>
    </w:p>
    <w:p>
      <w:pPr>
        <w:pStyle w:val="Heading5"/>
      </w:pPr>
      <w:bookmarkStart w:id="246" w:name="_Toc100242748"/>
      <w:r>
        <w:rPr>
          <w:rStyle w:val="CharSectno"/>
        </w:rPr>
        <w:t>117B</w:t>
      </w:r>
      <w:r>
        <w:t>.</w:t>
      </w:r>
      <w:r>
        <w:tab/>
        <w:t>Evidence of average speed as actual speed</w:t>
      </w:r>
      <w:bookmarkEnd w:id="246"/>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lastRenderedPageBreak/>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lastRenderedPageBreak/>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w:t>
      </w:r>
    </w:p>
    <w:p>
      <w:pPr>
        <w:pStyle w:val="Heading5"/>
      </w:pPr>
      <w:bookmarkStart w:id="247" w:name="_Toc100242749"/>
      <w:r>
        <w:rPr>
          <w:rStyle w:val="CharSectno"/>
        </w:rPr>
        <w:t>117C</w:t>
      </w:r>
      <w:r>
        <w:t>.</w:t>
      </w:r>
      <w:r>
        <w:tab/>
        <w:t>Average speed detection systems</w:t>
      </w:r>
      <w:bookmarkEnd w:id="247"/>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lastRenderedPageBreak/>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248" w:name="_Toc100242750"/>
      <w:r>
        <w:rPr>
          <w:rStyle w:val="CharSectno"/>
        </w:rPr>
        <w:t>117D</w:t>
      </w:r>
      <w:r>
        <w:t>.</w:t>
      </w:r>
      <w:r>
        <w:tab/>
        <w:t>How average speed is to be calculated</w:t>
      </w:r>
      <w:bookmarkEnd w:id="248"/>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249" w:name="_Toc100242751"/>
      <w:r>
        <w:rPr>
          <w:rStyle w:val="CharSectno"/>
        </w:rPr>
        <w:t>117E</w:t>
      </w:r>
      <w:r>
        <w:t>.</w:t>
      </w:r>
      <w:r>
        <w:tab/>
        <w:t>How average speed limit is to be calculated</w:t>
      </w:r>
      <w:bookmarkEnd w:id="249"/>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lastRenderedPageBreak/>
        <w:tab/>
      </w:r>
      <w:r>
        <w:tab/>
        <w:t xml:space="preserve">where — </w:t>
      </w:r>
    </w:p>
    <w:p>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250" w:name="_Toc100242752"/>
      <w:r>
        <w:rPr>
          <w:rStyle w:val="CharSectno"/>
        </w:rPr>
        <w:t>117F</w:t>
      </w:r>
      <w:r>
        <w:t>.</w:t>
      </w:r>
      <w:r>
        <w:tab/>
        <w:t>Evidence of, proceedings for, certain matters related to evidence of average speed</w:t>
      </w:r>
      <w:bookmarkEnd w:id="250"/>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 xml:space="preserve">the average speed limit for the driver on a carriageway between the points calculated in accordance with section 117E is to be taken (subject to section 117B(8)) to be the speed limit </w:t>
      </w:r>
      <w:r>
        <w:lastRenderedPageBreak/>
        <w:t>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251" w:name="_Toc100242753"/>
      <w:r>
        <w:rPr>
          <w:rStyle w:val="CharSectno"/>
        </w:rPr>
        <w:t>117G</w:t>
      </w:r>
      <w:r>
        <w:t>.</w:t>
      </w:r>
      <w:r>
        <w:tab/>
        <w:t>Evidentiary provisions for images recorded by average speed detection systems</w:t>
      </w:r>
      <w:bookmarkEnd w:id="251"/>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lastRenderedPageBreak/>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lastRenderedPageBreak/>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252" w:name="_Toc100242754"/>
      <w:r>
        <w:rPr>
          <w:rStyle w:val="CharSectno"/>
        </w:rPr>
        <w:t>117H</w:t>
      </w:r>
      <w:r>
        <w:t>.</w:t>
      </w:r>
      <w:r>
        <w:tab/>
        <w:t>Certificate evidence as to shortest practicable distance</w:t>
      </w:r>
      <w:bookmarkEnd w:id="252"/>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lastRenderedPageBreak/>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253" w:name="_Toc100242755"/>
      <w:r>
        <w:rPr>
          <w:rStyle w:val="CharSectno"/>
        </w:rPr>
        <w:t>117I</w:t>
      </w:r>
      <w:r>
        <w:t>.</w:t>
      </w:r>
      <w:r>
        <w:tab/>
        <w:t>Certificate, image copies to be given before proceedings</w:t>
      </w:r>
      <w:bookmarkEnd w:id="253"/>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254" w:name="_Toc100242756"/>
      <w:r>
        <w:rPr>
          <w:rStyle w:val="CharSectno"/>
        </w:rPr>
        <w:lastRenderedPageBreak/>
        <w:t>118</w:t>
      </w:r>
      <w:r>
        <w:t>.</w:t>
      </w:r>
      <w:r>
        <w:tab/>
        <w:t>Proof of transport, journey documentation</w:t>
      </w:r>
      <w:bookmarkEnd w:id="254"/>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255" w:name="_Toc100242757"/>
      <w:r>
        <w:rPr>
          <w:rStyle w:val="CharSectno"/>
        </w:rPr>
        <w:t>119</w:t>
      </w:r>
      <w:r>
        <w:t>.</w:t>
      </w:r>
      <w:r>
        <w:tab/>
        <w:t>Bodies corporate or employers, conduct on behalf of</w:t>
      </w:r>
      <w:bookmarkEnd w:id="255"/>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lastRenderedPageBreak/>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256" w:name="_Toc100242758"/>
      <w:r>
        <w:rPr>
          <w:rStyle w:val="CharSectno"/>
        </w:rPr>
        <w:t>120</w:t>
      </w:r>
      <w:r>
        <w:t>.</w:t>
      </w:r>
      <w:r>
        <w:tab/>
        <w:t>Burden of proof where load falls off vehicle</w:t>
      </w:r>
      <w:bookmarkEnd w:id="256"/>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257" w:name="_Toc100234367"/>
      <w:bookmarkStart w:id="258" w:name="_Toc100234597"/>
      <w:bookmarkStart w:id="259" w:name="_Toc100236177"/>
      <w:bookmarkStart w:id="260" w:name="_Toc100242759"/>
      <w:r>
        <w:rPr>
          <w:rStyle w:val="CharDivNo"/>
        </w:rPr>
        <w:lastRenderedPageBreak/>
        <w:t>Division 3</w:t>
      </w:r>
      <w:r>
        <w:t> — </w:t>
      </w:r>
      <w:r>
        <w:rPr>
          <w:rStyle w:val="CharDivText"/>
        </w:rPr>
        <w:t>Sentencing matters</w:t>
      </w:r>
      <w:bookmarkEnd w:id="257"/>
      <w:bookmarkEnd w:id="258"/>
      <w:bookmarkEnd w:id="259"/>
      <w:bookmarkEnd w:id="260"/>
    </w:p>
    <w:p>
      <w:pPr>
        <w:pStyle w:val="Heading5"/>
      </w:pPr>
      <w:bookmarkStart w:id="261" w:name="_Toc100242760"/>
      <w:r>
        <w:rPr>
          <w:rStyle w:val="CharSectno"/>
        </w:rPr>
        <w:t>121</w:t>
      </w:r>
      <w:r>
        <w:t>.</w:t>
      </w:r>
      <w:r>
        <w:tab/>
        <w:t>Minimum fines</w:t>
      </w:r>
      <w:bookmarkEnd w:id="261"/>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262" w:name="_Toc100242761"/>
      <w:r>
        <w:rPr>
          <w:rStyle w:val="CharSectno"/>
        </w:rPr>
        <w:t>122</w:t>
      </w:r>
      <w:r>
        <w:t>.</w:t>
      </w:r>
      <w:r>
        <w:tab/>
        <w:t>Penalties for bodies corporate</w:t>
      </w:r>
      <w:bookmarkEnd w:id="262"/>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263" w:name="_Toc100234370"/>
      <w:bookmarkStart w:id="264" w:name="_Toc100234600"/>
      <w:bookmarkStart w:id="265" w:name="_Toc100236180"/>
      <w:bookmarkStart w:id="266" w:name="_Toc100242762"/>
      <w:r>
        <w:rPr>
          <w:rStyle w:val="CharPartNo"/>
        </w:rPr>
        <w:lastRenderedPageBreak/>
        <w:t>Part 7</w:t>
      </w:r>
      <w:r>
        <w:rPr>
          <w:rStyle w:val="CharDivNo"/>
        </w:rPr>
        <w:t> </w:t>
      </w:r>
      <w:r>
        <w:t>—</w:t>
      </w:r>
      <w:r>
        <w:rPr>
          <w:rStyle w:val="CharDivText"/>
        </w:rPr>
        <w:t> </w:t>
      </w:r>
      <w:r>
        <w:rPr>
          <w:rStyle w:val="CharPartText"/>
        </w:rPr>
        <w:t>Damage to road infrastructure</w:t>
      </w:r>
      <w:bookmarkEnd w:id="263"/>
      <w:bookmarkEnd w:id="264"/>
      <w:bookmarkEnd w:id="265"/>
      <w:bookmarkEnd w:id="266"/>
    </w:p>
    <w:p>
      <w:pPr>
        <w:pStyle w:val="Heading5"/>
      </w:pPr>
      <w:bookmarkStart w:id="267" w:name="_Toc100242763"/>
      <w:r>
        <w:rPr>
          <w:rStyle w:val="CharSectno"/>
        </w:rPr>
        <w:t>123</w:t>
      </w:r>
      <w:r>
        <w:t>.</w:t>
      </w:r>
      <w:r>
        <w:tab/>
        <w:t>Terms used</w:t>
      </w:r>
      <w:bookmarkEnd w:id="267"/>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268" w:name="_Toc100242764"/>
      <w:r>
        <w:rPr>
          <w:rStyle w:val="CharSectno"/>
        </w:rPr>
        <w:lastRenderedPageBreak/>
        <w:t>124</w:t>
      </w:r>
      <w:r>
        <w:t>.</w:t>
      </w:r>
      <w:r>
        <w:tab/>
        <w:t>Compensation orders for damage to road infrastructure in consequence of MDLR offences</w:t>
      </w:r>
      <w:bookmarkEnd w:id="268"/>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269" w:name="_Toc100242765"/>
      <w:r>
        <w:rPr>
          <w:rStyle w:val="CharSectno"/>
        </w:rPr>
        <w:t>125</w:t>
      </w:r>
      <w:r>
        <w:t>.</w:t>
      </w:r>
      <w:r>
        <w:tab/>
        <w:t>Assessment of compensation</w:t>
      </w:r>
      <w:bookmarkEnd w:id="269"/>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lastRenderedPageBreak/>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270" w:name="_Toc100242766"/>
      <w:r>
        <w:rPr>
          <w:rStyle w:val="CharSectno"/>
        </w:rPr>
        <w:t>126</w:t>
      </w:r>
      <w:r>
        <w:t>.</w:t>
      </w:r>
      <w:r>
        <w:tab/>
        <w:t>Service of certificates</w:t>
      </w:r>
      <w:bookmarkEnd w:id="270"/>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lastRenderedPageBreak/>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271" w:name="_Toc100242767"/>
      <w:r>
        <w:rPr>
          <w:rStyle w:val="CharSectno"/>
        </w:rPr>
        <w:t>127</w:t>
      </w:r>
      <w:r>
        <w:t>.</w:t>
      </w:r>
      <w:r>
        <w:tab/>
        <w:t>Limits on amount of compensation</w:t>
      </w:r>
      <w:bookmarkEnd w:id="271"/>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272" w:name="_Toc100242768"/>
      <w:r>
        <w:rPr>
          <w:rStyle w:val="CharSectno"/>
        </w:rPr>
        <w:t>128</w:t>
      </w:r>
      <w:r>
        <w:t>.</w:t>
      </w:r>
      <w:r>
        <w:tab/>
        <w:t>Costs</w:t>
      </w:r>
      <w:bookmarkEnd w:id="272"/>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273" w:name="_Toc100242769"/>
      <w:r>
        <w:rPr>
          <w:rStyle w:val="CharSectno"/>
        </w:rPr>
        <w:t>129</w:t>
      </w:r>
      <w:r>
        <w:t>.</w:t>
      </w:r>
      <w:r>
        <w:tab/>
        <w:t>Enforcement of compensation order and costs</w:t>
      </w:r>
      <w:bookmarkEnd w:id="273"/>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274" w:name="_Toc100242770"/>
      <w:r>
        <w:rPr>
          <w:rStyle w:val="CharSectno"/>
        </w:rPr>
        <w:lastRenderedPageBreak/>
        <w:t>130</w:t>
      </w:r>
      <w:r>
        <w:t>.</w:t>
      </w:r>
      <w:r>
        <w:tab/>
        <w:t>Relationship with orders or awards of other courts and tribunals</w:t>
      </w:r>
      <w:bookmarkEnd w:id="274"/>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275" w:name="_Toc100242771"/>
      <w:r>
        <w:rPr>
          <w:rStyle w:val="CharSectno"/>
        </w:rPr>
        <w:t>131</w:t>
      </w:r>
      <w:r>
        <w:t>.</w:t>
      </w:r>
      <w:r>
        <w:tab/>
      </w:r>
      <w:r>
        <w:rPr>
          <w:snapToGrid w:val="0"/>
        </w:rPr>
        <w:t>Liability for damage to road infrastructure</w:t>
      </w:r>
      <w:bookmarkEnd w:id="275"/>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lastRenderedPageBreak/>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276" w:name="_Toc100242772"/>
      <w:r>
        <w:rPr>
          <w:rStyle w:val="CharSectno"/>
        </w:rPr>
        <w:t>132</w:t>
      </w:r>
      <w:r>
        <w:t>.</w:t>
      </w:r>
      <w:r>
        <w:tab/>
        <w:t xml:space="preserve">Road authority </w:t>
      </w:r>
      <w:r>
        <w:rPr>
          <w:snapToGrid w:val="0"/>
        </w:rPr>
        <w:t>may recover expenses of damage caused by heavy traffic</w:t>
      </w:r>
      <w:bookmarkEnd w:id="276"/>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lastRenderedPageBreak/>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277" w:name="_Toc100234381"/>
      <w:bookmarkStart w:id="278" w:name="_Toc100234611"/>
      <w:bookmarkStart w:id="279" w:name="_Toc100236191"/>
      <w:bookmarkStart w:id="280" w:name="_Toc100242773"/>
      <w:r>
        <w:rPr>
          <w:rStyle w:val="CharPartNo"/>
        </w:rPr>
        <w:lastRenderedPageBreak/>
        <w:t>Part 8</w:t>
      </w:r>
      <w:r>
        <w:rPr>
          <w:rStyle w:val="CharDivNo"/>
        </w:rPr>
        <w:t> </w:t>
      </w:r>
      <w:r>
        <w:t>—</w:t>
      </w:r>
      <w:r>
        <w:rPr>
          <w:rStyle w:val="CharDivText"/>
        </w:rPr>
        <w:t> </w:t>
      </w:r>
      <w:r>
        <w:rPr>
          <w:rStyle w:val="CharPartText"/>
        </w:rPr>
        <w:t>Miscellaneous</w:t>
      </w:r>
      <w:bookmarkEnd w:id="277"/>
      <w:bookmarkEnd w:id="278"/>
      <w:bookmarkEnd w:id="279"/>
      <w:bookmarkEnd w:id="280"/>
    </w:p>
    <w:p>
      <w:pPr>
        <w:pStyle w:val="Heading5"/>
        <w:rPr>
          <w:snapToGrid w:val="0"/>
        </w:rPr>
      </w:pPr>
      <w:bookmarkStart w:id="281" w:name="_Toc100242774"/>
      <w:r>
        <w:rPr>
          <w:rStyle w:val="CharSectno"/>
        </w:rPr>
        <w:t>133</w:t>
      </w:r>
      <w:r>
        <w:t>.</w:t>
      </w:r>
      <w:r>
        <w:tab/>
      </w:r>
      <w:r>
        <w:rPr>
          <w:snapToGrid w:val="0"/>
        </w:rPr>
        <w:t>Review of decisions under road laws</w:t>
      </w:r>
      <w:bookmarkEnd w:id="281"/>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lastRenderedPageBreak/>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 or</w:t>
      </w:r>
    </w:p>
    <w:p>
      <w:pPr>
        <w:pStyle w:val="Indenta"/>
      </w:pPr>
      <w:r>
        <w:tab/>
        <w:t>(h)</w:t>
      </w:r>
      <w:r>
        <w:tab/>
        <w:t xml:space="preserve">of the CEO to grant, or refuse to grant, an approval under the </w:t>
      </w:r>
      <w:r>
        <w:rPr>
          <w:i/>
        </w:rPr>
        <w:t>Road Traffic Act 1974</w:t>
      </w:r>
      <w:r>
        <w:t xml:space="preserve"> section 104(3).</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 No. 38 of 2020 s. 27.]</w:t>
      </w:r>
    </w:p>
    <w:p>
      <w:pPr>
        <w:pStyle w:val="Heading5"/>
        <w:spacing w:before="180"/>
      </w:pPr>
      <w:bookmarkStart w:id="282" w:name="_Toc100242775"/>
      <w:r>
        <w:rPr>
          <w:rStyle w:val="CharSectno"/>
        </w:rPr>
        <w:t>134</w:t>
      </w:r>
      <w:r>
        <w:t>.</w:t>
      </w:r>
      <w:r>
        <w:tab/>
        <w:t>Amendment or revocation of directions or conditions</w:t>
      </w:r>
      <w:bookmarkEnd w:id="282"/>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283" w:name="_Toc100242776"/>
      <w:r>
        <w:rPr>
          <w:rStyle w:val="CharSectno"/>
        </w:rPr>
        <w:t>135</w:t>
      </w:r>
      <w:r>
        <w:t>.</w:t>
      </w:r>
      <w:r>
        <w:tab/>
      </w:r>
      <w:r>
        <w:rPr>
          <w:snapToGrid w:val="0"/>
        </w:rPr>
        <w:t>Protection from liability for wrongdoing</w:t>
      </w:r>
      <w:bookmarkEnd w:id="283"/>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lastRenderedPageBreak/>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284" w:name="_Toc100242777"/>
      <w:r>
        <w:rPr>
          <w:rStyle w:val="CharSectno"/>
        </w:rPr>
        <w:t>136</w:t>
      </w:r>
      <w:r>
        <w:t>.</w:t>
      </w:r>
      <w:r>
        <w:tab/>
        <w:t>Protection of people testing or examining or giving certain information</w:t>
      </w:r>
      <w:bookmarkEnd w:id="284"/>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285" w:name="_Toc100242778"/>
      <w:r>
        <w:rPr>
          <w:rStyle w:val="CharSectno"/>
        </w:rPr>
        <w:lastRenderedPageBreak/>
        <w:t>137</w:t>
      </w:r>
      <w:r>
        <w:t>.</w:t>
      </w:r>
      <w:r>
        <w:tab/>
      </w:r>
      <w:r>
        <w:rPr>
          <w:snapToGrid w:val="0"/>
        </w:rPr>
        <w:t>Liability of director etc. of body corporate that is owner of vehicle</w:t>
      </w:r>
      <w:bookmarkEnd w:id="28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286" w:name="_Toc100242779"/>
      <w:r>
        <w:rPr>
          <w:rStyle w:val="CharSectno"/>
        </w:rPr>
        <w:t>138</w:t>
      </w:r>
      <w:r>
        <w:t>.</w:t>
      </w:r>
      <w:r>
        <w:tab/>
        <w:t>Contracting out prohibited</w:t>
      </w:r>
      <w:bookmarkEnd w:id="286"/>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287" w:name="_Toc100242780"/>
      <w:r>
        <w:rPr>
          <w:rStyle w:val="CharSectno"/>
        </w:rPr>
        <w:lastRenderedPageBreak/>
        <w:t>139</w:t>
      </w:r>
      <w:r>
        <w:t>.</w:t>
      </w:r>
      <w:r>
        <w:tab/>
        <w:t>Temporary suspension of road law</w:t>
      </w:r>
      <w:bookmarkEnd w:id="287"/>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288" w:name="_Toc100242781"/>
      <w:r>
        <w:rPr>
          <w:rStyle w:val="CharSectno"/>
        </w:rPr>
        <w:t>140</w:t>
      </w:r>
      <w:r>
        <w:t>.</w:t>
      </w:r>
      <w:r>
        <w:tab/>
      </w:r>
      <w:r>
        <w:rPr>
          <w:snapToGrid w:val="0"/>
        </w:rPr>
        <w:t>Confusing lights affecting traffic on roads</w:t>
      </w:r>
      <w:bookmarkEnd w:id="288"/>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lastRenderedPageBreak/>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 xml:space="preserve">Penalty: a fine of 8 PU, and, in addition, a daily penalty of 1 PU for every day or part of a day during which the notice is not </w:t>
      </w:r>
      <w:r>
        <w:rPr>
          <w:snapToGrid w:val="0"/>
        </w:rPr>
        <w:lastRenderedPageBreak/>
        <w:t>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289" w:name="_Toc100242782"/>
      <w:r>
        <w:rPr>
          <w:rStyle w:val="CharSectno"/>
        </w:rPr>
        <w:lastRenderedPageBreak/>
        <w:t>141</w:t>
      </w:r>
      <w:r>
        <w:t>.</w:t>
      </w:r>
      <w:r>
        <w:tab/>
        <w:t>Closure of r</w:t>
      </w:r>
      <w:r>
        <w:rPr>
          <w:snapToGrid w:val="0"/>
        </w:rPr>
        <w:t>oads</w:t>
      </w:r>
      <w:bookmarkEnd w:id="289"/>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290" w:name="_Toc100242783"/>
      <w:r>
        <w:rPr>
          <w:rStyle w:val="CharSectno"/>
        </w:rPr>
        <w:t>142</w:t>
      </w:r>
      <w:r>
        <w:t>.</w:t>
      </w:r>
      <w:r>
        <w:tab/>
        <w:t>Liability under other laws</w:t>
      </w:r>
      <w:bookmarkEnd w:id="290"/>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291" w:name="_Toc100242784"/>
      <w:r>
        <w:rPr>
          <w:rStyle w:val="CharSectno"/>
        </w:rPr>
        <w:t>143A</w:t>
      </w:r>
      <w:r>
        <w:t>.</w:t>
      </w:r>
      <w:r>
        <w:tab/>
        <w:t>Confidentiality of information</w:t>
      </w:r>
      <w:bookmarkEnd w:id="291"/>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240 PU.</w:t>
      </w:r>
    </w:p>
    <w:p>
      <w:pPr>
        <w:pStyle w:val="Subsection"/>
        <w:spacing w:before="120"/>
      </w:pPr>
      <w:r>
        <w:lastRenderedPageBreak/>
        <w:tab/>
        <w:t>(2)</w:t>
      </w:r>
      <w:r>
        <w:tab/>
        <w:t>Subsection (1) does not prevent the disclosure of statistical or other information that could not reasonably be expected to lead to the identification of any person to whom it relates.</w:t>
      </w:r>
    </w:p>
    <w:p>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Pr>
      <w:bookmarkStart w:id="292" w:name="_Toc100242785"/>
      <w:r>
        <w:rPr>
          <w:rStyle w:val="CharSectno"/>
        </w:rPr>
        <w:t>143</w:t>
      </w:r>
      <w:r>
        <w:t>.</w:t>
      </w:r>
      <w:r>
        <w:tab/>
        <w:t>Regulations</w:t>
      </w:r>
      <w:bookmarkEnd w:id="29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No. 10 of 2015 s. 8.]</w:t>
      </w:r>
    </w:p>
    <w:p>
      <w:pPr>
        <w:pStyle w:val="Heading5"/>
      </w:pPr>
      <w:bookmarkStart w:id="293" w:name="_Toc100242786"/>
      <w:r>
        <w:rPr>
          <w:rStyle w:val="CharSectno"/>
        </w:rPr>
        <w:lastRenderedPageBreak/>
        <w:t>144</w:t>
      </w:r>
      <w:r>
        <w:t>.</w:t>
      </w:r>
      <w:r>
        <w:tab/>
        <w:t>Minister’s declarations to apply regulations to areas other than roads etc.</w:t>
      </w:r>
      <w:bookmarkEnd w:id="293"/>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294" w:name="_Toc100242787"/>
      <w:r>
        <w:rPr>
          <w:rStyle w:val="CharSectno"/>
        </w:rPr>
        <w:t>145</w:t>
      </w:r>
      <w:r>
        <w:t>.</w:t>
      </w:r>
      <w:r>
        <w:tab/>
        <w:t>Minister’s declarations that specified regulations do not apply to specified persons or vehicles</w:t>
      </w:r>
      <w:bookmarkEnd w:id="294"/>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295" w:name="_Toc100242788"/>
      <w:r>
        <w:rPr>
          <w:rStyle w:val="CharSectno"/>
        </w:rPr>
        <w:t>146</w:t>
      </w:r>
      <w:r>
        <w:t>.</w:t>
      </w:r>
      <w:r>
        <w:tab/>
        <w:t>Regulations may refer to published documents</w:t>
      </w:r>
      <w:bookmarkEnd w:id="295"/>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keepNext/>
      </w:pPr>
      <w:r>
        <w:lastRenderedPageBreak/>
        <w:tab/>
        <w:t>(b)</w:t>
      </w:r>
      <w:r>
        <w:tab/>
        <w:t xml:space="preserve">if text is adopted as it may be amended from time to time, either — </w:t>
      </w:r>
    </w:p>
    <w:p>
      <w:pPr>
        <w:pStyle w:val="Indenti"/>
        <w:keepNext/>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296" w:name="_Toc100234397"/>
      <w:bookmarkStart w:id="297" w:name="_Toc100234627"/>
      <w:bookmarkStart w:id="298" w:name="_Toc100236207"/>
      <w:bookmarkStart w:id="299" w:name="_Toc100242789"/>
      <w:r>
        <w:rPr>
          <w:rStyle w:val="CharPartNo"/>
        </w:rPr>
        <w:lastRenderedPageBreak/>
        <w:t>Part 9</w:t>
      </w:r>
      <w:r>
        <w:t> — </w:t>
      </w:r>
      <w:r>
        <w:rPr>
          <w:rStyle w:val="CharPartText"/>
        </w:rPr>
        <w:t>Transitional and consequential provisions</w:t>
      </w:r>
      <w:bookmarkEnd w:id="296"/>
      <w:bookmarkEnd w:id="297"/>
      <w:bookmarkEnd w:id="298"/>
      <w:bookmarkEnd w:id="299"/>
    </w:p>
    <w:p>
      <w:pPr>
        <w:pStyle w:val="Heading3"/>
      </w:pPr>
      <w:bookmarkStart w:id="300" w:name="_Toc100234398"/>
      <w:bookmarkStart w:id="301" w:name="_Toc100234628"/>
      <w:bookmarkStart w:id="302" w:name="_Toc100236208"/>
      <w:bookmarkStart w:id="303" w:name="_Toc100242790"/>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300"/>
      <w:bookmarkEnd w:id="301"/>
      <w:bookmarkEnd w:id="302"/>
      <w:bookmarkEnd w:id="303"/>
    </w:p>
    <w:p>
      <w:pPr>
        <w:pStyle w:val="Footnoteheading"/>
      </w:pPr>
      <w:r>
        <w:tab/>
        <w:t>[Heading amended: No. 8 of 2012 s. 225.]</w:t>
      </w:r>
    </w:p>
    <w:p>
      <w:pPr>
        <w:pStyle w:val="Heading4"/>
      </w:pPr>
      <w:bookmarkStart w:id="304" w:name="_Toc100234399"/>
      <w:bookmarkStart w:id="305" w:name="_Toc100234629"/>
      <w:bookmarkStart w:id="306" w:name="_Toc100236209"/>
      <w:bookmarkStart w:id="307" w:name="_Toc100242791"/>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304"/>
      <w:bookmarkEnd w:id="305"/>
      <w:bookmarkEnd w:id="306"/>
      <w:bookmarkEnd w:id="307"/>
    </w:p>
    <w:p>
      <w:pPr>
        <w:pStyle w:val="Footnoteheading"/>
      </w:pPr>
      <w:r>
        <w:tab/>
        <w:t>[Heading amended: No. 8 of 2012 s. 226.]</w:t>
      </w:r>
    </w:p>
    <w:p>
      <w:pPr>
        <w:pStyle w:val="Heading5"/>
      </w:pPr>
      <w:bookmarkStart w:id="308" w:name="_Toc100242792"/>
      <w:r>
        <w:rPr>
          <w:rStyle w:val="CharSectno"/>
        </w:rPr>
        <w:t>147</w:t>
      </w:r>
      <w:r>
        <w:t>.</w:t>
      </w:r>
      <w:r>
        <w:tab/>
        <w:t>Terms used</w:t>
      </w:r>
      <w:bookmarkEnd w:id="308"/>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309" w:name="_Toc100242793"/>
      <w:r>
        <w:rPr>
          <w:rStyle w:val="CharSectno"/>
        </w:rPr>
        <w:t>148</w:t>
      </w:r>
      <w:r>
        <w:t>.</w:t>
      </w:r>
      <w:r>
        <w:tab/>
        <w:t xml:space="preserve">Application of </w:t>
      </w:r>
      <w:r>
        <w:rPr>
          <w:i/>
        </w:rPr>
        <w:t>Interpretation Act 1984</w:t>
      </w:r>
      <w:bookmarkEnd w:id="309"/>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310" w:name="_Toc100242794"/>
      <w:r>
        <w:rPr>
          <w:rStyle w:val="CharSectno"/>
        </w:rPr>
        <w:t>149</w:t>
      </w:r>
      <w:r>
        <w:t>.</w:t>
      </w:r>
      <w:r>
        <w:tab/>
        <w:t>Notices by which person nominated as vehicle owner</w:t>
      </w:r>
      <w:bookmarkEnd w:id="310"/>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311" w:name="_Toc100242795"/>
      <w:r>
        <w:rPr>
          <w:rStyle w:val="CharSectno"/>
        </w:rPr>
        <w:lastRenderedPageBreak/>
        <w:t>150</w:t>
      </w:r>
      <w:r>
        <w:t>.</w:t>
      </w:r>
      <w:r>
        <w:tab/>
        <w:t>Notices as to corresponding laws about persons responsible for vehicle</w:t>
      </w:r>
      <w:bookmarkEnd w:id="311"/>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312" w:name="_Toc100242796"/>
      <w:r>
        <w:rPr>
          <w:rStyle w:val="CharSectno"/>
        </w:rPr>
        <w:t>151</w:t>
      </w:r>
      <w:r>
        <w:t>.</w:t>
      </w:r>
      <w:r>
        <w:tab/>
        <w:t>Delegations and approvals</w:t>
      </w:r>
      <w:bookmarkEnd w:id="312"/>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313" w:name="_Toc100242797"/>
      <w:r>
        <w:rPr>
          <w:rStyle w:val="CharSectno"/>
        </w:rPr>
        <w:t>152</w:t>
      </w:r>
      <w:r>
        <w:t>.</w:t>
      </w:r>
      <w:r>
        <w:tab/>
        <w:t>Agreements as to Director General’s functions</w:t>
      </w:r>
      <w:bookmarkEnd w:id="313"/>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314" w:name="_Toc100242798"/>
      <w:r>
        <w:rPr>
          <w:rStyle w:val="CharSectno"/>
        </w:rPr>
        <w:t>153</w:t>
      </w:r>
      <w:r>
        <w:t>.</w:t>
      </w:r>
      <w:r>
        <w:tab/>
        <w:t>Use of certain particulars</w:t>
      </w:r>
      <w:bookmarkEnd w:id="314"/>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ageBreakBefore/>
        <w:spacing w:before="0"/>
      </w:pPr>
      <w:bookmarkStart w:id="315" w:name="_Toc100242799"/>
      <w:r>
        <w:rPr>
          <w:rStyle w:val="CharSectno"/>
        </w:rPr>
        <w:lastRenderedPageBreak/>
        <w:t>154</w:t>
      </w:r>
      <w:r>
        <w:t>.</w:t>
      </w:r>
      <w:r>
        <w:tab/>
        <w:t>Applications for grant or transfer of vehicle licences</w:t>
      </w:r>
      <w:bookmarkEnd w:id="315"/>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316" w:name="_Toc100242800"/>
      <w:r>
        <w:rPr>
          <w:rStyle w:val="CharSectno"/>
        </w:rPr>
        <w:t>155</w:t>
      </w:r>
      <w:r>
        <w:t>.</w:t>
      </w:r>
      <w:r>
        <w:tab/>
        <w:t>Notices and delegations as to temporary suspension of laws</w:t>
      </w:r>
      <w:bookmarkEnd w:id="316"/>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317" w:name="_Toc100242801"/>
      <w:r>
        <w:rPr>
          <w:rStyle w:val="CharSectno"/>
        </w:rPr>
        <w:t>156</w:t>
      </w:r>
      <w:r>
        <w:t>.</w:t>
      </w:r>
      <w:r>
        <w:tab/>
        <w:t>Agreements as to expenses for repairing damage to roads caused by heavy traffic</w:t>
      </w:r>
      <w:bookmarkEnd w:id="317"/>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318" w:name="_Toc100242802"/>
      <w:r>
        <w:rPr>
          <w:rStyle w:val="CharSectno"/>
        </w:rPr>
        <w:t>157</w:t>
      </w:r>
      <w:r>
        <w:t>.</w:t>
      </w:r>
      <w:r>
        <w:tab/>
        <w:t>Unauthorised parking areas</w:t>
      </w:r>
      <w:bookmarkEnd w:id="318"/>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319" w:name="_Toc100242803"/>
      <w:r>
        <w:rPr>
          <w:rStyle w:val="CharSectno"/>
        </w:rPr>
        <w:t>158</w:t>
      </w:r>
      <w:r>
        <w:t>.</w:t>
      </w:r>
      <w:r>
        <w:tab/>
        <w:t>Confusing lights affecting traffic on roads</w:t>
      </w:r>
      <w:bookmarkEnd w:id="319"/>
    </w:p>
    <w:p>
      <w:pPr>
        <w:pStyle w:val="Subsection"/>
      </w:pPr>
      <w:r>
        <w:tab/>
      </w:r>
      <w:r>
        <w:tab/>
        <w:t>A notice under the RT Act section 87(2) that was in effect immediately before commencement day is, on and from commencement day, to be taken to be a notice under section 140(2).</w:t>
      </w:r>
    </w:p>
    <w:p>
      <w:pPr>
        <w:pStyle w:val="Heading5"/>
        <w:pageBreakBefore/>
        <w:spacing w:before="0"/>
      </w:pPr>
      <w:bookmarkStart w:id="320" w:name="_Toc100242804"/>
      <w:r>
        <w:rPr>
          <w:rStyle w:val="CharSectno"/>
        </w:rPr>
        <w:lastRenderedPageBreak/>
        <w:t>159</w:t>
      </w:r>
      <w:r>
        <w:t>.</w:t>
      </w:r>
      <w:r>
        <w:tab/>
        <w:t>Closure of roads</w:t>
      </w:r>
      <w:bookmarkEnd w:id="320"/>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321" w:name="_Toc100242805"/>
      <w:r>
        <w:rPr>
          <w:rStyle w:val="CharSectno"/>
        </w:rPr>
        <w:t>160</w:t>
      </w:r>
      <w:r>
        <w:t>.</w:t>
      </w:r>
      <w:r>
        <w:tab/>
        <w:t>Notices, certificates and delegations as to evidence about measuring equipment</w:t>
      </w:r>
      <w:bookmarkEnd w:id="321"/>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322" w:name="_Toc100242806"/>
      <w:r>
        <w:rPr>
          <w:rStyle w:val="CharSectno"/>
        </w:rPr>
        <w:t>161</w:t>
      </w:r>
      <w:r>
        <w:t>.</w:t>
      </w:r>
      <w:r>
        <w:tab/>
        <w:t>Infringement notices</w:t>
      </w:r>
      <w:bookmarkEnd w:id="322"/>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lastRenderedPageBreak/>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323" w:name="_Toc100242807"/>
      <w:r>
        <w:rPr>
          <w:rStyle w:val="CharSectno"/>
        </w:rPr>
        <w:t>162</w:t>
      </w:r>
      <w:r>
        <w:t>.</w:t>
      </w:r>
      <w:r>
        <w:tab/>
        <w:t>Notices requesting information</w:t>
      </w:r>
      <w:bookmarkEnd w:id="323"/>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324" w:name="_Toc100242808"/>
      <w:r>
        <w:rPr>
          <w:rStyle w:val="CharSectno"/>
        </w:rPr>
        <w:t>163</w:t>
      </w:r>
      <w:r>
        <w:t>.</w:t>
      </w:r>
      <w:r>
        <w:tab/>
        <w:t>Minister’s declarations to apply regulations to areas other than roads etc.</w:t>
      </w:r>
      <w:bookmarkEnd w:id="324"/>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ageBreakBefore/>
        <w:spacing w:before="0"/>
      </w:pPr>
      <w:bookmarkStart w:id="325" w:name="_Toc100242809"/>
      <w:r>
        <w:rPr>
          <w:rStyle w:val="CharSectno"/>
        </w:rPr>
        <w:lastRenderedPageBreak/>
        <w:t>164</w:t>
      </w:r>
      <w:r>
        <w:t>.</w:t>
      </w:r>
      <w:r>
        <w:tab/>
        <w:t>Transitional regulations</w:t>
      </w:r>
      <w:bookmarkEnd w:id="325"/>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326" w:name="_Toc100234418"/>
      <w:bookmarkStart w:id="327" w:name="_Toc100234648"/>
      <w:bookmarkStart w:id="328" w:name="_Toc100236228"/>
      <w:bookmarkStart w:id="329" w:name="_Toc100242810"/>
      <w:r>
        <w:t xml:space="preserve">Subdivision 2 — Transitional provisions arising from amendments made to other written laws by the </w:t>
      </w:r>
      <w:r>
        <w:rPr>
          <w:i/>
          <w:iCs/>
        </w:rPr>
        <w:t>Road Traffic Legislation Amendment Act 2012</w:t>
      </w:r>
      <w:bookmarkEnd w:id="326"/>
      <w:bookmarkEnd w:id="327"/>
      <w:bookmarkEnd w:id="328"/>
      <w:bookmarkEnd w:id="329"/>
    </w:p>
    <w:p>
      <w:pPr>
        <w:pStyle w:val="Footnoteheading"/>
      </w:pPr>
      <w:r>
        <w:tab/>
        <w:t>[Heading amended: No. 8 of 2012 s. 228.]</w:t>
      </w:r>
    </w:p>
    <w:p>
      <w:pPr>
        <w:pStyle w:val="Heading5"/>
      </w:pPr>
      <w:bookmarkStart w:id="330" w:name="_Toc100242811"/>
      <w:r>
        <w:rPr>
          <w:rStyle w:val="CharSectno"/>
        </w:rPr>
        <w:t>165</w:t>
      </w:r>
      <w:r>
        <w:t>.</w:t>
      </w:r>
      <w:r>
        <w:tab/>
        <w:t>Transitional regulations for laws other than road laws</w:t>
      </w:r>
      <w:bookmarkEnd w:id="330"/>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331" w:name="_Toc100234420"/>
      <w:bookmarkStart w:id="332" w:name="_Toc100234650"/>
      <w:bookmarkStart w:id="333" w:name="_Toc100236230"/>
      <w:bookmarkStart w:id="334" w:name="_Toc100242812"/>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331"/>
      <w:bookmarkEnd w:id="332"/>
      <w:bookmarkEnd w:id="333"/>
      <w:bookmarkEnd w:id="334"/>
    </w:p>
    <w:p>
      <w:pPr>
        <w:pStyle w:val="Footnoteheading"/>
      </w:pPr>
      <w:r>
        <w:tab/>
        <w:t>[Heading inserted: No. 25 of 2016 s. 68.]</w:t>
      </w:r>
    </w:p>
    <w:p>
      <w:pPr>
        <w:pStyle w:val="Heading5"/>
      </w:pPr>
      <w:bookmarkStart w:id="335" w:name="_Toc100242813"/>
      <w:r>
        <w:rPr>
          <w:rStyle w:val="CharSectno"/>
        </w:rPr>
        <w:t>166</w:t>
      </w:r>
      <w:r>
        <w:t>.</w:t>
      </w:r>
      <w:r>
        <w:tab/>
        <w:t>Terms used</w:t>
      </w:r>
      <w:bookmarkEnd w:id="33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lastRenderedPageBreak/>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336" w:name="_Toc100242814"/>
      <w:r>
        <w:rPr>
          <w:rStyle w:val="CharSectno"/>
        </w:rPr>
        <w:t>167</w:t>
      </w:r>
      <w:r>
        <w:t>.</w:t>
      </w:r>
      <w:r>
        <w:tab/>
        <w:t>Approval of apparatus for ascertaining vehicle speed</w:t>
      </w:r>
      <w:bookmarkEnd w:id="336"/>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337" w:name="_Toc100242815"/>
      <w:r>
        <w:rPr>
          <w:rStyle w:val="CharSectno"/>
        </w:rPr>
        <w:t>168</w:t>
      </w:r>
      <w:r>
        <w:t>.</w:t>
      </w:r>
      <w:r>
        <w:tab/>
        <w:t>Approval of apparatus for ascertaining distances on roads</w:t>
      </w:r>
      <w:bookmarkEnd w:id="337"/>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338" w:name="_Toc100242816"/>
      <w:r>
        <w:rPr>
          <w:rStyle w:val="CharSectno"/>
        </w:rPr>
        <w:t>169</w:t>
      </w:r>
      <w:r>
        <w:t>.</w:t>
      </w:r>
      <w:r>
        <w:tab/>
        <w:t>Certain authorised persons to be authorised persons for speed measuring and recording equipment, average speed detection systems</w:t>
      </w:r>
      <w:bookmarkEnd w:id="338"/>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lastRenderedPageBreak/>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39" w:name="_Toc100234425"/>
      <w:bookmarkStart w:id="340" w:name="_Toc100234655"/>
      <w:bookmarkStart w:id="341" w:name="_Toc100236235"/>
      <w:bookmarkStart w:id="342" w:name="_Toc100242817"/>
      <w:r>
        <w:lastRenderedPageBreak/>
        <w:t>Notes</w:t>
      </w:r>
      <w:bookmarkEnd w:id="339"/>
      <w:bookmarkEnd w:id="340"/>
      <w:bookmarkEnd w:id="341"/>
      <w:bookmarkEnd w:id="342"/>
    </w:p>
    <w:p>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w:t>
      </w:r>
    </w:p>
    <w:p>
      <w:pPr>
        <w:pStyle w:val="nHeading3"/>
      </w:pPr>
      <w:bookmarkStart w:id="343" w:name="_Toc100242818"/>
      <w:r>
        <w:t>Compilation table</w:t>
      </w:r>
      <w:bookmarkEnd w:id="34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gridAfter w:val="1"/>
          <w:wAfter w:w="6"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9" w:type="dxa"/>
            <w:tcBorders>
              <w:top w:val="single" w:sz="4" w:space="0" w:color="auto"/>
              <w:bottom w:val="nil"/>
            </w:tcBorders>
          </w:tcPr>
          <w:p>
            <w:pPr>
              <w:pStyle w:val="nTable"/>
              <w:spacing w:after="40"/>
            </w:pPr>
            <w:r>
              <w:t>39 of 2008</w:t>
            </w:r>
          </w:p>
        </w:tc>
        <w:tc>
          <w:tcPr>
            <w:tcW w:w="1138" w:type="dxa"/>
            <w:tcBorders>
              <w:top w:val="single" w:sz="4" w:space="0" w:color="auto"/>
              <w:bottom w:val="nil"/>
            </w:tcBorders>
          </w:tcPr>
          <w:p>
            <w:pPr>
              <w:pStyle w:val="nTable"/>
              <w:spacing w:after="40"/>
            </w:pPr>
            <w:r>
              <w:t>15 Aug 2008</w:t>
            </w:r>
          </w:p>
        </w:tc>
        <w:tc>
          <w:tcPr>
            <w:tcW w:w="2561" w:type="dxa"/>
            <w:gridSpan w:val="2"/>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pPr>
              <w:pStyle w:val="nTable"/>
              <w:spacing w:after="40"/>
            </w:pPr>
            <w:r>
              <w:t>39 of 2009</w:t>
            </w:r>
          </w:p>
        </w:tc>
        <w:tc>
          <w:tcPr>
            <w:tcW w:w="1138" w:type="dxa"/>
            <w:tcBorders>
              <w:top w:val="nil"/>
              <w:bottom w:val="nil"/>
            </w:tcBorders>
          </w:tcPr>
          <w:p>
            <w:pPr>
              <w:pStyle w:val="nTable"/>
              <w:spacing w:after="40"/>
            </w:pPr>
            <w:r>
              <w:t>3 Dec 2009</w:t>
            </w:r>
          </w:p>
        </w:tc>
        <w:tc>
          <w:tcPr>
            <w:tcW w:w="2561" w:type="dxa"/>
            <w:gridSpan w:val="2"/>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pPr>
              <w:pStyle w:val="nTable"/>
              <w:spacing w:after="40"/>
            </w:pPr>
            <w:r>
              <w:t>51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pPr>
              <w:pStyle w:val="nTable"/>
              <w:spacing w:after="40"/>
            </w:pPr>
            <w:r>
              <w:t>54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pPr>
              <w:pStyle w:val="nTable"/>
              <w:spacing w:after="40"/>
            </w:pPr>
            <w:r>
              <w:t>14 of 2011</w:t>
            </w:r>
          </w:p>
        </w:tc>
        <w:tc>
          <w:tcPr>
            <w:tcW w:w="1138" w:type="dxa"/>
            <w:tcBorders>
              <w:top w:val="nil"/>
              <w:bottom w:val="nil"/>
            </w:tcBorders>
          </w:tcPr>
          <w:p>
            <w:pPr>
              <w:pStyle w:val="nTable"/>
              <w:spacing w:after="40"/>
            </w:pPr>
            <w:r>
              <w:t>25 May 2011</w:t>
            </w:r>
          </w:p>
        </w:tc>
        <w:tc>
          <w:tcPr>
            <w:tcW w:w="2561" w:type="dxa"/>
            <w:gridSpan w:val="2"/>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pPr>
              <w:pStyle w:val="nTable"/>
              <w:spacing w:after="40"/>
            </w:pPr>
            <w:r>
              <w:t>18 of 2011</w:t>
            </w:r>
          </w:p>
        </w:tc>
        <w:tc>
          <w:tcPr>
            <w:tcW w:w="1138" w:type="dxa"/>
            <w:tcBorders>
              <w:top w:val="nil"/>
              <w:bottom w:val="nil"/>
            </w:tcBorders>
          </w:tcPr>
          <w:p>
            <w:pPr>
              <w:pStyle w:val="nTable"/>
              <w:spacing w:after="40"/>
            </w:pPr>
            <w:r>
              <w:t>2 Jun 2011</w:t>
            </w:r>
          </w:p>
        </w:tc>
        <w:tc>
          <w:tcPr>
            <w:tcW w:w="2561" w:type="dxa"/>
            <w:gridSpan w:val="2"/>
            <w:tcBorders>
              <w:top w:val="nil"/>
              <w:bottom w:val="nil"/>
            </w:tcBorders>
          </w:tcPr>
          <w:p>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pPr>
              <w:pStyle w:val="nTable"/>
              <w:spacing w:after="40"/>
            </w:pPr>
            <w:r>
              <w:t>8 of 2012 (as amended by No. 10 of 2015 s. 19)</w:t>
            </w:r>
          </w:p>
        </w:tc>
        <w:tc>
          <w:tcPr>
            <w:tcW w:w="1138" w:type="dxa"/>
            <w:tcBorders>
              <w:top w:val="nil"/>
              <w:bottom w:val="nil"/>
            </w:tcBorders>
          </w:tcPr>
          <w:p>
            <w:pPr>
              <w:pStyle w:val="nTable"/>
              <w:spacing w:after="40"/>
            </w:pPr>
            <w:r>
              <w:t>21 May 2012</w:t>
            </w:r>
          </w:p>
        </w:tc>
        <w:tc>
          <w:tcPr>
            <w:tcW w:w="2561" w:type="dxa"/>
            <w:gridSpan w:val="2"/>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keepLines/>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pPr>
              <w:pStyle w:val="nTable"/>
              <w:keepLines/>
              <w:spacing w:after="40"/>
            </w:pPr>
            <w:r>
              <w:t>59 of 2012</w:t>
            </w:r>
          </w:p>
        </w:tc>
        <w:tc>
          <w:tcPr>
            <w:tcW w:w="1138" w:type="dxa"/>
            <w:tcBorders>
              <w:top w:val="nil"/>
              <w:bottom w:val="nil"/>
            </w:tcBorders>
          </w:tcPr>
          <w:p>
            <w:pPr>
              <w:pStyle w:val="nTable"/>
              <w:keepLines/>
              <w:spacing w:after="40"/>
            </w:pPr>
            <w:r>
              <w:t>11 Dec 2012</w:t>
            </w:r>
          </w:p>
        </w:tc>
        <w:tc>
          <w:tcPr>
            <w:tcW w:w="2561" w:type="dxa"/>
            <w:gridSpan w:val="2"/>
            <w:tcBorders>
              <w:top w:val="nil"/>
              <w:bottom w:val="nil"/>
            </w:tcBorders>
          </w:tcPr>
          <w:p>
            <w:pPr>
              <w:pStyle w:val="nTable"/>
              <w:keepLines/>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tcPr>
          <w:p>
            <w:pPr>
              <w:pStyle w:val="nTable"/>
              <w:spacing w:after="40"/>
              <w:rPr>
                <w:i/>
                <w:noProof/>
                <w:snapToGrid w:val="0"/>
              </w:rPr>
            </w:pPr>
            <w:r>
              <w:rPr>
                <w:i/>
                <w:noProof/>
              </w:rPr>
              <w:lastRenderedPageBreak/>
              <w:t>Road Traffic Amendment (Alcohol Interlocks and Other Matters) Act 2015</w:t>
            </w:r>
            <w:r>
              <w:rPr>
                <w:noProof/>
              </w:rPr>
              <w:t xml:space="preserve"> Pt. 3 Div. 2</w:t>
            </w:r>
          </w:p>
        </w:tc>
        <w:tc>
          <w:tcPr>
            <w:tcW w:w="1139" w:type="dxa"/>
            <w:tcBorders>
              <w:top w:val="nil"/>
              <w:bottom w:val="nil"/>
            </w:tcBorders>
          </w:tcPr>
          <w:p>
            <w:pPr>
              <w:pStyle w:val="nTable"/>
              <w:spacing w:after="40"/>
            </w:pPr>
            <w:r>
              <w:t>2 of 2015</w:t>
            </w:r>
          </w:p>
        </w:tc>
        <w:tc>
          <w:tcPr>
            <w:tcW w:w="1138" w:type="dxa"/>
            <w:tcBorders>
              <w:top w:val="nil"/>
              <w:bottom w:val="nil"/>
            </w:tcBorders>
          </w:tcPr>
          <w:p>
            <w:pPr>
              <w:pStyle w:val="nTable"/>
              <w:spacing w:after="40"/>
            </w:pPr>
            <w:r>
              <w:t>25 Feb 2015</w:t>
            </w:r>
          </w:p>
        </w:tc>
        <w:tc>
          <w:tcPr>
            <w:tcW w:w="2561" w:type="dxa"/>
            <w:gridSpan w:val="2"/>
            <w:tcBorders>
              <w:top w:val="nil"/>
              <w:bottom w:val="nil"/>
            </w:tcBorders>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pPr>
              <w:pStyle w:val="nTable"/>
              <w:spacing w:after="40"/>
            </w:pPr>
            <w:r>
              <w:t>10 of 2015</w:t>
            </w:r>
          </w:p>
        </w:tc>
        <w:tc>
          <w:tcPr>
            <w:tcW w:w="1138" w:type="dxa"/>
            <w:tcBorders>
              <w:top w:val="nil"/>
              <w:bottom w:val="nil"/>
            </w:tcBorders>
            <w:shd w:val="clear" w:color="auto" w:fill="auto"/>
          </w:tcPr>
          <w:p>
            <w:pPr>
              <w:pStyle w:val="nTable"/>
              <w:spacing w:after="40"/>
            </w:pPr>
            <w:r>
              <w:t>1 Apr 2015</w:t>
            </w:r>
          </w:p>
        </w:tc>
        <w:tc>
          <w:tcPr>
            <w:tcW w:w="2561" w:type="dxa"/>
            <w:gridSpan w:val="2"/>
            <w:tcBorders>
              <w:top w:val="nil"/>
              <w:bottom w:val="nil"/>
            </w:tcBorders>
            <w:shd w:val="clear" w:color="auto" w:fill="auto"/>
          </w:tcPr>
          <w:p>
            <w:pPr>
              <w:pStyle w:val="nTable"/>
              <w:spacing w:after="40"/>
              <w:rPr>
                <w:snapToGrid w:val="0"/>
              </w:rPr>
            </w:pPr>
            <w:r>
              <w:rPr>
                <w:snapToGrid w:val="0"/>
              </w:rPr>
              <w:t>2 Apr 2015 (see s. 2(b))</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tc>
          <w:tcPr>
            <w:tcW w:w="2273" w:type="dxa"/>
            <w:tcBorders>
              <w:top w:val="nil"/>
              <w:bottom w:val="nil"/>
            </w:tcBorders>
            <w:shd w:val="clear" w:color="auto" w:fill="auto"/>
          </w:tcPr>
          <w:p>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pPr>
              <w:pStyle w:val="nTable"/>
              <w:spacing w:after="40"/>
            </w:pPr>
            <w:r>
              <w:t>25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tc>
          <w:tcPr>
            <w:tcW w:w="2273" w:type="dxa"/>
            <w:tcBorders>
              <w:top w:val="nil"/>
              <w:bottom w:val="nil"/>
            </w:tcBorders>
            <w:shd w:val="clear" w:color="auto" w:fill="auto"/>
          </w:tcPr>
          <w:p>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pPr>
              <w:pStyle w:val="nTable"/>
              <w:spacing w:after="40"/>
            </w:pPr>
            <w:r>
              <w:t>26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tc>
          <w:tcPr>
            <w:tcW w:w="2273"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pPr>
              <w:pStyle w:val="nTable"/>
              <w:spacing w:after="40"/>
            </w:pPr>
            <w:r>
              <w:t>26 of 2018</w:t>
            </w:r>
          </w:p>
        </w:tc>
        <w:tc>
          <w:tcPr>
            <w:tcW w:w="1138" w:type="dxa"/>
            <w:tcBorders>
              <w:top w:val="nil"/>
              <w:bottom w:val="nil"/>
            </w:tcBorders>
            <w:shd w:val="clear" w:color="auto" w:fill="auto"/>
          </w:tcPr>
          <w:p>
            <w:pPr>
              <w:pStyle w:val="nTable"/>
              <w:spacing w:after="40"/>
            </w:pPr>
            <w:r>
              <w:t>30 Oct 2018</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c>
          <w:tcPr>
            <w:tcW w:w="2273" w:type="dxa"/>
            <w:tcBorders>
              <w:top w:val="nil"/>
              <w:bottom w:val="nil"/>
            </w:tcBorders>
            <w:shd w:val="clear" w:color="auto" w:fill="auto"/>
          </w:tcPr>
          <w:p>
            <w:pPr>
              <w:pStyle w:val="nTable"/>
              <w:keepLines/>
              <w:spacing w:after="40"/>
              <w:rPr>
                <w:i/>
                <w:snapToGrid w:val="0"/>
              </w:rPr>
            </w:pPr>
            <w:r>
              <w:rPr>
                <w:i/>
              </w:rPr>
              <w:t>Fines, Penalties and Infringement Notices Enforcement Amendment Act 2020</w:t>
            </w:r>
            <w:r>
              <w:t xml:space="preserve"> Pt. 3 Div. 5</w:t>
            </w:r>
          </w:p>
        </w:tc>
        <w:tc>
          <w:tcPr>
            <w:tcW w:w="1139" w:type="dxa"/>
            <w:tcBorders>
              <w:top w:val="nil"/>
              <w:bottom w:val="nil"/>
            </w:tcBorders>
            <w:shd w:val="clear" w:color="auto" w:fill="auto"/>
          </w:tcPr>
          <w:p>
            <w:pPr>
              <w:pStyle w:val="nTable"/>
              <w:spacing w:after="40"/>
            </w:pPr>
            <w:r>
              <w:t>25 of 2020</w:t>
            </w:r>
          </w:p>
        </w:tc>
        <w:tc>
          <w:tcPr>
            <w:tcW w:w="1138"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rPr>
                <w:snapToGrid w:val="0"/>
              </w:rPr>
            </w:pPr>
            <w:r>
              <w:t>29 Sep 2020 (see s. 2(1)(c) and SL 2020/159 cl. 2(a))</w:t>
            </w:r>
          </w:p>
        </w:tc>
      </w:tr>
      <w:tr>
        <w:tc>
          <w:tcPr>
            <w:tcW w:w="2273" w:type="dxa"/>
            <w:tcBorders>
              <w:top w:val="nil"/>
              <w:bottom w:val="nil"/>
            </w:tcBorders>
            <w:shd w:val="clear" w:color="auto" w:fill="auto"/>
          </w:tcPr>
          <w:p>
            <w:pPr>
              <w:pStyle w:val="nTable"/>
              <w:keepLines/>
              <w:spacing w:after="40"/>
              <w:rPr>
                <w:i/>
              </w:rPr>
            </w:pPr>
            <w:r>
              <w:rPr>
                <w:i/>
              </w:rPr>
              <w:t>Family Violence Legislation Reform Act 2020</w:t>
            </w:r>
            <w:r>
              <w:t xml:space="preserve"> Pt. 8</w:t>
            </w:r>
          </w:p>
        </w:tc>
        <w:tc>
          <w:tcPr>
            <w:tcW w:w="1139" w:type="dxa"/>
            <w:tcBorders>
              <w:top w:val="nil"/>
              <w:bottom w:val="nil"/>
            </w:tcBorders>
            <w:shd w:val="clear" w:color="auto" w:fill="auto"/>
          </w:tcPr>
          <w:p>
            <w:pPr>
              <w:pStyle w:val="nTable"/>
              <w:spacing w:after="40"/>
            </w:pPr>
            <w:r>
              <w:t>30 of 2020</w:t>
            </w:r>
          </w:p>
        </w:tc>
        <w:tc>
          <w:tcPr>
            <w:tcW w:w="1138"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Jan 2021 (see s. 2(1)(c) and SL 2020/125 cl. 2(c)(iv))</w:t>
            </w:r>
          </w:p>
        </w:tc>
      </w:tr>
      <w:tr>
        <w:tc>
          <w:tcPr>
            <w:tcW w:w="2273" w:type="dxa"/>
            <w:tcBorders>
              <w:top w:val="nil"/>
              <w:bottom w:val="nil"/>
            </w:tcBorders>
            <w:shd w:val="clear" w:color="auto" w:fill="auto"/>
          </w:tcPr>
          <w:p>
            <w:pPr>
              <w:pStyle w:val="nTable"/>
              <w:keepLines/>
              <w:spacing w:after="40"/>
              <w:rPr>
                <w:i/>
              </w:rPr>
            </w:pPr>
            <w:r>
              <w:rPr>
                <w:i/>
              </w:rPr>
              <w:t>Road Traffic Amendment (Immobilisation, Towing and Detention of Vehicles) Act 2020</w:t>
            </w:r>
            <w:r>
              <w:t xml:space="preserve"> Pt. 3</w:t>
            </w:r>
          </w:p>
        </w:tc>
        <w:tc>
          <w:tcPr>
            <w:tcW w:w="1139" w:type="dxa"/>
            <w:tcBorders>
              <w:top w:val="nil"/>
              <w:bottom w:val="nil"/>
            </w:tcBorders>
            <w:shd w:val="clear" w:color="auto" w:fill="auto"/>
          </w:tcPr>
          <w:p>
            <w:pPr>
              <w:pStyle w:val="nTable"/>
              <w:spacing w:after="40"/>
            </w:pPr>
            <w:r>
              <w:t>38 of 2020</w:t>
            </w:r>
          </w:p>
        </w:tc>
        <w:tc>
          <w:tcPr>
            <w:tcW w:w="1138" w:type="dxa"/>
            <w:tcBorders>
              <w:top w:val="nil"/>
              <w:bottom w:val="nil"/>
            </w:tcBorders>
            <w:shd w:val="clear" w:color="auto" w:fill="auto"/>
          </w:tcPr>
          <w:p>
            <w:pPr>
              <w:pStyle w:val="nTable"/>
              <w:spacing w:after="40"/>
            </w:pPr>
            <w:r>
              <w:t>10 Nov 2020</w:t>
            </w:r>
          </w:p>
        </w:tc>
        <w:tc>
          <w:tcPr>
            <w:tcW w:w="2561" w:type="dxa"/>
            <w:gridSpan w:val="2"/>
            <w:tcBorders>
              <w:top w:val="nil"/>
              <w:bottom w:val="nil"/>
            </w:tcBorders>
            <w:shd w:val="clear" w:color="auto" w:fill="auto"/>
          </w:tcPr>
          <w:p>
            <w:pPr>
              <w:pStyle w:val="nTable"/>
              <w:spacing w:after="40"/>
            </w:pPr>
            <w:r>
              <w:t>14 Dec 2020 (see s. 2(1)(b) and SL 2020/229 cl. 2)</w:t>
            </w:r>
          </w:p>
        </w:tc>
      </w:tr>
      <w:tr>
        <w:tc>
          <w:tcPr>
            <w:tcW w:w="2273" w:type="dxa"/>
            <w:tcBorders>
              <w:top w:val="nil"/>
              <w:bottom w:val="single" w:sz="4" w:space="0" w:color="auto"/>
            </w:tcBorders>
            <w:shd w:val="clear" w:color="auto" w:fill="auto"/>
          </w:tcPr>
          <w:p>
            <w:pPr>
              <w:pStyle w:val="nTable"/>
              <w:keepLines/>
              <w:spacing w:after="40"/>
              <w:rPr>
                <w:i/>
              </w:rPr>
            </w:pPr>
            <w:r>
              <w:rPr>
                <w:i/>
              </w:rPr>
              <w:t>Transport Legislation Amendment (Identity Matching Services) Act 2022</w:t>
            </w:r>
            <w:r>
              <w:t xml:space="preserve"> Pt. 2</w:t>
            </w:r>
          </w:p>
        </w:tc>
        <w:tc>
          <w:tcPr>
            <w:tcW w:w="1139" w:type="dxa"/>
            <w:tcBorders>
              <w:top w:val="nil"/>
              <w:bottom w:val="single" w:sz="4" w:space="0" w:color="auto"/>
            </w:tcBorders>
            <w:shd w:val="clear" w:color="auto" w:fill="auto"/>
          </w:tcPr>
          <w:p>
            <w:pPr>
              <w:pStyle w:val="nTable"/>
              <w:spacing w:after="40"/>
            </w:pPr>
            <w:r>
              <w:t>8 of 2022</w:t>
            </w:r>
          </w:p>
        </w:tc>
        <w:tc>
          <w:tcPr>
            <w:tcW w:w="1138" w:type="dxa"/>
            <w:tcBorders>
              <w:top w:val="nil"/>
              <w:bottom w:val="single" w:sz="4" w:space="0" w:color="auto"/>
            </w:tcBorders>
            <w:shd w:val="clear" w:color="auto" w:fill="auto"/>
          </w:tcPr>
          <w:p>
            <w:pPr>
              <w:pStyle w:val="nTable"/>
              <w:spacing w:after="40"/>
            </w:pPr>
            <w:r>
              <w:t>14 Apr 2022</w:t>
            </w:r>
          </w:p>
        </w:tc>
        <w:tc>
          <w:tcPr>
            <w:tcW w:w="2561" w:type="dxa"/>
            <w:gridSpan w:val="2"/>
            <w:tcBorders>
              <w:top w:val="nil"/>
              <w:bottom w:val="single" w:sz="4" w:space="0" w:color="auto"/>
            </w:tcBorders>
            <w:shd w:val="clear" w:color="auto" w:fill="auto"/>
          </w:tcPr>
          <w:p>
            <w:pPr>
              <w:pStyle w:val="nTable"/>
              <w:spacing w:after="40"/>
            </w:pPr>
            <w:r>
              <w:t>15 Apr 2022 (see s. 2(b))</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345" w:name="_Toc100242819"/>
      <w:r>
        <w:rPr>
          <w:sz w:val="28"/>
        </w:rPr>
        <w:lastRenderedPageBreak/>
        <w:t>Defined terms</w:t>
      </w:r>
      <w:bookmarkEnd w:id="3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17(1)</w:t>
      </w:r>
    </w:p>
    <w:p>
      <w:pPr>
        <w:pStyle w:val="DefinedTerms"/>
      </w:pPr>
      <w:r>
        <w:t>alleged offender</w:t>
      </w:r>
      <w:r>
        <w:tab/>
        <w:t>83(1)</w:t>
      </w:r>
    </w:p>
    <w:p>
      <w:pPr>
        <w:pStyle w:val="DefinedTerms"/>
      </w:pPr>
      <w:r>
        <w:t>amending Act</w:t>
      </w:r>
      <w:r>
        <w:tab/>
        <w:t>147</w:t>
      </w:r>
    </w:p>
    <w:p>
      <w:pPr>
        <w:pStyle w:val="DefinedTerms"/>
      </w:pPr>
      <w:r>
        <w:t>approved</w:t>
      </w:r>
      <w:r>
        <w:tab/>
        <w:t>117G(3)</w:t>
      </w:r>
    </w:p>
    <w:p>
      <w:pPr>
        <w:pStyle w:val="DefinedTerms"/>
      </w:pPr>
      <w:r>
        <w:t>approved procedure</w:t>
      </w:r>
      <w:r>
        <w:tab/>
        <w:t>117(1)</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 117B(1)</w:t>
      </w:r>
    </w:p>
    <w:p>
      <w:pPr>
        <w:pStyle w:val="DefinedTerms"/>
      </w:pPr>
      <w:r>
        <w:t>authorised purpose</w:t>
      </w:r>
      <w:r>
        <w:tab/>
        <w:t>14(1)</w:t>
      </w:r>
    </w:p>
    <w:p>
      <w:pPr>
        <w:pStyle w:val="DefinedTerms"/>
      </w:pPr>
      <w:r>
        <w:t>authorised to drive a vehicle</w:t>
      </w:r>
      <w:r>
        <w:tab/>
        <w:t>29(3)</w:t>
      </w:r>
    </w:p>
    <w:p>
      <w:pPr>
        <w:pStyle w:val="DefinedTerms"/>
      </w:pPr>
      <w:r>
        <w:t>authorised to run the engine of a vehicle</w:t>
      </w:r>
      <w:r>
        <w:tab/>
        <w:t>29(3)</w:t>
      </w:r>
    </w:p>
    <w:p>
      <w:pPr>
        <w:pStyle w:val="DefinedTerms"/>
      </w:pPr>
      <w:r>
        <w:t>average speed detection system</w:t>
      </w:r>
      <w:r>
        <w:tab/>
        <w:t>117B(1)</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carriageway</w:t>
      </w:r>
      <w:r>
        <w:tab/>
        <w:t>117B(1)</w:t>
      </w:r>
    </w:p>
    <w:p>
      <w:pPr>
        <w:pStyle w:val="DefinedTerms"/>
      </w:pPr>
      <w:r>
        <w:t>CEO</w:t>
      </w:r>
      <w:r>
        <w:tab/>
        <w:t>4</w:t>
      </w:r>
    </w:p>
    <w:p>
      <w:pPr>
        <w:pStyle w:val="DefinedTerms"/>
      </w:pPr>
      <w:r>
        <w:t>certificate</w:t>
      </w:r>
      <w:r>
        <w:tab/>
        <w:t>126(1)</w:t>
      </w:r>
    </w:p>
    <w:p>
      <w:pPr>
        <w:pStyle w:val="DefinedTerms"/>
      </w:pPr>
      <w:r>
        <w:t>co-driver</w:t>
      </w:r>
      <w:r>
        <w:tab/>
        <w:t>4, 28, 38</w:t>
      </w:r>
    </w:p>
    <w:p>
      <w:pPr>
        <w:pStyle w:val="DefinedTerms"/>
      </w:pPr>
      <w:r>
        <w:t>commencement day</w:t>
      </w:r>
      <w:r>
        <w:tab/>
        <w:t>147, 166</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detection points</w:t>
      </w:r>
      <w:r>
        <w:tab/>
        <w:t>117A(1)</w:t>
      </w:r>
    </w:p>
    <w:p>
      <w:pPr>
        <w:pStyle w:val="DefinedTerms"/>
      </w:pPr>
      <w:r>
        <w:t>director</w:t>
      </w:r>
      <w:r>
        <w:tab/>
        <w:t>119(1), 137(1)</w:t>
      </w:r>
    </w:p>
    <w:p>
      <w:pPr>
        <w:pStyle w:val="DefinedTerms"/>
      </w:pPr>
      <w:r>
        <w:t>disclose</w:t>
      </w:r>
      <w:r>
        <w:tab/>
        <w:t>4</w:t>
      </w:r>
    </w:p>
    <w:p>
      <w:pPr>
        <w:pStyle w:val="DefinedTerms"/>
      </w:pPr>
      <w:r>
        <w:t>Disq</w:t>
      </w:r>
      <w:r>
        <w:tab/>
        <w:t>7</w:t>
      </w:r>
    </w:p>
    <w:p>
      <w:pPr>
        <w:pStyle w:val="DefinedTerms"/>
      </w:pPr>
      <w:r>
        <w:t>distance measuring equipment</w:t>
      </w:r>
      <w:r>
        <w:tab/>
        <w:t>117(1)</w:t>
      </w:r>
    </w:p>
    <w:p>
      <w:pPr>
        <w:pStyle w:val="DefinedTerms"/>
      </w:pPr>
      <w:r>
        <w:t>district</w:t>
      </w:r>
      <w:r>
        <w:tab/>
        <w:t>3(2)</w:t>
      </w:r>
    </w:p>
    <w:p>
      <w:pPr>
        <w:pStyle w:val="DefinedTerms"/>
      </w:pPr>
      <w:r>
        <w:t>drive</w:t>
      </w:r>
      <w:r>
        <w:tab/>
        <w:t>3(2)</w:t>
      </w:r>
    </w:p>
    <w:p>
      <w:pPr>
        <w:pStyle w:val="DefinedTerms"/>
      </w:pPr>
      <w:r>
        <w:t>driver</w:t>
      </w:r>
      <w:r>
        <w:tab/>
        <w:t>4, 28, 38</w:t>
      </w:r>
    </w:p>
    <w:p>
      <w:pPr>
        <w:pStyle w:val="DefinedTerms"/>
      </w:pPr>
      <w:r>
        <w:lastRenderedPageBreak/>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DVO</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Family Court injunction</w:t>
      </w:r>
      <w:r>
        <w:tab/>
        <w:t>4</w:t>
      </w:r>
    </w:p>
    <w:p>
      <w:pPr>
        <w:pStyle w:val="DefinedTerms"/>
      </w:pPr>
      <w:r>
        <w:t>family violence</w:t>
      </w:r>
      <w:r>
        <w:tab/>
        <w:t>4</w:t>
      </w:r>
    </w:p>
    <w:p>
      <w:pPr>
        <w:pStyle w:val="DefinedTerms"/>
      </w:pPr>
      <w:r>
        <w:t>family violence evidentiary document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ICWA</w:t>
      </w:r>
      <w:r>
        <w:tab/>
        <w:t>13D(1)</w:t>
      </w:r>
    </w:p>
    <w:p>
      <w:pPr>
        <w:pStyle w:val="DefinedTerms"/>
      </w:pPr>
      <w:r>
        <w:t>identity request</w:t>
      </w:r>
      <w:r>
        <w:tab/>
        <w:t>35(1)</w:t>
      </w:r>
    </w:p>
    <w:p>
      <w:pPr>
        <w:pStyle w:val="DefinedTerms"/>
      </w:pPr>
      <w:r>
        <w:t>incident</w:t>
      </w:r>
      <w:r>
        <w:tab/>
        <w:t>26(1)</w:t>
      </w:r>
    </w:p>
    <w:p>
      <w:pPr>
        <w:pStyle w:val="DefinedTerms"/>
      </w:pPr>
      <w:r>
        <w:t>incident information</w:t>
      </w:r>
      <w:r>
        <w:tab/>
        <w:t>12(1), 13D(1), 13E(1), 15(1)</w:t>
      </w:r>
    </w:p>
    <w:p>
      <w:pPr>
        <w:pStyle w:val="DefinedTerms"/>
      </w:pPr>
      <w:r>
        <w:t>infringement notice</w:t>
      </w:r>
      <w:r>
        <w:tab/>
        <w:t>4, 13A(1), 79</w:t>
      </w:r>
    </w:p>
    <w:p>
      <w:pPr>
        <w:pStyle w:val="DefinedTerms"/>
      </w:pPr>
      <w:r>
        <w:t>inspection station</w:t>
      </w:r>
      <w:r>
        <w:tab/>
        <w:t>4</w:t>
      </w:r>
    </w:p>
    <w:p>
      <w:pPr>
        <w:pStyle w:val="DefinedTerms"/>
      </w:pPr>
      <w:r>
        <w:t>instructor</w:t>
      </w:r>
      <w:r>
        <w:tab/>
        <w:t>28</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 driver</w:t>
      </w:r>
      <w:r>
        <w:tab/>
        <w:t>28</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licensed surveyor</w:t>
      </w:r>
      <w:r>
        <w:tab/>
        <w:t>117H(1)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w:t>
      </w:r>
    </w:p>
    <w:p>
      <w:pPr>
        <w:pStyle w:val="DefinedTerms"/>
      </w:pPr>
      <w:r>
        <w:t>MDLR compliance purposes</w:t>
      </w:r>
      <w:r>
        <w:tab/>
        <w:t>3(2), 27(2)</w:t>
      </w:r>
    </w:p>
    <w:p>
      <w:pPr>
        <w:pStyle w:val="DefinedTerms"/>
      </w:pPr>
      <w:r>
        <w:t>MDLR embargo notice</w:t>
      </w:r>
      <w:r>
        <w:tab/>
        <w:t>71(5)</w:t>
      </w:r>
    </w:p>
    <w:p>
      <w:pPr>
        <w:pStyle w:val="DefinedTerms"/>
      </w:pPr>
      <w:r>
        <w:t>MDLR offence</w:t>
      </w:r>
      <w:r>
        <w:tab/>
        <w:t>4, 28</w:t>
      </w:r>
    </w:p>
    <w:p>
      <w:pPr>
        <w:pStyle w:val="DefinedTerms"/>
      </w:pPr>
      <w:r>
        <w:lastRenderedPageBreak/>
        <w:t>Min</w:t>
      </w:r>
      <w:r>
        <w:tab/>
        <w:t>7</w:t>
      </w:r>
    </w:p>
    <w:p>
      <w:pPr>
        <w:pStyle w:val="DefinedTerms"/>
      </w:pPr>
      <w:r>
        <w:t>Minister</w:t>
      </w:r>
      <w:r>
        <w:tab/>
        <w:t>117(1), 117B(1)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80(1)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w:t>
      </w:r>
      <w:r>
        <w:tab/>
        <w:t>4</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 61A(1), 61B(1)</w:t>
      </w:r>
    </w:p>
    <w:p>
      <w:pPr>
        <w:pStyle w:val="DefinedTerms"/>
      </w:pPr>
      <w:r>
        <w:t>prescribed area</w:t>
      </w:r>
      <w:r>
        <w:tab/>
        <w:t>40(1), 47(1)</w:t>
      </w:r>
    </w:p>
    <w:p>
      <w:pPr>
        <w:pStyle w:val="DefinedTerms"/>
      </w:pPr>
      <w:r>
        <w:t>prescribed person</w:t>
      </w:r>
      <w:r>
        <w:tab/>
        <w:t>14(1)</w:t>
      </w:r>
    </w:p>
    <w:p>
      <w:pPr>
        <w:pStyle w:val="DefinedTerms"/>
      </w:pPr>
      <w:r>
        <w:t>present offence</w:t>
      </w:r>
      <w:r>
        <w:tab/>
        <w:t>107</w:t>
      </w:r>
    </w:p>
    <w:p>
      <w:pPr>
        <w:pStyle w:val="DefinedTerms"/>
      </w:pPr>
      <w:r>
        <w:t>provide driving instruction</w:t>
      </w:r>
      <w:r>
        <w:tab/>
        <w:t>28</w:t>
      </w:r>
    </w:p>
    <w:p>
      <w:pPr>
        <w:pStyle w:val="DefinedTerms"/>
      </w:pPr>
      <w:r>
        <w:t>PU</w:t>
      </w:r>
      <w:r>
        <w:tab/>
        <w:t>7</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 61C(5), 61D(3), 61E(4)</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w:t>
      </w:r>
    </w:p>
    <w:p>
      <w:pPr>
        <w:pStyle w:val="DefinedTerms"/>
      </w:pPr>
      <w:r>
        <w:t>responsible person</w:t>
      </w:r>
      <w:r>
        <w:tab/>
        <w:t>4, 34(1)</w:t>
      </w:r>
    </w:p>
    <w:p>
      <w:pPr>
        <w:pStyle w:val="DefinedTerms"/>
      </w:pPr>
      <w:r>
        <w:t>road</w:t>
      </w:r>
      <w:r>
        <w:tab/>
        <w:t>3(2)</w:t>
      </w:r>
    </w:p>
    <w:p>
      <w:pPr>
        <w:pStyle w:val="DefinedTerms"/>
      </w:pPr>
      <w:r>
        <w:t>road authority</w:t>
      </w:r>
      <w:r>
        <w:tab/>
        <w:t>123</w:t>
      </w:r>
    </w:p>
    <w:p>
      <w:pPr>
        <w:pStyle w:val="DefinedTerms"/>
      </w:pPr>
      <w:r>
        <w:t>road infrastructure</w:t>
      </w:r>
      <w:r>
        <w:tab/>
        <w:t>4, 123</w:t>
      </w:r>
    </w:p>
    <w:p>
      <w:pPr>
        <w:pStyle w:val="DefinedTerms"/>
      </w:pPr>
      <w:r>
        <w:t>road law</w:t>
      </w:r>
      <w:r>
        <w:tab/>
        <w:t>3(2), 17(2), 110(1A)</w:t>
      </w:r>
    </w:p>
    <w:p>
      <w:pPr>
        <w:pStyle w:val="DefinedTerms"/>
      </w:pPr>
      <w:r>
        <w:t>road safety purpose</w:t>
      </w:r>
      <w:r>
        <w:tab/>
        <w:t>15(1)</w:t>
      </w:r>
    </w:p>
    <w:p>
      <w:pPr>
        <w:pStyle w:val="DefinedTerms"/>
      </w:pPr>
      <w:r>
        <w:t>road transport</w:t>
      </w:r>
      <w:r>
        <w:tab/>
        <w:t>4</w:t>
      </w:r>
    </w:p>
    <w:p>
      <w:pPr>
        <w:pStyle w:val="DefinedTerms"/>
      </w:pPr>
      <w:r>
        <w:t>RT(A) Act</w:t>
      </w:r>
      <w:r>
        <w:tab/>
        <w:t>166</w:t>
      </w:r>
    </w:p>
    <w:p>
      <w:pPr>
        <w:pStyle w:val="DefinedTerms"/>
      </w:pPr>
      <w:r>
        <w:t>RT Act</w:t>
      </w:r>
      <w:r>
        <w:tab/>
        <w:t>147</w:t>
      </w:r>
    </w:p>
    <w:p>
      <w:pPr>
        <w:pStyle w:val="DefinedTerms"/>
      </w:pPr>
      <w:r>
        <w:lastRenderedPageBreak/>
        <w:t>RTA Part 6A compliance purposes</w:t>
      </w:r>
      <w:r>
        <w:tab/>
        <w:t>4, 28</w:t>
      </w:r>
    </w:p>
    <w:p>
      <w:pPr>
        <w:pStyle w:val="DefinedTerms"/>
      </w:pPr>
      <w:r>
        <w:t>RTA Part 6A documentation</w:t>
      </w:r>
      <w:r>
        <w:tab/>
        <w:t>28</w:t>
      </w:r>
    </w:p>
    <w:p>
      <w:pPr>
        <w:pStyle w:val="DefinedTerms"/>
      </w:pPr>
      <w:r>
        <w:t>RTA Part 6A embargo notice</w:t>
      </w:r>
      <w:r>
        <w:tab/>
        <w:t>71(5A)</w:t>
      </w:r>
    </w:p>
    <w:p>
      <w:pPr>
        <w:pStyle w:val="DefinedTerms"/>
      </w:pPr>
      <w:r>
        <w:t>RTA Part 6A offence</w:t>
      </w:r>
      <w:r>
        <w:tab/>
        <w:t>28</w:t>
      </w:r>
    </w:p>
    <w:p>
      <w:pPr>
        <w:pStyle w:val="DefinedTerms"/>
      </w:pPr>
      <w:r>
        <w:t>run</w:t>
      </w:r>
      <w:r>
        <w:tab/>
        <w:t>28</w:t>
      </w:r>
    </w:p>
    <w:p>
      <w:pPr>
        <w:pStyle w:val="DefinedTerms"/>
      </w:pPr>
      <w:r>
        <w:t>shortest practicable distance</w:t>
      </w:r>
      <w:r>
        <w:tab/>
        <w:t>117B(1)</w:t>
      </w:r>
    </w:p>
    <w:p>
      <w:pPr>
        <w:pStyle w:val="DefinedTerms"/>
      </w:pPr>
      <w:r>
        <w:t>signature</w:t>
      </w:r>
      <w:r>
        <w:tab/>
        <w:t>4</w:t>
      </w:r>
    </w:p>
    <w:p>
      <w:pPr>
        <w:pStyle w:val="DefinedTerms"/>
      </w:pPr>
      <w:r>
        <w:t>speed measuring and recording equipment</w:t>
      </w:r>
      <w:r>
        <w:tab/>
        <w:t>117(1)</w:t>
      </w:r>
    </w:p>
    <w:p>
      <w:pPr>
        <w:pStyle w:val="DefinedTerms"/>
      </w:pPr>
      <w:r>
        <w:t>speed measuring equipment</w:t>
      </w:r>
      <w:r>
        <w:tab/>
        <w:t>117(1), 169(1)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4" w:name="Compilation"/>
    <w:bookmarkEnd w:id="3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6" w:name="DefinedTerms"/>
    <w:bookmarkEnd w:id="3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7" w:name="Coversheet"/>
    <w:bookmarkEnd w:id="3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7142822"/>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 w:name="WAFER_2020110913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853_GUID" w:val="8f66bcec-376c-496c-8043-68d2b727ccde"/>
    <w:docVar w:name="WAFER_20201130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27_GUID" w:val="2dbc475f-bc1e-4fed-8058-e88812ff1a5e"/>
    <w:docVar w:name="WAFER_20201211163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1163641_GUID" w:val="0fd462ba-37de-4cf3-831b-38daf434902e"/>
    <w:docVar w:name="WAFER_20220407142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42822_GUID" w:val="cfadc3ce-c6c1-4376-a1c0-a659a8f1b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BCB1263C-8EEF-4C6B-A5AC-B8C814E44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CFB99-43E3-4CED-9A97-81F1EEB36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43868</Words>
  <Characters>208814</Characters>
  <Application>Microsoft Office Word</Application>
  <DocSecurity>0</DocSecurity>
  <Lines>5643</Lines>
  <Paragraphs>3119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249563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2008 - 02-i0-00</dc:title>
  <dc:subject/>
  <dc:creator/>
  <cp:keywords/>
  <dc:description/>
  <cp:lastModifiedBy>Master Repository Process</cp:lastModifiedBy>
  <cp:revision>4</cp:revision>
  <cp:lastPrinted>2018-10-29T07:44:00Z</cp:lastPrinted>
  <dcterms:created xsi:type="dcterms:W3CDTF">2022-04-14T08:25:00Z</dcterms:created>
  <dcterms:modified xsi:type="dcterms:W3CDTF">2022-04-14T08:25:00Z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AsAtDate">
    <vt:lpwstr>15 Apr 2022</vt:lpwstr>
  </property>
  <property fmtid="{D5CDD505-2E9C-101B-9397-08002B2CF9AE}" pid="8" name="Suffix">
    <vt:lpwstr>02-i0-00</vt:lpwstr>
  </property>
  <property fmtid="{D5CDD505-2E9C-101B-9397-08002B2CF9AE}" pid="9" name="CommencementDate">
    <vt:lpwstr>20220415</vt:lpwstr>
  </property>
</Properties>
</file>