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_Toc100740379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_Toc100740380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_Toc100740381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_Toc100740384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_Toc100740385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_Toc100740386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_Toc100740387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_Toc100740388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_Toc100740389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_Toc100740390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_Toc100740391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_Toc100740393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_Toc100740394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_Toc100740395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_Toc100740396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_Toc100740397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_Toc100740398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_Toc100740400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_Toc100740401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_Toc100740402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_Toc100740403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_Toc100740404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_Toc100740405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_Toc100740406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_Toc100740407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_Toc100740408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_Toc100740409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_Toc100740410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_Toc100740412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_Toc100740413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_Toc100740414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_Toc100740415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_Toc100740416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_Toc100740418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_Toc100740419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_Toc100740420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_Toc100740421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_Toc100740422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_Toc100740423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_Toc100740437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_Toc100740438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_Toc100740439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100738351"/>
      <w:bookmarkStart w:id="4" w:name="_Toc100739056"/>
      <w:bookmarkStart w:id="5" w:name="_Toc100740378"/>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spacing w:before="240"/>
        <w:rPr>
          <w:snapToGrid w:val="0"/>
        </w:rPr>
      </w:pPr>
      <w:bookmarkStart w:id="6" w:name="_Toc10074037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100740380"/>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100740381"/>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100738355"/>
      <w:bookmarkStart w:id="10" w:name="_Toc100739060"/>
      <w:bookmarkStart w:id="11" w:name="_Toc100740382"/>
      <w:r>
        <w:rPr>
          <w:rStyle w:val="CharPartNo"/>
        </w:rPr>
        <w:lastRenderedPageBreak/>
        <w:t>Part I</w:t>
      </w:r>
      <w:r>
        <w:t> — </w:t>
      </w:r>
      <w:r>
        <w:rPr>
          <w:rStyle w:val="CharPartText"/>
        </w:rPr>
        <w:t>Legislature</w:t>
      </w:r>
      <w:bookmarkEnd w:id="9"/>
      <w:bookmarkEnd w:id="10"/>
      <w:bookmarkEnd w:id="11"/>
    </w:p>
    <w:p>
      <w:pPr>
        <w:pStyle w:val="Heading3"/>
      </w:pPr>
      <w:bookmarkStart w:id="12" w:name="_Toc100738356"/>
      <w:bookmarkStart w:id="13" w:name="_Toc100739061"/>
      <w:bookmarkStart w:id="14" w:name="_Toc100740383"/>
      <w:r>
        <w:rPr>
          <w:rStyle w:val="CharDivNo"/>
        </w:rPr>
        <w:t>Division 1</w:t>
      </w:r>
      <w:r>
        <w:t> — </w:t>
      </w:r>
      <w:r>
        <w:rPr>
          <w:rStyle w:val="CharDivText"/>
        </w:rPr>
        <w:t>Legislative Council</w:t>
      </w:r>
      <w:bookmarkEnd w:id="12"/>
      <w:bookmarkEnd w:id="13"/>
      <w:bookmarkEnd w:id="14"/>
    </w:p>
    <w:p>
      <w:pPr>
        <w:pStyle w:val="Footnoteheading"/>
      </w:pPr>
      <w:r>
        <w:tab/>
        <w:t>[Heading inserted: No. 19 of 2010 s. 44(2).]</w:t>
      </w:r>
    </w:p>
    <w:p>
      <w:pPr>
        <w:pStyle w:val="Heading5"/>
      </w:pPr>
      <w:bookmarkStart w:id="15" w:name="_Toc100740384"/>
      <w:r>
        <w:rPr>
          <w:rStyle w:val="CharSectno"/>
        </w:rPr>
        <w:t>5</w:t>
      </w:r>
      <w:r>
        <w:t>.</w:t>
      </w:r>
      <w:r>
        <w:tab/>
      </w:r>
      <w:r>
        <w:rPr>
          <w:rStyle w:val="CharSectno"/>
        </w:rPr>
        <w:t>Constitution</w:t>
      </w:r>
      <w:r>
        <w:t xml:space="preserve"> of Legislative Council</w:t>
      </w:r>
      <w:bookmarkEnd w:id="15"/>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100740385"/>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7" w:name="_Toc100740386"/>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8" w:name="_Toc100740387"/>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9" w:name="_Toc100740388"/>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0" w:name="_Toc100740389"/>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1" w:name="_Toc100740390"/>
      <w:r>
        <w:rPr>
          <w:rStyle w:val="CharSectno"/>
        </w:rPr>
        <w:lastRenderedPageBreak/>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100740391"/>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3" w:name="_Toc100738365"/>
      <w:bookmarkStart w:id="24" w:name="_Toc100739070"/>
      <w:bookmarkStart w:id="25" w:name="_Toc100740392"/>
      <w:r>
        <w:rPr>
          <w:rStyle w:val="CharDivNo"/>
        </w:rPr>
        <w:lastRenderedPageBreak/>
        <w:t>Division 2</w:t>
      </w:r>
      <w:r>
        <w:t> — </w:t>
      </w:r>
      <w:r>
        <w:rPr>
          <w:rStyle w:val="CharDivText"/>
        </w:rPr>
        <w:t>Legislative Assembly</w:t>
      </w:r>
      <w:bookmarkEnd w:id="23"/>
      <w:bookmarkEnd w:id="24"/>
      <w:bookmarkEnd w:id="25"/>
    </w:p>
    <w:p>
      <w:pPr>
        <w:pStyle w:val="Footnoteheading"/>
        <w:spacing w:before="140"/>
      </w:pPr>
      <w:r>
        <w:tab/>
        <w:t>[Heading inserted: No. 19 of 2010 s. 44(2).]</w:t>
      </w:r>
    </w:p>
    <w:p>
      <w:pPr>
        <w:pStyle w:val="Heading5"/>
        <w:rPr>
          <w:rStyle w:val="CharSectno"/>
        </w:rPr>
      </w:pPr>
      <w:bookmarkStart w:id="26" w:name="_Toc100740393"/>
      <w:r>
        <w:rPr>
          <w:rStyle w:val="CharSectno"/>
        </w:rPr>
        <w:t>18.</w:t>
      </w:r>
      <w:r>
        <w:rPr>
          <w:rStyle w:val="CharSectno"/>
        </w:rPr>
        <w:tab/>
        <w:t>Constitution of Legislative Assembly</w:t>
      </w:r>
      <w:bookmarkEnd w:id="26"/>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7" w:name="_Toc100740394"/>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8" w:name="_Toc100740395"/>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100740396"/>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100740397"/>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100740398"/>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2" w:name="_Toc100738372"/>
      <w:bookmarkStart w:id="33" w:name="_Toc100739077"/>
      <w:bookmarkStart w:id="34" w:name="_Toc100740399"/>
      <w:r>
        <w:rPr>
          <w:rStyle w:val="CharDivNo"/>
        </w:rPr>
        <w:t>Division 3</w:t>
      </w:r>
      <w:r>
        <w:t> — </w:t>
      </w:r>
      <w:r>
        <w:rPr>
          <w:rStyle w:val="CharDivText"/>
        </w:rPr>
        <w:t>General</w:t>
      </w:r>
      <w:bookmarkEnd w:id="32"/>
      <w:bookmarkEnd w:id="33"/>
      <w:bookmarkEnd w:id="3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5" w:name="_Toc100740400"/>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6" w:name="_Toc100740401"/>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7" w:name="_Toc100740402"/>
      <w:r>
        <w:rPr>
          <w:rStyle w:val="CharSectno"/>
        </w:rPr>
        <w:lastRenderedPageBreak/>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8" w:name="_Toc100740403"/>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9" w:name="_Toc100740404"/>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0" w:name="_Toc100740405"/>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1" w:name="_Toc100740406"/>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2" w:name="_Toc100740407"/>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3" w:name="_Toc100740408"/>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4" w:name="_Toc100740409"/>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lastRenderedPageBreak/>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5" w:name="_Toc100740410"/>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6" w:name="_Toc100738384"/>
      <w:bookmarkStart w:id="47" w:name="_Toc100739089"/>
      <w:bookmarkStart w:id="48" w:name="_Toc100740411"/>
      <w:r>
        <w:rPr>
          <w:rStyle w:val="CharPartNo"/>
        </w:rPr>
        <w:lastRenderedPageBreak/>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100740412"/>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0" w:name="_Toc100740413"/>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100740414"/>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2" w:name="_Toc100740415"/>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3" w:name="_Toc100740416"/>
      <w:r>
        <w:rPr>
          <w:rStyle w:val="CharSectno"/>
        </w:rPr>
        <w:lastRenderedPageBreak/>
        <w:t>45A</w:t>
      </w:r>
      <w:r>
        <w:t>.</w:t>
      </w:r>
      <w:r>
        <w:tab/>
        <w:t>Executive Council meetings</w:t>
      </w:r>
      <w:bookmarkEnd w:id="5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4" w:name="_Toc100738390"/>
      <w:bookmarkStart w:id="55" w:name="_Toc100739095"/>
      <w:bookmarkStart w:id="56" w:name="_Toc100740417"/>
      <w:r>
        <w:rPr>
          <w:rStyle w:val="CharPartNo"/>
        </w:rPr>
        <w:lastRenderedPageBreak/>
        <w:t>Part III</w:t>
      </w:r>
      <w:r>
        <w:rPr>
          <w:rStyle w:val="CharDivNo"/>
        </w:rPr>
        <w:t> </w:t>
      </w:r>
      <w:r>
        <w:t>—</w:t>
      </w:r>
      <w:r>
        <w:rPr>
          <w:rStyle w:val="CharDivText"/>
        </w:rPr>
        <w:t> </w:t>
      </w:r>
      <w:r>
        <w:rPr>
          <w:rStyle w:val="CharPartText"/>
        </w:rPr>
        <w:t>Miscellaneous</w:t>
      </w:r>
      <w:bookmarkEnd w:id="54"/>
      <w:bookmarkEnd w:id="55"/>
      <w:bookmarkEnd w:id="56"/>
    </w:p>
    <w:p>
      <w:pPr>
        <w:pStyle w:val="Heading5"/>
        <w:rPr>
          <w:snapToGrid w:val="0"/>
        </w:rPr>
      </w:pPr>
      <w:bookmarkStart w:id="57" w:name="_Toc100740418"/>
      <w:r>
        <w:rPr>
          <w:rStyle w:val="CharSectno"/>
        </w:rPr>
        <w:t>46</w:t>
      </w:r>
      <w:r>
        <w:rPr>
          <w:snapToGrid w:val="0"/>
        </w:rPr>
        <w:t>.</w:t>
      </w:r>
      <w:r>
        <w:rPr>
          <w:snapToGrid w:val="0"/>
        </w:rPr>
        <w:tab/>
        <w:t>Powers of the 2 Houses in respect of legislation</w:t>
      </w:r>
      <w:bookmarkEnd w:id="5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8" w:name="_Toc100740419"/>
      <w:r>
        <w:rPr>
          <w:rStyle w:val="CharSectno"/>
        </w:rPr>
        <w:t>48</w:t>
      </w:r>
      <w:r>
        <w:rPr>
          <w:snapToGrid w:val="0"/>
        </w:rPr>
        <w:t>.</w:t>
      </w:r>
      <w:r>
        <w:rPr>
          <w:snapToGrid w:val="0"/>
        </w:rPr>
        <w:tab/>
        <w:t>Revision or compilation of electoral rolls upon commencement of Act</w:t>
      </w:r>
      <w:bookmarkEnd w:id="5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pPr>
        <w:pStyle w:val="Heading5"/>
        <w:rPr>
          <w:snapToGrid w:val="0"/>
        </w:rPr>
      </w:pPr>
      <w:bookmarkStart w:id="59" w:name="_Toc100740420"/>
      <w:r>
        <w:rPr>
          <w:rStyle w:val="CharSectno"/>
        </w:rPr>
        <w:t>49</w:t>
      </w:r>
      <w:r>
        <w:rPr>
          <w:snapToGrid w:val="0"/>
        </w:rPr>
        <w:t>.</w:t>
      </w:r>
      <w:r>
        <w:rPr>
          <w:snapToGrid w:val="0"/>
        </w:rPr>
        <w:tab/>
        <w:t>Commencement of action</w:t>
      </w:r>
      <w:bookmarkEnd w:id="5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0" w:name="_Toc100740421"/>
      <w:r>
        <w:rPr>
          <w:rStyle w:val="CharSectno"/>
        </w:rPr>
        <w:t>50</w:t>
      </w:r>
      <w:r>
        <w:rPr>
          <w:snapToGrid w:val="0"/>
        </w:rPr>
        <w:t>.</w:t>
      </w:r>
      <w:r>
        <w:rPr>
          <w:snapToGrid w:val="0"/>
        </w:rPr>
        <w:tab/>
        <w:t>Plaintiff to give security for costs</w:t>
      </w:r>
      <w:bookmarkEnd w:id="6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1" w:name="_Toc100740422"/>
      <w:r>
        <w:rPr>
          <w:rStyle w:val="CharSectno"/>
        </w:rPr>
        <w:t>51</w:t>
      </w:r>
      <w:r>
        <w:rPr>
          <w:snapToGrid w:val="0"/>
        </w:rPr>
        <w:t>.</w:t>
      </w:r>
      <w:r>
        <w:rPr>
          <w:snapToGrid w:val="0"/>
        </w:rPr>
        <w:tab/>
        <w:t>No action to lie against officials of either House</w:t>
      </w:r>
      <w:bookmarkEnd w:id="6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2" w:name="_Toc100740423"/>
      <w:r>
        <w:rPr>
          <w:rStyle w:val="CharSectno"/>
        </w:rPr>
        <w:lastRenderedPageBreak/>
        <w:t>52</w:t>
      </w:r>
      <w:r>
        <w:rPr>
          <w:snapToGrid w:val="0"/>
        </w:rPr>
        <w:t>.</w:t>
      </w:r>
      <w:r>
        <w:rPr>
          <w:snapToGrid w:val="0"/>
        </w:rPr>
        <w:tab/>
        <w:t>Proclamation of Royal Assent and commencement of Act</w:t>
      </w:r>
      <w:bookmarkEnd w:id="6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63" w:name="_Toc100738397"/>
      <w:bookmarkStart w:id="64" w:name="_Toc100739102"/>
      <w:bookmarkStart w:id="65" w:name="_Toc100740424"/>
      <w:r>
        <w:rPr>
          <w:rStyle w:val="CharSchNo"/>
        </w:rPr>
        <w:lastRenderedPageBreak/>
        <w:t>Schedule I</w:t>
      </w:r>
      <w:r>
        <w:rPr>
          <w:rStyle w:val="CharSDivNo"/>
        </w:rPr>
        <w:t> </w:t>
      </w:r>
      <w:r>
        <w:t>—</w:t>
      </w:r>
      <w:r>
        <w:rPr>
          <w:rStyle w:val="CharSDivText"/>
        </w:rPr>
        <w:t> </w:t>
      </w:r>
      <w:r>
        <w:rPr>
          <w:rStyle w:val="CharSchText"/>
        </w:rPr>
        <w:t>Enactments repealed</w:t>
      </w:r>
      <w:bookmarkEnd w:id="63"/>
      <w:bookmarkEnd w:id="64"/>
      <w:bookmarkEnd w:id="6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6" w:name="_Toc100738398"/>
      <w:bookmarkStart w:id="67" w:name="_Toc100739103"/>
      <w:bookmarkStart w:id="68" w:name="_Toc100740425"/>
      <w:r>
        <w:rPr>
          <w:rStyle w:val="CharSchNo"/>
        </w:rPr>
        <w:lastRenderedPageBreak/>
        <w:t>Schedule V</w:t>
      </w:r>
      <w:r>
        <w:t> — </w:t>
      </w:r>
      <w:r>
        <w:rPr>
          <w:rStyle w:val="CharSchText"/>
        </w:rPr>
        <w:t>Offices and bodies to which Part I Division 3 applies</w:t>
      </w:r>
      <w:bookmarkEnd w:id="66"/>
      <w:bookmarkEnd w:id="67"/>
      <w:bookmarkEnd w:id="6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9" w:name="_Toc100738399"/>
      <w:bookmarkStart w:id="70" w:name="_Toc100739104"/>
      <w:bookmarkStart w:id="71" w:name="_Toc100740426"/>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pPr>
        <w:pStyle w:val="yFootnoteheading"/>
      </w:pPr>
      <w:r>
        <w:tab/>
        <w:t>[Heading inserted: No. 19 of 2010 s. 14(3).]</w:t>
      </w:r>
    </w:p>
    <w:p>
      <w:pPr>
        <w:pStyle w:val="yHeading4"/>
        <w:spacing w:before="260"/>
        <w:rPr>
          <w:rFonts w:eastAsia="MS Mincho"/>
        </w:rPr>
      </w:pPr>
      <w:bookmarkStart w:id="72" w:name="_Toc100738400"/>
      <w:bookmarkStart w:id="73" w:name="_Toc100739105"/>
      <w:bookmarkStart w:id="74" w:name="_Toc100740427"/>
      <w:r>
        <w:rPr>
          <w:rFonts w:eastAsia="MS Mincho"/>
        </w:rPr>
        <w:t>Division 1</w:t>
      </w:r>
      <w:r>
        <w:rPr>
          <w:rFonts w:eastAsia="MS Mincho"/>
          <w:b w:val="0"/>
        </w:rPr>
        <w:t> — </w:t>
      </w:r>
      <w:r>
        <w:rPr>
          <w:rFonts w:eastAsia="MS Mincho"/>
        </w:rPr>
        <w:t>Judicial, tribunal and similar offices</w:t>
      </w:r>
      <w:bookmarkEnd w:id="72"/>
      <w:bookmarkEnd w:id="73"/>
      <w:bookmarkEnd w:id="7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75" w:name="_Toc100738401"/>
      <w:bookmarkStart w:id="76" w:name="_Toc100739106"/>
      <w:bookmarkStart w:id="77" w:name="_Toc100740428"/>
      <w:r>
        <w:rPr>
          <w:rFonts w:eastAsia="MS Mincho"/>
        </w:rPr>
        <w:t>Division 2</w:t>
      </w:r>
      <w:r>
        <w:rPr>
          <w:rFonts w:eastAsia="MS Mincho"/>
          <w:b w:val="0"/>
        </w:rPr>
        <w:t> — </w:t>
      </w:r>
      <w:r>
        <w:rPr>
          <w:rFonts w:eastAsia="MS Mincho"/>
        </w:rPr>
        <w:t>Other offices</w:t>
      </w:r>
      <w:bookmarkEnd w:id="75"/>
      <w:bookmarkEnd w:id="76"/>
      <w:bookmarkEnd w:id="7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78" w:name="_Toc100738402"/>
      <w:bookmarkStart w:id="79" w:name="_Toc100739107"/>
      <w:bookmarkStart w:id="80" w:name="_Toc100740429"/>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8"/>
      <w:bookmarkEnd w:id="79"/>
      <w:bookmarkEnd w:id="80"/>
    </w:p>
    <w:p>
      <w:pPr>
        <w:pStyle w:val="yFootnoteheading"/>
      </w:pPr>
      <w:r>
        <w:tab/>
        <w:t>[Heading inserted: No. 19 of 2010 s. 14(5).]</w:t>
      </w:r>
    </w:p>
    <w:p>
      <w:pPr>
        <w:pStyle w:val="yHeading4"/>
        <w:spacing w:before="260"/>
        <w:rPr>
          <w:rFonts w:eastAsia="MS Mincho"/>
        </w:rPr>
      </w:pPr>
      <w:bookmarkStart w:id="81" w:name="_Toc100738403"/>
      <w:bookmarkStart w:id="82" w:name="_Toc100739108"/>
      <w:bookmarkStart w:id="83" w:name="_Toc100740430"/>
      <w:r>
        <w:rPr>
          <w:rFonts w:eastAsia="MS Mincho"/>
        </w:rPr>
        <w:t>Division 1</w:t>
      </w:r>
      <w:r>
        <w:rPr>
          <w:rFonts w:eastAsia="MS Mincho"/>
          <w:b w:val="0"/>
        </w:rPr>
        <w:t> — </w:t>
      </w:r>
      <w:r>
        <w:rPr>
          <w:rFonts w:eastAsia="MS Mincho"/>
        </w:rPr>
        <w:t>Tribunal and board offices</w:t>
      </w:r>
      <w:bookmarkEnd w:id="81"/>
      <w:bookmarkEnd w:id="82"/>
      <w:bookmarkEnd w:id="8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84" w:name="_Toc100738404"/>
      <w:bookmarkStart w:id="85" w:name="_Toc100739109"/>
      <w:bookmarkStart w:id="86" w:name="_Toc100740431"/>
      <w:r>
        <w:rPr>
          <w:rFonts w:eastAsia="MS Mincho"/>
        </w:rPr>
        <w:t>Division 2</w:t>
      </w:r>
      <w:r>
        <w:rPr>
          <w:rFonts w:eastAsia="MS Mincho"/>
          <w:b w:val="0"/>
        </w:rPr>
        <w:t> — </w:t>
      </w:r>
      <w:r>
        <w:rPr>
          <w:rFonts w:eastAsia="MS Mincho"/>
        </w:rPr>
        <w:t>Other offices or places</w:t>
      </w:r>
      <w:bookmarkEnd w:id="84"/>
      <w:bookmarkEnd w:id="85"/>
      <w:bookmarkEnd w:id="86"/>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87" w:name="_Toc100738405"/>
      <w:bookmarkStart w:id="88" w:name="_Toc100739110"/>
      <w:bookmarkStart w:id="89" w:name="_Toc100740432"/>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87"/>
      <w:bookmarkEnd w:id="88"/>
      <w:bookmarkEnd w:id="89"/>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lastRenderedPageBreak/>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lastRenderedPageBreak/>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lastRenderedPageBreak/>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lastRenderedPageBreak/>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lastRenderedPageBreak/>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lastRenderedPageBreak/>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lastRenderedPageBreak/>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lastRenderedPageBreak/>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lastRenderedPageBreak/>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w:t>
      </w:r>
      <w:r>
        <w:lastRenderedPageBreak/>
        <w:t>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w:t>
      </w:r>
      <w:r>
        <w:lastRenderedPageBreak/>
        <w:t xml:space="preserve">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w:t>
      </w:r>
      <w:r>
        <w:rPr>
          <w:szCs w:val="22"/>
        </w:rPr>
        <w:t>No. 24 of 2021 s. 12.</w:t>
      </w:r>
      <w:r>
        <w:t>]</w:t>
      </w:r>
    </w:p>
    <w:p>
      <w:pPr>
        <w:pStyle w:val="yScheduleHeading"/>
      </w:pPr>
      <w:bookmarkStart w:id="90" w:name="_Toc100738406"/>
      <w:bookmarkStart w:id="91" w:name="_Toc100739111"/>
      <w:bookmarkStart w:id="92" w:name="_Toc100740433"/>
      <w:r>
        <w:rPr>
          <w:rStyle w:val="CharSchNo"/>
        </w:rPr>
        <w:lastRenderedPageBreak/>
        <w:t>Schedule VI</w:t>
      </w:r>
      <w:r>
        <w:t> — </w:t>
      </w:r>
      <w:r>
        <w:rPr>
          <w:rStyle w:val="CharSchText"/>
        </w:rPr>
        <w:t>Oaths and affirmations of office</w:t>
      </w:r>
      <w:bookmarkEnd w:id="90"/>
      <w:bookmarkEnd w:id="91"/>
      <w:bookmarkEnd w:id="92"/>
    </w:p>
    <w:p>
      <w:pPr>
        <w:pStyle w:val="yShoulderClause"/>
      </w:pPr>
      <w:r>
        <w:t>[s. 43(4), 44A(6) &amp; 45]</w:t>
      </w:r>
    </w:p>
    <w:p>
      <w:pPr>
        <w:pStyle w:val="yFootnoteheading"/>
      </w:pPr>
      <w:r>
        <w:tab/>
        <w:t>[Heading inserted: No. 24 of 2005 s. 12.]</w:t>
      </w:r>
    </w:p>
    <w:p>
      <w:pPr>
        <w:pStyle w:val="yHeading3"/>
      </w:pPr>
      <w:bookmarkStart w:id="93" w:name="_Toc100738407"/>
      <w:bookmarkStart w:id="94" w:name="_Toc100739112"/>
      <w:bookmarkStart w:id="95" w:name="_Toc100740434"/>
      <w:r>
        <w:rPr>
          <w:rStyle w:val="CharSDivNo"/>
        </w:rPr>
        <w:t>Division 1</w:t>
      </w:r>
      <w:r>
        <w:rPr>
          <w:b w:val="0"/>
        </w:rPr>
        <w:t> — </w:t>
      </w:r>
      <w:r>
        <w:rPr>
          <w:rStyle w:val="CharSDivText"/>
        </w:rPr>
        <w:t>Holders of principal executive offices and for Parliamentary Secretaries</w:t>
      </w:r>
      <w:bookmarkEnd w:id="93"/>
      <w:bookmarkEnd w:id="94"/>
      <w:bookmarkEnd w:id="9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96" w:name="_Toc100738408"/>
      <w:bookmarkStart w:id="97" w:name="_Toc100739113"/>
      <w:bookmarkStart w:id="98" w:name="_Toc100740435"/>
      <w:r>
        <w:rPr>
          <w:rStyle w:val="CharSDivNo"/>
        </w:rPr>
        <w:t>Division 2</w:t>
      </w:r>
      <w:r>
        <w:t> — </w:t>
      </w:r>
      <w:r>
        <w:rPr>
          <w:rStyle w:val="CharSDivText"/>
        </w:rPr>
        <w:t>Members of the Executive Council</w:t>
      </w:r>
      <w:bookmarkEnd w:id="96"/>
      <w:bookmarkEnd w:id="97"/>
      <w:bookmarkEnd w:id="9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0" w:name="_Toc100738409"/>
      <w:bookmarkStart w:id="101" w:name="_Toc100739114"/>
      <w:bookmarkStart w:id="102" w:name="_Toc100740436"/>
      <w:r>
        <w:lastRenderedPageBreak/>
        <w:t>Notes</w:t>
      </w:r>
      <w:bookmarkEnd w:id="100"/>
      <w:bookmarkEnd w:id="101"/>
      <w:bookmarkEnd w:id="10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03" w:name="_Toc100740437"/>
      <w:r>
        <w:t>Compilation table</w:t>
      </w:r>
      <w:bookmarkEnd w:id="10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lastRenderedPageBreak/>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lastRenderedPageBreak/>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lastRenderedPageBreak/>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lastRenderedPageBreak/>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lastRenderedPageBreak/>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lastRenderedPageBreak/>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lastRenderedPageBreak/>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lastRenderedPageBreak/>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lastRenderedPageBreak/>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lastRenderedPageBreak/>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single" w:sz="4" w:space="0" w:color="auto"/>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single" w:sz="4" w:space="0" w:color="auto"/>
              <w:right w:val="nil"/>
            </w:tcBorders>
            <w:shd w:val="clear" w:color="auto" w:fill="auto"/>
          </w:tcPr>
          <w:p>
            <w:pPr>
              <w:pStyle w:val="nTable"/>
              <w:spacing w:after="40"/>
              <w:rPr>
                <w:snapToGrid w:val="0"/>
              </w:rPr>
            </w:pPr>
            <w:r>
              <w:t>24 of 2021</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4 Dec 2021 (see s. 2(b))</w:t>
            </w:r>
          </w:p>
        </w:tc>
      </w:tr>
    </w:tbl>
    <w:p>
      <w:pPr>
        <w:pStyle w:val="nHeading3"/>
      </w:pPr>
      <w:bookmarkStart w:id="104" w:name="_Toc100740438"/>
      <w:r>
        <w:lastRenderedPageBreak/>
        <w:t>Uncommenced provisions table</w:t>
      </w:r>
      <w:bookmarkEnd w:id="1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pPr>
            <w:r>
              <w:rPr>
                <w:i/>
              </w:rPr>
              <w:t>Veterinary Practice Act 2021</w:t>
            </w:r>
            <w:r>
              <w:t xml:space="preserve"> s. 229</w:t>
            </w:r>
          </w:p>
        </w:tc>
        <w:tc>
          <w:tcPr>
            <w:tcW w:w="1134" w:type="dxa"/>
            <w:tcBorders>
              <w:top w:val="nil"/>
              <w:bottom w:val="nil"/>
            </w:tcBorders>
            <w:shd w:val="clear" w:color="auto" w:fill="auto"/>
          </w:tcPr>
          <w:p>
            <w:pPr>
              <w:pStyle w:val="nTable"/>
              <w:spacing w:after="40"/>
            </w:pPr>
            <w:r>
              <w:t>19 of 2021</w:t>
            </w:r>
          </w:p>
        </w:tc>
        <w:tc>
          <w:tcPr>
            <w:tcW w:w="1134"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To be proclaimed (see s. 2(e))</w:t>
            </w:r>
          </w:p>
        </w:tc>
      </w:tr>
      <w:t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t>To be proclaimed (see s. 2(c))</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105" w:name="_Toc100740439"/>
      <w:r>
        <w:t>Other notes</w:t>
      </w:r>
      <w:bookmarkEnd w:id="10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lastRenderedPageBreak/>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lastRenderedPageBreak/>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lastRenderedPageBreak/>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lastRenderedPageBreak/>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7" w:name="_Toc100738413"/>
      <w:bookmarkStart w:id="108" w:name="_Toc100739118"/>
      <w:bookmarkStart w:id="109" w:name="_Toc100740440"/>
      <w:r>
        <w:rPr>
          <w:sz w:val="28"/>
        </w:rPr>
        <w:lastRenderedPageBreak/>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21-aa0-01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3103004"/>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F364B-626D-4C36-B837-E3A1AD87E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22380</Words>
  <Characters>99815</Characters>
  <Application>Microsoft Office Word</Application>
  <DocSecurity>0</DocSecurity>
  <Lines>3839</Lines>
  <Paragraphs>2349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1899 - 21-aa0-01</dc:title>
  <dc:subject/>
  <dc:creator/>
  <cp:keywords/>
  <dc:description/>
  <cp:lastModifiedBy>Master Repository Process</cp:lastModifiedBy>
  <cp:revision>4</cp:revision>
  <cp:lastPrinted>2019-12-20T05:02:00Z</cp:lastPrinted>
  <dcterms:created xsi:type="dcterms:W3CDTF">2022-04-14T09:06:00Z</dcterms:created>
  <dcterms:modified xsi:type="dcterms:W3CDTF">2022-04-14T09:06:00Z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14 Apr 2022</vt:lpwstr>
  </property>
  <property fmtid="{D5CDD505-2E9C-101B-9397-08002B2CF9AE}" pid="9" name="Suffix">
    <vt:lpwstr>21-aa0-01</vt:lpwstr>
  </property>
  <property fmtid="{D5CDD505-2E9C-101B-9397-08002B2CF9AE}" pid="10" name="CommencementDate">
    <vt:lpwstr>20220414</vt:lpwstr>
  </property>
</Properties>
</file>