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Witness Protection (Western Australia)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_Toc100561731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_Toc100561732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 used in this Act</w:t>
      </w:r>
      <w:r>
        <w:tab/>
      </w:r>
      <w:r>
        <w:fldChar w:fldCharType="begin"/>
      </w:r>
      <w:r>
        <w:instrText xml:space="preserve"> PAGEREF _Toc100561733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Meaning of “witness”</w:t>
      </w:r>
      <w:r>
        <w:tab/>
      </w:r>
      <w:r>
        <w:fldChar w:fldCharType="begin"/>
      </w:r>
      <w:r>
        <w:instrText xml:space="preserve"> PAGEREF _Toc100561734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State Witness Protection Program</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5</w:t>
      </w:r>
      <w:r>
        <w:rPr>
          <w:snapToGrid w:val="0"/>
        </w:rPr>
        <w:t>.</w:t>
      </w:r>
      <w:r>
        <w:rPr>
          <w:snapToGrid w:val="0"/>
        </w:rPr>
        <w:tab/>
        <w:t>Commissioner to establish SWPP</w:t>
      </w:r>
      <w:r>
        <w:tab/>
      </w:r>
      <w:r>
        <w:fldChar w:fldCharType="begin"/>
      </w:r>
      <w:r>
        <w:instrText xml:space="preserve"> PAGEREF _Toc100561737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Arrangements with approved authorities</w:t>
      </w:r>
      <w:r>
        <w:tab/>
      </w:r>
      <w:r>
        <w:fldChar w:fldCharType="begin"/>
      </w:r>
      <w:r>
        <w:instrText xml:space="preserve"> PAGEREF _Toc100561738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Authorisation of approved authorities</w:t>
      </w:r>
      <w:r>
        <w:tab/>
      </w:r>
      <w:r>
        <w:fldChar w:fldCharType="begin"/>
      </w:r>
      <w:r>
        <w:instrText xml:space="preserve"> PAGEREF _Toc100561739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Including witnesses in the SWPP</w:t>
      </w:r>
    </w:p>
    <w:p>
      <w:pPr>
        <w:pStyle w:val="TOC8"/>
        <w:rPr>
          <w:rFonts w:asciiTheme="minorHAnsi" w:eastAsiaTheme="minorEastAsia" w:hAnsiTheme="minorHAnsi" w:cstheme="minorBidi"/>
          <w:szCs w:val="22"/>
        </w:rPr>
      </w:pPr>
      <w:r>
        <w:t>8</w:t>
      </w:r>
      <w:r>
        <w:rPr>
          <w:snapToGrid w:val="0"/>
        </w:rPr>
        <w:t>.</w:t>
      </w:r>
      <w:r>
        <w:rPr>
          <w:snapToGrid w:val="0"/>
        </w:rPr>
        <w:tab/>
        <w:t>Commissioner to decide who is included</w:t>
      </w:r>
      <w:r>
        <w:tab/>
      </w:r>
      <w:r>
        <w:fldChar w:fldCharType="begin"/>
      </w:r>
      <w:r>
        <w:instrText xml:space="preserve"> PAGEREF _Toc100561741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Inclusion not to be a reward for giving evidence etc.</w:t>
      </w:r>
      <w:r>
        <w:tab/>
      </w:r>
      <w:r>
        <w:fldChar w:fldCharType="begin"/>
      </w:r>
      <w:r>
        <w:instrText xml:space="preserve"> PAGEREF _Toc100561742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Witness to provide Commissioner with information before inclusion</w:t>
      </w:r>
      <w:r>
        <w:tab/>
      </w:r>
      <w:r>
        <w:fldChar w:fldCharType="begin"/>
      </w:r>
      <w:r>
        <w:instrText xml:space="preserve"> PAGEREF _Toc100561743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Memorandum of understanding</w:t>
      </w:r>
      <w:r>
        <w:tab/>
      </w:r>
      <w:r>
        <w:fldChar w:fldCharType="begin"/>
      </w:r>
      <w:r>
        <w:instrText xml:space="preserve"> PAGEREF _Toc100561744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Amending a memorandum of understanding</w:t>
      </w:r>
      <w:r>
        <w:tab/>
      </w:r>
      <w:r>
        <w:fldChar w:fldCharType="begin"/>
      </w:r>
      <w:r>
        <w:instrText xml:space="preserve"> PAGEREF _Toc100561745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 of participants</w:t>
      </w:r>
    </w:p>
    <w:p>
      <w:pPr>
        <w:pStyle w:val="TOC8"/>
        <w:rPr>
          <w:rFonts w:asciiTheme="minorHAnsi" w:eastAsiaTheme="minorEastAsia" w:hAnsiTheme="minorHAnsi" w:cstheme="minorBidi"/>
          <w:szCs w:val="22"/>
        </w:rPr>
      </w:pPr>
      <w:r>
        <w:t>13</w:t>
      </w:r>
      <w:r>
        <w:rPr>
          <w:snapToGrid w:val="0"/>
        </w:rPr>
        <w:t>.</w:t>
      </w:r>
      <w:r>
        <w:rPr>
          <w:snapToGrid w:val="0"/>
        </w:rPr>
        <w:tab/>
        <w:t>Commissioner to keep register</w:t>
      </w:r>
      <w:r>
        <w:tab/>
      </w:r>
      <w:r>
        <w:fldChar w:fldCharType="begin"/>
      </w:r>
      <w:r>
        <w:instrText xml:space="preserve"> PAGEREF _Toc100561747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Access to the register</w:t>
      </w:r>
      <w:r>
        <w:tab/>
      </w:r>
      <w:r>
        <w:fldChar w:fldCharType="begin"/>
      </w:r>
      <w:r>
        <w:instrText xml:space="preserve"> PAGEREF _Toc100561748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Protecting and assisting witnesses and participants</w:t>
      </w:r>
    </w:p>
    <w:p>
      <w:pPr>
        <w:pStyle w:val="TOC8"/>
        <w:rPr>
          <w:rFonts w:asciiTheme="minorHAnsi" w:eastAsiaTheme="minorEastAsia" w:hAnsiTheme="minorHAnsi" w:cstheme="minorBidi"/>
          <w:szCs w:val="22"/>
        </w:rPr>
      </w:pPr>
      <w:r>
        <w:t>15</w:t>
      </w:r>
      <w:r>
        <w:rPr>
          <w:snapToGrid w:val="0"/>
        </w:rPr>
        <w:t>.</w:t>
      </w:r>
      <w:r>
        <w:rPr>
          <w:snapToGrid w:val="0"/>
        </w:rPr>
        <w:tab/>
        <w:t>Commissioner must take action to protect etc.</w:t>
      </w:r>
      <w:r>
        <w:tab/>
      </w:r>
      <w:r>
        <w:fldChar w:fldCharType="begin"/>
      </w:r>
      <w:r>
        <w:instrText xml:space="preserve"> PAGEREF _Toc100561750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Action as to obligations etc. of a participant</w:t>
      </w:r>
      <w:r>
        <w:tab/>
      </w:r>
      <w:r>
        <w:fldChar w:fldCharType="begin"/>
      </w:r>
      <w:r>
        <w:instrText xml:space="preserve"> PAGEREF _Toc100561751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Commercial arrangements for benefit of participant</w:t>
      </w:r>
      <w:r>
        <w:tab/>
      </w:r>
      <w:r>
        <w:fldChar w:fldCharType="begin"/>
      </w:r>
      <w:r>
        <w:instrText xml:space="preserve"> PAGEREF _Toc100561752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Identity documents in urgent cases</w:t>
      </w:r>
      <w:r>
        <w:tab/>
      </w:r>
      <w:r>
        <w:fldChar w:fldCharType="begin"/>
      </w:r>
      <w:r>
        <w:instrText xml:space="preserve"> PAGEREF _Toc100561753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New identity orders</w:t>
      </w:r>
    </w:p>
    <w:p>
      <w:pPr>
        <w:pStyle w:val="TOC8"/>
        <w:rPr>
          <w:rFonts w:asciiTheme="minorHAnsi" w:eastAsiaTheme="minorEastAsia" w:hAnsiTheme="minorHAnsi" w:cstheme="minorBidi"/>
          <w:szCs w:val="22"/>
        </w:rPr>
      </w:pPr>
      <w:r>
        <w:t>19</w:t>
      </w:r>
      <w:r>
        <w:rPr>
          <w:snapToGrid w:val="0"/>
        </w:rPr>
        <w:t>.</w:t>
      </w:r>
      <w:r>
        <w:rPr>
          <w:snapToGrid w:val="0"/>
        </w:rPr>
        <w:tab/>
        <w:t>Terms used in this Division</w:t>
      </w:r>
      <w:r>
        <w:tab/>
      </w:r>
      <w:r>
        <w:fldChar w:fldCharType="begin"/>
      </w:r>
      <w:r>
        <w:instrText xml:space="preserve"> PAGEREF _Toc100561755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Supreme Court</w:t>
      </w:r>
      <w:r>
        <w:tab/>
      </w:r>
      <w:r>
        <w:fldChar w:fldCharType="begin"/>
      </w:r>
      <w:r>
        <w:instrText xml:space="preserve"> PAGEREF _Toc100561756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Supreme Court may make order</w:t>
      </w:r>
      <w:r>
        <w:tab/>
      </w:r>
      <w:r>
        <w:fldChar w:fldCharType="begin"/>
      </w:r>
      <w:r>
        <w:instrText xml:space="preserve"> PAGEREF _Toc100561757 \h </w:instrText>
      </w:r>
      <w:r>
        <w:fldChar w:fldCharType="separate"/>
      </w:r>
      <w:r>
        <w:t>19</w:t>
      </w:r>
      <w:r>
        <w:fldChar w:fldCharType="end"/>
      </w:r>
    </w:p>
    <w:p>
      <w:pPr>
        <w:pStyle w:val="TOC8"/>
        <w:rPr>
          <w:rFonts w:asciiTheme="minorHAnsi" w:eastAsiaTheme="minorEastAsia" w:hAnsiTheme="minorHAnsi" w:cstheme="minorBidi"/>
          <w:szCs w:val="22"/>
        </w:rPr>
      </w:pPr>
      <w:r>
        <w:t>22A.</w:t>
      </w:r>
      <w:r>
        <w:tab/>
        <w:t>Effect of new identity order</w:t>
      </w:r>
      <w:r>
        <w:tab/>
      </w:r>
      <w:r>
        <w:fldChar w:fldCharType="begin"/>
      </w:r>
      <w:r>
        <w:instrText xml:space="preserve"> PAGEREF _Toc100561758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Supreme Court may order former identity to be restored</w:t>
      </w:r>
      <w:r>
        <w:tab/>
      </w:r>
      <w:r>
        <w:fldChar w:fldCharType="begin"/>
      </w:r>
      <w:r>
        <w:instrText xml:space="preserve"> PAGEREF _Toc100561759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Proceedings to be in private</w:t>
      </w:r>
      <w:r>
        <w:tab/>
      </w:r>
      <w:r>
        <w:fldChar w:fldCharType="begin"/>
      </w:r>
      <w:r>
        <w:instrText xml:space="preserve"> PAGEREF _Toc100561760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actions done under order</w:t>
      </w:r>
      <w:r>
        <w:tab/>
      </w:r>
      <w:r>
        <w:fldChar w:fldCharType="begin"/>
      </w:r>
      <w:r>
        <w:instrText xml:space="preserve"> PAGEREF _Toc100561761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Terminating protection and assistance</w:t>
      </w:r>
    </w:p>
    <w:p>
      <w:pPr>
        <w:pStyle w:val="TOC8"/>
        <w:rPr>
          <w:rFonts w:asciiTheme="minorHAnsi" w:eastAsiaTheme="minorEastAsia" w:hAnsiTheme="minorHAnsi" w:cstheme="minorBidi"/>
          <w:szCs w:val="22"/>
        </w:rPr>
      </w:pPr>
      <w:r>
        <w:t>25</w:t>
      </w:r>
      <w:r>
        <w:rPr>
          <w:snapToGrid w:val="0"/>
        </w:rPr>
        <w:t>.</w:t>
      </w:r>
      <w:r>
        <w:rPr>
          <w:snapToGrid w:val="0"/>
        </w:rPr>
        <w:tab/>
        <w:t>Commissioner may terminate protection</w:t>
      </w:r>
      <w:r>
        <w:tab/>
      </w:r>
      <w:r>
        <w:fldChar w:fldCharType="begin"/>
      </w:r>
      <w:r>
        <w:instrText xml:space="preserve"> PAGEREF _Toc100561763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Restoring a former identity</w:t>
      </w:r>
      <w:r>
        <w:tab/>
      </w:r>
      <w:r>
        <w:fldChar w:fldCharType="begin"/>
      </w:r>
      <w:r>
        <w:instrText xml:space="preserve"> PAGEREF _Toc100561764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Secrecy and disclosure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rPr>
          <w:snapToGrid w:val="0"/>
        </w:rPr>
        <w:t>.</w:t>
      </w:r>
      <w:r>
        <w:rPr>
          <w:snapToGrid w:val="0"/>
        </w:rPr>
        <w:tab/>
        <w:t>Duty not to disclose</w:t>
      </w:r>
      <w:r>
        <w:tab/>
      </w:r>
      <w:r>
        <w:fldChar w:fldCharType="begin"/>
      </w:r>
      <w:r>
        <w:instrText xml:space="preserve"> PAGEREF _Toc100561767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Disclosure of information cannot be compelled</w:t>
      </w:r>
      <w:r>
        <w:tab/>
      </w:r>
      <w:r>
        <w:fldChar w:fldCharType="begin"/>
      </w:r>
      <w:r>
        <w:instrText xml:space="preserve"> PAGEREF _Toc100561768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Disclosing information to approved authorities</w:t>
      </w:r>
      <w:r>
        <w:tab/>
      </w:r>
      <w:r>
        <w:fldChar w:fldCharType="begin"/>
      </w:r>
      <w:r>
        <w:instrText xml:space="preserve"> PAGEREF _Toc100561769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disclosures to court to be in private</w:t>
      </w:r>
      <w:r>
        <w:tab/>
      </w:r>
      <w:r>
        <w:fldChar w:fldCharType="begin"/>
      </w:r>
      <w:r>
        <w:instrText xml:space="preserve"> PAGEREF _Toc100561770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Evidence by participants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_Toc100561773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Non-disclosure certificates for protected persons</w:t>
      </w:r>
    </w:p>
    <w:p>
      <w:pPr>
        <w:pStyle w:val="TOC8"/>
        <w:rPr>
          <w:rFonts w:asciiTheme="minorHAnsi" w:eastAsiaTheme="minorEastAsia" w:hAnsiTheme="minorHAnsi" w:cstheme="minorBidi"/>
          <w:szCs w:val="22"/>
        </w:rPr>
      </w:pPr>
      <w:r>
        <w:t>34A.</w:t>
      </w:r>
      <w:r>
        <w:tab/>
        <w:t>Non</w:t>
      </w:r>
      <w:r>
        <w:noBreakHyphen/>
        <w:t>disclosure certificates</w:t>
      </w:r>
      <w:r>
        <w:tab/>
      </w:r>
      <w:r>
        <w:fldChar w:fldCharType="begin"/>
      </w:r>
      <w:r>
        <w:instrText xml:space="preserve"> PAGEREF _Toc100561775 \h </w:instrText>
      </w:r>
      <w:r>
        <w:fldChar w:fldCharType="separate"/>
      </w:r>
      <w:r>
        <w:t>29</w:t>
      </w:r>
      <w:r>
        <w:fldChar w:fldCharType="end"/>
      </w:r>
    </w:p>
    <w:p>
      <w:pPr>
        <w:pStyle w:val="TOC8"/>
        <w:rPr>
          <w:rFonts w:asciiTheme="minorHAnsi" w:eastAsiaTheme="minorEastAsia" w:hAnsiTheme="minorHAnsi" w:cstheme="minorBidi"/>
          <w:szCs w:val="22"/>
        </w:rPr>
      </w:pPr>
      <w:r>
        <w:t>34B.</w:t>
      </w:r>
      <w:r>
        <w:tab/>
        <w:t>What non</w:t>
      </w:r>
      <w:r>
        <w:noBreakHyphen/>
        <w:t>disclosure certificate must state</w:t>
      </w:r>
      <w:r>
        <w:tab/>
      </w:r>
      <w:r>
        <w:fldChar w:fldCharType="begin"/>
      </w:r>
      <w:r>
        <w:instrText xml:space="preserve"> PAGEREF _Toc100561776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applicable to court proceedings</w:t>
      </w:r>
    </w:p>
    <w:p>
      <w:pPr>
        <w:pStyle w:val="TOC8"/>
        <w:rPr>
          <w:rFonts w:asciiTheme="minorHAnsi" w:eastAsiaTheme="minorEastAsia" w:hAnsiTheme="minorHAnsi" w:cstheme="minorBidi"/>
          <w:szCs w:val="22"/>
        </w:rPr>
      </w:pPr>
      <w:r>
        <w:t>34CA.</w:t>
      </w:r>
      <w:r>
        <w:tab/>
        <w:t>Application of Subdivision</w:t>
      </w:r>
      <w:r>
        <w:tab/>
      </w:r>
      <w:r>
        <w:fldChar w:fldCharType="begin"/>
      </w:r>
      <w:r>
        <w:instrText xml:space="preserve"> PAGEREF _Toc100561778 \h </w:instrText>
      </w:r>
      <w:r>
        <w:fldChar w:fldCharType="separate"/>
      </w:r>
      <w:r>
        <w:t>30</w:t>
      </w:r>
      <w:r>
        <w:fldChar w:fldCharType="end"/>
      </w:r>
    </w:p>
    <w:p>
      <w:pPr>
        <w:pStyle w:val="TOC8"/>
        <w:rPr>
          <w:rFonts w:asciiTheme="minorHAnsi" w:eastAsiaTheme="minorEastAsia" w:hAnsiTheme="minorHAnsi" w:cstheme="minorBidi"/>
          <w:szCs w:val="22"/>
        </w:rPr>
      </w:pPr>
      <w:r>
        <w:t>34C.</w:t>
      </w:r>
      <w:r>
        <w:tab/>
        <w:t>Effect of non</w:t>
      </w:r>
      <w:r>
        <w:noBreakHyphen/>
        <w:t>disclosure certificate</w:t>
      </w:r>
      <w:r>
        <w:tab/>
      </w:r>
      <w:r>
        <w:fldChar w:fldCharType="begin"/>
      </w:r>
      <w:r>
        <w:instrText xml:space="preserve"> PAGEREF _Toc100561779 \h </w:instrText>
      </w:r>
      <w:r>
        <w:fldChar w:fldCharType="separate"/>
      </w:r>
      <w:r>
        <w:t>30</w:t>
      </w:r>
      <w:r>
        <w:fldChar w:fldCharType="end"/>
      </w:r>
    </w:p>
    <w:p>
      <w:pPr>
        <w:pStyle w:val="TOC8"/>
        <w:rPr>
          <w:rFonts w:asciiTheme="minorHAnsi" w:eastAsiaTheme="minorEastAsia" w:hAnsiTheme="minorHAnsi" w:cstheme="minorBidi"/>
          <w:szCs w:val="22"/>
        </w:rPr>
      </w:pPr>
      <w:r>
        <w:lastRenderedPageBreak/>
        <w:t>34D.</w:t>
      </w:r>
      <w:r>
        <w:tab/>
        <w:t>Disclosure of protected person’s identity despite certificate</w:t>
      </w:r>
      <w:r>
        <w:tab/>
      </w:r>
      <w:r>
        <w:fldChar w:fldCharType="begin"/>
      </w:r>
      <w:r>
        <w:instrText xml:space="preserve"> PAGEREF _Toc100561780 \h </w:instrText>
      </w:r>
      <w:r>
        <w:fldChar w:fldCharType="separate"/>
      </w:r>
      <w:r>
        <w:t>32</w:t>
      </w:r>
      <w:r>
        <w:fldChar w:fldCharType="end"/>
      </w:r>
    </w:p>
    <w:p>
      <w:pPr>
        <w:pStyle w:val="TOC8"/>
        <w:rPr>
          <w:rFonts w:asciiTheme="minorHAnsi" w:eastAsiaTheme="minorEastAsia" w:hAnsiTheme="minorHAnsi" w:cstheme="minorBidi"/>
          <w:szCs w:val="22"/>
        </w:rPr>
      </w:pPr>
      <w:r>
        <w:t>34E.</w:t>
      </w:r>
      <w:r>
        <w:tab/>
        <w:t>Directions to jury</w:t>
      </w:r>
      <w:r>
        <w:tab/>
      </w:r>
      <w:r>
        <w:fldChar w:fldCharType="begin"/>
      </w:r>
      <w:r>
        <w:instrText xml:space="preserve"> PAGEREF _Toc100561781 \h </w:instrText>
      </w:r>
      <w:r>
        <w:fldChar w:fldCharType="separate"/>
      </w:r>
      <w:r>
        <w:t>34</w:t>
      </w:r>
      <w:r>
        <w:fldChar w:fldCharType="end"/>
      </w:r>
    </w:p>
    <w:p>
      <w:pPr>
        <w:pStyle w:val="TOC8"/>
        <w:rPr>
          <w:rFonts w:asciiTheme="minorHAnsi" w:eastAsiaTheme="minorEastAsia" w:hAnsiTheme="minorHAnsi" w:cstheme="minorBidi"/>
          <w:szCs w:val="22"/>
        </w:rPr>
      </w:pPr>
      <w:r>
        <w:t>34F.</w:t>
      </w:r>
      <w:r>
        <w:tab/>
        <w:t>Adjournment for appeal decision</w:t>
      </w:r>
      <w:r>
        <w:tab/>
      </w:r>
      <w:r>
        <w:fldChar w:fldCharType="begin"/>
      </w:r>
      <w:r>
        <w:instrText xml:space="preserve"> PAGEREF _Toc100561782 \h </w:instrText>
      </w:r>
      <w:r>
        <w:fldChar w:fldCharType="separate"/>
      </w:r>
      <w:r>
        <w:t>34</w:t>
      </w:r>
      <w:r>
        <w:fldChar w:fldCharType="end"/>
      </w:r>
    </w:p>
    <w:p>
      <w:pPr>
        <w:pStyle w:val="TOC8"/>
        <w:rPr>
          <w:rFonts w:asciiTheme="minorHAnsi" w:eastAsiaTheme="minorEastAsia" w:hAnsiTheme="minorHAnsi" w:cstheme="minorBidi"/>
          <w:szCs w:val="22"/>
        </w:rPr>
      </w:pPr>
      <w:r>
        <w:t>34G.</w:t>
      </w:r>
      <w:r>
        <w:tab/>
        <w:t>Jurisdiction to hear and determine appeals</w:t>
      </w:r>
      <w:r>
        <w:tab/>
      </w:r>
      <w:r>
        <w:fldChar w:fldCharType="begin"/>
      </w:r>
      <w:r>
        <w:instrText xml:space="preserve"> PAGEREF _Toc100561783 \h </w:instrText>
      </w:r>
      <w:r>
        <w:fldChar w:fldCharType="separate"/>
      </w:r>
      <w:r>
        <w:t>35</w:t>
      </w:r>
      <w:r>
        <w:fldChar w:fldCharType="end"/>
      </w:r>
    </w:p>
    <w:p>
      <w:pPr>
        <w:pStyle w:val="TOC8"/>
        <w:rPr>
          <w:rFonts w:asciiTheme="minorHAnsi" w:eastAsiaTheme="minorEastAsia" w:hAnsiTheme="minorHAnsi" w:cstheme="minorBidi"/>
          <w:szCs w:val="22"/>
        </w:rPr>
      </w:pPr>
      <w:r>
        <w:t>34H.</w:t>
      </w:r>
      <w:r>
        <w:tab/>
        <w:t>Recognition of non</w:t>
      </w:r>
      <w:r>
        <w:noBreakHyphen/>
        <w:t>disclosure certificates under corresponding laws</w:t>
      </w:r>
      <w:r>
        <w:tab/>
      </w:r>
      <w:r>
        <w:fldChar w:fldCharType="begin"/>
      </w:r>
      <w:r>
        <w:instrText xml:space="preserve"> PAGEREF _Toc100561784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applicable to parliamentary proceedings</w:t>
      </w:r>
    </w:p>
    <w:p>
      <w:pPr>
        <w:pStyle w:val="TOC8"/>
        <w:rPr>
          <w:rFonts w:asciiTheme="minorHAnsi" w:eastAsiaTheme="minorEastAsia" w:hAnsiTheme="minorHAnsi" w:cstheme="minorBidi"/>
          <w:szCs w:val="22"/>
        </w:rPr>
      </w:pPr>
      <w:r>
        <w:t>34I.</w:t>
      </w:r>
      <w:r>
        <w:tab/>
        <w:t>Application of Subdivision</w:t>
      </w:r>
      <w:r>
        <w:tab/>
      </w:r>
      <w:r>
        <w:fldChar w:fldCharType="begin"/>
      </w:r>
      <w:r>
        <w:instrText xml:space="preserve"> PAGEREF _Toc100561786 \h </w:instrText>
      </w:r>
      <w:r>
        <w:fldChar w:fldCharType="separate"/>
      </w:r>
      <w:r>
        <w:t>36</w:t>
      </w:r>
      <w:r>
        <w:fldChar w:fldCharType="end"/>
      </w:r>
    </w:p>
    <w:p>
      <w:pPr>
        <w:pStyle w:val="TOC8"/>
        <w:rPr>
          <w:rFonts w:asciiTheme="minorHAnsi" w:eastAsiaTheme="minorEastAsia" w:hAnsiTheme="minorHAnsi" w:cstheme="minorBidi"/>
          <w:szCs w:val="22"/>
        </w:rPr>
      </w:pPr>
      <w:r>
        <w:t>34J.</w:t>
      </w:r>
      <w:r>
        <w:tab/>
        <w:t>Effect of non-disclosure certificate</w:t>
      </w:r>
      <w:r>
        <w:tab/>
      </w:r>
      <w:r>
        <w:fldChar w:fldCharType="begin"/>
      </w:r>
      <w:r>
        <w:instrText xml:space="preserve"> PAGEREF _Toc100561787 \h </w:instrText>
      </w:r>
      <w:r>
        <w:fldChar w:fldCharType="separate"/>
      </w:r>
      <w:r>
        <w:t>36</w:t>
      </w:r>
      <w:r>
        <w:fldChar w:fldCharType="end"/>
      </w:r>
    </w:p>
    <w:p>
      <w:pPr>
        <w:pStyle w:val="TOC8"/>
        <w:rPr>
          <w:rFonts w:asciiTheme="minorHAnsi" w:eastAsiaTheme="minorEastAsia" w:hAnsiTheme="minorHAnsi" w:cstheme="minorBidi"/>
          <w:szCs w:val="22"/>
        </w:rPr>
      </w:pPr>
      <w:r>
        <w:t>34K.</w:t>
      </w:r>
      <w:r>
        <w:tab/>
        <w:t>Disclosure of protected person’s identity despite certificate</w:t>
      </w:r>
      <w:r>
        <w:tab/>
      </w:r>
      <w:r>
        <w:fldChar w:fldCharType="begin"/>
      </w:r>
      <w:r>
        <w:instrText xml:space="preserve"> PAGEREF _Toc100561788 \h </w:instrText>
      </w:r>
      <w:r>
        <w:fldChar w:fldCharType="separate"/>
      </w:r>
      <w:r>
        <w:t>37</w:t>
      </w:r>
      <w:r>
        <w:fldChar w:fldCharType="end"/>
      </w:r>
    </w:p>
    <w:p>
      <w:pPr>
        <w:pStyle w:val="TOC8"/>
        <w:rPr>
          <w:rFonts w:asciiTheme="minorHAnsi" w:eastAsiaTheme="minorEastAsia" w:hAnsiTheme="minorHAnsi" w:cstheme="minorBidi"/>
          <w:szCs w:val="22"/>
        </w:rPr>
      </w:pPr>
      <w:r>
        <w:t>34L.</w:t>
      </w:r>
      <w:r>
        <w:tab/>
        <w:t>Restrictions on content of reports to Parliament</w:t>
      </w:r>
      <w:r>
        <w:tab/>
      </w:r>
      <w:r>
        <w:fldChar w:fldCharType="begin"/>
      </w:r>
      <w:r>
        <w:instrText xml:space="preserve"> PAGEREF _Toc100561789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34</w:t>
      </w:r>
      <w:r>
        <w:rPr>
          <w:snapToGrid w:val="0"/>
        </w:rPr>
        <w:t>.</w:t>
      </w:r>
      <w:r>
        <w:rPr>
          <w:snapToGrid w:val="0"/>
        </w:rPr>
        <w:tab/>
        <w:t xml:space="preserve">Disclosure by Auditor General, Parliamentary Commissioner or </w:t>
      </w:r>
      <w:r>
        <w:t>Corruption and Crime Commission</w:t>
      </w:r>
      <w:r>
        <w:tab/>
      </w:r>
      <w:r>
        <w:fldChar w:fldCharType="begin"/>
      </w:r>
      <w:r>
        <w:instrText xml:space="preserve"> PAGEREF _Toc100561791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_Toc100561793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Delegation</w:t>
      </w:r>
      <w:r>
        <w:tab/>
      </w:r>
      <w:r>
        <w:fldChar w:fldCharType="begin"/>
      </w:r>
      <w:r>
        <w:instrText xml:space="preserve"> PAGEREF _Toc100561794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Reporting on the SWPP</w:t>
      </w:r>
      <w:r>
        <w:tab/>
      </w:r>
      <w:r>
        <w:fldChar w:fldCharType="begin"/>
      </w:r>
      <w:r>
        <w:instrText xml:space="preserve"> PAGEREF _Toc100561795 \h </w:instrText>
      </w:r>
      <w:r>
        <w:fldChar w:fldCharType="separate"/>
      </w:r>
      <w:r>
        <w:t>41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from liability for wrongdoing</w:t>
      </w:r>
      <w:r>
        <w:tab/>
      </w:r>
      <w:r>
        <w:fldChar w:fldCharType="begin"/>
      </w:r>
      <w:r>
        <w:instrText xml:space="preserve"> PAGEREF _Toc100561796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_Toc100561797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40</w:t>
      </w:r>
      <w:r>
        <w:rPr>
          <w:snapToGrid w:val="0"/>
        </w:rPr>
        <w:t>.</w:t>
      </w:r>
      <w:r>
        <w:rPr>
          <w:snapToGrid w:val="0"/>
        </w:rPr>
        <w:tab/>
        <w:t>Transitional</w:t>
      </w:r>
      <w:r>
        <w:tab/>
      </w:r>
      <w:r>
        <w:fldChar w:fldCharType="begin"/>
      </w:r>
      <w:r>
        <w:instrText xml:space="preserve"> PAGEREF _Toc100561799 \h </w:instrText>
      </w:r>
      <w:r>
        <w:fldChar w:fldCharType="separate"/>
      </w:r>
      <w:r>
        <w:t>43</w:t>
      </w:r>
      <w:r>
        <w:fldChar w:fldCharType="end"/>
      </w:r>
    </w:p>
    <w:p>
      <w:pPr>
        <w:pStyle w:val="TOC8"/>
        <w:rPr>
          <w:rFonts w:asciiTheme="minorHAnsi" w:eastAsiaTheme="minorEastAsia" w:hAnsiTheme="minorHAnsi" w:cstheme="minorBidi"/>
          <w:szCs w:val="22"/>
        </w:rPr>
      </w:pPr>
      <w:r>
        <w:t>41.</w:t>
      </w:r>
      <w:r>
        <w:tab/>
        <w:t xml:space="preserve">Savings provision relating to </w:t>
      </w:r>
      <w:r>
        <w:rPr>
          <w:i/>
        </w:rPr>
        <w:t>Criminal Investigation (Covert Powers) Act 2012</w:t>
      </w:r>
      <w:r>
        <w:tab/>
      </w:r>
      <w:r>
        <w:fldChar w:fldCharType="begin"/>
      </w:r>
      <w:r>
        <w:instrText xml:space="preserve"> PAGEREF _Toc100561800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_Toc100561802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_Toc100561803 \h </w:instrText>
      </w:r>
      <w:r>
        <w:fldChar w:fldCharType="separate"/>
      </w:r>
      <w:r>
        <w:t>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_Toc100561804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960"/>
      </w:pPr>
      <w:r>
        <w:t>Witness Protection (Western Australia) Act 1996</w:t>
      </w:r>
    </w:p>
    <w:p>
      <w:pPr>
        <w:pStyle w:val="LongTitle"/>
        <w:rPr>
          <w:snapToGrid w:val="0"/>
        </w:rPr>
      </w:pPr>
      <w:r>
        <w:rPr>
          <w:snapToGrid w:val="0"/>
        </w:rPr>
        <w:t>An Act to establish a program to give protection and assistance to certain witnesses and other persons and for related purposes.</w:t>
      </w:r>
    </w:p>
    <w:p>
      <w:pPr>
        <w:pStyle w:val="Heading2"/>
      </w:pPr>
      <w:bookmarkStart w:id="3" w:name="_Toc100239443"/>
      <w:bookmarkStart w:id="4" w:name="_Toc100240051"/>
      <w:bookmarkStart w:id="5" w:name="_Toc10056173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056173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Witness Protection (Western Australia) Act 1996</w:t>
      </w:r>
      <w:r>
        <w:rPr>
          <w:snapToGrid w:val="0"/>
        </w:rPr>
        <w:t>.</w:t>
      </w:r>
    </w:p>
    <w:p>
      <w:pPr>
        <w:pStyle w:val="Heading5"/>
        <w:rPr>
          <w:snapToGrid w:val="0"/>
        </w:rPr>
      </w:pPr>
      <w:bookmarkStart w:id="7" w:name="_Toc100561732"/>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Subject to subsection (2), this Act comes into operation on such day as is fixed by proclamation.</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1</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8" w:name="_Toc100561733"/>
      <w:r>
        <w:rPr>
          <w:rStyle w:val="CharSectno"/>
        </w:rPr>
        <w:t>3</w:t>
      </w:r>
      <w:r>
        <w:rPr>
          <w:snapToGrid w:val="0"/>
        </w:rPr>
        <w:t>.</w:t>
      </w:r>
      <w:r>
        <w:rPr>
          <w:snapToGrid w:val="0"/>
        </w:rPr>
        <w:tab/>
        <w:t>Terms and abbreviation used in this Act</w:t>
      </w:r>
      <w:bookmarkEnd w:id="8"/>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pPr>
      <w:r>
        <w:tab/>
        <w:t>(i)</w:t>
      </w:r>
      <w:r>
        <w:tab/>
        <w:t>is authorised to conduct inquiries or investigations in relation to conduct that constitutes, or is alleged to constitute, criminal conduct, misconduct or corruption; and</w:t>
      </w:r>
    </w:p>
    <w:p>
      <w:pPr>
        <w:pStyle w:val="Defsubpara"/>
      </w:pPr>
      <w:r>
        <w:tab/>
        <w:t>(ii)</w:t>
      </w:r>
      <w: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lastRenderedPageBreak/>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pPr>
      <w:r>
        <w:tab/>
        <w:t>(i)</w:t>
      </w:r>
      <w:r>
        <w:tab/>
        <w:t>makes provision for the protection of witnesses; and</w:t>
      </w:r>
    </w:p>
    <w:p>
      <w:pPr>
        <w:pStyle w:val="Defsubpara"/>
      </w:pPr>
      <w:r>
        <w:tab/>
        <w:t>(ii)</w:t>
      </w:r>
      <w: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 Crime and Misconduct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 Crime and Misconduct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lastRenderedPageBreak/>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No. 40 of 1998 s. 18(2); No. 48 of 2003 s. 62 and Sch. 3</w:t>
      </w:r>
      <w:r>
        <w:rPr>
          <w:vertAlign w:val="superscript"/>
        </w:rPr>
        <w:t> 2</w:t>
      </w:r>
      <w:r>
        <w:t xml:space="preserve"> cl. 11; No. 4 of 2004 s. 58; No. 74 of 2004 s. 75; No. 8 of 2008 s. 22 and 23(9); No. 35 of 2014 s. 39.]</w:t>
      </w:r>
    </w:p>
    <w:p>
      <w:pPr>
        <w:pStyle w:val="Heading5"/>
        <w:rPr>
          <w:snapToGrid w:val="0"/>
        </w:rPr>
      </w:pPr>
      <w:bookmarkStart w:id="9" w:name="_Toc100561734"/>
      <w:r>
        <w:rPr>
          <w:rStyle w:val="CharSectno"/>
        </w:rPr>
        <w:lastRenderedPageBreak/>
        <w:t>4</w:t>
      </w:r>
      <w:r>
        <w:rPr>
          <w:snapToGrid w:val="0"/>
        </w:rPr>
        <w:t>.</w:t>
      </w:r>
      <w:r>
        <w:rPr>
          <w:snapToGrid w:val="0"/>
        </w:rPr>
        <w:tab/>
        <w:t>Meaning of “witness”</w:t>
      </w:r>
      <w:bookmarkEnd w:id="9"/>
    </w:p>
    <w:p>
      <w:pPr>
        <w:pStyle w:val="Subsection"/>
        <w:keepNext/>
        <w:rPr>
          <w:snapToGrid w:val="0"/>
        </w:rPr>
      </w:pPr>
      <w:r>
        <w:rPr>
          <w:snapToGrid w:val="0"/>
        </w:rPr>
        <w:tab/>
        <w:t>(1)</w:t>
      </w:r>
      <w:r>
        <w:rPr>
          <w:snapToGrid w:val="0"/>
        </w:rPr>
        <w:tab/>
        <w:t>For the purposes of this Act, unless the contrary intention appears, a person is a witness if he or she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10" w:name="_Toc100239448"/>
      <w:bookmarkStart w:id="11" w:name="_Toc100240056"/>
      <w:bookmarkStart w:id="12" w:name="_Toc100561735"/>
      <w:r>
        <w:rPr>
          <w:rStyle w:val="CharPartNo"/>
        </w:rPr>
        <w:lastRenderedPageBreak/>
        <w:t>Part 2</w:t>
      </w:r>
      <w:r>
        <w:t> — </w:t>
      </w:r>
      <w:r>
        <w:rPr>
          <w:rStyle w:val="CharPartText"/>
        </w:rPr>
        <w:t>State Witness Protection Program</w:t>
      </w:r>
      <w:bookmarkEnd w:id="10"/>
      <w:bookmarkEnd w:id="11"/>
      <w:bookmarkEnd w:id="12"/>
    </w:p>
    <w:p>
      <w:pPr>
        <w:pStyle w:val="Heading3"/>
      </w:pPr>
      <w:bookmarkStart w:id="13" w:name="_Toc100239449"/>
      <w:bookmarkStart w:id="14" w:name="_Toc100240057"/>
      <w:bookmarkStart w:id="15" w:name="_Toc100561736"/>
      <w:r>
        <w:rPr>
          <w:rStyle w:val="CharDivNo"/>
        </w:rPr>
        <w:t>Division 1</w:t>
      </w:r>
      <w:r>
        <w:rPr>
          <w:snapToGrid w:val="0"/>
        </w:rPr>
        <w:t> — </w:t>
      </w:r>
      <w:r>
        <w:rPr>
          <w:rStyle w:val="CharDivText"/>
        </w:rPr>
        <w:t>Establishment</w:t>
      </w:r>
      <w:bookmarkEnd w:id="13"/>
      <w:bookmarkEnd w:id="14"/>
      <w:bookmarkEnd w:id="15"/>
    </w:p>
    <w:p>
      <w:pPr>
        <w:pStyle w:val="Heading5"/>
        <w:rPr>
          <w:snapToGrid w:val="0"/>
        </w:rPr>
      </w:pPr>
      <w:bookmarkStart w:id="16" w:name="_Toc100561737"/>
      <w:r>
        <w:rPr>
          <w:rStyle w:val="CharSectno"/>
        </w:rPr>
        <w:t>5</w:t>
      </w:r>
      <w:r>
        <w:rPr>
          <w:snapToGrid w:val="0"/>
        </w:rPr>
        <w:t>.</w:t>
      </w:r>
      <w:r>
        <w:rPr>
          <w:snapToGrid w:val="0"/>
        </w:rPr>
        <w:tab/>
        <w:t>Commissioner to establish SWPP</w:t>
      </w:r>
      <w:bookmarkEnd w:id="16"/>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17" w:name="_Toc100561738"/>
      <w:r>
        <w:rPr>
          <w:rStyle w:val="CharSectno"/>
        </w:rPr>
        <w:t>6</w:t>
      </w:r>
      <w:r>
        <w:rPr>
          <w:snapToGrid w:val="0"/>
        </w:rPr>
        <w:t>.</w:t>
      </w:r>
      <w:r>
        <w:rPr>
          <w:snapToGrid w:val="0"/>
        </w:rPr>
        <w:tab/>
        <w:t>Arrangements with approved authorities</w:t>
      </w:r>
      <w:bookmarkEnd w:id="17"/>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18" w:name="_Toc100561739"/>
      <w:r>
        <w:rPr>
          <w:rStyle w:val="CharSectno"/>
        </w:rPr>
        <w:t>7</w:t>
      </w:r>
      <w:r>
        <w:rPr>
          <w:snapToGrid w:val="0"/>
        </w:rPr>
        <w:t>.</w:t>
      </w:r>
      <w:r>
        <w:rPr>
          <w:snapToGrid w:val="0"/>
        </w:rPr>
        <w:tab/>
        <w:t>Authorisation of approved authorities</w:t>
      </w:r>
      <w:bookmarkEnd w:id="18"/>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19" w:name="_Toc100239453"/>
      <w:bookmarkStart w:id="20" w:name="_Toc100240061"/>
      <w:bookmarkStart w:id="21" w:name="_Toc100561740"/>
      <w:r>
        <w:rPr>
          <w:rStyle w:val="CharDivNo"/>
        </w:rPr>
        <w:t>Division 2</w:t>
      </w:r>
      <w:r>
        <w:rPr>
          <w:snapToGrid w:val="0"/>
        </w:rPr>
        <w:t> — </w:t>
      </w:r>
      <w:r>
        <w:rPr>
          <w:rStyle w:val="CharDivText"/>
        </w:rPr>
        <w:t>Including witnesses in the SWPP</w:t>
      </w:r>
      <w:bookmarkEnd w:id="19"/>
      <w:bookmarkEnd w:id="20"/>
      <w:bookmarkEnd w:id="21"/>
    </w:p>
    <w:p>
      <w:pPr>
        <w:pStyle w:val="Heading5"/>
        <w:rPr>
          <w:snapToGrid w:val="0"/>
        </w:rPr>
      </w:pPr>
      <w:bookmarkStart w:id="22" w:name="_Toc100561741"/>
      <w:r>
        <w:rPr>
          <w:rStyle w:val="CharSectno"/>
        </w:rPr>
        <w:t>8</w:t>
      </w:r>
      <w:r>
        <w:rPr>
          <w:snapToGrid w:val="0"/>
        </w:rPr>
        <w:t>.</w:t>
      </w:r>
      <w:r>
        <w:rPr>
          <w:snapToGrid w:val="0"/>
        </w:rPr>
        <w:tab/>
        <w:t>Commissioner to decide who is included</w:t>
      </w:r>
      <w:bookmarkEnd w:id="22"/>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 xml:space="preserve">whether the witness has a criminal record, particularly in respect of crimes of violence, and whether that record </w:t>
      </w:r>
      <w:r>
        <w:rPr>
          <w:snapToGrid w:val="0"/>
        </w:rPr>
        <w:lastRenderedPageBreak/>
        <w:t>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23" w:name="_Toc100561742"/>
      <w:r>
        <w:rPr>
          <w:rStyle w:val="CharSectno"/>
        </w:rPr>
        <w:t>9</w:t>
      </w:r>
      <w:r>
        <w:rPr>
          <w:snapToGrid w:val="0"/>
        </w:rPr>
        <w:t>.</w:t>
      </w:r>
      <w:r>
        <w:rPr>
          <w:snapToGrid w:val="0"/>
        </w:rPr>
        <w:tab/>
        <w:t>Inclusion not to be a reward for giving evidence etc.</w:t>
      </w:r>
      <w:bookmarkEnd w:id="23"/>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24" w:name="_Toc100561743"/>
      <w:r>
        <w:rPr>
          <w:rStyle w:val="CharSectno"/>
        </w:rPr>
        <w:t>10</w:t>
      </w:r>
      <w:r>
        <w:rPr>
          <w:snapToGrid w:val="0"/>
        </w:rPr>
        <w:t>.</w:t>
      </w:r>
      <w:r>
        <w:rPr>
          <w:snapToGrid w:val="0"/>
        </w:rPr>
        <w:tab/>
        <w:t>Witness to provide Commissioner with information before inclusion</w:t>
      </w:r>
      <w:bookmarkEnd w:id="24"/>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lastRenderedPageBreak/>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25" w:name="_Toc100561744"/>
      <w:r>
        <w:rPr>
          <w:rStyle w:val="CharSectno"/>
        </w:rPr>
        <w:t>11</w:t>
      </w:r>
      <w:r>
        <w:rPr>
          <w:snapToGrid w:val="0"/>
        </w:rPr>
        <w:t>.</w:t>
      </w:r>
      <w:r>
        <w:rPr>
          <w:snapToGrid w:val="0"/>
        </w:rPr>
        <w:tab/>
        <w:t>Memorandum of understanding</w:t>
      </w:r>
      <w:bookmarkEnd w:id="25"/>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lastRenderedPageBreak/>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allow prints of his or her fingers and palms to be taken; or</w:t>
      </w:r>
    </w:p>
    <w:p>
      <w:pPr>
        <w:pStyle w:val="Indenti"/>
        <w:rPr>
          <w:snapToGrid w:val="0"/>
        </w:rPr>
      </w:pPr>
      <w:r>
        <w:rPr>
          <w:snapToGrid w:val="0"/>
        </w:rPr>
        <w:tab/>
        <w:t>(iv)</w:t>
      </w:r>
      <w:r>
        <w:rPr>
          <w:snapToGrid w:val="0"/>
        </w:rPr>
        <w:tab/>
        <w:t>allow photographs to be taken of himself or herself;</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 xml:space="preserve">an agreement by or on behalf of the participant that the participant will disclose to the Commissioner details of any criminal charges that are made against, and any civil or bankruptcy proceedings that are made in relation to, </w:t>
      </w:r>
      <w:r>
        <w:rPr>
          <w:snapToGrid w:val="0"/>
        </w:rPr>
        <w:lastRenderedPageBreak/>
        <w:t>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No. 48 of 2003 s. 62 and Sch. 3</w:t>
      </w:r>
      <w:r>
        <w:rPr>
          <w:vertAlign w:val="superscript"/>
        </w:rPr>
        <w:t> 2</w:t>
      </w:r>
      <w:r>
        <w:t xml:space="preserve"> cl. 11.]</w:t>
      </w:r>
    </w:p>
    <w:p>
      <w:pPr>
        <w:pStyle w:val="Heading5"/>
        <w:rPr>
          <w:snapToGrid w:val="0"/>
        </w:rPr>
      </w:pPr>
      <w:bookmarkStart w:id="26" w:name="_Toc100561745"/>
      <w:r>
        <w:rPr>
          <w:rStyle w:val="CharSectno"/>
        </w:rPr>
        <w:t>12</w:t>
      </w:r>
      <w:r>
        <w:rPr>
          <w:snapToGrid w:val="0"/>
        </w:rPr>
        <w:t>.</w:t>
      </w:r>
      <w:r>
        <w:rPr>
          <w:snapToGrid w:val="0"/>
        </w:rPr>
        <w:tab/>
        <w:t>Amending a memorandum of understanding</w:t>
      </w:r>
      <w:bookmarkEnd w:id="26"/>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lastRenderedPageBreak/>
        <w:tab/>
        <w:t>(2)</w:t>
      </w:r>
      <w:r>
        <w:rPr>
          <w:snapToGrid w:val="0"/>
        </w:rPr>
        <w:tab/>
        <w:t>An amendment must not have the effect of removing from the memorandum of understanding the provisions referred to in section 11(1).</w:t>
      </w:r>
    </w:p>
    <w:p>
      <w:pPr>
        <w:pStyle w:val="Heading3"/>
      </w:pPr>
      <w:bookmarkStart w:id="27" w:name="_Toc100239459"/>
      <w:bookmarkStart w:id="28" w:name="_Toc100240067"/>
      <w:bookmarkStart w:id="29" w:name="_Toc100561746"/>
      <w:r>
        <w:rPr>
          <w:rStyle w:val="CharDivNo"/>
        </w:rPr>
        <w:t>Division 3</w:t>
      </w:r>
      <w:r>
        <w:rPr>
          <w:snapToGrid w:val="0"/>
        </w:rPr>
        <w:t> — </w:t>
      </w:r>
      <w:r>
        <w:rPr>
          <w:rStyle w:val="CharDivText"/>
        </w:rPr>
        <w:t>Register of participants</w:t>
      </w:r>
      <w:bookmarkEnd w:id="27"/>
      <w:bookmarkEnd w:id="28"/>
      <w:bookmarkEnd w:id="29"/>
    </w:p>
    <w:p>
      <w:pPr>
        <w:pStyle w:val="Heading5"/>
        <w:rPr>
          <w:snapToGrid w:val="0"/>
        </w:rPr>
      </w:pPr>
      <w:bookmarkStart w:id="30" w:name="_Toc100561747"/>
      <w:r>
        <w:rPr>
          <w:rStyle w:val="CharSectno"/>
        </w:rPr>
        <w:t>13</w:t>
      </w:r>
      <w:r>
        <w:rPr>
          <w:snapToGrid w:val="0"/>
        </w:rPr>
        <w:t>.</w:t>
      </w:r>
      <w:r>
        <w:rPr>
          <w:snapToGrid w:val="0"/>
        </w:rPr>
        <w:tab/>
        <w:t>Commissioner to keep register</w:t>
      </w:r>
      <w:bookmarkEnd w:id="30"/>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31" w:name="_Toc100561748"/>
      <w:r>
        <w:rPr>
          <w:rStyle w:val="CharSectno"/>
        </w:rPr>
        <w:lastRenderedPageBreak/>
        <w:t>14</w:t>
      </w:r>
      <w:r>
        <w:rPr>
          <w:snapToGrid w:val="0"/>
        </w:rPr>
        <w:t>.</w:t>
      </w:r>
      <w:r>
        <w:rPr>
          <w:snapToGrid w:val="0"/>
        </w:rPr>
        <w:tab/>
        <w:t>Access to the register</w:t>
      </w:r>
      <w:bookmarkEnd w:id="31"/>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Crime and Misconduct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lastRenderedPageBreak/>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r>
        <w:tab/>
        <w:t>[Section 14 amended: No. 48 of 2003 s. 62 and Sch. 3</w:t>
      </w:r>
      <w:r>
        <w:rPr>
          <w:vertAlign w:val="superscript"/>
        </w:rPr>
        <w:t> 2</w:t>
      </w:r>
      <w:r>
        <w:t xml:space="preserve"> cl. 11; No. 77 of 2006 s. 17; No. 35 of 2014 s. 39.]</w:t>
      </w:r>
    </w:p>
    <w:p>
      <w:pPr>
        <w:pStyle w:val="Heading3"/>
        <w:rPr>
          <w:snapToGrid w:val="0"/>
        </w:rPr>
      </w:pPr>
      <w:bookmarkStart w:id="32" w:name="_Toc100239462"/>
      <w:bookmarkStart w:id="33" w:name="_Toc100240070"/>
      <w:bookmarkStart w:id="34" w:name="_Toc100561749"/>
      <w:r>
        <w:rPr>
          <w:rStyle w:val="CharDivNo"/>
        </w:rPr>
        <w:t>Division 4</w:t>
      </w:r>
      <w:r>
        <w:rPr>
          <w:snapToGrid w:val="0"/>
        </w:rPr>
        <w:t> — </w:t>
      </w:r>
      <w:r>
        <w:rPr>
          <w:rStyle w:val="CharDivText"/>
        </w:rPr>
        <w:t>Protecting and assisting witnesses and participants</w:t>
      </w:r>
      <w:bookmarkEnd w:id="32"/>
      <w:bookmarkEnd w:id="33"/>
      <w:bookmarkEnd w:id="34"/>
    </w:p>
    <w:p>
      <w:pPr>
        <w:pStyle w:val="Heading5"/>
        <w:rPr>
          <w:snapToGrid w:val="0"/>
        </w:rPr>
      </w:pPr>
      <w:bookmarkStart w:id="35" w:name="_Toc100561750"/>
      <w:r>
        <w:rPr>
          <w:rStyle w:val="CharSectno"/>
        </w:rPr>
        <w:t>15</w:t>
      </w:r>
      <w:r>
        <w:rPr>
          <w:snapToGrid w:val="0"/>
        </w:rPr>
        <w:t>.</w:t>
      </w:r>
      <w:r>
        <w:rPr>
          <w:snapToGrid w:val="0"/>
        </w:rPr>
        <w:tab/>
        <w:t>Commissioner must take action to protect etc.</w:t>
      </w:r>
      <w:bookmarkEnd w:id="35"/>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 xml:space="preserve">providing payments to the witness for the purpose of meeting the reasonable living expenses of the witness (including, where appropriate, living expenses of any </w:t>
      </w:r>
      <w:r>
        <w:rPr>
          <w:snapToGrid w:val="0"/>
        </w:rPr>
        <w:lastRenderedPageBreak/>
        <w:t>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36" w:name="_Toc100561751"/>
      <w:r>
        <w:rPr>
          <w:rStyle w:val="CharSectno"/>
        </w:rPr>
        <w:t>16</w:t>
      </w:r>
      <w:r>
        <w:rPr>
          <w:snapToGrid w:val="0"/>
        </w:rPr>
        <w:t>.</w:t>
      </w:r>
      <w:r>
        <w:rPr>
          <w:snapToGrid w:val="0"/>
        </w:rPr>
        <w:tab/>
        <w:t>Action as to obligations etc. of a participant</w:t>
      </w:r>
      <w:bookmarkEnd w:id="36"/>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lastRenderedPageBreak/>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37" w:name="_Toc100561752"/>
      <w:r>
        <w:rPr>
          <w:rStyle w:val="CharSectno"/>
        </w:rPr>
        <w:t>17</w:t>
      </w:r>
      <w:r>
        <w:rPr>
          <w:snapToGrid w:val="0"/>
        </w:rPr>
        <w:t>.</w:t>
      </w:r>
      <w:r>
        <w:rPr>
          <w:snapToGrid w:val="0"/>
        </w:rPr>
        <w:tab/>
        <w:t>Commercial arrangements for benefit of participant</w:t>
      </w:r>
      <w:bookmarkEnd w:id="37"/>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38" w:name="_Toc100561753"/>
      <w:r>
        <w:rPr>
          <w:rStyle w:val="CharSectno"/>
        </w:rPr>
        <w:t>18</w:t>
      </w:r>
      <w:r>
        <w:rPr>
          <w:snapToGrid w:val="0"/>
        </w:rPr>
        <w:t>.</w:t>
      </w:r>
      <w:r>
        <w:rPr>
          <w:snapToGrid w:val="0"/>
        </w:rPr>
        <w:tab/>
        <w:t>Identity documents in urgent cases</w:t>
      </w:r>
      <w:bookmarkEnd w:id="38"/>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 xml:space="preserve">in order to protect the safety and welfare of a person who is a participant, or a witness being assessed for </w:t>
      </w:r>
      <w:r>
        <w:rPr>
          <w:snapToGrid w:val="0"/>
        </w:rPr>
        <w:lastRenderedPageBreak/>
        <w:t>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lastRenderedPageBreak/>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No. 40 of 1998 s. 18(3) and (4).]</w:t>
      </w:r>
    </w:p>
    <w:p>
      <w:pPr>
        <w:pStyle w:val="Heading3"/>
      </w:pPr>
      <w:bookmarkStart w:id="39" w:name="_Toc100239467"/>
      <w:bookmarkStart w:id="40" w:name="_Toc100240075"/>
      <w:bookmarkStart w:id="41" w:name="_Toc100561754"/>
      <w:r>
        <w:rPr>
          <w:rStyle w:val="CharDivNo"/>
        </w:rPr>
        <w:t>Division 5</w:t>
      </w:r>
      <w:r>
        <w:rPr>
          <w:snapToGrid w:val="0"/>
        </w:rPr>
        <w:t> — </w:t>
      </w:r>
      <w:r>
        <w:rPr>
          <w:rStyle w:val="CharDivText"/>
        </w:rPr>
        <w:t>New identity orders</w:t>
      </w:r>
      <w:bookmarkEnd w:id="39"/>
      <w:bookmarkEnd w:id="40"/>
      <w:bookmarkEnd w:id="41"/>
    </w:p>
    <w:p>
      <w:pPr>
        <w:pStyle w:val="Heading5"/>
        <w:rPr>
          <w:snapToGrid w:val="0"/>
        </w:rPr>
      </w:pPr>
      <w:bookmarkStart w:id="42" w:name="_Toc100561755"/>
      <w:r>
        <w:rPr>
          <w:rStyle w:val="CharSectno"/>
        </w:rPr>
        <w:t>19</w:t>
      </w:r>
      <w:r>
        <w:rPr>
          <w:snapToGrid w:val="0"/>
        </w:rPr>
        <w:t>.</w:t>
      </w:r>
      <w:r>
        <w:rPr>
          <w:snapToGrid w:val="0"/>
        </w:rPr>
        <w:tab/>
        <w:t>Terms used in this Division</w:t>
      </w:r>
      <w:bookmarkEnd w:id="42"/>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 No. 40 of 1998 s. 18(5).]</w:t>
      </w:r>
    </w:p>
    <w:p>
      <w:pPr>
        <w:pStyle w:val="Heading5"/>
        <w:rPr>
          <w:snapToGrid w:val="0"/>
        </w:rPr>
      </w:pPr>
      <w:bookmarkStart w:id="43" w:name="_Toc100561756"/>
      <w:r>
        <w:rPr>
          <w:rStyle w:val="CharSectno"/>
        </w:rPr>
        <w:lastRenderedPageBreak/>
        <w:t>20</w:t>
      </w:r>
      <w:r>
        <w:rPr>
          <w:snapToGrid w:val="0"/>
        </w:rPr>
        <w:t>.</w:t>
      </w:r>
      <w:r>
        <w:rPr>
          <w:snapToGrid w:val="0"/>
        </w:rPr>
        <w:tab/>
        <w:t>Application to Supreme Court</w:t>
      </w:r>
      <w:bookmarkEnd w:id="43"/>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44" w:name="_Toc100561757"/>
      <w:r>
        <w:rPr>
          <w:rStyle w:val="CharSectno"/>
        </w:rPr>
        <w:t>21</w:t>
      </w:r>
      <w:r>
        <w:rPr>
          <w:snapToGrid w:val="0"/>
        </w:rPr>
        <w:t>.</w:t>
      </w:r>
      <w:r>
        <w:rPr>
          <w:snapToGrid w:val="0"/>
        </w:rPr>
        <w:tab/>
        <w:t>Supreme Court may make order</w:t>
      </w:r>
      <w:bookmarkEnd w:id="44"/>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lastRenderedPageBreak/>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No. 40 of 1998 s. 18(6).]</w:t>
      </w:r>
    </w:p>
    <w:p>
      <w:pPr>
        <w:pStyle w:val="Heading5"/>
      </w:pPr>
      <w:bookmarkStart w:id="45" w:name="_Toc100561758"/>
      <w:r>
        <w:rPr>
          <w:rStyle w:val="CharSectno"/>
        </w:rPr>
        <w:t>22A</w:t>
      </w:r>
      <w:r>
        <w:t>.</w:t>
      </w:r>
      <w:r>
        <w:tab/>
        <w:t>Effect of new identity order</w:t>
      </w:r>
      <w:bookmarkEnd w:id="45"/>
    </w:p>
    <w:p>
      <w:pPr>
        <w:pStyle w:val="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Footnotesection"/>
      </w:pPr>
      <w:r>
        <w:tab/>
        <w:t>[Section 22A inserted: No. 55 of 2012 s. 127.]</w:t>
      </w:r>
    </w:p>
    <w:p>
      <w:pPr>
        <w:pStyle w:val="Heading5"/>
        <w:rPr>
          <w:snapToGrid w:val="0"/>
        </w:rPr>
      </w:pPr>
      <w:bookmarkStart w:id="46" w:name="_Toc100561759"/>
      <w:r>
        <w:rPr>
          <w:rStyle w:val="CharSectno"/>
        </w:rPr>
        <w:t>22</w:t>
      </w:r>
      <w:r>
        <w:rPr>
          <w:snapToGrid w:val="0"/>
        </w:rPr>
        <w:t>.</w:t>
      </w:r>
      <w:r>
        <w:rPr>
          <w:snapToGrid w:val="0"/>
        </w:rPr>
        <w:tab/>
        <w:t>Supreme Court may order former identity to be restored</w:t>
      </w:r>
      <w:bookmarkEnd w:id="46"/>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47" w:name="_Toc100561760"/>
      <w:r>
        <w:rPr>
          <w:rStyle w:val="CharSectno"/>
        </w:rPr>
        <w:lastRenderedPageBreak/>
        <w:t>23</w:t>
      </w:r>
      <w:r>
        <w:rPr>
          <w:snapToGrid w:val="0"/>
        </w:rPr>
        <w:t>.</w:t>
      </w:r>
      <w:r>
        <w:rPr>
          <w:snapToGrid w:val="0"/>
        </w:rPr>
        <w:tab/>
        <w:t>Proceedings to be in private</w:t>
      </w:r>
      <w:bookmarkEnd w:id="47"/>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48" w:name="_Toc100561761"/>
      <w:r>
        <w:rPr>
          <w:rStyle w:val="CharSectno"/>
        </w:rPr>
        <w:t>24</w:t>
      </w:r>
      <w:r>
        <w:rPr>
          <w:snapToGrid w:val="0"/>
        </w:rPr>
        <w:t>.</w:t>
      </w:r>
      <w:r>
        <w:rPr>
          <w:snapToGrid w:val="0"/>
        </w:rPr>
        <w:tab/>
        <w:t>Effect of actions done under order</w:t>
      </w:r>
      <w:bookmarkEnd w:id="48"/>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No. 40 of 1998 s. 18(7).]</w:t>
      </w:r>
    </w:p>
    <w:p>
      <w:pPr>
        <w:pStyle w:val="Heading3"/>
        <w:spacing w:before="260"/>
      </w:pPr>
      <w:bookmarkStart w:id="49" w:name="_Toc100239475"/>
      <w:bookmarkStart w:id="50" w:name="_Toc100240083"/>
      <w:bookmarkStart w:id="51" w:name="_Toc100561762"/>
      <w:r>
        <w:rPr>
          <w:rStyle w:val="CharDivNo"/>
        </w:rPr>
        <w:t>Division 6</w:t>
      </w:r>
      <w:r>
        <w:rPr>
          <w:snapToGrid w:val="0"/>
        </w:rPr>
        <w:t> — </w:t>
      </w:r>
      <w:r>
        <w:rPr>
          <w:rStyle w:val="CharDivText"/>
        </w:rPr>
        <w:t>Terminating protection and assistance</w:t>
      </w:r>
      <w:bookmarkEnd w:id="49"/>
      <w:bookmarkEnd w:id="50"/>
      <w:bookmarkEnd w:id="51"/>
    </w:p>
    <w:p>
      <w:pPr>
        <w:pStyle w:val="Heading5"/>
        <w:spacing w:before="200"/>
        <w:rPr>
          <w:snapToGrid w:val="0"/>
        </w:rPr>
      </w:pPr>
      <w:bookmarkStart w:id="52" w:name="_Toc100561763"/>
      <w:r>
        <w:rPr>
          <w:rStyle w:val="CharSectno"/>
        </w:rPr>
        <w:t>25</w:t>
      </w:r>
      <w:r>
        <w:rPr>
          <w:snapToGrid w:val="0"/>
        </w:rPr>
        <w:t>.</w:t>
      </w:r>
      <w:r>
        <w:rPr>
          <w:snapToGrid w:val="0"/>
        </w:rPr>
        <w:tab/>
        <w:t>Commissioner may terminate protection</w:t>
      </w:r>
      <w:bookmarkEnd w:id="52"/>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r>
        <w:t xml:space="preserve"> or</w:t>
      </w:r>
    </w:p>
    <w:p>
      <w:pPr>
        <w:pStyle w:val="Indenta"/>
        <w:rPr>
          <w:snapToGrid w:val="0"/>
        </w:rPr>
      </w:pPr>
      <w:r>
        <w:rPr>
          <w:snapToGrid w:val="0"/>
        </w:rPr>
        <w:tab/>
        <w:t>(b)</w:t>
      </w:r>
      <w:r>
        <w:rPr>
          <w:snapToGrid w:val="0"/>
        </w:rPr>
        <w:tab/>
        <w:t>the participant breaches a term of the memorandum of understanding;</w:t>
      </w:r>
      <w:r>
        <w:t xml:space="preserve"> or</w:t>
      </w:r>
    </w:p>
    <w:p>
      <w:pPr>
        <w:pStyle w:val="Indenta"/>
        <w:rPr>
          <w:snapToGrid w:val="0"/>
        </w:rPr>
      </w:pPr>
      <w:r>
        <w:rPr>
          <w:snapToGrid w:val="0"/>
        </w:rPr>
        <w:lastRenderedPageBreak/>
        <w:tab/>
        <w:t>(c)</w:t>
      </w:r>
      <w:r>
        <w:rPr>
          <w:snapToGrid w:val="0"/>
        </w:rPr>
        <w:tab/>
        <w:t>the Commissioner discovers that the participant has knowingly given information to him or her that is false or misleading in a material particular;</w:t>
      </w:r>
      <w:r>
        <w:t xml:space="preserve"> or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r>
        <w:t xml:space="preserve"> or</w:t>
      </w:r>
    </w:p>
    <w:p>
      <w:pPr>
        <w:pStyle w:val="Indenta"/>
        <w:rPr>
          <w:snapToGrid w:val="0"/>
        </w:rPr>
      </w:pPr>
      <w:r>
        <w:rPr>
          <w:snapToGrid w:val="0"/>
        </w:rPr>
        <w:tab/>
        <w:t>(e)</w:t>
      </w:r>
      <w:r>
        <w:rPr>
          <w:snapToGrid w:val="0"/>
        </w:rPr>
        <w:tab/>
        <w:t>the circumstances that gave rise to the need for protection and assistance for the participant cease to exist;</w:t>
      </w:r>
      <w:r>
        <w:t xml:space="preserve"> or</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r>
        <w:t xml:space="preserve"> or</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w:t>
      </w:r>
      <w:r>
        <w:t xml:space="preserve"> SWPP;</w:t>
      </w:r>
    </w:p>
    <w:p>
      <w:pPr>
        <w:pStyle w:val="Indenta"/>
      </w:pPr>
      <w:r>
        <w:tab/>
        <w:t>(i)</w:t>
      </w:r>
      <w:r>
        <w:tab/>
        <w:t>the participant fails to comply with section 34A(2),</w:t>
      </w:r>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rPr>
          <w:snapToGrid w:val="0"/>
        </w:rPr>
      </w:pPr>
      <w:r>
        <w:rPr>
          <w:snapToGrid w:val="0"/>
        </w:rPr>
        <w:lastRenderedPageBreak/>
        <w:tab/>
        <w:t>(5)</w:t>
      </w:r>
      <w:r>
        <w:rPr>
          <w:snapToGrid w:val="0"/>
        </w:rPr>
        <w:tab/>
        <w:t>If under subsection (2) the Commissioner terminates the provision of protection and assistance to a participant, he or she must give the participant written reasons for doing so.</w:t>
      </w:r>
    </w:p>
    <w:p>
      <w:pPr>
        <w:pStyle w:val="Subsection"/>
        <w:rPr>
          <w:snapToGrid w:val="0"/>
        </w:rPr>
      </w:pPr>
      <w:r>
        <w:rPr>
          <w:snapToGrid w:val="0"/>
        </w:rPr>
        <w:tab/>
        <w:t>(6)</w:t>
      </w:r>
      <w:r>
        <w:rPr>
          <w:snapToGrid w:val="0"/>
        </w:rPr>
        <w:tab/>
        <w:t>If the Commissioner terminates the provision of protection and assistance to a participant, he or she ceases to be a participant.</w:t>
      </w:r>
    </w:p>
    <w:p>
      <w:pPr>
        <w:pStyle w:val="Footnotesection"/>
      </w:pPr>
      <w:r>
        <w:tab/>
        <w:t>[Section 25 amended: No. 55 of 2012 s. 128.]</w:t>
      </w:r>
    </w:p>
    <w:p>
      <w:pPr>
        <w:pStyle w:val="Heading5"/>
        <w:spacing w:before="200"/>
        <w:rPr>
          <w:snapToGrid w:val="0"/>
        </w:rPr>
      </w:pPr>
      <w:bookmarkStart w:id="53" w:name="_Toc100561764"/>
      <w:r>
        <w:rPr>
          <w:rStyle w:val="CharSectno"/>
        </w:rPr>
        <w:t>26</w:t>
      </w:r>
      <w:r>
        <w:rPr>
          <w:snapToGrid w:val="0"/>
        </w:rPr>
        <w:t>.</w:t>
      </w:r>
      <w:r>
        <w:rPr>
          <w:snapToGrid w:val="0"/>
        </w:rPr>
        <w:tab/>
        <w:t>Restoring a former identity</w:t>
      </w:r>
      <w:bookmarkEnd w:id="53"/>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54" w:name="_Toc100239478"/>
      <w:bookmarkStart w:id="55" w:name="_Toc100240086"/>
      <w:bookmarkStart w:id="56" w:name="_Toc100561765"/>
      <w:r>
        <w:rPr>
          <w:rStyle w:val="CharPartNo"/>
        </w:rPr>
        <w:lastRenderedPageBreak/>
        <w:t>Part 3</w:t>
      </w:r>
      <w:r>
        <w:t> — </w:t>
      </w:r>
      <w:r>
        <w:rPr>
          <w:rStyle w:val="CharPartText"/>
        </w:rPr>
        <w:t>Secrecy and disclosure</w:t>
      </w:r>
      <w:bookmarkEnd w:id="54"/>
      <w:bookmarkEnd w:id="55"/>
      <w:bookmarkEnd w:id="56"/>
    </w:p>
    <w:p>
      <w:pPr>
        <w:pStyle w:val="Heading3"/>
      </w:pPr>
      <w:bookmarkStart w:id="57" w:name="_Toc100239479"/>
      <w:bookmarkStart w:id="58" w:name="_Toc100240087"/>
      <w:bookmarkStart w:id="59" w:name="_Toc100561766"/>
      <w:r>
        <w:rPr>
          <w:rStyle w:val="CharDivNo"/>
        </w:rPr>
        <w:t>Division 1</w:t>
      </w:r>
      <w:r>
        <w:t> — </w:t>
      </w:r>
      <w:r>
        <w:rPr>
          <w:rStyle w:val="CharDivText"/>
        </w:rPr>
        <w:t>General</w:t>
      </w:r>
      <w:bookmarkEnd w:id="57"/>
      <w:bookmarkEnd w:id="58"/>
      <w:bookmarkEnd w:id="59"/>
    </w:p>
    <w:p>
      <w:pPr>
        <w:pStyle w:val="Footnoteheading"/>
      </w:pPr>
      <w:r>
        <w:tab/>
        <w:t>[Heading inserted: No. 55 of 2012 s. 129.]</w:t>
      </w:r>
    </w:p>
    <w:p>
      <w:pPr>
        <w:pStyle w:val="Heading5"/>
        <w:rPr>
          <w:snapToGrid w:val="0"/>
        </w:rPr>
      </w:pPr>
      <w:bookmarkStart w:id="60" w:name="_Toc100561767"/>
      <w:r>
        <w:rPr>
          <w:rStyle w:val="CharSectno"/>
        </w:rPr>
        <w:t>27</w:t>
      </w:r>
      <w:r>
        <w:rPr>
          <w:snapToGrid w:val="0"/>
        </w:rPr>
        <w:t>.</w:t>
      </w:r>
      <w:r>
        <w:rPr>
          <w:snapToGrid w:val="0"/>
        </w:rPr>
        <w:tab/>
        <w:t>Duty not to disclose</w:t>
      </w:r>
      <w:bookmarkEnd w:id="60"/>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61" w:name="_Toc100561768"/>
      <w:r>
        <w:rPr>
          <w:rStyle w:val="CharSectno"/>
        </w:rPr>
        <w:t>28</w:t>
      </w:r>
      <w:r>
        <w:rPr>
          <w:snapToGrid w:val="0"/>
        </w:rPr>
        <w:t>.</w:t>
      </w:r>
      <w:r>
        <w:rPr>
          <w:snapToGrid w:val="0"/>
        </w:rPr>
        <w:tab/>
        <w:t>Disclosure of information cannot be compelled</w:t>
      </w:r>
      <w:bookmarkEnd w:id="61"/>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 xml:space="preserve">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w:t>
      </w:r>
      <w:r>
        <w:rPr>
          <w:snapToGrid w:val="0"/>
        </w:rPr>
        <w:lastRenderedPageBreak/>
        <w:t>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62" w:name="_Toc100561769"/>
      <w:r>
        <w:rPr>
          <w:rStyle w:val="CharSectno"/>
        </w:rPr>
        <w:t>29</w:t>
      </w:r>
      <w:r>
        <w:rPr>
          <w:snapToGrid w:val="0"/>
        </w:rPr>
        <w:t>.</w:t>
      </w:r>
      <w:r>
        <w:rPr>
          <w:snapToGrid w:val="0"/>
        </w:rPr>
        <w:tab/>
        <w:t>Disclosing information to approved authorities</w:t>
      </w:r>
      <w:bookmarkEnd w:id="62"/>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 xml:space="preserve">if the Commissioner considers it appropriate to do so in the circumstances — allow officers of the approved authority or a police officer to interview police officers </w:t>
      </w:r>
      <w:r>
        <w:rPr>
          <w:snapToGrid w:val="0"/>
        </w:rPr>
        <w:lastRenderedPageBreak/>
        <w:t>holding designated positions in relation to the participant.</w:t>
      </w:r>
    </w:p>
    <w:p>
      <w:pPr>
        <w:pStyle w:val="Ednotesection"/>
      </w:pPr>
      <w:r>
        <w:rPr>
          <w:snapToGrid/>
        </w:rPr>
        <w:t>[</w:t>
      </w:r>
      <w:r>
        <w:rPr>
          <w:b/>
          <w:snapToGrid/>
        </w:rPr>
        <w:t>30, 31</w:t>
      </w:r>
      <w:r>
        <w:rPr>
          <w:b/>
        </w:rPr>
        <w:t>.</w:t>
      </w:r>
      <w:r>
        <w:tab/>
        <w:t>Deleted: No. 55 of 2012 s. 130.]</w:t>
      </w:r>
    </w:p>
    <w:p>
      <w:pPr>
        <w:pStyle w:val="Heading5"/>
        <w:rPr>
          <w:snapToGrid w:val="0"/>
        </w:rPr>
      </w:pPr>
      <w:bookmarkStart w:id="63" w:name="_Toc100561770"/>
      <w:r>
        <w:rPr>
          <w:rStyle w:val="CharSectno"/>
        </w:rPr>
        <w:t>32</w:t>
      </w:r>
      <w:r>
        <w:rPr>
          <w:snapToGrid w:val="0"/>
        </w:rPr>
        <w:t>.</w:t>
      </w:r>
      <w:r>
        <w:rPr>
          <w:snapToGrid w:val="0"/>
        </w:rPr>
        <w:tab/>
        <w:t>Certain disclosures to court to be in private</w:t>
      </w:r>
      <w:bookmarkEnd w:id="63"/>
    </w:p>
    <w:p>
      <w:pPr>
        <w:pStyle w:val="Subsection"/>
      </w:pPr>
      <w:r>
        <w:tab/>
        <w:t>(1A)</w:t>
      </w:r>
      <w:r>
        <w:tab/>
        <w:t>This section does not apply to the disclosure of a protected person’s identity under section 34D or 34K.</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lastRenderedPageBreak/>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Footnotesection"/>
      </w:pPr>
      <w:r>
        <w:tab/>
        <w:t>[Section 32 amended: No. 55 of 2012 s. 131.]</w:t>
      </w:r>
    </w:p>
    <w:p>
      <w:pPr>
        <w:pStyle w:val="Heading3"/>
      </w:pPr>
      <w:bookmarkStart w:id="64" w:name="_Toc100239484"/>
      <w:bookmarkStart w:id="65" w:name="_Toc100240092"/>
      <w:bookmarkStart w:id="66" w:name="_Toc100561771"/>
      <w:r>
        <w:rPr>
          <w:rStyle w:val="CharDivNo"/>
        </w:rPr>
        <w:t>Division 2</w:t>
      </w:r>
      <w:r>
        <w:t> — </w:t>
      </w:r>
      <w:r>
        <w:rPr>
          <w:rStyle w:val="CharDivText"/>
        </w:rPr>
        <w:t>Evidence by participants</w:t>
      </w:r>
      <w:bookmarkEnd w:id="64"/>
      <w:bookmarkEnd w:id="65"/>
      <w:bookmarkEnd w:id="66"/>
    </w:p>
    <w:p>
      <w:pPr>
        <w:pStyle w:val="Footnoteheading"/>
      </w:pPr>
      <w:r>
        <w:tab/>
        <w:t>[Heading inserted: No. 55 of 2012 s. 132.]</w:t>
      </w:r>
    </w:p>
    <w:p>
      <w:pPr>
        <w:pStyle w:val="Heading4"/>
      </w:pPr>
      <w:bookmarkStart w:id="67" w:name="_Toc100239485"/>
      <w:bookmarkStart w:id="68" w:name="_Toc100240093"/>
      <w:bookmarkStart w:id="69" w:name="_Toc100561772"/>
      <w:r>
        <w:t>Subdivision 1 — Terms used</w:t>
      </w:r>
      <w:bookmarkEnd w:id="67"/>
      <w:bookmarkEnd w:id="68"/>
      <w:bookmarkEnd w:id="69"/>
    </w:p>
    <w:p>
      <w:pPr>
        <w:pStyle w:val="Footnoteheading"/>
      </w:pPr>
      <w:r>
        <w:tab/>
        <w:t>[Heading inserted: No. 55 of 2012 s. 132.]</w:t>
      </w:r>
    </w:p>
    <w:p>
      <w:pPr>
        <w:pStyle w:val="Heading5"/>
      </w:pPr>
      <w:bookmarkStart w:id="70" w:name="_Toc100561773"/>
      <w:r>
        <w:rPr>
          <w:rStyle w:val="CharSectno"/>
        </w:rPr>
        <w:t>33</w:t>
      </w:r>
      <w:r>
        <w:t>.</w:t>
      </w:r>
      <w:r>
        <w:tab/>
        <w:t>Terms used</w:t>
      </w:r>
      <w:bookmarkEnd w:id="70"/>
    </w:p>
    <w:p>
      <w:pPr>
        <w:pStyle w:val="Subsection"/>
      </w:pPr>
      <w:r>
        <w:tab/>
      </w:r>
      <w:r>
        <w:tab/>
        <w:t>In this Division —</w:t>
      </w:r>
    </w:p>
    <w:p>
      <w:pPr>
        <w:pStyle w:val="Defstart"/>
      </w:pPr>
      <w:r>
        <w:tab/>
      </w:r>
      <w:r>
        <w:rPr>
          <w:rStyle w:val="CharDefText"/>
        </w:rPr>
        <w:t>another jurisdiction</w:t>
      </w:r>
      <w:r>
        <w:t xml:space="preserve"> means another State, a Territory or the Commonwealth;</w:t>
      </w:r>
    </w:p>
    <w:p>
      <w:pPr>
        <w:pStyle w:val="Defstart"/>
      </w:pPr>
      <w:r>
        <w:tab/>
      </w:r>
      <w:r>
        <w:rPr>
          <w:rStyle w:val="CharDefText"/>
        </w:rPr>
        <w:t>corresponding law</w:t>
      </w:r>
      <w:r>
        <w:t xml:space="preserve"> means a law of another jurisdiction that corresponds to this Division, and includes a prescribed law of another jurisdiction;</w:t>
      </w:r>
    </w:p>
    <w:p>
      <w:pPr>
        <w:pStyle w:val="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proceedings</w:t>
      </w:r>
      <w:r>
        <w:t xml:space="preserve"> means any proceedings in a court;</w:t>
      </w:r>
    </w:p>
    <w:p>
      <w:pPr>
        <w:pStyle w:val="Defstart"/>
      </w:pPr>
      <w:r>
        <w:lastRenderedPageBreak/>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non</w:t>
      </w:r>
      <w:r>
        <w:rPr>
          <w:rStyle w:val="CharDefText"/>
        </w:rPr>
        <w:noBreakHyphen/>
        <w:t>disclosure certificate</w:t>
      </w:r>
      <w:r>
        <w:t xml:space="preserve"> means a certificate given under section 34A(3);</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proceedings</w:t>
      </w:r>
      <w:r>
        <w:t xml:space="preserve"> means any proceedings before a parliamentary committee;</w:t>
      </w:r>
    </w:p>
    <w:p>
      <w:pPr>
        <w:pStyle w:val="Defstart"/>
      </w:pPr>
      <w:r>
        <w:tab/>
      </w:r>
      <w:r>
        <w:rPr>
          <w:rStyle w:val="CharDefText"/>
        </w:rPr>
        <w:t>party</w:t>
      </w:r>
      <w:r>
        <w:t>, to proceedings, means —</w:t>
      </w:r>
    </w:p>
    <w:p>
      <w:pPr>
        <w:pStyle w:val="Defpara"/>
      </w:pPr>
      <w:r>
        <w:tab/>
        <w:t>(a)</w:t>
      </w:r>
      <w:r>
        <w:tab/>
        <w:t>for criminal proceedings, the prosecutor and each accused person; or</w:t>
      </w:r>
    </w:p>
    <w:p>
      <w:pPr>
        <w:pStyle w:val="Defpara"/>
      </w:pPr>
      <w:r>
        <w:tab/>
        <w:t>(b)</w:t>
      </w:r>
      <w:r>
        <w:tab/>
        <w:t>for civil proceedings, each person who is a party to the proceedings; or</w:t>
      </w:r>
    </w:p>
    <w:p>
      <w:pPr>
        <w:pStyle w:val="Defpara"/>
      </w:pPr>
      <w:r>
        <w:tab/>
        <w:t>(c)</w:t>
      </w:r>
      <w:r>
        <w:tab/>
        <w:t>for any other proceedings, each person who may appear or give evidence in the proceedings;</w:t>
      </w:r>
    </w:p>
    <w:p>
      <w:pPr>
        <w:pStyle w:val="Defstart"/>
      </w:pPr>
      <w:r>
        <w:tab/>
      </w:r>
      <w:r>
        <w:rPr>
          <w:rStyle w:val="CharDefText"/>
        </w:rPr>
        <w:t>proceedings</w:t>
      </w:r>
      <w:r>
        <w:t xml:space="preserve"> means court proceedings or parliamentary proceedings;</w:t>
      </w:r>
    </w:p>
    <w:p>
      <w:pPr>
        <w:pStyle w:val="Defstart"/>
      </w:pPr>
      <w:r>
        <w:tab/>
      </w:r>
      <w:r>
        <w:rPr>
          <w:rStyle w:val="CharDefText"/>
        </w:rPr>
        <w:t>protected address</w:t>
      </w:r>
      <w:r>
        <w:t xml:space="preserve">, of a protected person, means — </w:t>
      </w:r>
    </w:p>
    <w:p>
      <w:pPr>
        <w:pStyle w:val="Defpara"/>
      </w:pPr>
      <w:r>
        <w:tab/>
        <w:t>(a)</w:t>
      </w:r>
      <w:r>
        <w:tab/>
        <w:t>for proceedings in which the protected person is or may be required to give evidence under the person’s new identity, the last place where the person lived under the person’s former identity; or</w:t>
      </w:r>
    </w:p>
    <w:p>
      <w:pPr>
        <w:pStyle w:val="Defpara"/>
      </w:pPr>
      <w:r>
        <w:tab/>
        <w:t>(b)</w:t>
      </w:r>
      <w:r>
        <w:tab/>
        <w:t>for proceedings in which the protected person is or may be required to give evidence under the person’s former identity, the place where the person lives;</w:t>
      </w:r>
    </w:p>
    <w:p>
      <w:pPr>
        <w:pStyle w:val="Defstart"/>
      </w:pPr>
      <w:r>
        <w:tab/>
      </w:r>
      <w:r>
        <w:rPr>
          <w:rStyle w:val="CharDefText"/>
        </w:rPr>
        <w:t>protected identity</w:t>
      </w:r>
      <w:r>
        <w:t>, of a protected person, means —</w:t>
      </w:r>
    </w:p>
    <w:p>
      <w:pPr>
        <w:pStyle w:val="Defpara"/>
      </w:pPr>
      <w:r>
        <w:tab/>
        <w:t>(a)</w:t>
      </w:r>
      <w:r>
        <w:tab/>
        <w:t>for proceedings in which the protected person is or may be required to give evidence under the person’s new identity, the person’s former identity; or</w:t>
      </w:r>
    </w:p>
    <w:p>
      <w:pPr>
        <w:pStyle w:val="Defpara"/>
      </w:pPr>
      <w:r>
        <w:tab/>
        <w:t>(b)</w:t>
      </w:r>
      <w:r>
        <w:tab/>
        <w:t>for proceedings in which the protected person is or may be required to give evidence under the person’s former identity, the person’s new identity;</w:t>
      </w:r>
    </w:p>
    <w:p>
      <w:pPr>
        <w:pStyle w:val="Defstart"/>
      </w:pPr>
      <w:r>
        <w:lastRenderedPageBreak/>
        <w:tab/>
      </w:r>
      <w:r>
        <w:rPr>
          <w:rStyle w:val="CharDefText"/>
        </w:rPr>
        <w:t>protected person</w:t>
      </w:r>
      <w:r>
        <w:t xml:space="preserve"> means a person who, having been given a new identity under the SWPP, keeps the identity whether or not the person remains a participant.</w:t>
      </w:r>
    </w:p>
    <w:p>
      <w:pPr>
        <w:pStyle w:val="Footnotesection"/>
      </w:pPr>
      <w:r>
        <w:tab/>
        <w:t>[Section 33 inserted: No. 55 of 2012 s. 133.]</w:t>
      </w:r>
    </w:p>
    <w:p>
      <w:pPr>
        <w:pStyle w:val="Heading4"/>
      </w:pPr>
      <w:bookmarkStart w:id="71" w:name="_Toc100239487"/>
      <w:bookmarkStart w:id="72" w:name="_Toc100240095"/>
      <w:bookmarkStart w:id="73" w:name="_Toc100561774"/>
      <w:r>
        <w:t>Subdivision 2 — Non-disclosure certificates for protected persons</w:t>
      </w:r>
      <w:bookmarkEnd w:id="71"/>
      <w:bookmarkEnd w:id="72"/>
      <w:bookmarkEnd w:id="73"/>
    </w:p>
    <w:p>
      <w:pPr>
        <w:pStyle w:val="Footnoteheading"/>
      </w:pPr>
      <w:r>
        <w:tab/>
        <w:t>[Heading inserted: No. 55 of 2012 s. 133.]</w:t>
      </w:r>
    </w:p>
    <w:p>
      <w:pPr>
        <w:pStyle w:val="Heading5"/>
      </w:pPr>
      <w:bookmarkStart w:id="74" w:name="_Toc100561775"/>
      <w:r>
        <w:rPr>
          <w:rStyle w:val="CharSectno"/>
        </w:rPr>
        <w:t>34A</w:t>
      </w:r>
      <w:r>
        <w:t>.</w:t>
      </w:r>
      <w:r>
        <w:tab/>
        <w:t>Non</w:t>
      </w:r>
      <w:r>
        <w:noBreakHyphen/>
        <w:t>disclosure certificates</w:t>
      </w:r>
      <w:bookmarkEnd w:id="74"/>
    </w:p>
    <w:p>
      <w:pPr>
        <w:pStyle w:val="Subsection"/>
      </w:pPr>
      <w:r>
        <w:tab/>
        <w:t>(1)</w:t>
      </w:r>
      <w:r>
        <w:tab/>
        <w:t xml:space="preserve">In this section — </w:t>
      </w:r>
    </w:p>
    <w:p>
      <w:pPr>
        <w:pStyle w:val="Defstart"/>
      </w:pPr>
      <w:r>
        <w:tab/>
      </w:r>
      <w:r>
        <w:rPr>
          <w:rStyle w:val="CharDefText"/>
        </w:rPr>
        <w:t>court</w:t>
      </w:r>
      <w:r>
        <w:t xml:space="preserve"> includes a court, within the meaning of that term in this Act, of another jurisdiction.</w:t>
      </w:r>
    </w:p>
    <w:p>
      <w:pPr>
        <w:pStyle w:val="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Subsection"/>
      </w:pPr>
      <w:r>
        <w:tab/>
        <w:t>(3)</w:t>
      </w:r>
      <w:r>
        <w:tab/>
        <w:t>The Commissioner may give a certificate for the protected person in relation to the proceedings and —</w:t>
      </w:r>
    </w:p>
    <w:p>
      <w:pPr>
        <w:pStyle w:val="Indenta"/>
      </w:pPr>
      <w:r>
        <w:tab/>
        <w:t>(a)</w:t>
      </w:r>
      <w:r>
        <w:tab/>
        <w:t>file a copy with the court; or</w:t>
      </w:r>
    </w:p>
    <w:p>
      <w:pPr>
        <w:pStyle w:val="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Subsection"/>
      </w:pPr>
      <w:r>
        <w:tab/>
      </w:r>
      <w:r>
        <w:tab/>
        <w:t>as the case requires.</w:t>
      </w:r>
    </w:p>
    <w:p>
      <w:pPr>
        <w:pStyle w:val="Footnotesection"/>
      </w:pPr>
      <w:r>
        <w:tab/>
        <w:t>[Section 34A inserted: No. 55 of 2012 s. 133.]</w:t>
      </w:r>
    </w:p>
    <w:p>
      <w:pPr>
        <w:pStyle w:val="Heading5"/>
      </w:pPr>
      <w:bookmarkStart w:id="75" w:name="_Toc100561776"/>
      <w:r>
        <w:rPr>
          <w:rStyle w:val="CharSectno"/>
        </w:rPr>
        <w:t>34B</w:t>
      </w:r>
      <w:r>
        <w:t>.</w:t>
      </w:r>
      <w:r>
        <w:tab/>
        <w:t>What non</w:t>
      </w:r>
      <w:r>
        <w:noBreakHyphen/>
        <w:t>disclosure certificate must state</w:t>
      </w:r>
      <w:bookmarkEnd w:id="75"/>
      <w:r>
        <w:t xml:space="preserve"> </w:t>
      </w:r>
    </w:p>
    <w:p>
      <w:pPr>
        <w:pStyle w:val="Subsection"/>
      </w:pPr>
      <w:r>
        <w:tab/>
        <w:t>(1)</w:t>
      </w:r>
      <w:r>
        <w:tab/>
        <w:t>A non</w:t>
      </w:r>
      <w:r>
        <w:noBreakHyphen/>
        <w:t>disclosure certificate for a protected person must state —</w:t>
      </w:r>
    </w:p>
    <w:p>
      <w:pPr>
        <w:pStyle w:val="Indenta"/>
      </w:pPr>
      <w:r>
        <w:tab/>
        <w:t>(a)</w:t>
      </w:r>
      <w:r>
        <w:tab/>
        <w:t>that the person is, or has been, included in the SWPP; and</w:t>
      </w:r>
    </w:p>
    <w:p>
      <w:pPr>
        <w:pStyle w:val="Indenta"/>
      </w:pPr>
      <w:r>
        <w:lastRenderedPageBreak/>
        <w:tab/>
        <w:t>(b)</w:t>
      </w:r>
      <w:r>
        <w:tab/>
        <w:t>that the person has been given a new identity under the SWPP; and</w:t>
      </w:r>
    </w:p>
    <w:p>
      <w:pPr>
        <w:pStyle w:val="Indenta"/>
      </w:pPr>
      <w:r>
        <w:tab/>
        <w:t>(c)</w:t>
      </w:r>
      <w:r>
        <w:tab/>
        <w:t>that the person has not been convicted or found guilty of any offence other than an offence mentioned in the certificate.</w:t>
      </w:r>
    </w:p>
    <w:p>
      <w:pPr>
        <w:pStyle w:val="Subsection"/>
      </w:pPr>
      <w:r>
        <w:tab/>
        <w:t>(2)</w:t>
      </w:r>
      <w:r>
        <w:tab/>
        <w:t>The non</w:t>
      </w:r>
      <w:r>
        <w:noBreakHyphen/>
        <w:t xml:space="preserve">disclosure certificate must not include information that discloses, or may lead to the disclosure of any of the following — </w:t>
      </w:r>
    </w:p>
    <w:p>
      <w:pPr>
        <w:pStyle w:val="Indenta"/>
      </w:pPr>
      <w:r>
        <w:tab/>
        <w:t>(a)</w:t>
      </w:r>
      <w:r>
        <w:tab/>
        <w:t>the person’s protected identity;</w:t>
      </w:r>
    </w:p>
    <w:p>
      <w:pPr>
        <w:pStyle w:val="Indenta"/>
      </w:pPr>
      <w:r>
        <w:tab/>
        <w:t>(b)</w:t>
      </w:r>
      <w:r>
        <w:tab/>
        <w:t>the person’s protected address;</w:t>
      </w:r>
    </w:p>
    <w:p>
      <w:pPr>
        <w:pStyle w:val="Indenta"/>
      </w:pPr>
      <w:r>
        <w:tab/>
        <w:t>(c)</w:t>
      </w:r>
      <w:r>
        <w:tab/>
        <w:t>any other sensitive information as defined in section 32(2).</w:t>
      </w:r>
    </w:p>
    <w:p>
      <w:pPr>
        <w:pStyle w:val="Footnotesection"/>
      </w:pPr>
      <w:r>
        <w:tab/>
        <w:t>[Section 34B inserted: No. 55 of 2012 s. 133.]</w:t>
      </w:r>
    </w:p>
    <w:p>
      <w:pPr>
        <w:pStyle w:val="Heading4"/>
      </w:pPr>
      <w:bookmarkStart w:id="76" w:name="_Toc100239490"/>
      <w:bookmarkStart w:id="77" w:name="_Toc100240098"/>
      <w:bookmarkStart w:id="78" w:name="_Toc100561777"/>
      <w:r>
        <w:t>Subdivision 3 — Provisions applicable to court proceedings</w:t>
      </w:r>
      <w:bookmarkEnd w:id="76"/>
      <w:bookmarkEnd w:id="77"/>
      <w:bookmarkEnd w:id="78"/>
    </w:p>
    <w:p>
      <w:pPr>
        <w:pStyle w:val="Footnoteheading"/>
      </w:pPr>
      <w:r>
        <w:tab/>
        <w:t>[Heading inserted: No. 55 of 2012 s. 133.]</w:t>
      </w:r>
    </w:p>
    <w:p>
      <w:pPr>
        <w:pStyle w:val="Heading5"/>
      </w:pPr>
      <w:bookmarkStart w:id="79" w:name="_Toc100561778"/>
      <w:r>
        <w:rPr>
          <w:rStyle w:val="CharSectno"/>
        </w:rPr>
        <w:t>34CA</w:t>
      </w:r>
      <w:r>
        <w:t>.</w:t>
      </w:r>
      <w:r>
        <w:tab/>
        <w:t>Application of Subdivision</w:t>
      </w:r>
      <w:bookmarkEnd w:id="79"/>
    </w:p>
    <w:p>
      <w:pPr>
        <w:pStyle w:val="Subsection"/>
      </w:pPr>
      <w:r>
        <w:tab/>
      </w:r>
      <w:r>
        <w:tab/>
        <w:t>This Subdivision applies in relation to court proceedings in which a protected person is, or may be, required to give evidence.</w:t>
      </w:r>
    </w:p>
    <w:p>
      <w:pPr>
        <w:pStyle w:val="Footnotesection"/>
      </w:pPr>
      <w:r>
        <w:tab/>
        <w:t>[Section 34CA inserted: No. 55 of 2012 s. 133.]</w:t>
      </w:r>
    </w:p>
    <w:p>
      <w:pPr>
        <w:pStyle w:val="Heading5"/>
      </w:pPr>
      <w:bookmarkStart w:id="80" w:name="_Toc100561779"/>
      <w:r>
        <w:rPr>
          <w:rStyle w:val="CharSectno"/>
        </w:rPr>
        <w:t>34C</w:t>
      </w:r>
      <w:r>
        <w:t>.</w:t>
      </w:r>
      <w:r>
        <w:tab/>
        <w:t>Effect of non</w:t>
      </w:r>
      <w:r>
        <w:noBreakHyphen/>
        <w:t>disclosure certificate</w:t>
      </w:r>
      <w:bookmarkEnd w:id="80"/>
    </w:p>
    <w:p>
      <w:pPr>
        <w:pStyle w:val="Subsection"/>
      </w:pPr>
      <w:r>
        <w:tab/>
        <w:t>(1)</w:t>
      </w:r>
      <w:r>
        <w:tab/>
        <w:t xml:space="preserve">In this section — </w:t>
      </w:r>
    </w:p>
    <w:p>
      <w:pPr>
        <w:pStyle w:val="Defstart"/>
      </w:pPr>
      <w:r>
        <w:tab/>
      </w:r>
      <w:r>
        <w:rPr>
          <w:rStyle w:val="CharDefText"/>
        </w:rPr>
        <w:t>person involved</w:t>
      </w:r>
      <w:r>
        <w:t xml:space="preserve">, in proceedings, includes — </w:t>
      </w:r>
    </w:p>
    <w:p>
      <w:pPr>
        <w:pStyle w:val="Defpara"/>
      </w:pPr>
      <w:r>
        <w:tab/>
        <w:t>(a)</w:t>
      </w:r>
      <w:r>
        <w:tab/>
        <w:t>the court;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lastRenderedPageBreak/>
        <w:tab/>
        <w:t>(d)</w:t>
      </w:r>
      <w:r>
        <w:tab/>
        <w:t>a lawyer representing a person referred to in paragraph (b) or (c) or a lawyer assisting the court in the proceedings; and</w:t>
      </w:r>
    </w:p>
    <w:p>
      <w:pPr>
        <w:pStyle w:val="Defpara"/>
      </w:pPr>
      <w:r>
        <w:tab/>
        <w:t>(e)</w:t>
      </w:r>
      <w:r>
        <w:tab/>
        <w:t>any other officer of the court or person assisting the court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w:t>
      </w:r>
      <w:r>
        <w:noBreakHyphen/>
        <w:t>disclosure certificate for a protected person in relation to proceedings is filed in a court in this State.</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court may disclose to each party to the proceedings —</w:t>
      </w:r>
    </w:p>
    <w:p>
      <w:pPr>
        <w:pStyle w:val="Indenta"/>
      </w:pPr>
      <w:r>
        <w:tab/>
        <w:t>(a)</w:t>
      </w:r>
      <w:r>
        <w:tab/>
        <w:t>that the court has been given a non</w:t>
      </w:r>
      <w:r>
        <w:noBreakHyphen/>
        <w:t>disclosure certificate for a person who may be required to give evidence in the proceedings; and</w:t>
      </w:r>
    </w:p>
    <w:p>
      <w:pPr>
        <w:pStyle w:val="Indenta"/>
      </w:pPr>
      <w:r>
        <w:tab/>
        <w:t>(b)</w:t>
      </w:r>
      <w:r>
        <w:tab/>
        <w:t>what the certificate states.</w:t>
      </w:r>
    </w:p>
    <w:p>
      <w:pPr>
        <w:pStyle w:val="Subsection"/>
      </w:pPr>
      <w:r>
        <w:tab/>
        <w:t>(5)</w:t>
      </w:r>
      <w:r>
        <w:tab/>
        <w:t>The court may only disclose what the non</w:t>
      </w:r>
      <w:r>
        <w:noBreakHyphen/>
        <w:t xml:space="preserve">disclosure certificate states in the absence of the jury (if any) and the public. </w:t>
      </w:r>
    </w:p>
    <w:p>
      <w:pPr>
        <w:pStyle w:val="Subsection"/>
      </w:pPr>
      <w:r>
        <w:lastRenderedPageBreak/>
        <w:tab/>
        <w:t>(6)</w:t>
      </w:r>
      <w:r>
        <w:tab/>
        <w:t>If the court makes a disclosure about the non</w:t>
      </w:r>
      <w:r>
        <w:noBreakHyphen/>
        <w:t>disclosure certificate under subsection (4), the court must also inform the parties of the effect of the certificate.</w:t>
      </w:r>
    </w:p>
    <w:p>
      <w:pPr>
        <w:pStyle w:val="Subsection"/>
      </w:pPr>
      <w:r>
        <w:tab/>
        <w:t>(7)</w:t>
      </w:r>
      <w:r>
        <w:tab/>
        <w:t>This section applies despite any other Act, but subject to section 34D.</w:t>
      </w:r>
    </w:p>
    <w:p>
      <w:pPr>
        <w:pStyle w:val="Footnotesection"/>
      </w:pPr>
      <w:r>
        <w:tab/>
        <w:t>[Section 34C inserted: No. 55 of 2012 s. 133.]</w:t>
      </w:r>
    </w:p>
    <w:p>
      <w:pPr>
        <w:pStyle w:val="Heading5"/>
      </w:pPr>
      <w:bookmarkStart w:id="81" w:name="_Toc100561780"/>
      <w:r>
        <w:rPr>
          <w:rStyle w:val="CharSectno"/>
        </w:rPr>
        <w:t>34D</w:t>
      </w:r>
      <w:r>
        <w:t>.</w:t>
      </w:r>
      <w:r>
        <w:tab/>
        <w:t>Disclosure of protected person’s identity despite certificate</w:t>
      </w:r>
      <w:bookmarkEnd w:id="81"/>
    </w:p>
    <w:p>
      <w:pPr>
        <w:pStyle w:val="Subsection"/>
      </w:pPr>
      <w:r>
        <w:tab/>
        <w:t>(1)</w:t>
      </w:r>
      <w:r>
        <w:tab/>
        <w:t>This section applies if a non</w:t>
      </w:r>
      <w:r>
        <w:noBreakHyphen/>
        <w:t xml:space="preserve">disclosure certificate for a protected person in relation to proceedings is filed in a court in this State. </w:t>
      </w:r>
    </w:p>
    <w:p>
      <w:pPr>
        <w:pStyle w:val="Subsection"/>
      </w:pPr>
      <w:r>
        <w:tab/>
        <w:t>(2)</w:t>
      </w:r>
      <w:r>
        <w:tab/>
        <w:t>A party to the proceedings, or a lawyer assisting the court in the proceedings, may apply to the court —</w:t>
      </w:r>
    </w:p>
    <w:p>
      <w:pPr>
        <w:pStyle w:val="Indenta"/>
      </w:pPr>
      <w:r>
        <w:tab/>
        <w:t>(a)</w:t>
      </w:r>
      <w:r>
        <w:tab/>
        <w:t>for leave —</w:t>
      </w:r>
    </w:p>
    <w:p>
      <w:pPr>
        <w:pStyle w:val="Indenti"/>
      </w:pPr>
      <w:r>
        <w:tab/>
        <w:t>(i)</w:t>
      </w:r>
      <w:r>
        <w:tab/>
        <w:t>to ask a question of a witness, including the protected person, that may lead to the disclosure of the protected person’s protected identity or protected address or both; or</w:t>
      </w:r>
    </w:p>
    <w:p>
      <w:pPr>
        <w:pStyle w:val="Indenti"/>
      </w:pPr>
      <w:r>
        <w:tab/>
        <w:t>(ii)</w:t>
      </w:r>
      <w:r>
        <w:tab/>
        <w:t xml:space="preserve">for a person involved in the proceedings to make a statement that discloses, or may lead to the disclosure of, the protected person’s protected identity or protected address or both; </w:t>
      </w:r>
    </w:p>
    <w:p>
      <w:pPr>
        <w:pStyle w:val="Indenta"/>
      </w:pPr>
      <w:r>
        <w:tab/>
      </w:r>
      <w:r>
        <w:tab/>
        <w:t>or</w:t>
      </w:r>
    </w:p>
    <w:p>
      <w:pPr>
        <w:pStyle w:val="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lastRenderedPageBreak/>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Indenta"/>
      </w:pPr>
      <w:r>
        <w:tab/>
        <w:t>(c)</w:t>
      </w:r>
      <w:r>
        <w:tab/>
        <w:t>it is in the interests of justice for the protected person’s credibility to be able to be tested.</w:t>
      </w:r>
    </w:p>
    <w:p>
      <w:pPr>
        <w:pStyle w:val="Subsection"/>
      </w:pPr>
      <w:r>
        <w:tab/>
        <w:t>(5)</w:t>
      </w:r>
      <w:r>
        <w:tab/>
        <w:t xml:space="preserve">If there is a jury in the proceedings, the application must be heard in the absence of the jury. </w:t>
      </w:r>
    </w:p>
    <w:p>
      <w:pPr>
        <w:pStyle w:val="Subsection"/>
      </w:pPr>
      <w:r>
        <w:tab/>
        <w:t>(6)</w:t>
      </w:r>
      <w:r>
        <w:tab/>
        <w:t>Unless the court considers that the interests of justice require otherwise, the court must be closed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Subsection"/>
      </w:pPr>
      <w:r>
        <w:tab/>
        <w:t>(9)</w:t>
      </w:r>
      <w:r>
        <w:tab/>
        <w:t>The court may make any other order it considers appropriate to protect the protected person’s protected identity or protected address or both.</w:t>
      </w:r>
    </w:p>
    <w:p>
      <w:pPr>
        <w:pStyle w:val="Subsection"/>
      </w:pPr>
      <w:r>
        <w:lastRenderedPageBreak/>
        <w:tab/>
        <w:t>(10)</w:t>
      </w:r>
      <w:r>
        <w:tab/>
        <w:t>A person must not contravene an order under subsection (7), (8) or (9).</w:t>
      </w:r>
    </w:p>
    <w:p>
      <w:pPr>
        <w:pStyle w:val="Penstart"/>
      </w:pPr>
      <w:r>
        <w:tab/>
        <w:t>Penalty: imprisonment for 2 years.</w:t>
      </w:r>
    </w:p>
    <w:p>
      <w:pPr>
        <w:pStyle w:val="Subsection"/>
      </w:pPr>
      <w:r>
        <w:tab/>
        <w:t>(11)</w:t>
      </w:r>
      <w:r>
        <w:tab/>
        <w:t xml:space="preserve">Subsection (10) does not limit the court’s power to punish for contempt. </w:t>
      </w:r>
    </w:p>
    <w:p>
      <w:pPr>
        <w:pStyle w:val="Footnotesection"/>
      </w:pPr>
      <w:r>
        <w:tab/>
        <w:t>[Section 34D inserted: No. 55 of 2012 s. 133.]</w:t>
      </w:r>
    </w:p>
    <w:p>
      <w:pPr>
        <w:pStyle w:val="Heading5"/>
      </w:pPr>
      <w:bookmarkStart w:id="82" w:name="_Toc100561781"/>
      <w:r>
        <w:rPr>
          <w:rStyle w:val="CharSectno"/>
        </w:rPr>
        <w:t>34E</w:t>
      </w:r>
      <w:r>
        <w:t>.</w:t>
      </w:r>
      <w:r>
        <w:tab/>
        <w:t>Directions to jury</w:t>
      </w:r>
      <w:bookmarkEnd w:id="82"/>
    </w:p>
    <w:p>
      <w:pPr>
        <w:pStyle w:val="Subsection"/>
      </w:pPr>
      <w:r>
        <w:tab/>
        <w:t>(1)</w:t>
      </w:r>
      <w:r>
        <w:tab/>
        <w:t>This section applies if —</w:t>
      </w:r>
    </w:p>
    <w:p>
      <w:pPr>
        <w:pStyle w:val="Indenta"/>
      </w:pPr>
      <w:r>
        <w:tab/>
        <w:t>(a)</w:t>
      </w:r>
      <w:r>
        <w:tab/>
        <w:t>a non</w:t>
      </w:r>
      <w:r>
        <w:noBreakHyphen/>
        <w:t>disclosure certificate for a protected person in relation to proceedings is filed in a court; and</w:t>
      </w:r>
    </w:p>
    <w:p>
      <w:pPr>
        <w:pStyle w:val="Indenta"/>
      </w:pPr>
      <w:r>
        <w:tab/>
        <w:t>(b)</w:t>
      </w:r>
      <w:r>
        <w:tab/>
        <w:t>there is a jury in the proceedings; and</w:t>
      </w:r>
    </w:p>
    <w:p>
      <w:pPr>
        <w:pStyle w:val="Indenta"/>
      </w:pPr>
      <w:r>
        <w:tab/>
        <w:t>(c)</w:t>
      </w:r>
      <w:r>
        <w:tab/>
        <w:t>the protected person gives evidence.</w:t>
      </w:r>
    </w:p>
    <w:p>
      <w:pPr>
        <w:pStyle w:val="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Indenta"/>
      </w:pPr>
      <w:r>
        <w:tab/>
        <w:t>(a)</w:t>
      </w:r>
      <w:r>
        <w:tab/>
        <w:t>there is a non</w:t>
      </w:r>
      <w:r>
        <w:noBreakHyphen/>
        <w:t>disclosure certificate for the protected person; or</w:t>
      </w:r>
    </w:p>
    <w:p>
      <w:pPr>
        <w:pStyle w:val="Indenta"/>
      </w:pPr>
      <w:r>
        <w:tab/>
        <w:t>(b)</w:t>
      </w:r>
      <w:r>
        <w:tab/>
        <w:t>the court has made an order under section 32 or 34D(7), (8) or (9).</w:t>
      </w:r>
    </w:p>
    <w:p>
      <w:pPr>
        <w:pStyle w:val="Footnotesection"/>
      </w:pPr>
      <w:r>
        <w:tab/>
        <w:t>[Section 34E inserted: No. 55 of 2012 s. 133.]</w:t>
      </w:r>
    </w:p>
    <w:p>
      <w:pPr>
        <w:pStyle w:val="Heading5"/>
      </w:pPr>
      <w:bookmarkStart w:id="83" w:name="_Toc100561782"/>
      <w:r>
        <w:rPr>
          <w:rStyle w:val="CharSectno"/>
        </w:rPr>
        <w:t>34F</w:t>
      </w:r>
      <w:r>
        <w:t>.</w:t>
      </w:r>
      <w:r>
        <w:tab/>
        <w:t>Adjournment for appeal decision</w:t>
      </w:r>
      <w:bookmarkEnd w:id="83"/>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34D(3)(a) in relation to a non</w:t>
      </w:r>
      <w:r>
        <w:noBreakHyphen/>
        <w:t>disclosure certificate for a protected person; or</w:t>
      </w:r>
    </w:p>
    <w:p>
      <w:pPr>
        <w:pStyle w:val="Indenta"/>
      </w:pPr>
      <w:r>
        <w:tab/>
        <w:t>(b)</w:t>
      </w:r>
      <w:r>
        <w:tab/>
        <w:t>the original court makes, or refuses to make, an order under section 34D(3)(b) in relation to a non</w:t>
      </w:r>
      <w:r>
        <w:noBreakHyphen/>
        <w:t>disclosure certificate for a protected person.</w:t>
      </w:r>
    </w:p>
    <w:p>
      <w:pPr>
        <w:pStyle w:val="Subsection"/>
      </w:pPr>
      <w:r>
        <w:lastRenderedPageBreak/>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Footnotesection"/>
      </w:pPr>
      <w:r>
        <w:tab/>
        <w:t>[Section 34F inserted: No. 55 of 2012 s. 133.]</w:t>
      </w:r>
    </w:p>
    <w:p>
      <w:pPr>
        <w:pStyle w:val="Heading5"/>
      </w:pPr>
      <w:bookmarkStart w:id="84" w:name="_Toc100561783"/>
      <w:r>
        <w:rPr>
          <w:rStyle w:val="CharSectno"/>
        </w:rPr>
        <w:t>34G</w:t>
      </w:r>
      <w:r>
        <w:t>.</w:t>
      </w:r>
      <w:r>
        <w:tab/>
        <w:t>Jurisdiction to hear and determine appeals</w:t>
      </w:r>
      <w:bookmarkEnd w:id="84"/>
    </w:p>
    <w:p>
      <w:pPr>
        <w:pStyle w:val="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Footnotesection"/>
      </w:pPr>
      <w:r>
        <w:tab/>
        <w:t>[Section 34G inserted: No. 55 of 2012 s. 133.]</w:t>
      </w:r>
    </w:p>
    <w:p>
      <w:pPr>
        <w:pStyle w:val="Heading5"/>
      </w:pPr>
      <w:bookmarkStart w:id="85" w:name="_Toc100561784"/>
      <w:r>
        <w:rPr>
          <w:rStyle w:val="CharSectno"/>
        </w:rPr>
        <w:t>34H</w:t>
      </w:r>
      <w:r>
        <w:t>.</w:t>
      </w:r>
      <w:r>
        <w:tab/>
        <w:t>Recognition of non</w:t>
      </w:r>
      <w:r>
        <w:noBreakHyphen/>
        <w:t>disclosure certificates under corresponding laws</w:t>
      </w:r>
      <w:bookmarkEnd w:id="85"/>
      <w:r>
        <w:t xml:space="preserve"> </w:t>
      </w:r>
    </w:p>
    <w:p>
      <w:pPr>
        <w:pStyle w:val="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Indenta"/>
      </w:pPr>
      <w:r>
        <w:tab/>
        <w:t>(a)</w:t>
      </w:r>
      <w:r>
        <w:tab/>
        <w:t>section 34C (Effect of non</w:t>
      </w:r>
      <w:r>
        <w:noBreakHyphen/>
        <w:t>disclosure certificate);</w:t>
      </w:r>
    </w:p>
    <w:p>
      <w:pPr>
        <w:pStyle w:val="Indenta"/>
      </w:pPr>
      <w:r>
        <w:tab/>
        <w:t>(b)</w:t>
      </w:r>
      <w:r>
        <w:tab/>
        <w:t>section 34D (Disclosure of protected person’s identity despite certificate).</w:t>
      </w:r>
    </w:p>
    <w:p>
      <w:pPr>
        <w:pStyle w:val="Footnotesection"/>
      </w:pPr>
      <w:r>
        <w:tab/>
        <w:t>[Section 34H inserted: No. 55 of 2012 s. 133.]</w:t>
      </w:r>
    </w:p>
    <w:p>
      <w:pPr>
        <w:pStyle w:val="Heading4"/>
      </w:pPr>
      <w:bookmarkStart w:id="86" w:name="_Toc100239498"/>
      <w:bookmarkStart w:id="87" w:name="_Toc100240106"/>
      <w:bookmarkStart w:id="88" w:name="_Toc100561785"/>
      <w:r>
        <w:t>Subdivision 4 — Provisions applicable to parliamentary proceedings</w:t>
      </w:r>
      <w:bookmarkEnd w:id="86"/>
      <w:bookmarkEnd w:id="87"/>
      <w:bookmarkEnd w:id="88"/>
    </w:p>
    <w:p>
      <w:pPr>
        <w:pStyle w:val="Footnoteheading"/>
      </w:pPr>
      <w:r>
        <w:tab/>
        <w:t>[Heading inserted: No. 55 of 2012 s. 133.]</w:t>
      </w:r>
    </w:p>
    <w:p>
      <w:pPr>
        <w:pStyle w:val="Heading5"/>
      </w:pPr>
      <w:bookmarkStart w:id="89" w:name="_Toc100561786"/>
      <w:r>
        <w:lastRenderedPageBreak/>
        <w:t>34I.</w:t>
      </w:r>
      <w:r>
        <w:tab/>
        <w:t>Application of Subdivision</w:t>
      </w:r>
      <w:bookmarkEnd w:id="89"/>
    </w:p>
    <w:p>
      <w:pPr>
        <w:pStyle w:val="Subsection"/>
      </w:pPr>
      <w:r>
        <w:tab/>
      </w:r>
      <w:r>
        <w:tab/>
        <w:t>This Subdivision applies in relation to parliamentary proceedings in which a protected person is, or may be, required to give evidence.</w:t>
      </w:r>
    </w:p>
    <w:p>
      <w:pPr>
        <w:pStyle w:val="Footnotesection"/>
      </w:pPr>
      <w:r>
        <w:tab/>
        <w:t>[Section 34I inserted: No. 55 of 2012 s. 133.]</w:t>
      </w:r>
    </w:p>
    <w:p>
      <w:pPr>
        <w:pStyle w:val="Heading5"/>
      </w:pPr>
      <w:bookmarkStart w:id="90" w:name="_Toc100561787"/>
      <w:r>
        <w:rPr>
          <w:rStyle w:val="CharSectno"/>
        </w:rPr>
        <w:t>34J</w:t>
      </w:r>
      <w:r>
        <w:t>.</w:t>
      </w:r>
      <w:r>
        <w:tab/>
        <w:t>Effect of non-disclosure certificate</w:t>
      </w:r>
      <w:bookmarkEnd w:id="90"/>
    </w:p>
    <w:p>
      <w:pPr>
        <w:pStyle w:val="Subsection"/>
      </w:pPr>
      <w:r>
        <w:tab/>
        <w:t>(1)</w:t>
      </w:r>
      <w:r>
        <w:tab/>
        <w:t>In this section —</w:t>
      </w:r>
    </w:p>
    <w:p>
      <w:pPr>
        <w:pStyle w:val="Defstart"/>
      </w:pPr>
      <w:r>
        <w:tab/>
      </w:r>
      <w:r>
        <w:rPr>
          <w:rStyle w:val="CharDefText"/>
        </w:rPr>
        <w:t>person involved</w:t>
      </w:r>
      <w:r>
        <w:rPr>
          <w:rStyle w:val="CharDefText"/>
          <w:b w:val="0"/>
          <w:i w:val="0"/>
        </w:rPr>
        <w:t>,</w:t>
      </w:r>
      <w:r>
        <w:t xml:space="preserve"> in proceedings, includes —</w:t>
      </w:r>
    </w:p>
    <w:p>
      <w:pPr>
        <w:pStyle w:val="Defpara"/>
      </w:pPr>
      <w:r>
        <w:tab/>
        <w:t>(a)</w:t>
      </w:r>
      <w:r>
        <w:tab/>
        <w:t>a member of the parliamentary committee;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parliamentary committee in the proceedings; and</w:t>
      </w:r>
    </w:p>
    <w:p>
      <w:pPr>
        <w:pStyle w:val="Defpara"/>
      </w:pPr>
      <w:r>
        <w:tab/>
        <w:t>(e)</w:t>
      </w:r>
      <w:r>
        <w:tab/>
        <w:t>any other person assisting the parliamentary committee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 xml:space="preserve">a witness, including the protected person, cannot be required to (and must not) answer a question, give evidence or provide information that discloses, or may </w:t>
      </w:r>
      <w:r>
        <w:lastRenderedPageBreak/>
        <w:t>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parliamentary committee may disclose to each party to the proceedings —</w:t>
      </w:r>
    </w:p>
    <w:p>
      <w:pPr>
        <w:pStyle w:val="Indenta"/>
      </w:pPr>
      <w:r>
        <w:tab/>
        <w:t>(a)</w:t>
      </w:r>
      <w:r>
        <w:tab/>
        <w:t>that a non-disclosure certificate for a person who may be required to give evidence in the proceedings has been given; and</w:t>
      </w:r>
    </w:p>
    <w:p>
      <w:pPr>
        <w:pStyle w:val="Indenta"/>
      </w:pPr>
      <w:r>
        <w:tab/>
        <w:t>(b)</w:t>
      </w:r>
      <w:r>
        <w:tab/>
        <w:t>what the certificate states.</w:t>
      </w:r>
    </w:p>
    <w:p>
      <w:pPr>
        <w:pStyle w:val="Subsection"/>
      </w:pPr>
      <w:r>
        <w:tab/>
        <w:t>(5)</w:t>
      </w:r>
      <w:r>
        <w:tab/>
        <w:t>If the parliamentary committee makes a disclosure about the non-disclosure certificate under subsection (4), the committee must also inform the parties of the effect of the certificate.</w:t>
      </w:r>
    </w:p>
    <w:p>
      <w:pPr>
        <w:pStyle w:val="Subsection"/>
      </w:pPr>
      <w:r>
        <w:tab/>
        <w:t>(6)</w:t>
      </w:r>
      <w:r>
        <w:tab/>
        <w:t>This section applies despite any other Act, but subject to section 34K.</w:t>
      </w:r>
    </w:p>
    <w:p>
      <w:pPr>
        <w:pStyle w:val="Footnotesection"/>
      </w:pPr>
      <w:r>
        <w:tab/>
        <w:t>[Section 34J inserted: No. 55 of 2012 s. 133.]</w:t>
      </w:r>
    </w:p>
    <w:p>
      <w:pPr>
        <w:pStyle w:val="Heading5"/>
      </w:pPr>
      <w:bookmarkStart w:id="91" w:name="_Toc100561788"/>
      <w:r>
        <w:rPr>
          <w:rStyle w:val="CharSectno"/>
        </w:rPr>
        <w:t>34K</w:t>
      </w:r>
      <w:r>
        <w:t>.</w:t>
      </w:r>
      <w:r>
        <w:tab/>
        <w:t>Disclosure of protected person’s identity despite certificate</w:t>
      </w:r>
      <w:bookmarkEnd w:id="91"/>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The parliamentary committee may seek the authorisation of the relevant House —</w:t>
      </w:r>
    </w:p>
    <w:p>
      <w:pPr>
        <w:pStyle w:val="Indenta"/>
      </w:pPr>
      <w:r>
        <w:lastRenderedPageBreak/>
        <w:tab/>
        <w:t>(a)</w:t>
      </w:r>
      <w:r>
        <w:tab/>
        <w:t>to ask a question of a witness, including the protected person, that may lead to the disclosure of the protected person’s protected identity or protected address or both; or</w:t>
      </w:r>
    </w:p>
    <w:p>
      <w:pPr>
        <w:pStyle w:val="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Indenta"/>
      </w:pPr>
      <w:r>
        <w:tab/>
        <w:t>(c)</w:t>
      </w:r>
      <w:r>
        <w:tab/>
        <w:t>for a person involved in the proceedings to make a statement that discloses, or may lead to the disclosure of, the protected person’s protected identity or protected address or both.</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Footnotesection"/>
      </w:pPr>
      <w:r>
        <w:tab/>
        <w:t>[Section 34K inserted: No. 55 of 2012 s. 133.]</w:t>
      </w:r>
    </w:p>
    <w:p>
      <w:pPr>
        <w:pStyle w:val="Heading5"/>
      </w:pPr>
      <w:bookmarkStart w:id="92" w:name="_Toc100561789"/>
      <w:r>
        <w:rPr>
          <w:rStyle w:val="CharSectno"/>
        </w:rPr>
        <w:t>34L</w:t>
      </w:r>
      <w:r>
        <w:t>.</w:t>
      </w:r>
      <w:r>
        <w:tab/>
        <w:t>Restrictions on content of reports to Parliament</w:t>
      </w:r>
      <w:bookmarkEnd w:id="92"/>
    </w:p>
    <w:p>
      <w:pPr>
        <w:pStyle w:val="Subsection"/>
      </w:pPr>
      <w:r>
        <w:tab/>
      </w:r>
      <w:r>
        <w:tab/>
        <w:t>If a non-disclosure certificate for a protected person is given under section 34A(3)(b) in relation to parliamentary proceedings, the parliamentary committee must not disclose in a report to a House of Parliament —</w:t>
      </w:r>
    </w:p>
    <w:p>
      <w:pPr>
        <w:pStyle w:val="Indenta"/>
      </w:pPr>
      <w:r>
        <w:tab/>
        <w:t>(a)</w:t>
      </w:r>
      <w:r>
        <w:tab/>
        <w:t>the protected person’s protected identity or protected address; or</w:t>
      </w:r>
    </w:p>
    <w:p>
      <w:pPr>
        <w:pStyle w:val="Indenta"/>
      </w:pPr>
      <w:r>
        <w:lastRenderedPageBreak/>
        <w:tab/>
        <w:t>(b)</w:t>
      </w:r>
      <w:r>
        <w:tab/>
        <w:t>information that may lead to the disclosure of the protected person’s protected identity or protected address.</w:t>
      </w:r>
    </w:p>
    <w:p>
      <w:pPr>
        <w:pStyle w:val="Footnotesection"/>
      </w:pPr>
      <w:r>
        <w:tab/>
        <w:t>[Section 34L inserted: No. 55 of 2012 s. 133.]</w:t>
      </w:r>
    </w:p>
    <w:p>
      <w:pPr>
        <w:pStyle w:val="Heading3"/>
      </w:pPr>
      <w:bookmarkStart w:id="93" w:name="_Toc100239503"/>
      <w:bookmarkStart w:id="94" w:name="_Toc100240111"/>
      <w:bookmarkStart w:id="95" w:name="_Toc100561790"/>
      <w:r>
        <w:rPr>
          <w:rStyle w:val="CharDivNo"/>
        </w:rPr>
        <w:t>Division 3</w:t>
      </w:r>
      <w:r>
        <w:t> — </w:t>
      </w:r>
      <w:r>
        <w:rPr>
          <w:rStyle w:val="CharDivText"/>
        </w:rPr>
        <w:t>Miscellaneous</w:t>
      </w:r>
      <w:bookmarkEnd w:id="93"/>
      <w:bookmarkEnd w:id="94"/>
      <w:bookmarkEnd w:id="95"/>
    </w:p>
    <w:p>
      <w:pPr>
        <w:pStyle w:val="Footnoteheading"/>
      </w:pPr>
      <w:r>
        <w:tab/>
        <w:t>[Heading inserted: No. 55 of 2012 s. 134.]</w:t>
      </w:r>
    </w:p>
    <w:p>
      <w:pPr>
        <w:pStyle w:val="Heading5"/>
        <w:rPr>
          <w:snapToGrid w:val="0"/>
        </w:rPr>
      </w:pPr>
      <w:bookmarkStart w:id="96" w:name="_Toc100561791"/>
      <w:r>
        <w:rPr>
          <w:rStyle w:val="CharSectno"/>
        </w:rPr>
        <w:t>34</w:t>
      </w:r>
      <w:r>
        <w:rPr>
          <w:snapToGrid w:val="0"/>
        </w:rPr>
        <w:t>.</w:t>
      </w:r>
      <w:r>
        <w:rPr>
          <w:snapToGrid w:val="0"/>
        </w:rPr>
        <w:tab/>
        <w:t xml:space="preserve">Disclosure by Auditor General, Parliamentary Commissioner or </w:t>
      </w:r>
      <w:r>
        <w:t>Corruption and Crime Commission</w:t>
      </w:r>
      <w:bookmarkEnd w:id="96"/>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Crime and Misconduct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r>
        <w:tab/>
        <w:t>[Section 34 amended: No. 48 of 2003 s. 62 and Sch. 3</w:t>
      </w:r>
      <w:r>
        <w:rPr>
          <w:vertAlign w:val="superscript"/>
        </w:rPr>
        <w:t> 2</w:t>
      </w:r>
      <w:r>
        <w:t xml:space="preserve"> cl. 11; No. 77 of 2006 s. 17; No. 35 of 2014 s. 39.]</w:t>
      </w:r>
    </w:p>
    <w:p>
      <w:pPr>
        <w:pStyle w:val="Heading2"/>
      </w:pPr>
      <w:bookmarkStart w:id="97" w:name="_Toc100239505"/>
      <w:bookmarkStart w:id="98" w:name="_Toc100240113"/>
      <w:bookmarkStart w:id="99" w:name="_Toc100561792"/>
      <w:r>
        <w:rPr>
          <w:rStyle w:val="CharPartNo"/>
        </w:rPr>
        <w:lastRenderedPageBreak/>
        <w:t>Part 4</w:t>
      </w:r>
      <w:r>
        <w:rPr>
          <w:rStyle w:val="CharDivNo"/>
        </w:rPr>
        <w:t> </w:t>
      </w:r>
      <w:r>
        <w:t>—</w:t>
      </w:r>
      <w:r>
        <w:rPr>
          <w:rStyle w:val="CharDivText"/>
        </w:rPr>
        <w:t> </w:t>
      </w:r>
      <w:r>
        <w:rPr>
          <w:rStyle w:val="CharPartText"/>
        </w:rPr>
        <w:t>Miscellaneous</w:t>
      </w:r>
      <w:bookmarkEnd w:id="97"/>
      <w:bookmarkEnd w:id="98"/>
      <w:bookmarkEnd w:id="99"/>
    </w:p>
    <w:p>
      <w:pPr>
        <w:pStyle w:val="Heading5"/>
        <w:spacing w:before="260"/>
        <w:rPr>
          <w:snapToGrid w:val="0"/>
        </w:rPr>
      </w:pPr>
      <w:bookmarkStart w:id="100" w:name="_Toc100561793"/>
      <w:r>
        <w:rPr>
          <w:rStyle w:val="CharSectno"/>
        </w:rPr>
        <w:t>35</w:t>
      </w:r>
      <w:r>
        <w:rPr>
          <w:snapToGrid w:val="0"/>
        </w:rPr>
        <w:t>.</w:t>
      </w:r>
      <w:r>
        <w:rPr>
          <w:snapToGrid w:val="0"/>
        </w:rPr>
        <w:tab/>
        <w:t>Offences</w:t>
      </w:r>
      <w:bookmarkEnd w:id="100"/>
    </w:p>
    <w:p>
      <w:pPr>
        <w:pStyle w:val="Subsection"/>
        <w:spacing w:before="180"/>
        <w:rPr>
          <w:snapToGrid w:val="0"/>
        </w:rPr>
      </w:pPr>
      <w:r>
        <w:rPr>
          <w:snapToGrid w:val="0"/>
        </w:rPr>
        <w:tab/>
        <w:t>(1)</w:t>
      </w:r>
      <w:r>
        <w:rPr>
          <w:snapToGrid w:val="0"/>
        </w:rPr>
        <w:tab/>
        <w:t>A person who, without lawful authority, discloses —</w:t>
      </w:r>
    </w:p>
    <w:p>
      <w:pPr>
        <w:pStyle w:val="Indenta"/>
        <w:spacing w:before="100"/>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spacing w:before="100"/>
        <w:rPr>
          <w:snapToGrid w:val="0"/>
        </w:rPr>
      </w:pPr>
      <w:r>
        <w:rPr>
          <w:snapToGrid w:val="0"/>
        </w:rPr>
        <w:tab/>
        <w:t>(b)</w:t>
      </w:r>
      <w:r>
        <w:rPr>
          <w:snapToGrid w:val="0"/>
        </w:rPr>
        <w:tab/>
        <w:t>information that compromises the security of such a person,</w:t>
      </w:r>
    </w:p>
    <w:p>
      <w:pPr>
        <w:pStyle w:val="Subsection"/>
        <w:spacing w:before="180"/>
        <w:rPr>
          <w:snapToGrid w:val="0"/>
        </w:rPr>
      </w:pPr>
      <w:r>
        <w:rPr>
          <w:snapToGrid w:val="0"/>
        </w:rPr>
        <w:tab/>
      </w:r>
      <w:r>
        <w:rPr>
          <w:snapToGrid w:val="0"/>
        </w:rPr>
        <w:tab/>
        <w:t>is guilty of a crime and is liable to imprisonment for 10 years.</w:t>
      </w:r>
    </w:p>
    <w:p>
      <w:pPr>
        <w:pStyle w:val="Penstart"/>
        <w:spacing w:before="100"/>
        <w:rPr>
          <w:snapToGrid w:val="0"/>
        </w:rPr>
      </w:pPr>
      <w:r>
        <w:rPr>
          <w:snapToGrid w:val="0"/>
        </w:rPr>
        <w:tab/>
        <w:t>Summary Conviction Penalty: Imprisonment for 3 years or a fine of $12 000.</w:t>
      </w:r>
    </w:p>
    <w:p>
      <w:pPr>
        <w:pStyle w:val="Subsection"/>
        <w:spacing w:before="180"/>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spacing w:before="100"/>
        <w:rPr>
          <w:snapToGrid w:val="0"/>
        </w:rPr>
      </w:pPr>
      <w:r>
        <w:rPr>
          <w:snapToGrid w:val="0"/>
        </w:rPr>
        <w:tab/>
        <w:t>(a)</w:t>
      </w:r>
      <w:r>
        <w:rPr>
          <w:snapToGrid w:val="0"/>
        </w:rPr>
        <w:tab/>
        <w:t>when required by a court to do so;</w:t>
      </w:r>
    </w:p>
    <w:p>
      <w:pPr>
        <w:pStyle w:val="Indenta"/>
        <w:spacing w:before="100"/>
        <w:rPr>
          <w:snapToGrid w:val="0"/>
        </w:rPr>
      </w:pPr>
      <w:r>
        <w:rPr>
          <w:snapToGrid w:val="0"/>
        </w:rPr>
        <w:tab/>
        <w:t>(b)</w:t>
      </w:r>
      <w:r>
        <w:rPr>
          <w:snapToGrid w:val="0"/>
        </w:rPr>
        <w:tab/>
        <w:t>when authorised by the Commissioner to do so; or</w:t>
      </w:r>
    </w:p>
    <w:p>
      <w:pPr>
        <w:pStyle w:val="Indenta"/>
        <w:spacing w:before="100"/>
        <w:rPr>
          <w:snapToGrid w:val="0"/>
        </w:rPr>
      </w:pPr>
      <w:r>
        <w:rPr>
          <w:snapToGrid w:val="0"/>
        </w:rPr>
        <w:tab/>
        <w:t>(c)</w:t>
      </w:r>
      <w:r>
        <w:rPr>
          <w:snapToGrid w:val="0"/>
        </w:rPr>
        <w:tab/>
        <w:t>for the purposes of making a complaint to the Parliamentary Commissioner,</w:t>
      </w:r>
    </w:p>
    <w:p>
      <w:pPr>
        <w:pStyle w:val="Subsection"/>
        <w:spacing w:before="180"/>
        <w:rPr>
          <w:snapToGrid w:val="0"/>
        </w:rPr>
      </w:pPr>
      <w:r>
        <w:rPr>
          <w:snapToGrid w:val="0"/>
        </w:rPr>
        <w:tab/>
      </w:r>
      <w:r>
        <w:rPr>
          <w:snapToGrid w:val="0"/>
        </w:rPr>
        <w:tab/>
        <w:t>is guilty of a crime and is liable to imprisonment for 5 years.</w:t>
      </w:r>
    </w:p>
    <w:p>
      <w:pPr>
        <w:pStyle w:val="Penstart"/>
        <w:spacing w:before="100"/>
        <w:rPr>
          <w:snapToGrid w:val="0"/>
        </w:rPr>
      </w:pPr>
      <w:r>
        <w:rPr>
          <w:snapToGrid w:val="0"/>
        </w:rPr>
        <w:tab/>
        <w:t>Summary Conviction Penalty: Imprisonment for 2 years or a fine of $8 000.</w:t>
      </w:r>
    </w:p>
    <w:p>
      <w:pPr>
        <w:pStyle w:val="Subsection"/>
        <w:spacing w:before="180"/>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p>
    <w:p>
      <w:pPr>
        <w:pStyle w:val="Indenta"/>
        <w:spacing w:before="100"/>
        <w:rPr>
          <w:snapToGrid w:val="0"/>
        </w:rPr>
      </w:pPr>
      <w:r>
        <w:rPr>
          <w:snapToGrid w:val="0"/>
        </w:rPr>
        <w:tab/>
        <w:t>(a)</w:t>
      </w:r>
      <w:r>
        <w:rPr>
          <w:snapToGrid w:val="0"/>
        </w:rPr>
        <w:tab/>
        <w:t>for the purposes of or under this Act; or</w:t>
      </w:r>
    </w:p>
    <w:p>
      <w:pPr>
        <w:pStyle w:val="Indenta"/>
        <w:spacing w:before="100"/>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lastRenderedPageBreak/>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101" w:name="_Toc100561794"/>
      <w:r>
        <w:rPr>
          <w:rStyle w:val="CharSectno"/>
        </w:rPr>
        <w:t>36</w:t>
      </w:r>
      <w:r>
        <w:rPr>
          <w:snapToGrid w:val="0"/>
        </w:rPr>
        <w:t>.</w:t>
      </w:r>
      <w:r>
        <w:rPr>
          <w:snapToGrid w:val="0"/>
        </w:rPr>
        <w:tab/>
        <w:t>Delegation</w:t>
      </w:r>
      <w:bookmarkEnd w:id="101"/>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102" w:name="_Toc100561795"/>
      <w:r>
        <w:rPr>
          <w:rStyle w:val="CharSectno"/>
        </w:rPr>
        <w:t>37</w:t>
      </w:r>
      <w:r>
        <w:rPr>
          <w:snapToGrid w:val="0"/>
        </w:rPr>
        <w:t>.</w:t>
      </w:r>
      <w:r>
        <w:rPr>
          <w:snapToGrid w:val="0"/>
        </w:rPr>
        <w:tab/>
        <w:t>Reporting on the SWPP</w:t>
      </w:r>
      <w:bookmarkEnd w:id="102"/>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rPr>
          <w:snapToGrid w:val="0"/>
        </w:rPr>
      </w:pPr>
      <w:r>
        <w:rPr>
          <w:snapToGrid w:val="0"/>
        </w:rPr>
        <w:lastRenderedPageBreak/>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No. 77 of 2006 s. 17.]</w:t>
      </w:r>
    </w:p>
    <w:p>
      <w:pPr>
        <w:pStyle w:val="Heading5"/>
        <w:rPr>
          <w:snapToGrid w:val="0"/>
        </w:rPr>
      </w:pPr>
      <w:bookmarkStart w:id="103" w:name="_Toc100561796"/>
      <w:r>
        <w:rPr>
          <w:rStyle w:val="CharSectno"/>
        </w:rPr>
        <w:t>38</w:t>
      </w:r>
      <w:r>
        <w:rPr>
          <w:snapToGrid w:val="0"/>
        </w:rPr>
        <w:t>.</w:t>
      </w:r>
      <w:r>
        <w:rPr>
          <w:snapToGrid w:val="0"/>
        </w:rPr>
        <w:tab/>
        <w:t>Protection from liability for wrongdoing</w:t>
      </w:r>
      <w:bookmarkEnd w:id="103"/>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104" w:name="_Toc100561797"/>
      <w:r>
        <w:rPr>
          <w:rStyle w:val="CharSectno"/>
        </w:rPr>
        <w:t>39</w:t>
      </w:r>
      <w:r>
        <w:rPr>
          <w:snapToGrid w:val="0"/>
        </w:rPr>
        <w:t>.</w:t>
      </w:r>
      <w:r>
        <w:rPr>
          <w:snapToGrid w:val="0"/>
        </w:rPr>
        <w:tab/>
        <w:t>Regulations</w:t>
      </w:r>
      <w:bookmarkEnd w:id="10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05" w:name="_Toc100239511"/>
      <w:bookmarkStart w:id="106" w:name="_Toc100240119"/>
      <w:bookmarkStart w:id="107" w:name="_Toc100561798"/>
      <w:r>
        <w:rPr>
          <w:rStyle w:val="CharPartNo"/>
        </w:rPr>
        <w:lastRenderedPageBreak/>
        <w:t>Part 5</w:t>
      </w:r>
      <w:r>
        <w:rPr>
          <w:rStyle w:val="CharDivNo"/>
        </w:rPr>
        <w:t> </w:t>
      </w:r>
      <w:r>
        <w:t>—</w:t>
      </w:r>
      <w:r>
        <w:rPr>
          <w:rStyle w:val="CharDivText"/>
        </w:rPr>
        <w:t> </w:t>
      </w:r>
      <w:r>
        <w:rPr>
          <w:rStyle w:val="CharPartText"/>
        </w:rPr>
        <w:t>Transitional and savings provisions</w:t>
      </w:r>
      <w:bookmarkEnd w:id="105"/>
      <w:bookmarkEnd w:id="106"/>
      <w:bookmarkEnd w:id="107"/>
    </w:p>
    <w:p>
      <w:pPr>
        <w:pStyle w:val="Footnoteheading"/>
      </w:pPr>
      <w:r>
        <w:tab/>
        <w:t>[Heading inserted: No. 55 of 2012 s. 135.]</w:t>
      </w:r>
    </w:p>
    <w:p>
      <w:pPr>
        <w:pStyle w:val="Heading5"/>
        <w:spacing w:before="180"/>
        <w:rPr>
          <w:snapToGrid w:val="0"/>
        </w:rPr>
      </w:pPr>
      <w:bookmarkStart w:id="108" w:name="_Toc100561799"/>
      <w:r>
        <w:rPr>
          <w:rStyle w:val="CharSectno"/>
        </w:rPr>
        <w:t>40</w:t>
      </w:r>
      <w:r>
        <w:rPr>
          <w:snapToGrid w:val="0"/>
        </w:rPr>
        <w:t>.</w:t>
      </w:r>
      <w:r>
        <w:rPr>
          <w:snapToGrid w:val="0"/>
        </w:rPr>
        <w:tab/>
        <w:t>Transitional</w:t>
      </w:r>
      <w:bookmarkEnd w:id="108"/>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Heading5"/>
      </w:pPr>
      <w:bookmarkStart w:id="109" w:name="_Toc100561800"/>
      <w:r>
        <w:rPr>
          <w:rStyle w:val="CharSectno"/>
        </w:rPr>
        <w:t>41</w:t>
      </w:r>
      <w:r>
        <w:t>.</w:t>
      </w:r>
      <w:r>
        <w:tab/>
        <w:t xml:space="preserve">Savings provision relating to </w:t>
      </w:r>
      <w:r>
        <w:rPr>
          <w:i/>
        </w:rPr>
        <w:t>Criminal Investigation (Covert Powers) Act 2012</w:t>
      </w:r>
      <w:bookmarkEnd w:id="10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Defstart"/>
      </w:pPr>
      <w:r>
        <w:tab/>
      </w:r>
      <w:r>
        <w:rPr>
          <w:rStyle w:val="CharDefText"/>
        </w:rPr>
        <w:t>permission</w:t>
      </w:r>
      <w:r>
        <w:t xml:space="preserve"> means a permission under section 33(1)(b) as in force immediately before the commencement day.</w:t>
      </w:r>
    </w:p>
    <w:p>
      <w:pPr>
        <w:pStyle w:val="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Indenta"/>
      </w:pPr>
      <w:r>
        <w:tab/>
        <w:t>(a)</w:t>
      </w:r>
      <w:r>
        <w:tab/>
        <w:t>for the person; and</w:t>
      </w:r>
    </w:p>
    <w:p>
      <w:pPr>
        <w:pStyle w:val="Indenta"/>
      </w:pPr>
      <w:r>
        <w:tab/>
        <w:t>(b)</w:t>
      </w:r>
      <w:r>
        <w:tab/>
        <w:t>in relation to the proceedings,</w:t>
      </w:r>
    </w:p>
    <w:p>
      <w:pPr>
        <w:pStyle w:val="Subsection"/>
      </w:pPr>
      <w:r>
        <w:tab/>
      </w:r>
      <w:r>
        <w:tab/>
        <w:t>and Part 3 Division 3 applies, with any necessary modifications, to that certificate.</w:t>
      </w:r>
    </w:p>
    <w:p>
      <w:pPr>
        <w:pStyle w:val="Footnotesection"/>
      </w:pPr>
      <w:r>
        <w:tab/>
        <w:t>[Section 41 inserted: No. 55 of 2012 s. 136.]</w:t>
      </w:r>
    </w:p>
    <w:p>
      <w:pPr>
        <w:pStyle w:val="Ednotesection"/>
        <w:spacing w:before="400"/>
        <w:ind w:left="890" w:hanging="890"/>
      </w:pPr>
      <w:r>
        <w:t>[Schedule 1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0" w:name="_Toc100240122"/>
      <w:bookmarkStart w:id="111" w:name="_Toc100561801"/>
      <w:bookmarkStart w:id="112" w:name="_Toc100239516"/>
      <w:r>
        <w:lastRenderedPageBreak/>
        <w:t>Notes</w:t>
      </w:r>
      <w:bookmarkEnd w:id="110"/>
      <w:bookmarkEnd w:id="111"/>
    </w:p>
    <w:p>
      <w:pPr>
        <w:pStyle w:val="nStatement"/>
      </w:pPr>
      <w:r>
        <w:t xml:space="preserve">This is a compilation of the </w:t>
      </w:r>
      <w:r>
        <w:rPr>
          <w:i/>
          <w:noProof/>
        </w:rPr>
        <w:t>Witness Protection (Western Australia)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3" w:name="_Toc100561802"/>
      <w:r>
        <w:t>Compilation table</w:t>
      </w:r>
      <w:bookmarkEnd w:id="113"/>
    </w:p>
    <w:tbl>
      <w:tblPr>
        <w:tblW w:w="712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30"/>
        <w:gridCol w:w="1104"/>
        <w:gridCol w:w="31"/>
        <w:gridCol w:w="1103"/>
        <w:gridCol w:w="32"/>
        <w:gridCol w:w="2520"/>
        <w:gridCol w:w="32"/>
      </w:tblGrid>
      <w:tr>
        <w:trPr>
          <w:gridAfter w:val="1"/>
          <w:wAfter w:w="32"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Witness Protection (Western Australia) Act 1996</w:t>
            </w:r>
          </w:p>
        </w:tc>
        <w:tc>
          <w:tcPr>
            <w:tcW w:w="1135" w:type="dxa"/>
            <w:gridSpan w:val="2"/>
            <w:tcBorders>
              <w:top w:val="nil"/>
              <w:bottom w:val="nil"/>
            </w:tcBorders>
          </w:tcPr>
          <w:p>
            <w:pPr>
              <w:pStyle w:val="nTable"/>
              <w:spacing w:after="40"/>
            </w:pPr>
            <w:r>
              <w:t>11 of 1996</w:t>
            </w:r>
          </w:p>
        </w:tc>
        <w:tc>
          <w:tcPr>
            <w:tcW w:w="1135" w:type="dxa"/>
            <w:gridSpan w:val="2"/>
            <w:tcBorders>
              <w:top w:val="nil"/>
              <w:bottom w:val="nil"/>
            </w:tcBorders>
          </w:tcPr>
          <w:p>
            <w:pPr>
              <w:pStyle w:val="nTable"/>
              <w:spacing w:after="40"/>
            </w:pPr>
            <w:r>
              <w:t>28 Jun 1996</w:t>
            </w:r>
          </w:p>
        </w:tc>
        <w:tc>
          <w:tcPr>
            <w:tcW w:w="2552" w:type="dxa"/>
            <w:gridSpan w:val="2"/>
            <w:tcBorders>
              <w:top w:val="nil"/>
              <w:bottom w:val="nil"/>
            </w:tcBorders>
          </w:tcPr>
          <w:p>
            <w:pPr>
              <w:pStyle w:val="nTable"/>
              <w:spacing w:after="40"/>
            </w:pPr>
            <w:r>
              <w:t>s. 1 and 2: 28 Jun 1996;</w:t>
            </w:r>
            <w:r>
              <w:br/>
              <w:t xml:space="preserve">Act other than s. 1 and 2: 7 Dec 1996 (see s. 2 and </w:t>
            </w:r>
            <w:r>
              <w:rPr>
                <w:i/>
              </w:rPr>
              <w:t>Gazette</w:t>
            </w:r>
            <w:r>
              <w:t xml:space="preserve"> 6 Dec 1996 p. 6699)</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Statutes (Repeals and Minor Amendments) Act 1997</w:t>
            </w:r>
            <w:r>
              <w:t xml:space="preserve"> s. 133</w:t>
            </w:r>
          </w:p>
        </w:tc>
        <w:tc>
          <w:tcPr>
            <w:tcW w:w="1135" w:type="dxa"/>
            <w:gridSpan w:val="2"/>
            <w:tcBorders>
              <w:top w:val="nil"/>
              <w:bottom w:val="nil"/>
            </w:tcBorders>
          </w:tcPr>
          <w:p>
            <w:pPr>
              <w:pStyle w:val="nTable"/>
              <w:spacing w:after="40"/>
            </w:pPr>
            <w:r>
              <w:t>57 of 1997</w:t>
            </w:r>
          </w:p>
        </w:tc>
        <w:tc>
          <w:tcPr>
            <w:tcW w:w="1135" w:type="dxa"/>
            <w:gridSpan w:val="2"/>
            <w:tcBorders>
              <w:top w:val="nil"/>
              <w:bottom w:val="nil"/>
            </w:tcBorders>
          </w:tcPr>
          <w:p>
            <w:pPr>
              <w:pStyle w:val="nTable"/>
              <w:spacing w:after="40"/>
            </w:pPr>
            <w:r>
              <w:t>15 Dec 1997</w:t>
            </w:r>
          </w:p>
        </w:tc>
        <w:tc>
          <w:tcPr>
            <w:tcW w:w="2552" w:type="dxa"/>
            <w:gridSpan w:val="2"/>
            <w:tcBorders>
              <w:top w:val="nil"/>
              <w:bottom w:val="nil"/>
            </w:tcBorders>
          </w:tcPr>
          <w:p>
            <w:pPr>
              <w:pStyle w:val="nTable"/>
              <w:spacing w:after="40"/>
            </w:pPr>
            <w:r>
              <w:t>28 Jun 1996 (see s. 2(2))</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 xml:space="preserve">Acts Repeal and Amendment (Births, Deaths and Marriages Registration) Act 1998 </w:t>
            </w:r>
            <w:r>
              <w:t>s. 18</w:t>
            </w:r>
          </w:p>
        </w:tc>
        <w:tc>
          <w:tcPr>
            <w:tcW w:w="1135" w:type="dxa"/>
            <w:gridSpan w:val="2"/>
            <w:tcBorders>
              <w:top w:val="nil"/>
              <w:bottom w:val="nil"/>
            </w:tcBorders>
          </w:tcPr>
          <w:p>
            <w:pPr>
              <w:pStyle w:val="nTable"/>
              <w:spacing w:after="40"/>
            </w:pPr>
            <w:r>
              <w:t>40 of 1998</w:t>
            </w:r>
          </w:p>
        </w:tc>
        <w:tc>
          <w:tcPr>
            <w:tcW w:w="1135" w:type="dxa"/>
            <w:gridSpan w:val="2"/>
            <w:tcBorders>
              <w:top w:val="nil"/>
              <w:bottom w:val="nil"/>
            </w:tcBorders>
          </w:tcPr>
          <w:p>
            <w:pPr>
              <w:pStyle w:val="nTable"/>
              <w:spacing w:after="40"/>
            </w:pPr>
            <w:r>
              <w:t>30 Oct 1998</w:t>
            </w:r>
          </w:p>
        </w:tc>
        <w:tc>
          <w:tcPr>
            <w:tcW w:w="2552" w:type="dxa"/>
            <w:gridSpan w:val="2"/>
            <w:tcBorders>
              <w:top w:val="nil"/>
              <w:bottom w:val="nil"/>
            </w:tcBorders>
          </w:tcPr>
          <w:p>
            <w:pPr>
              <w:pStyle w:val="nTable"/>
              <w:spacing w:after="40"/>
            </w:pPr>
            <w:r>
              <w:t xml:space="preserve">14 Apr 1999 (see s. 2 and </w:t>
            </w:r>
            <w:r>
              <w:rPr>
                <w:i/>
              </w:rPr>
              <w:t>Gazette</w:t>
            </w:r>
            <w:r>
              <w:t xml:space="preserve"> 9 Apr 1999 p. 1433)</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Corruption and Crime Commission Act 2003</w:t>
            </w:r>
            <w:r>
              <w:t xml:space="preserve"> s. 62 and Sch. 3</w:t>
            </w:r>
            <w:r>
              <w:rPr>
                <w:vertAlign w:val="superscript"/>
              </w:rPr>
              <w:t> 2</w:t>
            </w:r>
            <w:r>
              <w:t xml:space="preserve"> cl. 11</w:t>
            </w:r>
          </w:p>
        </w:tc>
        <w:tc>
          <w:tcPr>
            <w:tcW w:w="1135" w:type="dxa"/>
            <w:gridSpan w:val="2"/>
            <w:tcBorders>
              <w:top w:val="nil"/>
              <w:bottom w:val="nil"/>
            </w:tcBorders>
          </w:tcPr>
          <w:p>
            <w:pPr>
              <w:pStyle w:val="nTable"/>
              <w:spacing w:after="40"/>
            </w:pPr>
            <w:r>
              <w:t>48 of 2003</w:t>
            </w:r>
          </w:p>
        </w:tc>
        <w:tc>
          <w:tcPr>
            <w:tcW w:w="1135" w:type="dxa"/>
            <w:gridSpan w:val="2"/>
            <w:tcBorders>
              <w:top w:val="nil"/>
              <w:bottom w:val="nil"/>
            </w:tcBorders>
          </w:tcPr>
          <w:p>
            <w:pPr>
              <w:pStyle w:val="nTable"/>
              <w:spacing w:after="40"/>
            </w:pPr>
            <w:r>
              <w:t>3 Jul 2003</w:t>
            </w:r>
          </w:p>
        </w:tc>
        <w:tc>
          <w:tcPr>
            <w:tcW w:w="2552" w:type="dxa"/>
            <w:gridSpan w:val="2"/>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gridBefore w:val="1"/>
          <w:wBefore w:w="28" w:type="dxa"/>
          <w:cantSplit/>
        </w:trPr>
        <w:tc>
          <w:tcPr>
            <w:tcW w:w="7092" w:type="dxa"/>
            <w:gridSpan w:val="8"/>
            <w:tcBorders>
              <w:top w:val="nil"/>
              <w:bottom w:val="nil"/>
            </w:tcBorders>
          </w:tcPr>
          <w:p>
            <w:pPr>
              <w:pStyle w:val="nTable"/>
              <w:spacing w:after="40"/>
            </w:pPr>
            <w:r>
              <w:rPr>
                <w:b/>
              </w:rPr>
              <w:t xml:space="preserve">Reprint 1: The </w:t>
            </w:r>
            <w:r>
              <w:rPr>
                <w:b/>
                <w:i/>
              </w:rPr>
              <w:t>Witness Protection (Western Australia) Act 1996</w:t>
            </w:r>
            <w:r>
              <w:rPr>
                <w:b/>
              </w:rPr>
              <w:t xml:space="preserve"> as at 10 Oct 2003</w:t>
            </w:r>
            <w:r>
              <w:t xml:space="preserve"> (includes amendments listed above except those in the </w:t>
            </w:r>
            <w:r>
              <w:rPr>
                <w:i/>
              </w:rPr>
              <w:t>Corruption and Crime Commission Act 2003</w:t>
            </w:r>
            <w:r>
              <w:t>)</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Criminal Code Amendment Act 2004</w:t>
            </w:r>
            <w:r>
              <w:t xml:space="preserve"> s. 58</w:t>
            </w:r>
          </w:p>
        </w:tc>
        <w:tc>
          <w:tcPr>
            <w:tcW w:w="1135" w:type="dxa"/>
            <w:gridSpan w:val="2"/>
            <w:tcBorders>
              <w:top w:val="nil"/>
              <w:bottom w:val="nil"/>
            </w:tcBorders>
          </w:tcPr>
          <w:p>
            <w:pPr>
              <w:pStyle w:val="nTable"/>
              <w:spacing w:after="40"/>
            </w:pPr>
            <w:r>
              <w:t>4 of 2004</w:t>
            </w:r>
          </w:p>
        </w:tc>
        <w:tc>
          <w:tcPr>
            <w:tcW w:w="1135" w:type="dxa"/>
            <w:gridSpan w:val="2"/>
            <w:tcBorders>
              <w:top w:val="nil"/>
              <w:bottom w:val="nil"/>
            </w:tcBorders>
          </w:tcPr>
          <w:p>
            <w:pPr>
              <w:pStyle w:val="nTable"/>
              <w:spacing w:after="40"/>
            </w:pPr>
            <w:r>
              <w:t>23 Apr 2004</w:t>
            </w:r>
          </w:p>
        </w:tc>
        <w:tc>
          <w:tcPr>
            <w:tcW w:w="2552" w:type="dxa"/>
            <w:gridSpan w:val="2"/>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rPr>
                <w:snapToGrid w:val="0"/>
                <w:vertAlign w:val="superscript"/>
              </w:rPr>
            </w:pPr>
            <w:r>
              <w:rPr>
                <w:i/>
                <w:snapToGrid w:val="0"/>
              </w:rPr>
              <w:t xml:space="preserve">Australian Crime Commission (Western Australia) Act 2004 </w:t>
            </w:r>
            <w:r>
              <w:rPr>
                <w:snapToGrid w:val="0"/>
              </w:rPr>
              <w:t>s. 75</w:t>
            </w:r>
          </w:p>
        </w:tc>
        <w:tc>
          <w:tcPr>
            <w:tcW w:w="1135" w:type="dxa"/>
            <w:gridSpan w:val="2"/>
            <w:tcBorders>
              <w:top w:val="nil"/>
              <w:bottom w:val="nil"/>
            </w:tcBorders>
          </w:tcPr>
          <w:p>
            <w:pPr>
              <w:pStyle w:val="nTable"/>
              <w:spacing w:after="40"/>
              <w:rPr>
                <w:snapToGrid w:val="0"/>
              </w:rPr>
            </w:pPr>
            <w:r>
              <w:rPr>
                <w:snapToGrid w:val="0"/>
              </w:rPr>
              <w:t>74 of 2004</w:t>
            </w:r>
          </w:p>
        </w:tc>
        <w:tc>
          <w:tcPr>
            <w:tcW w:w="1135" w:type="dxa"/>
            <w:gridSpan w:val="2"/>
            <w:tcBorders>
              <w:top w:val="nil"/>
              <w:bottom w:val="nil"/>
            </w:tcBorders>
          </w:tcPr>
          <w:p>
            <w:pPr>
              <w:pStyle w:val="nTable"/>
              <w:spacing w:after="40"/>
              <w:rPr>
                <w:snapToGrid w:val="0"/>
              </w:rPr>
            </w:pPr>
            <w:r>
              <w:rPr>
                <w:snapToGrid w:val="0"/>
              </w:rPr>
              <w:t>8 Dec 2004</w:t>
            </w:r>
          </w:p>
        </w:tc>
        <w:tc>
          <w:tcPr>
            <w:tcW w:w="2552" w:type="dxa"/>
            <w:gridSpan w:val="2"/>
            <w:tcBorders>
              <w:top w:val="nil"/>
              <w:bottom w:val="nil"/>
            </w:tcBorders>
          </w:tcPr>
          <w:p>
            <w:pPr>
              <w:pStyle w:val="nTable"/>
              <w:spacing w:after="40"/>
              <w:rPr>
                <w:snapToGrid w:val="0"/>
              </w:rPr>
            </w:pPr>
            <w:r>
              <w:rPr>
                <w:snapToGrid w:val="0"/>
              </w:rPr>
              <w:t xml:space="preserve">1 Feb 2005 (see s. 2 and </w:t>
            </w:r>
            <w:r>
              <w:rPr>
                <w:i/>
                <w:snapToGrid w:val="0"/>
              </w:rPr>
              <w:t xml:space="preserve">Gazette </w:t>
            </w:r>
            <w:r>
              <w:rPr>
                <w:snapToGrid w:val="0"/>
              </w:rPr>
              <w:t>31 Dec 2004 p. 7130)</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rPr>
                <w:i/>
                <w:snapToGrid w:val="0"/>
              </w:rPr>
            </w:pPr>
            <w:r>
              <w:rPr>
                <w:i/>
                <w:snapToGrid w:val="0"/>
              </w:rPr>
              <w:t>Financial Legislation Amendment and Repeal Act 2006</w:t>
            </w:r>
            <w:r>
              <w:rPr>
                <w:snapToGrid w:val="0"/>
              </w:rPr>
              <w:t xml:space="preserve"> s. 17</w:t>
            </w:r>
          </w:p>
        </w:tc>
        <w:tc>
          <w:tcPr>
            <w:tcW w:w="1135" w:type="dxa"/>
            <w:gridSpan w:val="2"/>
            <w:tcBorders>
              <w:top w:val="nil"/>
              <w:bottom w:val="nil"/>
            </w:tcBorders>
          </w:tcPr>
          <w:p>
            <w:pPr>
              <w:pStyle w:val="nTable"/>
              <w:spacing w:after="40"/>
              <w:rPr>
                <w:snapToGrid w:val="0"/>
              </w:rPr>
            </w:pPr>
            <w:r>
              <w:rPr>
                <w:snapToGrid w:val="0"/>
              </w:rPr>
              <w:t>77 of 2006</w:t>
            </w:r>
          </w:p>
        </w:tc>
        <w:tc>
          <w:tcPr>
            <w:tcW w:w="1135" w:type="dxa"/>
            <w:gridSpan w:val="2"/>
            <w:tcBorders>
              <w:top w:val="nil"/>
              <w:bottom w:val="nil"/>
            </w:tcBorders>
          </w:tcPr>
          <w:p>
            <w:pPr>
              <w:pStyle w:val="nTable"/>
              <w:spacing w:after="40"/>
              <w:rPr>
                <w:snapToGrid w:val="0"/>
              </w:rPr>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rPr>
                <w:i/>
                <w:snapToGrid w:val="0"/>
              </w:rPr>
            </w:pPr>
            <w:r>
              <w:rPr>
                <w:i/>
              </w:rPr>
              <w:t xml:space="preserve">Police Amendment Act 2008 </w:t>
            </w:r>
            <w:r>
              <w:rPr>
                <w:iCs/>
              </w:rPr>
              <w:t>s. 22 and 23(9)</w:t>
            </w:r>
          </w:p>
        </w:tc>
        <w:tc>
          <w:tcPr>
            <w:tcW w:w="1135" w:type="dxa"/>
            <w:gridSpan w:val="2"/>
            <w:tcBorders>
              <w:top w:val="nil"/>
              <w:bottom w:val="nil"/>
            </w:tcBorders>
          </w:tcPr>
          <w:p>
            <w:pPr>
              <w:pStyle w:val="nTable"/>
              <w:spacing w:after="40"/>
              <w:rPr>
                <w:snapToGrid w:val="0"/>
              </w:rPr>
            </w:pPr>
            <w:r>
              <w:t>8 of 2008</w:t>
            </w:r>
          </w:p>
        </w:tc>
        <w:tc>
          <w:tcPr>
            <w:tcW w:w="1135" w:type="dxa"/>
            <w:gridSpan w:val="2"/>
            <w:tcBorders>
              <w:top w:val="nil"/>
              <w:bottom w:val="nil"/>
            </w:tcBorders>
          </w:tcPr>
          <w:p>
            <w:pPr>
              <w:pStyle w:val="nTable"/>
              <w:spacing w:after="40"/>
              <w:rPr>
                <w:snapToGrid w:val="0"/>
              </w:rPr>
            </w:pPr>
            <w:r>
              <w:t>31 Mar 2008</w:t>
            </w:r>
          </w:p>
        </w:tc>
        <w:tc>
          <w:tcPr>
            <w:tcW w:w="2552" w:type="dxa"/>
            <w:gridSpan w:val="2"/>
            <w:tcBorders>
              <w:top w:val="nil"/>
              <w:bottom w:val="nil"/>
            </w:tcBorders>
          </w:tcPr>
          <w:p>
            <w:pPr>
              <w:pStyle w:val="nTable"/>
              <w:spacing w:after="40"/>
              <w:rPr>
                <w:snapToGrid w:val="0"/>
              </w:rPr>
            </w:pPr>
            <w:r>
              <w:t>s. 22: 1 Apr 2008 (see s. 2(1));</w:t>
            </w:r>
            <w:r>
              <w:br/>
              <w:t xml:space="preserve">s. 23(9):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rPr>
          <w:gridBefore w:val="1"/>
          <w:wBefore w:w="28" w:type="dxa"/>
          <w:cantSplit/>
        </w:trPr>
        <w:tc>
          <w:tcPr>
            <w:tcW w:w="7092" w:type="dxa"/>
            <w:gridSpan w:val="8"/>
            <w:tcBorders>
              <w:top w:val="nil"/>
              <w:bottom w:val="nil"/>
            </w:tcBorders>
          </w:tcPr>
          <w:p>
            <w:pPr>
              <w:pStyle w:val="nTable"/>
              <w:keepLines/>
              <w:spacing w:after="40"/>
            </w:pPr>
            <w:r>
              <w:rPr>
                <w:b/>
              </w:rPr>
              <w:t xml:space="preserve">Reprint 2: The </w:t>
            </w:r>
            <w:r>
              <w:rPr>
                <w:b/>
                <w:i/>
              </w:rPr>
              <w:t>Witness Protection (Western Australia) Act 1996</w:t>
            </w:r>
            <w:r>
              <w:rPr>
                <w:b/>
              </w:rPr>
              <w:t xml:space="preserve"> as at 8 Aug 2008</w:t>
            </w:r>
            <w:r>
              <w:t xml:space="preserve"> (includes amendments listed above)</w:t>
            </w:r>
          </w:p>
        </w:tc>
      </w:tr>
      <w:tr>
        <w:tblPrEx>
          <w:tblBorders>
            <w:top w:val="single" w:sz="4" w:space="0" w:color="auto"/>
            <w:bottom w:val="single" w:sz="4" w:space="0" w:color="auto"/>
            <w:insideH w:val="single" w:sz="4" w:space="0" w:color="auto"/>
          </w:tblBorders>
        </w:tblPrEx>
        <w:trPr>
          <w:gridBefore w:val="1"/>
          <w:wBefore w:w="28" w:type="dxa"/>
          <w:cantSplit/>
        </w:trPr>
        <w:tc>
          <w:tcPr>
            <w:tcW w:w="2270" w:type="dxa"/>
            <w:gridSpan w:val="2"/>
            <w:tcBorders>
              <w:top w:val="nil"/>
              <w:bottom w:val="nil"/>
            </w:tcBorders>
          </w:tcPr>
          <w:p>
            <w:pPr>
              <w:pStyle w:val="nTable"/>
              <w:spacing w:after="40"/>
              <w:rPr>
                <w:i/>
                <w:snapToGrid w:val="0"/>
              </w:rPr>
            </w:pPr>
            <w:r>
              <w:rPr>
                <w:i/>
                <w:snapToGrid w:val="0"/>
              </w:rPr>
              <w:lastRenderedPageBreak/>
              <w:t>Criminal Investigation (Covert Powers) Act 2012</w:t>
            </w:r>
            <w:r>
              <w:rPr>
                <w:snapToGrid w:val="0"/>
              </w:rPr>
              <w:t xml:space="preserve"> Pt. 11</w:t>
            </w:r>
          </w:p>
        </w:tc>
        <w:tc>
          <w:tcPr>
            <w:tcW w:w="1135" w:type="dxa"/>
            <w:gridSpan w:val="2"/>
            <w:tcBorders>
              <w:top w:val="nil"/>
              <w:bottom w:val="nil"/>
            </w:tcBorders>
          </w:tcPr>
          <w:p>
            <w:pPr>
              <w:pStyle w:val="nTable"/>
              <w:spacing w:after="40"/>
              <w:rPr>
                <w:snapToGrid w:val="0"/>
              </w:rPr>
            </w:pPr>
            <w:r>
              <w:t>55 of 2012</w:t>
            </w:r>
          </w:p>
        </w:tc>
        <w:tc>
          <w:tcPr>
            <w:tcW w:w="1135" w:type="dxa"/>
            <w:gridSpan w:val="2"/>
            <w:tcBorders>
              <w:top w:val="nil"/>
              <w:bottom w:val="nil"/>
            </w:tcBorders>
          </w:tcPr>
          <w:p>
            <w:pPr>
              <w:pStyle w:val="nTable"/>
              <w:spacing w:after="40"/>
              <w:rPr>
                <w:snapToGrid w:val="0"/>
              </w:rPr>
            </w:pPr>
            <w:r>
              <w:t>3 Dec 2012</w:t>
            </w:r>
          </w:p>
        </w:tc>
        <w:tc>
          <w:tcPr>
            <w:tcW w:w="2552" w:type="dxa"/>
            <w:gridSpan w:val="2"/>
            <w:tcBorders>
              <w:top w:val="nil"/>
              <w:bottom w:val="nil"/>
            </w:tcBorders>
          </w:tcPr>
          <w:p>
            <w:pPr>
              <w:pStyle w:val="nTable"/>
              <w:spacing w:after="40"/>
              <w:rPr>
                <w:snapToGrid w:val="0"/>
              </w:rPr>
            </w:pPr>
            <w:r>
              <w:t xml:space="preserve">1 Mar 2013 (see s. 2(b) and </w:t>
            </w:r>
            <w:r>
              <w:rPr>
                <w:i/>
              </w:rPr>
              <w:t>Gazette</w:t>
            </w:r>
            <w:r>
              <w:t xml:space="preserve"> 25 Jan 2013 p. 271)</w:t>
            </w:r>
          </w:p>
        </w:tc>
      </w:tr>
      <w:tr>
        <w:tblPrEx>
          <w:tblBorders>
            <w:top w:val="single" w:sz="4" w:space="0" w:color="auto"/>
            <w:bottom w:val="single" w:sz="4" w:space="0" w:color="auto"/>
            <w:insideH w:val="single" w:sz="4" w:space="0" w:color="auto"/>
          </w:tblBorders>
        </w:tblPrEx>
        <w:trPr>
          <w:gridBefore w:val="1"/>
          <w:wBefore w:w="28" w:type="dxa"/>
          <w:cantSplit/>
        </w:trPr>
        <w:tc>
          <w:tcPr>
            <w:tcW w:w="2270" w:type="dxa"/>
            <w:gridSpan w:val="2"/>
            <w:tcBorders>
              <w:top w:val="nil"/>
              <w:bottom w:val="single" w:sz="4" w:space="0" w:color="auto"/>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5" w:type="dxa"/>
            <w:gridSpan w:val="2"/>
            <w:tcBorders>
              <w:top w:val="nil"/>
              <w:bottom w:val="single" w:sz="4" w:space="0" w:color="auto"/>
            </w:tcBorders>
          </w:tcPr>
          <w:p>
            <w:pPr>
              <w:pStyle w:val="nTable"/>
              <w:spacing w:after="40"/>
            </w:pPr>
            <w:r>
              <w:rPr>
                <w:snapToGrid w:val="0"/>
              </w:rPr>
              <w:t>35 of 2014</w:t>
            </w:r>
          </w:p>
        </w:tc>
        <w:tc>
          <w:tcPr>
            <w:tcW w:w="1135" w:type="dxa"/>
            <w:gridSpan w:val="2"/>
            <w:tcBorders>
              <w:top w:val="nil"/>
              <w:bottom w:val="single" w:sz="4" w:space="0" w:color="auto"/>
            </w:tcBorders>
          </w:tcPr>
          <w:p>
            <w:pPr>
              <w:pStyle w:val="nTable"/>
              <w:spacing w:after="40"/>
            </w:pPr>
            <w:r>
              <w:t>9 Dec 2014</w:t>
            </w:r>
          </w:p>
        </w:tc>
        <w:tc>
          <w:tcPr>
            <w:tcW w:w="2552" w:type="dxa"/>
            <w:gridSpan w:val="2"/>
            <w:tcBorders>
              <w:top w:val="nil"/>
              <w:bottom w:val="single" w:sz="4" w:space="0" w:color="auto"/>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bl>
    <w:p>
      <w:pPr>
        <w:pStyle w:val="nHeading3"/>
      </w:pPr>
      <w:bookmarkStart w:id="114" w:name="_Toc100561803"/>
      <w:r>
        <w:t>Uncommenced provisions table</w:t>
      </w:r>
      <w:bookmarkEnd w:id="11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115" w:name="_Toc100561804"/>
      <w:r>
        <w:t>Other notes</w:t>
      </w:r>
      <w:bookmarkEnd w:id="115"/>
    </w:p>
    <w:p>
      <w:pPr>
        <w:pStyle w:val="nNote"/>
        <w:rPr>
          <w:snapToGrid w:val="0"/>
        </w:rPr>
      </w:pPr>
      <w:r>
        <w:rPr>
          <w:snapToGrid w:val="0"/>
          <w:vertAlign w:val="superscript"/>
        </w:rPr>
        <w:t>1</w:t>
      </w:r>
      <w:r>
        <w:rPr>
          <w:snapToGrid w:val="0"/>
        </w:rPr>
        <w:tab/>
        <w:t xml:space="preserve">Repealed by the </w:t>
      </w:r>
      <w:r>
        <w:rPr>
          <w:i/>
          <w:iCs/>
          <w:snapToGrid w:val="0"/>
        </w:rPr>
        <w:t>Sentencing Legislation Amendment and Repeal Act 2003</w:t>
      </w:r>
      <w:r>
        <w:rPr>
          <w:snapToGrid w:val="0"/>
        </w:rPr>
        <w:t>.</w:t>
      </w:r>
    </w:p>
    <w:p>
      <w:pPr>
        <w:pStyle w:val="nNote"/>
        <w:rPr>
          <w:snapToGrid w:val="0"/>
        </w:rPr>
      </w:pPr>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17" w:name="_Toc100240126"/>
      <w:bookmarkStart w:id="118" w:name="_Toc100561805"/>
      <w:r>
        <w:rPr>
          <w:sz w:val="28"/>
        </w:rPr>
        <w:lastRenderedPageBreak/>
        <w:t>Defined terms</w:t>
      </w:r>
      <w:bookmarkEnd w:id="112"/>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report</w:t>
      </w:r>
      <w:r>
        <w:tab/>
        <w:t>37(2)</w:t>
      </w:r>
    </w:p>
    <w:p>
      <w:pPr>
        <w:pStyle w:val="DefinedTerms"/>
      </w:pPr>
      <w:r>
        <w:t>another jurisdiction</w:t>
      </w:r>
      <w:r>
        <w:tab/>
        <w:t>33</w:t>
      </w:r>
    </w:p>
    <w:p>
      <w:pPr>
        <w:pStyle w:val="DefinedTerms"/>
      </w:pPr>
      <w:r>
        <w:t>approved authority</w:t>
      </w:r>
      <w:r>
        <w:tab/>
        <w:t>3(1)</w:t>
      </w:r>
    </w:p>
    <w:p>
      <w:pPr>
        <w:pStyle w:val="DefinedTerms"/>
      </w:pPr>
      <w:r>
        <w:t>commencement day</w:t>
      </w:r>
      <w:r>
        <w:tab/>
        <w:t>41(1)</w:t>
      </w:r>
    </w:p>
    <w:p>
      <w:pPr>
        <w:pStyle w:val="DefinedTerms"/>
      </w:pPr>
      <w:r>
        <w:t>Commissioner</w:t>
      </w:r>
      <w:r>
        <w:tab/>
        <w:t>3(1)</w:t>
      </w:r>
    </w:p>
    <w:p>
      <w:pPr>
        <w:pStyle w:val="DefinedTerms"/>
      </w:pPr>
      <w:r>
        <w:t>Commonwealth Act</w:t>
      </w:r>
      <w:r>
        <w:tab/>
        <w:t>3(1)</w:t>
      </w:r>
    </w:p>
    <w:p>
      <w:pPr>
        <w:pStyle w:val="DefinedTerms"/>
      </w:pPr>
      <w:r>
        <w:t>complementary witness protection law</w:t>
      </w:r>
      <w:r>
        <w:tab/>
        <w:t>3(1)</w:t>
      </w:r>
    </w:p>
    <w:p>
      <w:pPr>
        <w:pStyle w:val="DefinedTerms"/>
      </w:pPr>
      <w:r>
        <w:t>corresponding law</w:t>
      </w:r>
      <w:r>
        <w:tab/>
        <w:t>33</w:t>
      </w:r>
    </w:p>
    <w:p>
      <w:pPr>
        <w:pStyle w:val="DefinedTerms"/>
      </w:pPr>
      <w:r>
        <w:t>corresponding non</w:t>
      </w:r>
      <w:r>
        <w:noBreakHyphen/>
        <w:t>disclosure certificate</w:t>
      </w:r>
      <w:r>
        <w:tab/>
        <w:t>33</w:t>
      </w:r>
    </w:p>
    <w:p>
      <w:pPr>
        <w:pStyle w:val="DefinedTerms"/>
      </w:pPr>
      <w:r>
        <w:t>Corruption and Crime Commission</w:t>
      </w:r>
      <w:r>
        <w:tab/>
        <w:t>3(1)</w:t>
      </w:r>
    </w:p>
    <w:p>
      <w:pPr>
        <w:pStyle w:val="DefinedTerms"/>
      </w:pPr>
      <w:r>
        <w:t>court</w:t>
      </w:r>
      <w:r>
        <w:tab/>
        <w:t>3(1), 33, 34A(1)</w:t>
      </w:r>
    </w:p>
    <w:p>
      <w:pPr>
        <w:pStyle w:val="DefinedTerms"/>
      </w:pPr>
      <w:r>
        <w:t>court proceedings</w:t>
      </w:r>
      <w:r>
        <w:tab/>
        <w:t>33</w:t>
      </w:r>
    </w:p>
    <w:p>
      <w:pPr>
        <w:pStyle w:val="DefinedTerms"/>
      </w:pPr>
      <w:r>
        <w:t>designated position</w:t>
      </w:r>
      <w:r>
        <w:tab/>
        <w:t>3(1)</w:t>
      </w:r>
    </w:p>
    <w:p>
      <w:pPr>
        <w:pStyle w:val="DefinedTerms"/>
      </w:pPr>
      <w:r>
        <w:t>lawyer</w:t>
      </w:r>
      <w:r>
        <w:tab/>
        <w:t>33</w:t>
      </w:r>
    </w:p>
    <w:p>
      <w:pPr>
        <w:pStyle w:val="DefinedTerms"/>
      </w:pPr>
      <w:r>
        <w:t>new identity order</w:t>
      </w:r>
      <w:r>
        <w:tab/>
        <w:t>19</w:t>
      </w:r>
    </w:p>
    <w:p>
      <w:pPr>
        <w:pStyle w:val="DefinedTerms"/>
      </w:pPr>
      <w:r>
        <w:t>non</w:t>
      </w:r>
      <w:r>
        <w:noBreakHyphen/>
        <w:t>disclosure certificate</w:t>
      </w:r>
      <w:r>
        <w:tab/>
        <w:t>33</w:t>
      </w:r>
    </w:p>
    <w:p>
      <w:pPr>
        <w:pStyle w:val="DefinedTerms"/>
      </w:pPr>
      <w:r>
        <w:t>officer of the Corruption and Crime Commission</w:t>
      </w:r>
      <w:r>
        <w:tab/>
        <w:t>3(1)</w:t>
      </w:r>
    </w:p>
    <w:p>
      <w:pPr>
        <w:pStyle w:val="DefinedTerms"/>
      </w:pPr>
      <w:r>
        <w:t>original court</w:t>
      </w:r>
      <w:r>
        <w:tab/>
        <w:t>34F(1)</w:t>
      </w:r>
    </w:p>
    <w:p>
      <w:pPr>
        <w:pStyle w:val="DefinedTerms"/>
      </w:pPr>
      <w:r>
        <w:t>Parliamentary Commissioner</w:t>
      </w:r>
      <w:r>
        <w:tab/>
        <w:t>3(1)</w:t>
      </w:r>
    </w:p>
    <w:p>
      <w:pPr>
        <w:pStyle w:val="DefinedTerms"/>
      </w:pPr>
      <w:r>
        <w:t>parliamentary committee</w:t>
      </w:r>
      <w:r>
        <w:tab/>
        <w:t>33</w:t>
      </w:r>
    </w:p>
    <w:p>
      <w:pPr>
        <w:pStyle w:val="DefinedTerms"/>
      </w:pPr>
      <w:r>
        <w:t>parliamentary proceedings</w:t>
      </w:r>
      <w:r>
        <w:tab/>
        <w:t>33</w:t>
      </w:r>
    </w:p>
    <w:p>
      <w:pPr>
        <w:pStyle w:val="DefinedTerms"/>
      </w:pPr>
      <w:r>
        <w:t>participant</w:t>
      </w:r>
      <w:r>
        <w:tab/>
        <w:t>3(1)</w:t>
      </w:r>
    </w:p>
    <w:p>
      <w:pPr>
        <w:pStyle w:val="DefinedTerms"/>
      </w:pPr>
      <w:r>
        <w:t>party</w:t>
      </w:r>
      <w:r>
        <w:tab/>
        <w:t>33</w:t>
      </w:r>
    </w:p>
    <w:p>
      <w:pPr>
        <w:pStyle w:val="DefinedTerms"/>
      </w:pPr>
      <w:r>
        <w:t>permission</w:t>
      </w:r>
      <w:r>
        <w:tab/>
        <w:t>41(1)</w:t>
      </w:r>
    </w:p>
    <w:p>
      <w:pPr>
        <w:pStyle w:val="DefinedTerms"/>
      </w:pPr>
      <w:r>
        <w:t>person involved</w:t>
      </w:r>
      <w:r>
        <w:tab/>
        <w:t>34C(1)</w:t>
      </w:r>
    </w:p>
    <w:p>
      <w:pPr>
        <w:pStyle w:val="DefinedTerms"/>
      </w:pPr>
      <w:r>
        <w:t>person involved,</w:t>
      </w:r>
      <w:r>
        <w:tab/>
        <w:t>34J(1)</w:t>
      </w:r>
    </w:p>
    <w:p>
      <w:pPr>
        <w:pStyle w:val="DefinedTerms"/>
      </w:pPr>
      <w:r>
        <w:t>prescribed authority</w:t>
      </w:r>
      <w:r>
        <w:tab/>
        <w:t>3(1)</w:t>
      </w:r>
    </w:p>
    <w:p>
      <w:pPr>
        <w:pStyle w:val="DefinedTerms"/>
      </w:pPr>
      <w:r>
        <w:t>prescribed register</w:t>
      </w:r>
      <w:r>
        <w:tab/>
        <w:t>3(1)</w:t>
      </w:r>
    </w:p>
    <w:p>
      <w:pPr>
        <w:pStyle w:val="DefinedTerms"/>
      </w:pPr>
      <w:r>
        <w:t>proceedings</w:t>
      </w:r>
      <w:r>
        <w:tab/>
        <w:t>33</w:t>
      </w:r>
    </w:p>
    <w:p>
      <w:pPr>
        <w:pStyle w:val="DefinedTerms"/>
      </w:pPr>
      <w:r>
        <w:t>protected address</w:t>
      </w:r>
      <w:r>
        <w:tab/>
        <w:t>33</w:t>
      </w:r>
    </w:p>
    <w:p>
      <w:pPr>
        <w:pStyle w:val="DefinedTerms"/>
      </w:pPr>
      <w:r>
        <w:t>protected identity</w:t>
      </w:r>
      <w:r>
        <w:tab/>
        <w:t>33</w:t>
      </w:r>
    </w:p>
    <w:p>
      <w:pPr>
        <w:pStyle w:val="DefinedTerms"/>
      </w:pPr>
      <w:r>
        <w:t>protected person</w:t>
      </w:r>
      <w:r>
        <w:tab/>
        <w:t>33</w:t>
      </w:r>
    </w:p>
    <w:p>
      <w:pPr>
        <w:pStyle w:val="DefinedTerms"/>
      </w:pPr>
      <w:r>
        <w:t>relevant House,</w:t>
      </w:r>
      <w:r>
        <w:tab/>
        <w:t>34K(1)</w:t>
      </w:r>
    </w:p>
    <w:p>
      <w:pPr>
        <w:pStyle w:val="DefinedTerms"/>
      </w:pPr>
      <w:r>
        <w:t>sensitive information</w:t>
      </w:r>
      <w:r>
        <w:tab/>
        <w:t>32(2)</w:t>
      </w:r>
    </w:p>
    <w:p>
      <w:pPr>
        <w:pStyle w:val="DefinedTerms"/>
      </w:pPr>
      <w:r>
        <w:t>State Witness Protection Program</w:t>
      </w:r>
      <w:r>
        <w:tab/>
        <w:t>3(1)</w:t>
      </w:r>
    </w:p>
    <w:p>
      <w:pPr>
        <w:pStyle w:val="DefinedTerms"/>
      </w:pPr>
      <w:r>
        <w:t>SWPP</w:t>
      </w:r>
      <w:r>
        <w:tab/>
        <w:t>3(2)</w:t>
      </w:r>
    </w:p>
    <w:p>
      <w:pPr>
        <w:pStyle w:val="DefinedTerms"/>
      </w:pPr>
      <w:r>
        <w:t>witness</w:t>
      </w:r>
      <w:r>
        <w:tab/>
        <w:t>3(1)</w:t>
      </w:r>
    </w:p>
    <w:p>
      <w:pPr>
        <w:pStyle w:val="DefinedTerms"/>
      </w:pPr>
      <w:r>
        <w:t>witness protection program</w:t>
      </w:r>
      <w:r>
        <w:tab/>
        <w:t>3(1)</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pPr>
        <w:rPr>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62890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5546"/>
    <w:docVar w:name="WAFER_20140109134709" w:val="RemoveTocBookmarks,RemoveUnusedBookmarks,RemoveLanguageTags,UsedStyles,ResetPageSize,UpdateArrangement"/>
    <w:docVar w:name="WAFER_20140109134709_GUID" w:val="1ee9ecef-cd06-461f-8af9-1ebf3a0a4fdf"/>
    <w:docVar w:name="WAFER_20140109135147" w:val="RemoveTocBookmarks,RunningHeaders"/>
    <w:docVar w:name="WAFER_20140109135147_GUID" w:val="46b888ae-5179-433b-85fb-69b2d5e2500f"/>
    <w:docVar w:name="WAFER_20150626135910" w:val="ResetPageSize,UpdateArrangement,UpdateNTable"/>
    <w:docVar w:name="WAFER_20150626135910_GUID" w:val="6286fa0e-941f-4d32-a1c7-363f10f0dc6e"/>
    <w:docVar w:name="WAFER_20151110122727" w:val="UpdateStyles,UsedStyles"/>
    <w:docVar w:name="WAFER_20151110122727_GUID" w:val="657d01f1-801c-4a2d-8afd-87a2850d0018"/>
    <w:docVar w:name="WAFER_20151201142901" w:val="RemoveTrackChanges"/>
    <w:docVar w:name="WAFER_20151201142901_GUID" w:val="02567bc3-7f6b-4f20-9725-337359ca9574"/>
    <w:docVar w:name="WAFER_20220407155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5546_GUID" w:val="8a9770da-2fea-4d3a-9c37-356bc2dae9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FFA5652F-0BCF-472A-BE5A-27EB1393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11569</Words>
  <Characters>58080</Characters>
  <Application>Microsoft Office Word</Application>
  <DocSecurity>0</DocSecurity>
  <Lines>1569</Lines>
  <Paragraphs>916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1996 - 02-f0-00</dc:title>
  <dc:subject/>
  <dc:creator/>
  <cp:keywords/>
  <dc:description/>
  <cp:lastModifiedBy>Master Repository Process</cp:lastModifiedBy>
  <cp:revision>4</cp:revision>
  <cp:lastPrinted>2008-08-12T06:35:00Z</cp:lastPrinted>
  <dcterms:created xsi:type="dcterms:W3CDTF">2022-04-14T09:16:00Z</dcterms:created>
  <dcterms:modified xsi:type="dcterms:W3CDTF">2022-04-14T09:17:00Z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DocumentType">
    <vt:lpwstr>Act</vt:lpwstr>
  </property>
  <property fmtid="{D5CDD505-2E9C-101B-9397-08002B2CF9AE}" pid="4" name="OwlsUID">
    <vt:i4>911</vt:i4>
  </property>
  <property fmtid="{D5CDD505-2E9C-101B-9397-08002B2CF9AE}" pid="5" name="ReprintNo">
    <vt:lpwstr>2</vt:lpwstr>
  </property>
  <property fmtid="{D5CDD505-2E9C-101B-9397-08002B2CF9AE}" pid="6" name="AsAtDate">
    <vt:lpwstr>14 Apr 2022</vt:lpwstr>
  </property>
  <property fmtid="{D5CDD505-2E9C-101B-9397-08002B2CF9AE}" pid="7" name="Suffix">
    <vt:lpwstr>02-f0-00</vt:lpwstr>
  </property>
  <property fmtid="{D5CDD505-2E9C-101B-9397-08002B2CF9AE}" pid="8" name="CommencementDate">
    <vt:lpwstr>20220414</vt:lpwstr>
  </property>
</Properties>
</file>