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_Toc106096476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_Toc106096477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_Toc106096478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_Toc106096479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_Toc106096480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_Toc106096481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_Toc106096482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_Toc106096483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_Toc106096484 \h </w:instrText>
      </w:r>
      <w:r>
        <w:fldChar w:fldCharType="separate"/>
      </w:r>
      <w:r>
        <w:t>6</w:t>
      </w:r>
      <w:r>
        <w:fldChar w:fldCharType="end"/>
      </w:r>
    </w:p>
    <w:p>
      <w:pPr>
        <w:pStyle w:val="TOC8"/>
        <w:rPr>
          <w:rFonts w:asciiTheme="minorHAnsi" w:eastAsiaTheme="minorEastAsia" w:hAnsiTheme="minorHAnsi" w:cstheme="minorBidi"/>
          <w:szCs w:val="22"/>
        </w:rPr>
      </w:pPr>
      <w:r>
        <w:t>10A.</w:t>
      </w:r>
      <w:r>
        <w:tab/>
        <w:t>Duration of licences</w:t>
      </w:r>
      <w:r>
        <w:tab/>
      </w:r>
      <w:r>
        <w:fldChar w:fldCharType="begin"/>
      </w:r>
      <w:r>
        <w:instrText xml:space="preserve"> PAGEREF _Toc106096485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_Toc106096486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_Toc106096487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_Toc106096488 \h </w:instrText>
      </w:r>
      <w:r>
        <w:fldChar w:fldCharType="separate"/>
      </w:r>
      <w:r>
        <w:t>9</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_Toc106096489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_Toc106096490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_Toc106096491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_Toc106096492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_Toc106096493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_Toc106096494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_Toc106096495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_Toc106096496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_Toc106096497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_Toc106096498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_Toc106096499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_Toc106096500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_Toc106096501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26</w:t>
      </w:r>
      <w:r>
        <w:rPr>
          <w:snapToGrid w:val="0"/>
        </w:rPr>
        <w:t>.</w:t>
      </w:r>
      <w:r>
        <w:rPr>
          <w:snapToGrid w:val="0"/>
        </w:rPr>
        <w:tab/>
        <w:t>Regulations</w:t>
      </w:r>
      <w:r>
        <w:tab/>
      </w:r>
      <w:r>
        <w:fldChar w:fldCharType="begin"/>
      </w:r>
      <w:r>
        <w:instrText xml:space="preserve"> PAGEREF _Toc106096502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_Toc106096504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_Toc106096505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_Toc106096506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10609647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rPr>
        <w:t>.</w:t>
      </w:r>
    </w:p>
    <w:p>
      <w:pPr>
        <w:pStyle w:val="Heading5"/>
        <w:rPr>
          <w:snapToGrid w:val="0"/>
        </w:rPr>
      </w:pPr>
      <w:bookmarkStart w:id="4" w:name="_Toc10609647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rPr>
          <w:snapToGrid w:val="0"/>
        </w:rPr>
      </w:pPr>
      <w:bookmarkStart w:id="5" w:name="_Toc106096478"/>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6" w:name="_Toc106096479"/>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lastRenderedPageBreak/>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7" w:name="_Toc106096480"/>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keepNext/>
        <w:rPr>
          <w:snapToGrid w:val="0"/>
        </w:rPr>
      </w:pPr>
      <w:r>
        <w:rPr>
          <w:snapToGrid w:val="0"/>
        </w:rPr>
        <w:lastRenderedPageBreak/>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this subsection: a fine of $50 000.</w:t>
      </w:r>
    </w:p>
    <w:p>
      <w:pPr>
        <w:pStyle w:val="Footnotesection"/>
      </w:pPr>
      <w:r>
        <w:tab/>
        <w:t xml:space="preserve">[Section 5 amended: No. 113 of 1965 s. 8; No. 50 of 2003 s. 55(2); No. 25 of 2019 s. 26.] </w:t>
      </w:r>
    </w:p>
    <w:p>
      <w:pPr>
        <w:pStyle w:val="Heading5"/>
        <w:spacing w:before="180"/>
        <w:rPr>
          <w:snapToGrid w:val="0"/>
        </w:rPr>
      </w:pPr>
      <w:bookmarkStart w:id="8" w:name="_Toc106096481"/>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Penstart"/>
      </w:pPr>
      <w:r>
        <w:tab/>
      </w:r>
      <w:r>
        <w:rPr>
          <w:snapToGrid w:val="0"/>
        </w:rPr>
        <w:t>Penalty for this subsection: a fine of $25 000.</w:t>
      </w:r>
    </w:p>
    <w:p>
      <w:pPr>
        <w:pStyle w:val="Footnotesection"/>
      </w:pPr>
      <w:r>
        <w:tab/>
        <w:t>[Section 6 amended: No. 25 of 2019 s. 25.]</w:t>
      </w:r>
    </w:p>
    <w:p>
      <w:pPr>
        <w:pStyle w:val="Heading5"/>
        <w:spacing w:before="180"/>
        <w:rPr>
          <w:snapToGrid w:val="0"/>
        </w:rPr>
      </w:pPr>
      <w:bookmarkStart w:id="9" w:name="_Toc106096482"/>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lastRenderedPageBreak/>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0" w:name="_Toc106096483"/>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lastRenderedPageBreak/>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1" w:name="_Toc106096484"/>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12" w:name="_Toc106096485"/>
      <w:r>
        <w:rPr>
          <w:rStyle w:val="CharSectno"/>
        </w:rPr>
        <w:t>10A</w:t>
      </w:r>
      <w:r>
        <w:t>.</w:t>
      </w:r>
      <w:r>
        <w:tab/>
        <w:t>Duration of licences</w:t>
      </w:r>
      <w:bookmarkEnd w:id="12"/>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13" w:name="_Toc106096486"/>
      <w:r>
        <w:rPr>
          <w:rStyle w:val="CharSectno"/>
        </w:rPr>
        <w:t>10</w:t>
      </w:r>
      <w:r>
        <w:rPr>
          <w:snapToGrid w:val="0"/>
        </w:rPr>
        <w:t>.</w:t>
      </w:r>
      <w:r>
        <w:rPr>
          <w:snapToGrid w:val="0"/>
        </w:rPr>
        <w:tab/>
        <w:t>Cancellation of licence</w:t>
      </w:r>
      <w:bookmarkEnd w:id="13"/>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keepNext/>
        <w:rPr>
          <w:snapToGrid w:val="0"/>
        </w:rPr>
      </w:pPr>
      <w:r>
        <w:rPr>
          <w:snapToGrid w:val="0"/>
        </w:rPr>
        <w:lastRenderedPageBreak/>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14" w:name="_Toc106096487"/>
      <w:r>
        <w:rPr>
          <w:rStyle w:val="CharSectno"/>
        </w:rPr>
        <w:t>11</w:t>
      </w:r>
      <w:r>
        <w:t>.</w:t>
      </w:r>
      <w:r>
        <w:tab/>
        <w:t>Review of Commissioner’s decision</w:t>
      </w:r>
      <w:bookmarkEnd w:id="14"/>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15" w:name="_Toc106096488"/>
      <w:r>
        <w:rPr>
          <w:rStyle w:val="CharSectno"/>
        </w:rPr>
        <w:t>12</w:t>
      </w:r>
      <w:r>
        <w:rPr>
          <w:snapToGrid w:val="0"/>
        </w:rPr>
        <w:t>.</w:t>
      </w:r>
      <w:r>
        <w:rPr>
          <w:snapToGrid w:val="0"/>
        </w:rPr>
        <w:tab/>
        <w:t>Register to be kept by Commissioner</w:t>
      </w:r>
      <w:bookmarkEnd w:id="1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16" w:name="_Toc106096489"/>
      <w:r>
        <w:rPr>
          <w:rStyle w:val="CharSectno"/>
        </w:rPr>
        <w:lastRenderedPageBreak/>
        <w:t>12A</w:t>
      </w:r>
      <w:r>
        <w:t>.</w:t>
      </w:r>
      <w:r>
        <w:tab/>
        <w:t>Matters to be included in annual report</w:t>
      </w:r>
      <w:bookmarkEnd w:id="16"/>
    </w:p>
    <w:p>
      <w:pPr>
        <w:pStyle w:val="Subsection"/>
        <w:keepNext/>
      </w:pPr>
      <w:r>
        <w:tab/>
      </w:r>
      <w:r>
        <w:tab/>
        <w:t xml:space="preserve">The annual report of the department in which the Commissioner is employed is to include details of — </w:t>
      </w:r>
    </w:p>
    <w:p>
      <w:pPr>
        <w:pStyle w:val="Indenta"/>
        <w:keepNext/>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17" w:name="_Toc106096490"/>
      <w:r>
        <w:rPr>
          <w:rStyle w:val="CharSectno"/>
        </w:rPr>
        <w:t>13</w:t>
      </w:r>
      <w:r>
        <w:rPr>
          <w:snapToGrid w:val="0"/>
        </w:rPr>
        <w:t>.</w:t>
      </w:r>
      <w:r>
        <w:rPr>
          <w:snapToGrid w:val="0"/>
        </w:rPr>
        <w:tab/>
        <w:t>Unlicensed persons not to recover fees etc.</w:t>
      </w:r>
      <w:bookmarkEnd w:id="17"/>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lastRenderedPageBreak/>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18" w:name="_Toc106096491"/>
      <w:r>
        <w:rPr>
          <w:rStyle w:val="CharSectno"/>
        </w:rPr>
        <w:t>14</w:t>
      </w:r>
      <w:r>
        <w:rPr>
          <w:snapToGrid w:val="0"/>
        </w:rPr>
        <w:t>.</w:t>
      </w:r>
      <w:r>
        <w:rPr>
          <w:snapToGrid w:val="0"/>
        </w:rPr>
        <w:tab/>
        <w:t>Offence of furnishing incorrect information in applications etc.</w:t>
      </w:r>
      <w:bookmarkEnd w:id="18"/>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pPr>
      <w:r>
        <w:tab/>
      </w:r>
      <w:r>
        <w:rPr>
          <w:snapToGrid w:val="0"/>
        </w:rPr>
        <w:t>Penalty for this subsection: a fine of $20 000.</w:t>
      </w:r>
    </w:p>
    <w:p>
      <w:pPr>
        <w:pStyle w:val="Subsection"/>
        <w:rPr>
          <w:snapToGrid w:val="0"/>
        </w:rPr>
      </w:pPr>
      <w:r>
        <w:rPr>
          <w:snapToGrid w:val="0"/>
        </w:rPr>
        <w:tab/>
        <w:t>(3)</w:t>
      </w:r>
      <w:r>
        <w:rPr>
          <w:snapToGrid w:val="0"/>
        </w:rPr>
        <w:tab/>
        <w:t xml:space="preserve">Upon conviction for an offence against subsection (2), the Court convicting the licensee shall order him to refund any fees, charges, commission, reward or other remuneration received or retained by him, that are in excess of or not included in the fees, </w:t>
      </w:r>
      <w:r>
        <w:rPr>
          <w:snapToGrid w:val="0"/>
        </w:rPr>
        <w:lastRenderedPageBreak/>
        <w:t>charges, commission, reward or other remuneration so agreed upon.</w:t>
      </w:r>
    </w:p>
    <w:p>
      <w:pPr>
        <w:pStyle w:val="Footnotesection"/>
      </w:pPr>
      <w:r>
        <w:tab/>
        <w:t xml:space="preserve">[Section 14 amended: No. 113 of 1965 s. 8; No. 25 of 2019 s. 22.] </w:t>
      </w:r>
    </w:p>
    <w:p>
      <w:pPr>
        <w:pStyle w:val="Heading5"/>
        <w:rPr>
          <w:snapToGrid w:val="0"/>
        </w:rPr>
      </w:pPr>
      <w:bookmarkStart w:id="19" w:name="_Toc106096492"/>
      <w:r>
        <w:rPr>
          <w:rStyle w:val="CharSectno"/>
        </w:rPr>
        <w:t>15</w:t>
      </w:r>
      <w:r>
        <w:rPr>
          <w:snapToGrid w:val="0"/>
        </w:rPr>
        <w:t>.</w:t>
      </w:r>
      <w:r>
        <w:rPr>
          <w:snapToGrid w:val="0"/>
        </w:rPr>
        <w:tab/>
        <w:t>Duty of debt collectors in respect of trust money</w:t>
      </w:r>
      <w:bookmarkEnd w:id="19"/>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 xml:space="preserve">Every debt collector shall within 14 days of demand in writing made by the person on whose behalf the service or transaction was carried out, and in any event unless the person otherwise agrees in writing, within 45 days of receipt of the trust money in </w:t>
      </w:r>
      <w:r>
        <w:rPr>
          <w:snapToGrid w:val="0"/>
        </w:rPr>
        <w:lastRenderedPageBreak/>
        <w:t>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r>
      <w:r>
        <w:t>Penalty for this subsection: a fine of $25 000.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keepNext/>
        <w:rPr>
          <w:snapToGrid w:val="0"/>
        </w:rPr>
      </w:pPr>
      <w:r>
        <w:rPr>
          <w:snapToGrid w:val="0"/>
        </w:rPr>
        <w:lastRenderedPageBreak/>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 No. 25 of 2019 s. 26.]</w:t>
      </w:r>
    </w:p>
    <w:p>
      <w:pPr>
        <w:pStyle w:val="Heading5"/>
        <w:rPr>
          <w:snapToGrid w:val="0"/>
        </w:rPr>
      </w:pPr>
      <w:bookmarkStart w:id="20" w:name="_Toc106096493"/>
      <w:r>
        <w:rPr>
          <w:rStyle w:val="CharSectno"/>
        </w:rPr>
        <w:t>16</w:t>
      </w:r>
      <w:r>
        <w:rPr>
          <w:snapToGrid w:val="0"/>
        </w:rPr>
        <w:t>.</w:t>
      </w:r>
      <w:r>
        <w:rPr>
          <w:snapToGrid w:val="0"/>
        </w:rPr>
        <w:tab/>
        <w:t>Duty of bank Manager</w:t>
      </w:r>
      <w:bookmarkEnd w:id="2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Footnotesection"/>
      </w:pPr>
      <w:r>
        <w:tab/>
        <w:t>[Section 16 amended: No. 25 of 2019 s. 25.]</w:t>
      </w:r>
    </w:p>
    <w:p>
      <w:pPr>
        <w:pStyle w:val="Heading5"/>
        <w:rPr>
          <w:snapToGrid w:val="0"/>
        </w:rPr>
      </w:pPr>
      <w:bookmarkStart w:id="21" w:name="_Toc106096494"/>
      <w:r>
        <w:rPr>
          <w:rStyle w:val="CharSectno"/>
        </w:rPr>
        <w:t>17</w:t>
      </w:r>
      <w:r>
        <w:rPr>
          <w:snapToGrid w:val="0"/>
        </w:rPr>
        <w:t>.</w:t>
      </w:r>
      <w:r>
        <w:rPr>
          <w:snapToGrid w:val="0"/>
        </w:rPr>
        <w:tab/>
        <w:t>Duty of debt collector as to accounts</w:t>
      </w:r>
      <w:bookmarkEnd w:id="21"/>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Penstart"/>
      </w:pPr>
      <w:r>
        <w:tab/>
      </w:r>
      <w:r>
        <w:rPr>
          <w:snapToGrid w:val="0"/>
        </w:rPr>
        <w:t>Penalty for this subsection: a fine of $25 000.</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Ednotesubsection"/>
      </w:pPr>
      <w:r>
        <w:tab/>
        <w:t>[(3)</w:t>
      </w:r>
      <w:r>
        <w:tab/>
        <w:t>deleted]</w:t>
      </w:r>
    </w:p>
    <w:p>
      <w:pPr>
        <w:pStyle w:val="Footnotesection"/>
      </w:pPr>
      <w:r>
        <w:tab/>
        <w:t>[Section 17 amended: No. 25 of 2019 s. 23.]</w:t>
      </w:r>
    </w:p>
    <w:p>
      <w:pPr>
        <w:pStyle w:val="Heading5"/>
        <w:rPr>
          <w:snapToGrid w:val="0"/>
        </w:rPr>
      </w:pPr>
      <w:bookmarkStart w:id="22" w:name="_Toc106096495"/>
      <w:r>
        <w:rPr>
          <w:rStyle w:val="CharSectno"/>
        </w:rPr>
        <w:t>18</w:t>
      </w:r>
      <w:r>
        <w:rPr>
          <w:snapToGrid w:val="0"/>
        </w:rPr>
        <w:t>.</w:t>
      </w:r>
      <w:r>
        <w:rPr>
          <w:snapToGrid w:val="0"/>
        </w:rPr>
        <w:tab/>
        <w:t>Inspection of records</w:t>
      </w:r>
      <w:bookmarkEnd w:id="22"/>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 xml:space="preserve">all contracts; agreements or other documents relating to any transaction by or with the licensee in connection with his business as a debt </w:t>
      </w:r>
      <w:r>
        <w:rPr>
          <w:snapToGrid w:val="0"/>
        </w:rPr>
        <w:lastRenderedPageBreak/>
        <w:t>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keepNext/>
        <w:rPr>
          <w:snapToGrid w:val="0"/>
        </w:rPr>
      </w:pPr>
      <w:r>
        <w:rPr>
          <w:snapToGrid w:val="0"/>
        </w:rPr>
        <w:lastRenderedPageBreak/>
        <w:tab/>
        <w:t>(5)</w:t>
      </w:r>
      <w:r>
        <w:rPr>
          <w:snapToGrid w:val="0"/>
        </w:rPr>
        <w:tab/>
        <w:t>A person is not required under this section to answer any question or give any information that tends to incriminate him.</w:t>
      </w:r>
    </w:p>
    <w:p>
      <w:pPr>
        <w:pStyle w:val="Footnotesection"/>
      </w:pPr>
      <w:r>
        <w:tab/>
        <w:t>[Section 18 amended: No. 25 of 2019 s. 25.]</w:t>
      </w:r>
    </w:p>
    <w:p>
      <w:pPr>
        <w:pStyle w:val="Heading5"/>
        <w:rPr>
          <w:snapToGrid w:val="0"/>
        </w:rPr>
      </w:pPr>
      <w:bookmarkStart w:id="23" w:name="_Toc106096496"/>
      <w:r>
        <w:rPr>
          <w:rStyle w:val="CharSectno"/>
        </w:rPr>
        <w:t>19</w:t>
      </w:r>
      <w:r>
        <w:rPr>
          <w:snapToGrid w:val="0"/>
        </w:rPr>
        <w:t>.</w:t>
      </w:r>
      <w:r>
        <w:rPr>
          <w:snapToGrid w:val="0"/>
        </w:rPr>
        <w:tab/>
        <w:t>Minister may appoint auditor to audit trust accounts</w:t>
      </w:r>
      <w:bookmarkEnd w:id="23"/>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24" w:name="_Toc106096497"/>
      <w:r>
        <w:rPr>
          <w:rStyle w:val="CharSectno"/>
        </w:rPr>
        <w:t>20</w:t>
      </w:r>
      <w:r>
        <w:rPr>
          <w:snapToGrid w:val="0"/>
        </w:rPr>
        <w:t>.</w:t>
      </w:r>
      <w:r>
        <w:rPr>
          <w:snapToGrid w:val="0"/>
        </w:rPr>
        <w:tab/>
        <w:t>Fidelity bond</w:t>
      </w:r>
      <w:bookmarkEnd w:id="24"/>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lastRenderedPageBreak/>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25" w:name="_Toc106096498"/>
      <w:r>
        <w:rPr>
          <w:rStyle w:val="CharSectno"/>
        </w:rPr>
        <w:t>21</w:t>
      </w:r>
      <w:r>
        <w:rPr>
          <w:snapToGrid w:val="0"/>
        </w:rPr>
        <w:t>.</w:t>
      </w:r>
      <w:r>
        <w:rPr>
          <w:snapToGrid w:val="0"/>
        </w:rPr>
        <w:tab/>
        <w:t>Termination of fidelity bond</w:t>
      </w:r>
      <w:bookmarkEnd w:id="25"/>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w:t>
      </w:r>
      <w:r>
        <w:rPr>
          <w:snapToGrid w:val="0"/>
        </w:rPr>
        <w:lastRenderedPageBreak/>
        <w:t>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Ednotesection"/>
        <w:ind w:left="890" w:hanging="890"/>
      </w:pPr>
      <w:r>
        <w:t>[</w:t>
      </w:r>
      <w:r>
        <w:rPr>
          <w:b/>
        </w:rPr>
        <w:t>22.</w:t>
      </w:r>
      <w:r>
        <w:tab/>
        <w:t>Deleted: No. 25 of 2019 s. 24.]</w:t>
      </w:r>
    </w:p>
    <w:p>
      <w:pPr>
        <w:pStyle w:val="Heading5"/>
        <w:rPr>
          <w:snapToGrid w:val="0"/>
        </w:rPr>
      </w:pPr>
      <w:bookmarkStart w:id="26" w:name="_Toc106096499"/>
      <w:r>
        <w:rPr>
          <w:rStyle w:val="CharSectno"/>
        </w:rPr>
        <w:t>23</w:t>
      </w:r>
      <w:r>
        <w:rPr>
          <w:snapToGrid w:val="0"/>
        </w:rPr>
        <w:t>.</w:t>
      </w:r>
      <w:r>
        <w:rPr>
          <w:snapToGrid w:val="0"/>
        </w:rPr>
        <w:tab/>
        <w:t>Offence by corporation</w:t>
      </w:r>
      <w:bookmarkEnd w:id="26"/>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27" w:name="_Toc106096500"/>
      <w:r>
        <w:rPr>
          <w:rStyle w:val="CharSectno"/>
        </w:rPr>
        <w:t>24</w:t>
      </w:r>
      <w:r>
        <w:rPr>
          <w:snapToGrid w:val="0"/>
        </w:rPr>
        <w:t>.</w:t>
      </w:r>
      <w:r>
        <w:rPr>
          <w:snapToGrid w:val="0"/>
        </w:rPr>
        <w:tab/>
        <w:t>Evidentiary provision</w:t>
      </w:r>
      <w:bookmarkEnd w:id="2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28" w:name="_Toc106096501"/>
      <w:r>
        <w:rPr>
          <w:rStyle w:val="CharSectno"/>
        </w:rPr>
        <w:t>25</w:t>
      </w:r>
      <w:r>
        <w:rPr>
          <w:snapToGrid w:val="0"/>
        </w:rPr>
        <w:t>.</w:t>
      </w:r>
      <w:r>
        <w:rPr>
          <w:snapToGrid w:val="0"/>
        </w:rPr>
        <w:tab/>
        <w:t>Saving of remedies</w:t>
      </w:r>
      <w:bookmarkEnd w:id="28"/>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29" w:name="_Toc106096502"/>
      <w:r>
        <w:rPr>
          <w:rStyle w:val="CharSectno"/>
        </w:rPr>
        <w:lastRenderedPageBreak/>
        <w:t>26</w:t>
      </w:r>
      <w:r>
        <w:rPr>
          <w:snapToGrid w:val="0"/>
        </w:rPr>
        <w:t>.</w:t>
      </w:r>
      <w:r>
        <w:rPr>
          <w:snapToGrid w:val="0"/>
        </w:rPr>
        <w:tab/>
        <w:t>Regulations</w:t>
      </w:r>
      <w:bookmarkEnd w:id="29"/>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 xml:space="preserve">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w:t>
      </w:r>
      <w:r>
        <w:rPr>
          <w:snapToGrid w:val="0"/>
        </w:rPr>
        <w:lastRenderedPageBreak/>
        <w:t>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$5 000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Ednotesubsection"/>
      </w:pPr>
      <w:r>
        <w:tab/>
        <w:t>[(2)</w:t>
      </w:r>
      <w:r>
        <w:tab/>
        <w:t>deleted]</w:t>
      </w:r>
    </w:p>
    <w:p>
      <w:pPr>
        <w:pStyle w:val="Footnotesection"/>
      </w:pPr>
      <w:r>
        <w:tab/>
        <w:t xml:space="preserve">[Section 26 amended: No. 113 of 1965 s. 8; No. 44 of 2016 s. 14; No. 25 of 2019 s. 26; No. 34 of 2020 s. 96(2).]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30" w:name="_Toc106005771"/>
      <w:bookmarkStart w:id="31" w:name="_Toc106005856"/>
      <w:bookmarkStart w:id="32" w:name="_Toc106096503"/>
      <w:r>
        <w:lastRenderedPageBreak/>
        <w:t>Notes</w:t>
      </w:r>
      <w:bookmarkEnd w:id="30"/>
      <w:bookmarkEnd w:id="31"/>
      <w:bookmarkEnd w:id="32"/>
    </w:p>
    <w:p>
      <w:pPr>
        <w:pStyle w:val="nStatement"/>
      </w:pPr>
      <w:r>
        <w:t xml:space="preserve">This is a compilation of the </w:t>
      </w:r>
      <w:r>
        <w:rPr>
          <w:i/>
          <w:noProof/>
        </w:rPr>
        <w:t>Debt Collectors Licensing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106096504"/>
      <w:r>
        <w:t>Compilation table</w:t>
      </w:r>
      <w:bookmarkEnd w:id="33"/>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1</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lastRenderedPageBreak/>
              <w:t>State Administrative Tribunal (Conferral of Jurisdiction) Amendment and Repeal Act 2004</w:t>
            </w:r>
            <w:r>
              <w:rPr>
                <w:i/>
                <w:iCs/>
                <w:snapToGrid w:val="0"/>
              </w:rPr>
              <w:t xml:space="preserve"> </w:t>
            </w:r>
            <w:r>
              <w:rPr>
                <w:snapToGrid w:val="0"/>
              </w:rPr>
              <w:t>Pt. 2 Div. 35</w:t>
            </w:r>
            <w:r>
              <w:rPr>
                <w:snapToGrid w:val="0"/>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68" w:type="dxa"/>
          </w:tcPr>
          <w:p>
            <w:pPr>
              <w:pStyle w:val="nTable"/>
              <w:spacing w:after="40"/>
              <w:rPr>
                <w:b/>
              </w:rPr>
            </w:pPr>
            <w:r>
              <w:rPr>
                <w:i/>
              </w:rPr>
              <w:t>Licensing Provisions Amendment Act 2016</w:t>
            </w:r>
            <w:r>
              <w:t xml:space="preserve"> Pt. 3</w:t>
            </w:r>
          </w:p>
        </w:tc>
        <w:tc>
          <w:tcPr>
            <w:tcW w:w="1134" w:type="dxa"/>
          </w:tcPr>
          <w:p>
            <w:pPr>
              <w:pStyle w:val="nTable"/>
              <w:spacing w:after="40"/>
              <w:rPr>
                <w:b/>
              </w:rPr>
            </w:pPr>
            <w:r>
              <w:t>44 of 2016</w:t>
            </w:r>
          </w:p>
        </w:tc>
        <w:tc>
          <w:tcPr>
            <w:tcW w:w="1134" w:type="dxa"/>
          </w:tcPr>
          <w:p>
            <w:pPr>
              <w:pStyle w:val="nTable"/>
              <w:spacing w:after="40"/>
              <w:rPr>
                <w:b/>
              </w:rPr>
            </w:pPr>
            <w:r>
              <w:t>1 Dec 2016</w:t>
            </w:r>
          </w:p>
        </w:tc>
        <w:tc>
          <w:tcPr>
            <w:tcW w:w="2533" w:type="dxa"/>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Pr>
          <w:p>
            <w:pPr>
              <w:pStyle w:val="nTable"/>
              <w:spacing w:after="40"/>
            </w:pPr>
            <w:r>
              <w:rPr>
                <w:i/>
              </w:rPr>
              <w:t xml:space="preserve">Consumer Protection Legislation Amendment Act 2019 </w:t>
            </w:r>
            <w:r>
              <w:t>Pt. 4</w:t>
            </w:r>
          </w:p>
        </w:tc>
        <w:tc>
          <w:tcPr>
            <w:tcW w:w="1134" w:type="dxa"/>
          </w:tcPr>
          <w:p>
            <w:pPr>
              <w:pStyle w:val="nTable"/>
              <w:spacing w:after="40"/>
            </w:pPr>
            <w:r>
              <w:t>25 of 2019</w:t>
            </w:r>
          </w:p>
        </w:tc>
        <w:tc>
          <w:tcPr>
            <w:tcW w:w="1134" w:type="dxa"/>
          </w:tcPr>
          <w:p>
            <w:pPr>
              <w:pStyle w:val="nTable"/>
              <w:spacing w:after="40"/>
            </w:pPr>
            <w:r>
              <w:t>24 Oct 2019</w:t>
            </w:r>
          </w:p>
        </w:tc>
        <w:tc>
          <w:tcPr>
            <w:tcW w:w="2533" w:type="dxa"/>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gridAfter w:val="1"/>
          <w:wAfter w:w="18" w:type="dxa"/>
          <w:cantSplit/>
        </w:trPr>
        <w:tc>
          <w:tcPr>
            <w:tcW w:w="2268" w:type="dxa"/>
            <w:tcBorders>
              <w:bottom w:val="single" w:sz="4" w:space="0" w:color="auto"/>
            </w:tcBorders>
          </w:tcPr>
          <w:p>
            <w:pPr>
              <w:pStyle w:val="nTable"/>
              <w:spacing w:after="40"/>
            </w:pPr>
            <w:r>
              <w:rPr>
                <w:i/>
              </w:rPr>
              <w:t>COVID</w:t>
            </w:r>
            <w:r>
              <w:rPr>
                <w:i/>
              </w:rPr>
              <w:noBreakHyphen/>
              <w:t>19 Response and Economic Recovery Omnibus Act 2020</w:t>
            </w:r>
            <w:r>
              <w:t xml:space="preserve"> s. 96</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33" w:type="dxa"/>
            <w:tcBorders>
              <w:bottom w:val="single" w:sz="4" w:space="0" w:color="auto"/>
            </w:tcBorders>
          </w:tcPr>
          <w:p>
            <w:pPr>
              <w:pStyle w:val="nTable"/>
              <w:spacing w:after="40"/>
              <w:rPr>
                <w:snapToGrid w:val="0"/>
              </w:rPr>
            </w:pPr>
            <w:r>
              <w:rPr>
                <w:snapToGrid w:val="0"/>
              </w:rPr>
              <w:t>12 Sep 2020 (see s. 2(b))</w:t>
            </w:r>
          </w:p>
        </w:tc>
      </w:tr>
    </w:tbl>
    <w:p>
      <w:pPr>
        <w:pStyle w:val="nHeading3"/>
      </w:pPr>
      <w:bookmarkStart w:id="34" w:name="_Toc106096505"/>
      <w:r>
        <w:t>Uncommenced provisions table</w:t>
      </w:r>
      <w:bookmarkEnd w:id="34"/>
    </w:p>
    <w:p>
      <w:pPr>
        <w:pStyle w:val="nStatement"/>
        <w:keepNext/>
        <w:spacing w:after="240"/>
      </w:pPr>
      <w:r>
        <w:t xml:space="preserve">To view the text of the uncommenced provisions see </w:t>
      </w:r>
      <w:r>
        <w:rPr>
          <w:i/>
        </w:rPr>
        <w:t>Acts as passed</w:t>
      </w:r>
      <w:r>
        <w:t xml:space="preserve"> on the WA Legislation website.</w:t>
      </w:r>
    </w:p>
    <w:tbl>
      <w:tblPr>
        <w:tblW w:w="7102" w:type="dxa"/>
        <w:tblInd w:w="28" w:type="dxa"/>
        <w:tblLayout w:type="fixed"/>
        <w:tblCellMar>
          <w:left w:w="56" w:type="dxa"/>
          <w:right w:w="56" w:type="dxa"/>
        </w:tblCellMar>
        <w:tblLook w:val="0000" w:firstRow="0" w:lastRow="0" w:firstColumn="0" w:lastColumn="0" w:noHBand="0" w:noVBand="0"/>
      </w:tblPr>
      <w:tblGrid>
        <w:gridCol w:w="2273"/>
        <w:gridCol w:w="1139"/>
        <w:gridCol w:w="1138"/>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8"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4</w:t>
            </w:r>
          </w:p>
        </w:tc>
        <w:tc>
          <w:tcPr>
            <w:tcW w:w="1139" w:type="dxa"/>
            <w:tcBorders>
              <w:top w:val="single" w:sz="8" w:space="0" w:color="auto"/>
            </w:tcBorders>
          </w:tcPr>
          <w:p>
            <w:pPr>
              <w:pStyle w:val="nTable"/>
              <w:keepNext/>
              <w:spacing w:after="40"/>
            </w:pPr>
            <w:r>
              <w:t>56 of 1995</w:t>
            </w:r>
          </w:p>
        </w:tc>
        <w:tc>
          <w:tcPr>
            <w:tcW w:w="1138"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trPr>
        <w:tc>
          <w:tcPr>
            <w:tcW w:w="2273" w:type="dxa"/>
          </w:tcPr>
          <w:p>
            <w:pPr>
              <w:pStyle w:val="nTable"/>
              <w:spacing w:after="40"/>
              <w:ind w:right="113"/>
              <w:rPr>
                <w:i/>
                <w:snapToGrid w:val="0"/>
              </w:rPr>
            </w:pPr>
            <w:r>
              <w:rPr>
                <w:i/>
              </w:rPr>
              <w:lastRenderedPageBreak/>
              <w:t xml:space="preserve">Mutual Recognition (Western Australia) Amendment Act 2022 </w:t>
            </w:r>
            <w:r>
              <w:t>Pt. 3 Div. 3</w:t>
            </w:r>
          </w:p>
        </w:tc>
        <w:tc>
          <w:tcPr>
            <w:tcW w:w="1139" w:type="dxa"/>
          </w:tcPr>
          <w:p>
            <w:pPr>
              <w:pStyle w:val="nTable"/>
              <w:keepNext/>
              <w:spacing w:after="40"/>
            </w:pPr>
            <w:r>
              <w:t>7 of 2022</w:t>
            </w:r>
          </w:p>
        </w:tc>
        <w:tc>
          <w:tcPr>
            <w:tcW w:w="1138" w:type="dxa"/>
          </w:tcPr>
          <w:p>
            <w:pPr>
              <w:pStyle w:val="nTable"/>
              <w:keepNext/>
              <w:spacing w:after="40"/>
            </w:pPr>
            <w:r>
              <w:t>29 Mar 2022</w:t>
            </w:r>
          </w:p>
        </w:tc>
        <w:tc>
          <w:tcPr>
            <w:tcW w:w="2552" w:type="dxa"/>
          </w:tcPr>
          <w:p>
            <w:pPr>
              <w:pStyle w:val="nTable"/>
              <w:keepNext/>
              <w:spacing w:after="40"/>
            </w:pPr>
            <w:r>
              <w:t>1 Jul 2022 (see s. 2(b) and SL 2022/80 cl. 2)</w:t>
            </w:r>
          </w:p>
        </w:tc>
      </w:tr>
      <w:tr>
        <w:trPr>
          <w:cantSplit/>
        </w:trPr>
        <w:tc>
          <w:tcPr>
            <w:tcW w:w="2273" w:type="dxa"/>
            <w:tcBorders>
              <w:bottom w:val="single" w:sz="4" w:space="0" w:color="auto"/>
            </w:tcBorders>
          </w:tcPr>
          <w:p>
            <w:pPr>
              <w:pStyle w:val="nTable"/>
              <w:spacing w:after="40"/>
              <w:ind w:right="113"/>
            </w:pPr>
            <w:r>
              <w:rPr>
                <w:i/>
              </w:rPr>
              <w:t>Legal Profession Uniform Law Application Act 2022</w:t>
            </w:r>
            <w:r>
              <w:t xml:space="preserve"> s. 424</w:t>
            </w:r>
          </w:p>
        </w:tc>
        <w:tc>
          <w:tcPr>
            <w:tcW w:w="1139" w:type="dxa"/>
            <w:tcBorders>
              <w:bottom w:val="single" w:sz="4" w:space="0" w:color="auto"/>
            </w:tcBorders>
          </w:tcPr>
          <w:p>
            <w:pPr>
              <w:pStyle w:val="nTable"/>
              <w:keepNext/>
              <w:spacing w:after="40"/>
            </w:pPr>
            <w:r>
              <w:t>9 of 2022</w:t>
            </w:r>
          </w:p>
        </w:tc>
        <w:tc>
          <w:tcPr>
            <w:tcW w:w="1138" w:type="dxa"/>
            <w:tcBorders>
              <w:bottom w:val="single" w:sz="4" w:space="0" w:color="auto"/>
            </w:tcBorders>
          </w:tcPr>
          <w:p>
            <w:pPr>
              <w:pStyle w:val="nTable"/>
              <w:keepNext/>
              <w:spacing w:after="40"/>
            </w:pPr>
            <w:r>
              <w:t>14 Apr 2022</w:t>
            </w:r>
          </w:p>
        </w:tc>
        <w:tc>
          <w:tcPr>
            <w:tcW w:w="2552" w:type="dxa"/>
            <w:tcBorders>
              <w:bottom w:val="single" w:sz="4" w:space="0" w:color="auto"/>
            </w:tcBorders>
          </w:tcPr>
          <w:p>
            <w:pPr>
              <w:pStyle w:val="nTable"/>
              <w:keepNext/>
              <w:spacing w:after="40"/>
            </w:pPr>
            <w:r>
              <w:t>To be proclaimed (see s. 2(c))</w:t>
            </w:r>
          </w:p>
        </w:tc>
      </w:tr>
    </w:tbl>
    <w:p>
      <w:pPr>
        <w:pStyle w:val="nHeading3"/>
      </w:pPr>
      <w:bookmarkStart w:id="35" w:name="_Toc106096506"/>
      <w:r>
        <w:t>Other notes</w:t>
      </w:r>
      <w:bookmarkEnd w:id="35"/>
    </w:p>
    <w:p>
      <w:pPr>
        <w:pStyle w:val="nNote"/>
        <w:spacing w:before="160"/>
        <w:rPr>
          <w:snapToGrid w:val="0"/>
        </w:rPr>
      </w:pPr>
      <w:r>
        <w:rPr>
          <w:snapToGrid w:val="0"/>
          <w:vertAlign w:val="superscript"/>
        </w:rPr>
        <w:t>1</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Note"/>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Note"/>
        <w:keepNext/>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Note"/>
      </w:pPr>
      <w:r>
        <w:rPr>
          <w:snapToGrid w:val="0"/>
          <w:vertAlign w:val="superscript"/>
        </w:rPr>
        <w:lastRenderedPageBreak/>
        <w:t>4</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7" w:name="_Toc106005775"/>
      <w:bookmarkStart w:id="38" w:name="_Toc106005860"/>
      <w:bookmarkStart w:id="39" w:name="_Toc106096507"/>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B4C6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BC7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D229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000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18F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055"/>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 w:name="WAFER_20191219121819" w:val="RemoveTocBookmarks,RemoveUnusedBookmarks,RemoveLanguageTags,ResetPageSize,RunningHeaders,UpdateStyles,UsedStyles"/>
    <w:docVar w:name="WAFER_20191219121819_GUID" w:val="f9faa4c7-fc82-4f88-9c32-aa21433a5cfa"/>
    <w:docVar w:name="WAFER_20200210135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5826_GUID" w:val="74136b17-f1fd-45cb-aeb0-125f93ec9f0d"/>
    <w:docVar w:name="WAFER_2020091110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26_GUID" w:val="4881b8ef-09d5-4fd3-81f9-b32e7271e8d5"/>
    <w:docVar w:name="WAFER_20220329151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1424_GUID" w:val="9e643230-76b1-48ab-bf19-bede8f84abd8"/>
    <w:docVar w:name="WAFER_202204081005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26_GUID" w:val="eecbf245-c492-4c06-a4e9-2971e8d22b56"/>
    <w:docVar w:name="WAFER_2022061309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4055_GUID" w:val="43c87240-128f-4d91-9668-14c62f5ce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6917</Words>
  <Characters>31752</Characters>
  <Application>Microsoft Office Word</Application>
  <DocSecurity>0</DocSecurity>
  <Lines>933</Lines>
  <Paragraphs>502</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1964 - 04-h0-01</dc:title>
  <dc:subject/>
  <dc:creator/>
  <cp:keywords/>
  <dc:description/>
  <cp:lastModifiedBy>Master Repository Process</cp:lastModifiedBy>
  <cp:revision>4</cp:revision>
  <cp:lastPrinted>2011-10-04T01:08:00Z</cp:lastPrinted>
  <dcterms:created xsi:type="dcterms:W3CDTF">2022-06-17T02:46:00Z</dcterms:created>
  <dcterms:modified xsi:type="dcterms:W3CDTF">2022-06-17T02:47:00Z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AsAtDate">
    <vt:lpwstr>14 Apr 2022</vt:lpwstr>
  </property>
  <property fmtid="{D5CDD505-2E9C-101B-9397-08002B2CF9AE}" pid="8" name="Suffix">
    <vt:lpwstr>04-h0-01</vt:lpwstr>
  </property>
  <property fmtid="{D5CDD505-2E9C-101B-9397-08002B2CF9AE}" pid="9" name="CommencementDate">
    <vt:lpwstr>20220414</vt:lpwstr>
  </property>
</Properties>
</file>