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Finance Brokers Control Act 1975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_Toc100567944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_Toc100567945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_Toc100567946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Exceptions to </w:t>
      </w:r>
      <w:r>
        <w:rPr>
          <w:i/>
          <w:snapToGrid w:val="0"/>
        </w:rPr>
        <w:t>finance broker</w:t>
      </w:r>
      <w:r>
        <w:tab/>
      </w:r>
      <w:r>
        <w:fldChar w:fldCharType="begin"/>
      </w:r>
      <w:r>
        <w:instrText xml:space="preserve"> PAGEREF _Toc100567947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w:t>
      </w:r>
      <w:r>
        <w:tab/>
        <w:t>Commissioner</w:t>
      </w:r>
      <w:r>
        <w:tab/>
      </w:r>
      <w:r>
        <w:fldChar w:fldCharType="begin"/>
      </w:r>
      <w:r>
        <w:instrText xml:space="preserve"> PAGEREF _Toc100567950 \h </w:instrText>
      </w:r>
      <w:r>
        <w:fldChar w:fldCharType="separate"/>
      </w:r>
      <w:r>
        <w:t>6</w:t>
      </w:r>
      <w:r>
        <w:fldChar w:fldCharType="end"/>
      </w:r>
    </w:p>
    <w:p>
      <w:pPr>
        <w:pStyle w:val="TOC8"/>
        <w:rPr>
          <w:rFonts w:asciiTheme="minorHAnsi" w:eastAsiaTheme="minorEastAsia" w:hAnsiTheme="minorHAnsi" w:cstheme="minorBidi"/>
          <w:szCs w:val="22"/>
        </w:rPr>
      </w:pPr>
      <w:r>
        <w:t>7.</w:t>
      </w:r>
      <w:r>
        <w:tab/>
        <w:t>General functions of Commissioner</w:t>
      </w:r>
      <w:r>
        <w:tab/>
      </w:r>
      <w:r>
        <w:fldChar w:fldCharType="begin"/>
      </w:r>
      <w:r>
        <w:instrText xml:space="preserve"> PAGEREF _Toc100567951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Commissioner may delegate</w:t>
      </w:r>
      <w:r>
        <w:tab/>
      </w:r>
      <w:r>
        <w:fldChar w:fldCharType="begin"/>
      </w:r>
      <w:r>
        <w:instrText xml:space="preserve"> PAGEREF _Toc100567952 \h </w:instrText>
      </w:r>
      <w:r>
        <w:fldChar w:fldCharType="separate"/>
      </w:r>
      <w:r>
        <w:t>7</w:t>
      </w:r>
      <w:r>
        <w:fldChar w:fldCharType="end"/>
      </w:r>
    </w:p>
    <w:p>
      <w:pPr>
        <w:pStyle w:val="TOC8"/>
        <w:rPr>
          <w:rFonts w:asciiTheme="minorHAnsi" w:eastAsiaTheme="minorEastAsia" w:hAnsiTheme="minorHAnsi" w:cstheme="minorBidi"/>
          <w:szCs w:val="22"/>
        </w:rPr>
      </w:pPr>
      <w:r>
        <w:t>9A.</w:t>
      </w:r>
      <w:r>
        <w:tab/>
        <w:t>Arrangements with ASIC</w:t>
      </w:r>
      <w:r>
        <w:tab/>
      </w:r>
      <w:r>
        <w:fldChar w:fldCharType="begin"/>
      </w:r>
      <w:r>
        <w:instrText xml:space="preserve"> PAGEREF _Toc100567953 \h </w:instrText>
      </w:r>
      <w:r>
        <w:fldChar w:fldCharType="separate"/>
      </w:r>
      <w:r>
        <w:t>7</w:t>
      </w:r>
      <w:r>
        <w:fldChar w:fldCharType="end"/>
      </w:r>
    </w:p>
    <w:p>
      <w:pPr>
        <w:pStyle w:val="TOC8"/>
        <w:rPr>
          <w:rFonts w:asciiTheme="minorHAnsi" w:eastAsiaTheme="minorEastAsia" w:hAnsiTheme="minorHAnsi" w:cstheme="minorBidi"/>
          <w:szCs w:val="22"/>
        </w:rPr>
      </w:pPr>
      <w:r>
        <w:t>9B.</w:t>
      </w:r>
      <w:r>
        <w:tab/>
        <w:t>Information</w:t>
      </w:r>
      <w:r>
        <w:tab/>
      </w:r>
      <w:r>
        <w:fldChar w:fldCharType="begin"/>
      </w:r>
      <w:r>
        <w:instrText xml:space="preserve"> PAGEREF _Toc100567954 \h </w:instrText>
      </w:r>
      <w:r>
        <w:fldChar w:fldCharType="separate"/>
      </w:r>
      <w:r>
        <w:t>8</w:t>
      </w:r>
      <w:r>
        <w:fldChar w:fldCharType="end"/>
      </w:r>
    </w:p>
    <w:p>
      <w:pPr>
        <w:pStyle w:val="TOC8"/>
        <w:rPr>
          <w:rFonts w:asciiTheme="minorHAnsi" w:eastAsiaTheme="minorEastAsia" w:hAnsiTheme="minorHAnsi" w:cstheme="minorBidi"/>
          <w:szCs w:val="22"/>
        </w:rPr>
      </w:pPr>
      <w:r>
        <w:t>9.</w:t>
      </w:r>
      <w:r>
        <w:tab/>
        <w:t>Judicial notice</w:t>
      </w:r>
      <w:r>
        <w:tab/>
      </w:r>
      <w:r>
        <w:fldChar w:fldCharType="begin"/>
      </w:r>
      <w:r>
        <w:instrText xml:space="preserve"> PAGEREF _Toc100567955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 and inquiry</w:t>
      </w:r>
    </w:p>
    <w:p>
      <w:pPr>
        <w:pStyle w:val="TOC8"/>
        <w:rPr>
          <w:rFonts w:asciiTheme="minorHAnsi" w:eastAsiaTheme="minorEastAsia" w:hAnsiTheme="minorHAnsi" w:cstheme="minorBidi"/>
          <w:szCs w:val="22"/>
        </w:rPr>
      </w:pPr>
      <w:r>
        <w:t>13</w:t>
      </w:r>
      <w:r>
        <w:rPr>
          <w:snapToGrid w:val="0"/>
        </w:rPr>
        <w:t>.</w:t>
      </w:r>
      <w:r>
        <w:rPr>
          <w:snapToGrid w:val="0"/>
        </w:rPr>
        <w:tab/>
        <w:t>Investigation and inquiry by Commissioner</w:t>
      </w:r>
      <w:r>
        <w:tab/>
      </w:r>
      <w:r>
        <w:fldChar w:fldCharType="begin"/>
      </w:r>
      <w:r>
        <w:instrText xml:space="preserve"> PAGEREF _Toc100567957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Police investigations</w:t>
      </w:r>
      <w:r>
        <w:tab/>
      </w:r>
      <w:r>
        <w:fldChar w:fldCharType="begin"/>
      </w:r>
      <w:r>
        <w:instrText xml:space="preserve"> PAGEREF _Toc100567958 \h </w:instrText>
      </w:r>
      <w:r>
        <w:fldChar w:fldCharType="separate"/>
      </w:r>
      <w:r>
        <w:t>9</w:t>
      </w:r>
      <w:r>
        <w:fldChar w:fldCharType="end"/>
      </w:r>
    </w:p>
    <w:p>
      <w:pPr>
        <w:pStyle w:val="TOC8"/>
        <w:rPr>
          <w:rFonts w:asciiTheme="minorHAnsi" w:eastAsiaTheme="minorEastAsia" w:hAnsiTheme="minorHAnsi" w:cstheme="minorBidi"/>
          <w:szCs w:val="22"/>
        </w:rPr>
      </w:pPr>
      <w:r>
        <w:t>15.</w:t>
      </w:r>
      <w:r>
        <w:tab/>
        <w:t>Investigators</w:t>
      </w:r>
      <w:r>
        <w:tab/>
      </w:r>
      <w:r>
        <w:fldChar w:fldCharType="begin"/>
      </w:r>
      <w:r>
        <w:instrText xml:space="preserve"> PAGEREF _Toc100567959 \h </w:instrText>
      </w:r>
      <w:r>
        <w:fldChar w:fldCharType="separate"/>
      </w:r>
      <w:r>
        <w:t>10</w:t>
      </w:r>
      <w:r>
        <w:fldChar w:fldCharType="end"/>
      </w:r>
    </w:p>
    <w:p>
      <w:pPr>
        <w:pStyle w:val="TOC8"/>
        <w:rPr>
          <w:rFonts w:asciiTheme="minorHAnsi" w:eastAsiaTheme="minorEastAsia" w:hAnsiTheme="minorHAnsi" w:cstheme="minorBidi"/>
          <w:szCs w:val="22"/>
        </w:rPr>
      </w:pPr>
      <w:r>
        <w:t>16.</w:t>
      </w:r>
      <w:r>
        <w:tab/>
        <w:t>Additional investigative powers</w:t>
      </w:r>
      <w:r>
        <w:tab/>
      </w:r>
      <w:r>
        <w:fldChar w:fldCharType="begin"/>
      </w:r>
      <w:r>
        <w:instrText xml:space="preserve"> PAGEREF _Toc100567960 \h </w:instrText>
      </w:r>
      <w:r>
        <w:fldChar w:fldCharType="separate"/>
      </w:r>
      <w:r>
        <w:t>10</w:t>
      </w:r>
      <w:r>
        <w:fldChar w:fldCharType="end"/>
      </w:r>
    </w:p>
    <w:p>
      <w:pPr>
        <w:pStyle w:val="TOC8"/>
        <w:rPr>
          <w:rFonts w:asciiTheme="minorHAnsi" w:eastAsiaTheme="minorEastAsia" w:hAnsiTheme="minorHAnsi" w:cstheme="minorBidi"/>
          <w:szCs w:val="22"/>
        </w:rPr>
      </w:pPr>
      <w:r>
        <w:t>17.</w:t>
      </w:r>
      <w:r>
        <w:tab/>
        <w:t>Compliance checks at licensee’s business premises</w:t>
      </w:r>
      <w:r>
        <w:tab/>
      </w:r>
      <w:r>
        <w:fldChar w:fldCharType="begin"/>
      </w:r>
      <w:r>
        <w:instrText xml:space="preserve"> PAGEREF _Toc100567961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 — Specific investigatory powers</w:t>
      </w:r>
    </w:p>
    <w:p>
      <w:pPr>
        <w:pStyle w:val="TOC8"/>
        <w:rPr>
          <w:rFonts w:asciiTheme="minorHAnsi" w:eastAsiaTheme="minorEastAsia" w:hAnsiTheme="minorHAnsi" w:cstheme="minorBidi"/>
          <w:szCs w:val="22"/>
        </w:rPr>
      </w:pPr>
      <w:r>
        <w:t>18.</w:t>
      </w:r>
      <w:r>
        <w:tab/>
        <w:t>Powers</w:t>
      </w:r>
      <w:r>
        <w:tab/>
      </w:r>
      <w:r>
        <w:fldChar w:fldCharType="begin"/>
      </w:r>
      <w:r>
        <w:instrText xml:space="preserve"> PAGEREF _Toc100567963 \h </w:instrText>
      </w:r>
      <w:r>
        <w:fldChar w:fldCharType="separate"/>
      </w:r>
      <w:r>
        <w:t>12</w:t>
      </w:r>
      <w:r>
        <w:fldChar w:fldCharType="end"/>
      </w:r>
    </w:p>
    <w:p>
      <w:pPr>
        <w:pStyle w:val="TOC8"/>
        <w:rPr>
          <w:rFonts w:asciiTheme="minorHAnsi" w:eastAsiaTheme="minorEastAsia" w:hAnsiTheme="minorHAnsi" w:cstheme="minorBidi"/>
          <w:szCs w:val="22"/>
        </w:rPr>
      </w:pPr>
      <w:r>
        <w:t>18A.</w:t>
      </w:r>
      <w:r>
        <w:tab/>
        <w:t>Warrant to enter premises</w:t>
      </w:r>
      <w:r>
        <w:tab/>
      </w:r>
      <w:r>
        <w:fldChar w:fldCharType="begin"/>
      </w:r>
      <w:r>
        <w:instrText xml:space="preserve"> PAGEREF _Toc100567964 \h </w:instrText>
      </w:r>
      <w:r>
        <w:fldChar w:fldCharType="separate"/>
      </w:r>
      <w:r>
        <w:t>13</w:t>
      </w:r>
      <w:r>
        <w:fldChar w:fldCharType="end"/>
      </w:r>
    </w:p>
    <w:p>
      <w:pPr>
        <w:pStyle w:val="TOC8"/>
        <w:rPr>
          <w:rFonts w:asciiTheme="minorHAnsi" w:eastAsiaTheme="minorEastAsia" w:hAnsiTheme="minorHAnsi" w:cstheme="minorBidi"/>
          <w:szCs w:val="22"/>
        </w:rPr>
      </w:pPr>
      <w:r>
        <w:t>18B.</w:t>
      </w:r>
      <w:r>
        <w:tab/>
        <w:t>Issue of warrant</w:t>
      </w:r>
      <w:r>
        <w:tab/>
      </w:r>
      <w:r>
        <w:fldChar w:fldCharType="begin"/>
      </w:r>
      <w:r>
        <w:instrText xml:space="preserve"> PAGEREF _Toc100567965 \h </w:instrText>
      </w:r>
      <w:r>
        <w:fldChar w:fldCharType="separate"/>
      </w:r>
      <w:r>
        <w:t>14</w:t>
      </w:r>
      <w:r>
        <w:fldChar w:fldCharType="end"/>
      </w:r>
    </w:p>
    <w:p>
      <w:pPr>
        <w:pStyle w:val="TOC8"/>
        <w:rPr>
          <w:rFonts w:asciiTheme="minorHAnsi" w:eastAsiaTheme="minorEastAsia" w:hAnsiTheme="minorHAnsi" w:cstheme="minorBidi"/>
          <w:szCs w:val="22"/>
        </w:rPr>
      </w:pPr>
      <w:r>
        <w:t>18C.</w:t>
      </w:r>
      <w:r>
        <w:tab/>
        <w:t>Execution of warrant</w:t>
      </w:r>
      <w:r>
        <w:tab/>
      </w:r>
      <w:r>
        <w:fldChar w:fldCharType="begin"/>
      </w:r>
      <w:r>
        <w:instrText xml:space="preserve"> PAGEREF _Toc100567966 \h </w:instrText>
      </w:r>
      <w:r>
        <w:fldChar w:fldCharType="separate"/>
      </w:r>
      <w:r>
        <w:t>15</w:t>
      </w:r>
      <w:r>
        <w:fldChar w:fldCharType="end"/>
      </w:r>
    </w:p>
    <w:p>
      <w:pPr>
        <w:pStyle w:val="TOC8"/>
        <w:rPr>
          <w:rFonts w:asciiTheme="minorHAnsi" w:eastAsiaTheme="minorEastAsia" w:hAnsiTheme="minorHAnsi" w:cstheme="minorBidi"/>
          <w:szCs w:val="22"/>
        </w:rPr>
      </w:pPr>
      <w:r>
        <w:t>18D.</w:t>
      </w:r>
      <w:r>
        <w:tab/>
        <w:t>Seizure</w:t>
      </w:r>
      <w:r>
        <w:tab/>
      </w:r>
      <w:r>
        <w:fldChar w:fldCharType="begin"/>
      </w:r>
      <w:r>
        <w:instrText xml:space="preserve"> PAGEREF _Toc100567967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18E.</w:t>
      </w:r>
      <w:r>
        <w:tab/>
        <w:t>Incriminating information, questions, or documents</w:t>
      </w:r>
      <w:r>
        <w:tab/>
      </w:r>
      <w:r>
        <w:fldChar w:fldCharType="begin"/>
      </w:r>
      <w:r>
        <w:instrText xml:space="preserve"> PAGEREF _Toc100567968 \h </w:instrText>
      </w:r>
      <w:r>
        <w:fldChar w:fldCharType="separate"/>
      </w:r>
      <w:r>
        <w:t>17</w:t>
      </w:r>
      <w:r>
        <w:fldChar w:fldCharType="end"/>
      </w:r>
    </w:p>
    <w:p>
      <w:pPr>
        <w:pStyle w:val="TOC8"/>
        <w:rPr>
          <w:rFonts w:asciiTheme="minorHAnsi" w:eastAsiaTheme="minorEastAsia" w:hAnsiTheme="minorHAnsi" w:cstheme="minorBidi"/>
          <w:szCs w:val="22"/>
        </w:rPr>
      </w:pPr>
      <w:r>
        <w:t>18F.</w:t>
      </w:r>
      <w:r>
        <w:tab/>
        <w:t>Failure to comply with investigation</w:t>
      </w:r>
      <w:r>
        <w:tab/>
      </w:r>
      <w:r>
        <w:fldChar w:fldCharType="begin"/>
      </w:r>
      <w:r>
        <w:instrText xml:space="preserve"> PAGEREF _Toc100567969 \h </w:instrText>
      </w:r>
      <w:r>
        <w:fldChar w:fldCharType="separate"/>
      </w:r>
      <w:r>
        <w:t>17</w:t>
      </w:r>
      <w:r>
        <w:fldChar w:fldCharType="end"/>
      </w:r>
    </w:p>
    <w:p>
      <w:pPr>
        <w:pStyle w:val="TOC8"/>
        <w:rPr>
          <w:rFonts w:asciiTheme="minorHAnsi" w:eastAsiaTheme="minorEastAsia" w:hAnsiTheme="minorHAnsi" w:cstheme="minorBidi"/>
          <w:szCs w:val="22"/>
        </w:rPr>
      </w:pPr>
      <w:r>
        <w:t>18G.</w:t>
      </w:r>
      <w:r>
        <w:tab/>
        <w:t>Obstruction of investigator</w:t>
      </w:r>
      <w:r>
        <w:tab/>
      </w:r>
      <w:r>
        <w:fldChar w:fldCharType="begin"/>
      </w:r>
      <w:r>
        <w:instrText xml:space="preserve"> PAGEREF _Toc100567970 \h </w:instrText>
      </w:r>
      <w:r>
        <w:fldChar w:fldCharType="separate"/>
      </w:r>
      <w:r>
        <w:t>19</w:t>
      </w:r>
      <w:r>
        <w:fldChar w:fldCharType="end"/>
      </w:r>
    </w:p>
    <w:p>
      <w:pPr>
        <w:pStyle w:val="TOC8"/>
        <w:rPr>
          <w:rFonts w:asciiTheme="minorHAnsi" w:eastAsiaTheme="minorEastAsia" w:hAnsiTheme="minorHAnsi" w:cstheme="minorBidi"/>
          <w:szCs w:val="22"/>
        </w:rPr>
      </w:pPr>
      <w:r>
        <w:t>18H.</w:t>
      </w:r>
      <w:r>
        <w:tab/>
        <w:t>Information</w:t>
      </w:r>
      <w:r>
        <w:tab/>
      </w:r>
      <w:r>
        <w:fldChar w:fldCharType="begin"/>
      </w:r>
      <w:r>
        <w:instrText xml:space="preserve"> PAGEREF _Toc100567971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Review of decisions of the Commissioner</w:t>
      </w:r>
    </w:p>
    <w:p>
      <w:pPr>
        <w:pStyle w:val="TOC8"/>
        <w:rPr>
          <w:rFonts w:asciiTheme="minorHAnsi" w:eastAsiaTheme="minorEastAsia" w:hAnsiTheme="minorHAnsi" w:cstheme="minorBidi"/>
          <w:szCs w:val="22"/>
        </w:rPr>
      </w:pPr>
      <w:r>
        <w:t>23.</w:t>
      </w:r>
      <w:r>
        <w:tab/>
      </w:r>
      <w:r>
        <w:rPr>
          <w:snapToGrid w:val="0"/>
        </w:rPr>
        <w:t>Application for review</w:t>
      </w:r>
      <w:r>
        <w:tab/>
      </w:r>
      <w:r>
        <w:fldChar w:fldCharType="begin"/>
      </w:r>
      <w:r>
        <w:instrText xml:space="preserve"> PAGEREF _Toc100567973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24</w:t>
      </w:r>
      <w:r>
        <w:rPr>
          <w:snapToGrid w:val="0"/>
        </w:rPr>
        <w:t>.</w:t>
      </w:r>
      <w:r>
        <w:rPr>
          <w:snapToGrid w:val="0"/>
        </w:rPr>
        <w:tab/>
        <w:t>Application</w:t>
      </w:r>
      <w:r>
        <w:tab/>
      </w:r>
      <w:r>
        <w:fldChar w:fldCharType="begin"/>
      </w:r>
      <w:r>
        <w:instrText xml:space="preserve"> PAGEREF _Toc100567975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Objections</w:t>
      </w:r>
      <w:r>
        <w:tab/>
      </w:r>
      <w:r>
        <w:fldChar w:fldCharType="begin"/>
      </w:r>
      <w:r>
        <w:instrText xml:space="preserve"> PAGEREF _Toc100567976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Finance brokers to be licensed</w:t>
      </w:r>
      <w:r>
        <w:tab/>
      </w:r>
      <w:r>
        <w:fldChar w:fldCharType="begin"/>
      </w:r>
      <w:r>
        <w:instrText xml:space="preserve"> PAGEREF _Toc100567977 \h </w:instrText>
      </w:r>
      <w:r>
        <w:fldChar w:fldCharType="separate"/>
      </w:r>
      <w:r>
        <w:t>22</w:t>
      </w:r>
      <w:r>
        <w:fldChar w:fldCharType="end"/>
      </w:r>
    </w:p>
    <w:p>
      <w:pPr>
        <w:pStyle w:val="TOC8"/>
        <w:rPr>
          <w:rFonts w:asciiTheme="minorHAnsi" w:eastAsiaTheme="minorEastAsia" w:hAnsiTheme="minorHAnsi" w:cstheme="minorBidi"/>
          <w:szCs w:val="22"/>
        </w:rPr>
      </w:pPr>
      <w:r>
        <w:t>27A.</w:t>
      </w:r>
      <w:r>
        <w:tab/>
        <w:t>No further grants of licences</w:t>
      </w:r>
      <w:r>
        <w:tab/>
      </w:r>
      <w:r>
        <w:fldChar w:fldCharType="begin"/>
      </w:r>
      <w:r>
        <w:instrText xml:space="preserve"> PAGEREF _Toc100567978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licence to natural person</w:t>
      </w:r>
      <w:r>
        <w:tab/>
      </w:r>
      <w:r>
        <w:fldChar w:fldCharType="begin"/>
      </w:r>
      <w:r>
        <w:instrText xml:space="preserve"> PAGEREF _Toc100567979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Grant of licence to firm</w:t>
      </w:r>
      <w:r>
        <w:tab/>
      </w:r>
      <w:r>
        <w:fldChar w:fldCharType="begin"/>
      </w:r>
      <w:r>
        <w:instrText xml:space="preserve"> PAGEREF _Toc100567980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 of licence to body corporate</w:t>
      </w:r>
      <w:r>
        <w:tab/>
      </w:r>
      <w:r>
        <w:fldChar w:fldCharType="begin"/>
      </w:r>
      <w:r>
        <w:instrText xml:space="preserve"> PAGEREF _Toc100567981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Effect of licence</w:t>
      </w:r>
      <w:r>
        <w:tab/>
      </w:r>
      <w:r>
        <w:fldChar w:fldCharType="begin"/>
      </w:r>
      <w:r>
        <w:instrText xml:space="preserve"> PAGEREF _Toc100567982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Duration of licence</w:t>
      </w:r>
      <w:r>
        <w:tab/>
      </w:r>
      <w:r>
        <w:fldChar w:fldCharType="begin"/>
      </w:r>
      <w:r>
        <w:instrText xml:space="preserve"> PAGEREF _Toc100567983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Applications for renewals</w:t>
      </w:r>
      <w:r>
        <w:tab/>
      </w:r>
      <w:r>
        <w:fldChar w:fldCharType="begin"/>
      </w:r>
      <w:r>
        <w:instrText xml:space="preserve"> PAGEREF _Toc100567984 \h </w:instrText>
      </w:r>
      <w:r>
        <w:fldChar w:fldCharType="separate"/>
      </w:r>
      <w:r>
        <w:t>26</w:t>
      </w:r>
      <w:r>
        <w:fldChar w:fldCharType="end"/>
      </w:r>
    </w:p>
    <w:p>
      <w:pPr>
        <w:pStyle w:val="TOC8"/>
        <w:rPr>
          <w:rFonts w:asciiTheme="minorHAnsi" w:eastAsiaTheme="minorEastAsia" w:hAnsiTheme="minorHAnsi" w:cstheme="minorBidi"/>
          <w:szCs w:val="22"/>
        </w:rPr>
      </w:pPr>
      <w:r>
        <w:t>33.</w:t>
      </w:r>
      <w:r>
        <w:tab/>
        <w:t>Refusal to renew</w:t>
      </w:r>
      <w:r>
        <w:tab/>
      </w:r>
      <w:r>
        <w:fldChar w:fldCharType="begin"/>
      </w:r>
      <w:r>
        <w:instrText xml:space="preserve"> PAGEREF _Toc100567985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Conditions on licences</w:t>
      </w:r>
      <w:r>
        <w:tab/>
      </w:r>
      <w:r>
        <w:fldChar w:fldCharType="begin"/>
      </w:r>
      <w:r>
        <w:instrText xml:space="preserve"> PAGEREF _Toc100567986 \h </w:instrText>
      </w:r>
      <w:r>
        <w:fldChar w:fldCharType="separate"/>
      </w:r>
      <w:r>
        <w:t>28</w:t>
      </w:r>
      <w:r>
        <w:fldChar w:fldCharType="end"/>
      </w:r>
    </w:p>
    <w:p>
      <w:pPr>
        <w:pStyle w:val="TOC8"/>
        <w:rPr>
          <w:rFonts w:asciiTheme="minorHAnsi" w:eastAsiaTheme="minorEastAsia" w:hAnsiTheme="minorHAnsi" w:cstheme="minorBidi"/>
          <w:szCs w:val="22"/>
        </w:rPr>
      </w:pPr>
      <w:r>
        <w:t>34B.</w:t>
      </w:r>
      <w:r>
        <w:tab/>
        <w:t>Suspension of licence by State Administrative Tribunal</w:t>
      </w:r>
      <w:r>
        <w:tab/>
      </w:r>
      <w:r>
        <w:fldChar w:fldCharType="begin"/>
      </w:r>
      <w:r>
        <w:instrText xml:space="preserve"> PAGEREF _Toc100567987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Bond or guarantee in respect of licence</w:t>
      </w:r>
      <w:r>
        <w:tab/>
      </w:r>
      <w:r>
        <w:fldChar w:fldCharType="begin"/>
      </w:r>
      <w:r>
        <w:instrText xml:space="preserve"> PAGEREF _Toc100567988 \h </w:instrText>
      </w:r>
      <w:r>
        <w:fldChar w:fldCharType="separate"/>
      </w:r>
      <w:r>
        <w:t>29</w:t>
      </w:r>
      <w:r>
        <w:fldChar w:fldCharType="end"/>
      </w:r>
    </w:p>
    <w:p>
      <w:pPr>
        <w:pStyle w:val="TOC8"/>
        <w:rPr>
          <w:rFonts w:asciiTheme="minorHAnsi" w:eastAsiaTheme="minorEastAsia" w:hAnsiTheme="minorHAnsi" w:cstheme="minorBidi"/>
          <w:szCs w:val="22"/>
        </w:rPr>
      </w:pPr>
      <w:r>
        <w:t>35A.</w:t>
      </w:r>
      <w:r>
        <w:tab/>
        <w:t>Prescribed person exempt from bond requirements</w:t>
      </w:r>
      <w:r>
        <w:tab/>
      </w:r>
      <w:r>
        <w:fldChar w:fldCharType="begin"/>
      </w:r>
      <w:r>
        <w:instrText xml:space="preserve"> PAGEREF _Toc100567989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Licence not transferable</w:t>
      </w:r>
      <w:r>
        <w:tab/>
      </w:r>
      <w:r>
        <w:fldChar w:fldCharType="begin"/>
      </w:r>
      <w:r>
        <w:instrText xml:space="preserve"> PAGEREF _Toc100567990 \h </w:instrText>
      </w:r>
      <w:r>
        <w:fldChar w:fldCharType="separate"/>
      </w:r>
      <w:r>
        <w:t>31</w:t>
      </w:r>
      <w:r>
        <w:fldChar w:fldCharType="end"/>
      </w:r>
    </w:p>
    <w:p>
      <w:pPr>
        <w:pStyle w:val="TOC8"/>
        <w:rPr>
          <w:rFonts w:asciiTheme="minorHAnsi" w:eastAsiaTheme="minorEastAsia" w:hAnsiTheme="minorHAnsi" w:cstheme="minorBidi"/>
          <w:szCs w:val="22"/>
        </w:rPr>
      </w:pPr>
      <w:r>
        <w:t>40A.</w:t>
      </w:r>
      <w:r>
        <w:tab/>
        <w:t>Prohibition against doing business with unlicensed finance brokers</w:t>
      </w:r>
      <w:r>
        <w:tab/>
      </w:r>
      <w:r>
        <w:fldChar w:fldCharType="begin"/>
      </w:r>
      <w:r>
        <w:instrText xml:space="preserve"> PAGEREF _Toc100567991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Use of business name</w:t>
      </w:r>
      <w:r>
        <w:tab/>
      </w:r>
      <w:r>
        <w:fldChar w:fldCharType="begin"/>
      </w:r>
      <w:r>
        <w:instrText xml:space="preserve"> PAGEREF _Toc100567992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be exhibited</w:t>
      </w:r>
      <w:r>
        <w:tab/>
      </w:r>
      <w:r>
        <w:fldChar w:fldCharType="begin"/>
      </w:r>
      <w:r>
        <w:instrText xml:space="preserve"> PAGEREF _Toc100567993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IV — Controls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43</w:t>
      </w:r>
      <w:r>
        <w:rPr>
          <w:snapToGrid w:val="0"/>
        </w:rPr>
        <w:t>.</w:t>
      </w:r>
      <w:r>
        <w:rPr>
          <w:snapToGrid w:val="0"/>
        </w:rPr>
        <w:tab/>
        <w:t>Disability of unlicensed person</w:t>
      </w:r>
      <w:r>
        <w:tab/>
      </w:r>
      <w:r>
        <w:fldChar w:fldCharType="begin"/>
      </w:r>
      <w:r>
        <w:instrText xml:space="preserve"> PAGEREF _Toc100567996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Remuneration of finance brokers</w:t>
      </w:r>
      <w:r>
        <w:tab/>
      </w:r>
      <w:r>
        <w:fldChar w:fldCharType="begin"/>
      </w:r>
      <w:r>
        <w:instrText xml:space="preserve"> PAGEREF _Toc100567997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Advertisements by licensees</w:t>
      </w:r>
      <w:r>
        <w:tab/>
      </w:r>
      <w:r>
        <w:fldChar w:fldCharType="begin"/>
      </w:r>
      <w:r>
        <w:instrText xml:space="preserve"> PAGEREF _Toc100567998 \h </w:instrText>
      </w:r>
      <w:r>
        <w:fldChar w:fldCharType="separate"/>
      </w:r>
      <w:r>
        <w:t>36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Copy of loan documents</w:t>
      </w:r>
      <w:r>
        <w:tab/>
      </w:r>
      <w:r>
        <w:fldChar w:fldCharType="begin"/>
      </w:r>
      <w:r>
        <w:instrText xml:space="preserve"> PAGEREF _Toc100567999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Trust accounts</w:t>
      </w:r>
    </w:p>
    <w:p>
      <w:pPr>
        <w:pStyle w:val="TOC8"/>
        <w:rPr>
          <w:rFonts w:asciiTheme="minorHAnsi" w:eastAsiaTheme="minorEastAsia" w:hAnsiTheme="minorHAnsi" w:cstheme="minorBidi"/>
          <w:szCs w:val="22"/>
        </w:rPr>
      </w:pPr>
      <w:r>
        <w:t>47</w:t>
      </w:r>
      <w:r>
        <w:rPr>
          <w:snapToGrid w:val="0"/>
        </w:rPr>
        <w:t>.</w:t>
      </w:r>
      <w:r>
        <w:rPr>
          <w:snapToGrid w:val="0"/>
        </w:rPr>
        <w:tab/>
        <w:t>Terms used</w:t>
      </w:r>
      <w:r>
        <w:tab/>
      </w:r>
      <w:r>
        <w:fldChar w:fldCharType="begin"/>
      </w:r>
      <w:r>
        <w:instrText xml:space="preserve"> PAGEREF _Toc100568001 \h </w:instrText>
      </w:r>
      <w:r>
        <w:fldChar w:fldCharType="separate"/>
      </w:r>
      <w:r>
        <w:t>37</w:t>
      </w:r>
      <w:r>
        <w:fldChar w:fldCharType="end"/>
      </w:r>
    </w:p>
    <w:p>
      <w:pPr>
        <w:pStyle w:val="TOC8"/>
        <w:rPr>
          <w:rFonts w:asciiTheme="minorHAnsi" w:eastAsiaTheme="minorEastAsia" w:hAnsiTheme="minorHAnsi" w:cstheme="minorBidi"/>
          <w:szCs w:val="22"/>
        </w:rPr>
      </w:pPr>
      <w:r>
        <w:lastRenderedPageBreak/>
        <w:t>48</w:t>
      </w:r>
      <w:r>
        <w:rPr>
          <w:snapToGrid w:val="0"/>
        </w:rPr>
        <w:t>.</w:t>
      </w:r>
      <w:r>
        <w:rPr>
          <w:snapToGrid w:val="0"/>
        </w:rPr>
        <w:tab/>
        <w:t>Trust accounts</w:t>
      </w:r>
      <w:r>
        <w:tab/>
      </w:r>
      <w:r>
        <w:fldChar w:fldCharType="begin"/>
      </w:r>
      <w:r>
        <w:instrText xml:space="preserve"> PAGEREF _Toc100568002 \h </w:instrText>
      </w:r>
      <w:r>
        <w:fldChar w:fldCharType="separate"/>
      </w:r>
      <w:r>
        <w:t>37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Receipts and accounting to principal</w:t>
      </w:r>
      <w:r>
        <w:tab/>
      </w:r>
      <w:r>
        <w:fldChar w:fldCharType="begin"/>
      </w:r>
      <w:r>
        <w:instrText xml:space="preserve"> PAGEREF _Toc100568003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Duty of finance broker to have trust accounts audited</w:t>
      </w:r>
      <w:r>
        <w:tab/>
      </w:r>
      <w:r>
        <w:fldChar w:fldCharType="begin"/>
      </w:r>
      <w:r>
        <w:instrText xml:space="preserve"> PAGEREF _Toc100568004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Variation of date of audit</w:t>
      </w:r>
      <w:r>
        <w:tab/>
      </w:r>
      <w:r>
        <w:fldChar w:fldCharType="begin"/>
      </w:r>
      <w:r>
        <w:instrText xml:space="preserve"> PAGEREF _Toc100568005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Qualification and approval of auditors</w:t>
      </w:r>
      <w:r>
        <w:tab/>
      </w:r>
      <w:r>
        <w:fldChar w:fldCharType="begin"/>
      </w:r>
      <w:r>
        <w:instrText xml:space="preserve"> PAGEREF _Toc100568006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 of auditor</w:t>
      </w:r>
      <w:r>
        <w:tab/>
      </w:r>
      <w:r>
        <w:fldChar w:fldCharType="begin"/>
      </w:r>
      <w:r>
        <w:instrText xml:space="preserve"> PAGEREF _Toc100568007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give directions for audit of business carried on at more than one place</w:t>
      </w:r>
      <w:r>
        <w:tab/>
      </w:r>
      <w:r>
        <w:fldChar w:fldCharType="begin"/>
      </w:r>
      <w:r>
        <w:instrText xml:space="preserve"> PAGEREF _Toc100568008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Alteration of rights under this Division</w:t>
      </w:r>
      <w:r>
        <w:tab/>
      </w:r>
      <w:r>
        <w:fldChar w:fldCharType="begin"/>
      </w:r>
      <w:r>
        <w:instrText xml:space="preserve"> PAGEREF _Toc100568009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Duties of finance brokers with respect to audit</w:t>
      </w:r>
      <w:r>
        <w:tab/>
      </w:r>
      <w:r>
        <w:fldChar w:fldCharType="begin"/>
      </w:r>
      <w:r>
        <w:instrText xml:space="preserve"> PAGEREF _Toc100568010 \h </w:instrText>
      </w:r>
      <w:r>
        <w:fldChar w:fldCharType="separate"/>
      </w:r>
      <w:r>
        <w:t>44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banker with respect to audit</w:t>
      </w:r>
      <w:r>
        <w:tab/>
      </w:r>
      <w:r>
        <w:fldChar w:fldCharType="begin"/>
      </w:r>
      <w:r>
        <w:instrText xml:space="preserve"> PAGEREF _Toc100568011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Contents of auditor’s report</w:t>
      </w:r>
      <w:r>
        <w:tab/>
      </w:r>
      <w:r>
        <w:fldChar w:fldCharType="begin"/>
      </w:r>
      <w:r>
        <w:instrText xml:space="preserve"> PAGEREF _Toc100568012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Statement of moneys etc. held by finance broker for or on behalf of other persons</w:t>
      </w:r>
      <w:r>
        <w:tab/>
      </w:r>
      <w:r>
        <w:fldChar w:fldCharType="begin"/>
      </w:r>
      <w:r>
        <w:instrText xml:space="preserve"> PAGEREF _Toc100568013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Auditor’s report where finance broker has not complied with Act etc.</w:t>
      </w:r>
      <w:r>
        <w:tab/>
      </w:r>
      <w:r>
        <w:fldChar w:fldCharType="begin"/>
      </w:r>
      <w:r>
        <w:instrText xml:space="preserve"> PAGEREF _Toc100568014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Non</w:t>
      </w:r>
      <w:r>
        <w:rPr>
          <w:snapToGrid w:val="0"/>
        </w:rPr>
        <w:noBreakHyphen/>
        <w:t>disclosure by auditors</w:t>
      </w:r>
      <w:r>
        <w:tab/>
      </w:r>
      <w:r>
        <w:fldChar w:fldCharType="begin"/>
      </w:r>
      <w:r>
        <w:instrText xml:space="preserve"> PAGEREF _Toc100568015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Right of persons beneficially interested to obtain information</w:t>
      </w:r>
      <w:r>
        <w:tab/>
      </w:r>
      <w:r>
        <w:fldChar w:fldCharType="begin"/>
      </w:r>
      <w:r>
        <w:instrText xml:space="preserve"> PAGEREF _Toc100568016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Penalty for breach</w:t>
      </w:r>
      <w:r>
        <w:tab/>
      </w:r>
      <w:r>
        <w:fldChar w:fldCharType="begin"/>
      </w:r>
      <w:r>
        <w:instrText xml:space="preserve"> PAGEREF _Toc100568017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Remuneration of auditor</w:t>
      </w:r>
      <w:r>
        <w:tab/>
      </w:r>
      <w:r>
        <w:fldChar w:fldCharType="begin"/>
      </w:r>
      <w:r>
        <w:instrText xml:space="preserve"> PAGEREF _Toc100568018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Finance brokers having no accounts to audit</w:t>
      </w:r>
      <w:r>
        <w:tab/>
      </w:r>
      <w:r>
        <w:fldChar w:fldCharType="begin"/>
      </w:r>
      <w:r>
        <w:instrText xml:space="preserve"> PAGEREF _Toc100568019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Accounts of firm or body corporate or finance broker with branch office</w:t>
      </w:r>
      <w:r>
        <w:tab/>
      </w:r>
      <w:r>
        <w:fldChar w:fldCharType="begin"/>
      </w:r>
      <w:r>
        <w:instrText xml:space="preserve"> PAGEREF _Toc100568020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Power of Commissioner to order audit of trust account</w:t>
      </w:r>
      <w:r>
        <w:tab/>
      </w:r>
      <w:r>
        <w:fldChar w:fldCharType="begin"/>
      </w:r>
      <w:r>
        <w:instrText xml:space="preserve"> PAGEREF _Toc100568021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Finance broker to produce books etc. to auditor</w:t>
      </w:r>
      <w:r>
        <w:tab/>
      </w:r>
      <w:r>
        <w:fldChar w:fldCharType="begin"/>
      </w:r>
      <w:r>
        <w:instrText xml:space="preserve"> PAGEREF _Toc100568022 \h </w:instrText>
      </w:r>
      <w:r>
        <w:fldChar w:fldCharType="separate"/>
      </w:r>
      <w:r>
        <w:t>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Cost of audit</w:t>
      </w:r>
      <w:r>
        <w:tab/>
      </w:r>
      <w:r>
        <w:fldChar w:fldCharType="begin"/>
      </w:r>
      <w:r>
        <w:instrText xml:space="preserve"> PAGEREF _Toc100568023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Application of s. 62</w:t>
      </w:r>
      <w:r>
        <w:tab/>
      </w:r>
      <w:r>
        <w:fldChar w:fldCharType="begin"/>
      </w:r>
      <w:r>
        <w:instrText xml:space="preserve"> PAGEREF _Toc100568024 \h </w:instrText>
      </w:r>
      <w:r>
        <w:fldChar w:fldCharType="separate"/>
      </w:r>
      <w:r>
        <w:t>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Power of restraining dealing with trust accounts or other accounts</w:t>
      </w:r>
      <w:r>
        <w:tab/>
      </w:r>
      <w:r>
        <w:fldChar w:fldCharType="begin"/>
      </w:r>
      <w:r>
        <w:instrText xml:space="preserve"> PAGEREF _Toc100568025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Discipline</w:t>
      </w:r>
    </w:p>
    <w:p>
      <w:pPr>
        <w:pStyle w:val="TOC8"/>
        <w:rPr>
          <w:rFonts w:asciiTheme="minorHAnsi" w:eastAsiaTheme="minorEastAsia" w:hAnsiTheme="minorHAnsi" w:cstheme="minorBidi"/>
          <w:szCs w:val="22"/>
        </w:rPr>
      </w:pPr>
      <w:r>
        <w:t>81</w:t>
      </w:r>
      <w:r>
        <w:rPr>
          <w:snapToGrid w:val="0"/>
        </w:rPr>
        <w:t>.</w:t>
      </w:r>
      <w:r>
        <w:rPr>
          <w:snapToGrid w:val="0"/>
        </w:rPr>
        <w:tab/>
        <w:t>Code of conduct for finance brokers</w:t>
      </w:r>
      <w:r>
        <w:tab/>
      </w:r>
      <w:r>
        <w:fldChar w:fldCharType="begin"/>
      </w:r>
      <w:r>
        <w:instrText xml:space="preserve"> PAGEREF _Toc100568027 \h </w:instrText>
      </w:r>
      <w:r>
        <w:fldChar w:fldCharType="separate"/>
      </w:r>
      <w:r>
        <w:t>52</w:t>
      </w:r>
      <w:r>
        <w:fldChar w:fldCharType="end"/>
      </w:r>
    </w:p>
    <w:p>
      <w:pPr>
        <w:pStyle w:val="TOC8"/>
        <w:rPr>
          <w:rFonts w:asciiTheme="minorHAnsi" w:eastAsiaTheme="minorEastAsia" w:hAnsiTheme="minorHAnsi" w:cstheme="minorBidi"/>
          <w:szCs w:val="22"/>
        </w:rPr>
      </w:pPr>
      <w:r>
        <w:t>82.</w:t>
      </w:r>
      <w:r>
        <w:tab/>
        <w:t>Dis</w:t>
      </w:r>
      <w:r>
        <w:rPr>
          <w:snapToGrid w:val="0"/>
        </w:rPr>
        <w:t>ciplinary proceedings against finance brokers</w:t>
      </w:r>
      <w:r>
        <w:tab/>
      </w:r>
      <w:r>
        <w:fldChar w:fldCharType="begin"/>
      </w:r>
      <w:r>
        <w:instrText xml:space="preserve"> PAGEREF _Toc100568028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Powers on inquiry</w:t>
      </w:r>
      <w:r>
        <w:tab/>
      </w:r>
      <w:r>
        <w:fldChar w:fldCharType="begin"/>
      </w:r>
      <w:r>
        <w:instrText xml:space="preserve"> PAGEREF _Toc100568029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85</w:t>
      </w:r>
      <w:r>
        <w:rPr>
          <w:snapToGrid w:val="0"/>
        </w:rPr>
        <w:t>.</w:t>
      </w:r>
      <w:r>
        <w:rPr>
          <w:snapToGrid w:val="0"/>
        </w:rPr>
        <w:tab/>
        <w:t>Certificates</w:t>
      </w:r>
      <w:r>
        <w:tab/>
      </w:r>
      <w:r>
        <w:fldChar w:fldCharType="begin"/>
      </w:r>
      <w:r>
        <w:instrText xml:space="preserve"> PAGEREF _Toc100568031 \h </w:instrText>
      </w:r>
      <w:r>
        <w:fldChar w:fldCharType="separate"/>
      </w:r>
      <w:r>
        <w:t>54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Immunity of officers</w:t>
      </w:r>
      <w:r>
        <w:tab/>
      </w:r>
      <w:r>
        <w:fldChar w:fldCharType="begin"/>
      </w:r>
      <w:r>
        <w:instrText xml:space="preserve"> PAGEREF _Toc100568032 \h </w:instrText>
      </w:r>
      <w:r>
        <w:fldChar w:fldCharType="separate"/>
      </w:r>
      <w:r>
        <w:t>54</w:t>
      </w:r>
      <w:r>
        <w:fldChar w:fldCharType="end"/>
      </w:r>
    </w:p>
    <w:p>
      <w:pPr>
        <w:pStyle w:val="TOC8"/>
        <w:rPr>
          <w:rFonts w:asciiTheme="minorHAnsi" w:eastAsiaTheme="minorEastAsia" w:hAnsiTheme="minorHAnsi" w:cstheme="minorBidi"/>
          <w:szCs w:val="22"/>
        </w:rPr>
      </w:pPr>
      <w:r>
        <w:lastRenderedPageBreak/>
        <w:t>88.</w:t>
      </w:r>
      <w:r>
        <w:tab/>
        <w:t>Secrecy</w:t>
      </w:r>
      <w:r>
        <w:tab/>
      </w:r>
      <w:r>
        <w:fldChar w:fldCharType="begin"/>
      </w:r>
      <w:r>
        <w:instrText xml:space="preserve"> PAGEREF _Toc100568033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Liability of directors of body corporate</w:t>
      </w:r>
      <w:r>
        <w:tab/>
      </w:r>
      <w:r>
        <w:fldChar w:fldCharType="begin"/>
      </w:r>
      <w:r>
        <w:instrText xml:space="preserve"> PAGEREF _Toc100568034 \h </w:instrText>
      </w:r>
      <w:r>
        <w:fldChar w:fldCharType="separate"/>
      </w:r>
      <w:r>
        <w:t>56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Other rights or remedies</w:t>
      </w:r>
      <w:r>
        <w:tab/>
      </w:r>
      <w:r>
        <w:fldChar w:fldCharType="begin"/>
      </w:r>
      <w:r>
        <w:instrText xml:space="preserve"> PAGEREF _Toc100568035 \h </w:instrText>
      </w:r>
      <w:r>
        <w:fldChar w:fldCharType="separate"/>
      </w:r>
      <w:r>
        <w:t>56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No waiver of rights</w:t>
      </w:r>
      <w:r>
        <w:tab/>
      </w:r>
      <w:r>
        <w:fldChar w:fldCharType="begin"/>
      </w:r>
      <w:r>
        <w:instrText xml:space="preserve"> PAGEREF _Toc100568036 \h </w:instrText>
      </w:r>
      <w:r>
        <w:fldChar w:fldCharType="separate"/>
      </w:r>
      <w:r>
        <w:t>56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General penalty</w:t>
      </w:r>
      <w:r>
        <w:tab/>
      </w:r>
      <w:r>
        <w:fldChar w:fldCharType="begin"/>
      </w:r>
      <w:r>
        <w:instrText xml:space="preserve"> PAGEREF _Toc100568037 \h </w:instrText>
      </w:r>
      <w:r>
        <w:fldChar w:fldCharType="separate"/>
      </w:r>
      <w:r>
        <w:t>56</w:t>
      </w:r>
      <w:r>
        <w:fldChar w:fldCharType="end"/>
      </w:r>
    </w:p>
    <w:p>
      <w:pPr>
        <w:pStyle w:val="TOC8"/>
        <w:rPr>
          <w:rFonts w:asciiTheme="minorHAnsi" w:eastAsiaTheme="minorEastAsia" w:hAnsiTheme="minorHAnsi" w:cstheme="minorBidi"/>
          <w:szCs w:val="22"/>
        </w:rPr>
      </w:pPr>
      <w:r>
        <w:t>92A.</w:t>
      </w:r>
      <w:r>
        <w:tab/>
        <w:t>Infringement notices</w:t>
      </w:r>
      <w:r>
        <w:tab/>
      </w:r>
      <w:r>
        <w:fldChar w:fldCharType="begin"/>
      </w:r>
      <w:r>
        <w:instrText xml:space="preserve"> PAGEREF _Toc100568038 \h </w:instrText>
      </w:r>
      <w:r>
        <w:fldChar w:fldCharType="separate"/>
      </w:r>
      <w:r>
        <w:t>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Proceedings</w:t>
      </w:r>
      <w:r>
        <w:tab/>
      </w:r>
      <w:r>
        <w:fldChar w:fldCharType="begin"/>
      </w:r>
      <w:r>
        <w:instrText xml:space="preserve"> PAGEREF _Toc100568039 \h </w:instrText>
      </w:r>
      <w:r>
        <w:fldChar w:fldCharType="separate"/>
      </w:r>
      <w:r>
        <w:t>58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Forms</w:t>
      </w:r>
      <w:r>
        <w:tab/>
      </w:r>
      <w:r>
        <w:fldChar w:fldCharType="begin"/>
      </w:r>
      <w:r>
        <w:instrText xml:space="preserve"> PAGEREF _Toc100568040 \h </w:instrText>
      </w:r>
      <w:r>
        <w:fldChar w:fldCharType="separate"/>
      </w:r>
      <w:r>
        <w:t>59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Regulations</w:t>
      </w:r>
      <w:r>
        <w:tab/>
      </w:r>
      <w:r>
        <w:fldChar w:fldCharType="begin"/>
      </w:r>
      <w:r>
        <w:instrText xml:space="preserve"> PAGEREF _Toc100568041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 Formula for calculating percentage rate of interest</w:t>
      </w:r>
    </w:p>
    <w:p>
      <w:pPr>
        <w:pStyle w:val="TOC8"/>
        <w:rPr>
          <w:rFonts w:asciiTheme="minorHAnsi" w:eastAsiaTheme="minorEastAsia" w:hAnsiTheme="minorHAnsi" w:cstheme="minorBidi"/>
          <w:szCs w:val="22"/>
        </w:rPr>
      </w:pPr>
      <w:r>
        <w:t>1</w:t>
      </w:r>
      <w:r>
        <w:rPr>
          <w:snapToGrid w:val="0"/>
        </w:rPr>
        <w:t>.</w:t>
      </w:r>
      <w:r>
        <w:rPr>
          <w:snapToGrid w:val="0"/>
        </w:rPr>
        <w:tab/>
        <w:t>Formula for calculating percentage rate of interest</w:t>
      </w:r>
      <w:r>
        <w:tab/>
      </w:r>
      <w:r>
        <w:fldChar w:fldCharType="begin"/>
      </w:r>
      <w:r>
        <w:instrText xml:space="preserve"> PAGEREF _Toc100568043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_Toc100568045 \h </w:instrText>
      </w:r>
      <w:r>
        <w:fldChar w:fldCharType="separate"/>
      </w:r>
      <w:r>
        <w:t>63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_Toc100568046 \h </w:instrText>
      </w:r>
      <w:r>
        <w:fldChar w:fldCharType="separate"/>
      </w:r>
      <w:r>
        <w:t>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_Toc100568047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3" w:name="_Toc100325583"/>
      <w:bookmarkStart w:id="4" w:name="_Toc100325689"/>
      <w:bookmarkStart w:id="5" w:name="_Toc100567943"/>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0567944"/>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w:t>
      </w:r>
    </w:p>
    <w:p>
      <w:pPr>
        <w:pStyle w:val="Heading5"/>
        <w:rPr>
          <w:snapToGrid w:val="0"/>
        </w:rPr>
      </w:pPr>
      <w:bookmarkStart w:id="7" w:name="_Toc100567945"/>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b/>
        </w:rPr>
        <w:t>3.</w:t>
      </w:r>
      <w:r>
        <w:tab/>
        <w:t>Deleted: No. 10 of 1998 s. 76.]</w:t>
      </w:r>
    </w:p>
    <w:p>
      <w:pPr>
        <w:pStyle w:val="Heading5"/>
        <w:rPr>
          <w:snapToGrid w:val="0"/>
        </w:rPr>
      </w:pPr>
      <w:bookmarkStart w:id="8" w:name="_Toc100567946"/>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1</w:t>
      </w:r>
      <w:r>
        <w:t>;</w:t>
      </w:r>
    </w:p>
    <w:p>
      <w:pPr>
        <w:pStyle w:val="Defstart"/>
      </w:pPr>
      <w:r>
        <w:rPr>
          <w:b/>
        </w:rPr>
        <w:tab/>
      </w:r>
      <w:r>
        <w:rPr>
          <w:rStyle w:val="CharDefText"/>
        </w:rPr>
        <w:t>approved</w:t>
      </w:r>
      <w:r>
        <w:t xml:space="preserve"> means approved by the Commissioner;</w:t>
      </w:r>
    </w:p>
    <w:p>
      <w:pPr>
        <w:pStyle w:val="Defstart"/>
      </w:pPr>
      <w:r>
        <w:rPr>
          <w:bCs/>
          <w:iCs/>
        </w:rPr>
        <w:tab/>
      </w:r>
      <w:r>
        <w:rPr>
          <w:rStyle w:val="CharDefText"/>
        </w:rPr>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lastRenderedPageBreak/>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the </w:t>
      </w:r>
      <w:r>
        <w:rPr>
          <w:i/>
          <w:iCs/>
        </w:rPr>
        <w:t>Road Traffic (Administration) Act 2008</w:t>
      </w:r>
      <w:r>
        <w:t xml:space="preserve"> section 4;</w:t>
      </w:r>
    </w:p>
    <w:p>
      <w:pPr>
        <w:pStyle w:val="Defstart"/>
      </w:pPr>
      <w:r>
        <w:rPr>
          <w:bCs/>
          <w:iCs/>
        </w:rPr>
        <w:tab/>
      </w:r>
      <w:r>
        <w:rPr>
          <w:rStyle w:val="CharDefText"/>
        </w:rPr>
        <w:t>referral day</w:t>
      </w:r>
      <w:r>
        <w:t xml:space="preserve"> means the day on which the </w:t>
      </w:r>
      <w:r>
        <w:rPr>
          <w:i/>
          <w:iCs/>
        </w:rPr>
        <w:t>Credit (Commonwealth Powers) Act 2010</w:t>
      </w:r>
      <w:r>
        <w:t xml:space="preserve"> section 5 comes into operation</w:t>
      </w:r>
      <w:r>
        <w:rPr>
          <w:vertAlign w:val="superscript"/>
        </w:rPr>
        <w:t> 2</w:t>
      </w:r>
      <w:r>
        <w:t>;</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No. 56 of 1995 s. 17; No. 26 of 1999 s. 79(2); No. 53 of 2004 s. 4; No. 55 of 2004 s. 341; No. 14 of 2010 s. 38; No. 8 of 2012 s. 105.] </w:t>
      </w:r>
    </w:p>
    <w:p>
      <w:pPr>
        <w:pStyle w:val="Heading5"/>
        <w:spacing w:before="600"/>
        <w:rPr>
          <w:snapToGrid w:val="0"/>
        </w:rPr>
      </w:pPr>
      <w:bookmarkStart w:id="9" w:name="_Toc100567947"/>
      <w:r>
        <w:rPr>
          <w:rStyle w:val="CharSectno"/>
        </w:rPr>
        <w:lastRenderedPageBreak/>
        <w:t>5</w:t>
      </w:r>
      <w:r>
        <w:rPr>
          <w:snapToGrid w:val="0"/>
        </w:rPr>
        <w:t>.</w:t>
      </w:r>
      <w:r>
        <w:rPr>
          <w:snapToGrid w:val="0"/>
        </w:rPr>
        <w:tab/>
        <w:t xml:space="preserve">Exceptions to </w:t>
      </w:r>
      <w:r>
        <w:rPr>
          <w:i/>
          <w:snapToGrid w:val="0"/>
        </w:rPr>
        <w:t>finance broker</w:t>
      </w:r>
      <w:bookmarkEnd w:id="9"/>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 and</w:t>
      </w:r>
    </w:p>
    <w:p>
      <w:pPr>
        <w:pStyle w:val="Indenta"/>
      </w:pPr>
      <w:r>
        <w:tab/>
        <w:t>(aa)</w:t>
      </w:r>
      <w:r>
        <w:tab/>
        <w:t xml:space="preserve">a corporation that is a friendly society within the meaning of section 16C of the </w:t>
      </w:r>
      <w:r>
        <w:rPr>
          <w:i/>
        </w:rPr>
        <w:t>Life Insurance Act 1995</w:t>
      </w:r>
      <w:r>
        <w:t xml:space="preserve"> of the Commonwealth; and</w:t>
      </w:r>
    </w:p>
    <w:p>
      <w:pPr>
        <w:pStyle w:val="Indenta"/>
      </w:pPr>
      <w:r>
        <w:tab/>
        <w:t>(ab)</w:t>
      </w:r>
      <w:r>
        <w:tab/>
        <w:t>an insurance company authorised under any law of the Commonwealth or State to carry on insurance business; and</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 and</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and</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 and</w:t>
      </w:r>
    </w:p>
    <w:p>
      <w:pPr>
        <w:pStyle w:val="Indenta"/>
        <w:rPr>
          <w:snapToGrid w:val="0"/>
        </w:rPr>
      </w:pPr>
      <w:r>
        <w:rPr>
          <w:snapToGrid w:val="0"/>
        </w:rPr>
        <w:lastRenderedPageBreak/>
        <w:tab/>
        <w:t>(e)</w:t>
      </w:r>
      <w:r>
        <w:rPr>
          <w:snapToGrid w:val="0"/>
        </w:rPr>
        <w:tab/>
        <w:t>a body corporate authorised by the law of any State, or of a Territory, of the Commonwealth to take in its own name, a grant of probate or of letters of administration of the estate of a deceased person; and</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 and</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No. 10 of 1982 s. 28; No. 26 of 1999 s. 79(3); No. 12 of 2001 s. 51; No. 21 of 2003 s. 13; No. 65 of 2003 s. 35(2); No. 53 of 2004 s. 5; No. 17 of 2005 s. 27; No. 21 of 2008 s. 664.] </w:t>
      </w:r>
    </w:p>
    <w:p>
      <w:pPr>
        <w:pStyle w:val="Heading2"/>
      </w:pPr>
      <w:bookmarkStart w:id="10" w:name="_Toc100325588"/>
      <w:bookmarkStart w:id="11" w:name="_Toc100325694"/>
      <w:bookmarkStart w:id="12" w:name="_Toc100567948"/>
      <w:r>
        <w:rPr>
          <w:rStyle w:val="CharPartNo"/>
        </w:rPr>
        <w:lastRenderedPageBreak/>
        <w:t>Part II</w:t>
      </w:r>
      <w:r>
        <w:t> — </w:t>
      </w:r>
      <w:r>
        <w:rPr>
          <w:rStyle w:val="CharPartText"/>
        </w:rPr>
        <w:t>The Commissioner</w:t>
      </w:r>
      <w:bookmarkEnd w:id="10"/>
      <w:bookmarkEnd w:id="11"/>
      <w:bookmarkEnd w:id="12"/>
    </w:p>
    <w:p>
      <w:pPr>
        <w:pStyle w:val="Footnoteheading"/>
      </w:pPr>
      <w:r>
        <w:tab/>
        <w:t xml:space="preserve">[Heading inserted: No. 53 of 2004 s. 6.] </w:t>
      </w:r>
    </w:p>
    <w:p>
      <w:pPr>
        <w:pStyle w:val="Heading3"/>
        <w:rPr>
          <w:snapToGrid w:val="0"/>
        </w:rPr>
      </w:pPr>
      <w:bookmarkStart w:id="13" w:name="_Toc100325589"/>
      <w:bookmarkStart w:id="14" w:name="_Toc100325695"/>
      <w:bookmarkStart w:id="15" w:name="_Toc100567949"/>
      <w:r>
        <w:rPr>
          <w:rStyle w:val="CharDivNo"/>
        </w:rPr>
        <w:t>Division 1</w:t>
      </w:r>
      <w:r>
        <w:rPr>
          <w:snapToGrid w:val="0"/>
        </w:rPr>
        <w:t> — </w:t>
      </w:r>
      <w:r>
        <w:rPr>
          <w:rStyle w:val="CharDivText"/>
        </w:rPr>
        <w:t>General</w:t>
      </w:r>
      <w:bookmarkEnd w:id="13"/>
      <w:bookmarkEnd w:id="14"/>
      <w:bookmarkEnd w:id="15"/>
      <w:r>
        <w:rPr>
          <w:rStyle w:val="CharDivText"/>
        </w:rPr>
        <w:t xml:space="preserve"> </w:t>
      </w:r>
    </w:p>
    <w:p>
      <w:pPr>
        <w:pStyle w:val="Heading5"/>
      </w:pPr>
      <w:bookmarkStart w:id="16" w:name="_Toc100567950"/>
      <w:r>
        <w:rPr>
          <w:rStyle w:val="CharSectno"/>
        </w:rPr>
        <w:t>6</w:t>
      </w:r>
      <w:r>
        <w:t>.</w:t>
      </w:r>
      <w:r>
        <w:tab/>
        <w:t>Commissioner</w:t>
      </w:r>
      <w:bookmarkEnd w:id="16"/>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No. 53 of 2004 s. 7.] </w:t>
      </w:r>
    </w:p>
    <w:p>
      <w:pPr>
        <w:pStyle w:val="Heading5"/>
      </w:pPr>
      <w:bookmarkStart w:id="17" w:name="_Toc100567951"/>
      <w:r>
        <w:rPr>
          <w:rStyle w:val="CharSectno"/>
        </w:rPr>
        <w:t>7</w:t>
      </w:r>
      <w:r>
        <w:t>.</w:t>
      </w:r>
      <w:r>
        <w:tab/>
        <w:t>General functions of Commissioner</w:t>
      </w:r>
      <w:bookmarkEnd w:id="17"/>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conduct and promote education and provide advisory services for persons who are licensed under this Act, or </w:t>
      </w:r>
      <w:r>
        <w:rPr>
          <w:snapToGrid w:val="0"/>
        </w:rPr>
        <w:lastRenderedPageBreak/>
        <w:t>involved in the administration of this Act, and for members of the public on — </w:t>
      </w:r>
    </w:p>
    <w:p>
      <w:pPr>
        <w:pStyle w:val="Indenti"/>
        <w:spacing w:before="60"/>
        <w:rPr>
          <w:snapToGrid w:val="0"/>
        </w:rPr>
      </w:pPr>
      <w:r>
        <w:rPr>
          <w:snapToGrid w:val="0"/>
        </w:rPr>
        <w:tab/>
        <w:t>(i)</w:t>
      </w:r>
      <w:r>
        <w:rPr>
          <w:snapToGrid w:val="0"/>
        </w:rPr>
        <w:tab/>
        <w:t>matters relating to the operation of this Act; or</w:t>
      </w:r>
    </w:p>
    <w:p>
      <w:pPr>
        <w:pStyle w:val="Indenti"/>
        <w:spacing w:before="60"/>
        <w:rPr>
          <w:snapToGrid w:val="0"/>
        </w:rPr>
      </w:pPr>
      <w:r>
        <w:rPr>
          <w:snapToGrid w:val="0"/>
        </w:rPr>
        <w:tab/>
        <w:t>(ii)</w:t>
      </w:r>
      <w:r>
        <w:rPr>
          <w:snapToGrid w:val="0"/>
        </w:rPr>
        <w:tab/>
        <w:t>matters relating to the policies of the Commissioner; or</w:t>
      </w:r>
    </w:p>
    <w:p>
      <w:pPr>
        <w:pStyle w:val="Indenti"/>
        <w:spacing w:before="60"/>
        <w:rPr>
          <w:snapToGrid w:val="0"/>
        </w:rPr>
      </w:pPr>
      <w:r>
        <w:rPr>
          <w:snapToGrid w:val="0"/>
        </w:rPr>
        <w:tab/>
        <w:t>(iii)</w:t>
      </w:r>
      <w:r>
        <w:rPr>
          <w:snapToGrid w:val="0"/>
        </w:rPr>
        <w:tab/>
        <w:t>matters relating to the operations of finance brokers;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(f)</w:t>
      </w:r>
      <w:r>
        <w:rPr>
          <w:snapToGrid w:val="0"/>
        </w:rPr>
        <w:tab/>
        <w:t>carry out such other functions as are conferred upon the Commissioner under this Act.</w:t>
      </w:r>
    </w:p>
    <w:p>
      <w:pPr>
        <w:pStyle w:val="Footnotesection"/>
        <w:spacing w:before="80"/>
      </w:pPr>
      <w:r>
        <w:tab/>
        <w:t xml:space="preserve">[Section 7 inserted: No. 53 of 2004 s. 7; amended: No. 14 of 2010 s. 39.] </w:t>
      </w:r>
    </w:p>
    <w:p>
      <w:pPr>
        <w:pStyle w:val="Heading5"/>
        <w:spacing w:before="200"/>
      </w:pPr>
      <w:bookmarkStart w:id="18" w:name="_Toc100567952"/>
      <w:r>
        <w:rPr>
          <w:rStyle w:val="CharSectno"/>
        </w:rPr>
        <w:t>8</w:t>
      </w:r>
      <w:r>
        <w:t>.</w:t>
      </w:r>
      <w:r>
        <w:tab/>
        <w:t>Commissioner may delegate</w:t>
      </w:r>
      <w:bookmarkEnd w:id="18"/>
      <w:r>
        <w:t xml:space="preserve"> </w:t>
      </w:r>
    </w:p>
    <w:p>
      <w:pPr>
        <w:pStyle w:val="Subsection"/>
        <w:spacing w:before="100"/>
      </w:pPr>
      <w:r>
        <w:tab/>
        <w:t>(1)</w:t>
      </w:r>
      <w:r>
        <w:tab/>
        <w:t>The Commissioner may delegate to a person any power or duty of the Commissioner under another provision of this Act, other than an investigative function under section 13.</w:t>
      </w:r>
    </w:p>
    <w:p>
      <w:pPr>
        <w:pStyle w:val="Subsection"/>
        <w:spacing w:before="100"/>
      </w:pPr>
      <w:r>
        <w:tab/>
        <w:t>(2)</w:t>
      </w:r>
      <w:r>
        <w:tab/>
        <w:t>The delegation must be in writing signed by the Commissioner.</w:t>
      </w:r>
    </w:p>
    <w:p>
      <w:pPr>
        <w:pStyle w:val="Subsection"/>
        <w:spacing w:before="100"/>
      </w:pPr>
      <w:r>
        <w:tab/>
        <w:t>(3)</w:t>
      </w:r>
      <w:r>
        <w:tab/>
        <w:t>A person to whom a power or duty is delegated under this section cannot delegate that power or duty.</w:t>
      </w:r>
    </w:p>
    <w:p>
      <w:pPr>
        <w:pStyle w:val="Subsection"/>
        <w:spacing w:before="100"/>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spacing w:before="100"/>
      </w:pPr>
      <w:r>
        <w:tab/>
        <w:t>(5)</w:t>
      </w:r>
      <w:r>
        <w:tab/>
        <w:t>A function performed by a delegate of the Commissioner is taken to be performed by the Commissioner.</w:t>
      </w:r>
    </w:p>
    <w:p>
      <w:pPr>
        <w:pStyle w:val="Subsection"/>
        <w:spacing w:before="100"/>
      </w:pPr>
      <w:r>
        <w:tab/>
        <w:t>(6)</w:t>
      </w:r>
      <w:r>
        <w:tab/>
        <w:t>Nothing in this section limits the ability of the Commissioner to perform a function through an officer or agent.</w:t>
      </w:r>
    </w:p>
    <w:p>
      <w:pPr>
        <w:pStyle w:val="Footnotesection"/>
        <w:spacing w:before="80"/>
      </w:pPr>
      <w:r>
        <w:tab/>
        <w:t xml:space="preserve">[Section 8 inserted: No. 53 of 2004 s. 7.] </w:t>
      </w:r>
    </w:p>
    <w:p>
      <w:pPr>
        <w:pStyle w:val="Heading5"/>
        <w:spacing w:before="200"/>
      </w:pPr>
      <w:bookmarkStart w:id="19" w:name="_Toc100567953"/>
      <w:r>
        <w:rPr>
          <w:rStyle w:val="CharSectno"/>
        </w:rPr>
        <w:t>9A</w:t>
      </w:r>
      <w:r>
        <w:t>.</w:t>
      </w:r>
      <w:r>
        <w:tab/>
        <w:t>Arrangements with ASIC</w:t>
      </w:r>
      <w:bookmarkEnd w:id="19"/>
    </w:p>
    <w:p>
      <w:pPr>
        <w:pStyle w:val="Subsection"/>
        <w:spacing w:before="100"/>
      </w:pPr>
      <w:r>
        <w:tab/>
        <w:t>(1)</w:t>
      </w:r>
      <w:r>
        <w:tab/>
        <w:t>The Commissioner may make an arrangement with ASIC about the conduct of any investigation under Division 2 or 2A, or the conduct of any proceedings under this Act.</w:t>
      </w:r>
    </w:p>
    <w:p>
      <w:pPr>
        <w:pStyle w:val="Subsection"/>
      </w:pPr>
      <w:r>
        <w:lastRenderedPageBreak/>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No. 14 of 2010 s. 40.]</w:t>
      </w:r>
    </w:p>
    <w:p>
      <w:pPr>
        <w:pStyle w:val="Heading5"/>
      </w:pPr>
      <w:bookmarkStart w:id="20" w:name="_Toc100567954"/>
      <w:r>
        <w:rPr>
          <w:rStyle w:val="CharSectno"/>
        </w:rPr>
        <w:t>9B</w:t>
      </w:r>
      <w:r>
        <w:t>.</w:t>
      </w:r>
      <w:r>
        <w:tab/>
        <w:t>Information</w:t>
      </w:r>
      <w:bookmarkEnd w:id="20"/>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No. 14 of 2010 s. 40.]</w:t>
      </w:r>
    </w:p>
    <w:p>
      <w:pPr>
        <w:pStyle w:val="Heading5"/>
      </w:pPr>
      <w:bookmarkStart w:id="21" w:name="_Toc100567955"/>
      <w:r>
        <w:rPr>
          <w:rStyle w:val="CharSectno"/>
        </w:rPr>
        <w:lastRenderedPageBreak/>
        <w:t>9</w:t>
      </w:r>
      <w:r>
        <w:t>.</w:t>
      </w:r>
      <w:r>
        <w:tab/>
        <w:t>Judicial notice</w:t>
      </w:r>
      <w:bookmarkEnd w:id="21"/>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No. 53 of 2004 s. 7.] </w:t>
      </w:r>
    </w:p>
    <w:p>
      <w:pPr>
        <w:pStyle w:val="Ednotesection"/>
      </w:pPr>
      <w:r>
        <w:t>[</w:t>
      </w:r>
      <w:r>
        <w:rPr>
          <w:b/>
          <w:bCs/>
        </w:rPr>
        <w:t>10</w:t>
      </w:r>
      <w:r>
        <w:rPr>
          <w:b/>
          <w:bCs/>
        </w:rPr>
        <w:noBreakHyphen/>
        <w:t>12.</w:t>
      </w:r>
      <w:r>
        <w:tab/>
        <w:t xml:space="preserve">Deleted: No. 53 of 2004 s. 7.] </w:t>
      </w:r>
    </w:p>
    <w:p>
      <w:pPr>
        <w:pStyle w:val="Heading3"/>
        <w:rPr>
          <w:snapToGrid w:val="0"/>
        </w:rPr>
      </w:pPr>
      <w:bookmarkStart w:id="22" w:name="_Toc100325596"/>
      <w:bookmarkStart w:id="23" w:name="_Toc100325702"/>
      <w:bookmarkStart w:id="24" w:name="_Toc100567956"/>
      <w:r>
        <w:rPr>
          <w:rStyle w:val="CharDivNo"/>
        </w:rPr>
        <w:t>Division 2</w:t>
      </w:r>
      <w:r>
        <w:rPr>
          <w:snapToGrid w:val="0"/>
        </w:rPr>
        <w:t> — </w:t>
      </w:r>
      <w:r>
        <w:rPr>
          <w:rStyle w:val="CharDivText"/>
        </w:rPr>
        <w:t>Powers of investigation and inquiry</w:t>
      </w:r>
      <w:bookmarkEnd w:id="22"/>
      <w:bookmarkEnd w:id="23"/>
      <w:bookmarkEnd w:id="24"/>
      <w:r>
        <w:rPr>
          <w:rStyle w:val="CharDivText"/>
        </w:rPr>
        <w:t xml:space="preserve"> </w:t>
      </w:r>
    </w:p>
    <w:p>
      <w:pPr>
        <w:pStyle w:val="Heading5"/>
        <w:rPr>
          <w:snapToGrid w:val="0"/>
        </w:rPr>
      </w:pPr>
      <w:bookmarkStart w:id="25" w:name="_Toc100567957"/>
      <w:r>
        <w:rPr>
          <w:rStyle w:val="CharSectno"/>
        </w:rPr>
        <w:t>13</w:t>
      </w:r>
      <w:r>
        <w:rPr>
          <w:snapToGrid w:val="0"/>
        </w:rPr>
        <w:t>.</w:t>
      </w:r>
      <w:r>
        <w:rPr>
          <w:snapToGrid w:val="0"/>
        </w:rPr>
        <w:tab/>
        <w:t>Investigation and inquiry by Commissioner</w:t>
      </w:r>
      <w:bookmarkEnd w:id="25"/>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 and</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No. 56 of 1995 s. 23(1); No. 53 of 2004 s. 8.] </w:t>
      </w:r>
    </w:p>
    <w:p>
      <w:pPr>
        <w:pStyle w:val="Heading5"/>
        <w:rPr>
          <w:snapToGrid w:val="0"/>
        </w:rPr>
      </w:pPr>
      <w:bookmarkStart w:id="26" w:name="_Toc100567958"/>
      <w:r>
        <w:rPr>
          <w:rStyle w:val="CharSectno"/>
        </w:rPr>
        <w:t>14</w:t>
      </w:r>
      <w:r>
        <w:rPr>
          <w:snapToGrid w:val="0"/>
        </w:rPr>
        <w:t>.</w:t>
      </w:r>
      <w:r>
        <w:rPr>
          <w:snapToGrid w:val="0"/>
        </w:rPr>
        <w:tab/>
        <w:t>Police investigations</w:t>
      </w:r>
      <w:bookmarkEnd w:id="26"/>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xml:space="preserve">, cause his officers to make an investigation or </w:t>
      </w:r>
      <w:r>
        <w:rPr>
          <w:snapToGrid w:val="0"/>
        </w:rPr>
        <w:lastRenderedPageBreak/>
        <w:t>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r>
        <w:tab/>
        <w:t xml:space="preserve">[Section 14 amended: No. 53 of 2004 s. 9.] </w:t>
      </w:r>
    </w:p>
    <w:p>
      <w:pPr>
        <w:pStyle w:val="Heading5"/>
      </w:pPr>
      <w:bookmarkStart w:id="27" w:name="_Toc100567959"/>
      <w:r>
        <w:rPr>
          <w:rStyle w:val="CharSectno"/>
        </w:rPr>
        <w:t>15</w:t>
      </w:r>
      <w:r>
        <w:t>.</w:t>
      </w:r>
      <w:r>
        <w:tab/>
        <w:t>Investigators</w:t>
      </w:r>
      <w:bookmarkEnd w:id="27"/>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No. 53 of 2004 s. 10.] </w:t>
      </w:r>
    </w:p>
    <w:p>
      <w:pPr>
        <w:pStyle w:val="Heading5"/>
      </w:pPr>
      <w:bookmarkStart w:id="28" w:name="_Toc100567960"/>
      <w:r>
        <w:rPr>
          <w:rStyle w:val="CharSectno"/>
        </w:rPr>
        <w:t>16</w:t>
      </w:r>
      <w:r>
        <w:t>.</w:t>
      </w:r>
      <w:r>
        <w:tab/>
        <w:t>Additional investigative powers</w:t>
      </w:r>
      <w:bookmarkEnd w:id="28"/>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No. 53 of 2004 s. 10.] </w:t>
      </w:r>
    </w:p>
    <w:p>
      <w:pPr>
        <w:pStyle w:val="Heading5"/>
      </w:pPr>
      <w:bookmarkStart w:id="29" w:name="_Toc100567961"/>
      <w:r>
        <w:rPr>
          <w:rStyle w:val="CharSectno"/>
        </w:rPr>
        <w:lastRenderedPageBreak/>
        <w:t>17</w:t>
      </w:r>
      <w:r>
        <w:t>.</w:t>
      </w:r>
      <w:r>
        <w:tab/>
        <w:t>Compliance checks at licensee’s business premises</w:t>
      </w:r>
      <w:bookmarkEnd w:id="29"/>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No. 53 of 2004 s. 10; amended: No. 14 of 2010 s. 41.]</w:t>
      </w:r>
    </w:p>
    <w:p>
      <w:pPr>
        <w:pStyle w:val="Heading3"/>
      </w:pPr>
      <w:bookmarkStart w:id="30" w:name="_Toc100325602"/>
      <w:bookmarkStart w:id="31" w:name="_Toc100325708"/>
      <w:bookmarkStart w:id="32" w:name="_Toc100567962"/>
      <w:r>
        <w:rPr>
          <w:rStyle w:val="CharDivNo"/>
        </w:rPr>
        <w:lastRenderedPageBreak/>
        <w:t>Division 2A</w:t>
      </w:r>
      <w:r>
        <w:t> — </w:t>
      </w:r>
      <w:r>
        <w:rPr>
          <w:rStyle w:val="CharDivText"/>
        </w:rPr>
        <w:t>Specific investigatory powers</w:t>
      </w:r>
      <w:bookmarkEnd w:id="30"/>
      <w:bookmarkEnd w:id="31"/>
      <w:bookmarkEnd w:id="32"/>
    </w:p>
    <w:p>
      <w:pPr>
        <w:pStyle w:val="Footnoteheading"/>
        <w:keepNext/>
      </w:pPr>
      <w:r>
        <w:tab/>
        <w:t xml:space="preserve">[Heading inserted: No. 53 of 2004 s. 11.] </w:t>
      </w:r>
    </w:p>
    <w:p>
      <w:pPr>
        <w:pStyle w:val="Heading5"/>
      </w:pPr>
      <w:bookmarkStart w:id="33" w:name="_Toc100567963"/>
      <w:r>
        <w:rPr>
          <w:rStyle w:val="CharSectno"/>
        </w:rPr>
        <w:t>18</w:t>
      </w:r>
      <w:r>
        <w:t>.</w:t>
      </w:r>
      <w:r>
        <w:tab/>
        <w:t>Powers</w:t>
      </w:r>
      <w:bookmarkEnd w:id="33"/>
    </w:p>
    <w:p>
      <w:pPr>
        <w:pStyle w:val="Subsection"/>
      </w:pPr>
      <w:r>
        <w:tab/>
        <w:t>(1)</w:t>
      </w:r>
      <w:r>
        <w:tab/>
        <w:t xml:space="preserve">An investigator may — </w:t>
      </w:r>
    </w:p>
    <w:p>
      <w:pPr>
        <w:pStyle w:val="Indenta"/>
        <w:spacing w:before="68"/>
        <w:rPr>
          <w:snapToGrid w:val="0"/>
        </w:rPr>
      </w:pPr>
      <w:r>
        <w:tab/>
        <w:t>(a)</w:t>
      </w:r>
      <w:r>
        <w:tab/>
      </w:r>
      <w:r>
        <w:rPr>
          <w:snapToGrid w:val="0"/>
        </w:rPr>
        <w:t>require any person — </w:t>
      </w:r>
    </w:p>
    <w:p>
      <w:pPr>
        <w:pStyle w:val="Indenti"/>
        <w:spacing w:before="68"/>
        <w:rPr>
          <w:snapToGrid w:val="0"/>
        </w:rPr>
      </w:pPr>
      <w:r>
        <w:tab/>
        <w:t>(i)</w:t>
      </w:r>
      <w:r>
        <w:tab/>
      </w:r>
      <w:r>
        <w:rPr>
          <w:snapToGrid w:val="0"/>
        </w:rPr>
        <w:t>to give such information as is required; and</w:t>
      </w:r>
    </w:p>
    <w:p>
      <w:pPr>
        <w:pStyle w:val="Indenti"/>
        <w:spacing w:before="68"/>
      </w:pPr>
      <w:r>
        <w:tab/>
        <w:t>(ii)</w:t>
      </w:r>
      <w:r>
        <w:tab/>
        <w:t>to answer any question put to the person,</w:t>
      </w:r>
    </w:p>
    <w:p>
      <w:pPr>
        <w:pStyle w:val="Indenta"/>
        <w:spacing w:before="68"/>
      </w:pPr>
      <w:r>
        <w:tab/>
      </w:r>
      <w:r>
        <w:tab/>
        <w:t>in relation to any matter the subject of an investigation; and</w:t>
      </w:r>
    </w:p>
    <w:p>
      <w:pPr>
        <w:pStyle w:val="Indenta"/>
        <w:spacing w:before="68"/>
      </w:pPr>
      <w:r>
        <w:tab/>
        <w:t>(b)</w:t>
      </w:r>
      <w:r>
        <w:tab/>
        <w:t>require any person to produce any document; and</w:t>
      </w:r>
    </w:p>
    <w:p>
      <w:pPr>
        <w:pStyle w:val="Indenta"/>
        <w:spacing w:before="68"/>
      </w:pPr>
      <w:r>
        <w:tab/>
        <w:t>(c)</w:t>
      </w:r>
      <w:r>
        <w:tab/>
        <w:t>enter at all reasonable times and search any premises or motor vehicle named in a warrant obtained in accordance with this Division and exercise the powers set out in that warrant; and</w:t>
      </w:r>
    </w:p>
    <w:p>
      <w:pPr>
        <w:pStyle w:val="Indenta"/>
        <w:spacing w:before="68"/>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spacing w:before="68"/>
      </w:pPr>
      <w:r>
        <w:tab/>
        <w:t>(a)</w:t>
      </w:r>
      <w:r>
        <w:tab/>
        <w:t>may be made orally or by notice in writing served on the person required to give information or answer a question, as the case may be; and</w:t>
      </w:r>
    </w:p>
    <w:p>
      <w:pPr>
        <w:pStyle w:val="Indenta"/>
        <w:spacing w:before="68"/>
      </w:pPr>
      <w:r>
        <w:tab/>
        <w:t>(b)</w:t>
      </w:r>
      <w:r>
        <w:tab/>
        <w:t xml:space="preserve">is to specify the time at or within which the information is to be given or the question is to be answered, as the case may be; and </w:t>
      </w:r>
    </w:p>
    <w:p>
      <w:pPr>
        <w:pStyle w:val="Indenta"/>
        <w:spacing w:before="68"/>
      </w:pPr>
      <w:r>
        <w:tab/>
        <w:t>(c)</w:t>
      </w:r>
      <w:r>
        <w:tab/>
        <w:t>may, by its terms, require that the information or answer required — </w:t>
      </w:r>
    </w:p>
    <w:p>
      <w:pPr>
        <w:pStyle w:val="Indenti"/>
        <w:spacing w:before="68"/>
      </w:pPr>
      <w:r>
        <w:tab/>
        <w:t>(i)</w:t>
      </w:r>
      <w:r>
        <w:tab/>
        <w:t>be given orally or in writing; and</w:t>
      </w:r>
    </w:p>
    <w:p>
      <w:pPr>
        <w:pStyle w:val="Indenti"/>
        <w:spacing w:before="68"/>
      </w:pPr>
      <w:r>
        <w:tab/>
        <w:t>(ii)</w:t>
      </w:r>
      <w:r>
        <w:tab/>
        <w:t>be given at or sent or delivered to any place specified in the requirement; and</w:t>
      </w:r>
    </w:p>
    <w:p>
      <w:pPr>
        <w:pStyle w:val="Indenti"/>
        <w:spacing w:before="68"/>
      </w:pPr>
      <w:r>
        <w:tab/>
        <w:t>(iii)</w:t>
      </w:r>
      <w:r>
        <w:tab/>
        <w:t>in the case of written information or answers, be sent or delivered by any means specified in the requirement; and</w:t>
      </w:r>
    </w:p>
    <w:p>
      <w:pPr>
        <w:pStyle w:val="Indenti"/>
      </w:pPr>
      <w:r>
        <w:lastRenderedPageBreak/>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 and</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No. 53 of 2004 s. 12.]</w:t>
      </w:r>
    </w:p>
    <w:p>
      <w:pPr>
        <w:pStyle w:val="Heading5"/>
      </w:pPr>
      <w:bookmarkStart w:id="34" w:name="_Toc100567964"/>
      <w:r>
        <w:rPr>
          <w:rStyle w:val="CharSectno"/>
        </w:rPr>
        <w:t>18A</w:t>
      </w:r>
      <w:r>
        <w:t>.</w:t>
      </w:r>
      <w:r>
        <w:tab/>
        <w:t>Warrant to enter premises</w:t>
      </w:r>
      <w:bookmarkEnd w:id="34"/>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lastRenderedPageBreak/>
        <w:tab/>
        <w:t>(2)</w:t>
      </w:r>
      <w:r>
        <w:tab/>
        <w:t xml:space="preserve">An application for a warrant must — </w:t>
      </w:r>
    </w:p>
    <w:p>
      <w:pPr>
        <w:pStyle w:val="Indenta"/>
      </w:pPr>
      <w:r>
        <w:tab/>
        <w:t>(a)</w:t>
      </w:r>
      <w:r>
        <w:tab/>
        <w:t>be in writing; and</w:t>
      </w:r>
    </w:p>
    <w:p>
      <w:pPr>
        <w:pStyle w:val="Indenta"/>
      </w:pPr>
      <w:r>
        <w:tab/>
        <w:t>(b)</w:t>
      </w:r>
      <w:r>
        <w:tab/>
        <w:t>be accompanied by a notice in writing from the investigator stating that he or she has determined in the particular case that there are reasonable grounds for believing that entry to premises or motor vehicle is necessary for the purpose of the investigation; and</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No. 53 of 2004 s. 12.]</w:t>
      </w:r>
    </w:p>
    <w:p>
      <w:pPr>
        <w:pStyle w:val="Heading5"/>
      </w:pPr>
      <w:bookmarkStart w:id="35" w:name="_Toc100567965"/>
      <w:r>
        <w:rPr>
          <w:rStyle w:val="CharSectno"/>
        </w:rPr>
        <w:t>18B</w:t>
      </w:r>
      <w:r>
        <w:t>.</w:t>
      </w:r>
      <w:r>
        <w:tab/>
        <w:t>Issue of warrant</w:t>
      </w:r>
      <w:bookmarkEnd w:id="35"/>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lastRenderedPageBreak/>
        <w:tab/>
        <w:t>(2)</w:t>
      </w:r>
      <w:r>
        <w:tab/>
        <w:t xml:space="preserve">A warrant under subsection (1) authorises the investigator — </w:t>
      </w:r>
    </w:p>
    <w:p>
      <w:pPr>
        <w:pStyle w:val="Indenta"/>
        <w:spacing w:before="70"/>
      </w:pPr>
      <w:r>
        <w:tab/>
        <w:t>(a)</w:t>
      </w:r>
      <w:r>
        <w:tab/>
        <w:t>to enter and inspect the premises or motor vehicle named in the warrant; and</w:t>
      </w:r>
    </w:p>
    <w:p>
      <w:pPr>
        <w:pStyle w:val="Indenta"/>
        <w:spacing w:before="70"/>
      </w:pPr>
      <w:r>
        <w:tab/>
        <w:t>(b)</w:t>
      </w:r>
      <w:r>
        <w:tab/>
        <w:t>to require a person on the premises to answer questions or produce documents or other things in the person’s possession concerning the investigation; and</w:t>
      </w:r>
    </w:p>
    <w:p>
      <w:pPr>
        <w:pStyle w:val="Indenta"/>
        <w:spacing w:before="70"/>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No. 53 of 2004 s. 12.]</w:t>
      </w:r>
    </w:p>
    <w:p>
      <w:pPr>
        <w:pStyle w:val="Heading5"/>
      </w:pPr>
      <w:bookmarkStart w:id="36" w:name="_Toc100567966"/>
      <w:r>
        <w:rPr>
          <w:rStyle w:val="CharSectno"/>
        </w:rPr>
        <w:t>18C</w:t>
      </w:r>
      <w:r>
        <w:t>.</w:t>
      </w:r>
      <w:r>
        <w:tab/>
        <w:t>Execution of warrant</w:t>
      </w:r>
      <w:bookmarkEnd w:id="36"/>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 xml:space="preserve">When executing a warrant, the investigator may require any person, having the control or custody of any premises, motor vehicle or thing which the investigator is authorised to enter or </w:t>
      </w:r>
      <w:r>
        <w:lastRenderedPageBreak/>
        <w:t>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No. 53 of 2004 s. 12.]</w:t>
      </w:r>
    </w:p>
    <w:p>
      <w:pPr>
        <w:pStyle w:val="Heading5"/>
      </w:pPr>
      <w:bookmarkStart w:id="37" w:name="_Toc100567967"/>
      <w:r>
        <w:rPr>
          <w:rStyle w:val="CharSectno"/>
        </w:rPr>
        <w:t>18D</w:t>
      </w:r>
      <w:r>
        <w:t>.</w:t>
      </w:r>
      <w:r>
        <w:tab/>
        <w:t>Seizure</w:t>
      </w:r>
      <w:bookmarkEnd w:id="37"/>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lastRenderedPageBreak/>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No. 53 of 2004 s. 12.]</w:t>
      </w:r>
    </w:p>
    <w:p>
      <w:pPr>
        <w:pStyle w:val="Heading5"/>
      </w:pPr>
      <w:bookmarkStart w:id="38" w:name="_Toc100567968"/>
      <w:r>
        <w:rPr>
          <w:rStyle w:val="CharSectno"/>
        </w:rPr>
        <w:t>18E</w:t>
      </w:r>
      <w:r>
        <w:t>.</w:t>
      </w:r>
      <w:r>
        <w:tab/>
        <w:t>Incriminating information, questions, or documents</w:t>
      </w:r>
      <w:bookmarkEnd w:id="38"/>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 or</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No. 53 of 2004 s. 12.]</w:t>
      </w:r>
    </w:p>
    <w:p>
      <w:pPr>
        <w:pStyle w:val="Heading5"/>
      </w:pPr>
      <w:bookmarkStart w:id="39" w:name="_Toc100567969"/>
      <w:r>
        <w:rPr>
          <w:rStyle w:val="CharSectno"/>
        </w:rPr>
        <w:t>18F</w:t>
      </w:r>
      <w:r>
        <w:t>.</w:t>
      </w:r>
      <w:r>
        <w:tab/>
        <w:t>Failure to comply with investigation</w:t>
      </w:r>
      <w:bookmarkEnd w:id="39"/>
    </w:p>
    <w:p>
      <w:pPr>
        <w:pStyle w:val="Subsection"/>
      </w:pPr>
      <w:r>
        <w:tab/>
        <w:t>(1)</w:t>
      </w:r>
      <w:r>
        <w:tab/>
        <w:t xml:space="preserve">Where under section 18 a person is required to give any information, answer any question, or produce any document and </w:t>
      </w:r>
      <w:r>
        <w:lastRenderedPageBreak/>
        <w:t>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No. 53 of 2004 s. 12; amended: No. 84 of 2004 s. 82.]</w:t>
      </w:r>
    </w:p>
    <w:p>
      <w:pPr>
        <w:pStyle w:val="Heading5"/>
      </w:pPr>
      <w:bookmarkStart w:id="40" w:name="_Toc100567970"/>
      <w:r>
        <w:rPr>
          <w:rStyle w:val="CharSectno"/>
        </w:rPr>
        <w:lastRenderedPageBreak/>
        <w:t>18G</w:t>
      </w:r>
      <w:r>
        <w:t>.</w:t>
      </w:r>
      <w:r>
        <w:tab/>
        <w:t>Obstruction of investigator</w:t>
      </w:r>
      <w:bookmarkEnd w:id="40"/>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No. 53 of 2004 s. 12.]</w:t>
      </w:r>
    </w:p>
    <w:p>
      <w:pPr>
        <w:pStyle w:val="Heading5"/>
      </w:pPr>
      <w:bookmarkStart w:id="41" w:name="_Toc100567971"/>
      <w:r>
        <w:rPr>
          <w:rStyle w:val="CharSectno"/>
        </w:rPr>
        <w:t>18H</w:t>
      </w:r>
      <w:r>
        <w:t>.</w:t>
      </w:r>
      <w:r>
        <w:tab/>
        <w:t>Information</w:t>
      </w:r>
      <w:bookmarkEnd w:id="41"/>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No. 53 of 2004 s. 12.]</w:t>
      </w:r>
    </w:p>
    <w:p>
      <w:pPr>
        <w:pStyle w:val="Heading3"/>
        <w:spacing w:before="600"/>
      </w:pPr>
      <w:bookmarkStart w:id="42" w:name="_Toc100325612"/>
      <w:bookmarkStart w:id="43" w:name="_Toc100325718"/>
      <w:bookmarkStart w:id="44" w:name="_Toc100567972"/>
      <w:r>
        <w:rPr>
          <w:rStyle w:val="CharDivNo"/>
        </w:rPr>
        <w:lastRenderedPageBreak/>
        <w:t>Division 3</w:t>
      </w:r>
      <w:r>
        <w:t xml:space="preserve"> — </w:t>
      </w:r>
      <w:r>
        <w:rPr>
          <w:rStyle w:val="CharDivText"/>
        </w:rPr>
        <w:t>Review of decisions of the Commissioner</w:t>
      </w:r>
      <w:bookmarkEnd w:id="42"/>
      <w:bookmarkEnd w:id="43"/>
      <w:bookmarkEnd w:id="44"/>
    </w:p>
    <w:p>
      <w:pPr>
        <w:pStyle w:val="Footnoteheading"/>
      </w:pPr>
      <w:r>
        <w:tab/>
        <w:t>[Heading inserted: No. 55 of 2004 s. 342; amended: No. 53 of 2004 s. 13.]</w:t>
      </w:r>
    </w:p>
    <w:p>
      <w:pPr>
        <w:pStyle w:val="Ednotesection"/>
      </w:pPr>
      <w:r>
        <w:t>[</w:t>
      </w:r>
      <w:r>
        <w:rPr>
          <w:b/>
          <w:bCs/>
        </w:rPr>
        <w:t>19</w:t>
      </w:r>
      <w:r>
        <w:rPr>
          <w:b/>
          <w:bCs/>
        </w:rPr>
        <w:noBreakHyphen/>
        <w:t>22.</w:t>
      </w:r>
      <w:r>
        <w:tab/>
        <w:t>Deleted: No. 55 of 2004 s. 343.]</w:t>
      </w:r>
    </w:p>
    <w:p>
      <w:pPr>
        <w:pStyle w:val="Heading5"/>
        <w:rPr>
          <w:snapToGrid w:val="0"/>
        </w:rPr>
      </w:pPr>
      <w:bookmarkStart w:id="45" w:name="_Toc100567973"/>
      <w:r>
        <w:rPr>
          <w:rStyle w:val="CharSectno"/>
        </w:rPr>
        <w:t>23</w:t>
      </w:r>
      <w:r>
        <w:t>.</w:t>
      </w:r>
      <w:r>
        <w:tab/>
      </w:r>
      <w:r>
        <w:rPr>
          <w:snapToGrid w:val="0"/>
        </w:rPr>
        <w:t>Application for review</w:t>
      </w:r>
      <w:bookmarkEnd w:id="45"/>
    </w:p>
    <w:p>
      <w:pPr>
        <w:pStyle w:val="Subsection"/>
        <w:rPr>
          <w:snapToGrid w:val="0"/>
        </w:rPr>
      </w:pPr>
      <w:r>
        <w:tab/>
        <w:t>(1)</w:t>
      </w:r>
      <w:r>
        <w:tab/>
      </w:r>
      <w:r>
        <w:rPr>
          <w:snapToGrid w:val="0"/>
        </w:rPr>
        <w:t>Any person aggrieved by a reviewable decision of the Commissioner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No. 55 of 2004 s. 344; amended: No. 53 of 2004 s. 14.]</w:t>
      </w:r>
    </w:p>
    <w:p>
      <w:pPr>
        <w:pStyle w:val="Heading2"/>
      </w:pPr>
      <w:bookmarkStart w:id="46" w:name="_Toc100325614"/>
      <w:bookmarkStart w:id="47" w:name="_Toc100325720"/>
      <w:bookmarkStart w:id="48" w:name="_Toc100567974"/>
      <w:r>
        <w:rPr>
          <w:rStyle w:val="CharPartNo"/>
        </w:rPr>
        <w:lastRenderedPageBreak/>
        <w:t>Part III</w:t>
      </w:r>
      <w:r>
        <w:rPr>
          <w:rStyle w:val="CharDivNo"/>
        </w:rPr>
        <w:t> </w:t>
      </w:r>
      <w:r>
        <w:t>—</w:t>
      </w:r>
      <w:r>
        <w:rPr>
          <w:rStyle w:val="CharDivText"/>
        </w:rPr>
        <w:t> </w:t>
      </w:r>
      <w:r>
        <w:rPr>
          <w:rStyle w:val="CharPartText"/>
        </w:rPr>
        <w:t>Licensing</w:t>
      </w:r>
      <w:bookmarkEnd w:id="46"/>
      <w:bookmarkEnd w:id="47"/>
      <w:bookmarkEnd w:id="48"/>
      <w:r>
        <w:rPr>
          <w:rStyle w:val="CharPartText"/>
        </w:rPr>
        <w:t xml:space="preserve"> </w:t>
      </w:r>
    </w:p>
    <w:p>
      <w:pPr>
        <w:pStyle w:val="Heading5"/>
        <w:rPr>
          <w:snapToGrid w:val="0"/>
        </w:rPr>
      </w:pPr>
      <w:bookmarkStart w:id="49" w:name="_Toc100567975"/>
      <w:r>
        <w:rPr>
          <w:rStyle w:val="CharSectno"/>
        </w:rPr>
        <w:t>24</w:t>
      </w:r>
      <w:r>
        <w:rPr>
          <w:snapToGrid w:val="0"/>
        </w:rPr>
        <w:t>.</w:t>
      </w:r>
      <w:r>
        <w:rPr>
          <w:snapToGrid w:val="0"/>
        </w:rPr>
        <w:tab/>
        <w:t>Application</w:t>
      </w:r>
      <w:bookmarkEnd w:id="49"/>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spacing w:before="100"/>
      </w:pPr>
      <w:r>
        <w:tab/>
        <w:t>[Section 24 amended: No. 53 of 2004 s. 15; No. 55 of 2004 s. 345; No. 14 of 2010 s. 42.]</w:t>
      </w:r>
    </w:p>
    <w:p>
      <w:pPr>
        <w:pStyle w:val="Heading5"/>
        <w:spacing w:before="180"/>
        <w:rPr>
          <w:snapToGrid w:val="0"/>
        </w:rPr>
      </w:pPr>
      <w:bookmarkStart w:id="50" w:name="_Toc100567976"/>
      <w:r>
        <w:rPr>
          <w:rStyle w:val="CharSectno"/>
        </w:rPr>
        <w:t>25</w:t>
      </w:r>
      <w:r>
        <w:rPr>
          <w:snapToGrid w:val="0"/>
        </w:rPr>
        <w:t>.</w:t>
      </w:r>
      <w:r>
        <w:rPr>
          <w:snapToGrid w:val="0"/>
        </w:rPr>
        <w:tab/>
        <w:t>Objections</w:t>
      </w:r>
      <w:bookmarkEnd w:id="50"/>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lastRenderedPageBreak/>
        <w:tab/>
        <w:t>(3)</w:t>
      </w:r>
      <w:r>
        <w:rPr>
          <w:snapToGrid w:val="0"/>
        </w:rPr>
        <w:tab/>
        <w:t>The information contained in the objection shall be verified by statutory declaration of the person making the objection.</w:t>
      </w:r>
    </w:p>
    <w:p>
      <w:pPr>
        <w:pStyle w:val="Subsection"/>
        <w:spacing w:before="120"/>
        <w:rPr>
          <w:snapToGrid w:val="0"/>
        </w:rPr>
      </w:pPr>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No. 53 of 2004 s. 16; No. 55 of 2004 s. 346; No. 14 of 2010 s. 43.]</w:t>
      </w:r>
    </w:p>
    <w:p>
      <w:pPr>
        <w:pStyle w:val="Heading5"/>
        <w:rPr>
          <w:snapToGrid w:val="0"/>
        </w:rPr>
      </w:pPr>
      <w:bookmarkStart w:id="51" w:name="_Toc100567977"/>
      <w:r>
        <w:rPr>
          <w:rStyle w:val="CharSectno"/>
        </w:rPr>
        <w:t>26</w:t>
      </w:r>
      <w:r>
        <w:rPr>
          <w:snapToGrid w:val="0"/>
        </w:rPr>
        <w:t>.</w:t>
      </w:r>
      <w:r>
        <w:rPr>
          <w:snapToGrid w:val="0"/>
        </w:rPr>
        <w:tab/>
        <w:t>Finance brokers to be licensed</w:t>
      </w:r>
      <w:bookmarkEnd w:id="51"/>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1</w:t>
      </w:r>
      <w:r>
        <w:rPr>
          <w:snapToGrid w:val="0"/>
        </w:rPr>
        <w:t xml:space="preserve"> for the purposes of that subsection.</w:t>
      </w:r>
    </w:p>
    <w:p>
      <w:pPr>
        <w:pStyle w:val="Footnotesection"/>
      </w:pPr>
      <w:r>
        <w:tab/>
        <w:t>[Section 26 amended: No. 56 of 1995 s. 23(1); No. 53 of 2004 s. 17; No. 14 of 2010 s. 44.]</w:t>
      </w:r>
    </w:p>
    <w:p>
      <w:pPr>
        <w:pStyle w:val="Heading5"/>
      </w:pPr>
      <w:bookmarkStart w:id="52" w:name="_Toc100567978"/>
      <w:r>
        <w:rPr>
          <w:rStyle w:val="CharSectno"/>
        </w:rPr>
        <w:t>27A</w:t>
      </w:r>
      <w:r>
        <w:t>.</w:t>
      </w:r>
      <w:r>
        <w:tab/>
        <w:t>No further grants of licences</w:t>
      </w:r>
      <w:bookmarkEnd w:id="52"/>
    </w:p>
    <w:p>
      <w:pPr>
        <w:pStyle w:val="Subsection"/>
      </w:pPr>
      <w:r>
        <w:tab/>
      </w:r>
      <w:r>
        <w:tab/>
        <w:t>Despite anything in this Act, on and after the referral day, no licences are to be granted under section 27, 28 or 29.</w:t>
      </w:r>
    </w:p>
    <w:p>
      <w:pPr>
        <w:pStyle w:val="Footnotesection"/>
      </w:pPr>
      <w:r>
        <w:tab/>
        <w:t>[Section 27A inserted: No. 14 of 2010 s. 45.]</w:t>
      </w:r>
    </w:p>
    <w:p>
      <w:pPr>
        <w:pStyle w:val="Heading5"/>
        <w:rPr>
          <w:snapToGrid w:val="0"/>
        </w:rPr>
      </w:pPr>
      <w:bookmarkStart w:id="53" w:name="_Toc100567979"/>
      <w:r>
        <w:rPr>
          <w:rStyle w:val="CharSectno"/>
        </w:rPr>
        <w:t>27</w:t>
      </w:r>
      <w:r>
        <w:rPr>
          <w:snapToGrid w:val="0"/>
        </w:rPr>
        <w:t>.</w:t>
      </w:r>
      <w:r>
        <w:rPr>
          <w:snapToGrid w:val="0"/>
        </w:rPr>
        <w:tab/>
        <w:t>Grant of licence to natural person</w:t>
      </w:r>
      <w:bookmarkEnd w:id="53"/>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 xml:space="preserve">Commissioner for a licence and pays to the chief </w:t>
      </w:r>
      <w:r>
        <w:lastRenderedPageBreak/>
        <w:t>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 and</w:t>
      </w:r>
    </w:p>
    <w:p>
      <w:pPr>
        <w:pStyle w:val="Indenta"/>
        <w:rPr>
          <w:snapToGrid w:val="0"/>
        </w:rPr>
      </w:pPr>
      <w:r>
        <w:rPr>
          <w:snapToGrid w:val="0"/>
        </w:rPr>
        <w:tab/>
        <w:t>(b)</w:t>
      </w:r>
      <w:r>
        <w:rPr>
          <w:snapToGrid w:val="0"/>
        </w:rPr>
        <w:tab/>
        <w:t>he is of or over the age of 18 years; and</w:t>
      </w:r>
    </w:p>
    <w:p>
      <w:pPr>
        <w:pStyle w:val="Indenta"/>
        <w:rPr>
          <w:snapToGrid w:val="0"/>
        </w:rPr>
      </w:pPr>
      <w:r>
        <w:rPr>
          <w:snapToGrid w:val="0"/>
        </w:rPr>
        <w:tab/>
        <w:t>(c)</w:t>
      </w:r>
      <w:r>
        <w:rPr>
          <w:snapToGrid w:val="0"/>
        </w:rPr>
        <w:tab/>
        <w:t>he is a person of good character and repute; and</w:t>
      </w:r>
    </w:p>
    <w:p>
      <w:pPr>
        <w:pStyle w:val="Indenta"/>
      </w:pPr>
      <w:r>
        <w:tab/>
        <w:t>(ca)</w:t>
      </w:r>
      <w:r>
        <w:tab/>
        <w:t>he is a fit and proper person to hold a licence; and</w:t>
      </w:r>
    </w:p>
    <w:p>
      <w:pPr>
        <w:pStyle w:val="Indenta"/>
        <w:rPr>
          <w:snapToGrid w:val="0"/>
        </w:rPr>
      </w:pPr>
      <w:r>
        <w:rPr>
          <w:snapToGrid w:val="0"/>
        </w:rPr>
        <w:tab/>
        <w:t>(d)</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r>
        <w:tab/>
        <w:t>[(2)</w:t>
      </w:r>
      <w:r>
        <w:tab/>
        <w:t>deleted]</w:t>
      </w:r>
    </w:p>
    <w:p>
      <w:pPr>
        <w:pStyle w:val="Footnotesection"/>
      </w:pPr>
      <w:r>
        <w:tab/>
        <w:t>[Section 27 amended: No. 53 of 2004 s. 18.]</w:t>
      </w:r>
    </w:p>
    <w:p>
      <w:pPr>
        <w:pStyle w:val="Heading5"/>
        <w:rPr>
          <w:snapToGrid w:val="0"/>
        </w:rPr>
      </w:pPr>
      <w:bookmarkStart w:id="54" w:name="_Toc100567980"/>
      <w:r>
        <w:rPr>
          <w:rStyle w:val="CharSectno"/>
        </w:rPr>
        <w:t>28</w:t>
      </w:r>
      <w:r>
        <w:rPr>
          <w:snapToGrid w:val="0"/>
        </w:rPr>
        <w:t>.</w:t>
      </w:r>
      <w:r>
        <w:rPr>
          <w:snapToGrid w:val="0"/>
        </w:rPr>
        <w:tab/>
        <w:t>Grant of licence to firm</w:t>
      </w:r>
      <w:bookmarkEnd w:id="54"/>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w:t>
      </w:r>
    </w:p>
    <w:p>
      <w:pPr>
        <w:pStyle w:val="Indenta"/>
      </w:pPr>
      <w:r>
        <w:tab/>
        <w:t>(aa)</w:t>
      </w:r>
      <w:r>
        <w:tab/>
        <w:t xml:space="preserve">all of the natural persons, if any, by whom the firm is constituted and all of the directors of, and all of the persons concerned in the management or control of, any body corporate by which the firm is constituted are </w:t>
      </w:r>
      <w:r>
        <w:lastRenderedPageBreak/>
        <w:t>persons fit to be concerned as directors of, or in the management and control of a finance broker’s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r>
        <w:tab/>
        <w:t>(d)</w:t>
      </w:r>
      <w:r>
        <w:tab/>
        <w:t>the person in bona fide control of the business has such other qualifications and satisfies such other requirements (if any) as may be prescribed by the regulations.</w:t>
      </w:r>
    </w:p>
    <w:p>
      <w:pPr>
        <w:pStyle w:val="Footnotesection"/>
      </w:pPr>
      <w:r>
        <w:tab/>
        <w:t>[Section 28 amended: No. 53 of 2004 s. 19.]</w:t>
      </w:r>
    </w:p>
    <w:p>
      <w:pPr>
        <w:pStyle w:val="Heading5"/>
        <w:rPr>
          <w:snapToGrid w:val="0"/>
        </w:rPr>
      </w:pPr>
      <w:bookmarkStart w:id="55" w:name="_Toc100567981"/>
      <w:r>
        <w:rPr>
          <w:rStyle w:val="CharSectno"/>
        </w:rPr>
        <w:t>29</w:t>
      </w:r>
      <w:r>
        <w:rPr>
          <w:snapToGrid w:val="0"/>
        </w:rPr>
        <w:t>.</w:t>
      </w:r>
      <w:r>
        <w:rPr>
          <w:snapToGrid w:val="0"/>
        </w:rPr>
        <w:tab/>
        <w:t>Grant of licence to body corporate</w:t>
      </w:r>
      <w:bookmarkEnd w:id="55"/>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rPr>
          <w:snapToGrid w:val="0"/>
        </w:rPr>
      </w:pPr>
      <w:r>
        <w:rPr>
          <w:snapToGrid w:val="0"/>
        </w:rPr>
        <w:lastRenderedPageBreak/>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No. 53 of 2004 s. 20.]</w:t>
      </w:r>
    </w:p>
    <w:p>
      <w:pPr>
        <w:pStyle w:val="Heading5"/>
        <w:rPr>
          <w:snapToGrid w:val="0"/>
        </w:rPr>
      </w:pPr>
      <w:bookmarkStart w:id="56" w:name="_Toc100567982"/>
      <w:r>
        <w:rPr>
          <w:rStyle w:val="CharSectno"/>
        </w:rPr>
        <w:t>30</w:t>
      </w:r>
      <w:r>
        <w:rPr>
          <w:snapToGrid w:val="0"/>
        </w:rPr>
        <w:t>.</w:t>
      </w:r>
      <w:r>
        <w:rPr>
          <w:snapToGrid w:val="0"/>
        </w:rPr>
        <w:tab/>
        <w:t>Effect of licence</w:t>
      </w:r>
      <w:bookmarkEnd w:id="56"/>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keepNext/>
        <w:rPr>
          <w:snapToGrid w:val="0"/>
        </w:rPr>
      </w:pPr>
      <w:r>
        <w:rPr>
          <w:snapToGrid w:val="0"/>
        </w:rPr>
        <w:lastRenderedPageBreak/>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No. 56 of 1995 s. 18 and 23; No. 53 of 2004 s. 21; No. 55 of 2004 s. 347; No. 14 of 2010 s. 46.] </w:t>
      </w:r>
    </w:p>
    <w:p>
      <w:pPr>
        <w:pStyle w:val="Heading5"/>
        <w:rPr>
          <w:snapToGrid w:val="0"/>
        </w:rPr>
      </w:pPr>
      <w:bookmarkStart w:id="57" w:name="_Toc100567983"/>
      <w:r>
        <w:rPr>
          <w:rStyle w:val="CharSectno"/>
        </w:rPr>
        <w:t>31</w:t>
      </w:r>
      <w:r>
        <w:rPr>
          <w:snapToGrid w:val="0"/>
        </w:rPr>
        <w:t>.</w:t>
      </w:r>
      <w:r>
        <w:rPr>
          <w:snapToGrid w:val="0"/>
        </w:rPr>
        <w:tab/>
        <w:t>Duration of licence</w:t>
      </w:r>
      <w:bookmarkEnd w:id="57"/>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No. 56 of 1995 s. 19; No. 53 of 2004 s. 22; No. 14 of 2010 s. 47.]</w:t>
      </w:r>
    </w:p>
    <w:p>
      <w:pPr>
        <w:pStyle w:val="Heading5"/>
        <w:rPr>
          <w:snapToGrid w:val="0"/>
        </w:rPr>
      </w:pPr>
      <w:bookmarkStart w:id="58" w:name="_Toc100567984"/>
      <w:r>
        <w:rPr>
          <w:rStyle w:val="CharSectno"/>
        </w:rPr>
        <w:t>32</w:t>
      </w:r>
      <w:r>
        <w:rPr>
          <w:snapToGrid w:val="0"/>
        </w:rPr>
        <w:t>.</w:t>
      </w:r>
      <w:r>
        <w:rPr>
          <w:snapToGrid w:val="0"/>
        </w:rPr>
        <w:tab/>
        <w:t>Applications for renewals</w:t>
      </w:r>
      <w:bookmarkEnd w:id="58"/>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keepNext/>
        <w:rPr>
          <w:snapToGrid w:val="0"/>
        </w:rPr>
      </w:pPr>
      <w:r>
        <w:rPr>
          <w:snapToGrid w:val="0"/>
        </w:rPr>
        <w:lastRenderedPageBreak/>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No. 56 of 1995 s. 20; No. 53 of 2004 s. 23; No. 55 of 2004 s. 348; No. 14 of 2010 s. 48.]</w:t>
      </w:r>
    </w:p>
    <w:p>
      <w:pPr>
        <w:pStyle w:val="Heading5"/>
      </w:pPr>
      <w:bookmarkStart w:id="59" w:name="_Toc100567985"/>
      <w:r>
        <w:rPr>
          <w:rStyle w:val="CharSectno"/>
        </w:rPr>
        <w:t>33</w:t>
      </w:r>
      <w:r>
        <w:t>.</w:t>
      </w:r>
      <w:r>
        <w:tab/>
        <w:t>Refusal to renew</w:t>
      </w:r>
      <w:bookmarkEnd w:id="59"/>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No. 53 of 2004 s. 24.]</w:t>
      </w:r>
    </w:p>
    <w:p>
      <w:pPr>
        <w:pStyle w:val="Heading5"/>
        <w:rPr>
          <w:snapToGrid w:val="0"/>
        </w:rPr>
      </w:pPr>
      <w:bookmarkStart w:id="60" w:name="_Toc100567986"/>
      <w:r>
        <w:rPr>
          <w:rStyle w:val="CharSectno"/>
        </w:rPr>
        <w:lastRenderedPageBreak/>
        <w:t>34</w:t>
      </w:r>
      <w:r>
        <w:rPr>
          <w:snapToGrid w:val="0"/>
        </w:rPr>
        <w:t>.</w:t>
      </w:r>
      <w:r>
        <w:rPr>
          <w:snapToGrid w:val="0"/>
        </w:rPr>
        <w:tab/>
        <w:t>Conditions on licences</w:t>
      </w:r>
      <w:bookmarkEnd w:id="60"/>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No. 56 of 1995 s. 23; No. 53 of 2004 s. 25; No. 55 of 2004 s. 350; No. 14 of 2010 s. 49.]</w:t>
      </w:r>
    </w:p>
    <w:p>
      <w:pPr>
        <w:pStyle w:val="Ednotesection"/>
      </w:pPr>
      <w:r>
        <w:t>[</w:t>
      </w:r>
      <w:r>
        <w:rPr>
          <w:b/>
          <w:bCs/>
        </w:rPr>
        <w:t>34A.</w:t>
      </w:r>
      <w:r>
        <w:tab/>
        <w:t>Deleted: No. 53 of 2004 s. 26.]</w:t>
      </w:r>
    </w:p>
    <w:p>
      <w:pPr>
        <w:pStyle w:val="Heading5"/>
      </w:pPr>
      <w:bookmarkStart w:id="61" w:name="_Toc100567987"/>
      <w:r>
        <w:rPr>
          <w:rStyle w:val="CharSectno"/>
        </w:rPr>
        <w:t>34B</w:t>
      </w:r>
      <w:r>
        <w:t>.</w:t>
      </w:r>
      <w:r>
        <w:tab/>
        <w:t>Suspension of licence by State Administrative Tribunal</w:t>
      </w:r>
      <w:bookmarkEnd w:id="61"/>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No. 55 of 2004 s. 351.]</w:t>
      </w:r>
    </w:p>
    <w:p>
      <w:pPr>
        <w:pStyle w:val="Heading5"/>
        <w:rPr>
          <w:snapToGrid w:val="0"/>
        </w:rPr>
      </w:pPr>
      <w:bookmarkStart w:id="62" w:name="_Toc100567988"/>
      <w:r>
        <w:rPr>
          <w:rStyle w:val="CharSectno"/>
        </w:rPr>
        <w:lastRenderedPageBreak/>
        <w:t>35</w:t>
      </w:r>
      <w:r>
        <w:rPr>
          <w:snapToGrid w:val="0"/>
        </w:rPr>
        <w:t>.</w:t>
      </w:r>
      <w:r>
        <w:rPr>
          <w:snapToGrid w:val="0"/>
        </w:rPr>
        <w:tab/>
        <w:t>Bond or guarantee in respect of licence</w:t>
      </w:r>
      <w:bookmarkEnd w:id="62"/>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w:t>
      </w:r>
      <w:r>
        <w:rPr>
          <w:snapToGrid w:val="0"/>
        </w:rPr>
        <w:lastRenderedPageBreak/>
        <w:t xml:space="preserve">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No. 56 of 1995 s. 23; No. 53 of 2004 s. 27; No. 55 of 2004 s. 352 and 358; No. 14 of 2010 s. 50.]</w:t>
      </w:r>
    </w:p>
    <w:p>
      <w:pPr>
        <w:pStyle w:val="Heading5"/>
      </w:pPr>
      <w:bookmarkStart w:id="63" w:name="_Toc100567989"/>
      <w:r>
        <w:rPr>
          <w:rStyle w:val="CharSectno"/>
        </w:rPr>
        <w:t>35A</w:t>
      </w:r>
      <w:r>
        <w:t>.</w:t>
      </w:r>
      <w:r>
        <w:tab/>
        <w:t>Prescribed person exempt from bond requirements</w:t>
      </w:r>
      <w:bookmarkEnd w:id="63"/>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 or</w:t>
      </w:r>
    </w:p>
    <w:p>
      <w:pPr>
        <w:pStyle w:val="Indenta"/>
        <w:keepNext/>
      </w:pPr>
      <w:r>
        <w:lastRenderedPageBreak/>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No. 53 of 2004 s. 28.]</w:t>
      </w:r>
    </w:p>
    <w:p>
      <w:pPr>
        <w:pStyle w:val="Ednotesection"/>
      </w:pPr>
      <w:r>
        <w:t>[</w:t>
      </w:r>
      <w:r>
        <w:rPr>
          <w:b/>
          <w:bCs/>
        </w:rPr>
        <w:t>36-38.</w:t>
      </w:r>
      <w:r>
        <w:tab/>
        <w:t>Deleted: No. 14 of 2010 s. 51.]</w:t>
      </w:r>
    </w:p>
    <w:p>
      <w:pPr>
        <w:pStyle w:val="Ednotesection"/>
      </w:pPr>
      <w:r>
        <w:t>[</w:t>
      </w:r>
      <w:r>
        <w:rPr>
          <w:b/>
          <w:bCs/>
        </w:rPr>
        <w:t>39.</w:t>
      </w:r>
      <w:r>
        <w:tab/>
        <w:t>Deleted: No. 53 of 2004 s. 32.]</w:t>
      </w:r>
    </w:p>
    <w:p>
      <w:pPr>
        <w:pStyle w:val="Heading5"/>
        <w:spacing w:before="240"/>
        <w:rPr>
          <w:snapToGrid w:val="0"/>
        </w:rPr>
      </w:pPr>
      <w:bookmarkStart w:id="64" w:name="_Toc100567990"/>
      <w:r>
        <w:rPr>
          <w:rStyle w:val="CharSectno"/>
        </w:rPr>
        <w:t>40</w:t>
      </w:r>
      <w:r>
        <w:rPr>
          <w:snapToGrid w:val="0"/>
        </w:rPr>
        <w:t>.</w:t>
      </w:r>
      <w:r>
        <w:rPr>
          <w:snapToGrid w:val="0"/>
        </w:rPr>
        <w:tab/>
        <w:t>Licence not transferable</w:t>
      </w:r>
      <w:bookmarkEnd w:id="64"/>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pPr>
      <w:r>
        <w:tab/>
        <w:t xml:space="preserve">[Section 40 amended: No. 56 of 1995 s. 23; No. 53 of 2004 s. 33.] </w:t>
      </w:r>
    </w:p>
    <w:p>
      <w:pPr>
        <w:pStyle w:val="Heading5"/>
      </w:pPr>
      <w:bookmarkStart w:id="65" w:name="_Toc100567991"/>
      <w:r>
        <w:rPr>
          <w:rStyle w:val="CharSectno"/>
        </w:rPr>
        <w:lastRenderedPageBreak/>
        <w:t>40A</w:t>
      </w:r>
      <w:r>
        <w:t>.</w:t>
      </w:r>
      <w:r>
        <w:tab/>
        <w:t>Prohibition against doing business with unlicensed finance brokers</w:t>
      </w:r>
      <w:bookmarkEnd w:id="65"/>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Penstart"/>
        <w:rPr>
          <w:snapToGrid w:val="0"/>
        </w:rPr>
      </w:pP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Penstart"/>
        <w:rPr>
          <w:snapToGrid w:val="0"/>
        </w:rPr>
      </w:pPr>
      <w:r>
        <w:rPr>
          <w:snapToGrid w:val="0"/>
        </w:rPr>
        <w:tab/>
        <w:t>Penalty: $50 000.</w:t>
      </w:r>
    </w:p>
    <w:p>
      <w:pPr>
        <w:pStyle w:val="Footnotesection"/>
      </w:pPr>
      <w:r>
        <w:tab/>
        <w:t>[Section 40A inserted: No. 53 of 2004 s. 34; amended: No. 14 of 2010 s. 52.]</w:t>
      </w:r>
    </w:p>
    <w:p>
      <w:pPr>
        <w:pStyle w:val="Heading5"/>
        <w:rPr>
          <w:snapToGrid w:val="0"/>
        </w:rPr>
      </w:pPr>
      <w:bookmarkStart w:id="66" w:name="_Toc100567992"/>
      <w:r>
        <w:rPr>
          <w:rStyle w:val="CharSectno"/>
        </w:rPr>
        <w:t>41</w:t>
      </w:r>
      <w:r>
        <w:rPr>
          <w:snapToGrid w:val="0"/>
        </w:rPr>
        <w:t>.</w:t>
      </w:r>
      <w:r>
        <w:rPr>
          <w:snapToGrid w:val="0"/>
        </w:rPr>
        <w:tab/>
        <w:t>Use of business name</w:t>
      </w:r>
      <w:bookmarkEnd w:id="66"/>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lastRenderedPageBreak/>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 xml:space="preserve">[Section 41 amended: No. 56 of 1995 s. 23(1); No. 53 of 2004 s. 35; No. 14 of 2010 s. 53.] </w:t>
      </w:r>
    </w:p>
    <w:p>
      <w:pPr>
        <w:pStyle w:val="Heading5"/>
        <w:rPr>
          <w:snapToGrid w:val="0"/>
        </w:rPr>
      </w:pPr>
      <w:bookmarkStart w:id="67" w:name="_Toc100567993"/>
      <w:r>
        <w:rPr>
          <w:rStyle w:val="CharSectno"/>
        </w:rPr>
        <w:t>42</w:t>
      </w:r>
      <w:r>
        <w:rPr>
          <w:snapToGrid w:val="0"/>
        </w:rPr>
        <w:t>.</w:t>
      </w:r>
      <w:r>
        <w:rPr>
          <w:snapToGrid w:val="0"/>
        </w:rPr>
        <w:tab/>
        <w:t>Notice to be exhibited</w:t>
      </w:r>
      <w:bookmarkEnd w:id="67"/>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No. 14 of 2010 s. 54.]</w:t>
      </w:r>
    </w:p>
    <w:p>
      <w:pPr>
        <w:pStyle w:val="Heading2"/>
      </w:pPr>
      <w:bookmarkStart w:id="68" w:name="_Toc100325634"/>
      <w:bookmarkStart w:id="69" w:name="_Toc100325740"/>
      <w:bookmarkStart w:id="70" w:name="_Toc100567994"/>
      <w:r>
        <w:rPr>
          <w:rStyle w:val="CharPartNo"/>
        </w:rPr>
        <w:lastRenderedPageBreak/>
        <w:t>Part IV</w:t>
      </w:r>
      <w:r>
        <w:t> — </w:t>
      </w:r>
      <w:r>
        <w:rPr>
          <w:rStyle w:val="CharPartText"/>
        </w:rPr>
        <w:t>Controls</w:t>
      </w:r>
      <w:bookmarkEnd w:id="68"/>
      <w:bookmarkEnd w:id="69"/>
      <w:bookmarkEnd w:id="70"/>
      <w:r>
        <w:rPr>
          <w:rStyle w:val="CharPartText"/>
        </w:rPr>
        <w:t xml:space="preserve"> </w:t>
      </w:r>
    </w:p>
    <w:p>
      <w:pPr>
        <w:pStyle w:val="Heading3"/>
        <w:rPr>
          <w:snapToGrid w:val="0"/>
        </w:rPr>
      </w:pPr>
      <w:bookmarkStart w:id="71" w:name="_Toc100325635"/>
      <w:bookmarkStart w:id="72" w:name="_Toc100325741"/>
      <w:bookmarkStart w:id="73" w:name="_Toc100567995"/>
      <w:r>
        <w:rPr>
          <w:rStyle w:val="CharDivNo"/>
        </w:rPr>
        <w:t>Division 1</w:t>
      </w:r>
      <w:r>
        <w:rPr>
          <w:snapToGrid w:val="0"/>
        </w:rPr>
        <w:t> — </w:t>
      </w:r>
      <w:r>
        <w:rPr>
          <w:rStyle w:val="CharDivText"/>
        </w:rPr>
        <w:t>General</w:t>
      </w:r>
      <w:bookmarkEnd w:id="71"/>
      <w:bookmarkEnd w:id="72"/>
      <w:bookmarkEnd w:id="73"/>
      <w:r>
        <w:rPr>
          <w:rStyle w:val="CharDivText"/>
        </w:rPr>
        <w:t xml:space="preserve"> </w:t>
      </w:r>
    </w:p>
    <w:p>
      <w:pPr>
        <w:pStyle w:val="Heading5"/>
        <w:rPr>
          <w:snapToGrid w:val="0"/>
        </w:rPr>
      </w:pPr>
      <w:bookmarkStart w:id="74" w:name="_Toc100567996"/>
      <w:r>
        <w:rPr>
          <w:rStyle w:val="CharSectno"/>
        </w:rPr>
        <w:t>43</w:t>
      </w:r>
      <w:r>
        <w:rPr>
          <w:snapToGrid w:val="0"/>
        </w:rPr>
        <w:t>.</w:t>
      </w:r>
      <w:r>
        <w:rPr>
          <w:snapToGrid w:val="0"/>
        </w:rPr>
        <w:tab/>
        <w:t>Disability of unlicensed person</w:t>
      </w:r>
      <w:bookmarkEnd w:id="74"/>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No. 56 of 1995 s. 23(1); No. 53 of 2004 s. 36; No. 14 of 2010 s. 55.]</w:t>
      </w:r>
    </w:p>
    <w:p>
      <w:pPr>
        <w:pStyle w:val="Heading5"/>
        <w:rPr>
          <w:snapToGrid w:val="0"/>
        </w:rPr>
      </w:pPr>
      <w:bookmarkStart w:id="75" w:name="_Toc100567997"/>
      <w:r>
        <w:rPr>
          <w:rStyle w:val="CharSectno"/>
        </w:rPr>
        <w:t>44</w:t>
      </w:r>
      <w:r>
        <w:rPr>
          <w:snapToGrid w:val="0"/>
        </w:rPr>
        <w:t>.</w:t>
      </w:r>
      <w:r>
        <w:rPr>
          <w:snapToGrid w:val="0"/>
        </w:rPr>
        <w:tab/>
        <w:t>Remuneration of finance brokers</w:t>
      </w:r>
      <w:bookmarkEnd w:id="75"/>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xml:space="preserve">, fix the </w:t>
      </w:r>
      <w:r>
        <w:rPr>
          <w:snapToGrid w:val="0"/>
        </w:rPr>
        <w:lastRenderedPageBreak/>
        <w:t>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 xml:space="preserve">Any commission, reward, or other valuable consideration received or held in contravention of this section may be </w:t>
      </w:r>
      <w:r>
        <w:rPr>
          <w:snapToGrid w:val="0"/>
        </w:rPr>
        <w:lastRenderedPageBreak/>
        <w:t>recovered as a civil debt recoverable summarily in any court of competent jurisdiction.</w:t>
      </w:r>
    </w:p>
    <w:p>
      <w:pPr>
        <w:pStyle w:val="Footnotesection"/>
      </w:pPr>
      <w:r>
        <w:tab/>
        <w:t>[Section 44 amended: No. 53 of 2004 s. 37; No. 14 of 2010 s. 56.]</w:t>
      </w:r>
    </w:p>
    <w:p>
      <w:pPr>
        <w:pStyle w:val="Heading5"/>
        <w:rPr>
          <w:snapToGrid w:val="0"/>
        </w:rPr>
      </w:pPr>
      <w:bookmarkStart w:id="76" w:name="_Toc100567998"/>
      <w:r>
        <w:rPr>
          <w:rStyle w:val="CharSectno"/>
        </w:rPr>
        <w:t>45</w:t>
      </w:r>
      <w:r>
        <w:rPr>
          <w:snapToGrid w:val="0"/>
        </w:rPr>
        <w:t>.</w:t>
      </w:r>
      <w:r>
        <w:rPr>
          <w:snapToGrid w:val="0"/>
        </w:rPr>
        <w:tab/>
        <w:t>Advertisements by licensees</w:t>
      </w:r>
      <w:bookmarkEnd w:id="76"/>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rPr>
          <w:iCs/>
          <w:vertAlign w:val="superscript"/>
        </w:rPr>
        <w:t> 3</w:t>
      </w:r>
      <w:r>
        <w:t>.</w:t>
      </w:r>
    </w:p>
    <w:p>
      <w:pPr>
        <w:pStyle w:val="Footnotesection"/>
      </w:pPr>
      <w:r>
        <w:tab/>
        <w:t>[Section 45 amended: No. 53 of 2004 s. 38; No. 14 of 2010 s. 57.]</w:t>
      </w:r>
    </w:p>
    <w:p>
      <w:pPr>
        <w:pStyle w:val="Heading5"/>
        <w:rPr>
          <w:snapToGrid w:val="0"/>
        </w:rPr>
      </w:pPr>
      <w:bookmarkStart w:id="77" w:name="_Toc100567999"/>
      <w:r>
        <w:rPr>
          <w:rStyle w:val="CharSectno"/>
        </w:rPr>
        <w:lastRenderedPageBreak/>
        <w:t>46</w:t>
      </w:r>
      <w:r>
        <w:rPr>
          <w:snapToGrid w:val="0"/>
        </w:rPr>
        <w:t>.</w:t>
      </w:r>
      <w:r>
        <w:rPr>
          <w:snapToGrid w:val="0"/>
        </w:rPr>
        <w:tab/>
        <w:t>Copy of loan documents</w:t>
      </w:r>
      <w:bookmarkEnd w:id="77"/>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No. 14 of 2010 s. 58.]</w:t>
      </w:r>
    </w:p>
    <w:p>
      <w:pPr>
        <w:pStyle w:val="Heading3"/>
        <w:rPr>
          <w:snapToGrid w:val="0"/>
        </w:rPr>
      </w:pPr>
      <w:bookmarkStart w:id="78" w:name="_Toc100325640"/>
      <w:bookmarkStart w:id="79" w:name="_Toc100325746"/>
      <w:bookmarkStart w:id="80" w:name="_Toc100568000"/>
      <w:r>
        <w:rPr>
          <w:rStyle w:val="CharDivNo"/>
        </w:rPr>
        <w:t>Division 2</w:t>
      </w:r>
      <w:r>
        <w:rPr>
          <w:snapToGrid w:val="0"/>
        </w:rPr>
        <w:t> — </w:t>
      </w:r>
      <w:r>
        <w:rPr>
          <w:rStyle w:val="CharDivText"/>
        </w:rPr>
        <w:t>Trust accounts</w:t>
      </w:r>
      <w:bookmarkEnd w:id="78"/>
      <w:bookmarkEnd w:id="79"/>
      <w:bookmarkEnd w:id="80"/>
      <w:r>
        <w:rPr>
          <w:rStyle w:val="CharDivText"/>
        </w:rPr>
        <w:t xml:space="preserve"> </w:t>
      </w:r>
    </w:p>
    <w:p>
      <w:pPr>
        <w:pStyle w:val="Heading5"/>
        <w:rPr>
          <w:snapToGrid w:val="0"/>
        </w:rPr>
      </w:pPr>
      <w:bookmarkStart w:id="81" w:name="_Toc100568001"/>
      <w:r>
        <w:rPr>
          <w:rStyle w:val="CharSectno"/>
        </w:rPr>
        <w:t>47</w:t>
      </w:r>
      <w:r>
        <w:rPr>
          <w:snapToGrid w:val="0"/>
        </w:rPr>
        <w:t>.</w:t>
      </w:r>
      <w:r>
        <w:rPr>
          <w:snapToGrid w:val="0"/>
        </w:rPr>
        <w:tab/>
        <w:t>Terms used</w:t>
      </w:r>
      <w:bookmarkEnd w:id="81"/>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82" w:name="_Toc100568002"/>
      <w:r>
        <w:rPr>
          <w:rStyle w:val="CharSectno"/>
        </w:rPr>
        <w:t>48</w:t>
      </w:r>
      <w:r>
        <w:rPr>
          <w:snapToGrid w:val="0"/>
        </w:rPr>
        <w:t>.</w:t>
      </w:r>
      <w:r>
        <w:rPr>
          <w:snapToGrid w:val="0"/>
        </w:rPr>
        <w:tab/>
        <w:t>Trust accounts</w:t>
      </w:r>
      <w:bookmarkEnd w:id="82"/>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lastRenderedPageBreak/>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48 amended: No. 14 of 2010 s. 59.]</w:t>
      </w:r>
    </w:p>
    <w:p>
      <w:pPr>
        <w:pStyle w:val="Heading5"/>
        <w:rPr>
          <w:snapToGrid w:val="0"/>
        </w:rPr>
      </w:pPr>
      <w:bookmarkStart w:id="83" w:name="_Toc100568003"/>
      <w:r>
        <w:rPr>
          <w:rStyle w:val="CharSectno"/>
        </w:rPr>
        <w:t>49</w:t>
      </w:r>
      <w:r>
        <w:rPr>
          <w:snapToGrid w:val="0"/>
        </w:rPr>
        <w:t>.</w:t>
      </w:r>
      <w:r>
        <w:rPr>
          <w:snapToGrid w:val="0"/>
        </w:rPr>
        <w:tab/>
        <w:t>Receipts and accounting to principal</w:t>
      </w:r>
      <w:bookmarkEnd w:id="83"/>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lastRenderedPageBreak/>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No. 53 of 2004 s. 39; No. 14 of 2010 s. 60.]</w:t>
      </w:r>
    </w:p>
    <w:p>
      <w:pPr>
        <w:pStyle w:val="Heading5"/>
        <w:rPr>
          <w:snapToGrid w:val="0"/>
        </w:rPr>
      </w:pPr>
      <w:bookmarkStart w:id="84" w:name="_Toc100568004"/>
      <w:r>
        <w:rPr>
          <w:rStyle w:val="CharSectno"/>
        </w:rPr>
        <w:t>50</w:t>
      </w:r>
      <w:r>
        <w:rPr>
          <w:snapToGrid w:val="0"/>
        </w:rPr>
        <w:t>.</w:t>
      </w:r>
      <w:r>
        <w:rPr>
          <w:snapToGrid w:val="0"/>
        </w:rPr>
        <w:tab/>
        <w:t>Duty of finance broker to have trust accounts audited</w:t>
      </w:r>
      <w:bookmarkEnd w:id="84"/>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lastRenderedPageBreak/>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w:t>
      </w:r>
      <w:r>
        <w:rPr>
          <w:snapToGrid w:val="0"/>
        </w:rPr>
        <w:lastRenderedPageBreak/>
        <w:t xml:space="preserve">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No. 53 of 2004 s. 40; No. 46 of 2009 s. 17; No. 14 of 2010 s. 61.]</w:t>
      </w:r>
    </w:p>
    <w:p>
      <w:pPr>
        <w:pStyle w:val="Heading5"/>
        <w:rPr>
          <w:snapToGrid w:val="0"/>
        </w:rPr>
      </w:pPr>
      <w:bookmarkStart w:id="85" w:name="_Toc100568005"/>
      <w:r>
        <w:rPr>
          <w:rStyle w:val="CharSectno"/>
        </w:rPr>
        <w:t>51</w:t>
      </w:r>
      <w:r>
        <w:rPr>
          <w:snapToGrid w:val="0"/>
        </w:rPr>
        <w:t>.</w:t>
      </w:r>
      <w:r>
        <w:rPr>
          <w:snapToGrid w:val="0"/>
        </w:rPr>
        <w:tab/>
        <w:t>Variation of date of audit</w:t>
      </w:r>
      <w:bookmarkEnd w:id="85"/>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lastRenderedPageBreak/>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No. 53 of 2004 s. 41.]</w:t>
      </w:r>
    </w:p>
    <w:p>
      <w:pPr>
        <w:pStyle w:val="Heading5"/>
        <w:spacing w:before="240"/>
        <w:rPr>
          <w:snapToGrid w:val="0"/>
        </w:rPr>
      </w:pPr>
      <w:bookmarkStart w:id="86" w:name="_Toc100568006"/>
      <w:r>
        <w:rPr>
          <w:rStyle w:val="CharSectno"/>
        </w:rPr>
        <w:t>52</w:t>
      </w:r>
      <w:r>
        <w:rPr>
          <w:snapToGrid w:val="0"/>
        </w:rPr>
        <w:t>.</w:t>
      </w:r>
      <w:r>
        <w:rPr>
          <w:snapToGrid w:val="0"/>
        </w:rPr>
        <w:tab/>
        <w:t>Qualification and approval of auditors</w:t>
      </w:r>
      <w:bookmarkEnd w:id="86"/>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No. 10 of 1982 s. 28; No. 10 of 2001 s. 221; No. 53 of 2004 s. 42.] </w:t>
      </w:r>
    </w:p>
    <w:p>
      <w:pPr>
        <w:pStyle w:val="Heading5"/>
        <w:rPr>
          <w:snapToGrid w:val="0"/>
        </w:rPr>
      </w:pPr>
      <w:bookmarkStart w:id="87" w:name="_Toc100568007"/>
      <w:r>
        <w:rPr>
          <w:rStyle w:val="CharSectno"/>
        </w:rPr>
        <w:t>53</w:t>
      </w:r>
      <w:r>
        <w:rPr>
          <w:snapToGrid w:val="0"/>
        </w:rPr>
        <w:t>.</w:t>
      </w:r>
      <w:r>
        <w:rPr>
          <w:snapToGrid w:val="0"/>
        </w:rPr>
        <w:tab/>
        <w:t>Appointment of auditor</w:t>
      </w:r>
      <w:bookmarkEnd w:id="87"/>
      <w:r>
        <w:rPr>
          <w:snapToGrid w:val="0"/>
        </w:rPr>
        <w:t xml:space="preserve"> </w:t>
      </w:r>
    </w:p>
    <w:p>
      <w:pPr>
        <w:pStyle w:val="Subsection"/>
        <w:rPr>
          <w:snapToGrid w:val="0"/>
        </w:rPr>
      </w:pPr>
      <w:r>
        <w:rPr>
          <w:snapToGrid w:val="0"/>
        </w:rPr>
        <w:tab/>
        <w:t>(1)</w:t>
      </w:r>
      <w:r>
        <w:rPr>
          <w:snapToGrid w:val="0"/>
        </w:rPr>
        <w:tab/>
        <w:t xml:space="preserve">Subject to the provisions of this Division the auditor by whom the audit of, and reports on, a finance broker’s trust accounts are </w:t>
      </w:r>
      <w:r>
        <w:rPr>
          <w:snapToGrid w:val="0"/>
        </w:rPr>
        <w:lastRenderedPageBreak/>
        <w:t>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No. 53 of 2004 s. 43; No. 14 of 2010 s. 62.]</w:t>
      </w:r>
    </w:p>
    <w:p>
      <w:pPr>
        <w:pStyle w:val="Heading5"/>
        <w:rPr>
          <w:snapToGrid w:val="0"/>
        </w:rPr>
      </w:pPr>
      <w:bookmarkStart w:id="88" w:name="_Toc100568008"/>
      <w:r>
        <w:rPr>
          <w:rStyle w:val="CharSectno"/>
        </w:rPr>
        <w:t>54</w:t>
      </w:r>
      <w:r>
        <w:rPr>
          <w:snapToGrid w:val="0"/>
        </w:rPr>
        <w:t>.</w:t>
      </w:r>
      <w:r>
        <w:rPr>
          <w:snapToGrid w:val="0"/>
        </w:rPr>
        <w:tab/>
        <w:t>Power to give directions for audit of business carried on at more than one place</w:t>
      </w:r>
      <w:bookmarkEnd w:id="88"/>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r>
        <w:tab/>
        <w:t>[Section 54 amended: No. 53 of 2004 s. 44; No. 14 of 2010 s. 63.]</w:t>
      </w:r>
    </w:p>
    <w:p>
      <w:pPr>
        <w:pStyle w:val="Heading5"/>
        <w:rPr>
          <w:snapToGrid w:val="0"/>
        </w:rPr>
      </w:pPr>
      <w:bookmarkStart w:id="89" w:name="_Toc100568009"/>
      <w:r>
        <w:rPr>
          <w:rStyle w:val="CharSectno"/>
        </w:rPr>
        <w:t>55</w:t>
      </w:r>
      <w:r>
        <w:rPr>
          <w:snapToGrid w:val="0"/>
        </w:rPr>
        <w:t>.</w:t>
      </w:r>
      <w:r>
        <w:rPr>
          <w:snapToGrid w:val="0"/>
        </w:rPr>
        <w:tab/>
        <w:t>Alteration of rights under this Division</w:t>
      </w:r>
      <w:bookmarkEnd w:id="89"/>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No. 53 of 2004 s. 45.]</w:t>
      </w:r>
    </w:p>
    <w:p>
      <w:pPr>
        <w:pStyle w:val="Ednotesection"/>
      </w:pPr>
      <w:r>
        <w:t>[</w:t>
      </w:r>
      <w:r>
        <w:rPr>
          <w:b/>
          <w:bCs/>
        </w:rPr>
        <w:t>56.</w:t>
      </w:r>
      <w:r>
        <w:tab/>
        <w:t>Deleted: No. 55 of 2004 s. 353.]</w:t>
      </w:r>
    </w:p>
    <w:p>
      <w:pPr>
        <w:pStyle w:val="Heading5"/>
        <w:rPr>
          <w:snapToGrid w:val="0"/>
        </w:rPr>
      </w:pPr>
      <w:bookmarkStart w:id="90" w:name="_Toc100568010"/>
      <w:r>
        <w:rPr>
          <w:rStyle w:val="CharSectno"/>
        </w:rPr>
        <w:lastRenderedPageBreak/>
        <w:t>57</w:t>
      </w:r>
      <w:r>
        <w:rPr>
          <w:snapToGrid w:val="0"/>
        </w:rPr>
        <w:t>.</w:t>
      </w:r>
      <w:r>
        <w:rPr>
          <w:snapToGrid w:val="0"/>
        </w:rPr>
        <w:tab/>
        <w:t>Duties of finance brokers with respect to audit</w:t>
      </w:r>
      <w:bookmarkEnd w:id="90"/>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91" w:name="_Toc100568011"/>
      <w:r>
        <w:rPr>
          <w:rStyle w:val="CharSectno"/>
        </w:rPr>
        <w:t>58</w:t>
      </w:r>
      <w:r>
        <w:rPr>
          <w:snapToGrid w:val="0"/>
        </w:rPr>
        <w:t>.</w:t>
      </w:r>
      <w:r>
        <w:rPr>
          <w:snapToGrid w:val="0"/>
        </w:rPr>
        <w:tab/>
        <w:t>Duty of banker with respect to audit</w:t>
      </w:r>
      <w:bookmarkEnd w:id="91"/>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92" w:name="_Toc100568012"/>
      <w:r>
        <w:rPr>
          <w:rStyle w:val="CharSectno"/>
        </w:rPr>
        <w:t>59</w:t>
      </w:r>
      <w:r>
        <w:rPr>
          <w:snapToGrid w:val="0"/>
        </w:rPr>
        <w:t>.</w:t>
      </w:r>
      <w:r>
        <w:rPr>
          <w:snapToGrid w:val="0"/>
        </w:rPr>
        <w:tab/>
        <w:t>Contents of auditor’s report</w:t>
      </w:r>
      <w:bookmarkEnd w:id="92"/>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 and</w:t>
      </w:r>
    </w:p>
    <w:p>
      <w:pPr>
        <w:pStyle w:val="Indenta"/>
        <w:rPr>
          <w:snapToGrid w:val="0"/>
        </w:rPr>
      </w:pPr>
      <w:r>
        <w:rPr>
          <w:snapToGrid w:val="0"/>
        </w:rPr>
        <w:tab/>
        <w:t>(b)</w:t>
      </w:r>
      <w:r>
        <w:rPr>
          <w:snapToGrid w:val="0"/>
        </w:rPr>
        <w:tab/>
        <w:t>whether the trust accounts of such finance broker have been ready for examination at the periods appointed by the auditor; and</w:t>
      </w:r>
    </w:p>
    <w:p>
      <w:pPr>
        <w:pStyle w:val="Indenta"/>
        <w:rPr>
          <w:snapToGrid w:val="0"/>
        </w:rPr>
      </w:pPr>
      <w:r>
        <w:rPr>
          <w:snapToGrid w:val="0"/>
        </w:rPr>
        <w:tab/>
        <w:t>(c)</w:t>
      </w:r>
      <w:r>
        <w:rPr>
          <w:snapToGrid w:val="0"/>
        </w:rPr>
        <w:tab/>
        <w:t>whether such finance broker has complied with the auditor’s requirements; and</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lastRenderedPageBreak/>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No. 53 of 2004 s. 46.]</w:t>
      </w:r>
    </w:p>
    <w:p>
      <w:pPr>
        <w:pStyle w:val="Heading5"/>
        <w:rPr>
          <w:snapToGrid w:val="0"/>
        </w:rPr>
      </w:pPr>
      <w:bookmarkStart w:id="93" w:name="_Toc100568013"/>
      <w:r>
        <w:rPr>
          <w:rStyle w:val="CharSectno"/>
        </w:rPr>
        <w:t>60</w:t>
      </w:r>
      <w:r>
        <w:rPr>
          <w:snapToGrid w:val="0"/>
        </w:rPr>
        <w:t>.</w:t>
      </w:r>
      <w:r>
        <w:rPr>
          <w:snapToGrid w:val="0"/>
        </w:rPr>
        <w:tab/>
        <w:t>Statement of moneys etc. held by finance broker for or on behalf of other persons</w:t>
      </w:r>
      <w:bookmarkEnd w:id="93"/>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w:t>
      </w:r>
      <w:r>
        <w:rPr>
          <w:snapToGrid w:val="0"/>
        </w:rPr>
        <w:lastRenderedPageBreak/>
        <w:t>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No. 14 of 2010 s. 64.]</w:t>
      </w:r>
    </w:p>
    <w:p>
      <w:pPr>
        <w:pStyle w:val="Heading5"/>
        <w:rPr>
          <w:snapToGrid w:val="0"/>
        </w:rPr>
      </w:pPr>
      <w:bookmarkStart w:id="94" w:name="_Toc100568014"/>
      <w:r>
        <w:rPr>
          <w:rStyle w:val="CharSectno"/>
        </w:rPr>
        <w:t>61</w:t>
      </w:r>
      <w:r>
        <w:rPr>
          <w:snapToGrid w:val="0"/>
        </w:rPr>
        <w:t>.</w:t>
      </w:r>
      <w:r>
        <w:rPr>
          <w:snapToGrid w:val="0"/>
        </w:rPr>
        <w:tab/>
        <w:t>Auditor’s report where finance broker has not complied with Act etc.</w:t>
      </w:r>
      <w:bookmarkEnd w:id="94"/>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r>
        <w:tab/>
        <w:t>[Section 61 amended: No. 53 of 2004 s. 47; No. 14 of 2010 s. 65.]</w:t>
      </w:r>
    </w:p>
    <w:p>
      <w:pPr>
        <w:pStyle w:val="Heading5"/>
        <w:rPr>
          <w:snapToGrid w:val="0"/>
        </w:rPr>
      </w:pPr>
      <w:bookmarkStart w:id="95" w:name="_Toc100568015"/>
      <w:r>
        <w:rPr>
          <w:rStyle w:val="CharSectno"/>
        </w:rPr>
        <w:t>62</w:t>
      </w:r>
      <w:r>
        <w:rPr>
          <w:snapToGrid w:val="0"/>
        </w:rPr>
        <w:t>.</w:t>
      </w:r>
      <w:r>
        <w:rPr>
          <w:snapToGrid w:val="0"/>
        </w:rPr>
        <w:tab/>
        <w:t>Non</w:t>
      </w:r>
      <w:r>
        <w:rPr>
          <w:snapToGrid w:val="0"/>
        </w:rPr>
        <w:noBreakHyphen/>
        <w:t>disclosure by auditors</w:t>
      </w:r>
      <w:bookmarkEnd w:id="95"/>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lastRenderedPageBreak/>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96" w:name="_Toc100568016"/>
      <w:r>
        <w:rPr>
          <w:rStyle w:val="CharSectno"/>
        </w:rPr>
        <w:t>63</w:t>
      </w:r>
      <w:r>
        <w:rPr>
          <w:snapToGrid w:val="0"/>
        </w:rPr>
        <w:t>.</w:t>
      </w:r>
      <w:r>
        <w:rPr>
          <w:snapToGrid w:val="0"/>
        </w:rPr>
        <w:tab/>
        <w:t>Right of persons beneficially interested to obtain information</w:t>
      </w:r>
      <w:bookmarkEnd w:id="96"/>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r>
        <w:tab/>
        <w:t>[Section 63 amended: No. 53 of 2004 s. 48.]</w:t>
      </w:r>
    </w:p>
    <w:p>
      <w:pPr>
        <w:pStyle w:val="Heading5"/>
        <w:rPr>
          <w:snapToGrid w:val="0"/>
        </w:rPr>
      </w:pPr>
      <w:bookmarkStart w:id="97" w:name="_Toc100568017"/>
      <w:r>
        <w:rPr>
          <w:rStyle w:val="CharSectno"/>
        </w:rPr>
        <w:t>64</w:t>
      </w:r>
      <w:r>
        <w:rPr>
          <w:snapToGrid w:val="0"/>
        </w:rPr>
        <w:t>.</w:t>
      </w:r>
      <w:r>
        <w:rPr>
          <w:snapToGrid w:val="0"/>
        </w:rPr>
        <w:tab/>
        <w:t>Penalty for breach</w:t>
      </w:r>
      <w:bookmarkEnd w:id="97"/>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64 amended: No. 53 of 2004 s. 49.]</w:t>
      </w:r>
    </w:p>
    <w:p>
      <w:pPr>
        <w:pStyle w:val="Heading5"/>
        <w:rPr>
          <w:snapToGrid w:val="0"/>
        </w:rPr>
      </w:pPr>
      <w:bookmarkStart w:id="98" w:name="_Toc100568018"/>
      <w:r>
        <w:rPr>
          <w:rStyle w:val="CharSectno"/>
        </w:rPr>
        <w:lastRenderedPageBreak/>
        <w:t>65</w:t>
      </w:r>
      <w:r>
        <w:rPr>
          <w:snapToGrid w:val="0"/>
        </w:rPr>
        <w:t>.</w:t>
      </w:r>
      <w:r>
        <w:rPr>
          <w:snapToGrid w:val="0"/>
        </w:rPr>
        <w:tab/>
        <w:t>Remuneration of auditor</w:t>
      </w:r>
      <w:bookmarkEnd w:id="98"/>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99" w:name="_Toc100568019"/>
      <w:r>
        <w:rPr>
          <w:rStyle w:val="CharSectno"/>
        </w:rPr>
        <w:t>66</w:t>
      </w:r>
      <w:r>
        <w:rPr>
          <w:snapToGrid w:val="0"/>
        </w:rPr>
        <w:t>.</w:t>
      </w:r>
      <w:r>
        <w:rPr>
          <w:snapToGrid w:val="0"/>
        </w:rPr>
        <w:tab/>
        <w:t>Finance brokers having no accounts to audit</w:t>
      </w:r>
      <w:bookmarkEnd w:id="99"/>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r>
        <w:tab/>
        <w:t>[Section 66 amended: No. 53 of 2004 s. 50; No. 14 of 2010 s. 66.]</w:t>
      </w:r>
    </w:p>
    <w:p>
      <w:pPr>
        <w:pStyle w:val="Heading5"/>
        <w:rPr>
          <w:snapToGrid w:val="0"/>
        </w:rPr>
      </w:pPr>
      <w:bookmarkStart w:id="100" w:name="_Toc100568020"/>
      <w:r>
        <w:rPr>
          <w:rStyle w:val="CharSectno"/>
        </w:rPr>
        <w:t>67</w:t>
      </w:r>
      <w:r>
        <w:rPr>
          <w:snapToGrid w:val="0"/>
        </w:rPr>
        <w:t>.</w:t>
      </w:r>
      <w:r>
        <w:rPr>
          <w:snapToGrid w:val="0"/>
        </w:rPr>
        <w:tab/>
        <w:t>Accounts of firm or body corporate or finance broker with branch office</w:t>
      </w:r>
      <w:bookmarkEnd w:id="100"/>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 xml:space="preserve">Where trust accounts are kept by a finance broker who or which has a branch office an audit of those accounts under this Division and the certificates and report of the auditor thereof operate as regards those trust accounts as an audit certificate and </w:t>
      </w:r>
      <w:r>
        <w:rPr>
          <w:snapToGrid w:val="0"/>
        </w:rPr>
        <w:lastRenderedPageBreak/>
        <w:t>report in relation to a finance broker who is the manager of the branch office.</w:t>
      </w:r>
    </w:p>
    <w:p>
      <w:pPr>
        <w:pStyle w:val="Heading5"/>
        <w:rPr>
          <w:snapToGrid w:val="0"/>
        </w:rPr>
      </w:pPr>
      <w:bookmarkStart w:id="101" w:name="_Toc100568021"/>
      <w:r>
        <w:rPr>
          <w:rStyle w:val="CharSectno"/>
        </w:rPr>
        <w:t>68</w:t>
      </w:r>
      <w:r>
        <w:rPr>
          <w:snapToGrid w:val="0"/>
        </w:rPr>
        <w:t>.</w:t>
      </w:r>
      <w:r>
        <w:rPr>
          <w:snapToGrid w:val="0"/>
        </w:rPr>
        <w:tab/>
        <w:t>Power of Commissioner to order audit of trust account</w:t>
      </w:r>
      <w:bookmarkEnd w:id="101"/>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No. 53 of 2004 s. 51; No. 14 of 2010 s. 67.]</w:t>
      </w:r>
    </w:p>
    <w:p>
      <w:pPr>
        <w:pStyle w:val="Heading5"/>
        <w:rPr>
          <w:snapToGrid w:val="0"/>
        </w:rPr>
      </w:pPr>
      <w:bookmarkStart w:id="102" w:name="_Toc100568022"/>
      <w:r>
        <w:rPr>
          <w:rStyle w:val="CharSectno"/>
        </w:rPr>
        <w:t>69</w:t>
      </w:r>
      <w:r>
        <w:rPr>
          <w:snapToGrid w:val="0"/>
        </w:rPr>
        <w:t>.</w:t>
      </w:r>
      <w:r>
        <w:rPr>
          <w:snapToGrid w:val="0"/>
        </w:rPr>
        <w:tab/>
        <w:t>Finance broker to produce books etc. to auditor</w:t>
      </w:r>
      <w:bookmarkEnd w:id="102"/>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r>
        <w:tab/>
        <w:t>[Section 69 amended: No. 53 of 2004 s. 52; No. 14 of 2010 s. 68.]</w:t>
      </w:r>
    </w:p>
    <w:p>
      <w:pPr>
        <w:pStyle w:val="Heading5"/>
        <w:rPr>
          <w:snapToGrid w:val="0"/>
        </w:rPr>
      </w:pPr>
      <w:bookmarkStart w:id="103" w:name="_Toc100568023"/>
      <w:r>
        <w:rPr>
          <w:rStyle w:val="CharSectno"/>
        </w:rPr>
        <w:t>70</w:t>
      </w:r>
      <w:r>
        <w:rPr>
          <w:snapToGrid w:val="0"/>
        </w:rPr>
        <w:t>.</w:t>
      </w:r>
      <w:r>
        <w:rPr>
          <w:snapToGrid w:val="0"/>
        </w:rPr>
        <w:tab/>
        <w:t>Cost of audit</w:t>
      </w:r>
      <w:bookmarkEnd w:id="103"/>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 xml:space="preserve">chief </w:t>
      </w:r>
      <w:r>
        <w:lastRenderedPageBreak/>
        <w:t>executive officer</w:t>
      </w:r>
      <w:r>
        <w:rPr>
          <w:snapToGrid w:val="0"/>
        </w:rPr>
        <w:t xml:space="preserve"> or by the finance broker whose trust accounts have been the subject of the audit.</w:t>
      </w:r>
    </w:p>
    <w:p>
      <w:pPr>
        <w:pStyle w:val="Footnotesection"/>
      </w:pPr>
      <w:r>
        <w:tab/>
        <w:t>[Section 70 amended: No. 53 of 2004 s. 53.]</w:t>
      </w:r>
    </w:p>
    <w:p>
      <w:pPr>
        <w:pStyle w:val="Heading5"/>
        <w:rPr>
          <w:snapToGrid w:val="0"/>
        </w:rPr>
      </w:pPr>
      <w:bookmarkStart w:id="104" w:name="_Toc100568024"/>
      <w:r>
        <w:rPr>
          <w:rStyle w:val="CharSectno"/>
        </w:rPr>
        <w:t>71</w:t>
      </w:r>
      <w:r>
        <w:rPr>
          <w:snapToGrid w:val="0"/>
        </w:rPr>
        <w:t>.</w:t>
      </w:r>
      <w:r>
        <w:rPr>
          <w:snapToGrid w:val="0"/>
        </w:rPr>
        <w:tab/>
        <w:t>Application of s. 62</w:t>
      </w:r>
      <w:bookmarkEnd w:id="104"/>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r>
        <w:tab/>
        <w:t>[Section 71 amended: No. 53 of 2004 s. 54.]</w:t>
      </w:r>
    </w:p>
    <w:p>
      <w:pPr>
        <w:pStyle w:val="Heading5"/>
        <w:rPr>
          <w:snapToGrid w:val="0"/>
        </w:rPr>
      </w:pPr>
      <w:bookmarkStart w:id="105" w:name="_Toc100568025"/>
      <w:r>
        <w:rPr>
          <w:rStyle w:val="CharSectno"/>
        </w:rPr>
        <w:t>72</w:t>
      </w:r>
      <w:r>
        <w:rPr>
          <w:snapToGrid w:val="0"/>
        </w:rPr>
        <w:t>.</w:t>
      </w:r>
      <w:r>
        <w:rPr>
          <w:snapToGrid w:val="0"/>
        </w:rPr>
        <w:tab/>
        <w:t>Power of restraining dealing with trust accounts or other accounts</w:t>
      </w:r>
      <w:bookmarkEnd w:id="105"/>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 — </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 xml:space="preserve">the State Administrative Tribunal may, if it thinks fit, make an order that the manager or other officer for the time being in charge of the bank in which the trust account or any other account in the name of the finance broker is kept, be restrained, </w:t>
      </w:r>
      <w:r>
        <w:rPr>
          <w:snapToGrid w:val="0"/>
        </w:rPr>
        <w:lastRenderedPageBreak/>
        <w:t>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No. 53 of 2004 s. 55; No. 55 of 2004 s. 358; No. 14 of 2010 s. 69.]</w:t>
      </w:r>
    </w:p>
    <w:p>
      <w:pPr>
        <w:pStyle w:val="Ednotesection"/>
      </w:pPr>
      <w:r>
        <w:t>[</w:t>
      </w:r>
      <w:r>
        <w:rPr>
          <w:b/>
          <w:bCs/>
        </w:rPr>
        <w:t>73-80.</w:t>
      </w:r>
      <w:r>
        <w:tab/>
        <w:t>Deleted: No. 14 of 2010 s. 70.]</w:t>
      </w:r>
    </w:p>
    <w:p>
      <w:pPr>
        <w:pStyle w:val="Heading3"/>
        <w:spacing w:before="260"/>
        <w:rPr>
          <w:snapToGrid w:val="0"/>
        </w:rPr>
      </w:pPr>
      <w:bookmarkStart w:id="106" w:name="_Toc100325666"/>
      <w:bookmarkStart w:id="107" w:name="_Toc100325772"/>
      <w:bookmarkStart w:id="108" w:name="_Toc100568026"/>
      <w:r>
        <w:rPr>
          <w:rStyle w:val="CharDivNo"/>
        </w:rPr>
        <w:lastRenderedPageBreak/>
        <w:t>Division 3</w:t>
      </w:r>
      <w:r>
        <w:rPr>
          <w:snapToGrid w:val="0"/>
        </w:rPr>
        <w:t> — </w:t>
      </w:r>
      <w:r>
        <w:rPr>
          <w:rStyle w:val="CharDivText"/>
        </w:rPr>
        <w:t>Discipline</w:t>
      </w:r>
      <w:bookmarkEnd w:id="106"/>
      <w:bookmarkEnd w:id="107"/>
      <w:bookmarkEnd w:id="108"/>
      <w:r>
        <w:rPr>
          <w:rStyle w:val="CharDivText"/>
        </w:rPr>
        <w:t xml:space="preserve"> </w:t>
      </w:r>
    </w:p>
    <w:p>
      <w:pPr>
        <w:pStyle w:val="Heading5"/>
        <w:spacing w:before="240"/>
        <w:rPr>
          <w:snapToGrid w:val="0"/>
        </w:rPr>
      </w:pPr>
      <w:bookmarkStart w:id="109" w:name="_Toc100568027"/>
      <w:r>
        <w:rPr>
          <w:rStyle w:val="CharSectno"/>
        </w:rPr>
        <w:t>81</w:t>
      </w:r>
      <w:r>
        <w:rPr>
          <w:snapToGrid w:val="0"/>
        </w:rPr>
        <w:t>.</w:t>
      </w:r>
      <w:r>
        <w:rPr>
          <w:snapToGrid w:val="0"/>
        </w:rPr>
        <w:tab/>
        <w:t>Code of conduct for finance brokers</w:t>
      </w:r>
      <w:bookmarkEnd w:id="109"/>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r>
        <w:tab/>
        <w:t>[Section 81 amended: No. 53 of 2004 s. 63.]</w:t>
      </w:r>
    </w:p>
    <w:p>
      <w:pPr>
        <w:pStyle w:val="Heading5"/>
        <w:spacing w:before="240"/>
        <w:rPr>
          <w:snapToGrid w:val="0"/>
        </w:rPr>
      </w:pPr>
      <w:bookmarkStart w:id="110" w:name="_Toc100568028"/>
      <w:r>
        <w:rPr>
          <w:rStyle w:val="CharSectno"/>
        </w:rPr>
        <w:t>82</w:t>
      </w:r>
      <w:r>
        <w:t>.</w:t>
      </w:r>
      <w:r>
        <w:tab/>
        <w:t>Dis</w:t>
      </w:r>
      <w:r>
        <w:rPr>
          <w:snapToGrid w:val="0"/>
        </w:rPr>
        <w:t>ciplinary proceedings against finance brokers</w:t>
      </w:r>
      <w:bookmarkEnd w:id="110"/>
    </w:p>
    <w:p>
      <w:pPr>
        <w:pStyle w:val="Subsection"/>
        <w:spacing w:before="180"/>
        <w:rPr>
          <w:snapToGrid w:val="0"/>
        </w:rPr>
      </w:pPr>
      <w:r>
        <w:tab/>
      </w:r>
      <w:r>
        <w:tab/>
      </w:r>
      <w:r>
        <w:rPr>
          <w:snapToGrid w:val="0"/>
        </w:rPr>
        <w:t xml:space="preserve">The </w:t>
      </w:r>
      <w:r>
        <w:t>Commissioner</w:t>
      </w:r>
      <w:r>
        <w:rPr>
          <w:snapToGrid w:val="0"/>
        </w:rPr>
        <w:t xml:space="preserve"> may allege to the State Administrative Tribunal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No. 55 of 2004 s. 354; amended: No. 53 of 2004 s. 64; No. 14 of 2010 s. 71.]</w:t>
      </w:r>
    </w:p>
    <w:p>
      <w:pPr>
        <w:pStyle w:val="Ednotesection"/>
        <w:rPr>
          <w:rStyle w:val="CharSectno"/>
        </w:rPr>
      </w:pPr>
      <w:r>
        <w:rPr>
          <w:rStyle w:val="CharSectno"/>
        </w:rPr>
        <w:t>[</w:t>
      </w:r>
      <w:r>
        <w:rPr>
          <w:rStyle w:val="CharSectno"/>
          <w:b/>
          <w:bCs/>
        </w:rPr>
        <w:t>82A.</w:t>
      </w:r>
      <w:r>
        <w:rPr>
          <w:rStyle w:val="CharSectno"/>
        </w:rPr>
        <w:tab/>
        <w:t>Deleted: No. 14 of 2010 s. 72.]</w:t>
      </w:r>
    </w:p>
    <w:p>
      <w:pPr>
        <w:pStyle w:val="Heading5"/>
        <w:rPr>
          <w:snapToGrid w:val="0"/>
        </w:rPr>
      </w:pPr>
      <w:bookmarkStart w:id="111" w:name="_Toc100568029"/>
      <w:r>
        <w:rPr>
          <w:rStyle w:val="CharSectno"/>
        </w:rPr>
        <w:t>83</w:t>
      </w:r>
      <w:r>
        <w:rPr>
          <w:snapToGrid w:val="0"/>
        </w:rPr>
        <w:t>.</w:t>
      </w:r>
      <w:r>
        <w:rPr>
          <w:snapToGrid w:val="0"/>
        </w:rPr>
        <w:tab/>
        <w:t>Powers on inquiry</w:t>
      </w:r>
      <w:bookmarkEnd w:id="111"/>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 or</w:t>
      </w:r>
    </w:p>
    <w:p>
      <w:pPr>
        <w:pStyle w:val="Indenta"/>
        <w:rPr>
          <w:snapToGrid w:val="0"/>
        </w:rPr>
      </w:pPr>
      <w:r>
        <w:rPr>
          <w:snapToGrid w:val="0"/>
        </w:rPr>
        <w:tab/>
        <w:t>(b)</w:t>
      </w:r>
      <w:r>
        <w:rPr>
          <w:snapToGrid w:val="0"/>
        </w:rPr>
        <w:tab/>
        <w:t xml:space="preserve">the finance broker, or any person acting with the authority or upon the instructions of the finance broker, </w:t>
      </w:r>
      <w:r>
        <w:rPr>
          <w:snapToGrid w:val="0"/>
        </w:rPr>
        <w:lastRenderedPageBreak/>
        <w:t xml:space="preserve">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 or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Footnotesection"/>
      </w:pPr>
      <w:r>
        <w:tab/>
        <w:t>[Section 83 amended: No. 56 of 1995 s. 23; No. 53 of 2004 s. 66; No. 55 of 2004 s. 355; No. 14 of 2010 s. 73.]</w:t>
      </w:r>
    </w:p>
    <w:p>
      <w:pPr>
        <w:pStyle w:val="Heading2"/>
      </w:pPr>
      <w:bookmarkStart w:id="112" w:name="_Toc100325670"/>
      <w:bookmarkStart w:id="113" w:name="_Toc100325776"/>
      <w:bookmarkStart w:id="114" w:name="_Toc100568030"/>
      <w:r>
        <w:rPr>
          <w:rStyle w:val="CharPartNo"/>
        </w:rPr>
        <w:lastRenderedPageBreak/>
        <w:t>Part V</w:t>
      </w:r>
      <w:r>
        <w:rPr>
          <w:rStyle w:val="CharDivNo"/>
        </w:rPr>
        <w:t> </w:t>
      </w:r>
      <w:r>
        <w:t>—</w:t>
      </w:r>
      <w:r>
        <w:rPr>
          <w:rStyle w:val="CharDivText"/>
        </w:rPr>
        <w:t> </w:t>
      </w:r>
      <w:r>
        <w:rPr>
          <w:rStyle w:val="CharPartText"/>
        </w:rPr>
        <w:t>Miscellaneous</w:t>
      </w:r>
      <w:bookmarkEnd w:id="112"/>
      <w:bookmarkEnd w:id="113"/>
      <w:bookmarkEnd w:id="114"/>
      <w:r>
        <w:rPr>
          <w:rStyle w:val="CharPartText"/>
        </w:rPr>
        <w:t xml:space="preserve"> </w:t>
      </w:r>
    </w:p>
    <w:p>
      <w:pPr>
        <w:pStyle w:val="Ednotesection"/>
      </w:pPr>
      <w:r>
        <w:t>[</w:t>
      </w:r>
      <w:r>
        <w:rPr>
          <w:b/>
        </w:rPr>
        <w:t>84.</w:t>
      </w:r>
      <w:r>
        <w:tab/>
        <w:t>Deleted: No. 14 of 2010 s. 74.]</w:t>
      </w:r>
    </w:p>
    <w:p>
      <w:pPr>
        <w:pStyle w:val="Heading5"/>
        <w:rPr>
          <w:snapToGrid w:val="0"/>
        </w:rPr>
      </w:pPr>
      <w:bookmarkStart w:id="115" w:name="_Toc100568031"/>
      <w:r>
        <w:rPr>
          <w:rStyle w:val="CharSectno"/>
        </w:rPr>
        <w:t>85</w:t>
      </w:r>
      <w:r>
        <w:rPr>
          <w:snapToGrid w:val="0"/>
        </w:rPr>
        <w:t>.</w:t>
      </w:r>
      <w:r>
        <w:rPr>
          <w:snapToGrid w:val="0"/>
        </w:rPr>
        <w:tab/>
        <w:t>Certificates</w:t>
      </w:r>
      <w:bookmarkEnd w:id="115"/>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Footnotesection"/>
      </w:pPr>
      <w:r>
        <w:tab/>
        <w:t>[Section 85 amended: No. 56 of 1995 s. 23(2); No. 53 of 2004 s. 68; No. 14 of 2010 s. 75.]</w:t>
      </w:r>
    </w:p>
    <w:p>
      <w:pPr>
        <w:pStyle w:val="Ednotesection"/>
      </w:pPr>
      <w:r>
        <w:t>[</w:t>
      </w:r>
      <w:r>
        <w:rPr>
          <w:b/>
          <w:bCs/>
        </w:rPr>
        <w:t>86.</w:t>
      </w:r>
      <w:r>
        <w:tab/>
        <w:t>Deleted: No. 53 of 2004 s. 69.]</w:t>
      </w:r>
    </w:p>
    <w:p>
      <w:pPr>
        <w:pStyle w:val="Heading5"/>
        <w:rPr>
          <w:snapToGrid w:val="0"/>
        </w:rPr>
      </w:pPr>
      <w:bookmarkStart w:id="116" w:name="_Toc100568032"/>
      <w:r>
        <w:rPr>
          <w:rStyle w:val="CharSectno"/>
        </w:rPr>
        <w:t>87</w:t>
      </w:r>
      <w:r>
        <w:rPr>
          <w:snapToGrid w:val="0"/>
        </w:rPr>
        <w:t>.</w:t>
      </w:r>
      <w:r>
        <w:rPr>
          <w:snapToGrid w:val="0"/>
        </w:rPr>
        <w:tab/>
        <w:t>Immunity of officers</w:t>
      </w:r>
      <w:bookmarkEnd w:id="116"/>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No. 53 of 2004 s. 70.]</w:t>
      </w:r>
    </w:p>
    <w:p>
      <w:pPr>
        <w:pStyle w:val="Heading5"/>
      </w:pPr>
      <w:bookmarkStart w:id="117" w:name="_Toc100568033"/>
      <w:r>
        <w:rPr>
          <w:rStyle w:val="CharSectno"/>
        </w:rPr>
        <w:t>88</w:t>
      </w:r>
      <w:r>
        <w:t>.</w:t>
      </w:r>
      <w:r>
        <w:tab/>
        <w:t>Secrecy</w:t>
      </w:r>
      <w:bookmarkEnd w:id="117"/>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 xml:space="preserve">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w:t>
      </w:r>
      <w:r>
        <w:rPr>
          <w:snapToGrid w:val="0"/>
        </w:rPr>
        <w:lastRenderedPageBreak/>
        <w:t>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spacing w:before="60"/>
        <w:rPr>
          <w:snapToGrid w:val="0"/>
        </w:rPr>
      </w:pPr>
      <w:r>
        <w:rPr>
          <w:snapToGrid w:val="0"/>
        </w:rPr>
        <w:tab/>
        <w:t>(a)</w:t>
      </w:r>
      <w:r>
        <w:rPr>
          <w:snapToGrid w:val="0"/>
        </w:rPr>
        <w:tab/>
        <w:t>for the purpose of performing a function under or in connection with this Act; or</w:t>
      </w:r>
    </w:p>
    <w:p>
      <w:pPr>
        <w:pStyle w:val="Indenta"/>
        <w:spacing w:before="60"/>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 or</w:t>
      </w:r>
    </w:p>
    <w:p>
      <w:pPr>
        <w:pStyle w:val="Indenta"/>
        <w:spacing w:before="60"/>
        <w:rPr>
          <w:snapToGrid w:val="0"/>
        </w:rPr>
      </w:pPr>
      <w:r>
        <w:rPr>
          <w:snapToGrid w:val="0"/>
        </w:rPr>
        <w:tab/>
        <w:t>(c)</w:t>
      </w:r>
      <w:r>
        <w:rPr>
          <w:snapToGrid w:val="0"/>
        </w:rPr>
        <w:tab/>
        <w:t>for the purposes of legal proceedings arising out of the administration of this Act or another written law; or</w:t>
      </w:r>
    </w:p>
    <w:p>
      <w:pPr>
        <w:pStyle w:val="Indenta"/>
        <w:spacing w:before="60"/>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spacing w:before="60"/>
        <w:rPr>
          <w:snapToGrid w:val="0"/>
        </w:rPr>
      </w:pPr>
      <w:r>
        <w:rPr>
          <w:snapToGrid w:val="0"/>
        </w:rPr>
        <w:tab/>
        <w:t>(e)</w:t>
      </w:r>
      <w:r>
        <w:rPr>
          <w:snapToGrid w:val="0"/>
        </w:rPr>
        <w:tab/>
        <w:t xml:space="preserve">by the Commissioner for the purpose of making the public aware of — </w:t>
      </w:r>
    </w:p>
    <w:p>
      <w:pPr>
        <w:pStyle w:val="Indenti"/>
        <w:spacing w:before="60"/>
      </w:pPr>
      <w:r>
        <w:tab/>
        <w:t>(i)</w:t>
      </w:r>
      <w:r>
        <w:tab/>
        <w:t>investigations or inquiries being conducted into the conduct of a licensee, a former licensee or a purported licensee, and the results of those inquiries; and</w:t>
      </w:r>
    </w:p>
    <w:p>
      <w:pPr>
        <w:pStyle w:val="Indenti"/>
        <w:spacing w:before="60"/>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t>.</w:t>
      </w:r>
    </w:p>
    <w:p>
      <w:pPr>
        <w:pStyle w:val="Footnotesection"/>
      </w:pPr>
      <w:r>
        <w:tab/>
        <w:t>[Section 88 inserted: No. 53 of 2004 s. 71.]</w:t>
      </w:r>
    </w:p>
    <w:p>
      <w:pPr>
        <w:pStyle w:val="Heading5"/>
        <w:rPr>
          <w:snapToGrid w:val="0"/>
        </w:rPr>
      </w:pPr>
      <w:bookmarkStart w:id="118" w:name="_Toc100568034"/>
      <w:r>
        <w:rPr>
          <w:rStyle w:val="CharSectno"/>
        </w:rPr>
        <w:lastRenderedPageBreak/>
        <w:t>89</w:t>
      </w:r>
      <w:r>
        <w:rPr>
          <w:snapToGrid w:val="0"/>
        </w:rPr>
        <w:t>.</w:t>
      </w:r>
      <w:r>
        <w:rPr>
          <w:snapToGrid w:val="0"/>
        </w:rPr>
        <w:tab/>
        <w:t>Liability of directors of body corporate</w:t>
      </w:r>
      <w:bookmarkEnd w:id="118"/>
      <w:r>
        <w:rPr>
          <w:snapToGrid w:val="0"/>
        </w:rPr>
        <w:t xml:space="preserve"> </w:t>
      </w:r>
    </w:p>
    <w:p>
      <w:pPr>
        <w:pStyle w:val="Subsection"/>
        <w:spacing w:before="120"/>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119" w:name="_Toc100568035"/>
      <w:r>
        <w:rPr>
          <w:rStyle w:val="CharSectno"/>
        </w:rPr>
        <w:t>90</w:t>
      </w:r>
      <w:r>
        <w:rPr>
          <w:snapToGrid w:val="0"/>
        </w:rPr>
        <w:t>.</w:t>
      </w:r>
      <w:r>
        <w:rPr>
          <w:snapToGrid w:val="0"/>
        </w:rPr>
        <w:tab/>
        <w:t>Other rights or remedies</w:t>
      </w:r>
      <w:bookmarkEnd w:id="119"/>
      <w:r>
        <w:rPr>
          <w:snapToGrid w:val="0"/>
        </w:rPr>
        <w:t xml:space="preserve"> </w:t>
      </w:r>
    </w:p>
    <w:p>
      <w:pPr>
        <w:pStyle w:val="Subsection"/>
        <w:spacing w:before="120"/>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20" w:name="_Toc100568036"/>
      <w:r>
        <w:rPr>
          <w:rStyle w:val="CharSectno"/>
        </w:rPr>
        <w:t>91</w:t>
      </w:r>
      <w:r>
        <w:rPr>
          <w:snapToGrid w:val="0"/>
        </w:rPr>
        <w:t>.</w:t>
      </w:r>
      <w:r>
        <w:rPr>
          <w:snapToGrid w:val="0"/>
        </w:rPr>
        <w:tab/>
        <w:t>No waiver of rights</w:t>
      </w:r>
      <w:bookmarkEnd w:id="120"/>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121" w:name="_Toc100568037"/>
      <w:r>
        <w:rPr>
          <w:rStyle w:val="CharSectno"/>
        </w:rPr>
        <w:t>92</w:t>
      </w:r>
      <w:r>
        <w:rPr>
          <w:snapToGrid w:val="0"/>
        </w:rPr>
        <w:t>.</w:t>
      </w:r>
      <w:r>
        <w:rPr>
          <w:snapToGrid w:val="0"/>
        </w:rPr>
        <w:tab/>
        <w:t>General penalty</w:t>
      </w:r>
      <w:bookmarkEnd w:id="121"/>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No. 53 of 2004 s. 72.]</w:t>
      </w:r>
    </w:p>
    <w:p>
      <w:pPr>
        <w:pStyle w:val="Heading5"/>
        <w:spacing w:before="180"/>
      </w:pPr>
      <w:bookmarkStart w:id="122" w:name="_Toc100568038"/>
      <w:r>
        <w:rPr>
          <w:rStyle w:val="CharSectno"/>
        </w:rPr>
        <w:t>92A</w:t>
      </w:r>
      <w:r>
        <w:t>.</w:t>
      </w:r>
      <w:r>
        <w:tab/>
        <w:t>Infringement notices</w:t>
      </w:r>
      <w:bookmarkEnd w:id="122"/>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spacing w:before="120"/>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lastRenderedPageBreak/>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lastRenderedPageBreak/>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No. 53 of 2004 s. 73; amended: No. 84 of 2004 s. 80.]</w:t>
      </w:r>
    </w:p>
    <w:p>
      <w:pPr>
        <w:pStyle w:val="Ednotesection"/>
      </w:pPr>
      <w:r>
        <w:t>[</w:t>
      </w:r>
      <w:r>
        <w:rPr>
          <w:b/>
        </w:rPr>
        <w:t>92B.</w:t>
      </w:r>
      <w:r>
        <w:tab/>
        <w:t>Deleted: No. 14 of 2010 s. 76.]</w:t>
      </w:r>
    </w:p>
    <w:p>
      <w:pPr>
        <w:pStyle w:val="Heading5"/>
        <w:rPr>
          <w:snapToGrid w:val="0"/>
        </w:rPr>
      </w:pPr>
      <w:bookmarkStart w:id="123" w:name="_Toc100568039"/>
      <w:r>
        <w:rPr>
          <w:rStyle w:val="CharSectno"/>
        </w:rPr>
        <w:t>93</w:t>
      </w:r>
      <w:r>
        <w:rPr>
          <w:snapToGrid w:val="0"/>
        </w:rPr>
        <w:t>.</w:t>
      </w:r>
      <w:r>
        <w:rPr>
          <w:snapToGrid w:val="0"/>
        </w:rPr>
        <w:tab/>
        <w:t>Proceedings</w:t>
      </w:r>
      <w:bookmarkEnd w:id="123"/>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 xml:space="preserve">Notwithstanding the provisions of any other Act, proceedings for an offence against this Act may be brought within the period </w:t>
      </w:r>
      <w:r>
        <w:rPr>
          <w:snapToGrid w:val="0"/>
        </w:rPr>
        <w:lastRenderedPageBreak/>
        <w:t>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No. 56 of 1995 s. 23(2); No. 53 of 2004 s. 74; No. 59 of 2004 s. 141; No. 84 of 2004 s. 78.]</w:t>
      </w:r>
    </w:p>
    <w:p>
      <w:pPr>
        <w:pStyle w:val="Heading5"/>
        <w:rPr>
          <w:snapToGrid w:val="0"/>
        </w:rPr>
      </w:pPr>
      <w:bookmarkStart w:id="124" w:name="_Toc100568040"/>
      <w:r>
        <w:rPr>
          <w:rStyle w:val="CharSectno"/>
        </w:rPr>
        <w:t>94</w:t>
      </w:r>
      <w:r>
        <w:rPr>
          <w:snapToGrid w:val="0"/>
        </w:rPr>
        <w:t>.</w:t>
      </w:r>
      <w:r>
        <w:rPr>
          <w:snapToGrid w:val="0"/>
        </w:rPr>
        <w:tab/>
        <w:t>Forms</w:t>
      </w:r>
      <w:bookmarkEnd w:id="124"/>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No. 53 of 2004 s. 75.]</w:t>
      </w:r>
    </w:p>
    <w:p>
      <w:pPr>
        <w:pStyle w:val="Heading5"/>
        <w:rPr>
          <w:snapToGrid w:val="0"/>
        </w:rPr>
      </w:pPr>
      <w:bookmarkStart w:id="125" w:name="_Toc100568041"/>
      <w:r>
        <w:rPr>
          <w:rStyle w:val="CharSectno"/>
        </w:rPr>
        <w:t>95</w:t>
      </w:r>
      <w:r>
        <w:rPr>
          <w:snapToGrid w:val="0"/>
        </w:rPr>
        <w:t>.</w:t>
      </w:r>
      <w:r>
        <w:rPr>
          <w:snapToGrid w:val="0"/>
        </w:rPr>
        <w:tab/>
        <w:t>Regulations</w:t>
      </w:r>
      <w:bookmarkEnd w:id="125"/>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lastRenderedPageBreak/>
        <w:tab/>
        <w:t>(d)</w:t>
      </w:r>
      <w:r>
        <w:rPr>
          <w:snapToGrid w:val="0"/>
        </w:rPr>
        <w:tab/>
        <w:t>prescribe, and provide for the recovery of, any fee for the purposes of this Act, but not in connection with the commencement of a proceeding before the State Administrative Tribunal;</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Ednotesubsection"/>
      </w:pPr>
      <w:r>
        <w:tab/>
        <w:t>[(3)</w:t>
      </w:r>
      <w:r>
        <w:tab/>
        <w:t>deleted]</w:t>
      </w:r>
    </w:p>
    <w:p>
      <w:pPr>
        <w:pStyle w:val="Footnotesection"/>
      </w:pPr>
      <w:r>
        <w:tab/>
        <w:t>[Section 95 amended: No. 65 of 1987 s. 37; No. 56 of 1995 s. 22; No. 53 of 2004 s. 76; No. 55 of 2004 s. 357; No. 14 of 2010 s. 77; No. 34 of 2020 s. 98(2).]</w:t>
      </w:r>
    </w:p>
    <w:p>
      <w:pPr>
        <w:pStyle w:val="Ednotepart"/>
        <w:spacing w:before="400"/>
      </w:pPr>
      <w:r>
        <w:t>[Part VI (s. 96-98) deleted: No. 53 of 2004 s. 77.]</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26" w:name="_Toc100325682"/>
      <w:bookmarkStart w:id="127" w:name="_Toc100325788"/>
      <w:bookmarkStart w:id="128" w:name="_Toc100568042"/>
      <w:r>
        <w:rPr>
          <w:rStyle w:val="CharSchNo"/>
        </w:rPr>
        <w:lastRenderedPageBreak/>
        <w:t>Schedule</w:t>
      </w:r>
      <w:r>
        <w:t xml:space="preserve"> — </w:t>
      </w:r>
      <w:r>
        <w:rPr>
          <w:rStyle w:val="CharSchText"/>
        </w:rPr>
        <w:t>Formula for calculating percentage rate of interest</w:t>
      </w:r>
      <w:bookmarkEnd w:id="126"/>
      <w:bookmarkEnd w:id="127"/>
      <w:bookmarkEnd w:id="128"/>
    </w:p>
    <w:p>
      <w:pPr>
        <w:pStyle w:val="yShoulderClause"/>
        <w:rPr>
          <w:snapToGrid w:val="0"/>
        </w:rPr>
      </w:pPr>
      <w:r>
        <w:rPr>
          <w:snapToGrid w:val="0"/>
        </w:rPr>
        <w:t>[s. 45]</w:t>
      </w:r>
    </w:p>
    <w:p>
      <w:pPr>
        <w:pStyle w:val="yFootnotesection"/>
      </w:pPr>
      <w:r>
        <w:tab/>
        <w:t>[Heading amended: No. 19 of 2010 s. 4.]</w:t>
      </w:r>
    </w:p>
    <w:p>
      <w:pPr>
        <w:pStyle w:val="yHeading5"/>
        <w:rPr>
          <w:snapToGrid w:val="0"/>
        </w:rPr>
      </w:pPr>
      <w:bookmarkStart w:id="129" w:name="_Toc100568043"/>
      <w:r>
        <w:rPr>
          <w:rStyle w:val="CharSClsNo"/>
        </w:rPr>
        <w:t>1</w:t>
      </w:r>
      <w:r>
        <w:rPr>
          <w:snapToGrid w:val="0"/>
        </w:rPr>
        <w:t>.</w:t>
      </w:r>
      <w:r>
        <w:rPr>
          <w:snapToGrid w:val="0"/>
        </w:rPr>
        <w:tab/>
        <w:t>Formula for calculating percentage rate of interest</w:t>
      </w:r>
      <w:bookmarkEnd w:id="129"/>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szCs w:val="22"/>
        </w:rPr>
      </w:pPr>
      <w:r>
        <w:rPr>
          <w:snapToGrid w:val="0"/>
        </w:rPr>
        <w:tab/>
        <w:t>(a)</w:t>
      </w:r>
      <w:r>
        <w:rPr>
          <w:snapToGrid w:val="0"/>
        </w:rPr>
        <w:tab/>
        <w:t xml:space="preserve">to </w:t>
      </w:r>
      <w:r>
        <w:rPr>
          <w:snapToGrid w:val="0"/>
          <w:szCs w:val="22"/>
        </w:rPr>
        <w:t>calculate the flat rate of interest per cent:</w:t>
      </w:r>
    </w:p>
    <w:p>
      <w:pPr>
        <w:pStyle w:val="Equation"/>
        <w:tabs>
          <w:tab w:val="left" w:pos="2410"/>
        </w:tabs>
        <w:spacing w:before="80"/>
        <w:rPr>
          <w:snapToGrid w:val="0"/>
          <w:sz w:val="22"/>
          <w:szCs w:val="22"/>
        </w:rPr>
      </w:pPr>
      <w:r>
        <w:rPr>
          <w:snapToGrid w:val="0"/>
          <w:sz w:val="22"/>
          <w:szCs w:val="22"/>
        </w:rPr>
        <w:tab/>
      </w:r>
      <w:r>
        <w:rPr>
          <w:snapToGrid w:val="0"/>
          <w:position w:val="-28"/>
          <w:sz w:val="22"/>
          <w:szCs w:val="22"/>
        </w:rPr>
        <w:object w:dxaOrig="1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pt;height:31.7pt" o:ole="" fillcolor="window">
            <v:imagedata r:id="rId23" o:title=""/>
          </v:shape>
          <o:OLEObject Type="Embed" ProgID="Equation.3" ShapeID="_x0000_i1025" DrawAspect="Content" ObjectID="_1711463085" r:id="rId24"/>
        </w:object>
      </w:r>
    </w:p>
    <w:p>
      <w:pPr>
        <w:pStyle w:val="yIndenta"/>
        <w:rPr>
          <w:snapToGrid w:val="0"/>
          <w:szCs w:val="22"/>
        </w:rPr>
      </w:pPr>
      <w:r>
        <w:rPr>
          <w:snapToGrid w:val="0"/>
          <w:szCs w:val="22"/>
        </w:rPr>
        <w:tab/>
        <w:t>(b)</w:t>
      </w:r>
      <w:r>
        <w:rPr>
          <w:snapToGrid w:val="0"/>
          <w:szCs w:val="22"/>
        </w:rPr>
        <w:tab/>
        <w:t>to convert the flat rate of interest per cent into the nominal annual percentage rate:</w:t>
      </w:r>
    </w:p>
    <w:p>
      <w:pPr>
        <w:pStyle w:val="Equation"/>
        <w:tabs>
          <w:tab w:val="left" w:pos="2410"/>
        </w:tabs>
        <w:spacing w:before="80"/>
        <w:rPr>
          <w:sz w:val="22"/>
          <w:szCs w:val="22"/>
        </w:rPr>
      </w:pPr>
      <w:r>
        <w:rPr>
          <w:snapToGrid w:val="0"/>
          <w:sz w:val="22"/>
          <w:szCs w:val="22"/>
        </w:rPr>
        <w:tab/>
      </w:r>
      <w:r>
        <w:rPr>
          <w:position w:val="-28"/>
          <w:sz w:val="22"/>
          <w:szCs w:val="22"/>
        </w:rPr>
        <w:object w:dxaOrig="2460" w:dyaOrig="639">
          <v:shape id="_x0000_i1026" type="#_x0000_t75" style="width:128.65pt;height:31.7pt" o:ole="" fillcolor="window">
            <v:imagedata r:id="rId25" o:title=""/>
          </v:shape>
          <o:OLEObject Type="Embed" ProgID="Equation.3" ShapeID="_x0000_i1026" DrawAspect="Content" ObjectID="_1711463086" r:id="rId26"/>
        </w:object>
      </w:r>
    </w:p>
    <w:p>
      <w:pPr>
        <w:pStyle w:val="ySubsection"/>
        <w:rPr>
          <w:snapToGrid w:val="0"/>
          <w:szCs w:val="22"/>
        </w:rPr>
      </w:pPr>
      <w:r>
        <w:rPr>
          <w:snapToGrid w:val="0"/>
          <w:szCs w:val="22"/>
        </w:rPr>
        <w:tab/>
      </w:r>
      <w:r>
        <w:rPr>
          <w:snapToGrid w:val="0"/>
          <w:szCs w:val="22"/>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lastRenderedPageBreak/>
        <w:tab/>
        <w:t>(3)</w:t>
      </w:r>
      <w:r>
        <w:rPr>
          <w:snapToGrid w:val="0"/>
        </w:rPr>
        <w:tab/>
        <w:t>The disclosure of a percentage rate which is greater than the percentage rate required to be disclosed by either of the above methods shall be a sufficient disclosure.</w:t>
      </w:r>
    </w:p>
    <w:p>
      <w:pPr>
        <w:pStyle w:val="yFootnotesection"/>
      </w:pPr>
      <w:r>
        <w:tab/>
        <w:t>[Clause 1 amended: No. 19 of 2010 s. 51.]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i/>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31" w:name="_Toc100325684"/>
      <w:bookmarkStart w:id="132" w:name="_Toc100325790"/>
      <w:bookmarkStart w:id="133" w:name="_Toc100568044"/>
      <w:r>
        <w:lastRenderedPageBreak/>
        <w:t>Notes</w:t>
      </w:r>
      <w:bookmarkEnd w:id="131"/>
      <w:bookmarkEnd w:id="132"/>
      <w:bookmarkEnd w:id="133"/>
    </w:p>
    <w:p>
      <w:pPr>
        <w:pStyle w:val="nStatement"/>
      </w:pPr>
      <w:r>
        <w:t xml:space="preserve">This is a compilation of the </w:t>
      </w:r>
      <w:r>
        <w:rPr>
          <w:i/>
          <w:noProof/>
        </w:rPr>
        <w:t>Finance Brokers Control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4" w:name="_Toc100568045"/>
      <w:r>
        <w:t>Compilation table</w:t>
      </w:r>
      <w:bookmarkEnd w:id="134"/>
    </w:p>
    <w:tbl>
      <w:tblPr>
        <w:tblW w:w="7102"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2"/>
        <w:gridCol w:w="2254"/>
        <w:gridCol w:w="14"/>
        <w:gridCol w:w="1121"/>
        <w:gridCol w:w="13"/>
        <w:gridCol w:w="1122"/>
        <w:gridCol w:w="12"/>
        <w:gridCol w:w="2539"/>
        <w:gridCol w:w="15"/>
      </w:tblGrid>
      <w:tr>
        <w:trPr>
          <w:gridAfter w:val="1"/>
          <w:wAfter w:w="15"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5" w:type="dxa"/>
          <w:cantSplit/>
        </w:trPr>
        <w:tc>
          <w:tcPr>
            <w:tcW w:w="2267" w:type="dxa"/>
            <w:gridSpan w:val="2"/>
            <w:tcBorders>
              <w:top w:val="nil"/>
            </w:tcBorders>
          </w:tcPr>
          <w:p>
            <w:pPr>
              <w:pStyle w:val="nTable"/>
              <w:spacing w:after="40"/>
              <w:ind w:right="113"/>
            </w:pPr>
            <w:r>
              <w:rPr>
                <w:i/>
              </w:rPr>
              <w:t>Finance Brokers Control Act 1975</w:t>
            </w:r>
          </w:p>
        </w:tc>
        <w:tc>
          <w:tcPr>
            <w:tcW w:w="1135" w:type="dxa"/>
            <w:gridSpan w:val="2"/>
            <w:tcBorders>
              <w:top w:val="nil"/>
            </w:tcBorders>
          </w:tcPr>
          <w:p>
            <w:pPr>
              <w:pStyle w:val="nTable"/>
              <w:spacing w:after="40"/>
            </w:pPr>
            <w:r>
              <w:t>88 of 1975</w:t>
            </w:r>
          </w:p>
        </w:tc>
        <w:tc>
          <w:tcPr>
            <w:tcW w:w="1134" w:type="dxa"/>
            <w:gridSpan w:val="2"/>
            <w:tcBorders>
              <w:top w:val="nil"/>
            </w:tcBorders>
          </w:tcPr>
          <w:p>
            <w:pPr>
              <w:pStyle w:val="nTable"/>
              <w:spacing w:after="40"/>
            </w:pPr>
            <w:r>
              <w:t>20 Nov 1975</w:t>
            </w:r>
          </w:p>
        </w:tc>
        <w:tc>
          <w:tcPr>
            <w:tcW w:w="2551" w:type="dxa"/>
            <w:gridSpan w:val="2"/>
            <w:tcBorders>
              <w:top w:val="nil"/>
            </w:tcBorders>
          </w:tcPr>
          <w:p>
            <w:pPr>
              <w:pStyle w:val="nTable"/>
              <w:spacing w:after="40"/>
            </w:pPr>
            <w:r>
              <w:t>1 Nov 1976 (see s. 2 and</w:t>
            </w:r>
            <w:r>
              <w:rPr>
                <w:i/>
              </w:rPr>
              <w:t xml:space="preserve"> Gazette </w:t>
            </w:r>
            <w:r>
              <w:t>29 Oct 1976 p. 4103)</w:t>
            </w:r>
          </w:p>
        </w:tc>
      </w:tr>
      <w:tr>
        <w:trPr>
          <w:gridAfter w:val="1"/>
          <w:wAfter w:w="15" w:type="dxa"/>
          <w:cantSplit/>
        </w:trPr>
        <w:tc>
          <w:tcPr>
            <w:tcW w:w="2267" w:type="dxa"/>
            <w:gridSpan w:val="2"/>
          </w:tcPr>
          <w:p>
            <w:pPr>
              <w:pStyle w:val="nTable"/>
              <w:spacing w:after="40"/>
              <w:ind w:right="113"/>
            </w:pPr>
            <w:r>
              <w:rPr>
                <w:i/>
              </w:rPr>
              <w:t>Companies (Consequential Amendments) Act 1982</w:t>
            </w:r>
            <w:r>
              <w:t xml:space="preserve"> s. 28</w:t>
            </w:r>
          </w:p>
        </w:tc>
        <w:tc>
          <w:tcPr>
            <w:tcW w:w="1135" w:type="dxa"/>
            <w:gridSpan w:val="2"/>
          </w:tcPr>
          <w:p>
            <w:pPr>
              <w:pStyle w:val="nTable"/>
              <w:spacing w:after="40"/>
            </w:pPr>
            <w:r>
              <w:t>10 of 1982</w:t>
            </w:r>
          </w:p>
        </w:tc>
        <w:tc>
          <w:tcPr>
            <w:tcW w:w="1134"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15" w:type="dxa"/>
          <w:cantSplit/>
        </w:trPr>
        <w:tc>
          <w:tcPr>
            <w:tcW w:w="7087" w:type="dxa"/>
            <w:gridSpan w:val="8"/>
          </w:tcPr>
          <w:p>
            <w:pPr>
              <w:pStyle w:val="nTable"/>
              <w:spacing w:after="40"/>
            </w:pPr>
            <w:r>
              <w:rPr>
                <w:b/>
              </w:rPr>
              <w:t xml:space="preserve">Reprint of the </w:t>
            </w:r>
            <w:r>
              <w:rPr>
                <w:b/>
                <w:i/>
              </w:rPr>
              <w:t>Finance Brokers Control Act 1975</w:t>
            </w:r>
            <w:r>
              <w:rPr>
                <w:b/>
              </w:rPr>
              <w:t xml:space="preserve"> as at 2 Apr 1986 </w:t>
            </w:r>
            <w:r>
              <w:rPr>
                <w:b/>
              </w:rPr>
              <w:br/>
            </w:r>
            <w:r>
              <w:t xml:space="preserve">(includes amendments listed above) </w:t>
            </w:r>
          </w:p>
        </w:tc>
      </w:tr>
      <w:tr>
        <w:trPr>
          <w:gridAfter w:val="1"/>
          <w:wAfter w:w="15" w:type="dxa"/>
          <w:cantSplit/>
        </w:trPr>
        <w:tc>
          <w:tcPr>
            <w:tcW w:w="2267" w:type="dxa"/>
            <w:gridSpan w:val="2"/>
          </w:tcPr>
          <w:p>
            <w:pPr>
              <w:pStyle w:val="nTable"/>
              <w:spacing w:after="40"/>
              <w:ind w:right="113"/>
            </w:pPr>
            <w:r>
              <w:rPr>
                <w:i/>
              </w:rPr>
              <w:t>Acts Amendment (Legal Practitioners, Costs and Taxation) Act 1987</w:t>
            </w:r>
            <w:r>
              <w:t xml:space="preserve"> Pt. X</w:t>
            </w:r>
          </w:p>
        </w:tc>
        <w:tc>
          <w:tcPr>
            <w:tcW w:w="1135" w:type="dxa"/>
            <w:gridSpan w:val="2"/>
          </w:tcPr>
          <w:p>
            <w:pPr>
              <w:pStyle w:val="nTable"/>
              <w:spacing w:after="40"/>
            </w:pPr>
            <w:r>
              <w:t>65 of 1987</w:t>
            </w:r>
          </w:p>
        </w:tc>
        <w:tc>
          <w:tcPr>
            <w:tcW w:w="1134" w:type="dxa"/>
            <w:gridSpan w:val="2"/>
          </w:tcPr>
          <w:p>
            <w:pPr>
              <w:pStyle w:val="nTable"/>
              <w:spacing w:after="40"/>
            </w:pPr>
            <w:r>
              <w:t>1 Dec 1987</w:t>
            </w:r>
          </w:p>
        </w:tc>
        <w:tc>
          <w:tcPr>
            <w:tcW w:w="2551" w:type="dxa"/>
            <w:gridSpan w:val="2"/>
          </w:tcPr>
          <w:p>
            <w:pPr>
              <w:pStyle w:val="nTable"/>
              <w:spacing w:after="40"/>
            </w:pPr>
            <w:r>
              <w:t>12 Feb 1988 (see s. 2(2) and</w:t>
            </w:r>
            <w:r>
              <w:rPr>
                <w:i/>
              </w:rPr>
              <w:t xml:space="preserve"> Gazette</w:t>
            </w:r>
            <w:r>
              <w:t xml:space="preserve"> 12 Feb 1988 p. 397)</w:t>
            </w:r>
          </w:p>
        </w:tc>
      </w:tr>
      <w:tr>
        <w:trPr>
          <w:gridAfter w:val="1"/>
          <w:wAfter w:w="15" w:type="dxa"/>
          <w:cantSplit/>
        </w:trPr>
        <w:tc>
          <w:tcPr>
            <w:tcW w:w="2267" w:type="dxa"/>
            <w:gridSpan w:val="2"/>
          </w:tcPr>
          <w:p>
            <w:pPr>
              <w:pStyle w:val="nTable"/>
              <w:spacing w:after="40"/>
              <w:ind w:right="113"/>
            </w:pPr>
            <w:r>
              <w:rPr>
                <w:i/>
              </w:rPr>
              <w:t>Acts Amendment (Public Sector Management) Act 1994</w:t>
            </w:r>
            <w:r>
              <w:t xml:space="preserve"> s. 3(1)</w:t>
            </w:r>
          </w:p>
        </w:tc>
        <w:tc>
          <w:tcPr>
            <w:tcW w:w="1135"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1 Oct 1994 (see s. 2 and</w:t>
            </w:r>
            <w:r>
              <w:rPr>
                <w:i/>
              </w:rPr>
              <w:t xml:space="preserve"> Gazette </w:t>
            </w:r>
            <w:r>
              <w:t>30 Sep 1994 p. 4948)</w:t>
            </w:r>
          </w:p>
        </w:tc>
      </w:tr>
      <w:tr>
        <w:trPr>
          <w:gridAfter w:val="1"/>
          <w:wAfter w:w="15" w:type="dxa"/>
          <w:cantSplit/>
        </w:trPr>
        <w:tc>
          <w:tcPr>
            <w:tcW w:w="2267" w:type="dxa"/>
            <w:gridSpan w:val="2"/>
          </w:tcPr>
          <w:p>
            <w:pPr>
              <w:pStyle w:val="nTable"/>
              <w:spacing w:after="40"/>
              <w:ind w:right="113"/>
              <w:rPr>
                <w:vertAlign w:val="superscript"/>
              </w:rPr>
            </w:pPr>
            <w:r>
              <w:rPr>
                <w:i/>
              </w:rPr>
              <w:t>Business Licensing Amendment Act 1995</w:t>
            </w:r>
            <w:r>
              <w:t xml:space="preserve"> Pt. 5</w:t>
            </w:r>
            <w:r>
              <w:rPr>
                <w:vertAlign w:val="superscript"/>
              </w:rPr>
              <w:t> 4</w:t>
            </w:r>
          </w:p>
        </w:tc>
        <w:tc>
          <w:tcPr>
            <w:tcW w:w="1135" w:type="dxa"/>
            <w:gridSpan w:val="2"/>
          </w:tcPr>
          <w:p>
            <w:pPr>
              <w:pStyle w:val="nTable"/>
              <w:spacing w:after="40"/>
            </w:pPr>
            <w:r>
              <w:t>56 of 1995</w:t>
            </w:r>
          </w:p>
        </w:tc>
        <w:tc>
          <w:tcPr>
            <w:tcW w:w="1134" w:type="dxa"/>
            <w:gridSpan w:val="2"/>
          </w:tcPr>
          <w:p>
            <w:pPr>
              <w:pStyle w:val="nTable"/>
              <w:spacing w:after="40"/>
            </w:pPr>
            <w:r>
              <w:t>20 Dec 1995</w:t>
            </w:r>
          </w:p>
        </w:tc>
        <w:tc>
          <w:tcPr>
            <w:tcW w:w="2551" w:type="dxa"/>
            <w:gridSpan w:val="2"/>
          </w:tcPr>
          <w:p>
            <w:pPr>
              <w:pStyle w:val="nTable"/>
              <w:spacing w:after="40"/>
            </w:pPr>
            <w:r>
              <w:t>1 May 1996 (see s. 2(2) and</w:t>
            </w:r>
            <w:r>
              <w:rPr>
                <w:i/>
              </w:rPr>
              <w:t xml:space="preserve"> Gazette</w:t>
            </w:r>
            <w:r>
              <w:t xml:space="preserve"> 30 Apr 1996 p. 1853)</w:t>
            </w:r>
          </w:p>
        </w:tc>
      </w:tr>
      <w:tr>
        <w:trPr>
          <w:gridAfter w:val="1"/>
          <w:wAfter w:w="15" w:type="dxa"/>
          <w:cantSplit/>
        </w:trPr>
        <w:tc>
          <w:tcPr>
            <w:tcW w:w="2267" w:type="dxa"/>
            <w:gridSpan w:val="2"/>
          </w:tcPr>
          <w:p>
            <w:pPr>
              <w:pStyle w:val="nTable"/>
              <w:spacing w:after="40"/>
              <w:ind w:right="113"/>
            </w:pPr>
            <w:r>
              <w:rPr>
                <w:i/>
              </w:rPr>
              <w:t>Financial Legislation Amendment Act 1996</w:t>
            </w:r>
            <w:r>
              <w:t xml:space="preserve"> s. 64</w:t>
            </w:r>
          </w:p>
        </w:tc>
        <w:tc>
          <w:tcPr>
            <w:tcW w:w="1135"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5" w:type="dxa"/>
          <w:cantSplit/>
        </w:trPr>
        <w:tc>
          <w:tcPr>
            <w:tcW w:w="2267" w:type="dxa"/>
            <w:gridSpan w:val="2"/>
          </w:tcPr>
          <w:p>
            <w:pPr>
              <w:pStyle w:val="nTable"/>
              <w:spacing w:after="40"/>
              <w:ind w:right="113"/>
            </w:pPr>
            <w:r>
              <w:rPr>
                <w:i/>
              </w:rPr>
              <w:t>Statutes (Repeals and Minor Amendments) Act (No. 2) 1998</w:t>
            </w:r>
            <w:r>
              <w:t xml:space="preserve"> s. 76</w:t>
            </w:r>
          </w:p>
        </w:tc>
        <w:tc>
          <w:tcPr>
            <w:tcW w:w="1135"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15" w:type="dxa"/>
          <w:cantSplit/>
        </w:trPr>
        <w:tc>
          <w:tcPr>
            <w:tcW w:w="2267" w:type="dxa"/>
            <w:gridSpan w:val="2"/>
          </w:tcPr>
          <w:p>
            <w:pPr>
              <w:pStyle w:val="nTable"/>
              <w:spacing w:after="40"/>
              <w:ind w:right="113"/>
            </w:pPr>
            <w:r>
              <w:rPr>
                <w:i/>
              </w:rPr>
              <w:t>Acts Amendment and Repeal (Financial Sector Reform) Act 1999</w:t>
            </w:r>
            <w:r>
              <w:t xml:space="preserve"> s. 79</w:t>
            </w:r>
          </w:p>
        </w:tc>
        <w:tc>
          <w:tcPr>
            <w:tcW w:w="1135" w:type="dxa"/>
            <w:gridSpan w:val="2"/>
          </w:tcPr>
          <w:p>
            <w:pPr>
              <w:pStyle w:val="nTable"/>
              <w:keepLines/>
              <w:spacing w:after="40"/>
            </w:pPr>
            <w:r>
              <w:t>26 of 1999</w:t>
            </w:r>
          </w:p>
        </w:tc>
        <w:tc>
          <w:tcPr>
            <w:tcW w:w="1134" w:type="dxa"/>
            <w:gridSpan w:val="2"/>
          </w:tcPr>
          <w:p>
            <w:pPr>
              <w:pStyle w:val="nTable"/>
              <w:keepLines/>
              <w:spacing w:after="40"/>
            </w:pPr>
            <w:r>
              <w:t>29 Jun 1999</w:t>
            </w:r>
          </w:p>
        </w:tc>
        <w:tc>
          <w:tcPr>
            <w:tcW w:w="2551" w:type="dxa"/>
            <w:gridSpan w:val="2"/>
          </w:tcPr>
          <w:p>
            <w:pPr>
              <w:pStyle w:val="nTable"/>
              <w:keepLines/>
              <w:spacing w:after="40"/>
            </w:pPr>
            <w:r>
              <w:t xml:space="preserve">1 Jul 1999 (see s. 2(1) and </w:t>
            </w:r>
            <w:r>
              <w:rPr>
                <w:i/>
              </w:rPr>
              <w:t>Gazette</w:t>
            </w:r>
            <w:r>
              <w:t xml:space="preserve"> 30 Jun 1999 p. 2905)</w:t>
            </w:r>
          </w:p>
        </w:tc>
      </w:tr>
      <w:tr>
        <w:trPr>
          <w:gridAfter w:val="1"/>
          <w:wAfter w:w="15" w:type="dxa"/>
          <w:cantSplit/>
        </w:trPr>
        <w:tc>
          <w:tcPr>
            <w:tcW w:w="7087" w:type="dxa"/>
            <w:gridSpan w:val="8"/>
            <w:tcBorders>
              <w:bottom w:val="nil"/>
            </w:tcBorders>
          </w:tcPr>
          <w:p>
            <w:pPr>
              <w:pStyle w:val="nTable"/>
              <w:spacing w:after="40"/>
            </w:pPr>
            <w:r>
              <w:rPr>
                <w:b/>
              </w:rPr>
              <w:t xml:space="preserve">Reprint of the </w:t>
            </w:r>
            <w:r>
              <w:rPr>
                <w:b/>
                <w:i/>
              </w:rPr>
              <w:t>Finance Brokers Control Act 1975</w:t>
            </w:r>
            <w:r>
              <w:rPr>
                <w:b/>
              </w:rPr>
              <w:t xml:space="preserve"> as at 3 Mar 2000</w:t>
            </w:r>
            <w:r>
              <w:rPr>
                <w:b/>
              </w:rPr>
              <w:br/>
            </w:r>
            <w:r>
              <w:t xml:space="preserve">(includes amendments listed above) </w:t>
            </w:r>
            <w:r>
              <w:rPr>
                <w:iCs/>
              </w:rPr>
              <w:t>(correction in</w:t>
            </w:r>
            <w:r>
              <w:rPr>
                <w:i/>
              </w:rPr>
              <w:t xml:space="preserve"> Gazette </w:t>
            </w:r>
            <w:r>
              <w:rPr>
                <w:iCs/>
              </w:rPr>
              <w:t>11 Mar 2003 p. 751)</w:t>
            </w:r>
          </w:p>
        </w:tc>
      </w:tr>
      <w:tr>
        <w:trPr>
          <w:gridAfter w:val="1"/>
          <w:wAfter w:w="15" w:type="dxa"/>
          <w:cantSplit/>
        </w:trPr>
        <w:tc>
          <w:tcPr>
            <w:tcW w:w="2267" w:type="dxa"/>
            <w:gridSpan w:val="2"/>
            <w:tcBorders>
              <w:bottom w:val="nil"/>
            </w:tcBorders>
          </w:tcPr>
          <w:p>
            <w:pPr>
              <w:pStyle w:val="nTable"/>
              <w:spacing w:after="40"/>
              <w:ind w:right="113"/>
              <w:rPr>
                <w:i/>
              </w:rPr>
            </w:pPr>
            <w:r>
              <w:rPr>
                <w:i/>
              </w:rPr>
              <w:t>Corporations (Consequential Amendments) Act 2001</w:t>
            </w:r>
            <w:r>
              <w:t xml:space="preserve"> s. 221</w:t>
            </w:r>
          </w:p>
        </w:tc>
        <w:tc>
          <w:tcPr>
            <w:tcW w:w="1135" w:type="dxa"/>
            <w:gridSpan w:val="2"/>
            <w:tcBorders>
              <w:bottom w:val="nil"/>
            </w:tcBorders>
          </w:tcPr>
          <w:p>
            <w:pPr>
              <w:pStyle w:val="nTable"/>
              <w:keepLines/>
              <w:spacing w:after="40"/>
            </w:pPr>
            <w:r>
              <w:t>10 of 2001</w:t>
            </w:r>
          </w:p>
        </w:tc>
        <w:tc>
          <w:tcPr>
            <w:tcW w:w="1134" w:type="dxa"/>
            <w:gridSpan w:val="2"/>
            <w:tcBorders>
              <w:bottom w:val="nil"/>
            </w:tcBorders>
          </w:tcPr>
          <w:p>
            <w:pPr>
              <w:pStyle w:val="nTable"/>
              <w:keepLines/>
              <w:spacing w:after="40"/>
            </w:pPr>
            <w:r>
              <w:t>28 Jun 2001</w:t>
            </w:r>
          </w:p>
        </w:tc>
        <w:tc>
          <w:tcPr>
            <w:tcW w:w="2551" w:type="dxa"/>
            <w:gridSpan w:val="2"/>
            <w:tcBorders>
              <w:bottom w:val="nil"/>
            </w:tcBorders>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5" w:type="dxa"/>
          <w:cantSplit/>
        </w:trPr>
        <w:tc>
          <w:tcPr>
            <w:tcW w:w="2267" w:type="dxa"/>
            <w:gridSpan w:val="2"/>
            <w:tcBorders>
              <w:top w:val="nil"/>
            </w:tcBorders>
          </w:tcPr>
          <w:p>
            <w:pPr>
              <w:pStyle w:val="nTable"/>
              <w:spacing w:after="40"/>
              <w:ind w:right="113"/>
            </w:pPr>
            <w:r>
              <w:rPr>
                <w:i/>
              </w:rPr>
              <w:lastRenderedPageBreak/>
              <w:t>Building Societies Amendment Act 2001</w:t>
            </w:r>
            <w:r>
              <w:t xml:space="preserve"> s. 51</w:t>
            </w:r>
          </w:p>
        </w:tc>
        <w:tc>
          <w:tcPr>
            <w:tcW w:w="1135" w:type="dxa"/>
            <w:gridSpan w:val="2"/>
            <w:tcBorders>
              <w:top w:val="nil"/>
            </w:tcBorders>
          </w:tcPr>
          <w:p>
            <w:pPr>
              <w:pStyle w:val="nTable"/>
              <w:keepLines/>
              <w:spacing w:after="40"/>
            </w:pPr>
            <w:r>
              <w:t>12 of 2001</w:t>
            </w:r>
          </w:p>
        </w:tc>
        <w:tc>
          <w:tcPr>
            <w:tcW w:w="1134" w:type="dxa"/>
            <w:gridSpan w:val="2"/>
            <w:tcBorders>
              <w:top w:val="nil"/>
            </w:tcBorders>
          </w:tcPr>
          <w:p>
            <w:pPr>
              <w:pStyle w:val="nTable"/>
              <w:keepLines/>
              <w:spacing w:after="40"/>
            </w:pPr>
            <w:r>
              <w:t>13 Jul 2001</w:t>
            </w:r>
          </w:p>
        </w:tc>
        <w:tc>
          <w:tcPr>
            <w:tcW w:w="2551" w:type="dxa"/>
            <w:gridSpan w:val="2"/>
            <w:tcBorders>
              <w:top w:val="nil"/>
            </w:tcBorders>
          </w:tcPr>
          <w:p>
            <w:pPr>
              <w:pStyle w:val="nTable"/>
              <w:keepLines/>
              <w:spacing w:after="40"/>
            </w:pPr>
            <w:r>
              <w:t>13 Jul 2001 (see s. 2)</w:t>
            </w:r>
          </w:p>
        </w:tc>
      </w:tr>
      <w:tr>
        <w:trPr>
          <w:gridAfter w:val="1"/>
          <w:wAfter w:w="15" w:type="dxa"/>
          <w:cantSplit/>
        </w:trPr>
        <w:tc>
          <w:tcPr>
            <w:tcW w:w="2267" w:type="dxa"/>
            <w:gridSpan w:val="2"/>
          </w:tcPr>
          <w:p>
            <w:pPr>
              <w:pStyle w:val="nTable"/>
              <w:spacing w:after="40"/>
              <w:ind w:right="113"/>
            </w:pPr>
            <w:r>
              <w:rPr>
                <w:i/>
              </w:rPr>
              <w:t>Corporations (Consequential Amendments) Act (No. 3) 2003</w:t>
            </w:r>
            <w:r>
              <w:t xml:space="preserve"> Pt. 5</w:t>
            </w:r>
            <w:r>
              <w:rPr>
                <w:vertAlign w:val="superscript"/>
              </w:rPr>
              <w:t> 5</w:t>
            </w:r>
          </w:p>
        </w:tc>
        <w:tc>
          <w:tcPr>
            <w:tcW w:w="1135" w:type="dxa"/>
            <w:gridSpan w:val="2"/>
          </w:tcPr>
          <w:p>
            <w:pPr>
              <w:pStyle w:val="nTable"/>
              <w:keepLines/>
              <w:spacing w:after="40"/>
            </w:pPr>
            <w:r>
              <w:t>21 of 2003</w:t>
            </w:r>
          </w:p>
        </w:tc>
        <w:tc>
          <w:tcPr>
            <w:tcW w:w="1134" w:type="dxa"/>
            <w:gridSpan w:val="2"/>
          </w:tcPr>
          <w:p>
            <w:pPr>
              <w:pStyle w:val="nTable"/>
              <w:keepLines/>
              <w:spacing w:after="40"/>
            </w:pPr>
            <w:r>
              <w:t>23 Apr 2003</w:t>
            </w:r>
          </w:p>
        </w:tc>
        <w:tc>
          <w:tcPr>
            <w:tcW w:w="2551" w:type="dxa"/>
            <w:gridSpan w:val="2"/>
          </w:tcPr>
          <w:p>
            <w:pPr>
              <w:pStyle w:val="nTable"/>
              <w:keepLines/>
              <w:spacing w:after="40"/>
            </w:pPr>
            <w:r>
              <w:t xml:space="preserve">11 Mar 2002 (see s. 2 and Cwlth </w:t>
            </w:r>
            <w:r>
              <w:rPr>
                <w:i/>
              </w:rPr>
              <w:t>Gazette</w:t>
            </w:r>
            <w:r>
              <w:t xml:space="preserve"> 24 Oct 2001 No. GN42)</w:t>
            </w:r>
          </w:p>
        </w:tc>
      </w:tr>
      <w:tr>
        <w:trPr>
          <w:gridAfter w:val="1"/>
          <w:wAfter w:w="15" w:type="dxa"/>
          <w:cantSplit/>
        </w:trPr>
        <w:tc>
          <w:tcPr>
            <w:tcW w:w="2267" w:type="dxa"/>
            <w:gridSpan w:val="2"/>
          </w:tcPr>
          <w:p>
            <w:pPr>
              <w:pStyle w:val="nTable"/>
              <w:spacing w:after="40"/>
              <w:ind w:right="113"/>
            </w:pPr>
            <w:r>
              <w:rPr>
                <w:i/>
              </w:rPr>
              <w:t>Acts Amendment and Repeal (Courts and Legal Practice) Act 2003</w:t>
            </w:r>
            <w:r>
              <w:t xml:space="preserve"> s. 35</w:t>
            </w:r>
          </w:p>
        </w:tc>
        <w:tc>
          <w:tcPr>
            <w:tcW w:w="1135" w:type="dxa"/>
            <w:gridSpan w:val="2"/>
          </w:tcPr>
          <w:p>
            <w:pPr>
              <w:pStyle w:val="nTable"/>
              <w:keepNext/>
              <w:keepLines/>
              <w:spacing w:after="40"/>
            </w:pPr>
            <w:r>
              <w:t>65 of 2003</w:t>
            </w:r>
          </w:p>
        </w:tc>
        <w:tc>
          <w:tcPr>
            <w:tcW w:w="1134" w:type="dxa"/>
            <w:gridSpan w:val="2"/>
          </w:tcPr>
          <w:p>
            <w:pPr>
              <w:pStyle w:val="nTable"/>
              <w:keepNext/>
              <w:keepLines/>
              <w:spacing w:after="40"/>
            </w:pPr>
            <w:r>
              <w:t>4 Dec 2003</w:t>
            </w:r>
          </w:p>
        </w:tc>
        <w:tc>
          <w:tcPr>
            <w:tcW w:w="2551" w:type="dxa"/>
            <w:gridSpan w:val="2"/>
          </w:tcPr>
          <w:p>
            <w:pPr>
              <w:pStyle w:val="nTable"/>
              <w:keepNext/>
              <w:keepLines/>
              <w:spacing w:after="40"/>
            </w:pPr>
            <w:r>
              <w:t xml:space="preserve">1 Jan 2004 (see s. 2 and </w:t>
            </w:r>
            <w:r>
              <w:rPr>
                <w:i/>
              </w:rPr>
              <w:t>Gazette</w:t>
            </w:r>
            <w:r>
              <w:t xml:space="preserve"> 30 Dec 2003 p. 5722)</w:t>
            </w:r>
          </w:p>
        </w:tc>
      </w:tr>
      <w:tr>
        <w:tblPrEx>
          <w:tblBorders>
            <w:bottom w:val="none" w:sz="0" w:space="0" w:color="auto"/>
          </w:tblBorders>
        </w:tblPrEx>
        <w:trPr>
          <w:gridAfter w:val="1"/>
          <w:wAfter w:w="15" w:type="dxa"/>
        </w:trPr>
        <w:tc>
          <w:tcPr>
            <w:tcW w:w="2267" w:type="dxa"/>
            <w:gridSpan w:val="2"/>
          </w:tcPr>
          <w:p>
            <w:pPr>
              <w:pStyle w:val="nTable"/>
              <w:spacing w:after="40"/>
              <w:rPr>
                <w:snapToGrid w:val="0"/>
              </w:rPr>
            </w:pPr>
            <w:r>
              <w:rPr>
                <w:i/>
                <w:iCs/>
                <w:snapToGrid w:val="0"/>
              </w:rPr>
              <w:t>Finance Brokers Control Amendment Act 2004</w:t>
            </w:r>
            <w:r>
              <w:rPr>
                <w:iCs/>
                <w:snapToGrid w:val="0"/>
                <w:vertAlign w:val="superscript"/>
              </w:rPr>
              <w:t> 6</w:t>
            </w:r>
            <w:r>
              <w:rPr>
                <w:snapToGrid w:val="0"/>
                <w:vertAlign w:val="superscript"/>
              </w:rPr>
              <w:t>, 7</w:t>
            </w:r>
          </w:p>
        </w:tc>
        <w:tc>
          <w:tcPr>
            <w:tcW w:w="1135" w:type="dxa"/>
            <w:gridSpan w:val="2"/>
          </w:tcPr>
          <w:p>
            <w:pPr>
              <w:pStyle w:val="nTable"/>
              <w:spacing w:after="40"/>
              <w:rPr>
                <w:snapToGrid w:val="0"/>
              </w:rPr>
            </w:pPr>
            <w:r>
              <w:rPr>
                <w:snapToGrid w:val="0"/>
              </w:rPr>
              <w:t>53 of 2004</w:t>
            </w:r>
          </w:p>
        </w:tc>
        <w:tc>
          <w:tcPr>
            <w:tcW w:w="1134" w:type="dxa"/>
            <w:gridSpan w:val="2"/>
          </w:tcPr>
          <w:p>
            <w:pPr>
              <w:pStyle w:val="nTable"/>
              <w:spacing w:after="40"/>
            </w:pPr>
            <w:r>
              <w:t>18 Nov 2004</w:t>
            </w:r>
          </w:p>
        </w:tc>
        <w:tc>
          <w:tcPr>
            <w:tcW w:w="2551" w:type="dxa"/>
            <w:gridSpan w:val="2"/>
          </w:tcPr>
          <w:p>
            <w:pPr>
              <w:pStyle w:val="nTable"/>
              <w:spacing w:after="40"/>
              <w:rPr>
                <w:snapToGrid w:val="0"/>
              </w:rPr>
            </w:pPr>
            <w:r>
              <w:rPr>
                <w:snapToGrid w:val="0"/>
              </w:rPr>
              <w:t xml:space="preserve">31 Oct 2005 (see s. 2 and </w:t>
            </w:r>
            <w:r>
              <w:rPr>
                <w:i/>
                <w:iCs/>
                <w:snapToGrid w:val="0"/>
              </w:rPr>
              <w:t>Gazette</w:t>
            </w:r>
            <w:r>
              <w:rPr>
                <w:snapToGrid w:val="0"/>
              </w:rPr>
              <w:t xml:space="preserve"> 28 Oct 2005 p. 4839)</w:t>
            </w:r>
          </w:p>
        </w:tc>
      </w:tr>
      <w:tr>
        <w:trPr>
          <w:gridAfter w:val="1"/>
          <w:wAfter w:w="15" w:type="dxa"/>
          <w:cantSplit/>
        </w:trPr>
        <w:tc>
          <w:tcPr>
            <w:tcW w:w="2267" w:type="dxa"/>
            <w:gridSpan w:val="2"/>
          </w:tcPr>
          <w:p>
            <w:pPr>
              <w:pStyle w:val="nTable"/>
              <w:spacing w:after="40"/>
              <w:ind w:right="113"/>
              <w:rPr>
                <w:i/>
              </w:rPr>
            </w:pPr>
            <w:r>
              <w:rPr>
                <w:i/>
                <w:iCs/>
                <w:snapToGrid w:val="0"/>
              </w:rPr>
              <w:t xml:space="preserve">Courts Legislation Amendment and Repeal Act 2004 </w:t>
            </w:r>
            <w:r>
              <w:rPr>
                <w:snapToGrid w:val="0"/>
              </w:rPr>
              <w:t>s. 141</w:t>
            </w:r>
          </w:p>
        </w:tc>
        <w:tc>
          <w:tcPr>
            <w:tcW w:w="1135" w:type="dxa"/>
            <w:gridSpan w:val="2"/>
          </w:tcPr>
          <w:p>
            <w:pPr>
              <w:pStyle w:val="nTable"/>
              <w:keepNext/>
              <w:keepLines/>
              <w:spacing w:after="40"/>
            </w:pPr>
            <w:r>
              <w:rPr>
                <w:snapToGrid w:val="0"/>
              </w:rPr>
              <w:t>59 of 2004</w:t>
            </w:r>
          </w:p>
        </w:tc>
        <w:tc>
          <w:tcPr>
            <w:tcW w:w="1134" w:type="dxa"/>
            <w:gridSpan w:val="2"/>
          </w:tcPr>
          <w:p>
            <w:pPr>
              <w:pStyle w:val="nTable"/>
              <w:keepNext/>
              <w:keepLines/>
              <w:spacing w:after="40"/>
            </w:pPr>
            <w:r>
              <w:rPr>
                <w:snapToGrid w:val="0"/>
              </w:rPr>
              <w:t>23 Nov 2004</w:t>
            </w:r>
          </w:p>
        </w:tc>
        <w:tc>
          <w:tcPr>
            <w:tcW w:w="2551" w:type="dxa"/>
            <w:gridSpan w:val="2"/>
          </w:tcPr>
          <w:p>
            <w:pPr>
              <w:pStyle w:val="nTable"/>
              <w:keepNext/>
              <w:keepLines/>
              <w:spacing w:after="40"/>
            </w:pPr>
            <w:r>
              <w:rPr>
                <w:snapToGrid w:val="0"/>
              </w:rPr>
              <w:t xml:space="preserve">1 May 2005 (see s. 2 and </w:t>
            </w:r>
            <w:r>
              <w:rPr>
                <w:i/>
                <w:iCs/>
                <w:snapToGrid w:val="0"/>
              </w:rPr>
              <w:t>Gazette</w:t>
            </w:r>
            <w:r>
              <w:rPr>
                <w:snapToGrid w:val="0"/>
              </w:rPr>
              <w:t xml:space="preserve"> 31 Dec 2004 p. 7128)</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Cs/>
              </w:rPr>
            </w:pPr>
            <w:r>
              <w:rPr>
                <w:i/>
              </w:rPr>
              <w:t>State Administrative Tribunal (Conferral of Jurisdiction) Amendment and Repeal Act 2004</w:t>
            </w:r>
            <w:r>
              <w:rPr>
                <w:iCs/>
              </w:rPr>
              <w:t xml:space="preserve"> Pt. 2 Div. 46</w:t>
            </w:r>
            <w:r>
              <w:rPr>
                <w:iCs/>
                <w:vertAlign w:val="superscript"/>
              </w:rPr>
              <w:t> 8</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ind w:right="65"/>
              <w:rPr>
                <w:spacing w:val="-2"/>
              </w:rPr>
            </w:pPr>
            <w:r>
              <w:t xml:space="preserve">1 Jan 2005 (see s. 2 and </w:t>
            </w:r>
            <w:r>
              <w:rPr>
                <w:i/>
                <w:iCs/>
              </w:rPr>
              <w:t>Gazette</w:t>
            </w:r>
            <w:r>
              <w:t xml:space="preserve"> 31 Dec 2004 p. 7130)</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iCs/>
                <w:snapToGrid w:val="0"/>
              </w:rPr>
              <w:t>Criminal Procedure and Appeals (Consequential and Other Provisions) Act 2004</w:t>
            </w:r>
            <w:r>
              <w:rPr>
                <w:snapToGrid w:val="0"/>
              </w:rPr>
              <w:t xml:space="preserve"> s. 78, 80 and 82</w:t>
            </w:r>
          </w:p>
        </w:tc>
        <w:tc>
          <w:tcPr>
            <w:tcW w:w="1135"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ind w:right="65"/>
              <w:rPr>
                <w:spacing w:val="-2"/>
              </w:rPr>
            </w:pPr>
            <w:r>
              <w:rPr>
                <w:snapToGrid w:val="0"/>
              </w:rPr>
              <w:t xml:space="preserve">s. 78: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r>
              <w:rPr>
                <w:snapToGrid w:val="0"/>
              </w:rPr>
              <w:br/>
              <w:t xml:space="preserve">s. 80 and 82: 31 Oct 2005 (see s. 2 and </w:t>
            </w:r>
            <w:r>
              <w:rPr>
                <w:i/>
                <w:iCs/>
                <w:snapToGrid w:val="0"/>
              </w:rPr>
              <w:t>Gazette</w:t>
            </w:r>
            <w:r>
              <w:rPr>
                <w:snapToGrid w:val="0"/>
              </w:rPr>
              <w:t xml:space="preserve"> 28 Oct 2005 p. 4839)</w:t>
            </w:r>
          </w:p>
        </w:tc>
      </w:tr>
      <w:tr>
        <w:tblPrEx>
          <w:tblBorders>
            <w:bottom w:val="none" w:sz="0" w:space="0" w:color="auto"/>
          </w:tblBorders>
        </w:tblPrEx>
        <w:trPr>
          <w:gridAfter w:val="1"/>
          <w:wAfter w:w="15" w:type="dxa"/>
          <w:cantSplit/>
        </w:trPr>
        <w:tc>
          <w:tcPr>
            <w:tcW w:w="7087" w:type="dxa"/>
            <w:gridSpan w:val="8"/>
          </w:tcPr>
          <w:p>
            <w:pPr>
              <w:pStyle w:val="nTable"/>
              <w:spacing w:after="40"/>
              <w:ind w:right="65"/>
              <w:rPr>
                <w:snapToGrid w:val="0"/>
              </w:rPr>
            </w:pPr>
            <w:r>
              <w:rPr>
                <w:b/>
              </w:rPr>
              <w:t xml:space="preserve">Reprint 3: The </w:t>
            </w:r>
            <w:r>
              <w:rPr>
                <w:b/>
                <w:i/>
              </w:rPr>
              <w:t>Finance Brokers Control Act 1975</w:t>
            </w:r>
            <w:r>
              <w:rPr>
                <w:b/>
              </w:rPr>
              <w:t xml:space="preserve"> as at 5 Aug 2005 </w:t>
            </w:r>
            <w:r>
              <w:t xml:space="preserve">(includes amendments listed above except those in the </w:t>
            </w:r>
            <w:r>
              <w:rPr>
                <w:i/>
                <w:iCs/>
                <w:snapToGrid w:val="0"/>
              </w:rPr>
              <w:t xml:space="preserve">Finance Brokers Control Amendment Act 2004 </w:t>
            </w:r>
            <w:r>
              <w:rPr>
                <w:snapToGrid w:val="0"/>
              </w:rPr>
              <w:t>and the</w:t>
            </w:r>
            <w:r>
              <w:rPr>
                <w:i/>
                <w:iCs/>
                <w:snapToGrid w:val="0"/>
              </w:rPr>
              <w:t xml:space="preserve"> Criminal Procedure and Appeals (Consequential and Other Provisions) Act 2004 </w:t>
            </w:r>
            <w:r>
              <w:rPr>
                <w:snapToGrid w:val="0"/>
              </w:rPr>
              <w:t>s. 80 and 82</w:t>
            </w:r>
            <w:r>
              <w:t>)</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iCs/>
              </w:rPr>
              <w:t>Housing Societies Repeal Act 2005</w:t>
            </w:r>
            <w:r>
              <w:t xml:space="preserve"> s. 27</w:t>
            </w:r>
          </w:p>
        </w:tc>
        <w:tc>
          <w:tcPr>
            <w:tcW w:w="1135" w:type="dxa"/>
            <w:gridSpan w:val="2"/>
          </w:tcPr>
          <w:p>
            <w:pPr>
              <w:pStyle w:val="nTable"/>
              <w:spacing w:after="40"/>
            </w:pPr>
            <w:r>
              <w:t>17 of 2005</w:t>
            </w:r>
          </w:p>
        </w:tc>
        <w:tc>
          <w:tcPr>
            <w:tcW w:w="1134" w:type="dxa"/>
            <w:gridSpan w:val="2"/>
          </w:tcPr>
          <w:p>
            <w:pPr>
              <w:pStyle w:val="nTable"/>
              <w:spacing w:after="40"/>
            </w:pPr>
            <w:r>
              <w:t>5 Oct 2005</w:t>
            </w:r>
          </w:p>
        </w:tc>
        <w:tc>
          <w:tcPr>
            <w:tcW w:w="2551" w:type="dxa"/>
            <w:gridSpan w:val="2"/>
          </w:tcPr>
          <w:p>
            <w:pPr>
              <w:pStyle w:val="nTable"/>
              <w:spacing w:after="40"/>
            </w:pPr>
            <w:r>
              <w:t xml:space="preserve">10 Jul 2010 (see s. 2(3) and </w:t>
            </w:r>
            <w:r>
              <w:rPr>
                <w:i/>
                <w:iCs/>
              </w:rPr>
              <w:t>Gazette</w:t>
            </w:r>
            <w:r>
              <w:t xml:space="preserve"> 9 Jul 2010 p. 3239)</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rPr>
              <w:t>Oaths, Affidavits and Statutory Declarations (Consequential Provisions) Act 2005</w:t>
            </w:r>
            <w:r>
              <w:rPr>
                <w:iCs/>
              </w:rPr>
              <w:t xml:space="preserve"> s. 63</w:t>
            </w:r>
            <w:r>
              <w:rPr>
                <w:iCs/>
                <w:vertAlign w:val="superscript"/>
              </w:rPr>
              <w:t> 9</w:t>
            </w:r>
          </w:p>
        </w:tc>
        <w:tc>
          <w:tcPr>
            <w:tcW w:w="1135"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blPrEx>
          <w:tblBorders>
            <w:bottom w:val="none" w:sz="0" w:space="0" w:color="auto"/>
          </w:tblBorders>
        </w:tblPrEx>
        <w:trPr>
          <w:gridAfter w:val="1"/>
          <w:wAfter w:w="15" w:type="dxa"/>
          <w:cantSplit/>
        </w:trPr>
        <w:tc>
          <w:tcPr>
            <w:tcW w:w="7087" w:type="dxa"/>
            <w:gridSpan w:val="8"/>
          </w:tcPr>
          <w:p>
            <w:pPr>
              <w:pStyle w:val="nTable"/>
              <w:spacing w:after="40"/>
            </w:pPr>
            <w:r>
              <w:rPr>
                <w:b/>
              </w:rPr>
              <w:t xml:space="preserve">Reprint 4: The </w:t>
            </w:r>
            <w:r>
              <w:rPr>
                <w:b/>
                <w:i/>
              </w:rPr>
              <w:t>Finance Brokers Control Act 1975</w:t>
            </w:r>
            <w:r>
              <w:rPr>
                <w:b/>
              </w:rPr>
              <w:t xml:space="preserve"> as at 13 Oct 2006 </w:t>
            </w:r>
            <w:r>
              <w:t xml:space="preserve">(includes amendments listed above </w:t>
            </w:r>
            <w:r>
              <w:rPr>
                <w:snapToGrid w:val="0"/>
              </w:rPr>
              <w:t xml:space="preserve">except those in the </w:t>
            </w:r>
            <w:r>
              <w:rPr>
                <w:i/>
                <w:iCs/>
              </w:rPr>
              <w:t>Housing Societies Repeal Act 2005</w:t>
            </w:r>
            <w:r>
              <w:t>)</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snapToGrid w:val="0"/>
              </w:rPr>
              <w:lastRenderedPageBreak/>
              <w:t xml:space="preserve">Financial Legislation Amendment and Repeal Act 2006 </w:t>
            </w:r>
            <w:r>
              <w:rPr>
                <w:iCs/>
                <w:snapToGrid w:val="0"/>
              </w:rPr>
              <w:t>Sch. 1 cl. 62</w:t>
            </w:r>
          </w:p>
        </w:tc>
        <w:tc>
          <w:tcPr>
            <w:tcW w:w="1135"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snapToGrid w:val="0"/>
              </w:rPr>
            </w:pPr>
            <w:r>
              <w:rPr>
                <w:i/>
                <w:iCs/>
                <w:snapToGrid w:val="0"/>
              </w:rPr>
              <w:t xml:space="preserve">Legal Profession Act 2008 </w:t>
            </w:r>
            <w:r>
              <w:rPr>
                <w:snapToGrid w:val="0"/>
              </w:rPr>
              <w:t xml:space="preserve">s. 664 </w:t>
            </w:r>
          </w:p>
        </w:tc>
        <w:tc>
          <w:tcPr>
            <w:tcW w:w="1135"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rPr>
              <w:t>Statutes (Repeals and Minor Amendments) Act 2009</w:t>
            </w:r>
            <w:r>
              <w:rPr>
                <w:iCs/>
              </w:rPr>
              <w:t xml:space="preserve"> s. 17</w:t>
            </w:r>
          </w:p>
        </w:tc>
        <w:tc>
          <w:tcPr>
            <w:tcW w:w="1135"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Pt. 4 Div. 1</w:t>
            </w:r>
          </w:p>
        </w:tc>
        <w:tc>
          <w:tcPr>
            <w:tcW w:w="1135"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Before w:val="1"/>
          <w:wBefore w:w="13" w:type="dxa"/>
          <w:cantSplit/>
        </w:trPr>
        <w:tc>
          <w:tcPr>
            <w:tcW w:w="2268" w:type="dxa"/>
            <w:gridSpan w:val="2"/>
            <w:tcBorders>
              <w:bottom w:val="nil"/>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Borders>
              <w:bottom w:val="nil"/>
            </w:tcBorders>
          </w:tcPr>
          <w:p>
            <w:pPr>
              <w:pStyle w:val="nTable"/>
              <w:spacing w:after="40"/>
              <w:rPr>
                <w:snapToGrid w:val="0"/>
              </w:rPr>
            </w:pPr>
            <w:r>
              <w:rPr>
                <w:snapToGrid w:val="0"/>
              </w:rPr>
              <w:t>19 of 2010</w:t>
            </w:r>
          </w:p>
        </w:tc>
        <w:tc>
          <w:tcPr>
            <w:tcW w:w="1134" w:type="dxa"/>
            <w:gridSpan w:val="2"/>
            <w:tcBorders>
              <w:bottom w:val="nil"/>
            </w:tcBorders>
          </w:tcPr>
          <w:p>
            <w:pPr>
              <w:pStyle w:val="nTable"/>
              <w:spacing w:after="40"/>
              <w:rPr>
                <w:snapToGrid w:val="0"/>
              </w:rPr>
            </w:pPr>
            <w:r>
              <w:rPr>
                <w:snapToGrid w:val="0"/>
              </w:rPr>
              <w:t>28 Jun 2010</w:t>
            </w:r>
          </w:p>
        </w:tc>
        <w:tc>
          <w:tcPr>
            <w:tcW w:w="2553" w:type="dxa"/>
            <w:gridSpan w:val="2"/>
            <w:tcBorders>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bottom w:val="none" w:sz="0" w:space="0" w:color="auto"/>
          </w:tblBorders>
        </w:tblPrEx>
        <w:trPr>
          <w:gridBefore w:val="1"/>
          <w:wBefore w:w="13" w:type="dxa"/>
          <w:cantSplit/>
        </w:trPr>
        <w:tc>
          <w:tcPr>
            <w:tcW w:w="2268" w:type="dxa"/>
            <w:gridSpan w:val="2"/>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22</w:t>
            </w:r>
          </w:p>
        </w:tc>
        <w:tc>
          <w:tcPr>
            <w:tcW w:w="1134" w:type="dxa"/>
            <w:gridSpan w:val="2"/>
            <w:shd w:val="clear" w:color="auto" w:fill="auto"/>
          </w:tcPr>
          <w:p>
            <w:pPr>
              <w:pStyle w:val="nTable"/>
              <w:spacing w:after="40"/>
              <w:rPr>
                <w:snapToGrid w:val="0"/>
              </w:rPr>
            </w:pPr>
            <w:r>
              <w:rPr>
                <w:snapToGrid w:val="0"/>
              </w:rPr>
              <w:t>8 of 2012</w:t>
            </w:r>
          </w:p>
        </w:tc>
        <w:tc>
          <w:tcPr>
            <w:tcW w:w="1134" w:type="dxa"/>
            <w:gridSpan w:val="2"/>
            <w:shd w:val="clear" w:color="auto" w:fill="auto"/>
          </w:tcPr>
          <w:p>
            <w:pPr>
              <w:pStyle w:val="nTable"/>
              <w:spacing w:after="40"/>
              <w:rPr>
                <w:snapToGrid w:val="0"/>
              </w:rPr>
            </w:pPr>
            <w:r>
              <w:t>21 May 2012</w:t>
            </w:r>
          </w:p>
        </w:tc>
        <w:tc>
          <w:tcPr>
            <w:tcW w:w="2553" w:type="dxa"/>
            <w:gridSpan w:val="2"/>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bottom w:val="none" w:sz="0" w:space="0" w:color="auto"/>
          </w:tblBorders>
        </w:tblPrEx>
        <w:trPr>
          <w:gridBefore w:val="1"/>
          <w:wBefore w:w="13" w:type="dxa"/>
          <w:cantSplit/>
        </w:trPr>
        <w:tc>
          <w:tcPr>
            <w:tcW w:w="7089" w:type="dxa"/>
            <w:gridSpan w:val="8"/>
            <w:shd w:val="clear" w:color="auto" w:fill="auto"/>
          </w:tcPr>
          <w:p>
            <w:pPr>
              <w:pStyle w:val="nTable"/>
              <w:spacing w:after="40"/>
              <w:rPr>
                <w:snapToGrid w:val="0"/>
              </w:rPr>
            </w:pPr>
            <w:r>
              <w:rPr>
                <w:b/>
                <w:snapToGrid w:val="0"/>
              </w:rPr>
              <w:t xml:space="preserve">Reprint 5: The </w:t>
            </w:r>
            <w:r>
              <w:rPr>
                <w:b/>
                <w:i/>
                <w:noProof/>
                <w:snapToGrid w:val="0"/>
              </w:rPr>
              <w:t>Finance Brokers Control Act 1975</w:t>
            </w:r>
            <w:r>
              <w:rPr>
                <w:b/>
                <w:snapToGrid w:val="0"/>
              </w:rPr>
              <w:t xml:space="preserve"> as at 7 Aug 2015</w:t>
            </w:r>
            <w:r>
              <w:rPr>
                <w:snapToGrid w:val="0"/>
              </w:rPr>
              <w:t xml:space="preserve"> (includes amendments listed above)</w:t>
            </w:r>
          </w:p>
        </w:tc>
      </w:tr>
      <w:tr>
        <w:tblPrEx>
          <w:tblBorders>
            <w:bottom w:val="none" w:sz="0" w:space="0" w:color="auto"/>
          </w:tblBorders>
        </w:tblPrEx>
        <w:trPr>
          <w:gridBefore w:val="1"/>
          <w:wBefore w:w="13" w:type="dxa"/>
          <w:cantSplit/>
        </w:trPr>
        <w:tc>
          <w:tcPr>
            <w:tcW w:w="2254" w:type="dxa"/>
            <w:tcBorders>
              <w:bottom w:val="single" w:sz="8" w:space="0" w:color="auto"/>
            </w:tcBorders>
            <w:shd w:val="clear" w:color="auto" w:fill="auto"/>
          </w:tcPr>
          <w:p>
            <w:pPr>
              <w:pStyle w:val="nTable"/>
              <w:spacing w:after="40"/>
              <w:rPr>
                <w:b/>
                <w:snapToGrid w:val="0"/>
              </w:rPr>
            </w:pPr>
            <w:r>
              <w:rPr>
                <w:i/>
              </w:rPr>
              <w:t>COVID</w:t>
            </w:r>
            <w:r>
              <w:rPr>
                <w:i/>
              </w:rPr>
              <w:noBreakHyphen/>
              <w:t>19 Response and Economic Recovery Omnibus Act 2020</w:t>
            </w:r>
            <w:r>
              <w:t xml:space="preserve"> s. 98</w:t>
            </w:r>
          </w:p>
        </w:tc>
        <w:tc>
          <w:tcPr>
            <w:tcW w:w="1135" w:type="dxa"/>
            <w:gridSpan w:val="2"/>
            <w:tcBorders>
              <w:bottom w:val="single" w:sz="8" w:space="0" w:color="auto"/>
            </w:tcBorders>
            <w:shd w:val="clear" w:color="auto" w:fill="auto"/>
          </w:tcPr>
          <w:p>
            <w:pPr>
              <w:pStyle w:val="nTable"/>
              <w:spacing w:after="40"/>
              <w:rPr>
                <w:snapToGrid w:val="0"/>
              </w:rPr>
            </w:pPr>
            <w:r>
              <w:rPr>
                <w:snapToGrid w:val="0"/>
              </w:rPr>
              <w:t>34 of 2020</w:t>
            </w:r>
          </w:p>
        </w:tc>
        <w:tc>
          <w:tcPr>
            <w:tcW w:w="1135" w:type="dxa"/>
            <w:gridSpan w:val="2"/>
            <w:tcBorders>
              <w:bottom w:val="single" w:sz="8" w:space="0" w:color="auto"/>
            </w:tcBorders>
            <w:shd w:val="clear" w:color="auto" w:fill="auto"/>
          </w:tcPr>
          <w:p>
            <w:pPr>
              <w:pStyle w:val="nTable"/>
              <w:spacing w:after="40"/>
              <w:rPr>
                <w:snapToGrid w:val="0"/>
              </w:rPr>
            </w:pPr>
            <w:r>
              <w:rPr>
                <w:snapToGrid w:val="0"/>
              </w:rPr>
              <w:t>11 Sep 2020</w:t>
            </w:r>
          </w:p>
        </w:tc>
        <w:tc>
          <w:tcPr>
            <w:tcW w:w="2565" w:type="dxa"/>
            <w:gridSpan w:val="3"/>
            <w:tcBorders>
              <w:bottom w:val="single" w:sz="8" w:space="0" w:color="auto"/>
            </w:tcBorders>
            <w:shd w:val="clear" w:color="auto" w:fill="auto"/>
          </w:tcPr>
          <w:p>
            <w:pPr>
              <w:pStyle w:val="nTable"/>
              <w:spacing w:after="40"/>
              <w:rPr>
                <w:snapToGrid w:val="0"/>
              </w:rPr>
            </w:pPr>
            <w:r>
              <w:rPr>
                <w:snapToGrid w:val="0"/>
              </w:rPr>
              <w:t>12 Sep 2020 (see s. 2(b))</w:t>
            </w:r>
          </w:p>
        </w:tc>
      </w:tr>
    </w:tbl>
    <w:p>
      <w:pPr>
        <w:pStyle w:val="nHeading3"/>
      </w:pPr>
      <w:bookmarkStart w:id="135" w:name="_Toc100568046"/>
      <w:r>
        <w:t>Uncommenced provisions table</w:t>
      </w:r>
      <w:bookmarkEnd w:id="13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c>
          <w:tcPr>
            <w:tcW w:w="2268" w:type="dxa"/>
            <w:tcBorders>
              <w:top w:val="single" w:sz="8" w:space="0" w:color="auto"/>
            </w:tcBorders>
            <w:shd w:val="clear" w:color="auto" w:fill="auto"/>
          </w:tcPr>
          <w:p>
            <w:pPr>
              <w:pStyle w:val="nTable"/>
              <w:spacing w:after="40"/>
              <w:rPr>
                <w:vertAlign w:val="superscript"/>
              </w:rPr>
            </w:pPr>
            <w:r>
              <w:rPr>
                <w:i/>
                <w:iCs/>
                <w:snapToGrid w:val="0"/>
              </w:rPr>
              <w:t xml:space="preserve">Credit (Commonwealth Powers) (Transitional and Consequential Provisions) Act 2010 </w:t>
            </w:r>
            <w:r>
              <w:rPr>
                <w:snapToGrid w:val="0"/>
              </w:rPr>
              <w:t>Pt. 5 Div. 1</w:t>
            </w:r>
          </w:p>
        </w:tc>
        <w:tc>
          <w:tcPr>
            <w:tcW w:w="1134" w:type="dxa"/>
            <w:tcBorders>
              <w:top w:val="single" w:sz="8" w:space="0" w:color="auto"/>
            </w:tcBorders>
            <w:shd w:val="clear" w:color="auto" w:fill="auto"/>
          </w:tcPr>
          <w:p>
            <w:pPr>
              <w:pStyle w:val="nTable"/>
              <w:keepNext/>
              <w:keepLines/>
              <w:spacing w:after="40"/>
            </w:pPr>
            <w:r>
              <w:t>14 of 2010</w:t>
            </w:r>
          </w:p>
        </w:tc>
        <w:tc>
          <w:tcPr>
            <w:tcW w:w="1134" w:type="dxa"/>
            <w:tcBorders>
              <w:top w:val="single" w:sz="8" w:space="0" w:color="auto"/>
            </w:tcBorders>
            <w:shd w:val="clear" w:color="auto" w:fill="auto"/>
          </w:tcPr>
          <w:p>
            <w:pPr>
              <w:pStyle w:val="nTable"/>
              <w:keepNext/>
              <w:keepLines/>
              <w:spacing w:after="40"/>
            </w:pPr>
            <w:r>
              <w:t>25 Jun 2010</w:t>
            </w:r>
          </w:p>
        </w:tc>
        <w:tc>
          <w:tcPr>
            <w:tcW w:w="2552" w:type="dxa"/>
            <w:tcBorders>
              <w:top w:val="single" w:sz="8" w:space="0" w:color="auto"/>
            </w:tcBorders>
            <w:shd w:val="clear" w:color="auto" w:fill="auto"/>
          </w:tcPr>
          <w:p>
            <w:pPr>
              <w:pStyle w:val="nTable"/>
              <w:keepNext/>
              <w:keepLines/>
              <w:spacing w:after="40"/>
            </w:pPr>
            <w:r>
              <w:t>To be proclaimed (see s. 2(b))</w:t>
            </w:r>
          </w:p>
        </w:tc>
      </w:tr>
      <w:tr>
        <w:tc>
          <w:tcPr>
            <w:tcW w:w="2268" w:type="dxa"/>
            <w:tcBorders>
              <w:bottom w:val="single" w:sz="8" w:space="0" w:color="auto"/>
            </w:tcBorders>
            <w:shd w:val="clear" w:color="auto" w:fill="auto"/>
          </w:tcPr>
          <w:p>
            <w:pPr>
              <w:pStyle w:val="nTable"/>
              <w:spacing w:after="40"/>
              <w:rPr>
                <w:iCs/>
                <w:snapToGrid w:val="0"/>
              </w:rPr>
            </w:pPr>
            <w:r>
              <w:rPr>
                <w:i/>
                <w:iCs/>
                <w:snapToGrid w:val="0"/>
              </w:rPr>
              <w:t>Legal Profession Uniform Law Application Act 2022</w:t>
            </w:r>
            <w:r>
              <w:rPr>
                <w:iCs/>
                <w:snapToGrid w:val="0"/>
              </w:rPr>
              <w:t xml:space="preserve"> s. 424</w:t>
            </w:r>
          </w:p>
        </w:tc>
        <w:tc>
          <w:tcPr>
            <w:tcW w:w="1134" w:type="dxa"/>
            <w:tcBorders>
              <w:bottom w:val="single" w:sz="8" w:space="0" w:color="auto"/>
            </w:tcBorders>
            <w:shd w:val="clear" w:color="auto" w:fill="auto"/>
          </w:tcPr>
          <w:p>
            <w:pPr>
              <w:pStyle w:val="nTable"/>
              <w:keepNext/>
              <w:keepLines/>
              <w:spacing w:after="40"/>
            </w:pPr>
            <w:r>
              <w:t>9 of 2022</w:t>
            </w:r>
          </w:p>
        </w:tc>
        <w:tc>
          <w:tcPr>
            <w:tcW w:w="1134" w:type="dxa"/>
            <w:tcBorders>
              <w:bottom w:val="single" w:sz="8" w:space="0" w:color="auto"/>
            </w:tcBorders>
            <w:shd w:val="clear" w:color="auto" w:fill="auto"/>
          </w:tcPr>
          <w:p>
            <w:pPr>
              <w:pStyle w:val="nTable"/>
              <w:keepNext/>
              <w:keepLines/>
              <w:spacing w:after="40"/>
            </w:pPr>
            <w:r>
              <w:t>14 Apr 2022</w:t>
            </w:r>
          </w:p>
        </w:tc>
        <w:tc>
          <w:tcPr>
            <w:tcW w:w="2552" w:type="dxa"/>
            <w:tcBorders>
              <w:bottom w:val="single" w:sz="8" w:space="0" w:color="auto"/>
            </w:tcBorders>
            <w:shd w:val="clear" w:color="auto" w:fill="auto"/>
          </w:tcPr>
          <w:p>
            <w:pPr>
              <w:pStyle w:val="nTable"/>
              <w:keepNext/>
              <w:keepLines/>
              <w:spacing w:after="40"/>
            </w:pPr>
            <w:r>
              <w:t>To be proclaimed (see s. 2(c))</w:t>
            </w:r>
          </w:p>
        </w:tc>
      </w:tr>
    </w:tbl>
    <w:p>
      <w:pPr>
        <w:pStyle w:val="nHeading3"/>
      </w:pPr>
      <w:bookmarkStart w:id="136" w:name="_Toc100568047"/>
      <w:r>
        <w:lastRenderedPageBreak/>
        <w:t>Other notes</w:t>
      </w:r>
      <w:bookmarkEnd w:id="136"/>
    </w:p>
    <w:p>
      <w:pPr>
        <w:pStyle w:val="nNote"/>
        <w:rPr>
          <w:snapToGrid w:val="0"/>
        </w:rPr>
      </w:pPr>
      <w:r>
        <w:rPr>
          <w:snapToGrid w:val="0"/>
          <w:vertAlign w:val="superscript"/>
        </w:rPr>
        <w:t>1</w:t>
      </w:r>
      <w:r>
        <w:rPr>
          <w:snapToGrid w:val="0"/>
        </w:rPr>
        <w:tab/>
        <w:t xml:space="preserve">The appointed day is 1 August 1977 (see </w:t>
      </w:r>
      <w:r>
        <w:rPr>
          <w:i/>
          <w:snapToGrid w:val="0"/>
        </w:rPr>
        <w:t>Gazette</w:t>
      </w:r>
      <w:r>
        <w:rPr>
          <w:snapToGrid w:val="0"/>
        </w:rPr>
        <w:t xml:space="preserve"> 17 June 1977 p. 1834).</w:t>
      </w:r>
    </w:p>
    <w:p>
      <w:pPr>
        <w:pStyle w:val="nNote"/>
      </w:pPr>
      <w:r>
        <w:rPr>
          <w:snapToGrid w:val="0"/>
          <w:vertAlign w:val="superscript"/>
        </w:rPr>
        <w:t>2</w:t>
      </w:r>
      <w:r>
        <w:tab/>
        <w:t xml:space="preserve">The referral day is 1 July 2010 (see </w:t>
      </w:r>
      <w:r>
        <w:rPr>
          <w:i/>
        </w:rPr>
        <w:t>Gazette</w:t>
      </w:r>
      <w:r>
        <w:t xml:space="preserve"> 30 Jun 2010 p. 3187).</w:t>
      </w:r>
    </w:p>
    <w:p>
      <w:pPr>
        <w:pStyle w:val="nNote"/>
        <w:rPr>
          <w:snapToGrid w:val="0"/>
        </w:rPr>
      </w:pPr>
      <w:r>
        <w:rPr>
          <w:snapToGrid w:val="0"/>
          <w:vertAlign w:val="superscript"/>
        </w:rPr>
        <w:t>3</w:t>
      </w:r>
      <w:r>
        <w:tab/>
        <w:t xml:space="preserve">Repealed by the </w:t>
      </w:r>
      <w:r>
        <w:rPr>
          <w:i/>
        </w:rPr>
        <w:t>Credit (Commonwealth Powers) (Transitional and Consequential Provisions) Act 2010</w:t>
      </w:r>
      <w:r>
        <w:t>.</w:t>
      </w:r>
    </w:p>
    <w:p>
      <w:pPr>
        <w:pStyle w:val="nNote"/>
      </w:pPr>
      <w:r>
        <w:rPr>
          <w:snapToGrid w:val="0"/>
          <w:vertAlign w:val="superscript"/>
        </w:rPr>
        <w:t>4</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Note"/>
      </w:pPr>
      <w:r>
        <w:rPr>
          <w:vertAlign w:val="superscript"/>
        </w:rPr>
        <w:t>5</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 xml:space="preserve">Anything done or omitted to have been done by a person after the FSR commencement time and before this Act received the Royal </w:t>
      </w:r>
      <w:r>
        <w:rPr>
          <w:snapToGrid w:val="0"/>
        </w:rPr>
        <w:lastRenderedPageBreak/>
        <w:t>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keepNext/>
        <w:keepLines/>
        <w:rPr>
          <w:snapToGrid w:val="0"/>
        </w:rPr>
      </w:pPr>
      <w:r>
        <w:rPr>
          <w:vertAlign w:val="superscript"/>
        </w:rPr>
        <w:t>6</w:t>
      </w:r>
      <w:r>
        <w:rPr>
          <w:vertAlign w:val="superscript"/>
        </w:rPr>
        <w:tab/>
      </w:r>
      <w:r>
        <w:rPr>
          <w:snapToGrid w:val="0"/>
        </w:rPr>
        <w:t xml:space="preserve">The </w:t>
      </w:r>
      <w:r>
        <w:rPr>
          <w:i/>
          <w:iCs/>
          <w:snapToGrid w:val="0"/>
        </w:rPr>
        <w:t>Finance Brokers Control Amendment Act 2004</w:t>
      </w:r>
      <w:r>
        <w:rPr>
          <w:snapToGrid w:val="0"/>
        </w:rPr>
        <w:t xml:space="preserve"> Sch. 1 reads as follows:</w:t>
      </w:r>
    </w:p>
    <w:p>
      <w:pPr>
        <w:pStyle w:val="BlankOpen"/>
      </w:pPr>
    </w:p>
    <w:p>
      <w:pPr>
        <w:pStyle w:val="nzHeading2"/>
        <w:keepLines/>
      </w:pPr>
      <w:r>
        <w:rPr>
          <w:rStyle w:val="CharSchNo"/>
        </w:rPr>
        <w:t>Schedule 1</w:t>
      </w:r>
      <w:r>
        <w:t> — </w:t>
      </w:r>
      <w:r>
        <w:rPr>
          <w:rStyle w:val="CharSchText"/>
        </w:rPr>
        <w:t>Transitional and savings</w:t>
      </w:r>
    </w:p>
    <w:p>
      <w:pPr>
        <w:pStyle w:val="nzMiscellaneousBody"/>
        <w:keepNext/>
        <w:keepLines/>
        <w:jc w:val="right"/>
      </w:pPr>
      <w:r>
        <w:t>[s. 78]</w:t>
      </w:r>
    </w:p>
    <w:p>
      <w:pPr>
        <w:pStyle w:val="nzHeading5"/>
      </w:pPr>
      <w:r>
        <w:t>1.</w:t>
      </w:r>
      <w:r>
        <w:tab/>
        <w:t>Meanings of terms used in this Schedule</w:t>
      </w:r>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r>
        <w:t>2.</w:t>
      </w:r>
      <w:r>
        <w:tab/>
        <w:t>Interpretation Act to apply</w:t>
      </w:r>
    </w:p>
    <w:p>
      <w:pPr>
        <w:pStyle w:val="nzSubsection"/>
      </w:pPr>
      <w:r>
        <w:tab/>
      </w:r>
      <w:r>
        <w:tab/>
        <w:t xml:space="preserve">This Schedule does not limit the operation of the </w:t>
      </w:r>
      <w:r>
        <w:rPr>
          <w:i/>
        </w:rPr>
        <w:t>Interpretation Act 1984</w:t>
      </w:r>
      <w:r>
        <w:t>.</w:t>
      </w:r>
    </w:p>
    <w:p>
      <w:pPr>
        <w:pStyle w:val="nzHeading5"/>
        <w:keepNext w:val="0"/>
        <w:keepLines w:val="0"/>
      </w:pPr>
      <w:r>
        <w:t>3.</w:t>
      </w:r>
      <w:r>
        <w:tab/>
        <w:t>Board dissolved</w:t>
      </w:r>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r>
        <w:t>4.</w:t>
      </w:r>
      <w:r>
        <w:tab/>
        <w:t>Winding up of affairs of the Board</w:t>
      </w:r>
    </w:p>
    <w:p>
      <w:pPr>
        <w:pStyle w:val="nzSubsection"/>
      </w:pPr>
      <w:r>
        <w:tab/>
        <w:t>(1)</w:t>
      </w:r>
      <w:r>
        <w:tab/>
        <w:t xml:space="preserve">On and after the commencement day — </w:t>
      </w:r>
    </w:p>
    <w:p>
      <w:pPr>
        <w:pStyle w:val="nzIndenta"/>
      </w:pPr>
      <w:r>
        <w:tab/>
        <w:t>(a)</w:t>
      </w:r>
      <w:r>
        <w:tab/>
        <w:t xml:space="preserve">the Commissioner is to take control of all registers, documents, books and other records (however compiled, recorded or stored) relating to the Board and the exercise </w:t>
      </w:r>
      <w:r>
        <w:lastRenderedPageBreak/>
        <w:t>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r>
        <w:t>5.</w:t>
      </w:r>
      <w:r>
        <w:tab/>
        <w:t>Registrar’s certificate</w:t>
      </w:r>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r>
        <w:t>6.</w:t>
      </w:r>
      <w:r>
        <w:tab/>
        <w:t>Final report</w:t>
      </w:r>
    </w:p>
    <w:p>
      <w:pPr>
        <w:pStyle w:val="nzSubsection"/>
      </w:pPr>
      <w:r>
        <w:tab/>
        <w:t>(1)</w:t>
      </w:r>
      <w:r>
        <w:tab/>
        <w:t xml:space="preserve">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w:t>
      </w:r>
      <w:r>
        <w:lastRenderedPageBreak/>
        <w:t>Finance Brokers Act and ending on the commencement day and submitting that report to the Minister.</w:t>
      </w:r>
    </w:p>
    <w:p>
      <w:pPr>
        <w:pStyle w:val="nzSubsection"/>
      </w:pPr>
      <w:r>
        <w:tab/>
        <w:t>(2)</w:t>
      </w:r>
      <w:r>
        <w:tab/>
        <w:t>Section 86(2) of the Finance Brokers Act applies to a report prepared and submitted under subclause (1) as if the section had not been repealed.</w:t>
      </w:r>
    </w:p>
    <w:p>
      <w:pPr>
        <w:pStyle w:val="nzHeading5"/>
      </w:pPr>
      <w:r>
        <w:t>7.</w:t>
      </w:r>
      <w:r>
        <w:tab/>
        <w:t>Bond in respect of business certificate</w:t>
      </w:r>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r>
        <w:t>8.</w:t>
      </w:r>
      <w:r>
        <w:tab/>
        <w:t>Persons licensed or to whom an exception applied under the Finance Brokers Act before the commencement day</w:t>
      </w:r>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r>
        <w:t>9.</w:t>
      </w:r>
      <w:r>
        <w:tab/>
        <w:t>Persons licensed, but without a business certificate, under the Finance Brokers Act before the commencement day</w:t>
      </w:r>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w:t>
      </w:r>
      <w:r>
        <w:lastRenderedPageBreak/>
        <w:t xml:space="preserve">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r>
        <w:t>10.</w:t>
      </w:r>
      <w:r>
        <w:tab/>
      </w:r>
      <w:r>
        <w:rPr>
          <w:snapToGrid w:val="0"/>
        </w:rPr>
        <w:t>Licence condition revoked on commencement day</w:t>
      </w:r>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spacing w:before="80"/>
      </w:pPr>
      <w:r>
        <w:t>11.</w:t>
      </w:r>
      <w:r>
        <w:tab/>
        <w:t>Applications for certificates and licenses</w:t>
      </w:r>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spacing w:before="80"/>
      </w:pPr>
      <w:r>
        <w:t>12.</w:t>
      </w:r>
      <w:r>
        <w:tab/>
        <w:t>Further transitional provision may be made</w:t>
      </w:r>
    </w:p>
    <w:p>
      <w:pPr>
        <w:pStyle w:val="nzSubsection"/>
        <w:rPr>
          <w:snapToGrid w:val="0"/>
        </w:rPr>
      </w:pPr>
      <w:r>
        <w:tab/>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 —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lastRenderedPageBreak/>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Note"/>
        <w:keepNext/>
        <w:keepLines/>
        <w:rPr>
          <w:snapToGrid w:val="0"/>
        </w:rPr>
      </w:pPr>
      <w:r>
        <w:rPr>
          <w:vertAlign w:val="superscript"/>
        </w:rPr>
        <w:t>7</w:t>
      </w:r>
      <w:r>
        <w:tab/>
        <w:t xml:space="preserve">The amendment in the </w:t>
      </w:r>
      <w:r>
        <w:rPr>
          <w:i/>
          <w:iCs/>
        </w:rPr>
        <w:t>Finance Brokers Amendment Act 2004</w:t>
      </w:r>
      <w:r>
        <w:t xml:space="preserve"> s. 74(2) is not included because the subsection it sought to amend had been replaced by the </w:t>
      </w:r>
      <w:r>
        <w:rPr>
          <w:i/>
          <w:iCs/>
          <w:snapToGrid w:val="0"/>
        </w:rPr>
        <w:t xml:space="preserve">Criminal Procedure and Appeals (Consequential and Other Provisions) Act 2004 </w:t>
      </w:r>
      <w:r>
        <w:t>s. 78 before it purported to come into operation.</w:t>
      </w:r>
    </w:p>
    <w:p>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snapToGrid w:val="0"/>
        </w:rPr>
      </w:pPr>
      <w:r>
        <w:rPr>
          <w:snapToGrid w:val="0"/>
          <w:vertAlign w:val="superscript"/>
        </w:rPr>
        <w:t>9</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138" w:name="_Toc100325688"/>
      <w:bookmarkStart w:id="139" w:name="_Toc100325794"/>
      <w:bookmarkStart w:id="140" w:name="_Toc100568048"/>
      <w:r>
        <w:rPr>
          <w:sz w:val="28"/>
        </w:rPr>
        <w:lastRenderedPageBreak/>
        <w:t>Defined terms</w:t>
      </w:r>
      <w:bookmarkEnd w:id="138"/>
      <w:bookmarkEnd w:id="139"/>
      <w:bookmarkEnd w:id="1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4, 26(2)</w:t>
      </w:r>
    </w:p>
    <w:p>
      <w:pPr>
        <w:pStyle w:val="DefinedTerms"/>
      </w:pPr>
      <w:r>
        <w:t>approved</w:t>
      </w:r>
      <w:r>
        <w:tab/>
        <w:t>4</w:t>
      </w:r>
    </w:p>
    <w:p>
      <w:pPr>
        <w:pStyle w:val="DefinedTerms"/>
      </w:pPr>
      <w:r>
        <w:t>ASIC</w:t>
      </w:r>
      <w:r>
        <w:tab/>
        <w:t>4</w:t>
      </w:r>
    </w:p>
    <w:p>
      <w:pPr>
        <w:pStyle w:val="DefinedTerms"/>
      </w:pPr>
      <w:r>
        <w:t>auditor</w:t>
      </w:r>
      <w:r>
        <w:tab/>
        <w:t>4</w:t>
      </w:r>
    </w:p>
    <w:p>
      <w:pPr>
        <w:pStyle w:val="DefinedTerms"/>
      </w:pPr>
      <w:r>
        <w:t>authorised person</w:t>
      </w:r>
      <w:r>
        <w:tab/>
        <w:t>92A(1)</w:t>
      </w:r>
    </w:p>
    <w:p>
      <w:pPr>
        <w:pStyle w:val="DefinedTerms"/>
      </w:pPr>
      <w:r>
        <w:t>bank</w:t>
      </w:r>
      <w:r>
        <w:tab/>
        <w:t>4</w:t>
      </w:r>
    </w:p>
    <w:p>
      <w:pPr>
        <w:pStyle w:val="DefinedTerms"/>
      </w:pPr>
      <w:r>
        <w:t>banker</w:t>
      </w:r>
      <w:r>
        <w:tab/>
        <w:t>47</w:t>
      </w:r>
    </w:p>
    <w:p>
      <w:pPr>
        <w:pStyle w:val="DefinedTerms"/>
      </w:pPr>
      <w:r>
        <w:t>business</w:t>
      </w:r>
      <w:r>
        <w:tab/>
        <w:t>4</w:t>
      </w:r>
    </w:p>
    <w:p>
      <w:pPr>
        <w:pStyle w:val="DefinedTerms"/>
      </w:pPr>
      <w:r>
        <w:t>business day</w:t>
      </w:r>
      <w:r>
        <w:tab/>
        <w:t>47</w:t>
      </w:r>
    </w:p>
    <w:p>
      <w:pPr>
        <w:pStyle w:val="DefinedTerms"/>
      </w:pPr>
      <w:r>
        <w:t>Commissioner</w:t>
      </w:r>
      <w:r>
        <w:tab/>
        <w:t>4</w:t>
      </w:r>
    </w:p>
    <w:p>
      <w:pPr>
        <w:pStyle w:val="DefinedTerms"/>
      </w:pPr>
      <w:r>
        <w:t>condition</w:t>
      </w:r>
      <w:r>
        <w:tab/>
        <w:t>4</w:t>
      </w:r>
    </w:p>
    <w:p>
      <w:pPr>
        <w:pStyle w:val="DefinedTerms"/>
      </w:pPr>
      <w:r>
        <w:t>Consumer Credit (Western Australia) Code</w:t>
      </w:r>
      <w:r>
        <w:tab/>
        <w:t>45(5)</w:t>
      </w:r>
    </w:p>
    <w:p>
      <w:pPr>
        <w:pStyle w:val="DefinedTerms"/>
      </w:pPr>
      <w:r>
        <w:t>department</w:t>
      </w:r>
      <w:r>
        <w:tab/>
        <w:t>4</w:t>
      </w:r>
    </w:p>
    <w:p>
      <w:pPr>
        <w:pStyle w:val="DefinedTerms"/>
      </w:pPr>
      <w:r>
        <w:t>executive officer</w:t>
      </w:r>
      <w:r>
        <w:tab/>
        <w:t>6(3)</w:t>
      </w:r>
    </w:p>
    <w:p>
      <w:pPr>
        <w:pStyle w:val="DefinedTerms"/>
      </w:pPr>
      <w:r>
        <w:t>finance broker</w:t>
      </w:r>
      <w:r>
        <w:tab/>
        <w:t>4, 5(1), 72(5)(b)</w:t>
      </w:r>
    </w:p>
    <w:p>
      <w:pPr>
        <w:pStyle w:val="DefinedTerms"/>
      </w:pPr>
      <w:r>
        <w:t>finance brokers code of conduct</w:t>
      </w:r>
      <w:r>
        <w:tab/>
        <w:t>4</w:t>
      </w:r>
    </w:p>
    <w:p>
      <w:pPr>
        <w:pStyle w:val="DefinedTerms"/>
      </w:pPr>
      <w:r>
        <w:t>former Board</w:t>
      </w:r>
      <w:r>
        <w:tab/>
        <w:t>88(4)</w:t>
      </w:r>
    </w:p>
    <w:p>
      <w:pPr>
        <w:pStyle w:val="DefinedTerms"/>
      </w:pPr>
      <w:r>
        <w:t>information</w:t>
      </w:r>
      <w:r>
        <w:tab/>
        <w:t>18H(3)</w:t>
      </w:r>
    </w:p>
    <w:p>
      <w:pPr>
        <w:pStyle w:val="DefinedTerms"/>
      </w:pPr>
      <w:r>
        <w:t>investigative function</w:t>
      </w:r>
      <w:r>
        <w:tab/>
        <w:t>15(4)</w:t>
      </w:r>
    </w:p>
    <w:p>
      <w:pPr>
        <w:pStyle w:val="DefinedTerms"/>
      </w:pPr>
      <w:r>
        <w:t>investigator</w:t>
      </w:r>
      <w:r>
        <w:tab/>
        <w:t>4</w:t>
      </w:r>
    </w:p>
    <w:p>
      <w:pPr>
        <w:pStyle w:val="DefinedTerms"/>
      </w:pPr>
      <w:r>
        <w:t>licence</w:t>
      </w:r>
      <w:r>
        <w:tab/>
        <w:t>4</w:t>
      </w:r>
    </w:p>
    <w:p>
      <w:pPr>
        <w:pStyle w:val="DefinedTerms"/>
      </w:pPr>
      <w:r>
        <w:t>licensed</w:t>
      </w:r>
      <w:r>
        <w:tab/>
        <w:t>4</w:t>
      </w:r>
    </w:p>
    <w:p>
      <w:pPr>
        <w:pStyle w:val="DefinedTerms"/>
      </w:pPr>
      <w:r>
        <w:t>licensee</w:t>
      </w:r>
      <w:r>
        <w:tab/>
        <w:t>4</w:t>
      </w:r>
    </w:p>
    <w:p>
      <w:pPr>
        <w:pStyle w:val="DefinedTerms"/>
      </w:pPr>
      <w:r>
        <w:t>motor vehicle</w:t>
      </w:r>
      <w:r>
        <w:tab/>
        <w:t>4</w:t>
      </w:r>
    </w:p>
    <w:p>
      <w:pPr>
        <w:pStyle w:val="DefinedTerms"/>
      </w:pPr>
      <w:r>
        <w:t>person aggrieved</w:t>
      </w:r>
      <w:r>
        <w:tab/>
        <w:t>23(2)</w:t>
      </w:r>
    </w:p>
    <w:p>
      <w:pPr>
        <w:pStyle w:val="DefinedTerms"/>
      </w:pPr>
      <w:r>
        <w:t>referral day</w:t>
      </w:r>
      <w:r>
        <w:tab/>
        <w:t>4</w:t>
      </w:r>
    </w:p>
    <w:p>
      <w:pPr>
        <w:pStyle w:val="DefinedTerms"/>
      </w:pPr>
      <w:r>
        <w:t>renewal</w:t>
      </w:r>
      <w:r>
        <w:tab/>
        <w:t>4</w:t>
      </w:r>
    </w:p>
    <w:p>
      <w:pPr>
        <w:pStyle w:val="DefinedTerms"/>
      </w:pPr>
      <w:r>
        <w:t>reviewable decision</w:t>
      </w:r>
      <w:r>
        <w:tab/>
        <w:t>23(2)</w:t>
      </w:r>
    </w:p>
    <w:p>
      <w:pPr>
        <w:pStyle w:val="DefinedTerms"/>
      </w:pPr>
      <w:r>
        <w:t>supervisor</w:t>
      </w:r>
      <w:r>
        <w:tab/>
        <w:t>4</w:t>
      </w:r>
    </w:p>
    <w:p>
      <w:pPr>
        <w:pStyle w:val="DefinedTerms"/>
      </w:pPr>
      <w:r>
        <w:t>trust account</w:t>
      </w:r>
      <w:r>
        <w:tab/>
        <w:t>72(5)(a)</w:t>
      </w:r>
    </w:p>
    <w:p>
      <w:pPr>
        <w:pStyle w:val="DefinedTerms"/>
      </w:pPr>
      <w:r>
        <w:t>trust accounts</w:t>
      </w:r>
      <w:r>
        <w:tab/>
        <w:t>47</w:t>
      </w:r>
    </w:p>
    <w:p>
      <w:pPr>
        <w:pStyle w:val="DefinedTerms"/>
      </w:pPr>
      <w:r>
        <w:t>unlicensed finance broker</w:t>
      </w:r>
      <w:r>
        <w:tab/>
        <w:t>40A(1)</w:t>
      </w:r>
    </w:p>
    <w:p>
      <w:pPr>
        <w:pStyle w:val="DefinedTerms"/>
      </w:pPr>
      <w:r>
        <w:t>year</w:t>
      </w:r>
      <w:r>
        <w:tab/>
        <w:t>47</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0" w:name="Schedule"/>
    <w:bookmarkEnd w:id="1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1" w:name="DefinedTerms"/>
    <w:bookmarkEnd w:id="1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A8A72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54854"/>
    <w:docVar w:name="WAFER_20140123135643" w:val="RemoveTocBookmarks,RemoveUnusedBookmarks,RemoveLanguageTags,UsedStyles,ResetPageSize,UpdateArrangement"/>
    <w:docVar w:name="WAFER_20140123135643_GUID" w:val="cd8f9861-d3e8-4f4a-a9b2-8be57fe95878"/>
    <w:docVar w:name="WAFER_20140123135910" w:val="RemoveTocBookmarks,RunningHeaders"/>
    <w:docVar w:name="WAFER_20140123135910_GUID" w:val="4427560f-2930-447a-afda-e400c9b5da31"/>
    <w:docVar w:name="WAFER_20150415152108" w:val="ResetPageSize,UpdateArrangement,UpdateNTable"/>
    <w:docVar w:name="WAFER_20150415152108_GUID" w:val="a169cb76-e7db-4b87-ac0f-12dd1a1ecca7"/>
    <w:docVar w:name="WAFER_20150728113156" w:val="RemoveTocBookmarks,RemoveLanguageTags,RemoveTrackChanges,RunningHeaders"/>
    <w:docVar w:name="WAFER_20150728113156_GUID" w:val="8c7d9a33-78e0-45d8-acb0-1ab1d6505745"/>
    <w:docVar w:name="WAFER_20150728113211" w:val="RemoveTocBookmarks,RemoveLanguageTags,RemoveTrackChanges,RunningHeaders"/>
    <w:docVar w:name="WAFER_20150728113211_GUID" w:val="bf099246-0b73-4b88-9527-be8441682fbe"/>
    <w:docVar w:name="WAFER_20151105094934" w:val="UsedStyles"/>
    <w:docVar w:name="WAFER_20151105094934_GUID" w:val="e6925a68-7349-4ebd-b495-805e3c0241be"/>
    <w:docVar w:name="WAFER_202002121438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835_GUID" w:val="9b22c439-801c-4146-a8c1-eb8d40214285"/>
    <w:docVar w:name="WAFER_20200911110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448_GUID" w:val="4eb492a0-f6ae-4ad0-a051-1e3bb717f4db"/>
    <w:docVar w:name="WAFER_202204081548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854_GUID" w:val="d0f9ce1c-fed0-405d-bb04-48cc8d56c5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EDDD1E5E-3E5F-4E05-9E1B-39EEB9D8E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basedOn w:val="zDefstart"/>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oleObject" Target="embeddings/oleObject2.bin"/><Relationship Id="rId39" Type="http://schemas.openxmlformats.org/officeDocument/2006/relationships/header" Target="header19.xml"/><Relationship Id="rId21" Type="http://schemas.openxmlformats.org/officeDocument/2006/relationships/header" Target="header8.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oleObject" Target="embeddings/oleObject1.bin"/><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wmf"/><Relationship Id="rId33" Type="http://schemas.openxmlformats.org/officeDocument/2006/relationships/header" Target="header15.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20199</Words>
  <Characters>94331</Characters>
  <Application>Microsoft Office Word</Application>
  <DocSecurity>0</DocSecurity>
  <Lines>2549</Lines>
  <Paragraphs>1347</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1975 - 05-c0-00</dc:title>
  <dc:subject/>
  <dc:creator/>
  <cp:keywords/>
  <dc:description/>
  <cp:lastModifiedBy>Master Repository Process</cp:lastModifiedBy>
  <cp:revision>4</cp:revision>
  <cp:lastPrinted>2015-08-17T08:07:00Z</cp:lastPrinted>
  <dcterms:created xsi:type="dcterms:W3CDTF">2022-04-14T09:38:00Z</dcterms:created>
  <dcterms:modified xsi:type="dcterms:W3CDTF">2022-04-14T09:38:00Z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DocumentType">
    <vt:lpwstr>Act</vt:lpwstr>
  </property>
  <property fmtid="{D5CDD505-2E9C-101B-9397-08002B2CF9AE}" pid="4" name="OwlsUID">
    <vt:i4>269</vt:i4>
  </property>
  <property fmtid="{D5CDD505-2E9C-101B-9397-08002B2CF9AE}" pid="5" name="ReprintedAsAt">
    <vt:filetime>2015-08-06T16:00:00Z</vt:filetime>
  </property>
  <property fmtid="{D5CDD505-2E9C-101B-9397-08002B2CF9AE}" pid="6" name="ReprintNo">
    <vt:lpwstr>5</vt:lpwstr>
  </property>
  <property fmtid="{D5CDD505-2E9C-101B-9397-08002B2CF9AE}" pid="7" name="AsAtDate">
    <vt:lpwstr>14 Apr 2022</vt:lpwstr>
  </property>
  <property fmtid="{D5CDD505-2E9C-101B-9397-08002B2CF9AE}" pid="8" name="Suffix">
    <vt:lpwstr>05-c0-00</vt:lpwstr>
  </property>
  <property fmtid="{D5CDD505-2E9C-101B-9397-08002B2CF9AE}" pid="9" name="CommencementDate">
    <vt:lpwstr>20220414</vt:lpwstr>
  </property>
</Properties>
</file>