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567" w:right="576"/>
        <w:outlineLvl w:val="0"/>
        <w:rPr>
          <w:szCs w:val="34"/>
        </w:rPr>
      </w:pPr>
      <w:r>
        <w:rPr>
          <w:szCs w:val="34"/>
        </w:rPr>
        <w:fldChar w:fldCharType="begin"/>
      </w:r>
      <w:r>
        <w:rPr>
          <w:szCs w:val="34"/>
        </w:rPr>
        <w:instrText xml:space="preserve"> STYLEREF "Name Of Act/Reg"</w:instrText>
      </w:r>
      <w:r>
        <w:rPr>
          <w:szCs w:val="34"/>
        </w:rPr>
        <w:fldChar w:fldCharType="separate"/>
      </w:r>
      <w:r>
        <w:rPr>
          <w:noProof/>
          <w:szCs w:val="34"/>
        </w:rPr>
        <w:t>First Home Owner Grant Act 2000</w:t>
      </w:r>
      <w:r>
        <w:rPr>
          <w:szCs w:val="34"/>
        </w:rP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First Home Owner Grant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_Toc100568096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_Toc100568097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_Toc100568098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home</w:t>
      </w:r>
      <w:r>
        <w:tab/>
      </w:r>
      <w:r>
        <w:fldChar w:fldCharType="begin"/>
      </w:r>
      <w:r>
        <w:instrText xml:space="preserve"> PAGEREF _Toc100568099 \h </w:instrText>
      </w:r>
      <w:r>
        <w:fldChar w:fldCharType="separate"/>
      </w:r>
      <w:r>
        <w:t>6</w:t>
      </w:r>
      <w:r>
        <w:fldChar w:fldCharType="end"/>
      </w:r>
    </w:p>
    <w:p>
      <w:pPr>
        <w:pStyle w:val="TOC8"/>
        <w:rPr>
          <w:rFonts w:asciiTheme="minorHAnsi" w:eastAsiaTheme="minorEastAsia" w:hAnsiTheme="minorHAnsi" w:cstheme="minorBidi"/>
          <w:szCs w:val="22"/>
        </w:rPr>
      </w:pPr>
      <w:r>
        <w:t>5.</w:t>
      </w:r>
      <w:r>
        <w:tab/>
        <w:t>Terms used: owner, home owner</w:t>
      </w:r>
      <w:r>
        <w:tab/>
      </w:r>
      <w:r>
        <w:fldChar w:fldCharType="begin"/>
      </w:r>
      <w:r>
        <w:instrText xml:space="preserve"> PAGEREF _Toc100568100 \h </w:instrText>
      </w:r>
      <w:r>
        <w:fldChar w:fldCharType="separate"/>
      </w:r>
      <w:r>
        <w:t>7</w:t>
      </w:r>
      <w:r>
        <w:fldChar w:fldCharType="end"/>
      </w:r>
    </w:p>
    <w:p>
      <w:pPr>
        <w:pStyle w:val="TOC8"/>
        <w:rPr>
          <w:rFonts w:asciiTheme="minorHAnsi" w:eastAsiaTheme="minorEastAsia" w:hAnsiTheme="minorHAnsi" w:cstheme="minorBidi"/>
          <w:szCs w:val="22"/>
        </w:rPr>
      </w:pPr>
      <w:r>
        <w:t>6.</w:t>
      </w:r>
      <w:r>
        <w:tab/>
        <w:t>Term used: relevant interest</w:t>
      </w:r>
      <w:r>
        <w:tab/>
      </w:r>
      <w:r>
        <w:fldChar w:fldCharType="begin"/>
      </w:r>
      <w:r>
        <w:instrText xml:space="preserve"> PAGEREF _Toc100568101 \h </w:instrText>
      </w:r>
      <w:r>
        <w:fldChar w:fldCharType="separate"/>
      </w:r>
      <w:r>
        <w:t>7</w:t>
      </w:r>
      <w:r>
        <w:fldChar w:fldCharType="end"/>
      </w:r>
    </w:p>
    <w:p>
      <w:pPr>
        <w:pStyle w:val="TOC8"/>
        <w:rPr>
          <w:rFonts w:asciiTheme="minorHAnsi" w:eastAsiaTheme="minorEastAsia" w:hAnsiTheme="minorHAnsi" w:cstheme="minorBidi"/>
          <w:szCs w:val="22"/>
        </w:rPr>
      </w:pPr>
      <w:r>
        <w:t>7.</w:t>
      </w:r>
      <w:r>
        <w:tab/>
        <w:t>Term used: spouse</w:t>
      </w:r>
      <w:r>
        <w:tab/>
      </w:r>
      <w:r>
        <w:fldChar w:fldCharType="begin"/>
      </w:r>
      <w:r>
        <w:instrText xml:space="preserve"> PAGEREF _Toc100568102 \h </w:instrText>
      </w:r>
      <w:r>
        <w:fldChar w:fldCharType="separate"/>
      </w:r>
      <w:r>
        <w:t>8</w:t>
      </w:r>
      <w:r>
        <w:fldChar w:fldCharType="end"/>
      </w:r>
    </w:p>
    <w:p>
      <w:pPr>
        <w:pStyle w:val="TOC8"/>
        <w:rPr>
          <w:rFonts w:asciiTheme="minorHAnsi" w:eastAsiaTheme="minorEastAsia" w:hAnsiTheme="minorHAnsi" w:cstheme="minorBidi"/>
          <w:szCs w:val="22"/>
        </w:rPr>
      </w:pPr>
      <w:r>
        <w:t>7A.</w:t>
      </w:r>
      <w:r>
        <w:tab/>
        <w:t>Term used: Australian citizen</w:t>
      </w:r>
      <w:r>
        <w:tab/>
      </w:r>
      <w:r>
        <w:fldChar w:fldCharType="begin"/>
      </w:r>
      <w:r>
        <w:instrText xml:space="preserve"> PAGEREF _Toc100568103 \h </w:instrText>
      </w:r>
      <w:r>
        <w:fldChar w:fldCharType="separate"/>
      </w:r>
      <w:r>
        <w:t>9</w:t>
      </w:r>
      <w:r>
        <w:fldChar w:fldCharType="end"/>
      </w:r>
    </w:p>
    <w:p>
      <w:pPr>
        <w:pStyle w:val="TOC8"/>
        <w:rPr>
          <w:rFonts w:asciiTheme="minorHAnsi" w:eastAsiaTheme="minorEastAsia" w:hAnsiTheme="minorHAnsi" w:cstheme="minorBidi"/>
          <w:szCs w:val="22"/>
        </w:rPr>
      </w:pPr>
      <w:r>
        <w:t>7B.</w:t>
      </w:r>
      <w:r>
        <w:tab/>
        <w:t>Term used: permanent resident</w:t>
      </w:r>
      <w:r>
        <w:tab/>
      </w:r>
      <w:r>
        <w:fldChar w:fldCharType="begin"/>
      </w:r>
      <w:r>
        <w:instrText xml:space="preserve"> PAGEREF _Toc100568104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First home owner grant</w:t>
      </w:r>
    </w:p>
    <w:p>
      <w:pPr>
        <w:pStyle w:val="TOC4"/>
        <w:tabs>
          <w:tab w:val="right" w:leader="dot" w:pos="7077"/>
        </w:tabs>
        <w:rPr>
          <w:rFonts w:asciiTheme="minorHAnsi" w:eastAsiaTheme="minorEastAsia" w:hAnsiTheme="minorHAnsi" w:cstheme="minorBidi"/>
          <w:b w:val="0"/>
          <w:szCs w:val="22"/>
        </w:rPr>
      </w:pPr>
      <w:r>
        <w:t>Division 1 — Entitlement to grant</w:t>
      </w:r>
    </w:p>
    <w:p>
      <w:pPr>
        <w:pStyle w:val="TOC8"/>
        <w:rPr>
          <w:rFonts w:asciiTheme="minorHAnsi" w:eastAsiaTheme="minorEastAsia" w:hAnsiTheme="minorHAnsi" w:cstheme="minorBidi"/>
          <w:szCs w:val="22"/>
        </w:rPr>
      </w:pPr>
      <w:r>
        <w:t>8.</w:t>
      </w:r>
      <w:r>
        <w:tab/>
        <w:t>Entitlement to grant</w:t>
      </w:r>
      <w:r>
        <w:tab/>
      </w:r>
      <w:r>
        <w:fldChar w:fldCharType="begin"/>
      </w:r>
      <w:r>
        <w:instrText xml:space="preserve"> PAGEREF _Toc100568107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Eligibility criteria (applicants)</w:t>
      </w:r>
    </w:p>
    <w:p>
      <w:pPr>
        <w:pStyle w:val="TOC8"/>
        <w:rPr>
          <w:rFonts w:asciiTheme="minorHAnsi" w:eastAsiaTheme="minorEastAsia" w:hAnsiTheme="minorHAnsi" w:cstheme="minorBidi"/>
          <w:szCs w:val="22"/>
        </w:rPr>
      </w:pPr>
      <w:r>
        <w:t>9</w:t>
      </w:r>
      <w:r>
        <w:rPr>
          <w:snapToGrid w:val="0"/>
        </w:rPr>
        <w:t>.</w:t>
      </w:r>
      <w:r>
        <w:rPr>
          <w:snapToGrid w:val="0"/>
        </w:rPr>
        <w:tab/>
        <w:t>Criterion 1 — applicant to be a natural person</w:t>
      </w:r>
      <w:r>
        <w:tab/>
      </w:r>
      <w:r>
        <w:fldChar w:fldCharType="begin"/>
      </w:r>
      <w:r>
        <w:instrText xml:space="preserve"> PAGEREF _Toc100568109 \h </w:instrText>
      </w:r>
      <w:r>
        <w:fldChar w:fldCharType="separate"/>
      </w:r>
      <w:r>
        <w:t>11</w:t>
      </w:r>
      <w:r>
        <w:fldChar w:fldCharType="end"/>
      </w:r>
    </w:p>
    <w:p>
      <w:pPr>
        <w:pStyle w:val="TOC8"/>
        <w:rPr>
          <w:rFonts w:asciiTheme="minorHAnsi" w:eastAsiaTheme="minorEastAsia" w:hAnsiTheme="minorHAnsi" w:cstheme="minorBidi"/>
          <w:szCs w:val="22"/>
        </w:rPr>
      </w:pPr>
      <w:r>
        <w:t>9A.</w:t>
      </w:r>
      <w:r>
        <w:tab/>
        <w:t>Criterion 1A — applicant to be at least 18 years of age</w:t>
      </w:r>
      <w:r>
        <w:tab/>
      </w:r>
      <w:r>
        <w:fldChar w:fldCharType="begin"/>
      </w:r>
      <w:r>
        <w:instrText xml:space="preserve"> PAGEREF _Toc100568110 \h </w:instrText>
      </w:r>
      <w:r>
        <w:fldChar w:fldCharType="separate"/>
      </w:r>
      <w:r>
        <w:t>11</w:t>
      </w:r>
      <w:r>
        <w:fldChar w:fldCharType="end"/>
      </w:r>
    </w:p>
    <w:p>
      <w:pPr>
        <w:pStyle w:val="TOC8"/>
        <w:rPr>
          <w:rFonts w:asciiTheme="minorHAnsi" w:eastAsiaTheme="minorEastAsia" w:hAnsiTheme="minorHAnsi" w:cstheme="minorBidi"/>
          <w:szCs w:val="22"/>
        </w:rPr>
      </w:pPr>
      <w:r>
        <w:t>10.</w:t>
      </w:r>
      <w:r>
        <w:tab/>
        <w:t>Criterion 2 — applicant to be Australian citizen or permanent resident</w:t>
      </w:r>
      <w:r>
        <w:tab/>
      </w:r>
      <w:r>
        <w:fldChar w:fldCharType="begin"/>
      </w:r>
      <w:r>
        <w:instrText xml:space="preserve"> PAGEREF _Toc100568111 \h </w:instrText>
      </w:r>
      <w:r>
        <w:fldChar w:fldCharType="separate"/>
      </w:r>
      <w:r>
        <w:t>12</w:t>
      </w:r>
      <w:r>
        <w:fldChar w:fldCharType="end"/>
      </w:r>
    </w:p>
    <w:p>
      <w:pPr>
        <w:pStyle w:val="TOC8"/>
        <w:rPr>
          <w:rFonts w:asciiTheme="minorHAnsi" w:eastAsiaTheme="minorEastAsia" w:hAnsiTheme="minorHAnsi" w:cstheme="minorBidi"/>
          <w:szCs w:val="22"/>
        </w:rPr>
      </w:pPr>
      <w:r>
        <w:t>11.</w:t>
      </w:r>
      <w:r>
        <w:tab/>
        <w:t>Criterion 3 — except in certain circumstances, applicant or applicant’s spouse or de facto partner must not have received another grant</w:t>
      </w:r>
      <w:r>
        <w:tab/>
      </w:r>
      <w:r>
        <w:fldChar w:fldCharType="begin"/>
      </w:r>
      <w:r>
        <w:instrText xml:space="preserve"> PAGEREF _Toc100568112 \h </w:instrText>
      </w:r>
      <w:r>
        <w:fldChar w:fldCharType="separate"/>
      </w:r>
      <w:r>
        <w:t>12</w:t>
      </w:r>
      <w:r>
        <w:fldChar w:fldCharType="end"/>
      </w:r>
    </w:p>
    <w:p>
      <w:pPr>
        <w:pStyle w:val="TOC8"/>
        <w:rPr>
          <w:rFonts w:asciiTheme="minorHAnsi" w:eastAsiaTheme="minorEastAsia" w:hAnsiTheme="minorHAnsi" w:cstheme="minorBidi"/>
          <w:szCs w:val="22"/>
        </w:rPr>
      </w:pPr>
      <w:r>
        <w:t>12.</w:t>
      </w:r>
      <w:r>
        <w:tab/>
        <w:t>Criterion 4 — applicant or applicant’s spouse or de facto partner must not have had relevant interest in residential property</w:t>
      </w:r>
      <w:r>
        <w:tab/>
      </w:r>
      <w:r>
        <w:fldChar w:fldCharType="begin"/>
      </w:r>
      <w:r>
        <w:instrText xml:space="preserve"> PAGEREF _Toc100568113 \h </w:instrText>
      </w:r>
      <w:r>
        <w:fldChar w:fldCharType="separate"/>
      </w:r>
      <w:r>
        <w:t>13</w:t>
      </w:r>
      <w:r>
        <w:fldChar w:fldCharType="end"/>
      </w:r>
    </w:p>
    <w:p>
      <w:pPr>
        <w:pStyle w:val="TOC8"/>
        <w:rPr>
          <w:rFonts w:asciiTheme="minorHAnsi" w:eastAsiaTheme="minorEastAsia" w:hAnsiTheme="minorHAnsi" w:cstheme="minorBidi"/>
          <w:szCs w:val="22"/>
        </w:rPr>
      </w:pPr>
      <w:r>
        <w:t>13.</w:t>
      </w:r>
      <w:r>
        <w:tab/>
        <w:t>Criterion 5 — residence requirements</w:t>
      </w:r>
      <w:r>
        <w:tab/>
      </w:r>
      <w:r>
        <w:fldChar w:fldCharType="begin"/>
      </w:r>
      <w:r>
        <w:instrText xml:space="preserve"> PAGEREF _Toc100568114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13A.</w:t>
      </w:r>
      <w:r>
        <w:tab/>
        <w:t>Criterion 6 — applicant must not have been convicted of an offence under this Act</w:t>
      </w:r>
      <w:r>
        <w:tab/>
      </w:r>
      <w:r>
        <w:fldChar w:fldCharType="begin"/>
      </w:r>
      <w:r>
        <w:instrText xml:space="preserve"> PAGEREF _Toc100568115 \h </w:instrText>
      </w:r>
      <w:r>
        <w:fldChar w:fldCharType="separate"/>
      </w:r>
      <w:r>
        <w:t>16</w:t>
      </w:r>
      <w:r>
        <w:fldChar w:fldCharType="end"/>
      </w:r>
    </w:p>
    <w:p>
      <w:pPr>
        <w:pStyle w:val="TOC8"/>
        <w:rPr>
          <w:rFonts w:asciiTheme="minorHAnsi" w:eastAsiaTheme="minorEastAsia" w:hAnsiTheme="minorHAnsi" w:cstheme="minorBidi"/>
          <w:szCs w:val="22"/>
        </w:rPr>
      </w:pPr>
      <w:r>
        <w:t>13B.</w:t>
      </w:r>
      <w:r>
        <w:tab/>
        <w:t>Criterion 7 — applicant must not hold relevant interest as trustee</w:t>
      </w:r>
      <w:r>
        <w:tab/>
      </w:r>
      <w:r>
        <w:fldChar w:fldCharType="begin"/>
      </w:r>
      <w:r>
        <w:instrText xml:space="preserve"> PAGEREF _Toc100568116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Eligible transactions</w:t>
      </w:r>
    </w:p>
    <w:p>
      <w:pPr>
        <w:pStyle w:val="TOC6"/>
        <w:tabs>
          <w:tab w:val="right" w:leader="dot" w:pos="7077"/>
        </w:tabs>
        <w:rPr>
          <w:rFonts w:asciiTheme="minorHAnsi" w:eastAsiaTheme="minorEastAsia" w:hAnsiTheme="minorHAnsi" w:cstheme="minorBidi"/>
          <w:b w:val="0"/>
          <w:sz w:val="22"/>
          <w:szCs w:val="22"/>
        </w:rPr>
      </w:pPr>
      <w:r>
        <w:t>Subdivision 1 — Eligible transactions</w:t>
      </w:r>
    </w:p>
    <w:p>
      <w:pPr>
        <w:pStyle w:val="TOC8"/>
        <w:rPr>
          <w:rFonts w:asciiTheme="minorHAnsi" w:eastAsiaTheme="minorEastAsia" w:hAnsiTheme="minorHAnsi" w:cstheme="minorBidi"/>
          <w:szCs w:val="22"/>
        </w:rPr>
      </w:pPr>
      <w:r>
        <w:t>14.</w:t>
      </w:r>
      <w:r>
        <w:tab/>
        <w:t>Eligible transaction</w:t>
      </w:r>
      <w:r>
        <w:tab/>
      </w:r>
      <w:r>
        <w:fldChar w:fldCharType="begin"/>
      </w:r>
      <w:r>
        <w:instrText xml:space="preserve"> PAGEREF _Toc100568119 \h </w:instrText>
      </w:r>
      <w:r>
        <w:fldChar w:fldCharType="separate"/>
      </w:r>
      <w:r>
        <w:t>16</w:t>
      </w:r>
      <w:r>
        <w:fldChar w:fldCharType="end"/>
      </w:r>
    </w:p>
    <w:p>
      <w:pPr>
        <w:pStyle w:val="TOC8"/>
        <w:rPr>
          <w:rFonts w:asciiTheme="minorHAnsi" w:eastAsiaTheme="minorEastAsia" w:hAnsiTheme="minorHAnsi" w:cstheme="minorBidi"/>
          <w:szCs w:val="22"/>
        </w:rPr>
      </w:pPr>
      <w:r>
        <w:t>14AA.</w:t>
      </w:r>
      <w:r>
        <w:tab/>
        <w:t>Commencement and completion of transaction</w:t>
      </w:r>
      <w:r>
        <w:tab/>
      </w:r>
      <w:r>
        <w:fldChar w:fldCharType="begin"/>
      </w:r>
      <w:r>
        <w:instrText xml:space="preserve"> PAGEREF _Toc100568120 \h </w:instrText>
      </w:r>
      <w:r>
        <w:fldChar w:fldCharType="separate"/>
      </w:r>
      <w:r>
        <w:t>18</w:t>
      </w:r>
      <w:r>
        <w:fldChar w:fldCharType="end"/>
      </w:r>
    </w:p>
    <w:p>
      <w:pPr>
        <w:pStyle w:val="TOC8"/>
        <w:rPr>
          <w:rFonts w:asciiTheme="minorHAnsi" w:eastAsiaTheme="minorEastAsia" w:hAnsiTheme="minorHAnsi" w:cstheme="minorBidi"/>
          <w:szCs w:val="22"/>
        </w:rPr>
      </w:pPr>
      <w:r>
        <w:t>14AB.</w:t>
      </w:r>
      <w:r>
        <w:tab/>
        <w:t>Term used: consideration</w:t>
      </w:r>
      <w:r>
        <w:tab/>
      </w:r>
      <w:r>
        <w:fldChar w:fldCharType="begin"/>
      </w:r>
      <w:r>
        <w:instrText xml:space="preserve"> PAGEREF _Toc100568121 \h </w:instrText>
      </w:r>
      <w:r>
        <w:fldChar w:fldCharType="separate"/>
      </w:r>
      <w:r>
        <w:t>19</w:t>
      </w:r>
      <w:r>
        <w:fldChar w:fldCharType="end"/>
      </w:r>
    </w:p>
    <w:p>
      <w:pPr>
        <w:pStyle w:val="TOC8"/>
        <w:rPr>
          <w:rFonts w:asciiTheme="minorHAnsi" w:eastAsiaTheme="minorEastAsia" w:hAnsiTheme="minorHAnsi" w:cstheme="minorBidi"/>
          <w:szCs w:val="22"/>
        </w:rPr>
      </w:pPr>
      <w:r>
        <w:t>14AC.</w:t>
      </w:r>
      <w:r>
        <w:tab/>
        <w:t>Term used: total value</w:t>
      </w:r>
      <w:r>
        <w:tab/>
      </w:r>
      <w:r>
        <w:fldChar w:fldCharType="begin"/>
      </w:r>
      <w:r>
        <w:instrText xml:space="preserve"> PAGEREF _Toc100568122 \h </w:instrText>
      </w:r>
      <w:r>
        <w:fldChar w:fldCharType="separate"/>
      </w:r>
      <w:r>
        <w:t>19</w:t>
      </w:r>
      <w:r>
        <w:fldChar w:fldCharType="end"/>
      </w:r>
    </w:p>
    <w:p>
      <w:pPr>
        <w:pStyle w:val="TOC8"/>
        <w:rPr>
          <w:rFonts w:asciiTheme="minorHAnsi" w:eastAsiaTheme="minorEastAsia" w:hAnsiTheme="minorHAnsi" w:cstheme="minorBidi"/>
          <w:szCs w:val="22"/>
        </w:rPr>
      </w:pPr>
      <w:r>
        <w:t>14AD.</w:t>
      </w:r>
      <w:r>
        <w:tab/>
        <w:t>Term used: cap amount</w:t>
      </w:r>
      <w:r>
        <w:tab/>
      </w:r>
      <w:r>
        <w:fldChar w:fldCharType="begin"/>
      </w:r>
      <w:r>
        <w:instrText xml:space="preserve"> PAGEREF _Toc100568123 \h </w:instrText>
      </w:r>
      <w:r>
        <w:fldChar w:fldCharType="separate"/>
      </w:r>
      <w:r>
        <w:t>20</w:t>
      </w:r>
      <w:r>
        <w:fldChar w:fldCharType="end"/>
      </w:r>
    </w:p>
    <w:p>
      <w:pPr>
        <w:pStyle w:val="TOC8"/>
        <w:rPr>
          <w:rFonts w:asciiTheme="minorHAnsi" w:eastAsiaTheme="minorEastAsia" w:hAnsiTheme="minorHAnsi" w:cstheme="minorBidi"/>
          <w:szCs w:val="22"/>
        </w:rPr>
      </w:pPr>
      <w:r>
        <w:t>14AE.</w:t>
      </w:r>
      <w:r>
        <w:tab/>
        <w:t>Term used: unencumbered value</w:t>
      </w:r>
      <w:r>
        <w:tab/>
      </w:r>
      <w:r>
        <w:fldChar w:fldCharType="begin"/>
      </w:r>
      <w:r>
        <w:instrText xml:space="preserve"> PAGEREF _Toc100568124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2 — Special eligible transactions</w:t>
      </w:r>
    </w:p>
    <w:p>
      <w:pPr>
        <w:pStyle w:val="TOC8"/>
        <w:rPr>
          <w:rFonts w:asciiTheme="minorHAnsi" w:eastAsiaTheme="minorEastAsia" w:hAnsiTheme="minorHAnsi" w:cstheme="minorBidi"/>
          <w:szCs w:val="22"/>
        </w:rPr>
      </w:pPr>
      <w:r>
        <w:t>14A.</w:t>
      </w:r>
      <w:r>
        <w:tab/>
        <w:t>Terms used</w:t>
      </w:r>
      <w:r>
        <w:tab/>
      </w:r>
      <w:r>
        <w:fldChar w:fldCharType="begin"/>
      </w:r>
      <w:r>
        <w:instrText xml:space="preserve"> PAGEREF _Toc100568126 \h </w:instrText>
      </w:r>
      <w:r>
        <w:fldChar w:fldCharType="separate"/>
      </w:r>
      <w:r>
        <w:t>21</w:t>
      </w:r>
      <w:r>
        <w:fldChar w:fldCharType="end"/>
      </w:r>
    </w:p>
    <w:p>
      <w:pPr>
        <w:pStyle w:val="TOC8"/>
        <w:rPr>
          <w:rFonts w:asciiTheme="minorHAnsi" w:eastAsiaTheme="minorEastAsia" w:hAnsiTheme="minorHAnsi" w:cstheme="minorBidi"/>
          <w:szCs w:val="22"/>
        </w:rPr>
      </w:pPr>
      <w:r>
        <w:t>14B.</w:t>
      </w:r>
      <w:r>
        <w:tab/>
        <w:t>Special eligible transactions</w:t>
      </w:r>
      <w:r>
        <w:tab/>
      </w:r>
      <w:r>
        <w:fldChar w:fldCharType="begin"/>
      </w:r>
      <w:r>
        <w:instrText xml:space="preserve"> PAGEREF _Toc100568127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Application for the grant</w:t>
      </w:r>
    </w:p>
    <w:p>
      <w:pPr>
        <w:pStyle w:val="TOC8"/>
        <w:rPr>
          <w:rFonts w:asciiTheme="minorHAnsi" w:eastAsiaTheme="minorEastAsia" w:hAnsiTheme="minorHAnsi" w:cstheme="minorBidi"/>
          <w:szCs w:val="22"/>
        </w:rPr>
      </w:pPr>
      <w:r>
        <w:t>15.</w:t>
      </w:r>
      <w:r>
        <w:tab/>
        <w:t>Application for grant</w:t>
      </w:r>
      <w:r>
        <w:tab/>
      </w:r>
      <w:r>
        <w:fldChar w:fldCharType="begin"/>
      </w:r>
      <w:r>
        <w:instrText xml:space="preserve"> PAGEREF _Toc100568129 \h </w:instrText>
      </w:r>
      <w:r>
        <w:fldChar w:fldCharType="separate"/>
      </w:r>
      <w:r>
        <w:t>28</w:t>
      </w:r>
      <w:r>
        <w:fldChar w:fldCharType="end"/>
      </w:r>
    </w:p>
    <w:p>
      <w:pPr>
        <w:pStyle w:val="TOC8"/>
        <w:rPr>
          <w:rFonts w:asciiTheme="minorHAnsi" w:eastAsiaTheme="minorEastAsia" w:hAnsiTheme="minorHAnsi" w:cstheme="minorBidi"/>
          <w:szCs w:val="22"/>
        </w:rPr>
      </w:pPr>
      <w:r>
        <w:t>16.</w:t>
      </w:r>
      <w:r>
        <w:tab/>
        <w:t>Interested persons</w:t>
      </w:r>
      <w:r>
        <w:tab/>
      </w:r>
      <w:r>
        <w:fldChar w:fldCharType="begin"/>
      </w:r>
      <w:r>
        <w:instrText xml:space="preserve"> PAGEREF _Toc100568130 \h </w:instrText>
      </w:r>
      <w:r>
        <w:fldChar w:fldCharType="separate"/>
      </w:r>
      <w:r>
        <w:t>28</w:t>
      </w:r>
      <w:r>
        <w:fldChar w:fldCharType="end"/>
      </w:r>
    </w:p>
    <w:p>
      <w:pPr>
        <w:pStyle w:val="TOC8"/>
        <w:rPr>
          <w:rFonts w:asciiTheme="minorHAnsi" w:eastAsiaTheme="minorEastAsia" w:hAnsiTheme="minorHAnsi" w:cstheme="minorBidi"/>
          <w:szCs w:val="22"/>
        </w:rPr>
      </w:pPr>
      <w:r>
        <w:t>17.</w:t>
      </w:r>
      <w:r>
        <w:tab/>
        <w:t>Application on behalf of person under legal disability</w:t>
      </w:r>
      <w:r>
        <w:tab/>
      </w:r>
      <w:r>
        <w:fldChar w:fldCharType="begin"/>
      </w:r>
      <w:r>
        <w:instrText xml:space="preserve"> PAGEREF _Toc100568131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 — Decision on application</w:t>
      </w:r>
    </w:p>
    <w:p>
      <w:pPr>
        <w:pStyle w:val="TOC8"/>
        <w:rPr>
          <w:rFonts w:asciiTheme="minorHAnsi" w:eastAsiaTheme="minorEastAsia" w:hAnsiTheme="minorHAnsi" w:cstheme="minorBidi"/>
          <w:szCs w:val="22"/>
        </w:rPr>
      </w:pPr>
      <w:r>
        <w:t>18.</w:t>
      </w:r>
      <w:r>
        <w:tab/>
        <w:t>Commissioner to authorise payment of grant</w:t>
      </w:r>
      <w:r>
        <w:tab/>
      </w:r>
      <w:r>
        <w:fldChar w:fldCharType="begin"/>
      </w:r>
      <w:r>
        <w:instrText xml:space="preserve"> PAGEREF _Toc100568133 \h </w:instrText>
      </w:r>
      <w:r>
        <w:fldChar w:fldCharType="separate"/>
      </w:r>
      <w:r>
        <w:t>29</w:t>
      </w:r>
      <w:r>
        <w:fldChar w:fldCharType="end"/>
      </w:r>
    </w:p>
    <w:p>
      <w:pPr>
        <w:pStyle w:val="TOC8"/>
        <w:rPr>
          <w:rFonts w:asciiTheme="minorHAnsi" w:eastAsiaTheme="minorEastAsia" w:hAnsiTheme="minorHAnsi" w:cstheme="minorBidi"/>
          <w:szCs w:val="22"/>
        </w:rPr>
      </w:pPr>
      <w:r>
        <w:t>19.</w:t>
      </w:r>
      <w:r>
        <w:tab/>
        <w:t>Amount of grant</w:t>
      </w:r>
      <w:r>
        <w:tab/>
      </w:r>
      <w:r>
        <w:fldChar w:fldCharType="begin"/>
      </w:r>
      <w:r>
        <w:instrText xml:space="preserve"> PAGEREF _Toc100568134 \h </w:instrText>
      </w:r>
      <w:r>
        <w:fldChar w:fldCharType="separate"/>
      </w:r>
      <w:r>
        <w:t>30</w:t>
      </w:r>
      <w:r>
        <w:fldChar w:fldCharType="end"/>
      </w:r>
    </w:p>
    <w:p>
      <w:pPr>
        <w:pStyle w:val="TOC8"/>
        <w:rPr>
          <w:rFonts w:asciiTheme="minorHAnsi" w:eastAsiaTheme="minorEastAsia" w:hAnsiTheme="minorHAnsi" w:cstheme="minorBidi"/>
          <w:szCs w:val="22"/>
        </w:rPr>
      </w:pPr>
      <w:r>
        <w:t>20.</w:t>
      </w:r>
      <w:r>
        <w:tab/>
        <w:t>Payment of grant</w:t>
      </w:r>
      <w:r>
        <w:tab/>
      </w:r>
      <w:r>
        <w:fldChar w:fldCharType="begin"/>
      </w:r>
      <w:r>
        <w:instrText xml:space="preserve"> PAGEREF _Toc100568135 \h </w:instrText>
      </w:r>
      <w:r>
        <w:fldChar w:fldCharType="separate"/>
      </w:r>
      <w:r>
        <w:t>33</w:t>
      </w:r>
      <w:r>
        <w:fldChar w:fldCharType="end"/>
      </w:r>
    </w:p>
    <w:p>
      <w:pPr>
        <w:pStyle w:val="TOC8"/>
        <w:rPr>
          <w:rFonts w:asciiTheme="minorHAnsi" w:eastAsiaTheme="minorEastAsia" w:hAnsiTheme="minorHAnsi" w:cstheme="minorBidi"/>
          <w:szCs w:val="22"/>
        </w:rPr>
      </w:pPr>
      <w:r>
        <w:t>21.</w:t>
      </w:r>
      <w:r>
        <w:tab/>
        <w:t>Payment in anticipation of compliance with residence requirement</w:t>
      </w:r>
      <w:r>
        <w:tab/>
      </w:r>
      <w:r>
        <w:fldChar w:fldCharType="begin"/>
      </w:r>
      <w:r>
        <w:instrText xml:space="preserve"> PAGEREF _Toc100568136 \h </w:instrText>
      </w:r>
      <w:r>
        <w:fldChar w:fldCharType="separate"/>
      </w:r>
      <w:r>
        <w:t>33</w:t>
      </w:r>
      <w:r>
        <w:fldChar w:fldCharType="end"/>
      </w:r>
    </w:p>
    <w:p>
      <w:pPr>
        <w:pStyle w:val="TOC8"/>
        <w:rPr>
          <w:rFonts w:asciiTheme="minorHAnsi" w:eastAsiaTheme="minorEastAsia" w:hAnsiTheme="minorHAnsi" w:cstheme="minorBidi"/>
          <w:szCs w:val="22"/>
        </w:rPr>
      </w:pPr>
      <w:r>
        <w:t>22.</w:t>
      </w:r>
      <w:r>
        <w:tab/>
        <w:t>Commissioner may impose conditions</w:t>
      </w:r>
      <w:r>
        <w:tab/>
      </w:r>
      <w:r>
        <w:fldChar w:fldCharType="begin"/>
      </w:r>
      <w:r>
        <w:instrText xml:space="preserve"> PAGEREF _Toc100568137 \h </w:instrText>
      </w:r>
      <w:r>
        <w:fldChar w:fldCharType="separate"/>
      </w:r>
      <w:r>
        <w:t>35</w:t>
      </w:r>
      <w:r>
        <w:fldChar w:fldCharType="end"/>
      </w:r>
    </w:p>
    <w:p>
      <w:pPr>
        <w:pStyle w:val="TOC8"/>
        <w:rPr>
          <w:rFonts w:asciiTheme="minorHAnsi" w:eastAsiaTheme="minorEastAsia" w:hAnsiTheme="minorHAnsi" w:cstheme="minorBidi"/>
          <w:szCs w:val="22"/>
        </w:rPr>
      </w:pPr>
      <w:r>
        <w:t>23.</w:t>
      </w:r>
      <w:r>
        <w:tab/>
        <w:t>Death of applicant</w:t>
      </w:r>
      <w:r>
        <w:tab/>
      </w:r>
      <w:r>
        <w:fldChar w:fldCharType="begin"/>
      </w:r>
      <w:r>
        <w:instrText xml:space="preserve"> PAGEREF _Toc100568138 \h </w:instrText>
      </w:r>
      <w:r>
        <w:fldChar w:fldCharType="separate"/>
      </w:r>
      <w:r>
        <w:t>36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Power to correct decision</w:t>
      </w:r>
      <w:r>
        <w:tab/>
      </w:r>
      <w:r>
        <w:fldChar w:fldCharType="begin"/>
      </w:r>
      <w:r>
        <w:instrText xml:space="preserve"> PAGEREF _Toc100568139 \h </w:instrText>
      </w:r>
      <w:r>
        <w:fldChar w:fldCharType="separate"/>
      </w:r>
      <w:r>
        <w:t>36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Notice of decision</w:t>
      </w:r>
      <w:r>
        <w:tab/>
      </w:r>
      <w:r>
        <w:fldChar w:fldCharType="begin"/>
      </w:r>
      <w:r>
        <w:instrText xml:space="preserve"> PAGEREF _Toc100568140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6 — Objections and review</w:t>
      </w:r>
    </w:p>
    <w:p>
      <w:pPr>
        <w:pStyle w:val="TOC6"/>
        <w:tabs>
          <w:tab w:val="right" w:leader="dot" w:pos="7077"/>
        </w:tabs>
        <w:rPr>
          <w:rFonts w:asciiTheme="minorHAnsi" w:eastAsiaTheme="minorEastAsia" w:hAnsiTheme="minorHAnsi" w:cstheme="minorBidi"/>
          <w:b w:val="0"/>
          <w:sz w:val="22"/>
          <w:szCs w:val="22"/>
        </w:rPr>
      </w:pPr>
      <w:r>
        <w:t>Subdivision 1 — Definitions</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_Toc100568143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Subdivision 2 — Objections</w:t>
      </w:r>
    </w:p>
    <w:p>
      <w:pPr>
        <w:pStyle w:val="TOC8"/>
        <w:rPr>
          <w:rFonts w:asciiTheme="minorHAnsi" w:eastAsiaTheme="minorEastAsia" w:hAnsiTheme="minorHAnsi" w:cstheme="minorBidi"/>
          <w:szCs w:val="22"/>
        </w:rPr>
      </w:pPr>
      <w:r>
        <w:t>27.</w:t>
      </w:r>
      <w:r>
        <w:tab/>
        <w:t>Right to object and procedure for making objections</w:t>
      </w:r>
      <w:r>
        <w:tab/>
      </w:r>
      <w:r>
        <w:fldChar w:fldCharType="begin"/>
      </w:r>
      <w:r>
        <w:instrText xml:space="preserve"> PAGEREF _Toc100568145 \h </w:instrText>
      </w:r>
      <w:r>
        <w:fldChar w:fldCharType="separate"/>
      </w:r>
      <w:r>
        <w:t>38</w:t>
      </w:r>
      <w:r>
        <w:fldChar w:fldCharType="end"/>
      </w:r>
    </w:p>
    <w:p>
      <w:pPr>
        <w:pStyle w:val="TOC8"/>
        <w:rPr>
          <w:rFonts w:asciiTheme="minorHAnsi" w:eastAsiaTheme="minorEastAsia" w:hAnsiTheme="minorHAnsi" w:cstheme="minorBidi"/>
          <w:szCs w:val="22"/>
        </w:rPr>
      </w:pPr>
      <w:r>
        <w:t>28.</w:t>
      </w:r>
      <w:r>
        <w:tab/>
        <w:t>Time for lodging objection</w:t>
      </w:r>
      <w:r>
        <w:tab/>
      </w:r>
      <w:r>
        <w:fldChar w:fldCharType="begin"/>
      </w:r>
      <w:r>
        <w:instrText xml:space="preserve"> PAGEREF _Toc100568146 \h </w:instrText>
      </w:r>
      <w:r>
        <w:fldChar w:fldCharType="separate"/>
      </w:r>
      <w:r>
        <w:t>38</w:t>
      </w:r>
      <w:r>
        <w:fldChar w:fldCharType="end"/>
      </w:r>
    </w:p>
    <w:p>
      <w:pPr>
        <w:pStyle w:val="TOC8"/>
        <w:rPr>
          <w:rFonts w:asciiTheme="minorHAnsi" w:eastAsiaTheme="minorEastAsia" w:hAnsiTheme="minorHAnsi" w:cstheme="minorBidi"/>
          <w:szCs w:val="22"/>
        </w:rPr>
      </w:pPr>
      <w:r>
        <w:lastRenderedPageBreak/>
        <w:t>29A.</w:t>
      </w:r>
      <w:r>
        <w:tab/>
        <w:t xml:space="preserve">Relationship with </w:t>
      </w:r>
      <w:r>
        <w:rPr>
          <w:i/>
        </w:rPr>
        <w:t>Duties Act 2008</w:t>
      </w:r>
      <w:r>
        <w:t xml:space="preserve"> and </w:t>
      </w:r>
      <w:r>
        <w:rPr>
          <w:i/>
        </w:rPr>
        <w:t>Taxation Administration Act 2003</w:t>
      </w:r>
      <w:r>
        <w:tab/>
      </w:r>
      <w:r>
        <w:fldChar w:fldCharType="begin"/>
      </w:r>
      <w:r>
        <w:instrText xml:space="preserve"> PAGEREF _Toc100568147 \h </w:instrText>
      </w:r>
      <w:r>
        <w:fldChar w:fldCharType="separate"/>
      </w:r>
      <w:r>
        <w:t>39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Consideration of objection</w:t>
      </w:r>
      <w:r>
        <w:tab/>
      </w:r>
      <w:r>
        <w:fldChar w:fldCharType="begin"/>
      </w:r>
      <w:r>
        <w:instrText xml:space="preserve"> PAGEREF _Toc100568148 \h </w:instrText>
      </w:r>
      <w:r>
        <w:fldChar w:fldCharType="separate"/>
      </w:r>
      <w:r>
        <w:t>42</w:t>
      </w:r>
      <w:r>
        <w:fldChar w:fldCharType="end"/>
      </w:r>
    </w:p>
    <w:p>
      <w:pPr>
        <w:pStyle w:val="TOC8"/>
        <w:rPr>
          <w:rFonts w:asciiTheme="minorHAnsi" w:eastAsiaTheme="minorEastAsia" w:hAnsiTheme="minorHAnsi" w:cstheme="minorBidi"/>
          <w:szCs w:val="22"/>
        </w:rPr>
      </w:pPr>
      <w:r>
        <w:t>30A.</w:t>
      </w:r>
      <w:r>
        <w:tab/>
        <w:t>Time limit for making decision on objection</w:t>
      </w:r>
      <w:r>
        <w:tab/>
      </w:r>
      <w:r>
        <w:fldChar w:fldCharType="begin"/>
      </w:r>
      <w:r>
        <w:instrText xml:space="preserve"> PAGEREF _Toc100568149 \h </w:instrText>
      </w:r>
      <w:r>
        <w:fldChar w:fldCharType="separate"/>
      </w:r>
      <w:r>
        <w:t>43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Decision on objection</w:t>
      </w:r>
      <w:r>
        <w:tab/>
      </w:r>
      <w:r>
        <w:fldChar w:fldCharType="begin"/>
      </w:r>
      <w:r>
        <w:instrText xml:space="preserve"> PAGEREF _Toc100568150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 xml:space="preserve">Subdivision 3 — </w:t>
      </w:r>
      <w:r>
        <w:t>Review</w:t>
      </w:r>
    </w:p>
    <w:p>
      <w:pPr>
        <w:pStyle w:val="TOC8"/>
        <w:rPr>
          <w:rFonts w:asciiTheme="minorHAnsi" w:eastAsiaTheme="minorEastAsia" w:hAnsiTheme="minorHAnsi" w:cstheme="minorBidi"/>
          <w:szCs w:val="22"/>
        </w:rPr>
      </w:pPr>
      <w:r>
        <w:t>31.</w:t>
      </w:r>
      <w:r>
        <w:tab/>
        <w:t>Right of review</w:t>
      </w:r>
      <w:r>
        <w:tab/>
      </w:r>
      <w:r>
        <w:fldChar w:fldCharType="begin"/>
      </w:r>
      <w:r>
        <w:instrText xml:space="preserve"> PAGEREF _Toc100568152 \h </w:instrText>
      </w:r>
      <w:r>
        <w:fldChar w:fldCharType="separate"/>
      </w:r>
      <w:r>
        <w:t>46</w:t>
      </w:r>
      <w:r>
        <w:fldChar w:fldCharType="end"/>
      </w:r>
    </w:p>
    <w:p>
      <w:pPr>
        <w:pStyle w:val="TOC8"/>
        <w:rPr>
          <w:rFonts w:asciiTheme="minorHAnsi" w:eastAsiaTheme="minorEastAsia" w:hAnsiTheme="minorHAnsi" w:cstheme="minorBidi"/>
          <w:szCs w:val="22"/>
        </w:rPr>
      </w:pPr>
      <w:r>
        <w:t>32.</w:t>
      </w:r>
      <w:r>
        <w:tab/>
        <w:t>Payment following determination of review</w:t>
      </w:r>
      <w:r>
        <w:tab/>
      </w:r>
      <w:r>
        <w:fldChar w:fldCharType="begin"/>
      </w:r>
      <w:r>
        <w:instrText xml:space="preserve"> PAGEREF _Toc100568153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Administration generally</w:t>
      </w:r>
    </w:p>
    <w:p>
      <w:pPr>
        <w:pStyle w:val="TOC8"/>
        <w:rPr>
          <w:rFonts w:asciiTheme="minorHAnsi" w:eastAsiaTheme="minorEastAsia" w:hAnsiTheme="minorHAnsi" w:cstheme="minorBidi"/>
          <w:szCs w:val="22"/>
        </w:rPr>
      </w:pPr>
      <w:r>
        <w:t>34.</w:t>
      </w:r>
      <w:r>
        <w:tab/>
        <w:t>Administration of Act</w:t>
      </w:r>
      <w:r>
        <w:tab/>
      </w:r>
      <w:r>
        <w:fldChar w:fldCharType="begin"/>
      </w:r>
      <w:r>
        <w:instrText xml:space="preserve"> PAGEREF _Toc100568156 \h </w:instrText>
      </w:r>
      <w:r>
        <w:fldChar w:fldCharType="separate"/>
      </w:r>
      <w:r>
        <w:t>49</w:t>
      </w:r>
      <w:r>
        <w:fldChar w:fldCharType="end"/>
      </w:r>
    </w:p>
    <w:p>
      <w:pPr>
        <w:pStyle w:val="TOC8"/>
        <w:rPr>
          <w:rFonts w:asciiTheme="minorHAnsi" w:eastAsiaTheme="minorEastAsia" w:hAnsiTheme="minorHAnsi" w:cstheme="minorBidi"/>
          <w:szCs w:val="22"/>
        </w:rPr>
      </w:pPr>
      <w:r>
        <w:t>35.</w:t>
      </w:r>
      <w:r>
        <w:tab/>
        <w:t>Delegation</w:t>
      </w:r>
      <w:r>
        <w:tab/>
      </w:r>
      <w:r>
        <w:fldChar w:fldCharType="begin"/>
      </w:r>
      <w:r>
        <w:instrText xml:space="preserve"> PAGEREF _Toc100568157 \h </w:instrText>
      </w:r>
      <w:r>
        <w:fldChar w:fldCharType="separate"/>
      </w:r>
      <w:r>
        <w:t>49</w:t>
      </w:r>
      <w:r>
        <w:fldChar w:fldCharType="end"/>
      </w:r>
    </w:p>
    <w:p>
      <w:pPr>
        <w:pStyle w:val="TOC8"/>
        <w:rPr>
          <w:rFonts w:asciiTheme="minorHAnsi" w:eastAsiaTheme="minorEastAsia" w:hAnsiTheme="minorHAnsi" w:cstheme="minorBidi"/>
          <w:szCs w:val="22"/>
        </w:rPr>
      </w:pPr>
      <w:r>
        <w:t>36.</w:t>
      </w:r>
      <w:r>
        <w:tab/>
        <w:t>Authorised investigators</w:t>
      </w:r>
      <w:r>
        <w:tab/>
      </w:r>
      <w:r>
        <w:fldChar w:fldCharType="begin"/>
      </w:r>
      <w:r>
        <w:instrText xml:space="preserve"> PAGEREF _Toc100568158 \h </w:instrText>
      </w:r>
      <w:r>
        <w:fldChar w:fldCharType="separate"/>
      </w:r>
      <w:r>
        <w:t>50</w:t>
      </w:r>
      <w:r>
        <w:fldChar w:fldCharType="end"/>
      </w:r>
    </w:p>
    <w:p>
      <w:pPr>
        <w:pStyle w:val="TOC8"/>
        <w:rPr>
          <w:rFonts w:asciiTheme="minorHAnsi" w:eastAsiaTheme="minorEastAsia" w:hAnsiTheme="minorHAnsi" w:cstheme="minorBidi"/>
          <w:szCs w:val="22"/>
        </w:rPr>
      </w:pPr>
      <w:r>
        <w:t>37.</w:t>
      </w:r>
      <w:r>
        <w:tab/>
        <w:t>Administration agreements</w:t>
      </w:r>
      <w:r>
        <w:tab/>
      </w:r>
      <w:r>
        <w:fldChar w:fldCharType="begin"/>
      </w:r>
      <w:r>
        <w:instrText xml:space="preserve"> PAGEREF _Toc100568159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Investigations</w:t>
      </w:r>
    </w:p>
    <w:p>
      <w:pPr>
        <w:pStyle w:val="TOC8"/>
        <w:rPr>
          <w:rFonts w:asciiTheme="minorHAnsi" w:eastAsiaTheme="minorEastAsia" w:hAnsiTheme="minorHAnsi" w:cstheme="minorBidi"/>
          <w:szCs w:val="22"/>
        </w:rPr>
      </w:pPr>
      <w:r>
        <w:t>38.</w:t>
      </w:r>
      <w:r>
        <w:tab/>
        <w:t>Investigations</w:t>
      </w:r>
      <w:r>
        <w:tab/>
      </w:r>
      <w:r>
        <w:fldChar w:fldCharType="begin"/>
      </w:r>
      <w:r>
        <w:instrText xml:space="preserve"> PAGEREF _Toc100568161 \h </w:instrText>
      </w:r>
      <w:r>
        <w:fldChar w:fldCharType="separate"/>
      </w:r>
      <w:r>
        <w:t>51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Cross</w:t>
      </w:r>
      <w:r>
        <w:rPr>
          <w:snapToGrid w:val="0"/>
        </w:rPr>
        <w:noBreakHyphen/>
        <w:t>border investigations</w:t>
      </w:r>
      <w:r>
        <w:tab/>
      </w:r>
      <w:r>
        <w:fldChar w:fldCharType="begin"/>
      </w:r>
      <w:r>
        <w:instrText xml:space="preserve"> PAGEREF _Toc100568162 \h </w:instrText>
      </w:r>
      <w:r>
        <w:fldChar w:fldCharType="separate"/>
      </w:r>
      <w:r>
        <w:t>52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Power of investigation</w:t>
      </w:r>
      <w:r>
        <w:tab/>
      </w:r>
      <w:r>
        <w:fldChar w:fldCharType="begin"/>
      </w:r>
      <w:r>
        <w:instrText xml:space="preserve"> PAGEREF _Toc100568163 \h </w:instrText>
      </w:r>
      <w:r>
        <w:fldChar w:fldCharType="separate"/>
      </w:r>
      <w:r>
        <w:t>52</w:t>
      </w:r>
      <w:r>
        <w:fldChar w:fldCharType="end"/>
      </w:r>
    </w:p>
    <w:p>
      <w:pPr>
        <w:pStyle w:val="TOC8"/>
        <w:rPr>
          <w:rFonts w:asciiTheme="minorHAnsi" w:eastAsiaTheme="minorEastAsia" w:hAnsiTheme="minorHAnsi" w:cstheme="minorBidi"/>
          <w:szCs w:val="22"/>
        </w:rPr>
      </w:pPr>
      <w:r>
        <w:t>41A.</w:t>
      </w:r>
      <w:r>
        <w:tab/>
        <w:t>Power to have valuation made</w:t>
      </w:r>
      <w:r>
        <w:tab/>
      </w:r>
      <w:r>
        <w:fldChar w:fldCharType="begin"/>
      </w:r>
      <w:r>
        <w:instrText xml:space="preserve"> PAGEREF _Toc100568164 \h </w:instrText>
      </w:r>
      <w:r>
        <w:fldChar w:fldCharType="separate"/>
      </w:r>
      <w:r>
        <w:t>53</w:t>
      </w:r>
      <w:r>
        <w:fldChar w:fldCharType="end"/>
      </w:r>
    </w:p>
    <w:p>
      <w:pPr>
        <w:pStyle w:val="TOC8"/>
        <w:rPr>
          <w:rFonts w:asciiTheme="minorHAnsi" w:eastAsiaTheme="minorEastAsia" w:hAnsiTheme="minorHAnsi" w:cstheme="minorBidi"/>
          <w:szCs w:val="22"/>
        </w:rPr>
      </w:pPr>
      <w:r>
        <w:t>41.</w:t>
      </w:r>
      <w:r>
        <w:tab/>
        <w:t>Power to require person to attend for examination</w:t>
      </w:r>
      <w:r>
        <w:tab/>
      </w:r>
      <w:r>
        <w:fldChar w:fldCharType="begin"/>
      </w:r>
      <w:r>
        <w:instrText xml:space="preserve"> PAGEREF _Toc100568165 \h </w:instrText>
      </w:r>
      <w:r>
        <w:fldChar w:fldCharType="separate"/>
      </w:r>
      <w:r>
        <w:t>53</w:t>
      </w:r>
      <w:r>
        <w:fldChar w:fldCharType="end"/>
      </w:r>
    </w:p>
    <w:p>
      <w:pPr>
        <w:pStyle w:val="TOC8"/>
        <w:rPr>
          <w:rFonts w:asciiTheme="minorHAnsi" w:eastAsiaTheme="minorEastAsia" w:hAnsiTheme="minorHAnsi" w:cstheme="minorBidi"/>
          <w:szCs w:val="22"/>
        </w:rPr>
      </w:pPr>
      <w:r>
        <w:t>42.</w:t>
      </w:r>
      <w:r>
        <w:tab/>
        <w:t>Entry of premises</w:t>
      </w:r>
      <w:r>
        <w:tab/>
      </w:r>
      <w:r>
        <w:fldChar w:fldCharType="begin"/>
      </w:r>
      <w:r>
        <w:instrText xml:space="preserve"> PAGEREF _Toc100568166 \h </w:instrText>
      </w:r>
      <w:r>
        <w:fldChar w:fldCharType="separate"/>
      </w:r>
      <w:r>
        <w:t>54</w:t>
      </w:r>
      <w:r>
        <w:fldChar w:fldCharType="end"/>
      </w:r>
    </w:p>
    <w:p>
      <w:pPr>
        <w:pStyle w:val="TOC8"/>
        <w:rPr>
          <w:rFonts w:asciiTheme="minorHAnsi" w:eastAsiaTheme="minorEastAsia" w:hAnsiTheme="minorHAnsi" w:cstheme="minorBidi"/>
          <w:szCs w:val="22"/>
        </w:rPr>
      </w:pPr>
      <w:r>
        <w:t>43.</w:t>
      </w:r>
      <w:r>
        <w:tab/>
        <w:t>Powers of authorised investigator on entry of premises</w:t>
      </w:r>
      <w:r>
        <w:tab/>
      </w:r>
      <w:r>
        <w:fldChar w:fldCharType="begin"/>
      </w:r>
      <w:r>
        <w:instrText xml:space="preserve"> PAGEREF _Toc100568167 \h </w:instrText>
      </w:r>
      <w:r>
        <w:fldChar w:fldCharType="separate"/>
      </w:r>
      <w:r>
        <w:t>55</w:t>
      </w:r>
      <w:r>
        <w:fldChar w:fldCharType="end"/>
      </w:r>
    </w:p>
    <w:p>
      <w:pPr>
        <w:pStyle w:val="TOC8"/>
        <w:rPr>
          <w:rFonts w:asciiTheme="minorHAnsi" w:eastAsiaTheme="minorEastAsia" w:hAnsiTheme="minorHAnsi" w:cstheme="minorBidi"/>
          <w:szCs w:val="22"/>
        </w:rPr>
      </w:pPr>
      <w:r>
        <w:t>44.</w:t>
      </w:r>
      <w:r>
        <w:tab/>
        <w:t>Warrants</w:t>
      </w:r>
      <w:r>
        <w:tab/>
      </w:r>
      <w:r>
        <w:fldChar w:fldCharType="begin"/>
      </w:r>
      <w:r>
        <w:instrText xml:space="preserve"> PAGEREF _Toc100568168 \h </w:instrText>
      </w:r>
      <w:r>
        <w:fldChar w:fldCharType="separate"/>
      </w:r>
      <w:r>
        <w:t>57</w:t>
      </w:r>
      <w:r>
        <w:fldChar w:fldCharType="end"/>
      </w:r>
    </w:p>
    <w:p>
      <w:pPr>
        <w:pStyle w:val="TOC8"/>
        <w:rPr>
          <w:rFonts w:asciiTheme="minorHAnsi" w:eastAsiaTheme="minorEastAsia" w:hAnsiTheme="minorHAnsi" w:cstheme="minorBidi"/>
          <w:szCs w:val="22"/>
        </w:rPr>
      </w:pPr>
      <w:r>
        <w:t>45.</w:t>
      </w:r>
      <w:r>
        <w:tab/>
        <w:t>Use of force</w:t>
      </w:r>
      <w:r>
        <w:tab/>
      </w:r>
      <w:r>
        <w:fldChar w:fldCharType="begin"/>
      </w:r>
      <w:r>
        <w:instrText xml:space="preserve"> PAGEREF _Toc100568169 \h </w:instrText>
      </w:r>
      <w:r>
        <w:fldChar w:fldCharType="separate"/>
      </w:r>
      <w:r>
        <w:t>58</w:t>
      </w:r>
      <w:r>
        <w:fldChar w:fldCharType="end"/>
      </w:r>
    </w:p>
    <w:p>
      <w:pPr>
        <w:pStyle w:val="TOC8"/>
        <w:rPr>
          <w:rFonts w:asciiTheme="minorHAnsi" w:eastAsiaTheme="minorEastAsia" w:hAnsiTheme="minorHAnsi" w:cstheme="minorBidi"/>
          <w:szCs w:val="22"/>
        </w:rPr>
      </w:pPr>
      <w:r>
        <w:t>46.</w:t>
      </w:r>
      <w:r>
        <w:tab/>
        <w:t>Self incrimination</w:t>
      </w:r>
      <w:r>
        <w:tab/>
      </w:r>
      <w:r>
        <w:fldChar w:fldCharType="begin"/>
      </w:r>
      <w:r>
        <w:instrText xml:space="preserve"> PAGEREF _Toc100568170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4"/>
        <w:tabs>
          <w:tab w:val="right" w:leader="dot" w:pos="7077"/>
        </w:tabs>
        <w:rPr>
          <w:rFonts w:asciiTheme="minorHAnsi" w:eastAsiaTheme="minorEastAsia" w:hAnsiTheme="minorHAnsi" w:cstheme="minorBidi"/>
          <w:b w:val="0"/>
          <w:szCs w:val="22"/>
        </w:rPr>
      </w:pPr>
      <w:r>
        <w:t>Division 1 — Offences</w:t>
      </w:r>
    </w:p>
    <w:p>
      <w:pPr>
        <w:pStyle w:val="TOC8"/>
        <w:rPr>
          <w:rFonts w:asciiTheme="minorHAnsi" w:eastAsiaTheme="minorEastAsia" w:hAnsiTheme="minorHAnsi" w:cstheme="minorBidi"/>
          <w:szCs w:val="22"/>
        </w:rPr>
      </w:pPr>
      <w:r>
        <w:t>47.</w:t>
      </w:r>
      <w:r>
        <w:tab/>
        <w:t>False or misleading information and documents</w:t>
      </w:r>
      <w:r>
        <w:tab/>
      </w:r>
      <w:r>
        <w:fldChar w:fldCharType="begin"/>
      </w:r>
      <w:r>
        <w:instrText xml:space="preserve"> PAGEREF _Toc100568173 \h </w:instrText>
      </w:r>
      <w:r>
        <w:fldChar w:fldCharType="separate"/>
      </w:r>
      <w:r>
        <w:t>60</w:t>
      </w:r>
      <w:r>
        <w:fldChar w:fldCharType="end"/>
      </w:r>
    </w:p>
    <w:p>
      <w:pPr>
        <w:pStyle w:val="TOC8"/>
        <w:rPr>
          <w:rFonts w:asciiTheme="minorHAnsi" w:eastAsiaTheme="minorEastAsia" w:hAnsiTheme="minorHAnsi" w:cstheme="minorBidi"/>
          <w:szCs w:val="22"/>
        </w:rPr>
      </w:pPr>
      <w:r>
        <w:t>48.</w:t>
      </w:r>
      <w:r>
        <w:tab/>
        <w:t>Obstructing or misleading Commissioner or authorised investigator</w:t>
      </w:r>
      <w:r>
        <w:tab/>
      </w:r>
      <w:r>
        <w:fldChar w:fldCharType="begin"/>
      </w:r>
      <w:r>
        <w:instrText xml:space="preserve"> PAGEREF _Toc100568174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Evidentiary provisions</w:t>
      </w:r>
    </w:p>
    <w:p>
      <w:pPr>
        <w:pStyle w:val="TOC8"/>
        <w:rPr>
          <w:rFonts w:asciiTheme="minorHAnsi" w:eastAsiaTheme="minorEastAsia" w:hAnsiTheme="minorHAnsi" w:cstheme="minorBidi"/>
          <w:szCs w:val="22"/>
        </w:rPr>
      </w:pPr>
      <w:r>
        <w:t>49.</w:t>
      </w:r>
      <w:r>
        <w:tab/>
        <w:t>Evidence</w:t>
      </w:r>
      <w:r>
        <w:tab/>
      </w:r>
      <w:r>
        <w:fldChar w:fldCharType="begin"/>
      </w:r>
      <w:r>
        <w:instrText xml:space="preserve"> PAGEREF _Toc100568176 \h </w:instrText>
      </w:r>
      <w:r>
        <w:fldChar w:fldCharType="separate"/>
      </w:r>
      <w:r>
        <w:t>61</w:t>
      </w:r>
      <w:r>
        <w:fldChar w:fldCharType="end"/>
      </w:r>
    </w:p>
    <w:p>
      <w:pPr>
        <w:pStyle w:val="TOC8"/>
        <w:rPr>
          <w:rFonts w:asciiTheme="minorHAnsi" w:eastAsiaTheme="minorEastAsia" w:hAnsiTheme="minorHAnsi" w:cstheme="minorBidi"/>
          <w:szCs w:val="22"/>
        </w:rPr>
      </w:pPr>
      <w:r>
        <w:t>50.</w:t>
      </w:r>
      <w:r>
        <w:tab/>
        <w:t>Presumption of regularity</w:t>
      </w:r>
      <w:r>
        <w:tab/>
      </w:r>
      <w:r>
        <w:fldChar w:fldCharType="begin"/>
      </w:r>
      <w:r>
        <w:instrText xml:space="preserve"> PAGEREF _Toc100568177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 — Repayments and penalties</w:t>
      </w:r>
    </w:p>
    <w:p>
      <w:pPr>
        <w:pStyle w:val="TOC8"/>
        <w:rPr>
          <w:rFonts w:asciiTheme="minorHAnsi" w:eastAsiaTheme="minorEastAsia" w:hAnsiTheme="minorHAnsi" w:cstheme="minorBidi"/>
          <w:szCs w:val="22"/>
        </w:rPr>
      </w:pPr>
      <w:r>
        <w:t>51.</w:t>
      </w:r>
      <w:r>
        <w:tab/>
        <w:t>Commissioner may require repayment and impose penalty</w:t>
      </w:r>
      <w:r>
        <w:tab/>
      </w:r>
      <w:r>
        <w:fldChar w:fldCharType="begin"/>
      </w:r>
      <w:r>
        <w:instrText xml:space="preserve"> PAGEREF _Toc100568179 \h </w:instrText>
      </w:r>
      <w:r>
        <w:fldChar w:fldCharType="separate"/>
      </w:r>
      <w:r>
        <w:t>62</w:t>
      </w:r>
      <w:r>
        <w:fldChar w:fldCharType="end"/>
      </w:r>
    </w:p>
    <w:p>
      <w:pPr>
        <w:pStyle w:val="TOC8"/>
        <w:rPr>
          <w:rFonts w:asciiTheme="minorHAnsi" w:eastAsiaTheme="minorEastAsia" w:hAnsiTheme="minorHAnsi" w:cstheme="minorBidi"/>
          <w:szCs w:val="22"/>
        </w:rPr>
      </w:pPr>
      <w:r>
        <w:lastRenderedPageBreak/>
        <w:t>52.</w:t>
      </w:r>
      <w:r>
        <w:tab/>
        <w:t>Arrangements for instalments and extensions of time</w:t>
      </w:r>
      <w:r>
        <w:tab/>
      </w:r>
      <w:r>
        <w:fldChar w:fldCharType="begin"/>
      </w:r>
      <w:r>
        <w:instrText xml:space="preserve"> PAGEREF _Toc100568180 \h </w:instrText>
      </w:r>
      <w:r>
        <w:fldChar w:fldCharType="separate"/>
      </w:r>
      <w:r>
        <w:t>63</w:t>
      </w:r>
      <w:r>
        <w:fldChar w:fldCharType="end"/>
      </w:r>
    </w:p>
    <w:p>
      <w:pPr>
        <w:pStyle w:val="TOC8"/>
        <w:rPr>
          <w:rFonts w:asciiTheme="minorHAnsi" w:eastAsiaTheme="minorEastAsia" w:hAnsiTheme="minorHAnsi" w:cstheme="minorBidi"/>
          <w:szCs w:val="22"/>
        </w:rPr>
      </w:pPr>
      <w:r>
        <w:t>52A.</w:t>
      </w:r>
      <w:r>
        <w:tab/>
        <w:t>Commissioner may recover legal costs</w:t>
      </w:r>
      <w:r>
        <w:tab/>
      </w:r>
      <w:r>
        <w:fldChar w:fldCharType="begin"/>
      </w:r>
      <w:r>
        <w:instrText xml:space="preserve"> PAGEREF _Toc100568181 \h </w:instrText>
      </w:r>
      <w:r>
        <w:fldChar w:fldCharType="separate"/>
      </w:r>
      <w:r>
        <w:t>65</w:t>
      </w:r>
      <w:r>
        <w:fldChar w:fldCharType="end"/>
      </w:r>
    </w:p>
    <w:p>
      <w:pPr>
        <w:pStyle w:val="TOC8"/>
        <w:rPr>
          <w:rFonts w:asciiTheme="minorHAnsi" w:eastAsiaTheme="minorEastAsia" w:hAnsiTheme="minorHAnsi" w:cstheme="minorBidi"/>
          <w:szCs w:val="22"/>
        </w:rPr>
      </w:pPr>
      <w:r>
        <w:t>53.</w:t>
      </w:r>
      <w:r>
        <w:tab/>
        <w:t>Recovery of certain amounts</w:t>
      </w:r>
      <w:r>
        <w:tab/>
      </w:r>
      <w:r>
        <w:fldChar w:fldCharType="begin"/>
      </w:r>
      <w:r>
        <w:instrText xml:space="preserve"> PAGEREF _Toc100568182 \h </w:instrText>
      </w:r>
      <w:r>
        <w:fldChar w:fldCharType="separate"/>
      </w:r>
      <w:r>
        <w:t>66</w:t>
      </w:r>
      <w:r>
        <w:fldChar w:fldCharType="end"/>
      </w:r>
    </w:p>
    <w:p>
      <w:pPr>
        <w:pStyle w:val="TOC8"/>
        <w:rPr>
          <w:rFonts w:asciiTheme="minorHAnsi" w:eastAsiaTheme="minorEastAsia" w:hAnsiTheme="minorHAnsi" w:cstheme="minorBidi"/>
          <w:szCs w:val="22"/>
        </w:rPr>
      </w:pPr>
      <w:r>
        <w:t>54A.</w:t>
      </w:r>
      <w:r>
        <w:tab/>
        <w:t>Recovery from garnishee</w:t>
      </w:r>
      <w:r>
        <w:tab/>
      </w:r>
      <w:r>
        <w:fldChar w:fldCharType="begin"/>
      </w:r>
      <w:r>
        <w:instrText xml:space="preserve"> PAGEREF _Toc100568183 \h </w:instrText>
      </w:r>
      <w:r>
        <w:fldChar w:fldCharType="separate"/>
      </w:r>
      <w:r>
        <w:t>66</w:t>
      </w:r>
      <w:r>
        <w:fldChar w:fldCharType="end"/>
      </w:r>
    </w:p>
    <w:p>
      <w:pPr>
        <w:pStyle w:val="TOC8"/>
        <w:rPr>
          <w:rFonts w:asciiTheme="minorHAnsi" w:eastAsiaTheme="minorEastAsia" w:hAnsiTheme="minorHAnsi" w:cstheme="minorBidi"/>
          <w:szCs w:val="22"/>
        </w:rPr>
      </w:pPr>
      <w:r>
        <w:t>54.</w:t>
      </w:r>
      <w:r>
        <w:tab/>
        <w:t>Writing off liability</w:t>
      </w:r>
      <w:r>
        <w:tab/>
      </w:r>
      <w:r>
        <w:fldChar w:fldCharType="begin"/>
      </w:r>
      <w:r>
        <w:instrText xml:space="preserve"> PAGEREF _Toc100568184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Charge on interest in home</w:t>
      </w:r>
    </w:p>
    <w:p>
      <w:pPr>
        <w:pStyle w:val="TOC8"/>
        <w:rPr>
          <w:rFonts w:asciiTheme="minorHAnsi" w:eastAsiaTheme="minorEastAsia" w:hAnsiTheme="minorHAnsi" w:cstheme="minorBidi"/>
          <w:szCs w:val="22"/>
        </w:rPr>
      </w:pPr>
      <w:r>
        <w:t>55.</w:t>
      </w:r>
      <w:r>
        <w:tab/>
        <w:t>Lodgement of memorial and creation of charge</w:t>
      </w:r>
      <w:r>
        <w:tab/>
      </w:r>
      <w:r>
        <w:fldChar w:fldCharType="begin"/>
      </w:r>
      <w:r>
        <w:instrText xml:space="preserve"> PAGEREF _Toc100568186 \h </w:instrText>
      </w:r>
      <w:r>
        <w:fldChar w:fldCharType="separate"/>
      </w:r>
      <w:r>
        <w:t>68</w:t>
      </w:r>
      <w:r>
        <w:fldChar w:fldCharType="end"/>
      </w:r>
    </w:p>
    <w:p>
      <w:pPr>
        <w:pStyle w:val="TOC8"/>
        <w:rPr>
          <w:rFonts w:asciiTheme="minorHAnsi" w:eastAsiaTheme="minorEastAsia" w:hAnsiTheme="minorHAnsi" w:cstheme="minorBidi"/>
          <w:szCs w:val="22"/>
        </w:rPr>
      </w:pPr>
      <w:r>
        <w:t>56.</w:t>
      </w:r>
      <w:r>
        <w:tab/>
        <w:t>Priority of charge</w:t>
      </w:r>
      <w:r>
        <w:tab/>
      </w:r>
      <w:r>
        <w:fldChar w:fldCharType="begin"/>
      </w:r>
      <w:r>
        <w:instrText xml:space="preserve"> PAGEREF _Toc100568187 \h </w:instrText>
      </w:r>
      <w:r>
        <w:fldChar w:fldCharType="separate"/>
      </w:r>
      <w:r>
        <w:t>70</w:t>
      </w:r>
      <w:r>
        <w:fldChar w:fldCharType="end"/>
      </w:r>
    </w:p>
    <w:p>
      <w:pPr>
        <w:pStyle w:val="TOC8"/>
        <w:rPr>
          <w:rFonts w:asciiTheme="minorHAnsi" w:eastAsiaTheme="minorEastAsia" w:hAnsiTheme="minorHAnsi" w:cstheme="minorBidi"/>
          <w:szCs w:val="22"/>
        </w:rPr>
      </w:pPr>
      <w:r>
        <w:t>57.</w:t>
      </w:r>
      <w:r>
        <w:tab/>
        <w:t>Release of relevant interest from charge</w:t>
      </w:r>
      <w:r>
        <w:tab/>
      </w:r>
      <w:r>
        <w:fldChar w:fldCharType="begin"/>
      </w:r>
      <w:r>
        <w:instrText xml:space="preserve"> PAGEREF _Toc100568188 \h </w:instrText>
      </w:r>
      <w:r>
        <w:fldChar w:fldCharType="separate"/>
      </w:r>
      <w:r>
        <w:t>70</w:t>
      </w:r>
      <w:r>
        <w:fldChar w:fldCharType="end"/>
      </w:r>
    </w:p>
    <w:p>
      <w:pPr>
        <w:pStyle w:val="TOC8"/>
        <w:rPr>
          <w:rFonts w:asciiTheme="minorHAnsi" w:eastAsiaTheme="minorEastAsia" w:hAnsiTheme="minorHAnsi" w:cstheme="minorBidi"/>
          <w:szCs w:val="22"/>
        </w:rPr>
      </w:pPr>
      <w:r>
        <w:t>58.</w:t>
      </w:r>
      <w:r>
        <w:tab/>
        <w:t>Order for sale of relevant interest</w:t>
      </w:r>
      <w:r>
        <w:tab/>
      </w:r>
      <w:r>
        <w:fldChar w:fldCharType="begin"/>
      </w:r>
      <w:r>
        <w:instrText xml:space="preserve"> PAGEREF _Toc100568189 \h </w:instrText>
      </w:r>
      <w:r>
        <w:fldChar w:fldCharType="separate"/>
      </w:r>
      <w:r>
        <w:t>70</w:t>
      </w:r>
      <w:r>
        <w:fldChar w:fldCharType="end"/>
      </w:r>
    </w:p>
    <w:p>
      <w:pPr>
        <w:pStyle w:val="TOC8"/>
        <w:rPr>
          <w:rFonts w:asciiTheme="minorHAnsi" w:eastAsiaTheme="minorEastAsia" w:hAnsiTheme="minorHAnsi" w:cstheme="minorBidi"/>
          <w:szCs w:val="22"/>
        </w:rPr>
      </w:pPr>
      <w:r>
        <w:t>59.</w:t>
      </w:r>
      <w:r>
        <w:tab/>
        <w:t>Charge not to limit other means of enforcing payment</w:t>
      </w:r>
      <w:r>
        <w:tab/>
      </w:r>
      <w:r>
        <w:fldChar w:fldCharType="begin"/>
      </w:r>
      <w:r>
        <w:instrText xml:space="preserve"> PAGEREF _Toc100568190 \h </w:instrText>
      </w:r>
      <w:r>
        <w:fldChar w:fldCharType="separate"/>
      </w:r>
      <w:r>
        <w:t>72</w:t>
      </w:r>
      <w:r>
        <w:fldChar w:fldCharType="end"/>
      </w:r>
    </w:p>
    <w:p>
      <w:pPr>
        <w:pStyle w:val="TOC8"/>
        <w:rPr>
          <w:rFonts w:asciiTheme="minorHAnsi" w:eastAsiaTheme="minorEastAsia" w:hAnsiTheme="minorHAnsi" w:cstheme="minorBidi"/>
          <w:szCs w:val="22"/>
        </w:rPr>
      </w:pPr>
      <w:r>
        <w:t>60.</w:t>
      </w:r>
      <w:r>
        <w:tab/>
        <w:t>Commissioner may require fees to be reimbursed</w:t>
      </w:r>
      <w:r>
        <w:tab/>
      </w:r>
      <w:r>
        <w:fldChar w:fldCharType="begin"/>
      </w:r>
      <w:r>
        <w:instrText xml:space="preserve"> PAGEREF _Toc100568191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5 — Service of documents</w:t>
      </w:r>
    </w:p>
    <w:p>
      <w:pPr>
        <w:pStyle w:val="TOC8"/>
        <w:rPr>
          <w:rFonts w:asciiTheme="minorHAnsi" w:eastAsiaTheme="minorEastAsia" w:hAnsiTheme="minorHAnsi" w:cstheme="minorBidi"/>
          <w:szCs w:val="22"/>
        </w:rPr>
      </w:pPr>
      <w:r>
        <w:t>61.</w:t>
      </w:r>
      <w:r>
        <w:tab/>
        <w:t>Service on joint applicants or agent or representative</w:t>
      </w:r>
      <w:r>
        <w:tab/>
      </w:r>
      <w:r>
        <w:fldChar w:fldCharType="begin"/>
      </w:r>
      <w:r>
        <w:instrText xml:space="preserve"> PAGEREF _Toc100568193 \h </w:instrText>
      </w:r>
      <w:r>
        <w:fldChar w:fldCharType="separate"/>
      </w:r>
      <w:r>
        <w:t>73</w:t>
      </w:r>
      <w:r>
        <w:fldChar w:fldCharType="end"/>
      </w:r>
    </w:p>
    <w:p>
      <w:pPr>
        <w:pStyle w:val="TOC8"/>
        <w:rPr>
          <w:rFonts w:asciiTheme="minorHAnsi" w:eastAsiaTheme="minorEastAsia" w:hAnsiTheme="minorHAnsi" w:cstheme="minorBidi"/>
          <w:szCs w:val="22"/>
        </w:rPr>
      </w:pPr>
      <w:r>
        <w:t>62.</w:t>
      </w:r>
      <w:r>
        <w:tab/>
        <w:t>Method of service by Commissioner</w:t>
      </w:r>
      <w:r>
        <w:tab/>
      </w:r>
      <w:r>
        <w:fldChar w:fldCharType="begin"/>
      </w:r>
      <w:r>
        <w:instrText xml:space="preserve"> PAGEREF _Toc100568194 \h </w:instrText>
      </w:r>
      <w:r>
        <w:fldChar w:fldCharType="separate"/>
      </w:r>
      <w:r>
        <w:t>73</w:t>
      </w:r>
      <w:r>
        <w:fldChar w:fldCharType="end"/>
      </w:r>
    </w:p>
    <w:p>
      <w:pPr>
        <w:pStyle w:val="TOC8"/>
        <w:rPr>
          <w:rFonts w:asciiTheme="minorHAnsi" w:eastAsiaTheme="minorEastAsia" w:hAnsiTheme="minorHAnsi" w:cstheme="minorBidi"/>
          <w:szCs w:val="22"/>
        </w:rPr>
      </w:pPr>
      <w:r>
        <w:t>63.</w:t>
      </w:r>
      <w:r>
        <w:tab/>
        <w:t>Service of court process</w:t>
      </w:r>
      <w:r>
        <w:tab/>
      </w:r>
      <w:r>
        <w:fldChar w:fldCharType="begin"/>
      </w:r>
      <w:r>
        <w:instrText xml:space="preserve"> PAGEREF _Toc100568195 \h </w:instrText>
      </w:r>
      <w:r>
        <w:fldChar w:fldCharType="separate"/>
      </w:r>
      <w:r>
        <w:t>74</w:t>
      </w:r>
      <w:r>
        <w:fldChar w:fldCharType="end"/>
      </w:r>
    </w:p>
    <w:p>
      <w:pPr>
        <w:pStyle w:val="TOC8"/>
        <w:rPr>
          <w:rFonts w:asciiTheme="minorHAnsi" w:eastAsiaTheme="minorEastAsia" w:hAnsiTheme="minorHAnsi" w:cstheme="minorBidi"/>
          <w:szCs w:val="22"/>
        </w:rPr>
      </w:pPr>
      <w:r>
        <w:t>64.</w:t>
      </w:r>
      <w:r>
        <w:tab/>
        <w:t>Other enactments not limited</w:t>
      </w:r>
      <w:r>
        <w:tab/>
      </w:r>
      <w:r>
        <w:fldChar w:fldCharType="begin"/>
      </w:r>
      <w:r>
        <w:instrText xml:space="preserve"> PAGEREF _Toc100568196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5A — Emergency grant relief measures</w:t>
      </w:r>
    </w:p>
    <w:p>
      <w:pPr>
        <w:pStyle w:val="TOC8"/>
        <w:rPr>
          <w:rFonts w:asciiTheme="minorHAnsi" w:eastAsiaTheme="minorEastAsia" w:hAnsiTheme="minorHAnsi" w:cstheme="minorBidi"/>
          <w:szCs w:val="22"/>
        </w:rPr>
      </w:pPr>
      <w:r>
        <w:t>64A.</w:t>
      </w:r>
      <w:r>
        <w:tab/>
        <w:t>Grant relief measures</w:t>
      </w:r>
      <w:r>
        <w:tab/>
      </w:r>
      <w:r>
        <w:fldChar w:fldCharType="begin"/>
      </w:r>
      <w:r>
        <w:instrText xml:space="preserve"> PAGEREF _Toc100568198 \h </w:instrText>
      </w:r>
      <w:r>
        <w:fldChar w:fldCharType="separate"/>
      </w:r>
      <w:r>
        <w:t>75</w:t>
      </w:r>
      <w:r>
        <w:fldChar w:fldCharType="end"/>
      </w:r>
    </w:p>
    <w:p>
      <w:pPr>
        <w:pStyle w:val="TOC8"/>
        <w:rPr>
          <w:rFonts w:asciiTheme="minorHAnsi" w:eastAsiaTheme="minorEastAsia" w:hAnsiTheme="minorHAnsi" w:cstheme="minorBidi"/>
          <w:szCs w:val="22"/>
        </w:rPr>
      </w:pPr>
      <w:r>
        <w:t>64B.</w:t>
      </w:r>
      <w:r>
        <w:tab/>
        <w:t>Treasurer may declare grant relief measure due to emergency</w:t>
      </w:r>
      <w:r>
        <w:tab/>
      </w:r>
      <w:r>
        <w:fldChar w:fldCharType="begin"/>
      </w:r>
      <w:r>
        <w:instrText xml:space="preserve"> PAGEREF _Toc100568199 \h </w:instrText>
      </w:r>
      <w:r>
        <w:fldChar w:fldCharType="separate"/>
      </w:r>
      <w:r>
        <w:t>75</w:t>
      </w:r>
      <w:r>
        <w:fldChar w:fldCharType="end"/>
      </w:r>
    </w:p>
    <w:p>
      <w:pPr>
        <w:pStyle w:val="TOC8"/>
        <w:rPr>
          <w:rFonts w:asciiTheme="minorHAnsi" w:eastAsiaTheme="minorEastAsia" w:hAnsiTheme="minorHAnsi" w:cstheme="minorBidi"/>
          <w:szCs w:val="22"/>
        </w:rPr>
      </w:pPr>
      <w:r>
        <w:t>64C.</w:t>
      </w:r>
      <w:r>
        <w:tab/>
        <w:t>Amendment and revocation of grant relief declaration</w:t>
      </w:r>
      <w:r>
        <w:tab/>
      </w:r>
      <w:r>
        <w:fldChar w:fldCharType="begin"/>
      </w:r>
      <w:r>
        <w:instrText xml:space="preserve"> PAGEREF _Toc100568200 \h </w:instrText>
      </w:r>
      <w:r>
        <w:fldChar w:fldCharType="separate"/>
      </w:r>
      <w:r>
        <w:t>77</w:t>
      </w:r>
      <w:r>
        <w:fldChar w:fldCharType="end"/>
      </w:r>
    </w:p>
    <w:p>
      <w:pPr>
        <w:pStyle w:val="TOC8"/>
        <w:rPr>
          <w:rFonts w:asciiTheme="minorHAnsi" w:eastAsiaTheme="minorEastAsia" w:hAnsiTheme="minorHAnsi" w:cstheme="minorBidi"/>
          <w:szCs w:val="22"/>
        </w:rPr>
      </w:pPr>
      <w:r>
        <w:t>64D.</w:t>
      </w:r>
      <w:r>
        <w:tab/>
        <w:t>Provisions about grant relief declarations and instruments of amendment or revocation</w:t>
      </w:r>
      <w:r>
        <w:tab/>
      </w:r>
      <w:r>
        <w:fldChar w:fldCharType="begin"/>
      </w:r>
      <w:r>
        <w:instrText xml:space="preserve"> PAGEREF _Toc100568201 \h </w:instrText>
      </w:r>
      <w:r>
        <w:fldChar w:fldCharType="separate"/>
      </w:r>
      <w:r>
        <w:t>77</w:t>
      </w:r>
      <w:r>
        <w:fldChar w:fldCharType="end"/>
      </w:r>
    </w:p>
    <w:p>
      <w:pPr>
        <w:pStyle w:val="TOC8"/>
        <w:rPr>
          <w:rFonts w:asciiTheme="minorHAnsi" w:eastAsiaTheme="minorEastAsia" w:hAnsiTheme="minorHAnsi" w:cstheme="minorBidi"/>
          <w:szCs w:val="22"/>
        </w:rPr>
      </w:pPr>
      <w:r>
        <w:t>64E.</w:t>
      </w:r>
      <w:r>
        <w:tab/>
        <w:t>Procedural requirements for declared grant relief measure</w:t>
      </w:r>
      <w:r>
        <w:tab/>
      </w:r>
      <w:r>
        <w:fldChar w:fldCharType="begin"/>
      </w:r>
      <w:r>
        <w:instrText xml:space="preserve"> PAGEREF _Toc100568202 \h </w:instrText>
      </w:r>
      <w:r>
        <w:fldChar w:fldCharType="separate"/>
      </w:r>
      <w:r>
        <w:t>78</w:t>
      </w:r>
      <w:r>
        <w:fldChar w:fldCharType="end"/>
      </w:r>
    </w:p>
    <w:p>
      <w:pPr>
        <w:pStyle w:val="TOC8"/>
        <w:rPr>
          <w:rFonts w:asciiTheme="minorHAnsi" w:eastAsiaTheme="minorEastAsia" w:hAnsiTheme="minorHAnsi" w:cstheme="minorBidi"/>
          <w:szCs w:val="22"/>
        </w:rPr>
      </w:pPr>
      <w:r>
        <w:t>64F.</w:t>
      </w:r>
      <w:r>
        <w:tab/>
        <w:t>Effect of grant relief declaration</w:t>
      </w:r>
      <w:r>
        <w:tab/>
      </w:r>
      <w:r>
        <w:fldChar w:fldCharType="begin"/>
      </w:r>
      <w:r>
        <w:instrText xml:space="preserve"> PAGEREF _Toc100568203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65.</w:t>
      </w:r>
      <w:r>
        <w:tab/>
        <w:t>Confidentiality</w:t>
      </w:r>
      <w:r>
        <w:tab/>
      </w:r>
      <w:r>
        <w:fldChar w:fldCharType="begin"/>
      </w:r>
      <w:r>
        <w:instrText xml:space="preserve"> PAGEREF _Toc100568205 \h </w:instrText>
      </w:r>
      <w:r>
        <w:fldChar w:fldCharType="separate"/>
      </w:r>
      <w:r>
        <w:t>79</w:t>
      </w:r>
      <w:r>
        <w:fldChar w:fldCharType="end"/>
      </w:r>
    </w:p>
    <w:p>
      <w:pPr>
        <w:pStyle w:val="TOC8"/>
        <w:rPr>
          <w:rFonts w:asciiTheme="minorHAnsi" w:eastAsiaTheme="minorEastAsia" w:hAnsiTheme="minorHAnsi" w:cstheme="minorBidi"/>
          <w:szCs w:val="22"/>
        </w:rPr>
      </w:pPr>
      <w:r>
        <w:t>66.</w:t>
      </w:r>
      <w:r>
        <w:tab/>
        <w:t>Time for commencing prosecutions</w:t>
      </w:r>
      <w:r>
        <w:tab/>
      </w:r>
      <w:r>
        <w:fldChar w:fldCharType="begin"/>
      </w:r>
      <w:r>
        <w:instrText xml:space="preserve"> PAGEREF _Toc100568206 \h </w:instrText>
      </w:r>
      <w:r>
        <w:fldChar w:fldCharType="separate"/>
      </w:r>
      <w:r>
        <w:t>82</w:t>
      </w:r>
      <w:r>
        <w:fldChar w:fldCharType="end"/>
      </w:r>
    </w:p>
    <w:p>
      <w:pPr>
        <w:pStyle w:val="TOC8"/>
        <w:rPr>
          <w:rFonts w:asciiTheme="minorHAnsi" w:eastAsiaTheme="minorEastAsia" w:hAnsiTheme="minorHAnsi" w:cstheme="minorBidi"/>
          <w:szCs w:val="22"/>
        </w:rPr>
      </w:pPr>
      <w:r>
        <w:t>67.</w:t>
      </w:r>
      <w:r>
        <w:tab/>
        <w:t>Protection from liability for wrongdoing</w:t>
      </w:r>
      <w:r>
        <w:tab/>
      </w:r>
      <w:r>
        <w:fldChar w:fldCharType="begin"/>
      </w:r>
      <w:r>
        <w:instrText xml:space="preserve"> PAGEREF _Toc100568207 \h </w:instrText>
      </w:r>
      <w:r>
        <w:fldChar w:fldCharType="separate"/>
      </w:r>
      <w:r>
        <w:t>82</w:t>
      </w:r>
      <w:r>
        <w:fldChar w:fldCharType="end"/>
      </w:r>
    </w:p>
    <w:p>
      <w:pPr>
        <w:pStyle w:val="TOC8"/>
        <w:rPr>
          <w:rFonts w:asciiTheme="minorHAnsi" w:eastAsiaTheme="minorEastAsia" w:hAnsiTheme="minorHAnsi" w:cstheme="minorBidi"/>
          <w:szCs w:val="22"/>
        </w:rPr>
      </w:pPr>
      <w:r>
        <w:t>68.</w:t>
      </w:r>
      <w:r>
        <w:tab/>
        <w:t xml:space="preserve">Appropriation of </w:t>
      </w:r>
      <w:r>
        <w:rPr>
          <w:snapToGrid w:val="0"/>
        </w:rPr>
        <w:t>Consolidated Account</w:t>
      </w:r>
      <w:r>
        <w:tab/>
      </w:r>
      <w:r>
        <w:fldChar w:fldCharType="begin"/>
      </w:r>
      <w:r>
        <w:instrText xml:space="preserve"> PAGEREF _Toc100568208 \h </w:instrText>
      </w:r>
      <w:r>
        <w:fldChar w:fldCharType="separate"/>
      </w:r>
      <w:r>
        <w:t>82</w:t>
      </w:r>
      <w:r>
        <w:fldChar w:fldCharType="end"/>
      </w:r>
    </w:p>
    <w:p>
      <w:pPr>
        <w:pStyle w:val="TOC8"/>
        <w:rPr>
          <w:rFonts w:asciiTheme="minorHAnsi" w:eastAsiaTheme="minorEastAsia" w:hAnsiTheme="minorHAnsi" w:cstheme="minorBidi"/>
          <w:szCs w:val="22"/>
        </w:rPr>
      </w:pPr>
      <w:r>
        <w:t>69.</w:t>
      </w:r>
      <w:r>
        <w:tab/>
        <w:t>Regulations</w:t>
      </w:r>
      <w:r>
        <w:tab/>
      </w:r>
      <w:r>
        <w:fldChar w:fldCharType="begin"/>
      </w:r>
      <w:r>
        <w:instrText xml:space="preserve"> PAGEREF _Toc100568209 \h </w:instrText>
      </w:r>
      <w:r>
        <w:fldChar w:fldCharType="separate"/>
      </w:r>
      <w:r>
        <w:t>82</w:t>
      </w:r>
      <w:r>
        <w:fldChar w:fldCharType="end"/>
      </w:r>
    </w:p>
    <w:p>
      <w:pPr>
        <w:pStyle w:val="TOC8"/>
        <w:rPr>
          <w:rFonts w:asciiTheme="minorHAnsi" w:eastAsiaTheme="minorEastAsia" w:hAnsiTheme="minorHAnsi" w:cstheme="minorBidi"/>
          <w:szCs w:val="22"/>
        </w:rPr>
      </w:pPr>
      <w:r>
        <w:t>70.</w:t>
      </w:r>
      <w:r>
        <w:tab/>
        <w:t>Review of Act</w:t>
      </w:r>
      <w:r>
        <w:tab/>
      </w:r>
      <w:r>
        <w:fldChar w:fldCharType="begin"/>
      </w:r>
      <w:r>
        <w:instrText xml:space="preserve"> PAGEREF _Toc100568210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Transitional provisions</w:t>
      </w:r>
    </w:p>
    <w:p>
      <w:pPr>
        <w:pStyle w:val="TOC8"/>
        <w:rPr>
          <w:rFonts w:asciiTheme="minorHAnsi" w:eastAsiaTheme="minorEastAsia" w:hAnsiTheme="minorHAnsi" w:cstheme="minorBidi"/>
          <w:szCs w:val="22"/>
        </w:rPr>
      </w:pPr>
      <w:r>
        <w:t>71.</w:t>
      </w:r>
      <w:r>
        <w:tab/>
        <w:t xml:space="preserve">Transitional provision for </w:t>
      </w:r>
      <w:r>
        <w:rPr>
          <w:i/>
        </w:rPr>
        <w:t>Finance Legislation Amendment (Emergency Relief) Act 2022</w:t>
      </w:r>
      <w:r>
        <w:tab/>
      </w:r>
      <w:r>
        <w:fldChar w:fldCharType="begin"/>
      </w:r>
      <w:r>
        <w:instrText xml:space="preserve"> PAGEREF _Toc100568212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_Toc100568214 \h </w:instrText>
      </w:r>
      <w:r>
        <w:fldChar w:fldCharType="separate"/>
      </w:r>
      <w:r>
        <w:t>85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_Toc100568215 \h </w:instrText>
      </w:r>
      <w:r>
        <w:fldChar w:fldCharType="separate"/>
      </w:r>
      <w:r>
        <w:t>87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_Toc100568216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920" w:after="1400"/>
      </w:pPr>
      <w:r>
        <w:t>First Home Owner Grant Act 2000</w:t>
      </w:r>
    </w:p>
    <w:p>
      <w:pPr>
        <w:pStyle w:val="LongTitle"/>
        <w:suppressLineNumbers/>
      </w:pPr>
      <w:r>
        <w:rPr>
          <w:snapToGrid w:val="0"/>
        </w:rPr>
        <w:t>An Act to encourage and assist home ownership by establishing a scheme for the payment of grants to first home owners</w:t>
      </w:r>
      <w:r>
        <w:t>.</w:t>
      </w:r>
    </w:p>
    <w:p>
      <w:pPr>
        <w:pStyle w:val="Heading2"/>
      </w:pPr>
      <w:bookmarkStart w:id="3" w:name="_Toc100325797"/>
      <w:bookmarkStart w:id="4" w:name="_Toc100326172"/>
      <w:bookmarkStart w:id="5" w:name="_Toc10056809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pPr>
      <w:bookmarkStart w:id="6" w:name="_Toc100568096"/>
      <w:r>
        <w:rPr>
          <w:rStyle w:val="CharSectno"/>
        </w:rPr>
        <w:t>1</w:t>
      </w:r>
      <w:r>
        <w:rPr>
          <w:snapToGrid w:val="0"/>
        </w:rPr>
        <w:t>.</w:t>
      </w:r>
      <w:r>
        <w:rPr>
          <w:snapToGrid w:val="0"/>
        </w:rPr>
        <w:tab/>
        <w:t>Short title</w:t>
      </w:r>
      <w:bookmarkEnd w:id="6"/>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snapToGrid w:val="0"/>
        </w:rPr>
        <w:t>.</w:t>
      </w:r>
    </w:p>
    <w:p>
      <w:pPr>
        <w:pStyle w:val="Heading5"/>
        <w:rPr>
          <w:snapToGrid w:val="0"/>
        </w:rPr>
      </w:pPr>
      <w:bookmarkStart w:id="7" w:name="_Toc100568097"/>
      <w:r>
        <w:rPr>
          <w:rStyle w:val="CharSectno"/>
        </w:rPr>
        <w:t>2</w:t>
      </w:r>
      <w:r>
        <w:rPr>
          <w:snapToGrid w:val="0"/>
        </w:rPr>
        <w:t>.</w:t>
      </w:r>
      <w:r>
        <w:rPr>
          <w:snapToGrid w:val="0"/>
        </w:rPr>
        <w:tab/>
        <w:t>Commencement</w:t>
      </w:r>
      <w:bookmarkEnd w:id="7"/>
    </w:p>
    <w:p>
      <w:pPr>
        <w:pStyle w:val="Subsection"/>
      </w:pPr>
      <w:r>
        <w:tab/>
      </w:r>
      <w:r>
        <w:tab/>
        <w:t>This Act comes into operation on 1 July 2000.</w:t>
      </w:r>
    </w:p>
    <w:p>
      <w:pPr>
        <w:pStyle w:val="Heading5"/>
      </w:pPr>
      <w:bookmarkStart w:id="8" w:name="_Toc100568098"/>
      <w:r>
        <w:rPr>
          <w:rStyle w:val="CharSectno"/>
        </w:rPr>
        <w:t>3</w:t>
      </w:r>
      <w:r>
        <w:t>.</w:t>
      </w:r>
      <w:r>
        <w:tab/>
        <w:t>Terms used</w:t>
      </w:r>
      <w:bookmarkEnd w:id="8"/>
    </w:p>
    <w:p>
      <w:pPr>
        <w:pStyle w:val="Subsection"/>
      </w:pPr>
      <w:r>
        <w:tab/>
        <w:t>(1)</w:t>
      </w:r>
      <w:r>
        <w:tab/>
        <w:t xml:space="preserve">In this Act, unless the contrary intention appears — </w:t>
      </w:r>
    </w:p>
    <w:p>
      <w:pPr>
        <w:pStyle w:val="Defstart"/>
      </w:pPr>
      <w:r>
        <w:rPr>
          <w:b/>
        </w:rPr>
        <w:tab/>
      </w:r>
      <w:r>
        <w:rPr>
          <w:rStyle w:val="CharDefText"/>
        </w:rPr>
        <w:t>application</w:t>
      </w:r>
      <w:r>
        <w:t xml:space="preserve"> means an application for a first home owner grant;</w:t>
      </w:r>
    </w:p>
    <w:p>
      <w:pPr>
        <w:pStyle w:val="Defstart"/>
      </w:pPr>
      <w:r>
        <w:tab/>
      </w:r>
      <w:r>
        <w:rPr>
          <w:rStyle w:val="CharDefText"/>
        </w:rPr>
        <w:t>Australian citizen</w:t>
      </w:r>
      <w:r>
        <w:t xml:space="preserve"> has the meaning given by section 7A;</w:t>
      </w:r>
    </w:p>
    <w:p>
      <w:pPr>
        <w:pStyle w:val="Defstart"/>
      </w:pPr>
      <w:r>
        <w:tab/>
      </w:r>
      <w:r>
        <w:rPr>
          <w:rStyle w:val="CharDefText"/>
        </w:rPr>
        <w:t>authorised investigator</w:t>
      </w:r>
      <w:r>
        <w:t xml:space="preserve"> means a person appointed to be an authorised investigator under section 36;</w:t>
      </w:r>
    </w:p>
    <w:p>
      <w:pPr>
        <w:pStyle w:val="Defstart"/>
      </w:pPr>
      <w:r>
        <w:tab/>
      </w:r>
      <w:r>
        <w:rPr>
          <w:rStyle w:val="CharDefText"/>
        </w:rPr>
        <w:t>building</w:t>
      </w:r>
      <w:r>
        <w:t xml:space="preserve"> includes part of a building;</w:t>
      </w:r>
    </w:p>
    <w:p>
      <w:pPr>
        <w:pStyle w:val="Defstart"/>
      </w:pPr>
      <w:r>
        <w:tab/>
      </w:r>
      <w:r>
        <w:rPr>
          <w:rStyle w:val="CharDefText"/>
        </w:rPr>
        <w:t>cap amount</w:t>
      </w:r>
      <w:r>
        <w:t xml:space="preserve"> has the meaning given by section 14AD;</w:t>
      </w:r>
    </w:p>
    <w:p>
      <w:pPr>
        <w:pStyle w:val="Defstart"/>
      </w:pPr>
      <w:r>
        <w:tab/>
      </w:r>
      <w:r>
        <w:rPr>
          <w:rStyle w:val="CharDefText"/>
        </w:rPr>
        <w:t>commencement date</w:t>
      </w:r>
      <w:r>
        <w:t>, in relation to a transaction, has the meaning given by section 14AA;</w:t>
      </w:r>
    </w:p>
    <w:p>
      <w:pPr>
        <w:pStyle w:val="Defstart"/>
      </w:pPr>
      <w:r>
        <w:tab/>
      </w:r>
      <w:r>
        <w:rPr>
          <w:rStyle w:val="CharDefText"/>
        </w:rPr>
        <w:t>Commissioner</w:t>
      </w:r>
      <w:r>
        <w:t xml:space="preserve"> means the Commissioner of State Revenue;</w:t>
      </w:r>
    </w:p>
    <w:p>
      <w:pPr>
        <w:pStyle w:val="Defstart"/>
      </w:pPr>
      <w:r>
        <w:tab/>
      </w:r>
      <w:r>
        <w:rPr>
          <w:rStyle w:val="CharDefText"/>
        </w:rPr>
        <w:t>Commissioner’s website</w:t>
      </w:r>
      <w:r>
        <w:t xml:space="preserve"> means a website maintained by or on behalf of the Commissioner;</w:t>
      </w:r>
    </w:p>
    <w:p>
      <w:pPr>
        <w:pStyle w:val="Defstart"/>
      </w:pPr>
      <w:r>
        <w:tab/>
      </w:r>
      <w:r>
        <w:rPr>
          <w:rStyle w:val="CharDefText"/>
        </w:rPr>
        <w:t>completed</w:t>
      </w:r>
      <w:r>
        <w:t>, in relation to a transaction, has the meaning given by section 14AA;</w:t>
      </w:r>
    </w:p>
    <w:p>
      <w:pPr>
        <w:pStyle w:val="Defstart"/>
      </w:pPr>
      <w:r>
        <w:tab/>
      </w:r>
      <w:r>
        <w:rPr>
          <w:rStyle w:val="CharDefText"/>
        </w:rPr>
        <w:t>comprehensive home building contract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rStyle w:val="CharDefText"/>
        </w:rPr>
        <w:t>consideration</w:t>
      </w:r>
      <w:r>
        <w:t>, in relation to a transaction, has the meaning given by section 14AB;</w:t>
      </w:r>
    </w:p>
    <w:p>
      <w:pPr>
        <w:pStyle w:val="Defstart"/>
      </w:pPr>
      <w:r>
        <w:rPr>
          <w:b/>
          <w:i/>
        </w:rPr>
        <w:lastRenderedPageBreak/>
        <w:tab/>
      </w:r>
      <w:r>
        <w:rPr>
          <w:rStyle w:val="CharDefText"/>
        </w:rPr>
        <w:t>corresponding Commissioner</w:t>
      </w:r>
      <w:r>
        <w:t>, in relation to a corresponding law, means the person responsible for administering the corresponding law;</w:t>
      </w:r>
    </w:p>
    <w:p>
      <w:pPr>
        <w:pStyle w:val="Defstart"/>
      </w:pPr>
      <w:r>
        <w:tab/>
      </w:r>
      <w:r>
        <w:rPr>
          <w:rStyle w:val="CharDefText"/>
        </w:rPr>
        <w:t>corresponding law</w:t>
      </w:r>
      <w:r>
        <w:t xml:space="preserve"> means an Act of another State, or a Territory, corresponding to this Act;</w:t>
      </w:r>
    </w:p>
    <w:p>
      <w:pPr>
        <w:pStyle w:val="Defstart"/>
      </w:pPr>
      <w:r>
        <w:tab/>
      </w:r>
      <w:r>
        <w:rPr>
          <w:rStyle w:val="CharDefText"/>
        </w:rPr>
        <w:t>de facto partner</w:t>
      </w:r>
      <w:r>
        <w:t>, in relation to an applicant for a first home owner grant, means a person who, on the commencement date of the transaction to which the application relates, is living in a de facto relationship with the applicant and has lived on that basis with the applicant for at least 2 years;</w:t>
      </w:r>
    </w:p>
    <w:p>
      <w:pPr>
        <w:pStyle w:val="Defstart"/>
      </w:pPr>
      <w:r>
        <w:tab/>
      </w:r>
      <w:r>
        <w:rPr>
          <w:rStyle w:val="CharDefText"/>
        </w:rPr>
        <w:t>eligibility criteria</w:t>
      </w:r>
      <w:r>
        <w:t xml:space="preserve"> means the criteria set out in Part 2 Division 2 for determining whether an applicant for a first home owner grant is eligible for the grant;</w:t>
      </w:r>
    </w:p>
    <w:p>
      <w:pPr>
        <w:pStyle w:val="Defstart"/>
      </w:pPr>
      <w:r>
        <w:tab/>
      </w:r>
      <w:r>
        <w:rPr>
          <w:rStyle w:val="CharDefText"/>
        </w:rPr>
        <w:t>eligible transaction</w:t>
      </w:r>
      <w:r>
        <w:t xml:space="preserve"> has the meaning given by section 14;</w:t>
      </w:r>
    </w:p>
    <w:p>
      <w:pPr>
        <w:pStyle w:val="Defstart"/>
      </w:pPr>
      <w:r>
        <w:tab/>
      </w:r>
      <w:r>
        <w:rPr>
          <w:rStyle w:val="CharDefText"/>
        </w:rPr>
        <w:t>established home</w:t>
      </w:r>
      <w:r>
        <w:t xml:space="preserve"> means a home that is not a new home or a substantially renovated home;</w:t>
      </w:r>
    </w:p>
    <w:p>
      <w:pPr>
        <w:pStyle w:val="Defstart"/>
      </w:pPr>
      <w:r>
        <w:tab/>
      </w:r>
      <w:r>
        <w:rPr>
          <w:rStyle w:val="CharDefText"/>
        </w:rPr>
        <w:t>first home owner grant</w:t>
      </w:r>
      <w:r>
        <w:t xml:space="preserve"> means a grant authorised under section 18;</w:t>
      </w:r>
    </w:p>
    <w:p>
      <w:pPr>
        <w:pStyle w:val="Defstart"/>
      </w:pPr>
      <w:r>
        <w:tab/>
      </w:r>
      <w:r>
        <w:rPr>
          <w:rStyle w:val="CharDefText"/>
        </w:rPr>
        <w:t>first home owner grant scheme</w:t>
      </w:r>
      <w:r>
        <w:t xml:space="preserve"> means the scheme for payment of first home owner grants established under this Act;</w:t>
      </w:r>
    </w:p>
    <w:p>
      <w:pPr>
        <w:pStyle w:val="Defstart"/>
      </w:pPr>
      <w:r>
        <w:tab/>
      </w:r>
      <w:r>
        <w:rPr>
          <w:rStyle w:val="CharDefText"/>
        </w:rPr>
        <w:t>grant relief declaration</w:t>
      </w:r>
      <w:r>
        <w:t xml:space="preserve"> has the meaning given in section 64B(2);</w:t>
      </w:r>
    </w:p>
    <w:p>
      <w:pPr>
        <w:pStyle w:val="Defstart"/>
      </w:pPr>
      <w:r>
        <w:tab/>
      </w:r>
      <w:r>
        <w:rPr>
          <w:rStyle w:val="CharDefText"/>
        </w:rPr>
        <w:t>grant relief measure</w:t>
      </w:r>
      <w:r>
        <w:t xml:space="preserve"> has the meaning given in section 64A(1);</w:t>
      </w:r>
    </w:p>
    <w:p>
      <w:pPr>
        <w:pStyle w:val="Defstart"/>
      </w:pPr>
      <w:r>
        <w:tab/>
      </w:r>
      <w:r>
        <w:rPr>
          <w:rStyle w:val="CharDefText"/>
        </w:rPr>
        <w:t>guardian</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rStyle w:val="CharDefText"/>
        </w:rPr>
        <w:t>home</w:t>
      </w:r>
      <w:r>
        <w:t xml:space="preserve"> has the meaning given by section 4;</w:t>
      </w:r>
    </w:p>
    <w:p>
      <w:pPr>
        <w:pStyle w:val="Defstart"/>
      </w:pPr>
      <w:r>
        <w:tab/>
      </w:r>
      <w:r>
        <w:rPr>
          <w:rStyle w:val="CharDefText"/>
        </w:rPr>
        <w:t>identity card</w:t>
      </w:r>
      <w:r>
        <w:t xml:space="preserve"> means an identity card issued to an authorised investigator under section 36;</w:t>
      </w:r>
    </w:p>
    <w:p>
      <w:pPr>
        <w:pStyle w:val="Defstart"/>
      </w:pPr>
      <w:r>
        <w:lastRenderedPageBreak/>
        <w:tab/>
      </w:r>
      <w:r>
        <w:rPr>
          <w:rStyle w:val="CharDefText"/>
        </w:rPr>
        <w:t>new home</w:t>
      </w:r>
      <w:r>
        <w:t xml:space="preserve"> means a home that has not been previously occupied or sold as a place of residence; </w:t>
      </w:r>
    </w:p>
    <w:p>
      <w:pPr>
        <w:pStyle w:val="Defstart"/>
      </w:pPr>
      <w:r>
        <w:tab/>
      </w:r>
      <w:r>
        <w:rPr>
          <w:rStyle w:val="CharDefText"/>
        </w:rPr>
        <w:t>option to purchase</w:t>
      </w:r>
      <w:r>
        <w:t xml:space="preserve"> includes a right of pre</w:t>
      </w:r>
      <w:r>
        <w:noBreakHyphen/>
        <w:t>emption or a right of first refusal;</w:t>
      </w:r>
    </w:p>
    <w:p>
      <w:pPr>
        <w:pStyle w:val="Defstart"/>
      </w:pPr>
      <w:r>
        <w:tab/>
      </w:r>
      <w:r>
        <w:rPr>
          <w:rStyle w:val="CharDefText"/>
        </w:rPr>
        <w:t>owner</w:t>
      </w:r>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r>
        <w:rPr>
          <w:rStyle w:val="CharDefText"/>
        </w:rPr>
        <w:t>owner builder</w:t>
      </w:r>
      <w:r>
        <w:t xml:space="preserve"> means an owner of land who builds a home, or has a home built, on the land without entering into a comprehensive home building contract;</w:t>
      </w:r>
    </w:p>
    <w:p>
      <w:pPr>
        <w:pStyle w:val="Defstart"/>
        <w:keepNext/>
      </w:pPr>
      <w:r>
        <w:tab/>
      </w:r>
      <w:r>
        <w:rPr>
          <w:rStyle w:val="CharDefText"/>
        </w:rPr>
        <w:t>permanent resident</w:t>
      </w:r>
      <w:r>
        <w:t xml:space="preserve"> has the meaning given by section 7B;</w:t>
      </w:r>
    </w:p>
    <w:p>
      <w:pPr>
        <w:pStyle w:val="Defstart"/>
      </w:pPr>
      <w:r>
        <w:tab/>
      </w:r>
      <w:r>
        <w:rPr>
          <w:rStyle w:val="CharDefText"/>
        </w:rPr>
        <w:t>premises</w:t>
      </w:r>
      <w:r>
        <w:t xml:space="preserve"> means — </w:t>
      </w:r>
    </w:p>
    <w:p>
      <w:pPr>
        <w:pStyle w:val="Defpara"/>
      </w:pPr>
      <w:r>
        <w:tab/>
        <w:t>(a)</w:t>
      </w:r>
      <w:r>
        <w:tab/>
        <w:t>land (whether built on or not); or</w:t>
      </w:r>
    </w:p>
    <w:p>
      <w:pPr>
        <w:pStyle w:val="Defpara"/>
      </w:pPr>
      <w:r>
        <w:tab/>
        <w:t>(b)</w:t>
      </w:r>
      <w:r>
        <w:tab/>
        <w:t>a building or structure on land; or</w:t>
      </w:r>
    </w:p>
    <w:p>
      <w:pPr>
        <w:pStyle w:val="Defpara"/>
      </w:pPr>
      <w:r>
        <w:tab/>
        <w:t>(c)</w:t>
      </w:r>
      <w:r>
        <w:tab/>
        <w:t>a vehicle,</w:t>
      </w:r>
    </w:p>
    <w:p>
      <w:pPr>
        <w:pStyle w:val="Defstart"/>
      </w:pPr>
      <w:r>
        <w:tab/>
        <w:t>and includes a part of premises;</w:t>
      </w:r>
    </w:p>
    <w:p>
      <w:pPr>
        <w:pStyle w:val="Defstart"/>
      </w:pPr>
      <w:r>
        <w:tab/>
      </w:r>
      <w:r>
        <w:rPr>
          <w:rStyle w:val="CharDefText"/>
        </w:rPr>
        <w:t>property</w:t>
      </w:r>
      <w:r>
        <w:t xml:space="preserve"> means — </w:t>
      </w:r>
    </w:p>
    <w:p>
      <w:pPr>
        <w:pStyle w:val="Defpara"/>
      </w:pPr>
      <w:r>
        <w:tab/>
        <w:t>(a)</w:t>
      </w:r>
      <w:r>
        <w:tab/>
        <w:t>a home; or</w:t>
      </w:r>
    </w:p>
    <w:p>
      <w:pPr>
        <w:pStyle w:val="Defpara"/>
      </w:pPr>
      <w:r>
        <w:tab/>
        <w:t>(b)</w:t>
      </w:r>
      <w:r>
        <w:tab/>
        <w:t>land; or</w:t>
      </w:r>
    </w:p>
    <w:p>
      <w:pPr>
        <w:pStyle w:val="Defpara"/>
      </w:pPr>
      <w:r>
        <w:tab/>
        <w:t>(c)</w:t>
      </w:r>
      <w:r>
        <w:tab/>
        <w:t>a relevant interest in land;</w:t>
      </w:r>
    </w:p>
    <w:p>
      <w:pPr>
        <w:pStyle w:val="Defstart"/>
      </w:pPr>
      <w:r>
        <w:tab/>
      </w:r>
      <w:r>
        <w:rPr>
          <w:rStyle w:val="CharDefText"/>
        </w:rPr>
        <w:t>Registrar</w:t>
      </w:r>
      <w:r>
        <w:t xml:space="preserve"> means the Registrar of Titles or the Registrar of Deeds and Transfers;</w:t>
      </w:r>
    </w:p>
    <w:p>
      <w:pPr>
        <w:pStyle w:val="Defstart"/>
      </w:pPr>
      <w:r>
        <w:tab/>
      </w:r>
      <w:r>
        <w:rPr>
          <w:rStyle w:val="CharDefText"/>
        </w:rPr>
        <w:t>relevant interest</w:t>
      </w:r>
      <w:r>
        <w:t xml:space="preserve"> means an interest in land mentioned in a paragraph of subsection (1) of section 6 (as read with subsection (2) of that section); </w:t>
      </w:r>
    </w:p>
    <w:p>
      <w:pPr>
        <w:pStyle w:val="Defstart"/>
      </w:pPr>
      <w:r>
        <w:tab/>
      </w:r>
      <w:r>
        <w:rPr>
          <w:rStyle w:val="CharDefText"/>
        </w:rPr>
        <w:t>relevant material</w:t>
      </w:r>
      <w:r>
        <w:t xml:space="preserve"> means an instrument, record or thing relevant to determining — </w:t>
      </w:r>
    </w:p>
    <w:p>
      <w:pPr>
        <w:pStyle w:val="Defpara"/>
      </w:pPr>
      <w:r>
        <w:tab/>
        <w:t>(a)</w:t>
      </w:r>
      <w:r>
        <w:tab/>
        <w:t>whether an application under this Act or a corresponding law for a first home owner grant has been properly made; or</w:t>
      </w:r>
    </w:p>
    <w:p>
      <w:pPr>
        <w:pStyle w:val="Defpara"/>
      </w:pPr>
      <w:r>
        <w:lastRenderedPageBreak/>
        <w:tab/>
        <w:t>(b)</w:t>
      </w:r>
      <w:r>
        <w:tab/>
        <w:t>whether an objection to a decision made under this Act or a corresponding law should be upheld; or</w:t>
      </w:r>
    </w:p>
    <w:p>
      <w:pPr>
        <w:pStyle w:val="Defpara"/>
      </w:pPr>
      <w:r>
        <w:tab/>
        <w:t>(c)</w:t>
      </w:r>
      <w:r>
        <w:tab/>
        <w:t>whether an applicant to whom, or for whose benefit, a first home owner grant has been paid under this Act or a corresponding law was eligible for the grant; or</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keepNext/>
      </w:pPr>
      <w:r>
        <w:tab/>
      </w:r>
      <w:r>
        <w:rPr>
          <w:rStyle w:val="CharDefText"/>
        </w:rPr>
        <w:t>repayment arrangement</w:t>
      </w:r>
      <w:r>
        <w:t xml:space="preserve"> means an arrangement approved under section 52;</w:t>
      </w:r>
    </w:p>
    <w:p>
      <w:pPr>
        <w:pStyle w:val="Defstart"/>
      </w:pPr>
      <w:r>
        <w:rPr>
          <w:b/>
        </w:rPr>
        <w:tab/>
      </w:r>
      <w:r>
        <w:rPr>
          <w:rStyle w:val="CharDefText"/>
        </w:rPr>
        <w:t>required residence period</w:t>
      </w:r>
      <w:r>
        <w:t xml:space="preserve"> has the meaning given by section 13(2);</w:t>
      </w:r>
    </w:p>
    <w:p>
      <w:pPr>
        <w:pStyle w:val="Defstart"/>
      </w:pPr>
      <w:r>
        <w:rPr>
          <w:b/>
        </w:rPr>
        <w:tab/>
      </w:r>
      <w:r>
        <w:rPr>
          <w:rStyle w:val="CharDefText"/>
        </w:rPr>
        <w:t>residence requirements</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rStyle w:val="CharDefText"/>
        </w:rPr>
        <w:t>residential property</w:t>
      </w:r>
      <w:r>
        <w:t xml:space="preserve"> has the meaning given by subsection (2);</w:t>
      </w:r>
    </w:p>
    <w:p>
      <w:pPr>
        <w:pStyle w:val="Defstart"/>
      </w:pPr>
      <w:r>
        <w:tab/>
      </w:r>
      <w:r>
        <w:rPr>
          <w:rStyle w:val="CharDefText"/>
        </w:rPr>
        <w:t>spouse</w:t>
      </w:r>
      <w:r>
        <w:t xml:space="preserve"> has the meaning affected by section 7;</w:t>
      </w:r>
    </w:p>
    <w:p>
      <w:pPr>
        <w:pStyle w:val="Defstart"/>
      </w:pPr>
      <w:r>
        <w:tab/>
      </w:r>
      <w:r>
        <w:rPr>
          <w:rStyle w:val="CharDefText"/>
        </w:rPr>
        <w:t>substantially renovated home</w:t>
      </w:r>
      <w:r>
        <w:t xml:space="preserve"> means a renovated home that is the subject of a contract for purchase where — </w:t>
      </w:r>
    </w:p>
    <w:p>
      <w:pPr>
        <w:pStyle w:val="Defpara"/>
      </w:pPr>
      <w:r>
        <w:tab/>
        <w:t>(a)</w:t>
      </w:r>
      <w:r>
        <w:tab/>
        <w:t xml:space="preserve">the sale of the home under that contract is, under the </w:t>
      </w:r>
      <w:r>
        <w:rPr>
          <w:i/>
          <w:iCs/>
        </w:rPr>
        <w:t>A New Tax System (Goods and Services Tax) Act 1999</w:t>
      </w:r>
      <w:r>
        <w:t xml:space="preserve"> (Commonwealth), a taxable supply as a sale of new residential premises within the meaning of section 40</w:t>
      </w:r>
      <w:r>
        <w:noBreakHyphen/>
        <w:t xml:space="preserve">75(1)(b) of that Act; and </w:t>
      </w:r>
    </w:p>
    <w:p>
      <w:pPr>
        <w:pStyle w:val="Defpara"/>
      </w:pPr>
      <w:r>
        <w:tab/>
        <w:t>(b)</w:t>
      </w:r>
      <w:r>
        <w:tab/>
        <w:t>the home, as so renovated, has not been previously occupied or sold as a place of residence;</w:t>
      </w:r>
    </w:p>
    <w:p>
      <w:pPr>
        <w:pStyle w:val="Defstart"/>
      </w:pPr>
      <w:r>
        <w:rPr>
          <w:b/>
        </w:rPr>
        <w:tab/>
      </w:r>
      <w:r>
        <w:rPr>
          <w:rStyle w:val="CharDefText"/>
        </w:rPr>
        <w:t>take</w:t>
      </w:r>
      <w:r>
        <w:rPr>
          <w:rStyle w:val="CharDefText"/>
        </w:rPr>
        <w:noBreakHyphen/>
        <w:t>up period</w:t>
      </w:r>
      <w:r>
        <w:t xml:space="preserve"> has the meaning given by section 13(5);</w:t>
      </w:r>
    </w:p>
    <w:p>
      <w:pPr>
        <w:pStyle w:val="Defstart"/>
      </w:pPr>
      <w:r>
        <w:lastRenderedPageBreak/>
        <w:tab/>
      </w:r>
      <w:r>
        <w:rPr>
          <w:rStyle w:val="CharDefText"/>
        </w:rPr>
        <w:t>taxation law</w:t>
      </w:r>
      <w:r>
        <w:t xml:space="preserve"> means a law of the Commonwealth or a State or Territory for the assessment or imposition of a tax;</w:t>
      </w:r>
    </w:p>
    <w:p>
      <w:pPr>
        <w:pStyle w:val="Defstart"/>
      </w:pPr>
      <w:r>
        <w:tab/>
      </w:r>
      <w:r>
        <w:rPr>
          <w:rStyle w:val="CharDefText"/>
        </w:rPr>
        <w:t>the home</w:t>
      </w:r>
      <w:r>
        <w:t>, in relation to an applicant or an application, means the home acquired or to be acquired under the eligible transaction to which the application relates;</w:t>
      </w:r>
    </w:p>
    <w:p>
      <w:pPr>
        <w:pStyle w:val="Defstart"/>
      </w:pPr>
      <w:r>
        <w:tab/>
      </w:r>
      <w:r>
        <w:rPr>
          <w:rStyle w:val="CharDefText"/>
        </w:rPr>
        <w:t>total value</w:t>
      </w:r>
      <w:r>
        <w:t>, in relation to a transaction, has the meaning given by section 14AC(1);</w:t>
      </w:r>
    </w:p>
    <w:p>
      <w:pPr>
        <w:pStyle w:val="Defstart"/>
      </w:pPr>
      <w:r>
        <w:tab/>
      </w:r>
      <w:r>
        <w:rPr>
          <w:rStyle w:val="CharDefText"/>
        </w:rPr>
        <w:t>transaction</w:t>
      </w:r>
      <w:r>
        <w:t xml:space="preserve"> means — </w:t>
      </w:r>
    </w:p>
    <w:p>
      <w:pPr>
        <w:pStyle w:val="Defpara"/>
      </w:pPr>
      <w:r>
        <w:tab/>
        <w:t>(a)</w:t>
      </w:r>
      <w:r>
        <w:tab/>
        <w:t>a contract for the purchase of a home in the State; or</w:t>
      </w:r>
    </w:p>
    <w:p>
      <w:pPr>
        <w:pStyle w:val="Defpara"/>
      </w:pPr>
      <w:r>
        <w:tab/>
        <w:t>(b)</w:t>
      </w:r>
      <w:r>
        <w:tab/>
        <w:t>a comprehensive home building contract made by the owner of land in the State, or a person who will on completion of the contract be the owner of land in the State, to have a home built on the land; or</w:t>
      </w:r>
    </w:p>
    <w:p>
      <w:pPr>
        <w:pStyle w:val="Defpara"/>
      </w:pPr>
      <w:r>
        <w:tab/>
        <w:t>(c)</w:t>
      </w:r>
      <w:r>
        <w:tab/>
        <w:t>the building of a home in the State by an owner builder;</w:t>
      </w:r>
    </w:p>
    <w:p>
      <w:pPr>
        <w:pStyle w:val="Defstart"/>
      </w:pPr>
      <w:r>
        <w:tab/>
      </w:r>
      <w:r>
        <w:rPr>
          <w:rStyle w:val="CharDefText"/>
        </w:rPr>
        <w:t>unencumbered value</w:t>
      </w:r>
      <w:r>
        <w:t xml:space="preserve"> has the meaning given by section 14AE(1).</w:t>
      </w:r>
    </w:p>
    <w:p>
      <w:pPr>
        <w:pStyle w:val="Subsection"/>
        <w:keepLines/>
      </w:pPr>
      <w:r>
        <w:tab/>
        <w:t>(2)</w:t>
      </w:r>
      <w:r>
        <w:tab/>
        <w:t xml:space="preserve">For the purposes of this Act, land in Australia is </w:t>
      </w:r>
      <w:r>
        <w:rPr>
          <w:rStyle w:val="CharDefText"/>
        </w:rPr>
        <w:t>residential property</w:t>
      </w:r>
      <w:r>
        <w:t xml:space="preserve"> at a particular time if there is, at that time, a building on the land lawfully occupied as a place of residence or suitable for occupation as a place of residence.</w:t>
      </w:r>
    </w:p>
    <w:p>
      <w:pPr>
        <w:pStyle w:val="Footnotesection"/>
      </w:pPr>
      <w:r>
        <w:tab/>
        <w:t>[Section 3 amended: No. 61 of 2000 s. 7(1) and 8(1); No. 28 of 2003 s. 61; No. 52 of 2004 s. 4; No. 55 of 2004 s. 373; No. 27 of 2009 s. 8 and 15; No. 17 of 2010 s. 18; No. 10 of 2013 s. 41; No. 27 of 2015 s. 4; No. 1 of 2022 s. 10.]</w:t>
      </w:r>
    </w:p>
    <w:p>
      <w:pPr>
        <w:pStyle w:val="Heading5"/>
      </w:pPr>
      <w:bookmarkStart w:id="9" w:name="_Toc100568099"/>
      <w:r>
        <w:rPr>
          <w:rStyle w:val="CharSectno"/>
        </w:rPr>
        <w:t>4</w:t>
      </w:r>
      <w:r>
        <w:t>.</w:t>
      </w:r>
      <w:r>
        <w:tab/>
        <w:t>Term used: home</w:t>
      </w:r>
      <w:bookmarkEnd w:id="9"/>
    </w:p>
    <w:p>
      <w:pPr>
        <w:pStyle w:val="Subsection"/>
      </w:pPr>
      <w:r>
        <w:tab/>
      </w:r>
      <w:r>
        <w:tab/>
        <w:t xml:space="preserve">A </w:t>
      </w:r>
      <w:r>
        <w:rPr>
          <w:rStyle w:val="CharDefText"/>
        </w:rPr>
        <w:t>home</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10" w:name="_Toc100568100"/>
      <w:r>
        <w:rPr>
          <w:rStyle w:val="CharSectno"/>
        </w:rPr>
        <w:lastRenderedPageBreak/>
        <w:t>5</w:t>
      </w:r>
      <w:r>
        <w:t>.</w:t>
      </w:r>
      <w:r>
        <w:tab/>
        <w:t>Terms used: owner, home owner</w:t>
      </w:r>
      <w:bookmarkEnd w:id="10"/>
    </w:p>
    <w:p>
      <w:pPr>
        <w:pStyle w:val="Subsection"/>
      </w:pPr>
      <w:r>
        <w:tab/>
      </w:r>
      <w:r>
        <w:tab/>
        <w:t xml:space="preserve">A person is an </w:t>
      </w:r>
      <w:r>
        <w:rPr>
          <w:rStyle w:val="CharDefText"/>
        </w:rPr>
        <w:t>owner</w:t>
      </w:r>
      <w:r>
        <w:t xml:space="preserve"> of a home or a </w:t>
      </w:r>
      <w:r>
        <w:rPr>
          <w:rStyle w:val="CharDefText"/>
        </w:rPr>
        <w:t>home owner</w:t>
      </w:r>
      <w:r>
        <w:t xml:space="preserve"> if the person has a relevant interest in land on which a home is built.</w:t>
      </w:r>
    </w:p>
    <w:p>
      <w:pPr>
        <w:pStyle w:val="Heading5"/>
      </w:pPr>
      <w:bookmarkStart w:id="11" w:name="_Toc100568101"/>
      <w:r>
        <w:rPr>
          <w:rStyle w:val="CharSectno"/>
        </w:rPr>
        <w:t>6</w:t>
      </w:r>
      <w:r>
        <w:t>.</w:t>
      </w:r>
      <w:r>
        <w:tab/>
        <w:t>Term used: relevant interest</w:t>
      </w:r>
      <w:bookmarkEnd w:id="11"/>
    </w:p>
    <w:p>
      <w:pPr>
        <w:pStyle w:val="Subsection"/>
      </w:pPr>
      <w:r>
        <w:tab/>
        <w:t>(1)</w:t>
      </w:r>
      <w:r>
        <w:tab/>
        <w:t xml:space="preserve">Subject to subsection (2), a </w:t>
      </w:r>
      <w:r>
        <w:rPr>
          <w:rStyle w:val="CharDefText"/>
        </w:rPr>
        <w:t>relevant interest</w:t>
      </w:r>
      <w:r>
        <w:t xml:space="preserve"> in land is — </w:t>
      </w:r>
    </w:p>
    <w:p>
      <w:pPr>
        <w:pStyle w:val="Indenta"/>
        <w:rPr>
          <w:snapToGrid w:val="0"/>
        </w:rPr>
      </w:pPr>
      <w:r>
        <w:tab/>
        <w:t>(a)</w:t>
      </w:r>
      <w:r>
        <w:tab/>
      </w:r>
      <w:r>
        <w:rPr>
          <w:snapToGrid w:val="0"/>
        </w:rPr>
        <w:t>an estate in fee simple in the land;</w:t>
      </w:r>
      <w:r>
        <w:t xml:space="preserve"> or</w:t>
      </w:r>
    </w:p>
    <w:p>
      <w:pPr>
        <w:pStyle w:val="Indenta"/>
        <w:rPr>
          <w:snapToGrid w:val="0"/>
        </w:rPr>
      </w:pPr>
      <w:r>
        <w:rPr>
          <w:snapToGrid w:val="0"/>
        </w:rPr>
        <w:tab/>
        <w:t>(b)</w:t>
      </w:r>
      <w:r>
        <w:rPr>
          <w:snapToGrid w:val="0"/>
        </w:rPr>
        <w:tab/>
        <w:t>a life estate, approved by the Commissioner, in the land;</w:t>
      </w:r>
      <w:r>
        <w:t xml:space="preserve"> or</w:t>
      </w:r>
    </w:p>
    <w:p>
      <w:pPr>
        <w:pStyle w:val="Indenta"/>
      </w:pPr>
      <w:r>
        <w:tab/>
        <w:t>(ba)</w:t>
      </w:r>
      <w:r>
        <w:tab/>
        <w:t xml:space="preserve">a strata lease of the land, as defined in the </w:t>
      </w:r>
      <w:r>
        <w:rPr>
          <w:i/>
        </w:rPr>
        <w:t xml:space="preserve">Strata Titles Act 1985 </w:t>
      </w:r>
      <w:r>
        <w:t>section 3(1);</w:t>
      </w:r>
    </w:p>
    <w:p>
      <w:pPr>
        <w:pStyle w:val="Indenta"/>
        <w:rPr>
          <w:snapToGrid w:val="0"/>
        </w:rPr>
      </w:pPr>
      <w:r>
        <w:rPr>
          <w:snapToGrid w:val="0"/>
        </w:rPr>
        <w:tab/>
        <w:t>(c)</w:t>
      </w:r>
      <w:r>
        <w:rPr>
          <w:snapToGrid w:val="0"/>
        </w:rPr>
        <w:tab/>
        <w:t>a lease in perpetuity of the land granted by the Commonwealth or the State;</w:t>
      </w:r>
      <w:r>
        <w:t xml:space="preserve"> or</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r>
        <w:t xml:space="preserve"> or</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r>
        <w:t xml:space="preserve"> or</w:t>
      </w:r>
    </w:p>
    <w:p>
      <w:pPr>
        <w:pStyle w:val="Indenta"/>
        <w:keepNext/>
        <w:keepLines/>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r>
        <w:t xml:space="preserve"> or</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lastRenderedPageBreak/>
        <w:tab/>
        <w:t>(h)</w:t>
      </w:r>
      <w:r>
        <w:tab/>
        <w:t>an interest prescribed by the regulations to be a relevant interest.</w:t>
      </w:r>
    </w:p>
    <w:p>
      <w:pPr>
        <w:pStyle w:val="Subsection"/>
      </w:pPr>
      <w:r>
        <w:tab/>
        <w:t>(2)</w:t>
      </w:r>
      <w:r>
        <w:tab/>
        <w:t xml:space="preserve">Subject to subsection (3) — </w:t>
      </w:r>
    </w:p>
    <w:p>
      <w:pPr>
        <w:pStyle w:val="Ednotepara"/>
      </w:pPr>
      <w:r>
        <w:tab/>
        <w:t>[(a) and (b)</w:t>
      </w:r>
      <w:r>
        <w:tab/>
        <w:t>deleted]</w:t>
      </w:r>
    </w:p>
    <w:p>
      <w:pPr>
        <w:pStyle w:val="Indenta"/>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keepNext/>
        <w:rPr>
          <w:snapToGrid w:val="0"/>
        </w:rPr>
      </w:pPr>
      <w:r>
        <w:rPr>
          <w:snapToGrid w:val="0"/>
        </w:rPr>
        <w:tab/>
        <w:t>(3)</w:t>
      </w:r>
      <w:r>
        <w:rPr>
          <w:snapToGrid w:val="0"/>
        </w:rPr>
        <w:tab/>
        <w:t xml:space="preserve">Without limiting paragraph (h) of subsection (1), regulations referred to in that paragraph may prescribe an interest (a </w:t>
      </w:r>
      <w:r>
        <w:rPr>
          <w:rStyle w:val="CharDefText"/>
        </w:rPr>
        <w:t>non</w:t>
      </w:r>
      <w:r>
        <w:rPr>
          <w:rStyle w:val="CharDefText"/>
        </w:rPr>
        <w:noBreakHyphen/>
        <w:t>conforming interest</w:t>
      </w:r>
      <w:r>
        <w:rPr>
          <w:snapToGrid w:val="0"/>
        </w:rPr>
        <w:t>)</w:t>
      </w:r>
      <w:r>
        <w:t xml:space="preserve"> to be a </w:t>
      </w:r>
      <w:r>
        <w:rPr>
          <w:snapToGrid w:val="0"/>
        </w:rPr>
        <w:t xml:space="preserve">relevant interest — </w:t>
      </w:r>
    </w:p>
    <w:p>
      <w:pPr>
        <w:pStyle w:val="Indenta"/>
      </w:pPr>
      <w:r>
        <w:rPr>
          <w:snapToGrid w:val="0"/>
        </w:rPr>
        <w:tab/>
        <w:t>(a)</w:t>
      </w:r>
      <w:r>
        <w:rPr>
          <w:snapToGrid w:val="0"/>
        </w:rPr>
        <w:tab/>
      </w:r>
      <w:r>
        <w:t>even though the interest does not conform with subsection (2); and</w:t>
      </w:r>
    </w:p>
    <w:p>
      <w:pPr>
        <w:pStyle w:val="Indenta"/>
      </w:pPr>
      <w:r>
        <w:tab/>
        <w:t>(b)</w:t>
      </w:r>
      <w:r>
        <w:tab/>
        <w:t>even though the interest may not be recognised at law or in equity as an interest in land.</w:t>
      </w:r>
    </w:p>
    <w:p>
      <w:pPr>
        <w:pStyle w:val="Subsection"/>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 No. 26 of 2005 s. 4; No. 16 of 2017 s. 4; No. 30 of 2018 s. 140.]</w:t>
      </w:r>
    </w:p>
    <w:p>
      <w:pPr>
        <w:pStyle w:val="Heading5"/>
      </w:pPr>
      <w:bookmarkStart w:id="12" w:name="_Toc100568102"/>
      <w:r>
        <w:rPr>
          <w:rStyle w:val="CharSectno"/>
        </w:rPr>
        <w:t>7</w:t>
      </w:r>
      <w:r>
        <w:t>.</w:t>
      </w:r>
      <w:r>
        <w:tab/>
        <w:t>Term used: spouse</w:t>
      </w:r>
      <w:bookmarkEnd w:id="12"/>
    </w:p>
    <w:p>
      <w:pPr>
        <w:pStyle w:val="Subsection"/>
      </w:pPr>
      <w:r>
        <w:tab/>
        <w:t>(1)</w:t>
      </w:r>
      <w:r>
        <w:tab/>
        <w:t xml:space="preserve">A person is the </w:t>
      </w:r>
      <w:r>
        <w:rPr>
          <w:rStyle w:val="CharDefText"/>
        </w:rPr>
        <w:t>spouse</w:t>
      </w:r>
      <w:r>
        <w:t xml:space="preserve"> of an applicant for a first home owner grant if, on the commencement date of the transaction to which the application relates, the person is married to the applicant.</w:t>
      </w:r>
    </w:p>
    <w:p>
      <w:pPr>
        <w:pStyle w:val="Subsection"/>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lastRenderedPageBreak/>
        <w:tab/>
        <w:t>(b)</w:t>
      </w:r>
      <w:r>
        <w:tab/>
        <w:t>the applicant and that person have no intention of again living together as a couple,</w:t>
      </w:r>
    </w:p>
    <w:p>
      <w:pPr>
        <w:pStyle w:val="Subsection"/>
      </w:pPr>
      <w:r>
        <w:tab/>
      </w:r>
      <w:r>
        <w:tab/>
        <w:t>the person to whom the applicant is married is taken not to be the applicant’s spouse.</w:t>
      </w:r>
    </w:p>
    <w:p>
      <w:pPr>
        <w:pStyle w:val="Footnotesection"/>
      </w:pPr>
      <w:r>
        <w:tab/>
        <w:t>[Section 7 amended: No. 61 of 2000 s. 4; No. 28 of 2003 s. 62; No. 27 of 2009 s. 15.]</w:t>
      </w:r>
    </w:p>
    <w:p>
      <w:pPr>
        <w:pStyle w:val="Heading5"/>
      </w:pPr>
      <w:bookmarkStart w:id="13" w:name="_Toc100568103"/>
      <w:r>
        <w:rPr>
          <w:rStyle w:val="CharSectno"/>
        </w:rPr>
        <w:t>7A</w:t>
      </w:r>
      <w:r>
        <w:t>.</w:t>
      </w:r>
      <w:r>
        <w:tab/>
        <w:t>Term used: Australian citizen</w:t>
      </w:r>
      <w:bookmarkEnd w:id="13"/>
    </w:p>
    <w:p>
      <w:pPr>
        <w:pStyle w:val="Subsection"/>
      </w:pPr>
      <w:r>
        <w:tab/>
        <w:t>(1)</w:t>
      </w:r>
      <w:r>
        <w:tab/>
        <w:t xml:space="preserve">A person is an </w:t>
      </w:r>
      <w:r>
        <w:rPr>
          <w:rStyle w:val="CharDefText"/>
        </w:rPr>
        <w:t>Australian citizen</w:t>
      </w:r>
      <w:r>
        <w:t xml:space="preserve"> for the purposes of an application for a first home owner grant if the person is an Australian citizen under the </w:t>
      </w:r>
      <w:r>
        <w:rPr>
          <w:i/>
        </w:rPr>
        <w:t>Australian Citizenship Act 1948</w:t>
      </w:r>
      <w:r>
        <w:t xml:space="preserve"> of the Commonwealth.</w:t>
      </w:r>
    </w:p>
    <w:p>
      <w:pPr>
        <w:pStyle w:val="Subsection"/>
      </w:pPr>
      <w:r>
        <w:tab/>
        <w:t>(2)</w:t>
      </w:r>
      <w:r>
        <w:tab/>
        <w:t xml:space="preserve">The amendments to this section in the </w:t>
      </w:r>
      <w:r>
        <w:rPr>
          <w:i/>
          <w:snapToGrid w:val="0"/>
        </w:rPr>
        <w:t>Revenue Laws Amendment Act (No. 2) 2012</w:t>
      </w:r>
      <w:r>
        <w:t xml:space="preserve"> section 27(1) do not have effect in relation to a transaction with a commencement date prior to the day on which that section came into operation.</w:t>
      </w:r>
    </w:p>
    <w:p>
      <w:pPr>
        <w:pStyle w:val="Footnotesection"/>
      </w:pPr>
      <w:r>
        <w:tab/>
        <w:t>[Section 7A inserted: No. 61 of 2000 s. 7(2); amended: No. 27 of 2009 s. 15; No. 32 of 2012 s. 27.]</w:t>
      </w:r>
    </w:p>
    <w:p>
      <w:pPr>
        <w:pStyle w:val="Heading5"/>
      </w:pPr>
      <w:bookmarkStart w:id="14" w:name="_Toc100568104"/>
      <w:r>
        <w:rPr>
          <w:rStyle w:val="CharSectno"/>
        </w:rPr>
        <w:t>7B</w:t>
      </w:r>
      <w:r>
        <w:t>.</w:t>
      </w:r>
      <w:r>
        <w:tab/>
        <w:t>Term used: permanent resident</w:t>
      </w:r>
      <w:bookmarkEnd w:id="14"/>
    </w:p>
    <w:p>
      <w:pPr>
        <w:pStyle w:val="Subsection"/>
      </w:pPr>
      <w:r>
        <w:tab/>
        <w:t>(1)</w:t>
      </w:r>
      <w:r>
        <w:tab/>
        <w:t xml:space="preserve">A person is a </w:t>
      </w:r>
      <w:r>
        <w:rPr>
          <w:rStyle w:val="CharDefText"/>
        </w:rPr>
        <w:t>permanent resident</w:t>
      </w:r>
      <w:r>
        <w:t xml:space="preserve"> for the purposes of an application for a first home owner grant if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New Zealand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tab/>
        <w:t>(b)</w:t>
      </w:r>
      <w:r>
        <w:tab/>
        <w:t>the person has satisfied the Commissioner that he or she intends to reside permanently in Australia.</w:t>
      </w:r>
    </w:p>
    <w:p>
      <w:pPr>
        <w:pStyle w:val="Subsection"/>
      </w:pPr>
      <w:r>
        <w:lastRenderedPageBreak/>
        <w:tab/>
        <w:t>(2)</w:t>
      </w:r>
      <w:r>
        <w:tab/>
        <w:t xml:space="preserve">The amendments to this section in the </w:t>
      </w:r>
      <w:r>
        <w:rPr>
          <w:i/>
          <w:snapToGrid w:val="0"/>
        </w:rPr>
        <w:t>Revenue Laws Amendment Act (No. 2) 2012</w:t>
      </w:r>
      <w:r>
        <w:t xml:space="preserve"> section 28(1) do not have effect in relation to a transaction with a commencement date prior to the day on which that section came into operation.</w:t>
      </w:r>
    </w:p>
    <w:p>
      <w:pPr>
        <w:pStyle w:val="Footnotesection"/>
      </w:pPr>
      <w:r>
        <w:tab/>
        <w:t>[Section 7B inserted: No. 61 of 2000 s. 8(2); amended: No. 27 of 2009 s. 15; No. 32 of 2012 s. 28.]</w:t>
      </w:r>
    </w:p>
    <w:p>
      <w:pPr>
        <w:pStyle w:val="Heading2"/>
      </w:pPr>
      <w:bookmarkStart w:id="15" w:name="_Toc100325807"/>
      <w:bookmarkStart w:id="16" w:name="_Toc100326182"/>
      <w:bookmarkStart w:id="17" w:name="_Toc100568105"/>
      <w:r>
        <w:rPr>
          <w:rStyle w:val="CharPartNo"/>
        </w:rPr>
        <w:lastRenderedPageBreak/>
        <w:t>Part 2</w:t>
      </w:r>
      <w:r>
        <w:t xml:space="preserve"> — </w:t>
      </w:r>
      <w:r>
        <w:rPr>
          <w:rStyle w:val="CharPartText"/>
        </w:rPr>
        <w:t>First home owner grant</w:t>
      </w:r>
      <w:bookmarkEnd w:id="15"/>
      <w:bookmarkEnd w:id="16"/>
      <w:bookmarkEnd w:id="17"/>
    </w:p>
    <w:p>
      <w:pPr>
        <w:pStyle w:val="Heading3"/>
        <w:spacing w:before="200"/>
      </w:pPr>
      <w:bookmarkStart w:id="18" w:name="_Toc100325808"/>
      <w:bookmarkStart w:id="19" w:name="_Toc100326183"/>
      <w:bookmarkStart w:id="20" w:name="_Toc100568106"/>
      <w:r>
        <w:rPr>
          <w:rStyle w:val="CharDivNo"/>
        </w:rPr>
        <w:t>Division 1</w:t>
      </w:r>
      <w:r>
        <w:t xml:space="preserve"> — </w:t>
      </w:r>
      <w:r>
        <w:rPr>
          <w:rStyle w:val="CharDivText"/>
        </w:rPr>
        <w:t>Entitlement to grant</w:t>
      </w:r>
      <w:bookmarkEnd w:id="18"/>
      <w:bookmarkEnd w:id="19"/>
      <w:bookmarkEnd w:id="20"/>
    </w:p>
    <w:p>
      <w:pPr>
        <w:pStyle w:val="Heading5"/>
        <w:spacing w:before="180"/>
      </w:pPr>
      <w:bookmarkStart w:id="21" w:name="_Toc100568107"/>
      <w:r>
        <w:rPr>
          <w:rStyle w:val="CharSectno"/>
        </w:rPr>
        <w:t>8</w:t>
      </w:r>
      <w:r>
        <w:t>.</w:t>
      </w:r>
      <w:r>
        <w:tab/>
        <w:t>Entitlement to grant</w:t>
      </w:r>
      <w:bookmarkEnd w:id="21"/>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spacing w:before="80"/>
        <w:ind w:left="890" w:hanging="890"/>
      </w:pPr>
      <w:r>
        <w:tab/>
        <w:t>[Section 8 amended: No. 52 of 2004 s. 5.]</w:t>
      </w:r>
    </w:p>
    <w:p>
      <w:pPr>
        <w:pStyle w:val="Heading3"/>
      </w:pPr>
      <w:bookmarkStart w:id="22" w:name="_Toc100325810"/>
      <w:bookmarkStart w:id="23" w:name="_Toc100326185"/>
      <w:bookmarkStart w:id="24" w:name="_Toc100568108"/>
      <w:r>
        <w:rPr>
          <w:rStyle w:val="CharDivNo"/>
        </w:rPr>
        <w:t>Division 2</w:t>
      </w:r>
      <w:r>
        <w:rPr>
          <w:snapToGrid w:val="0"/>
        </w:rPr>
        <w:t xml:space="preserve"> — </w:t>
      </w:r>
      <w:r>
        <w:rPr>
          <w:rStyle w:val="CharDivText"/>
        </w:rPr>
        <w:t>Eligibility criteria (applicants)</w:t>
      </w:r>
      <w:bookmarkEnd w:id="22"/>
      <w:bookmarkEnd w:id="23"/>
      <w:bookmarkEnd w:id="24"/>
    </w:p>
    <w:p>
      <w:pPr>
        <w:pStyle w:val="Heading5"/>
        <w:spacing w:before="180"/>
      </w:pPr>
      <w:bookmarkStart w:id="25" w:name="_Toc100568109"/>
      <w:r>
        <w:rPr>
          <w:rStyle w:val="CharSectno"/>
        </w:rPr>
        <w:t>9</w:t>
      </w:r>
      <w:r>
        <w:rPr>
          <w:snapToGrid w:val="0"/>
        </w:rPr>
        <w:t>.</w:t>
      </w:r>
      <w:r>
        <w:rPr>
          <w:snapToGrid w:val="0"/>
        </w:rPr>
        <w:tab/>
        <w:t>Criterion 1 — applicant to be a natural person</w:t>
      </w:r>
      <w:bookmarkEnd w:id="25"/>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26" w:name="_Toc100568110"/>
      <w:r>
        <w:rPr>
          <w:rStyle w:val="CharSectno"/>
        </w:rPr>
        <w:t>9A</w:t>
      </w:r>
      <w:r>
        <w:t>.</w:t>
      </w:r>
      <w:r>
        <w:tab/>
        <w:t>Criterion 1A — applicant to be at least 18 years of age</w:t>
      </w:r>
      <w:bookmarkEnd w:id="26"/>
    </w:p>
    <w:p>
      <w:pPr>
        <w:pStyle w:val="Subsection"/>
        <w:spacing w:before="120"/>
      </w:pPr>
      <w:r>
        <w:tab/>
        <w:t>(1)</w:t>
      </w:r>
      <w:r>
        <w:tab/>
        <w:t>An applicant for a first home owner grant must be at least 18 years of age.</w:t>
      </w:r>
    </w:p>
    <w:p>
      <w:pPr>
        <w:pStyle w:val="Subsection"/>
        <w:spacing w:before="120"/>
      </w:pPr>
      <w:r>
        <w:tab/>
        <w:t>(2)</w:t>
      </w:r>
      <w:r>
        <w:tab/>
        <w:t xml:space="preserve">The Commissioner may exempt an applicant from the requirement to be at least 18 years of age if the Commissioner is satisfied that — </w:t>
      </w:r>
    </w:p>
    <w:p>
      <w:pPr>
        <w:pStyle w:val="Indenta"/>
      </w:pPr>
      <w:r>
        <w:tab/>
        <w:t>(a)</w:t>
      </w:r>
      <w:r>
        <w:tab/>
        <w:t>the applicant intends to comply with the residence requirements to the extent that the applicant is required to do so; and</w:t>
      </w:r>
    </w:p>
    <w:p>
      <w:pPr>
        <w:pStyle w:val="Indenta"/>
      </w:pPr>
      <w:r>
        <w:lastRenderedPageBreak/>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No. 52 of 2004 s. 6.]</w:t>
      </w:r>
    </w:p>
    <w:p>
      <w:pPr>
        <w:pStyle w:val="Heading5"/>
      </w:pPr>
      <w:bookmarkStart w:id="27" w:name="_Toc100568111"/>
      <w:r>
        <w:rPr>
          <w:rStyle w:val="CharSectno"/>
        </w:rPr>
        <w:t>10</w:t>
      </w:r>
      <w:r>
        <w:t>.</w:t>
      </w:r>
      <w:r>
        <w:tab/>
        <w:t>Criterion 2 — applicant to be Australian citizen or permanent resident</w:t>
      </w:r>
      <w:bookmarkEnd w:id="27"/>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28" w:name="_Toc100568112"/>
      <w:r>
        <w:rPr>
          <w:rStyle w:val="CharSectno"/>
        </w:rPr>
        <w:t>11</w:t>
      </w:r>
      <w:r>
        <w:t>.</w:t>
      </w:r>
      <w:r>
        <w:tab/>
        <w:t>Criterion 3 — except in certain circumstances, applicant or applicant’s spouse or de facto partner must not have received another grant</w:t>
      </w:r>
      <w:bookmarkEnd w:id="28"/>
    </w:p>
    <w:p>
      <w:pPr>
        <w:pStyle w:val="Subsection"/>
      </w:pPr>
      <w:r>
        <w:tab/>
        <w:t>(1)</w:t>
      </w:r>
      <w:r>
        <w:tab/>
        <w:t>Subject to subsection (2), an applicant (</w:t>
      </w:r>
      <w:r>
        <w:rPr>
          <w:rStyle w:val="CharDefText"/>
          <w:b w:val="0"/>
          <w:i w:val="0"/>
        </w:rPr>
        <w:t>the</w:t>
      </w:r>
      <w:r>
        <w:rPr>
          <w:rStyle w:val="CharDefText"/>
        </w:rPr>
        <w:t xml:space="preserve"> applicant</w:t>
      </w:r>
      <w:r>
        <w:t xml:space="preserve">) is ineligible if — </w:t>
      </w:r>
    </w:p>
    <w:p>
      <w:pPr>
        <w:pStyle w:val="Indenta"/>
      </w:pPr>
      <w:r>
        <w:tab/>
        <w:t>(a)</w:t>
      </w:r>
      <w:r>
        <w:tab/>
        <w:t>the applicant or the applicant’s spouse or de facto partner has been a party to another application under this Act or a corresponding law; and</w:t>
      </w:r>
    </w:p>
    <w:p>
      <w:pPr>
        <w:pStyle w:val="Indenta"/>
      </w:pPr>
      <w:r>
        <w:tab/>
        <w:t>(b)</w:t>
      </w:r>
      <w:r>
        <w:tab/>
        <w:t>a first home owner grant (</w:t>
      </w:r>
      <w:r>
        <w:rPr>
          <w:rStyle w:val="CharDefText"/>
          <w:b w:val="0"/>
          <w:i w:val="0"/>
        </w:rPr>
        <w:t xml:space="preserve">the </w:t>
      </w:r>
      <w:r>
        <w:rPr>
          <w:rStyle w:val="CharDefText"/>
        </w:rPr>
        <w:t>other grant</w:t>
      </w:r>
      <w:r>
        <w:t>) has been paid on the other application.</w:t>
      </w:r>
    </w:p>
    <w:p>
      <w:pPr>
        <w:pStyle w:val="Subsection"/>
      </w:pPr>
      <w:r>
        <w:lastRenderedPageBreak/>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 and</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No. 52 of 2004 s. 7.]</w:t>
      </w:r>
    </w:p>
    <w:p>
      <w:pPr>
        <w:pStyle w:val="Heading5"/>
      </w:pPr>
      <w:bookmarkStart w:id="29" w:name="_Toc100568113"/>
      <w:r>
        <w:rPr>
          <w:rStyle w:val="CharSectno"/>
        </w:rPr>
        <w:t>12</w:t>
      </w:r>
      <w:r>
        <w:t>.</w:t>
      </w:r>
      <w:r>
        <w:tab/>
        <w:t>Criterion 4 — applicant or applicant’s spouse or de facto partner must not have had relevant interest in residential property</w:t>
      </w:r>
      <w:bookmarkEnd w:id="29"/>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 xml:space="preserve">a relevant interest in residential property in </w:t>
      </w:r>
      <w:r>
        <w:t>the State, other than a relevant interest held subject to a trust; or</w:t>
      </w:r>
    </w:p>
    <w:p>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 xml:space="preserve">To work out for the purposes of subsection (1) whether an applicant held a relevant interest (within the meaning of this Act or a corresponding law) in residential property at a particular </w:t>
      </w:r>
      <w:r>
        <w:rPr>
          <w:snapToGrid w:val="0"/>
        </w:rPr>
        <w:lastRenderedPageBreak/>
        <w:t>time, any deferment of the applicant’s right of occupation because the property was subject to a lease is to be disregarded.</w:t>
      </w:r>
    </w:p>
    <w:p>
      <w:pPr>
        <w:pStyle w:val="Subsection"/>
      </w:pPr>
      <w:r>
        <w:tab/>
        <w:t>(3)</w:t>
      </w:r>
      <w:r>
        <w:tab/>
        <w:t>An applicant is also ineligible if, before the commencement date of the transaction to which the application relates, the applicant or the applicant’s spouse or de facto partner —</w:t>
      </w:r>
    </w:p>
    <w:p>
      <w:pPr>
        <w:pStyle w:val="Indenta"/>
      </w:pPr>
      <w:r>
        <w:tab/>
        <w:t>(a)</w:t>
      </w:r>
      <w:r>
        <w:tab/>
        <w:t>held a relevant interest in residential property in the State, other than a relevant interest held subject to a trust,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No. 61 of 2000 s. 6; No. 13 of 2003 s. 4; No. 28 of 2003 s. 64; No. 52 of 2004 s. 8; No. 27 of 2009 s. 15; No. 16 of 2017 s. 5.]</w:t>
      </w:r>
    </w:p>
    <w:p>
      <w:pPr>
        <w:pStyle w:val="Heading5"/>
      </w:pPr>
      <w:bookmarkStart w:id="30" w:name="_Toc100568114"/>
      <w:r>
        <w:rPr>
          <w:rStyle w:val="CharSectno"/>
        </w:rPr>
        <w:t>13</w:t>
      </w:r>
      <w:r>
        <w:t>.</w:t>
      </w:r>
      <w:r>
        <w:tab/>
        <w:t>Criterion 5 — residence requirements</w:t>
      </w:r>
      <w:bookmarkEnd w:id="30"/>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rStyle w:val="CharDefText"/>
        </w:rPr>
        <w:t>required residence period</w:t>
      </w:r>
      <w:r>
        <w:t xml:space="preserve"> is — </w:t>
      </w:r>
    </w:p>
    <w:p>
      <w:pPr>
        <w:pStyle w:val="Indenta"/>
      </w:pPr>
      <w:r>
        <w:tab/>
        <w:t>(a)</w:t>
      </w:r>
      <w:r>
        <w:tab/>
        <w:t>a continuous period of at least 6 months; or</w:t>
      </w:r>
    </w:p>
    <w:p>
      <w:pPr>
        <w:pStyle w:val="Indenta"/>
      </w:pPr>
      <w:r>
        <w:tab/>
        <w:t>(b)</w:t>
      </w:r>
      <w:r>
        <w:tab/>
        <w:t>if a shorter period is approved by the Commissioner under subsection (6A)(a) in relation to the applicant, that shorter period.</w:t>
      </w:r>
    </w:p>
    <w:p>
      <w:pPr>
        <w:pStyle w:val="Ednotesubsection"/>
      </w:pPr>
      <w:r>
        <w:tab/>
        <w:t>[(3)</w:t>
      </w:r>
      <w:r>
        <w:tab/>
        <w:t>deleted</w:t>
      </w:r>
    </w:p>
    <w:p>
      <w:pPr>
        <w:pStyle w:val="Subsection"/>
      </w:pPr>
      <w:r>
        <w:tab/>
        <w:t>(4)</w:t>
      </w:r>
      <w:r>
        <w:tab/>
        <w:t>The applicant must begin the required residence period within the take</w:t>
      </w:r>
      <w:r>
        <w:noBreakHyphen/>
        <w:t>up period.</w:t>
      </w:r>
    </w:p>
    <w:p>
      <w:pPr>
        <w:pStyle w:val="Subsection"/>
        <w:keepNext/>
      </w:pPr>
      <w:r>
        <w:lastRenderedPageBreak/>
        <w:tab/>
        <w:t>(5)</w:t>
      </w:r>
      <w:r>
        <w:tab/>
        <w:t xml:space="preserve">For the purposes of subsection (4) the </w:t>
      </w:r>
      <w:r>
        <w:rPr>
          <w:rStyle w:val="CharDefText"/>
        </w:rPr>
        <w:t>take</w:t>
      </w:r>
      <w:r>
        <w:rPr>
          <w:rStyle w:val="CharDefText"/>
        </w:rPr>
        <w:noBreakHyphen/>
        <w:t>up period</w:t>
      </w:r>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under subsection (6A)(b) in relation to the applicant, that longer period.</w:t>
      </w:r>
    </w:p>
    <w:p>
      <w:pPr>
        <w:pStyle w:val="Subsection"/>
      </w:pPr>
      <w:r>
        <w:tab/>
        <w:t>(6A)</w:t>
      </w:r>
      <w:r>
        <w:tab/>
        <w:t>The Commissioner —</w:t>
      </w:r>
    </w:p>
    <w:p>
      <w:pPr>
        <w:pStyle w:val="Indenta"/>
      </w:pPr>
      <w:r>
        <w:tab/>
        <w:t>(a)</w:t>
      </w:r>
      <w:r>
        <w:tab/>
        <w:t>may approve of the applicant complying with subsection (1) for a period of less than 6 months if, in the Commissioner’s opinion, there are good reasons why the applicant cannot comply with subsection (1) for a period of 6 months; and</w:t>
      </w:r>
    </w:p>
    <w:p>
      <w:pPr>
        <w:pStyle w:val="Indenta"/>
      </w:pPr>
      <w:r>
        <w:tab/>
        <w:t>(b)</w:t>
      </w:r>
      <w:r>
        <w:tab/>
        <w:t>may approve of the applicant complying with subsection (4) within a period of more than 12 months if, in the Commissioner’s opinion, there are good reasons why the applicant cannot comply with subsection (4) within a period of 12 months.</w:t>
      </w:r>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 and</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Subsection"/>
      </w:pPr>
      <w:r>
        <w:tab/>
        <w:t>(7)</w:t>
      </w:r>
      <w:r>
        <w:tab/>
        <w:t>The Commissioner may exercise a power under subsection (6A) or (6) at any time including at a time when the applicant has not complied with a residence requirement.</w:t>
      </w:r>
    </w:p>
    <w:p>
      <w:pPr>
        <w:pStyle w:val="Subsection"/>
      </w:pPr>
      <w:r>
        <w:tab/>
        <w:t>(8)</w:t>
      </w:r>
      <w:r>
        <w:tab/>
        <w:t>If the Commissioner exercises a power under subsection (6A), the required residence period or take</w:t>
      </w:r>
      <w:r>
        <w:noBreakHyphen/>
        <w:t>up period, as the case requires, is taken always to have been the period approved by the Commissioner.</w:t>
      </w:r>
    </w:p>
    <w:p>
      <w:pPr>
        <w:pStyle w:val="Subsection"/>
      </w:pPr>
      <w:r>
        <w:lastRenderedPageBreak/>
        <w:tab/>
        <w:t>(9)</w:t>
      </w:r>
      <w:r>
        <w:tab/>
        <w:t>If the Commissioner exercises a power under subsection (6), the applicant is taken always to have been exempt from the residence requirements.</w:t>
      </w:r>
    </w:p>
    <w:p>
      <w:pPr>
        <w:pStyle w:val="Footnotesection"/>
      </w:pPr>
      <w:r>
        <w:tab/>
        <w:t>[Section 13 inserted: No. 52 of 2004 s. 9; amended: No. 29 of 2012 s. 10.]</w:t>
      </w:r>
    </w:p>
    <w:p>
      <w:pPr>
        <w:pStyle w:val="Heading5"/>
      </w:pPr>
      <w:bookmarkStart w:id="31" w:name="_Toc100568115"/>
      <w:r>
        <w:rPr>
          <w:rStyle w:val="CharSectno"/>
        </w:rPr>
        <w:t>13A</w:t>
      </w:r>
      <w:r>
        <w:t>.</w:t>
      </w:r>
      <w:r>
        <w:tab/>
        <w:t>Criterion 6 — applicant must not have been convicted of an offence under this Act</w:t>
      </w:r>
      <w:bookmarkEnd w:id="31"/>
    </w:p>
    <w:p>
      <w:pPr>
        <w:pStyle w:val="Subsection"/>
      </w:pPr>
      <w:r>
        <w:tab/>
      </w:r>
      <w:r>
        <w:tab/>
        <w:t>An applicant is ineligible if the applicant has been convicted of an offence under this Act or a corresponding law.</w:t>
      </w:r>
    </w:p>
    <w:p>
      <w:pPr>
        <w:pStyle w:val="Footnotesection"/>
      </w:pPr>
      <w:r>
        <w:tab/>
        <w:t>[Section 13A inserted: No. 52 of 2004 s. 10.]</w:t>
      </w:r>
    </w:p>
    <w:p>
      <w:pPr>
        <w:pStyle w:val="Heading5"/>
      </w:pPr>
      <w:bookmarkStart w:id="32" w:name="_Toc100568116"/>
      <w:r>
        <w:rPr>
          <w:rStyle w:val="CharSectno"/>
        </w:rPr>
        <w:t>13B</w:t>
      </w:r>
      <w:r>
        <w:t>.</w:t>
      </w:r>
      <w:r>
        <w:tab/>
        <w:t>Criterion 7 — applicant must not hold relevant interest as trustee</w:t>
      </w:r>
      <w:bookmarkEnd w:id="32"/>
    </w:p>
    <w:p>
      <w:pPr>
        <w:pStyle w:val="Subsection"/>
      </w:pPr>
      <w:r>
        <w:tab/>
      </w:r>
      <w:r>
        <w:tab/>
        <w:t>An applicant is ineligible in relation to a transaction if the applicant owns or will, on completion of the transaction, own the home in circumstances where the applicant holds the relevant interest as a trustee.</w:t>
      </w:r>
    </w:p>
    <w:p>
      <w:pPr>
        <w:pStyle w:val="Footnotesection"/>
      </w:pPr>
      <w:r>
        <w:tab/>
        <w:t>[Section 13B inserted: No. 16 of 2017 s. 6.]</w:t>
      </w:r>
    </w:p>
    <w:p>
      <w:pPr>
        <w:pStyle w:val="Heading3"/>
      </w:pPr>
      <w:bookmarkStart w:id="33" w:name="_Toc100325819"/>
      <w:bookmarkStart w:id="34" w:name="_Toc100326194"/>
      <w:bookmarkStart w:id="35" w:name="_Toc100568117"/>
      <w:r>
        <w:rPr>
          <w:rStyle w:val="CharDivNo"/>
        </w:rPr>
        <w:t>Division 3</w:t>
      </w:r>
      <w:r>
        <w:t xml:space="preserve"> — </w:t>
      </w:r>
      <w:r>
        <w:rPr>
          <w:rStyle w:val="CharDivText"/>
        </w:rPr>
        <w:t>Eligible transactions</w:t>
      </w:r>
      <w:bookmarkEnd w:id="33"/>
      <w:bookmarkEnd w:id="34"/>
      <w:bookmarkEnd w:id="35"/>
    </w:p>
    <w:p>
      <w:pPr>
        <w:pStyle w:val="Heading4"/>
      </w:pPr>
      <w:bookmarkStart w:id="36" w:name="_Toc100325820"/>
      <w:bookmarkStart w:id="37" w:name="_Toc100326195"/>
      <w:bookmarkStart w:id="38" w:name="_Toc100568118"/>
      <w:r>
        <w:t>Subdivision 1 — Eligible transactions</w:t>
      </w:r>
      <w:bookmarkEnd w:id="36"/>
      <w:bookmarkEnd w:id="37"/>
      <w:bookmarkEnd w:id="38"/>
    </w:p>
    <w:p>
      <w:pPr>
        <w:pStyle w:val="Footnoteheading"/>
      </w:pPr>
      <w:r>
        <w:tab/>
        <w:t>[Heading inserted: No. 14 of 2001 s. 4.]</w:t>
      </w:r>
    </w:p>
    <w:p>
      <w:pPr>
        <w:pStyle w:val="Heading5"/>
      </w:pPr>
      <w:bookmarkStart w:id="39" w:name="_Toc100568119"/>
      <w:r>
        <w:rPr>
          <w:rStyle w:val="CharSectno"/>
        </w:rPr>
        <w:t>14</w:t>
      </w:r>
      <w:r>
        <w:t>.</w:t>
      </w:r>
      <w:r>
        <w:tab/>
        <w:t>Eligible transaction</w:t>
      </w:r>
      <w:bookmarkEnd w:id="39"/>
    </w:p>
    <w:p>
      <w:pPr>
        <w:pStyle w:val="Subsection"/>
      </w:pPr>
      <w:r>
        <w:tab/>
        <w:t>(1)</w:t>
      </w:r>
      <w:r>
        <w:tab/>
        <w:t xml:space="preserve">An </w:t>
      </w:r>
      <w:r>
        <w:rPr>
          <w:rStyle w:val="CharDefText"/>
        </w:rPr>
        <w:t>eligible transaction</w:t>
      </w:r>
      <w:r>
        <w:t xml:space="preserve"> is a transaction — </w:t>
      </w:r>
    </w:p>
    <w:p>
      <w:pPr>
        <w:pStyle w:val="Indenta"/>
      </w:pPr>
      <w:r>
        <w:tab/>
        <w:t>(a)</w:t>
      </w:r>
      <w:r>
        <w:tab/>
        <w:t>with a commencement date on or after 1 July 2000; and</w:t>
      </w:r>
    </w:p>
    <w:p>
      <w:pPr>
        <w:pStyle w:val="Indenta"/>
      </w:pPr>
      <w:r>
        <w:tab/>
        <w:t>(b)</w:t>
      </w:r>
      <w:r>
        <w:tab/>
        <w:t xml:space="preserve">that has a total value that is less than or equal to any cap amount that applies — </w:t>
      </w:r>
    </w:p>
    <w:p>
      <w:pPr>
        <w:pStyle w:val="Indenti"/>
      </w:pPr>
      <w:r>
        <w:tab/>
        <w:t>(i)</w:t>
      </w:r>
      <w:r>
        <w:tab/>
        <w:t>in the case of a contract — on the commencement date; or</w:t>
      </w:r>
    </w:p>
    <w:p>
      <w:pPr>
        <w:pStyle w:val="Indenti"/>
      </w:pPr>
      <w:r>
        <w:lastRenderedPageBreak/>
        <w:tab/>
        <w:t>(ii)</w:t>
      </w:r>
      <w:r>
        <w:tab/>
        <w:t>in the case of the building of a home by an owner builder — on the date the transaction is completed.</w:t>
      </w:r>
    </w:p>
    <w:p>
      <w:pPr>
        <w:pStyle w:val="Subsection"/>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pPr>
        <w:pStyle w:val="Subsection"/>
      </w:pPr>
      <w:r>
        <w:tab/>
        <w:t>(5A)</w:t>
      </w:r>
      <w:r>
        <w:tab/>
        <w:t xml:space="preserve">A contract is not an eligible transaction if — </w:t>
      </w:r>
    </w:p>
    <w:p>
      <w:pPr>
        <w:pStyle w:val="Indenta"/>
      </w:pPr>
      <w:r>
        <w:tab/>
        <w:t>(a)</w:t>
      </w:r>
      <w:r>
        <w:tab/>
        <w:t>it is for the purchase of an established home; and</w:t>
      </w:r>
    </w:p>
    <w:p>
      <w:pPr>
        <w:pStyle w:val="Indenta"/>
      </w:pPr>
      <w:r>
        <w:tab/>
        <w:t>(b)</w:t>
      </w:r>
      <w:r>
        <w:tab/>
        <w:t xml:space="preserve">it has a commencement date on or after the day on which the </w:t>
      </w:r>
      <w:r>
        <w:rPr>
          <w:i/>
        </w:rPr>
        <w:t>Revenue Laws Amendment Act 2015</w:t>
      </w:r>
      <w:r>
        <w:t xml:space="preserve"> Part 2 Division 1 comes into operation.</w:t>
      </w:r>
    </w:p>
    <w:p>
      <w:pPr>
        <w:pStyle w:val="Subsection"/>
        <w:keepNext/>
      </w:pPr>
      <w:r>
        <w:tab/>
        <w:t>(5)</w:t>
      </w:r>
      <w:r>
        <w:tab/>
        <w:t xml:space="preserve">If the commencement date of the building of a home by an owner builder is before the date the </w:t>
      </w:r>
      <w:r>
        <w:rPr>
          <w:i/>
          <w:snapToGrid w:val="0"/>
        </w:rPr>
        <w:t xml:space="preserve">First Home Owner Grant Amendment Act 2009 </w:t>
      </w:r>
      <w:r>
        <w:rPr>
          <w:iCs/>
          <w:snapToGrid w:val="0"/>
        </w:rPr>
        <w:t>section 9 comes into operation no cap amount applies to the transaction</w:t>
      </w:r>
      <w:r>
        <w:t>.</w:t>
      </w:r>
    </w:p>
    <w:p>
      <w:pPr>
        <w:pStyle w:val="Footnotesection"/>
      </w:pPr>
      <w:r>
        <w:tab/>
        <w:t>[Section 14 amended: No. 27 of 2009 s. 9; No. 27 of 2015 s. 5.]</w:t>
      </w:r>
    </w:p>
    <w:p>
      <w:pPr>
        <w:pStyle w:val="Heading5"/>
      </w:pPr>
      <w:bookmarkStart w:id="40" w:name="_Toc100568120"/>
      <w:r>
        <w:rPr>
          <w:rStyle w:val="CharSectno"/>
        </w:rPr>
        <w:lastRenderedPageBreak/>
        <w:t>14AA</w:t>
      </w:r>
      <w:r>
        <w:t>.</w:t>
      </w:r>
      <w:r>
        <w:tab/>
        <w:t>Commencement and completion of transaction</w:t>
      </w:r>
      <w:bookmarkEnd w:id="40"/>
    </w:p>
    <w:p>
      <w:pPr>
        <w:pStyle w:val="Subsection"/>
        <w:spacing w:before="120"/>
        <w:rPr>
          <w:snapToGrid w:val="0"/>
        </w:rPr>
      </w:pPr>
      <w:r>
        <w:tab/>
        <w:t>(1)</w:t>
      </w:r>
      <w:r>
        <w:tab/>
        <w:t xml:space="preserve">The </w:t>
      </w:r>
      <w:r>
        <w:rPr>
          <w:rStyle w:val="CharDefText"/>
        </w:rPr>
        <w:t>commencement date</w:t>
      </w:r>
      <w:r>
        <w:t xml:space="preserve"> of</w:t>
      </w:r>
      <w:r>
        <w:rPr>
          <w:snapToGrid w:val="0"/>
        </w:rPr>
        <w:t xml:space="preserve"> a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spacing w:before="120"/>
        <w:rPr>
          <w:snapToGrid w:val="0"/>
        </w:rPr>
      </w:pPr>
      <w:r>
        <w:rPr>
          <w:snapToGrid w:val="0"/>
        </w:rPr>
        <w:tab/>
        <w:t>(2)</w:t>
      </w:r>
      <w:r>
        <w:rPr>
          <w:snapToGrid w:val="0"/>
        </w:rPr>
        <w:tab/>
      </w:r>
      <w:r>
        <w:t xml:space="preserve">Subject to </w:t>
      </w:r>
      <w:r>
        <w:rPr>
          <w:snapToGrid w:val="0"/>
        </w:rPr>
        <w:t xml:space="preserve">any qualifications prescribed by the regulations, a transaction is </w:t>
      </w:r>
      <w:r>
        <w:rPr>
          <w:rStyle w:val="CharDefText"/>
        </w:rPr>
        <w:t>completed</w:t>
      </w:r>
      <w:r>
        <w:rPr>
          <w:snapToGrid w:val="0"/>
        </w:rPr>
        <w:t xml:space="preserve"> when — </w:t>
      </w:r>
    </w:p>
    <w:p>
      <w:pPr>
        <w:pStyle w:val="Indenta"/>
      </w:pPr>
      <w:r>
        <w:tab/>
        <w:t>(a)</w:t>
      </w:r>
      <w:r>
        <w:tab/>
        <w:t>in the case of a contract for the purchase of a home — the purchaser acquires the relevant interest in land on which the home is built; or</w:t>
      </w:r>
    </w:p>
    <w:p>
      <w:pPr>
        <w:pStyle w:val="Indenta"/>
        <w:rPr>
          <w:snapToGrid w:val="0"/>
        </w:rPr>
      </w:pPr>
      <w:r>
        <w:rPr>
          <w:snapToGrid w:val="0"/>
        </w:rPr>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keepNext/>
        <w:spacing w:before="120"/>
        <w:rPr>
          <w:snapToGrid w:val="0"/>
        </w:rPr>
      </w:pPr>
      <w:r>
        <w:rPr>
          <w:snapToGrid w:val="0"/>
        </w:rPr>
        <w:tab/>
        <w:t>(3)</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 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keepNext/>
        <w:keepLines/>
        <w:rPr>
          <w:snapToGrid w:val="0"/>
        </w:rPr>
      </w:pPr>
      <w:r>
        <w:rPr>
          <w:snapToGrid w:val="0"/>
        </w:rPr>
        <w:lastRenderedPageBreak/>
        <w:tab/>
        <w:t>(c)</w:t>
      </w:r>
      <w:r>
        <w:rPr>
          <w:snapToGrid w:val="0"/>
        </w:rPr>
        <w:tab/>
        <w:t>the transaction is taken to be completed when the movable building is ready for occupation as a place of residence on land in which the purchaser has a relevant interest.</w:t>
      </w:r>
    </w:p>
    <w:p>
      <w:pPr>
        <w:pStyle w:val="Footnotesection"/>
      </w:pPr>
      <w:r>
        <w:tab/>
        <w:t>[Section 14AA inserted: No. 27 of 2009 s. 10; amended: No. 27 of 2015 s. 6; No. 16 of 2017 s. 7.]</w:t>
      </w:r>
    </w:p>
    <w:p>
      <w:pPr>
        <w:pStyle w:val="Heading5"/>
        <w:keepNext w:val="0"/>
      </w:pPr>
      <w:bookmarkStart w:id="41" w:name="_Toc100568121"/>
      <w:r>
        <w:rPr>
          <w:rStyle w:val="CharSectno"/>
        </w:rPr>
        <w:t>14AB</w:t>
      </w:r>
      <w:r>
        <w:t>.</w:t>
      </w:r>
      <w:r>
        <w:tab/>
        <w:t>Term used: consideration</w:t>
      </w:r>
      <w:bookmarkEnd w:id="41"/>
      <w:r>
        <w:t xml:space="preserve"> </w:t>
      </w:r>
    </w:p>
    <w:p>
      <w:pPr>
        <w:pStyle w:val="Subsection"/>
        <w:rPr>
          <w:snapToGrid w:val="0"/>
        </w:rPr>
      </w:pPr>
      <w:r>
        <w:rPr>
          <w:snapToGrid w:val="0"/>
        </w:rPr>
        <w:tab/>
      </w:r>
      <w:r>
        <w:rPr>
          <w:snapToGrid w:val="0"/>
        </w:rPr>
        <w:tab/>
        <w:t xml:space="preserve">The </w:t>
      </w:r>
      <w:r>
        <w:rPr>
          <w:rStyle w:val="CharDefText"/>
        </w:rPr>
        <w:t>consideration</w:t>
      </w:r>
      <w:r>
        <w:rPr>
          <w:b/>
          <w:snapToGrid w:val="0"/>
        </w:rPr>
        <w:t xml:space="preserve"> </w:t>
      </w:r>
      <w:r>
        <w:rPr>
          <w:snapToGrid w:val="0"/>
        </w:rPr>
        <w:t xml:space="preserve">for a transaction is — </w:t>
      </w:r>
    </w:p>
    <w:p>
      <w:pPr>
        <w:pStyle w:val="Indenta"/>
        <w:rPr>
          <w:snapToGrid w:val="0"/>
        </w:rPr>
      </w:pPr>
      <w:r>
        <w:rPr>
          <w:snapToGrid w:val="0"/>
        </w:rPr>
        <w:tab/>
        <w:t>(a)</w:t>
      </w:r>
      <w:r>
        <w:rPr>
          <w:snapToGrid w:val="0"/>
        </w:rPr>
        <w:tab/>
        <w:t>in the case of a contract for the purchase of a home — the consideration for the purchase; or</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Footnotesection"/>
      </w:pPr>
      <w:r>
        <w:tab/>
        <w:t>[Section 14AB inserted: No. 27 of 2009 s. 10.]</w:t>
      </w:r>
    </w:p>
    <w:p>
      <w:pPr>
        <w:pStyle w:val="Heading5"/>
        <w:keepNext w:val="0"/>
      </w:pPr>
      <w:bookmarkStart w:id="42" w:name="_Toc100568122"/>
      <w:r>
        <w:rPr>
          <w:rStyle w:val="CharSectno"/>
        </w:rPr>
        <w:t>14AC</w:t>
      </w:r>
      <w:r>
        <w:t>.</w:t>
      </w:r>
      <w:r>
        <w:tab/>
        <w:t>Term used: total value</w:t>
      </w:r>
      <w:bookmarkEnd w:id="42"/>
      <w:r>
        <w:t xml:space="preserve"> </w:t>
      </w:r>
    </w:p>
    <w:p>
      <w:pPr>
        <w:pStyle w:val="Subsection"/>
      </w:pPr>
      <w:r>
        <w:tab/>
        <w:t>(1)</w:t>
      </w:r>
      <w:r>
        <w:tab/>
        <w:t xml:space="preserve">The </w:t>
      </w:r>
      <w:r>
        <w:rPr>
          <w:rStyle w:val="CharDefText"/>
        </w:rPr>
        <w:t>total value</w:t>
      </w:r>
      <w:r>
        <w:t xml:space="preserve"> of a transaction is — </w:t>
      </w:r>
    </w:p>
    <w:p>
      <w:pPr>
        <w:pStyle w:val="Indenta"/>
      </w:pPr>
      <w:r>
        <w:tab/>
        <w:t>(a)</w:t>
      </w:r>
      <w:r>
        <w:tab/>
        <w:t xml:space="preserve">in the case of a contract for the purchase of a home, the greater of — </w:t>
      </w:r>
    </w:p>
    <w:p>
      <w:pPr>
        <w:pStyle w:val="Indenti"/>
      </w:pPr>
      <w:r>
        <w:tab/>
        <w:t>(i)</w:t>
      </w:r>
      <w:r>
        <w:tab/>
        <w:t>the consideration for the transaction; and</w:t>
      </w:r>
    </w:p>
    <w:p>
      <w:pPr>
        <w:pStyle w:val="Indenti"/>
      </w:pPr>
      <w:r>
        <w:tab/>
        <w:t>(ii)</w:t>
      </w:r>
      <w:r>
        <w:tab/>
        <w:t>the unencumbered value, at the commencement date, of the property the subject of the transaction;</w:t>
      </w:r>
    </w:p>
    <w:p>
      <w:pPr>
        <w:pStyle w:val="Indenta"/>
      </w:pPr>
      <w:r>
        <w:tab/>
      </w:r>
      <w:r>
        <w:tab/>
        <w:t>or</w:t>
      </w:r>
    </w:p>
    <w:p>
      <w:pPr>
        <w:pStyle w:val="Indenta"/>
        <w:keepNext/>
      </w:pPr>
      <w:r>
        <w:tab/>
        <w:t>(b)</w:t>
      </w:r>
      <w:r>
        <w:tab/>
        <w:t xml:space="preserve">in the case of a comprehensive home building contract, the amount calculated by adding — </w:t>
      </w:r>
    </w:p>
    <w:p>
      <w:pPr>
        <w:pStyle w:val="Indenti"/>
      </w:pPr>
      <w:r>
        <w:tab/>
        <w:t>(i)</w:t>
      </w:r>
      <w:r>
        <w:tab/>
        <w:t>the consideration for the transaction; and</w:t>
      </w:r>
    </w:p>
    <w:p>
      <w:pPr>
        <w:pStyle w:val="Indenti"/>
      </w:pPr>
      <w:r>
        <w:lastRenderedPageBreak/>
        <w:tab/>
        <w:t>(ii)</w:t>
      </w:r>
      <w:r>
        <w:tab/>
        <w:t>the value, at the commencement date, of the relevant interest in the land on which the home is to be built;</w:t>
      </w:r>
    </w:p>
    <w:p>
      <w:pPr>
        <w:pStyle w:val="Indenta"/>
      </w:pPr>
      <w:r>
        <w:tab/>
      </w:r>
      <w:r>
        <w:tab/>
        <w:t>or</w:t>
      </w:r>
    </w:p>
    <w:p>
      <w:pPr>
        <w:pStyle w:val="Indenta"/>
      </w:pPr>
      <w:r>
        <w:tab/>
        <w:t>(c)</w:t>
      </w:r>
      <w:r>
        <w:tab/>
        <w:t xml:space="preserve">in the case of the building of a home by an owner builder, the amount calculated by adding — </w:t>
      </w:r>
    </w:p>
    <w:p>
      <w:pPr>
        <w:pStyle w:val="Indenti"/>
      </w:pPr>
      <w:r>
        <w:tab/>
        <w:t>(i)</w:t>
      </w:r>
      <w:r>
        <w:tab/>
        <w:t>the unencumbered value, at the date the transaction is completed, of the home; and</w:t>
      </w:r>
    </w:p>
    <w:p>
      <w:pPr>
        <w:pStyle w:val="Indenti"/>
      </w:pPr>
      <w:r>
        <w:tab/>
        <w:t>(ii)</w:t>
      </w:r>
      <w:r>
        <w:tab/>
        <w:t>the value, at the date the transaction is completed, of the relevant interest in the land on which the home is built.</w:t>
      </w:r>
    </w:p>
    <w:p>
      <w:pPr>
        <w:pStyle w:val="Subsection"/>
      </w:pPr>
      <w:r>
        <w:tab/>
        <w:t>(2)</w:t>
      </w:r>
      <w:r>
        <w:tab/>
        <w:t xml:space="preserve">For the purposes of subsections (1)(b)(ii) and (1)(c)(ii) the value of a relevant interest in land is the greater of — </w:t>
      </w:r>
    </w:p>
    <w:p>
      <w:pPr>
        <w:pStyle w:val="Indenta"/>
      </w:pPr>
      <w:r>
        <w:tab/>
        <w:t>(a)</w:t>
      </w:r>
      <w:r>
        <w:tab/>
        <w:t>the consideration paid for the interest; and</w:t>
      </w:r>
    </w:p>
    <w:p>
      <w:pPr>
        <w:pStyle w:val="Indenta"/>
      </w:pPr>
      <w:r>
        <w:tab/>
        <w:t>(b)</w:t>
      </w:r>
      <w:r>
        <w:tab/>
        <w:t>the unencumbered value of the interest.</w:t>
      </w:r>
    </w:p>
    <w:p>
      <w:pPr>
        <w:pStyle w:val="Footnotesection"/>
      </w:pPr>
      <w:r>
        <w:tab/>
        <w:t>[Section 14AC inserted: No. 27 of 2009 s. 10.]</w:t>
      </w:r>
    </w:p>
    <w:p>
      <w:pPr>
        <w:pStyle w:val="Heading5"/>
        <w:keepNext w:val="0"/>
      </w:pPr>
      <w:bookmarkStart w:id="43" w:name="_Toc100568123"/>
      <w:r>
        <w:rPr>
          <w:rStyle w:val="CharSectno"/>
        </w:rPr>
        <w:t>14AD</w:t>
      </w:r>
      <w:r>
        <w:t>.</w:t>
      </w:r>
      <w:r>
        <w:tab/>
        <w:t>Term used: cap amount</w:t>
      </w:r>
      <w:bookmarkEnd w:id="43"/>
      <w:r>
        <w:t xml:space="preserve"> </w:t>
      </w:r>
    </w:p>
    <w:p>
      <w:pPr>
        <w:pStyle w:val="Subsection"/>
      </w:pPr>
      <w:r>
        <w:tab/>
      </w:r>
      <w:r>
        <w:tab/>
        <w:t xml:space="preserve">The </w:t>
      </w:r>
      <w:r>
        <w:rPr>
          <w:rStyle w:val="CharDefText"/>
        </w:rPr>
        <w:t>cap amount</w:t>
      </w:r>
      <w:r>
        <w:t xml:space="preserve"> that applies in respect of a transaction is — </w:t>
      </w:r>
    </w:p>
    <w:p>
      <w:pPr>
        <w:pStyle w:val="Indenta"/>
      </w:pPr>
      <w:r>
        <w:tab/>
        <w:t>(a)</w:t>
      </w:r>
      <w:r>
        <w:tab/>
        <w:t>in relation to a home south of the 26</w:t>
      </w:r>
      <w:r>
        <w:rPr>
          <w:vertAlign w:val="superscript"/>
        </w:rPr>
        <w:t>th</w:t>
      </w:r>
      <w:r>
        <w:t xml:space="preserve"> parallel of South Latitude, $750 000; or</w:t>
      </w:r>
    </w:p>
    <w:p>
      <w:pPr>
        <w:pStyle w:val="Indenta"/>
      </w:pPr>
      <w:r>
        <w:tab/>
        <w:t>(b)</w:t>
      </w:r>
      <w:r>
        <w:tab/>
        <w:t>in relation to a home north of the 26</w:t>
      </w:r>
      <w:r>
        <w:rPr>
          <w:vertAlign w:val="superscript"/>
        </w:rPr>
        <w:t>th</w:t>
      </w:r>
      <w:r>
        <w:t xml:space="preserve"> parallel of South Latitude, $1 000 000,</w:t>
      </w:r>
    </w:p>
    <w:p>
      <w:pPr>
        <w:pStyle w:val="Subsection"/>
      </w:pPr>
      <w:r>
        <w:tab/>
      </w:r>
      <w:r>
        <w:tab/>
        <w:t xml:space="preserve">except that the regulations may prescribe another amount as the cap amount for the purposes of paragraph (a) or (b). </w:t>
      </w:r>
    </w:p>
    <w:p>
      <w:pPr>
        <w:pStyle w:val="Footnotesection"/>
      </w:pPr>
      <w:r>
        <w:tab/>
        <w:t>[Section 14AD inserted: No. 27 of 2009 s. 10.]</w:t>
      </w:r>
    </w:p>
    <w:p>
      <w:pPr>
        <w:pStyle w:val="Heading5"/>
      </w:pPr>
      <w:bookmarkStart w:id="44" w:name="_Toc100568124"/>
      <w:r>
        <w:rPr>
          <w:rStyle w:val="CharSectno"/>
        </w:rPr>
        <w:t>14AE</w:t>
      </w:r>
      <w:r>
        <w:t>.</w:t>
      </w:r>
      <w:r>
        <w:tab/>
        <w:t>Term used: unencumbered value</w:t>
      </w:r>
      <w:bookmarkEnd w:id="44"/>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lastRenderedPageBreak/>
        <w:tab/>
        <w:t>(b)</w:t>
      </w:r>
      <w:r>
        <w:tab/>
        <w:t xml:space="preserve">any arrangement — </w:t>
      </w:r>
    </w:p>
    <w:p>
      <w:pPr>
        <w:pStyle w:val="Indenti"/>
      </w:pPr>
      <w:r>
        <w:tab/>
        <w:t>(i)</w:t>
      </w:r>
      <w:r>
        <w:tab/>
        <w:t>the parties to which are not dealing with each other at arm’s length; and</w:t>
      </w:r>
    </w:p>
    <w:p>
      <w:pPr>
        <w:pStyle w:val="Indenti"/>
      </w:pPr>
      <w:r>
        <w:tab/>
        <w:t>(ii)</w:t>
      </w:r>
      <w:r>
        <w:tab/>
        <w:t>that results in the reduction of the value of the property;</w:t>
      </w:r>
    </w:p>
    <w:p>
      <w:pPr>
        <w:pStyle w:val="Indenta"/>
      </w:pPr>
      <w:r>
        <w:tab/>
      </w:r>
      <w:r>
        <w:tab/>
        <w:t>or</w:t>
      </w:r>
    </w:p>
    <w:p>
      <w:pPr>
        <w:pStyle w:val="Indenta"/>
      </w:pPr>
      <w:r>
        <w:tab/>
        <w:t>(c)</w:t>
      </w:r>
      <w:r>
        <w:tab/>
        <w:t>any scheme or arrangement for which a significant purpose of any party to the scheme or arrangement was, in the opinion of the Commissioner, the reduction of the value of the property; or</w:t>
      </w:r>
    </w:p>
    <w:p>
      <w:pPr>
        <w:pStyle w:val="Indenta"/>
      </w:pPr>
      <w:r>
        <w:tab/>
        <w:t>(d)</w:t>
      </w:r>
      <w:r>
        <w:tab/>
        <w:t>where the property is held by a person on trust as guardian for another person who is under a legal disability — the liabilities of the trust, including the liability to indemnify the trustee.</w:t>
      </w:r>
    </w:p>
    <w:p>
      <w:pPr>
        <w:pStyle w:val="Subsection"/>
        <w:keepNext/>
      </w:pPr>
      <w:r>
        <w:tab/>
        <w:t>(2)</w:t>
      </w:r>
      <w:r>
        <w:tab/>
        <w:t xml:space="preserve">For the purposes of subsection (1)(c), the Commissioner may have regard to — </w:t>
      </w:r>
    </w:p>
    <w:p>
      <w:pPr>
        <w:pStyle w:val="Indenta"/>
      </w:pPr>
      <w:r>
        <w:tab/>
        <w:t>(a)</w:t>
      </w:r>
      <w:r>
        <w:tab/>
        <w:t>the duration of the scheme or arrangement before the commencement date of the transaction to which the property relates; and</w:t>
      </w:r>
    </w:p>
    <w:p>
      <w:pPr>
        <w:pStyle w:val="Indenta"/>
      </w:pPr>
      <w:r>
        <w:tab/>
        <w:t>(b)</w:t>
      </w:r>
      <w:r>
        <w:tab/>
        <w:t>whether there is any commercial efficacy to the making of the scheme or arrangement other than to reduce the value of the property; and</w:t>
      </w:r>
    </w:p>
    <w:p>
      <w:pPr>
        <w:pStyle w:val="Indenta"/>
      </w:pPr>
      <w:r>
        <w:tab/>
        <w:t>(c)</w:t>
      </w:r>
      <w:r>
        <w:tab/>
        <w:t>any other matters the Commissioner considers relevant.</w:t>
      </w:r>
    </w:p>
    <w:p>
      <w:pPr>
        <w:pStyle w:val="Footnotesection"/>
      </w:pPr>
      <w:r>
        <w:tab/>
        <w:t>[Section 14AE inserted: No. 27 of 2009 s. 10.]</w:t>
      </w:r>
    </w:p>
    <w:p>
      <w:pPr>
        <w:pStyle w:val="Heading4"/>
        <w:keepLines/>
      </w:pPr>
      <w:bookmarkStart w:id="45" w:name="_Toc100325827"/>
      <w:bookmarkStart w:id="46" w:name="_Toc100326202"/>
      <w:bookmarkStart w:id="47" w:name="_Toc100568125"/>
      <w:r>
        <w:t>Subdivision 2 — Special eligible transactions</w:t>
      </w:r>
      <w:bookmarkEnd w:id="45"/>
      <w:bookmarkEnd w:id="46"/>
      <w:bookmarkEnd w:id="47"/>
    </w:p>
    <w:p>
      <w:pPr>
        <w:pStyle w:val="Footnoteheading"/>
        <w:keepNext/>
        <w:keepLines/>
      </w:pPr>
      <w:r>
        <w:tab/>
        <w:t>[Heading inserted: No. 14 of 2001 s. 5.]</w:t>
      </w:r>
    </w:p>
    <w:p>
      <w:pPr>
        <w:pStyle w:val="Heading5"/>
      </w:pPr>
      <w:bookmarkStart w:id="48" w:name="_Toc100568126"/>
      <w:r>
        <w:rPr>
          <w:rStyle w:val="CharSectno"/>
        </w:rPr>
        <w:t>14A</w:t>
      </w:r>
      <w:r>
        <w:t>.</w:t>
      </w:r>
      <w:r>
        <w:tab/>
        <w:t>Terms used</w:t>
      </w:r>
      <w:bookmarkEnd w:id="48"/>
    </w:p>
    <w:p>
      <w:pPr>
        <w:pStyle w:val="Subsection"/>
      </w:pPr>
      <w:r>
        <w:tab/>
      </w:r>
      <w:r>
        <w:tab/>
        <w:t xml:space="preserve">In this Subdivision — </w:t>
      </w:r>
    </w:p>
    <w:p>
      <w:pPr>
        <w:pStyle w:val="Defstart"/>
      </w:pPr>
      <w:r>
        <w:tab/>
      </w:r>
      <w:r>
        <w:rPr>
          <w:rStyle w:val="CharDefText"/>
        </w:rPr>
        <w:t>cut</w:t>
      </w:r>
      <w:r>
        <w:rPr>
          <w:rStyle w:val="CharDefText"/>
        </w:rPr>
        <w:noBreakHyphen/>
        <w:t>off date</w:t>
      </w:r>
      <w:r>
        <w:t xml:space="preserve">, of a special eligible transaction that is a class 6 or class 7 eligible transaction, means whichever is the later of — </w:t>
      </w:r>
    </w:p>
    <w:p>
      <w:pPr>
        <w:pStyle w:val="Defpara"/>
      </w:pPr>
      <w:r>
        <w:tab/>
        <w:t>(a)</w:t>
      </w:r>
      <w:r>
        <w:tab/>
        <w:t>31 December 2009; or</w:t>
      </w:r>
    </w:p>
    <w:p>
      <w:pPr>
        <w:pStyle w:val="Defpara"/>
      </w:pPr>
      <w:r>
        <w:lastRenderedPageBreak/>
        <w:tab/>
        <w:t>(b)</w:t>
      </w:r>
      <w:r>
        <w:tab/>
        <w:t>such date, if any, as is prescribed for the purposes of this definition;</w:t>
      </w:r>
    </w:p>
    <w:p>
      <w:pPr>
        <w:pStyle w:val="Defstart"/>
        <w:keepNext/>
      </w:pPr>
      <w:r>
        <w:tab/>
      </w:r>
      <w:r>
        <w:rPr>
          <w:rStyle w:val="CharDefText"/>
        </w:rPr>
        <w:t>relevant date</w:t>
      </w:r>
      <w:r>
        <w:t xml:space="preserve"> of a special eligible transaction means — </w:t>
      </w:r>
    </w:p>
    <w:p>
      <w:pPr>
        <w:pStyle w:val="Defpara"/>
      </w:pPr>
      <w:r>
        <w:tab/>
        <w:t>(a)</w:t>
      </w:r>
      <w:r>
        <w:tab/>
        <w:t>in relation to a class 1 eligible transaction — 1 May 2003; or</w:t>
      </w:r>
    </w:p>
    <w:p>
      <w:pPr>
        <w:pStyle w:val="Defpara"/>
      </w:pPr>
      <w:r>
        <w:tab/>
        <w:t>(b)</w:t>
      </w:r>
      <w:r>
        <w:tab/>
        <w:t>in relation to a class 2 eligible transaction — 1 January 2004; or</w:t>
      </w:r>
    </w:p>
    <w:p>
      <w:pPr>
        <w:pStyle w:val="Defpara"/>
      </w:pPr>
      <w:r>
        <w:tab/>
        <w:t>(c)</w:t>
      </w:r>
      <w:r>
        <w:tab/>
        <w:t>in relation to a class 3 eligible transaction — 1 July 2004; or</w:t>
      </w:r>
    </w:p>
    <w:p>
      <w:pPr>
        <w:pStyle w:val="Defpara"/>
      </w:pPr>
      <w:r>
        <w:tab/>
        <w:t>(da)</w:t>
      </w:r>
      <w:r>
        <w:tab/>
        <w:t>in relation to a class 5 eligible transaction — 1 April 2011; or</w:t>
      </w:r>
    </w:p>
    <w:p>
      <w:pPr>
        <w:pStyle w:val="Defpara"/>
      </w:pPr>
      <w:r>
        <w:tab/>
        <w:t>(d)</w:t>
      </w:r>
      <w:r>
        <w:tab/>
        <w:t>in relation to a class 7 eligible transaction — the date that is 18 months after the cut</w:t>
      </w:r>
      <w:r>
        <w:noBreakHyphen/>
        <w:t xml:space="preserve">off date applicable at the commencement date of the eligible transaction; or </w:t>
      </w:r>
    </w:p>
    <w:p>
      <w:pPr>
        <w:pStyle w:val="Defpara"/>
      </w:pPr>
      <w:r>
        <w:tab/>
        <w:t>(e)</w:t>
      </w:r>
      <w:r>
        <w:tab/>
        <w:t>in relation to a class 8 eligible transaction — 1 July 2019;</w:t>
      </w:r>
    </w:p>
    <w:p>
      <w:pPr>
        <w:pStyle w:val="Defstart"/>
      </w:pPr>
      <w:r>
        <w:tab/>
      </w:r>
      <w:r>
        <w:rPr>
          <w:rStyle w:val="CharDefText"/>
        </w:rPr>
        <w:t>special eligible transaction</w:t>
      </w:r>
      <w:r>
        <w:t xml:space="preserve"> means an eligible transaction of a class referred to in section 14B.</w:t>
      </w:r>
    </w:p>
    <w:p>
      <w:pPr>
        <w:pStyle w:val="Footnotesection"/>
      </w:pPr>
      <w:r>
        <w:tab/>
        <w:t>[Section 14A inserted: No. 27 of 2009 s. 4; amended: No. 10 of 2013 s. 42; No. 16 of 2017 s. 8.]</w:t>
      </w:r>
    </w:p>
    <w:p>
      <w:pPr>
        <w:pStyle w:val="Heading5"/>
        <w:spacing w:before="200"/>
      </w:pPr>
      <w:bookmarkStart w:id="49" w:name="_Toc100568127"/>
      <w:r>
        <w:rPr>
          <w:rStyle w:val="CharSectno"/>
        </w:rPr>
        <w:t>14B</w:t>
      </w:r>
      <w:r>
        <w:t>.</w:t>
      </w:r>
      <w:r>
        <w:tab/>
        <w:t>Special eligible transactions</w:t>
      </w:r>
      <w:bookmarkEnd w:id="49"/>
    </w:p>
    <w:p>
      <w:pPr>
        <w:pStyle w:val="Subsection"/>
      </w:pPr>
      <w:r>
        <w:tab/>
        <w:t>(1)</w:t>
      </w:r>
      <w:r>
        <w:tab/>
      </w:r>
      <w:r>
        <w:rPr>
          <w:spacing w:val="-4"/>
        </w:rPr>
        <w:t xml:space="preserve">A </w:t>
      </w:r>
      <w:r>
        <w:rPr>
          <w:rStyle w:val="CharDefText"/>
        </w:rPr>
        <w:t>class 1 eligible transaction</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 xml:space="preserve">the building work begins within 16 weeks after the commencement date, or any longer period that the Commissioner allows for delay caused </w:t>
      </w:r>
      <w:r>
        <w:lastRenderedPageBreak/>
        <w:t>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spacing w:before="120"/>
      </w:pPr>
      <w:r>
        <w:tab/>
        <w:t>(1a)</w:t>
      </w:r>
      <w:r>
        <w:tab/>
        <w:t xml:space="preserve">A </w:t>
      </w:r>
      <w:r>
        <w:rPr>
          <w:rStyle w:val="CharDefText"/>
        </w:rPr>
        <w:t>class 2 eligible transaction</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lastRenderedPageBreak/>
        <w:tab/>
        <w:t>(1b)</w:t>
      </w:r>
      <w:r>
        <w:tab/>
        <w:t xml:space="preserve">A </w:t>
      </w:r>
      <w:r>
        <w:rPr>
          <w:rStyle w:val="CharDefText"/>
        </w:rPr>
        <w:t>class 3 eligible transaction</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spacing w:before="120"/>
      </w:pPr>
      <w:r>
        <w:tab/>
        <w:t>(2)</w:t>
      </w:r>
      <w:r>
        <w:tab/>
        <w:t xml:space="preserve">A </w:t>
      </w:r>
      <w:r>
        <w:rPr>
          <w:rStyle w:val="CharDefText"/>
          <w:bCs/>
          <w:iCs/>
        </w:rPr>
        <w:t xml:space="preserve">class 4 </w:t>
      </w:r>
      <w:r>
        <w:rPr>
          <w:rStyle w:val="CharDefText"/>
        </w:rPr>
        <w:t>eligible transaction</w:t>
      </w:r>
      <w:r>
        <w:t xml:space="preserve"> is an eligible transaction the commencement date of which is not before 14 October 2008 and not after 30 September 2009 that is a contract for the purchase of an established home.</w:t>
      </w:r>
    </w:p>
    <w:p>
      <w:pPr>
        <w:pStyle w:val="Subsection"/>
        <w:spacing w:before="120"/>
      </w:pPr>
      <w:r>
        <w:tab/>
        <w:t>(3)</w:t>
      </w:r>
      <w:r>
        <w:tab/>
        <w:t xml:space="preserve">A </w:t>
      </w:r>
      <w:r>
        <w:rPr>
          <w:rStyle w:val="CharDefText"/>
          <w:bCs/>
          <w:iCs/>
        </w:rPr>
        <w:t>class 5 eligible transaction</w:t>
      </w:r>
      <w:r>
        <w:t xml:space="preserve"> is an eligible transaction the commencement date of which is not before 14 October 2008 and not after 30 September 2009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spacing w:before="60"/>
      </w:pPr>
      <w:r>
        <w:tab/>
        <w:t>(i)</w:t>
      </w:r>
      <w:r>
        <w:tab/>
        <w:t>the building work begins within 26 weeks after the commencement date; and</w:t>
      </w:r>
    </w:p>
    <w:p>
      <w:pPr>
        <w:pStyle w:val="Indenti"/>
        <w:spacing w:before="60"/>
      </w:pPr>
      <w:r>
        <w:lastRenderedPageBreak/>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spacing w:before="120"/>
      </w:pPr>
      <w:r>
        <w:tab/>
        <w:t>(4A)</w:t>
      </w:r>
      <w:r>
        <w:tab/>
        <w:t xml:space="preserve">A </w:t>
      </w:r>
      <w:r>
        <w:rPr>
          <w:rStyle w:val="CharDefText"/>
        </w:rPr>
        <w:t>class 6 eligible transaction</w:t>
      </w:r>
      <w:r>
        <w:t xml:space="preserve"> is an eligible transaction the commencement date of which is not before 1 October 2009 and not after the cut</w:t>
      </w:r>
      <w:r>
        <w:noBreakHyphen/>
        <w:t>off date that is a contract for the purchase of an established home.</w:t>
      </w:r>
    </w:p>
    <w:p>
      <w:pPr>
        <w:pStyle w:val="Subsection"/>
        <w:spacing w:before="120"/>
      </w:pPr>
      <w:r>
        <w:tab/>
        <w:t>(4B)</w:t>
      </w:r>
      <w:r>
        <w:tab/>
        <w:t xml:space="preserve">A </w:t>
      </w:r>
      <w:r>
        <w:rPr>
          <w:rStyle w:val="CharDefText"/>
        </w:rPr>
        <w:t>class 7 eligible transaction</w:t>
      </w:r>
      <w:r>
        <w:t xml:space="preserve"> is an eligible transaction the commencement date of which is not before 1 October 2009 and not after the cut</w:t>
      </w:r>
      <w:r>
        <w:noBreakHyphen/>
        <w:t>off date that is —</w:t>
      </w:r>
    </w:p>
    <w:p>
      <w:pPr>
        <w:pStyle w:val="Indenta"/>
        <w:spacing w:before="60"/>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lastRenderedPageBreak/>
        <w:tab/>
        <w:t>(4C)</w:t>
      </w:r>
      <w:r>
        <w:tab/>
        <w:t xml:space="preserve">A </w:t>
      </w:r>
      <w:r>
        <w:rPr>
          <w:rStyle w:val="CharDefText"/>
        </w:rPr>
        <w:t>class 8 eligible transaction</w:t>
      </w:r>
      <w:r>
        <w:t xml:space="preserve"> is an eligible transaction the commencement date of which is not before 1 January 2017 and not after 30 June 2017 that is —</w:t>
      </w:r>
    </w:p>
    <w:p>
      <w:pPr>
        <w:pStyle w:val="Indenta"/>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w:t>
      </w:r>
      <w:r>
        <w:tab/>
        <w:t xml:space="preserve">If the Commissioner is satisfied that a delay in building work is caused by circumstances beyond the control of the parties, the Commissioner may extend — </w:t>
      </w:r>
    </w:p>
    <w:p>
      <w:pPr>
        <w:pStyle w:val="Indenta"/>
      </w:pPr>
      <w:r>
        <w:tab/>
        <w:t>(a)</w:t>
      </w:r>
      <w:r>
        <w:tab/>
        <w:t>the period within which the building work is to begin under subsection (3)(b)(i), (4B)(b)(i) or (4C)(b)(i); or</w:t>
      </w:r>
    </w:p>
    <w:p>
      <w:pPr>
        <w:pStyle w:val="Indenta"/>
      </w:pPr>
      <w:r>
        <w:tab/>
        <w:t>(b)</w:t>
      </w:r>
      <w:r>
        <w:tab/>
        <w:t>the period within which the building work is to be completed under subsection (3)(b)(ii), (3)(c), (4B)(b)(ii), (4B)(c), (4C)(b)(ii), (4C)(c) or (6)(a).</w:t>
      </w:r>
    </w:p>
    <w:p>
      <w:pPr>
        <w:pStyle w:val="Subsection"/>
      </w:pPr>
      <w:r>
        <w:tab/>
        <w:t>(5)</w:t>
      </w:r>
      <w:r>
        <w:tab/>
        <w:t xml:space="preserve">For the purposes of this section, building work — </w:t>
      </w:r>
    </w:p>
    <w:p>
      <w:pPr>
        <w:pStyle w:val="Indenta"/>
      </w:pPr>
      <w:r>
        <w:tab/>
        <w:t>(a)</w:t>
      </w:r>
      <w:r>
        <w:tab/>
        <w:t xml:space="preserve">begins on — </w:t>
      </w:r>
    </w:p>
    <w:p>
      <w:pPr>
        <w:pStyle w:val="Indenti"/>
      </w:pPr>
      <w:r>
        <w:tab/>
        <w:t>(i)</w:t>
      </w:r>
      <w:r>
        <w:tab/>
        <w:t>the date when laying the foundations for the home begins; or</w:t>
      </w:r>
    </w:p>
    <w:p>
      <w:pPr>
        <w:pStyle w:val="Indenti"/>
      </w:pPr>
      <w:r>
        <w:tab/>
        <w:t>(ii)</w:t>
      </w:r>
      <w:r>
        <w:tab/>
        <w:t>another date the Commissioner considers appropriate in the circumstances of the case;</w:t>
      </w:r>
    </w:p>
    <w:p>
      <w:pPr>
        <w:pStyle w:val="Indenta"/>
      </w:pPr>
      <w:r>
        <w:lastRenderedPageBreak/>
        <w:tab/>
      </w:r>
      <w:r>
        <w:tab/>
        <w:t>and</w:t>
      </w:r>
    </w:p>
    <w:p>
      <w:pPr>
        <w:pStyle w:val="Indenta"/>
      </w:pPr>
      <w:r>
        <w:tab/>
        <w:t>(b)</w:t>
      </w:r>
      <w:r>
        <w:tab/>
        <w:t xml:space="preserve">is completed when the building is ready for occupation as a home. </w:t>
      </w:r>
    </w:p>
    <w:p>
      <w:pPr>
        <w:pStyle w:val="Subsection"/>
      </w:pPr>
      <w:r>
        <w:tab/>
        <w:t>(6)</w:t>
      </w:r>
      <w:r>
        <w:tab/>
        <w:t xml:space="preserve">The following eligible transactions are not special eligible transactions — </w:t>
      </w:r>
    </w:p>
    <w:p>
      <w:pPr>
        <w:pStyle w:val="Indenta"/>
      </w:pPr>
      <w:r>
        <w:rPr>
          <w:rFonts w:eastAsia="Arial Unicode MS"/>
        </w:rPr>
        <w:tab/>
        <w:t>(a)</w:t>
      </w:r>
      <w:r>
        <w:rPr>
          <w:rFonts w:eastAsia="Arial Unicode MS"/>
        </w:rPr>
        <w:tab/>
      </w:r>
      <w:r>
        <w:t xml:space="preserve">a contract for the purchase of a new home or a substantially renovated home on a proposed lot on a proposed plan of subdivision of land (including for a community titles scheme or amendment of a community titles scheme under the </w:t>
      </w:r>
      <w:r>
        <w:rPr>
          <w:i/>
        </w:rPr>
        <w:t xml:space="preserve">Community Titles Act 2018 </w:t>
      </w:r>
      <w:r>
        <w:t xml:space="preserve">or for a strata titles scheme or amendment of a strata titles scheme under the </w:t>
      </w:r>
      <w:r>
        <w:rPr>
          <w:i/>
          <w:iCs/>
        </w:rPr>
        <w:t>Strata Titles Act 1985</w:t>
      </w:r>
      <w:r>
        <w:t>) unless the contract provides to the effect that the building work must be completed before the relevant date or, if the contract does not provide for a completion date for the building work, it is completed before the relevant date;</w:t>
      </w:r>
    </w:p>
    <w:p>
      <w:pPr>
        <w:pStyle w:val="Indenta"/>
        <w:keepNext/>
      </w:pPr>
      <w:r>
        <w:tab/>
        <w:t>(b)</w:t>
      </w:r>
      <w:r>
        <w:tab/>
        <w:t xml:space="preserve">a contract that the Commissioner is satisfied replaces a contract to purchase the same home, or replaces a comprehensive home building contract to build the same or a substantially similar home, if the replaced contract was made — </w:t>
      </w:r>
    </w:p>
    <w:p>
      <w:pPr>
        <w:pStyle w:val="Indenti"/>
      </w:pPr>
      <w:r>
        <w:tab/>
        <w:t>(i)</w:t>
      </w:r>
      <w:r>
        <w:tab/>
        <w:t>before 9 March 2001, in respect of a class 1, class 2 or class 3 eligible transaction; or</w:t>
      </w:r>
    </w:p>
    <w:p>
      <w:pPr>
        <w:pStyle w:val="Indenti"/>
      </w:pPr>
      <w:r>
        <w:tab/>
        <w:t>(ii)</w:t>
      </w:r>
      <w:r>
        <w:tab/>
        <w:t xml:space="preserve">before 14 October 2008, in respect of a class 4, class 5, class 6 or class 7 eligible transaction; or </w:t>
      </w:r>
    </w:p>
    <w:p>
      <w:pPr>
        <w:pStyle w:val="Indenti"/>
      </w:pPr>
      <w:r>
        <w:tab/>
        <w:t>(iii)</w:t>
      </w:r>
      <w:r>
        <w:tab/>
        <w:t>before 1 January 2017, in respect of a class 8 eligible transaction.</w:t>
      </w:r>
    </w:p>
    <w:p>
      <w:pPr>
        <w:pStyle w:val="Footnotesection"/>
      </w:pPr>
      <w:r>
        <w:tab/>
        <w:t>[Section 14B inserted: No. 14 of 2001 s. 5; amended: No. 13 of 2003 s. 5; No. 27 of 2009 s. 5; No. 16 of 2017 s. 9; No. 30 of 2018 s. 141; No. 32 of 2018 s. 212.]</w:t>
      </w:r>
    </w:p>
    <w:p>
      <w:pPr>
        <w:pStyle w:val="Heading3"/>
      </w:pPr>
      <w:bookmarkStart w:id="50" w:name="_Toc100325830"/>
      <w:bookmarkStart w:id="51" w:name="_Toc100326205"/>
      <w:bookmarkStart w:id="52" w:name="_Toc100568128"/>
      <w:r>
        <w:rPr>
          <w:rStyle w:val="CharDivNo"/>
        </w:rPr>
        <w:lastRenderedPageBreak/>
        <w:t>Division 4</w:t>
      </w:r>
      <w:r>
        <w:t xml:space="preserve"> — </w:t>
      </w:r>
      <w:r>
        <w:rPr>
          <w:rStyle w:val="CharDivText"/>
        </w:rPr>
        <w:t>Application for the grant</w:t>
      </w:r>
      <w:bookmarkEnd w:id="50"/>
      <w:bookmarkEnd w:id="51"/>
      <w:bookmarkEnd w:id="52"/>
    </w:p>
    <w:p>
      <w:pPr>
        <w:pStyle w:val="Heading5"/>
      </w:pPr>
      <w:bookmarkStart w:id="53" w:name="_Toc100568129"/>
      <w:r>
        <w:rPr>
          <w:rStyle w:val="CharSectno"/>
        </w:rPr>
        <w:t>15</w:t>
      </w:r>
      <w:r>
        <w:t>.</w:t>
      </w:r>
      <w:r>
        <w:tab/>
        <w:t>Application for grant</w:t>
      </w:r>
      <w:bookmarkEnd w:id="53"/>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pPr>
        <w:pStyle w:val="Subsection"/>
        <w:keepNext/>
      </w:pPr>
      <w:r>
        <w:tab/>
        <w:t>(5)</w:t>
      </w:r>
      <w:r>
        <w:tab/>
        <w:t xml:space="preserve">The application may only be made within a period — </w:t>
      </w:r>
    </w:p>
    <w:p>
      <w:pPr>
        <w:pStyle w:val="Indenta"/>
      </w:pPr>
      <w:r>
        <w:tab/>
        <w:t>(a)</w:t>
      </w:r>
      <w:r>
        <w:tab/>
        <w:t>beginning on the commencement date of the transaction to which the application relates; and</w:t>
      </w:r>
    </w:p>
    <w:p>
      <w:pPr>
        <w:pStyle w:val="Indenta"/>
      </w:pPr>
      <w:r>
        <w:tab/>
        <w:t>(b)</w:t>
      </w:r>
      <w:r>
        <w:tab/>
        <w:t>ending 12 months after the completion of the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Footnotesection"/>
      </w:pPr>
      <w:r>
        <w:tab/>
        <w:t>[Section 15 amended: No. 27 of 2009 s. 15.]</w:t>
      </w:r>
    </w:p>
    <w:p>
      <w:pPr>
        <w:pStyle w:val="Heading5"/>
      </w:pPr>
      <w:bookmarkStart w:id="54" w:name="_Toc100568130"/>
      <w:r>
        <w:rPr>
          <w:rStyle w:val="CharSectno"/>
        </w:rPr>
        <w:t>16</w:t>
      </w:r>
      <w:r>
        <w:t>.</w:t>
      </w:r>
      <w:r>
        <w:tab/>
        <w:t>Interested persons</w:t>
      </w:r>
      <w:bookmarkEnd w:id="54"/>
    </w:p>
    <w:p>
      <w:pPr>
        <w:pStyle w:val="Subsection"/>
      </w:pPr>
      <w:r>
        <w:tab/>
        <w:t>(1)</w:t>
      </w:r>
      <w:r>
        <w:tab/>
        <w:t>All interested persons must be applicants, unless such a person is excluded from the operation of this subsection by the regulations.</w:t>
      </w:r>
    </w:p>
    <w:p>
      <w:pPr>
        <w:pStyle w:val="Subsection"/>
      </w:pPr>
      <w:r>
        <w:lastRenderedPageBreak/>
        <w:tab/>
        <w:t>(2)</w:t>
      </w:r>
      <w:r>
        <w:tab/>
        <w:t>An applicant must be an interested person.</w:t>
      </w:r>
    </w:p>
    <w:p>
      <w:pPr>
        <w:pStyle w:val="Subsection"/>
      </w:pPr>
      <w:r>
        <w:tab/>
        <w:t>(3)</w:t>
      </w:r>
      <w:r>
        <w:tab/>
        <w:t xml:space="preserve">In this section — </w:t>
      </w:r>
    </w:p>
    <w:p>
      <w:pPr>
        <w:pStyle w:val="Defstart"/>
      </w:pPr>
      <w:r>
        <w:tab/>
      </w:r>
      <w:r>
        <w:rPr>
          <w:rStyle w:val="CharDefText"/>
        </w:rPr>
        <w:t>interested person</w:t>
      </w:r>
      <w:r>
        <w:t>, in relation to an application for a first home owner grant, means a person who is, or will be, on completion of the transaction to which the application relates, an owner of the relevant home.</w:t>
      </w:r>
    </w:p>
    <w:p>
      <w:pPr>
        <w:pStyle w:val="Footnotesection"/>
      </w:pPr>
      <w:r>
        <w:tab/>
        <w:t>[Section 16 amended: No. 27 of 2009 s. 15.]</w:t>
      </w:r>
    </w:p>
    <w:p>
      <w:pPr>
        <w:pStyle w:val="Heading5"/>
      </w:pPr>
      <w:bookmarkStart w:id="55" w:name="_Toc100568131"/>
      <w:r>
        <w:rPr>
          <w:rStyle w:val="CharSectno"/>
        </w:rPr>
        <w:t>17</w:t>
      </w:r>
      <w:r>
        <w:t>.</w:t>
      </w:r>
      <w:r>
        <w:tab/>
        <w:t>Application on behalf of person under legal disability</w:t>
      </w:r>
      <w:bookmarkEnd w:id="55"/>
    </w:p>
    <w:p>
      <w:pPr>
        <w:pStyle w:val="Subsection"/>
      </w:pPr>
      <w:r>
        <w:tab/>
        <w:t>(1)</w:t>
      </w:r>
      <w:r>
        <w:tab/>
        <w:t>An application may be made on behalf of a person under a legal disability by a guardian.</w:t>
      </w:r>
    </w:p>
    <w:p>
      <w:pPr>
        <w:pStyle w:val="Subsection"/>
      </w:pPr>
      <w:r>
        <w:tab/>
        <w:t>(2)</w:t>
      </w:r>
      <w:r>
        <w:tab/>
        <w:t>For the purpose of determining eligibility, the person under the legal disability is taken to be the applicant.</w:t>
      </w:r>
    </w:p>
    <w:p>
      <w:pPr>
        <w:pStyle w:val="Heading3"/>
      </w:pPr>
      <w:bookmarkStart w:id="56" w:name="_Toc100325834"/>
      <w:bookmarkStart w:id="57" w:name="_Toc100326209"/>
      <w:bookmarkStart w:id="58" w:name="_Toc100568132"/>
      <w:r>
        <w:rPr>
          <w:rStyle w:val="CharDivNo"/>
        </w:rPr>
        <w:t>Division 5</w:t>
      </w:r>
      <w:r>
        <w:t xml:space="preserve"> — </w:t>
      </w:r>
      <w:r>
        <w:rPr>
          <w:rStyle w:val="CharDivText"/>
        </w:rPr>
        <w:t>Decision on application</w:t>
      </w:r>
      <w:bookmarkEnd w:id="56"/>
      <w:bookmarkEnd w:id="57"/>
      <w:bookmarkEnd w:id="58"/>
    </w:p>
    <w:p>
      <w:pPr>
        <w:pStyle w:val="Heading5"/>
      </w:pPr>
      <w:bookmarkStart w:id="59" w:name="_Toc100568133"/>
      <w:r>
        <w:rPr>
          <w:rStyle w:val="CharSectno"/>
        </w:rPr>
        <w:t>18</w:t>
      </w:r>
      <w:r>
        <w:t>.</w:t>
      </w:r>
      <w:r>
        <w:tab/>
        <w:t>Commissioner to authorise payment of grant</w:t>
      </w:r>
      <w:bookmarkEnd w:id="59"/>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r>
        <w:tab/>
        <w:t>(b)</w:t>
      </w:r>
      <w:r>
        <w:tab/>
        <w:t xml:space="preserve">the interests of the State can be adequately protected by conditions requiring repayment of the grant if — </w:t>
      </w:r>
    </w:p>
    <w:p>
      <w:pPr>
        <w:pStyle w:val="Indenti"/>
      </w:pPr>
      <w:r>
        <w:tab/>
        <w:t>(i)</w:t>
      </w:r>
      <w:r>
        <w:tab/>
        <w:t>the transaction is not completed within a reasonable time; or</w:t>
      </w:r>
    </w:p>
    <w:p>
      <w:pPr>
        <w:pStyle w:val="Indenti"/>
      </w:pPr>
      <w:r>
        <w:tab/>
        <w:t>(ii)</w:t>
      </w:r>
      <w:r>
        <w:tab/>
        <w:t>on completion of the transaction, the total value of the transaction exceeds the cap amount that applies in respect of the transaction.</w:t>
      </w:r>
    </w:p>
    <w:p>
      <w:pPr>
        <w:pStyle w:val="Subsection"/>
      </w:pPr>
      <w:r>
        <w:lastRenderedPageBreak/>
        <w:tab/>
        <w:t>(3)</w:t>
      </w:r>
      <w:r>
        <w:tab/>
        <w:t xml:space="preserve">A payment authorised under subsection (2) is made on condition that, if the applicant becomes aware that the total value of the transaction exceeds, or will exceed, the cap amount that applies in respect of the transaction, the applicant must within 30 days after the day on which the applicant becomes so aware — </w:t>
      </w:r>
    </w:p>
    <w:p>
      <w:pPr>
        <w:pStyle w:val="Indenta"/>
      </w:pPr>
      <w:r>
        <w:tab/>
        <w:t>(a)</w:t>
      </w:r>
      <w:r>
        <w:tab/>
        <w:t>give written notice of that fact to the Commissioner; and</w:t>
      </w:r>
    </w:p>
    <w:p>
      <w:pPr>
        <w:pStyle w:val="Indenta"/>
      </w:pPr>
      <w:r>
        <w:tab/>
        <w:t>(b)</w:t>
      </w:r>
      <w:r>
        <w:tab/>
        <w:t>either repay the amount of the grant, or make an application under section 52(2) for the Commissioner to approve an arrangement for the repayment of the amount of the grant.</w:t>
      </w:r>
    </w:p>
    <w:p>
      <w:pPr>
        <w:pStyle w:val="Subsection"/>
      </w:pPr>
      <w:r>
        <w:tab/>
        <w:t>(4)</w:t>
      </w:r>
      <w:r>
        <w:tab/>
        <w:t>In the case of a joint application, each joint applicant is individually liable to comply with subsection (3)(a) and (b), but compliance by any one or more of the joint applicants is taken to be compliance by both or all of them.</w:t>
      </w:r>
    </w:p>
    <w:p>
      <w:pPr>
        <w:pStyle w:val="Subsection"/>
        <w:keepNext/>
      </w:pPr>
      <w:r>
        <w:tab/>
        <w:t>(5)</w:t>
      </w:r>
      <w:r>
        <w:tab/>
        <w:t xml:space="preserve">The Commissioner may, by written notice, impose a penalty on an applicant if the applicant — </w:t>
      </w:r>
    </w:p>
    <w:p>
      <w:pPr>
        <w:pStyle w:val="Indenta"/>
      </w:pPr>
      <w:r>
        <w:tab/>
        <w:t>(a)</w:t>
      </w:r>
      <w:r>
        <w:tab/>
        <w:t>does not comply with subsection (3)(b) within the 30 day period mentioned in subsection (3); or</w:t>
      </w:r>
    </w:p>
    <w:p>
      <w:pPr>
        <w:pStyle w:val="Indenta"/>
      </w:pPr>
      <w:r>
        <w:tab/>
        <w:t>(b)</w:t>
      </w:r>
      <w:r>
        <w:tab/>
        <w:t>does not repay the amount of the grant in accordance with an arrangement approved for the purposes of subsection (3)(b).</w:t>
      </w:r>
    </w:p>
    <w:p>
      <w:pPr>
        <w:pStyle w:val="Subsection"/>
      </w:pPr>
      <w:r>
        <w:tab/>
        <w:t>(6)</w:t>
      </w:r>
      <w:r>
        <w:tab/>
        <w:t>The amount of a penalty imposed under subsection (5) is not to exceed the amount that the applicant is required to repay under subsection (3).</w:t>
      </w:r>
    </w:p>
    <w:p>
      <w:pPr>
        <w:pStyle w:val="Subsection"/>
      </w:pPr>
      <w:r>
        <w:tab/>
        <w:t>(7)</w:t>
      </w:r>
      <w:r>
        <w:tab/>
        <w:t>Subject to section 52, the amount of a penalty imposed under subsection (5) must be paid by the applicant within 28 days after the date on which notice of the penalty is given to the applicant.</w:t>
      </w:r>
    </w:p>
    <w:p>
      <w:pPr>
        <w:pStyle w:val="Footnotesection"/>
      </w:pPr>
      <w:r>
        <w:tab/>
        <w:t>[Section 18 amended: No. 27 of 2009 s. 11.]</w:t>
      </w:r>
    </w:p>
    <w:p>
      <w:pPr>
        <w:pStyle w:val="Heading5"/>
        <w:spacing w:before="180"/>
      </w:pPr>
      <w:bookmarkStart w:id="60" w:name="_Toc100568134"/>
      <w:r>
        <w:rPr>
          <w:rStyle w:val="CharSectno"/>
        </w:rPr>
        <w:t>19</w:t>
      </w:r>
      <w:r>
        <w:t>.</w:t>
      </w:r>
      <w:r>
        <w:tab/>
        <w:t>Amount of grant</w:t>
      </w:r>
      <w:bookmarkEnd w:id="60"/>
    </w:p>
    <w:p>
      <w:pPr>
        <w:pStyle w:val="Subsection"/>
      </w:pPr>
      <w:r>
        <w:tab/>
        <w:t>(1)</w:t>
      </w:r>
      <w:r>
        <w:tab/>
        <w:t xml:space="preserve">In this section — </w:t>
      </w:r>
    </w:p>
    <w:p>
      <w:pPr>
        <w:pStyle w:val="Defstart"/>
      </w:pPr>
      <w:r>
        <w:tab/>
      </w:r>
      <w:r>
        <w:rPr>
          <w:rStyle w:val="CharDefText"/>
        </w:rPr>
        <w:t>amendment day</w:t>
      </w:r>
      <w:r>
        <w:t xml:space="preserve"> means the day on which the </w:t>
      </w:r>
      <w:r>
        <w:rPr>
          <w:i/>
        </w:rPr>
        <w:t>Revenue Laws Amendment Act 2013</w:t>
      </w:r>
      <w:r>
        <w:t xml:space="preserve"> section 43 comes into operation;</w:t>
      </w:r>
    </w:p>
    <w:p>
      <w:pPr>
        <w:pStyle w:val="Defstart"/>
      </w:pPr>
      <w:r>
        <w:lastRenderedPageBreak/>
        <w:tab/>
      </w:r>
      <w:r>
        <w:rPr>
          <w:rStyle w:val="CharDefText"/>
        </w:rPr>
        <w:t>second amendment day</w:t>
      </w:r>
      <w:r>
        <w:t xml:space="preserve"> means the day on which the </w:t>
      </w:r>
      <w:r>
        <w:rPr>
          <w:i/>
        </w:rPr>
        <w:t>Revenue Laws Amendment Act 2015</w:t>
      </w:r>
      <w:r>
        <w:t xml:space="preserve"> Part 2 Division 1 comes into operation.</w:t>
      </w:r>
    </w:p>
    <w:p>
      <w:pPr>
        <w:pStyle w:val="Subsection"/>
      </w:pPr>
      <w:r>
        <w:tab/>
        <w:t>(2A)</w:t>
      </w:r>
      <w:r>
        <w:tab/>
        <w:t xml:space="preserve">If the commencement date of an eligible transaction is before amendment day, the amount of a first home owner grant is the lesser of the following — </w:t>
      </w:r>
    </w:p>
    <w:p>
      <w:pPr>
        <w:pStyle w:val="Indenta"/>
      </w:pPr>
      <w:r>
        <w:tab/>
        <w:t>(a)</w:t>
      </w:r>
      <w:r>
        <w:tab/>
        <w:t>$7 000;</w:t>
      </w:r>
    </w:p>
    <w:p>
      <w:pPr>
        <w:pStyle w:val="Indenta"/>
      </w:pPr>
      <w:r>
        <w:tab/>
        <w:t>(b)</w:t>
      </w:r>
      <w:r>
        <w:tab/>
        <w:t>the consideration for the transaction.</w:t>
      </w:r>
    </w:p>
    <w:p>
      <w:pPr>
        <w:pStyle w:val="Subsection"/>
        <w:keepNext/>
      </w:pPr>
      <w:r>
        <w:tab/>
        <w:t>(2B)</w:t>
      </w:r>
      <w:r>
        <w:tab/>
        <w:t xml:space="preserve">If the commencement date of an eligible transaction is on or after amendment day but before second amendment day, the amount of a first home owner grant is — </w:t>
      </w:r>
    </w:p>
    <w:p>
      <w:pPr>
        <w:pStyle w:val="Indenta"/>
      </w:pPr>
      <w:r>
        <w:tab/>
        <w:t>(a)</w:t>
      </w:r>
      <w:r>
        <w:tab/>
        <w:t>in relation to a transaction that is a contract for the purchase of an established home, the lesser of the following —</w:t>
      </w:r>
    </w:p>
    <w:p>
      <w:pPr>
        <w:pStyle w:val="Indenti"/>
      </w:pPr>
      <w:r>
        <w:tab/>
        <w:t>(i)</w:t>
      </w:r>
      <w:r>
        <w:tab/>
        <w:t>$3 000;</w:t>
      </w:r>
    </w:p>
    <w:p>
      <w:pPr>
        <w:pStyle w:val="Indenti"/>
      </w:pPr>
      <w:r>
        <w:tab/>
        <w:t>(ii)</w:t>
      </w:r>
      <w:r>
        <w:tab/>
        <w:t>the consideration for the transaction;</w:t>
      </w:r>
    </w:p>
    <w:p>
      <w:pPr>
        <w:pStyle w:val="Indenta"/>
      </w:pPr>
      <w:r>
        <w:tab/>
      </w:r>
      <w:r>
        <w:tab/>
        <w:t>or</w:t>
      </w:r>
    </w:p>
    <w:p>
      <w:pPr>
        <w:pStyle w:val="Indenta"/>
      </w:pPr>
      <w:r>
        <w:tab/>
        <w:t>(b)</w:t>
      </w:r>
      <w:r>
        <w:tab/>
        <w:t xml:space="preserve">in relation to any other transaction, the lesser of the following — </w:t>
      </w:r>
    </w:p>
    <w:p>
      <w:pPr>
        <w:pStyle w:val="Indenti"/>
      </w:pPr>
      <w:r>
        <w:tab/>
        <w:t>(i)</w:t>
      </w:r>
      <w:r>
        <w:tab/>
        <w:t>$10 000;</w:t>
      </w:r>
    </w:p>
    <w:p>
      <w:pPr>
        <w:pStyle w:val="Indenti"/>
      </w:pPr>
      <w:r>
        <w:tab/>
        <w:t>(ii)</w:t>
      </w:r>
      <w:r>
        <w:tab/>
        <w:t>the consideration for the transaction.</w:t>
      </w:r>
    </w:p>
    <w:p>
      <w:pPr>
        <w:pStyle w:val="Subsection"/>
      </w:pPr>
      <w:r>
        <w:tab/>
        <w:t>(2CA)</w:t>
      </w:r>
      <w:r>
        <w:tab/>
        <w:t xml:space="preserve">If the commencement date of an eligible transaction is on or after second amendment day, the amount of a first home owner grant is the lesser of the following — </w:t>
      </w:r>
    </w:p>
    <w:p>
      <w:pPr>
        <w:pStyle w:val="Indenta"/>
      </w:pPr>
      <w:r>
        <w:tab/>
        <w:t>(a)</w:t>
      </w:r>
      <w:r>
        <w:tab/>
        <w:t>$10 000;</w:t>
      </w:r>
    </w:p>
    <w:p>
      <w:pPr>
        <w:pStyle w:val="Indenta"/>
      </w:pPr>
      <w:r>
        <w:tab/>
        <w:t>(b)</w:t>
      </w:r>
      <w:r>
        <w:tab/>
        <w:t>the consideration for the transaction.</w:t>
      </w:r>
    </w:p>
    <w:p>
      <w:pPr>
        <w:pStyle w:val="Subsection"/>
      </w:pPr>
      <w:r>
        <w:tab/>
        <w:t>(2C)</w:t>
      </w:r>
      <w:r>
        <w:tab/>
        <w:t xml:space="preserve">Despite subsections (2B) and (2CA), subsection (2A) applies to an eligible transaction with a commencement date on or after amendment day if the Commissioner is satisfied that the transaction has replaced — </w:t>
      </w:r>
    </w:p>
    <w:p>
      <w:pPr>
        <w:pStyle w:val="Indenta"/>
      </w:pPr>
      <w:r>
        <w:lastRenderedPageBreak/>
        <w:tab/>
        <w:t>(a)</w:t>
      </w:r>
      <w:r>
        <w:tab/>
        <w:t>a contract made before amendment day to purchase the same home; or</w:t>
      </w:r>
    </w:p>
    <w:p>
      <w:pPr>
        <w:pStyle w:val="Indenta"/>
      </w:pPr>
      <w:r>
        <w:tab/>
        <w:t>(b)</w:t>
      </w:r>
      <w:r>
        <w:tab/>
        <w:t>a comprehensive home building contract made before amendment day to build the same or a substantially similar home.</w:t>
      </w:r>
    </w:p>
    <w:p>
      <w:pPr>
        <w:pStyle w:val="Subsection"/>
      </w:pPr>
      <w:r>
        <w:tab/>
        <w:t>(2)</w:t>
      </w:r>
      <w:r>
        <w:tab/>
        <w:t xml:space="preserve">Despite anything else in this section, the amount of a first home owner grant for an eligible transaction that is a special eligible transaction within the meaning of section 14A is the lesser of the following — </w:t>
      </w:r>
    </w:p>
    <w:p>
      <w:pPr>
        <w:pStyle w:val="Indenta"/>
      </w:pPr>
      <w:r>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rStyle w:val="CharDefText"/>
        </w:rPr>
        <w:t>relevant amount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 or</w:t>
      </w:r>
    </w:p>
    <w:p>
      <w:pPr>
        <w:pStyle w:val="Defpara"/>
      </w:pPr>
      <w:r>
        <w:tab/>
        <w:t>(c)</w:t>
      </w:r>
      <w:r>
        <w:tab/>
        <w:t>in the case of a class 4 eligible transaction within the meaning of section 14B — $14 000; or</w:t>
      </w:r>
    </w:p>
    <w:p>
      <w:pPr>
        <w:pStyle w:val="Defpara"/>
      </w:pPr>
      <w:r>
        <w:tab/>
        <w:t>(d)</w:t>
      </w:r>
      <w:r>
        <w:tab/>
        <w:t>in the case of a class 5 eligible transaction within the meaning of section 14B — $21 000; or</w:t>
      </w:r>
    </w:p>
    <w:p>
      <w:pPr>
        <w:pStyle w:val="Defpara"/>
      </w:pPr>
      <w:r>
        <w:tab/>
        <w:t>(e)</w:t>
      </w:r>
      <w:r>
        <w:tab/>
        <w:t>in the case of a class 6 eligible transaction within the meaning of section 14B — $10 500; or</w:t>
      </w:r>
    </w:p>
    <w:p>
      <w:pPr>
        <w:pStyle w:val="Defpara"/>
      </w:pPr>
      <w:r>
        <w:tab/>
        <w:t>(f)</w:t>
      </w:r>
      <w:r>
        <w:tab/>
        <w:t xml:space="preserve">in the case of a class 7 eligible transaction within the meaning of section 14B — $14 000; or </w:t>
      </w:r>
    </w:p>
    <w:p>
      <w:pPr>
        <w:pStyle w:val="Defpara"/>
      </w:pPr>
      <w:r>
        <w:tab/>
        <w:t>(g)</w:t>
      </w:r>
      <w:r>
        <w:tab/>
        <w:t>in the case of a class 8 eligible transaction within the meaning of section 14B — $15 000.</w:t>
      </w:r>
    </w:p>
    <w:p>
      <w:pPr>
        <w:pStyle w:val="Footnotesection"/>
      </w:pPr>
      <w:r>
        <w:tab/>
        <w:t>[Section 19 amended: No. 14 of 2001 s. 6; No. 13 of 2003 s. 6; No. 27 of 2009 s. 6 and 15; No. 10 of 2013 s. 43; No. 27 of 2015 s. 7; No. 16 of 2017 s. 10.]</w:t>
      </w:r>
    </w:p>
    <w:p>
      <w:pPr>
        <w:pStyle w:val="Heading5"/>
        <w:spacing w:before="180"/>
      </w:pPr>
      <w:bookmarkStart w:id="61" w:name="_Toc100568135"/>
      <w:r>
        <w:rPr>
          <w:rStyle w:val="CharSectno"/>
        </w:rPr>
        <w:lastRenderedPageBreak/>
        <w:t>20</w:t>
      </w:r>
      <w:r>
        <w:t>.</w:t>
      </w:r>
      <w:r>
        <w:tab/>
        <w:t>Payment of grant</w:t>
      </w:r>
      <w:bookmarkEnd w:id="61"/>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spacing w:before="180"/>
      </w:pPr>
      <w:bookmarkStart w:id="62" w:name="_Toc100568136"/>
      <w:r>
        <w:rPr>
          <w:rStyle w:val="CharSectno"/>
        </w:rPr>
        <w:t>21</w:t>
      </w:r>
      <w:r>
        <w:t>.</w:t>
      </w:r>
      <w:r>
        <w:tab/>
        <w:t>Payment in anticipation of compliance with residence requirement</w:t>
      </w:r>
      <w:bookmarkEnd w:id="62"/>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does not comply with the requirement under section 13(4); or</w:t>
      </w:r>
    </w:p>
    <w:p>
      <w:pPr>
        <w:pStyle w:val="Indenta"/>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lastRenderedPageBreak/>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tab/>
        <w:t>(3)</w:t>
      </w:r>
      <w:r>
        <w:tab/>
        <w:t xml:space="preserve">In subsection (2) — </w:t>
      </w:r>
    </w:p>
    <w:p>
      <w:pPr>
        <w:pStyle w:val="Defstart"/>
      </w:pPr>
      <w:r>
        <w:rPr>
          <w:b/>
        </w:rPr>
        <w:tab/>
      </w:r>
      <w:r>
        <w:rPr>
          <w:rStyle w:val="CharDefText"/>
        </w:rPr>
        <w:t>relevant day</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lastRenderedPageBreak/>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 No. 13 of 2003 s. 7; No. 52 of 2004 s. 11.]</w:t>
      </w:r>
    </w:p>
    <w:p>
      <w:pPr>
        <w:pStyle w:val="Heading5"/>
      </w:pPr>
      <w:bookmarkStart w:id="63" w:name="_Toc100568137"/>
      <w:r>
        <w:rPr>
          <w:rStyle w:val="CharSectno"/>
        </w:rPr>
        <w:t>22</w:t>
      </w:r>
      <w:r>
        <w:t>.</w:t>
      </w:r>
      <w:r>
        <w:tab/>
        <w:t>Commissioner may impose conditions</w:t>
      </w:r>
      <w:bookmarkEnd w:id="63"/>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whole or part of the amount of the grant within a period stated in the condition.</w:t>
      </w:r>
    </w:p>
    <w:p>
      <w:pPr>
        <w:pStyle w:val="Subsection"/>
      </w:pPr>
      <w:r>
        <w:tab/>
        <w:t>(3)</w:t>
      </w:r>
      <w:r>
        <w:tab/>
        <w:t>In the case of a joint application, each joint applicant is individually liable to comply with subsection (2)(a)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Footnotesection"/>
      </w:pPr>
      <w:r>
        <w:tab/>
        <w:t>[Section 22 amended: No. 16 of 2017 s. 11.]</w:t>
      </w:r>
    </w:p>
    <w:p>
      <w:pPr>
        <w:pStyle w:val="Heading5"/>
      </w:pPr>
      <w:bookmarkStart w:id="64" w:name="_Toc100568138"/>
      <w:r>
        <w:rPr>
          <w:rStyle w:val="CharSectno"/>
        </w:rPr>
        <w:lastRenderedPageBreak/>
        <w:t>23</w:t>
      </w:r>
      <w:r>
        <w:t>.</w:t>
      </w:r>
      <w:r>
        <w:tab/>
        <w:t>Death of applicant</w:t>
      </w:r>
      <w:bookmarkEnd w:id="64"/>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tab/>
        <w:t>(b)</w:t>
      </w:r>
      <w:r>
        <w:tab/>
        <w:t>in any other case, a first home owner grant, if payable on the application, is to be paid to the estate of the deceased.</w:t>
      </w:r>
    </w:p>
    <w:p>
      <w:pPr>
        <w:pStyle w:val="Subsection"/>
      </w:pPr>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No. 52 of 2004 s. 12.]</w:t>
      </w:r>
    </w:p>
    <w:p>
      <w:pPr>
        <w:pStyle w:val="Heading5"/>
      </w:pPr>
      <w:bookmarkStart w:id="65" w:name="_Toc100568139"/>
      <w:r>
        <w:rPr>
          <w:rStyle w:val="CharSectno"/>
        </w:rPr>
        <w:t>24</w:t>
      </w:r>
      <w:r>
        <w:rPr>
          <w:snapToGrid w:val="0"/>
        </w:rPr>
        <w:t>.</w:t>
      </w:r>
      <w:r>
        <w:rPr>
          <w:snapToGrid w:val="0"/>
        </w:rPr>
        <w:tab/>
        <w:t>Power to correct decision</w:t>
      </w:r>
      <w:bookmarkEnd w:id="65"/>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lastRenderedPageBreak/>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66" w:name="_Toc100568140"/>
      <w:r>
        <w:rPr>
          <w:rStyle w:val="CharSectno"/>
        </w:rPr>
        <w:t>25</w:t>
      </w:r>
      <w:r>
        <w:rPr>
          <w:snapToGrid w:val="0"/>
        </w:rPr>
        <w:t>.</w:t>
      </w:r>
      <w:r>
        <w:rPr>
          <w:snapToGrid w:val="0"/>
        </w:rPr>
        <w:tab/>
        <w:t>Notice of decision</w:t>
      </w:r>
      <w:bookmarkEnd w:id="66"/>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67" w:name="_Toc100325843"/>
      <w:bookmarkStart w:id="68" w:name="_Toc100326218"/>
      <w:bookmarkStart w:id="69" w:name="_Toc100568141"/>
      <w:r>
        <w:rPr>
          <w:rStyle w:val="CharDivNo"/>
        </w:rPr>
        <w:t>Division 6</w:t>
      </w:r>
      <w:r>
        <w:t xml:space="preserve"> — </w:t>
      </w:r>
      <w:r>
        <w:rPr>
          <w:rStyle w:val="CharDivText"/>
        </w:rPr>
        <w:t>Objections and review</w:t>
      </w:r>
      <w:bookmarkEnd w:id="67"/>
      <w:bookmarkEnd w:id="68"/>
      <w:bookmarkEnd w:id="69"/>
    </w:p>
    <w:p>
      <w:pPr>
        <w:pStyle w:val="Footnoteheading"/>
      </w:pPr>
      <w:r>
        <w:tab/>
        <w:t>[Heading amended: No. 55 of 2004 s. 374.]</w:t>
      </w:r>
    </w:p>
    <w:p>
      <w:pPr>
        <w:pStyle w:val="Heading4"/>
      </w:pPr>
      <w:bookmarkStart w:id="70" w:name="_Toc100325844"/>
      <w:bookmarkStart w:id="71" w:name="_Toc100326219"/>
      <w:bookmarkStart w:id="72" w:name="_Toc100568142"/>
      <w:r>
        <w:t>Subdivision 1 — Definitions</w:t>
      </w:r>
      <w:bookmarkEnd w:id="70"/>
      <w:bookmarkEnd w:id="71"/>
      <w:bookmarkEnd w:id="72"/>
    </w:p>
    <w:p>
      <w:pPr>
        <w:pStyle w:val="Heading5"/>
      </w:pPr>
      <w:bookmarkStart w:id="73" w:name="_Toc100568143"/>
      <w:r>
        <w:rPr>
          <w:rStyle w:val="CharSectno"/>
        </w:rPr>
        <w:t>26</w:t>
      </w:r>
      <w:r>
        <w:t>.</w:t>
      </w:r>
      <w:r>
        <w:tab/>
        <w:t>Terms used</w:t>
      </w:r>
      <w:bookmarkEnd w:id="73"/>
    </w:p>
    <w:p>
      <w:pPr>
        <w:pStyle w:val="Subsection"/>
      </w:pPr>
      <w:r>
        <w:tab/>
      </w:r>
      <w:r>
        <w:tab/>
        <w:t xml:space="preserve">In this Division — </w:t>
      </w:r>
    </w:p>
    <w:p>
      <w:pPr>
        <w:pStyle w:val="Defstart"/>
      </w:pPr>
      <w:r>
        <w:tab/>
      </w:r>
      <w:r>
        <w:rPr>
          <w:rStyle w:val="CharDefText"/>
        </w:rPr>
        <w:t>decision on the application</w:t>
      </w:r>
      <w:r>
        <w:t xml:space="preserve">, in relation to an application for a first home owner grant, includes — </w:t>
      </w:r>
    </w:p>
    <w:p>
      <w:pPr>
        <w:pStyle w:val="Defpara"/>
      </w:pPr>
      <w:r>
        <w:tab/>
        <w:t>(a)</w:t>
      </w:r>
      <w:r>
        <w:tab/>
        <w:t>a decision to vary or reverse an earlier decision; and</w:t>
      </w:r>
    </w:p>
    <w:p>
      <w:pPr>
        <w:pStyle w:val="Defpara"/>
      </w:pPr>
      <w:r>
        <w:tab/>
        <w:t>(b)</w:t>
      </w:r>
      <w:r>
        <w:tab/>
        <w:t>a requirement under section 51(1) to repay an amount paid on the application; and</w:t>
      </w:r>
    </w:p>
    <w:p>
      <w:pPr>
        <w:pStyle w:val="Defpara"/>
      </w:pPr>
      <w:r>
        <w:lastRenderedPageBreak/>
        <w:tab/>
        <w:t>(c)</w:t>
      </w:r>
      <w:r>
        <w:tab/>
        <w:t>a requirement to repay an amount paid on an application because of a failure to comply with a condition referred to in section 18(3) or 21(2); and</w:t>
      </w:r>
    </w:p>
    <w:p>
      <w:pPr>
        <w:pStyle w:val="Defpara"/>
      </w:pPr>
      <w:r>
        <w:tab/>
        <w:t>(d)</w:t>
      </w:r>
      <w:r>
        <w:tab/>
        <w:t>an imposition of a penalty under section 18(5), 21(5) or 51(2) or (3); and</w:t>
      </w:r>
    </w:p>
    <w:p>
      <w:pPr>
        <w:pStyle w:val="Defpara"/>
      </w:pPr>
      <w:r>
        <w:tab/>
        <w:t>(e)</w:t>
      </w:r>
      <w:r>
        <w:tab/>
        <w:t>a requirement under section 52A(1) to pay an amount of legal costs incurred by the Commissioner;</w:t>
      </w:r>
    </w:p>
    <w:p>
      <w:pPr>
        <w:pStyle w:val="Defstart"/>
        <w:keepNext/>
      </w:pPr>
      <w:r>
        <w:tab/>
      </w:r>
      <w:r>
        <w:rPr>
          <w:rStyle w:val="CharDefText"/>
        </w:rPr>
        <w:t>objector</w:t>
      </w:r>
      <w:r>
        <w:t xml:space="preserve"> means a person who makes an objection under section 27.</w:t>
      </w:r>
    </w:p>
    <w:p>
      <w:pPr>
        <w:pStyle w:val="Footnotesection"/>
      </w:pPr>
      <w:r>
        <w:tab/>
        <w:t>[Section 26 amended: No. 13 of 2003 s. 8; No. 27 of 2009 s. 12 and 16; No. 16 of 2017 s. 12.]</w:t>
      </w:r>
    </w:p>
    <w:p>
      <w:pPr>
        <w:pStyle w:val="Heading4"/>
      </w:pPr>
      <w:bookmarkStart w:id="74" w:name="_Toc100325846"/>
      <w:bookmarkStart w:id="75" w:name="_Toc100326221"/>
      <w:bookmarkStart w:id="76" w:name="_Toc100568144"/>
      <w:r>
        <w:t>Subdivision 2 — Objections</w:t>
      </w:r>
      <w:bookmarkEnd w:id="74"/>
      <w:bookmarkEnd w:id="75"/>
      <w:bookmarkEnd w:id="76"/>
    </w:p>
    <w:p>
      <w:pPr>
        <w:pStyle w:val="Heading5"/>
        <w:spacing w:before="180"/>
      </w:pPr>
      <w:bookmarkStart w:id="77" w:name="_Toc100568145"/>
      <w:r>
        <w:rPr>
          <w:rStyle w:val="CharSectno"/>
        </w:rPr>
        <w:t>27</w:t>
      </w:r>
      <w:r>
        <w:t>.</w:t>
      </w:r>
      <w:r>
        <w:tab/>
        <w:t>Right to object and procedure for making objections</w:t>
      </w:r>
      <w:bookmarkEnd w:id="77"/>
    </w:p>
    <w:p>
      <w:pPr>
        <w:pStyle w:val="Subsection"/>
      </w:pPr>
      <w:r>
        <w:tab/>
        <w:t>(1)</w:t>
      </w:r>
      <w:r>
        <w:tab/>
        <w:t>An applicant for a first home owner grant who is dissatisfied with the Commissioner’s decision on the application may object to the decision.</w:t>
      </w:r>
    </w:p>
    <w:p>
      <w:pPr>
        <w:pStyle w:val="Subsection"/>
      </w:pPr>
      <w:r>
        <w:tab/>
        <w:t>(2)</w:t>
      </w:r>
      <w:r>
        <w:tab/>
        <w:t xml:space="preserve">An objection — </w:t>
      </w:r>
    </w:p>
    <w:p>
      <w:pPr>
        <w:pStyle w:val="Indenta"/>
      </w:pPr>
      <w:r>
        <w:tab/>
        <w:t>(a)</w:t>
      </w:r>
      <w:r>
        <w:tab/>
        <w:t>is to be in writing; and</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78" w:name="_Toc100568146"/>
      <w:r>
        <w:rPr>
          <w:rStyle w:val="CharSectno"/>
        </w:rPr>
        <w:t>28</w:t>
      </w:r>
      <w:r>
        <w:t>.</w:t>
      </w:r>
      <w:r>
        <w:tab/>
        <w:t>Time for lodging objection</w:t>
      </w:r>
      <w:bookmarkEnd w:id="78"/>
    </w:p>
    <w:p>
      <w:pPr>
        <w:pStyle w:val="Subsection"/>
      </w:pPr>
      <w:r>
        <w:tab/>
        <w:t>(1)</w:t>
      </w:r>
      <w:r>
        <w:tab/>
        <w:t xml:space="preserve">An objection to a decision on the application is to be lodged — </w:t>
      </w:r>
    </w:p>
    <w:p>
      <w:pPr>
        <w:pStyle w:val="Indenta"/>
      </w:pPr>
      <w:r>
        <w:tab/>
        <w:t>(a)</w:t>
      </w:r>
      <w:r>
        <w:tab/>
        <w:t>within 60 days after the date on which notice of the decision is given to the objector; or</w:t>
      </w:r>
    </w:p>
    <w:p>
      <w:pPr>
        <w:pStyle w:val="Indenta"/>
      </w:pPr>
      <w:r>
        <w:tab/>
        <w:t>(b)</w:t>
      </w:r>
      <w:r>
        <w:tab/>
        <w:t xml:space="preserve">in the case of a class 4, class 5, class 6 or class 7 eligible transaction within the meaning of section 14B, within 60 days after the later of — </w:t>
      </w:r>
    </w:p>
    <w:p>
      <w:pPr>
        <w:pStyle w:val="Indenti"/>
      </w:pPr>
      <w:r>
        <w:tab/>
        <w:t>(i)</w:t>
      </w:r>
      <w:r>
        <w:tab/>
        <w:t>the date on which notice of the decision is given to the objector; or</w:t>
      </w:r>
    </w:p>
    <w:p>
      <w:pPr>
        <w:pStyle w:val="Indenti"/>
      </w:pPr>
      <w:r>
        <w:lastRenderedPageBreak/>
        <w:tab/>
        <w:t>(ii)</w:t>
      </w:r>
      <w:r>
        <w:tab/>
        <w:t xml:space="preserve">the day on which the </w:t>
      </w:r>
      <w:r>
        <w:rPr>
          <w:i/>
          <w:snapToGrid w:val="0"/>
        </w:rPr>
        <w:t>First Home Owner Grant Amendment Act 2009</w:t>
      </w:r>
      <w:r>
        <w:rPr>
          <w:iCs/>
          <w:snapToGrid w:val="0"/>
        </w:rPr>
        <w:t xml:space="preserve"> </w:t>
      </w:r>
      <w:r>
        <w:t>receives the Royal Assent;</w:t>
      </w:r>
    </w:p>
    <w:p>
      <w:pPr>
        <w:pStyle w:val="Indenta"/>
      </w:pPr>
      <w:r>
        <w:tab/>
      </w:r>
      <w:r>
        <w:tab/>
        <w:t>or</w:t>
      </w:r>
    </w:p>
    <w:p>
      <w:pPr>
        <w:pStyle w:val="Indenta"/>
        <w:keepNext/>
      </w:pPr>
      <w:r>
        <w:tab/>
        <w:t>(c)</w:t>
      </w:r>
      <w:r>
        <w:tab/>
        <w:t xml:space="preserve">in the case of a class 8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rPr>
        <w:t>First Home Owner Grant Amendment Act 2017</w:t>
      </w:r>
      <w:r>
        <w:t xml:space="preserve"> receives the Royal Assent.</w:t>
      </w:r>
    </w:p>
    <w:p>
      <w:pPr>
        <w:pStyle w:val="Subsection"/>
      </w:pPr>
      <w:r>
        <w:rPr>
          <w:snapToGrid w:val="0"/>
        </w:rPr>
        <w:tab/>
        <w:t>(2)</w:t>
      </w:r>
      <w:r>
        <w:rPr>
          <w:snapToGrid w:val="0"/>
        </w:rPr>
        <w:tab/>
      </w:r>
      <w:r>
        <w:t>However, the Commissioner may, on application by the applicant, extend the time for lodging an objection.</w:t>
      </w:r>
    </w:p>
    <w:p>
      <w:pPr>
        <w:pStyle w:val="Subsection"/>
      </w:pPr>
      <w:r>
        <w:tab/>
        <w:t>(3)</w:t>
      </w:r>
      <w:r>
        <w:tab/>
        <w:t xml:space="preserve">An application for an extension of time — </w:t>
      </w:r>
    </w:p>
    <w:p>
      <w:pPr>
        <w:pStyle w:val="Indenta"/>
      </w:pPr>
      <w:r>
        <w:tab/>
        <w:t>(a)</w:t>
      </w:r>
      <w:r>
        <w:tab/>
        <w:t>must be made within 12 months after the day on which the objection was to have been lodged under subsection (1), but may be made before or after that day; and</w:t>
      </w:r>
    </w:p>
    <w:p>
      <w:pPr>
        <w:pStyle w:val="Indenta"/>
      </w:pPr>
      <w:r>
        <w:tab/>
        <w:t>(b)</w:t>
      </w:r>
      <w:r>
        <w:tab/>
        <w:t>must set out in detail the grounds on which the applicant asks for an extension of time.</w:t>
      </w:r>
    </w:p>
    <w:p>
      <w:pPr>
        <w:pStyle w:val="Footnotesection"/>
      </w:pPr>
      <w:r>
        <w:tab/>
        <w:t>[Section 28 amended: No. 27 of 2009 s. 7; No. 32 of 2012 s. 29; No. 16 of 2017 s. 13.]</w:t>
      </w:r>
    </w:p>
    <w:p>
      <w:pPr>
        <w:pStyle w:val="Heading5"/>
        <w:rPr>
          <w:highlight w:val="cyan"/>
        </w:rPr>
      </w:pPr>
      <w:bookmarkStart w:id="79" w:name="_Toc100568147"/>
      <w:r>
        <w:rPr>
          <w:rStyle w:val="CharSectno"/>
        </w:rPr>
        <w:t>29A</w:t>
      </w:r>
      <w:r>
        <w:t>.</w:t>
      </w:r>
      <w:r>
        <w:tab/>
        <w:t xml:space="preserve">Relationship with </w:t>
      </w:r>
      <w:r>
        <w:rPr>
          <w:i/>
        </w:rPr>
        <w:t>Duties Act 2008</w:t>
      </w:r>
      <w:r>
        <w:t xml:space="preserve"> and </w:t>
      </w:r>
      <w:r>
        <w:rPr>
          <w:i/>
        </w:rPr>
        <w:t>Taxation Administration Act 2003</w:t>
      </w:r>
      <w:bookmarkEnd w:id="79"/>
    </w:p>
    <w:p>
      <w:pPr>
        <w:pStyle w:val="Subsection"/>
      </w:pPr>
      <w:r>
        <w:tab/>
        <w:t>(1)</w:t>
      </w:r>
      <w:r>
        <w:tab/>
        <w:t xml:space="preserve">If, in relation to an application and a decision on the application — </w:t>
      </w:r>
    </w:p>
    <w:p>
      <w:pPr>
        <w:pStyle w:val="Indenta"/>
      </w:pPr>
      <w:r>
        <w:tab/>
        <w:t>(a)</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lastRenderedPageBreak/>
        <w:tab/>
        <w:t>(b)</w:t>
      </w:r>
      <w:r>
        <w:tab/>
        <w:t>notice of the reassessment is issued on a day that is after the day on which notice of the decision under this Act is given,</w:t>
      </w:r>
    </w:p>
    <w:p>
      <w:pPr>
        <w:pStyle w:val="Subsection"/>
      </w:pPr>
      <w:r>
        <w:tab/>
      </w:r>
      <w:r>
        <w:tab/>
        <w:t>the 60 day period referred to in section 28(1) of this Act and the 12 month period referred to in section 28(3) of this Act are to be increased by the number of days in the period commencing on the day after the day on which notice of the decision under this Act was given and ending on the day on which notice of the reassessment was issued.</w:t>
      </w:r>
    </w:p>
    <w:p>
      <w:pPr>
        <w:pStyle w:val="Subsection"/>
      </w:pPr>
      <w:r>
        <w:tab/>
        <w:t>(2)</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w:t>
      </w:r>
    </w:p>
    <w:p>
      <w:pPr>
        <w:pStyle w:val="Subsection"/>
      </w:pPr>
      <w:r>
        <w:tab/>
      </w:r>
      <w:r>
        <w:tab/>
        <w:t xml:space="preserve">the applicant is taken to have lodged an objection under the </w:t>
      </w:r>
      <w:r>
        <w:rPr>
          <w:i/>
        </w:rPr>
        <w:t>Taxation Administration Act 2003</w:t>
      </w:r>
      <w:r>
        <w:t xml:space="preserve"> to the reassessment.</w:t>
      </w:r>
    </w:p>
    <w:p>
      <w:pPr>
        <w:pStyle w:val="Subsection"/>
      </w:pPr>
      <w:r>
        <w:tab/>
        <w:t>(3)</w:t>
      </w:r>
      <w:r>
        <w:tab/>
        <w:t xml:space="preserve">If an applicant is, by subsection (2), taken to have lodged an objection under the </w:t>
      </w:r>
      <w:r>
        <w:rPr>
          <w:i/>
        </w:rPr>
        <w:t>Taxation Administration Act 2003</w:t>
      </w:r>
      <w:r>
        <w:t xml:space="preserve">, the objection is — </w:t>
      </w:r>
    </w:p>
    <w:p>
      <w:pPr>
        <w:pStyle w:val="Indenta"/>
      </w:pPr>
      <w:r>
        <w:tab/>
        <w:t>(a)</w:t>
      </w:r>
      <w:r>
        <w:tab/>
        <w:t>taken to comply with the requirements of section 35 and section 36(1) or (2) of that Act; and</w:t>
      </w:r>
    </w:p>
    <w:p>
      <w:pPr>
        <w:pStyle w:val="Indenta"/>
      </w:pPr>
      <w:r>
        <w:tab/>
        <w:t>(b)</w:t>
      </w:r>
      <w:r>
        <w:tab/>
        <w:t xml:space="preserve">taken to have been lodged on the later of — </w:t>
      </w:r>
    </w:p>
    <w:p>
      <w:pPr>
        <w:pStyle w:val="Indenti"/>
      </w:pPr>
      <w:r>
        <w:tab/>
        <w:t>(i)</w:t>
      </w:r>
      <w:r>
        <w:tab/>
        <w:t>the day on which the objection to the Commissioner’s decision on the application is lodged under this Act; and</w:t>
      </w:r>
    </w:p>
    <w:p>
      <w:pPr>
        <w:pStyle w:val="Indenti"/>
      </w:pPr>
      <w:r>
        <w:tab/>
        <w:t>(ii)</w:t>
      </w:r>
      <w:r>
        <w:tab/>
        <w:t xml:space="preserve">the day on which notice of a reassessment of duty chargeable under the </w:t>
      </w:r>
      <w:r>
        <w:rPr>
          <w:i/>
        </w:rPr>
        <w:t>Duties Act 2008</w:t>
      </w:r>
      <w:r>
        <w:t xml:space="preserve"> on the transfer is issued.</w:t>
      </w:r>
    </w:p>
    <w:p>
      <w:pPr>
        <w:pStyle w:val="Subsection"/>
        <w:keepNext/>
      </w:pPr>
      <w:r>
        <w:lastRenderedPageBreak/>
        <w:tab/>
        <w:t>(4)</w:t>
      </w:r>
      <w:r>
        <w:tab/>
        <w:t xml:space="preserve">If, in relation to an application and a decision on the application — </w:t>
      </w:r>
    </w:p>
    <w:p>
      <w:pPr>
        <w:pStyle w:val="Indenta"/>
      </w:pPr>
      <w:r>
        <w:tab/>
        <w:t>(a)</w:t>
      </w:r>
      <w:r>
        <w:tab/>
        <w:t>an applicant has made an application under section 28(2) of this Act for an extension of time for lodging an objection to the decision; and</w:t>
      </w:r>
    </w:p>
    <w:p>
      <w:pPr>
        <w:pStyle w:val="Indenta"/>
      </w:pPr>
      <w:r>
        <w:tab/>
        <w:t>(b)</w:t>
      </w:r>
      <w:r>
        <w:tab/>
        <w:t xml:space="preserve">the decision means that the transfer of the dutiable property to which the application relates is not chargeable at a concessional rate of duty (under the </w:t>
      </w:r>
      <w:r>
        <w:rPr>
          <w:i/>
        </w:rPr>
        <w:t>Duties Act 2008</w:t>
      </w:r>
      <w:r>
        <w:t xml:space="preserve"> Chapter 2 Part 6 Division 3),</w:t>
      </w:r>
    </w:p>
    <w:p>
      <w:pPr>
        <w:pStyle w:val="Subsection"/>
      </w:pPr>
      <w:r>
        <w:tab/>
      </w:r>
      <w:r>
        <w:tab/>
        <w:t xml:space="preserve">then, if the extension of time is granted, and the applicant makes an objection to the decision under section 27 of this Act, subsection (2) has effect in relation to the </w:t>
      </w:r>
      <w:r>
        <w:rPr>
          <w:i/>
        </w:rPr>
        <w:t>Duties Act 2008</w:t>
      </w:r>
      <w:r>
        <w:t xml:space="preserve"> and the </w:t>
      </w:r>
      <w:r>
        <w:rPr>
          <w:i/>
        </w:rPr>
        <w:t>Taxation Administration Act 2003</w:t>
      </w:r>
      <w:r>
        <w:t xml:space="preserve"> despite the applicant not having made an application under the </w:t>
      </w:r>
      <w:r>
        <w:rPr>
          <w:i/>
        </w:rPr>
        <w:t>Taxation Administration Act 2003</w:t>
      </w:r>
      <w:r>
        <w:t xml:space="preserve"> section 36(5) for an extension of time for lodging an objection to any reassessment that the Commissioner has made, or will make, of duty chargeable on the transfer.</w:t>
      </w:r>
    </w:p>
    <w:p>
      <w:pPr>
        <w:pStyle w:val="Subsection"/>
      </w:pPr>
      <w:r>
        <w:tab/>
        <w:t>(5)</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(c)</w:t>
      </w:r>
      <w:r>
        <w:tab/>
        <w:t>notice of the reassessment is issued on a day that is after the day on which the applicant made the objection referred to in paragraph (a),</w:t>
      </w:r>
    </w:p>
    <w:p>
      <w:pPr>
        <w:pStyle w:val="Subsection"/>
      </w:pPr>
      <w:r>
        <w:tab/>
      </w:r>
      <w:r>
        <w:tab/>
        <w:t xml:space="preserve">the 90 day and 120 day periods referred to in section 30A are to be increased by the number of days in the period commencing on the day after the day on which the objection was lodged with </w:t>
      </w:r>
      <w:r>
        <w:lastRenderedPageBreak/>
        <w:t>the Commissioner under this Act and ending on the day on which notice of the reassessment was issued.</w:t>
      </w:r>
    </w:p>
    <w:p>
      <w:pPr>
        <w:pStyle w:val="Subsection"/>
      </w:pPr>
      <w:r>
        <w:tab/>
        <w:t>(6)</w:t>
      </w:r>
      <w:r>
        <w:tab/>
        <w:t xml:space="preserve">If, in relation to an application and a decision on the application, an applicant — </w:t>
      </w:r>
    </w:p>
    <w:p>
      <w:pPr>
        <w:pStyle w:val="Indenta"/>
      </w:pPr>
      <w:r>
        <w:tab/>
        <w:t>(a)</w:t>
      </w:r>
      <w:r>
        <w:tab/>
        <w:t>makes an objection to the decision under section 27; and</w:t>
      </w:r>
    </w:p>
    <w:p>
      <w:pPr>
        <w:pStyle w:val="Indenta"/>
      </w:pPr>
      <w:r>
        <w:tab/>
        <w:t>(b)</w:t>
      </w:r>
      <w:r>
        <w:tab/>
        <w:t xml:space="preserve">makes an objection under the </w:t>
      </w:r>
      <w:r>
        <w:rPr>
          <w:i/>
        </w:rPr>
        <w:t>Taxation Administration Act 2003</w:t>
      </w:r>
      <w:r>
        <w:t xml:space="preserve"> to any reassessment that the Commissioner has made, or will make, of duty chargeable under the </w:t>
      </w:r>
      <w:r>
        <w:rPr>
          <w:i/>
        </w:rPr>
        <w:t>Duties Act 2008</w:t>
      </w:r>
      <w:r>
        <w:t xml:space="preserve"> on the transfer of the dutiable property to which the application relates,</w:t>
      </w:r>
    </w:p>
    <w:p>
      <w:pPr>
        <w:pStyle w:val="Subsection"/>
      </w:pPr>
      <w:r>
        <w:tab/>
      </w:r>
      <w:r>
        <w:tab/>
        <w:t xml:space="preserve">the objection under the </w:t>
      </w:r>
      <w:r>
        <w:rPr>
          <w:i/>
        </w:rPr>
        <w:t>Taxation Administration Act 2003</w:t>
      </w:r>
      <w:r>
        <w:t xml:space="preserve"> is taken to have been lodged on the day determined under subsection (3)(b).</w:t>
      </w:r>
    </w:p>
    <w:p>
      <w:pPr>
        <w:pStyle w:val="Subsection"/>
      </w:pPr>
      <w:r>
        <w:tab/>
        <w:t>(7)</w:t>
      </w:r>
      <w:r>
        <w:tab/>
        <w:t xml:space="preserve">If a term used in this section is given a meaning in the </w:t>
      </w:r>
      <w:r>
        <w:rPr>
          <w:i/>
        </w:rPr>
        <w:t>Duties Act 2008</w:t>
      </w:r>
      <w:r>
        <w:t xml:space="preserve"> or the </w:t>
      </w:r>
      <w:r>
        <w:rPr>
          <w:i/>
        </w:rPr>
        <w:t>Taxation Administration Act 2003</w:t>
      </w:r>
      <w:r>
        <w:t>, it has the same meaning in this section unless the contrary intention appears.</w:t>
      </w:r>
    </w:p>
    <w:p>
      <w:pPr>
        <w:pStyle w:val="Subsection"/>
      </w:pPr>
      <w:r>
        <w:tab/>
        <w:t>(8)</w:t>
      </w:r>
      <w:r>
        <w:tab/>
        <w:t>In this section, a reference to the transfer of dutiable property includes a reference to an agreement for the transfer of the property.</w:t>
      </w:r>
    </w:p>
    <w:p>
      <w:pPr>
        <w:pStyle w:val="Footnotesection"/>
      </w:pPr>
      <w:r>
        <w:tab/>
        <w:t>[Section 29A inserted: No. 32 of 2012 s. 30.]</w:t>
      </w:r>
    </w:p>
    <w:p>
      <w:pPr>
        <w:pStyle w:val="Heading5"/>
      </w:pPr>
      <w:bookmarkStart w:id="80" w:name="_Toc100568148"/>
      <w:r>
        <w:rPr>
          <w:rStyle w:val="CharSectno"/>
        </w:rPr>
        <w:t>29</w:t>
      </w:r>
      <w:r>
        <w:rPr>
          <w:snapToGrid w:val="0"/>
        </w:rPr>
        <w:t>.</w:t>
      </w:r>
      <w:r>
        <w:rPr>
          <w:snapToGrid w:val="0"/>
        </w:rPr>
        <w:tab/>
        <w:t>Consideration of objection</w:t>
      </w:r>
      <w:bookmarkEnd w:id="80"/>
    </w:p>
    <w:p>
      <w:pPr>
        <w:pStyle w:val="Subsection"/>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pPr>
      <w:bookmarkStart w:id="81" w:name="_Toc100568149"/>
      <w:r>
        <w:rPr>
          <w:rStyle w:val="CharSectno"/>
        </w:rPr>
        <w:lastRenderedPageBreak/>
        <w:t>30A</w:t>
      </w:r>
      <w:r>
        <w:t>.</w:t>
      </w:r>
      <w:r>
        <w:tab/>
        <w:t>Time limit for making decision on objection</w:t>
      </w:r>
      <w:bookmarkEnd w:id="81"/>
    </w:p>
    <w:p>
      <w:pPr>
        <w:pStyle w:val="Subsection"/>
      </w:pPr>
      <w:r>
        <w:tab/>
        <w:t>(1)</w:t>
      </w:r>
      <w:r>
        <w:tab/>
        <w:t>The Commissioner must make a decision on an objection within the decision period calculated under subsection (2).</w:t>
      </w:r>
    </w:p>
    <w:p>
      <w:pPr>
        <w:pStyle w:val="Subsection"/>
      </w:pPr>
      <w:r>
        <w:tab/>
        <w:t>(2)</w:t>
      </w:r>
      <w:r>
        <w:tab/>
        <w:t xml:space="preserve">The decision period is the initial period of 90 days beginning on the day the objection is lodged with the Commissioner, plus the number of days equal to the number of days the Commissioner needs (whether the needed days fall during or after the initial 90 day period) — </w:t>
      </w:r>
    </w:p>
    <w:p>
      <w:pPr>
        <w:pStyle w:val="Indenta"/>
      </w:pPr>
      <w:r>
        <w:tab/>
        <w:t>(a)</w:t>
      </w:r>
      <w:r>
        <w:tab/>
        <w:t>to obtain from the objector information that the Commissioner reasonably requires to make a decision on the objection; or</w:t>
      </w:r>
    </w:p>
    <w:p>
      <w:pPr>
        <w:pStyle w:val="Indenta"/>
      </w:pPr>
      <w:r>
        <w:tab/>
        <w:t>(b)</w:t>
      </w:r>
      <w:r>
        <w:tab/>
        <w:t>to consider any information provided by the objector after the objection was lodged; or</w:t>
      </w:r>
    </w:p>
    <w:p>
      <w:pPr>
        <w:pStyle w:val="Indenta"/>
      </w:pPr>
      <w:r>
        <w:tab/>
        <w:t>(c)</w:t>
      </w:r>
      <w:r>
        <w:tab/>
        <w:t>to obtain any advice and assistance from an external agency that the Commissioner reasonably requires to make a decision on the objection.</w:t>
      </w:r>
    </w:p>
    <w:p>
      <w:pPr>
        <w:pStyle w:val="Subsection"/>
      </w:pPr>
      <w:r>
        <w:tab/>
        <w:t>(3)</w:t>
      </w:r>
      <w:r>
        <w:tab/>
        <w:t>The Commissioner must notify the objector, before the end of the initial 90 day period, of any periods by which the decision period has been extended up to the time of notification and, if further delays extending the decision period occur after the initial notification, must keep the objector reasonably informed about the extent and the reasons for the further delays.</w:t>
      </w:r>
    </w:p>
    <w:p>
      <w:pPr>
        <w:pStyle w:val="Subsection"/>
      </w:pPr>
      <w:r>
        <w:tab/>
        <w:t>(4)</w:t>
      </w:r>
      <w:r>
        <w:tab/>
        <w:t xml:space="preserve">If the Commissioner fails to make a decision on an objection within 120 days after the day that the objection was lodged with the Commissioner, the objector may, by written notice given to the Commissioner, require the Commissioner to apply to the State Administrative Tribunal for directions as to any or all of the matters referred to in this section, including but not limited to — </w:t>
      </w:r>
    </w:p>
    <w:p>
      <w:pPr>
        <w:pStyle w:val="Indenta"/>
      </w:pPr>
      <w:r>
        <w:tab/>
        <w:t>(a)</w:t>
      </w:r>
      <w:r>
        <w:tab/>
        <w:t>the length of the decision period;</w:t>
      </w:r>
    </w:p>
    <w:p>
      <w:pPr>
        <w:pStyle w:val="Indenta"/>
      </w:pPr>
      <w:r>
        <w:tab/>
        <w:t>(b)</w:t>
      </w:r>
      <w:r>
        <w:tab/>
        <w:t>the time for the objector to comply with a request for information;</w:t>
      </w:r>
    </w:p>
    <w:p>
      <w:pPr>
        <w:pStyle w:val="Indenta"/>
      </w:pPr>
      <w:r>
        <w:tab/>
        <w:t>(c)</w:t>
      </w:r>
      <w:r>
        <w:tab/>
        <w:t>the information to be provided by the objector;</w:t>
      </w:r>
    </w:p>
    <w:p>
      <w:pPr>
        <w:pStyle w:val="Indenta"/>
      </w:pPr>
      <w:r>
        <w:lastRenderedPageBreak/>
        <w:tab/>
        <w:t>(d)</w:t>
      </w:r>
      <w:r>
        <w:tab/>
        <w:t>the time for the Commissioner to seek advice and assistance from an external agency.</w:t>
      </w:r>
    </w:p>
    <w:p>
      <w:pPr>
        <w:pStyle w:val="Subsection"/>
      </w:pPr>
      <w:r>
        <w:tab/>
        <w:t>(5)</w:t>
      </w:r>
      <w:r>
        <w:tab/>
        <w:t>On receiving a request under subsection (4), the Commissioner must apply to the State Administrative Tribunal for those directions within 14 days after the day on which the Commissioner was given the written notice.</w:t>
      </w:r>
    </w:p>
    <w:p>
      <w:pPr>
        <w:pStyle w:val="Subsection"/>
      </w:pPr>
      <w:r>
        <w:tab/>
        <w:t>(6)</w:t>
      </w:r>
      <w:r>
        <w:tab/>
        <w:t>Non</w:t>
      </w:r>
      <w:r>
        <w:noBreakHyphen/>
        <w:t>compliance with subsection (1) does not invalidate a decision on an objection.</w:t>
      </w:r>
    </w:p>
    <w:p>
      <w:pPr>
        <w:pStyle w:val="Footnotesection"/>
      </w:pPr>
      <w:r>
        <w:tab/>
        <w:t>[Section 30A inserted: No. 32 of 2012 s. 31.]</w:t>
      </w:r>
    </w:p>
    <w:p>
      <w:pPr>
        <w:pStyle w:val="Heading5"/>
        <w:spacing w:before="180"/>
      </w:pPr>
      <w:bookmarkStart w:id="82" w:name="_Toc100568150"/>
      <w:r>
        <w:rPr>
          <w:rStyle w:val="CharSectno"/>
        </w:rPr>
        <w:t>30</w:t>
      </w:r>
      <w:r>
        <w:rPr>
          <w:snapToGrid w:val="0"/>
        </w:rPr>
        <w:t>.</w:t>
      </w:r>
      <w:r>
        <w:rPr>
          <w:snapToGrid w:val="0"/>
        </w:rPr>
        <w:tab/>
        <w:t>Decision on objection</w:t>
      </w:r>
      <w:bookmarkEnd w:id="82"/>
    </w:p>
    <w:p>
      <w:pPr>
        <w:pStyle w:val="Subsection"/>
        <w:keepNext/>
        <w:keepLines/>
      </w:pPr>
      <w:r>
        <w:tab/>
        <w:t>(1A)</w:t>
      </w:r>
      <w:r>
        <w:tab/>
        <w:t xml:space="preserve">In this section — </w:t>
      </w:r>
    </w:p>
    <w:p>
      <w:pPr>
        <w:pStyle w:val="Defstart"/>
      </w:pPr>
      <w:r>
        <w:tab/>
      </w:r>
      <w:r>
        <w:rPr>
          <w:rStyle w:val="CharDefText"/>
        </w:rPr>
        <w:t>approved</w:t>
      </w:r>
      <w:r>
        <w:t>, in relation to a date for a payment or repayment, means the date, on or after the date of the decision on the objection, on which the Commissioner approves the payment or repayment.</w:t>
      </w:r>
    </w:p>
    <w:p>
      <w:pPr>
        <w:pStyle w:val="Subsection"/>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pPr>
      <w:r>
        <w:tab/>
        <w:t>(3)</w:t>
      </w:r>
      <w:r>
        <w:tab/>
        <w:t>If, as a result of a decision on an objection,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(4)</w:t>
      </w:r>
      <w:r>
        <w:tab/>
        <w:t>If, as a result of a decision on an objection,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lastRenderedPageBreak/>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(5)</w:t>
      </w:r>
      <w:r>
        <w:tab/>
        <w:t xml:space="preserve">If, as the result of a decision on an objection,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(6)</w:t>
      </w:r>
      <w:r>
        <w:tab/>
        <w:t xml:space="preserve">If, as the result of a decision on an objection,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 xml:space="preserve">interest at the prescribed rate on the amounts payable to the applicant under paragraphs (a) and (b) from the date </w:t>
      </w:r>
      <w:r>
        <w:lastRenderedPageBreak/>
        <w:t>the amount was paid by the applicant to the date approved for the repayment.</w:t>
      </w:r>
    </w:p>
    <w:p>
      <w:pPr>
        <w:pStyle w:val="Footnotesection"/>
      </w:pPr>
      <w:r>
        <w:tab/>
        <w:t>[Section 30 amended: No. 27 of 2009 s. 17; No. 16 of 2017 s. 14.]</w:t>
      </w:r>
    </w:p>
    <w:p>
      <w:pPr>
        <w:pStyle w:val="Heading4"/>
        <w:spacing w:before="200"/>
      </w:pPr>
      <w:bookmarkStart w:id="83" w:name="_Toc100325853"/>
      <w:bookmarkStart w:id="84" w:name="_Toc100326228"/>
      <w:bookmarkStart w:id="85" w:name="_Toc100568151"/>
      <w:r>
        <w:rPr>
          <w:snapToGrid w:val="0"/>
        </w:rPr>
        <w:t xml:space="preserve">Subdivision 3 — </w:t>
      </w:r>
      <w:r>
        <w:t>Review</w:t>
      </w:r>
      <w:bookmarkEnd w:id="83"/>
      <w:bookmarkEnd w:id="84"/>
      <w:bookmarkEnd w:id="85"/>
    </w:p>
    <w:p>
      <w:pPr>
        <w:pStyle w:val="Footnoteheading"/>
        <w:spacing w:before="100"/>
      </w:pPr>
      <w:r>
        <w:tab/>
        <w:t>[Heading amended: No. 55 of 2004 s. 375.]</w:t>
      </w:r>
    </w:p>
    <w:p>
      <w:pPr>
        <w:pStyle w:val="Heading5"/>
      </w:pPr>
      <w:bookmarkStart w:id="86" w:name="_Toc100568152"/>
      <w:r>
        <w:rPr>
          <w:rStyle w:val="CharSectno"/>
        </w:rPr>
        <w:t>31</w:t>
      </w:r>
      <w:r>
        <w:t>.</w:t>
      </w:r>
      <w:r>
        <w:tab/>
        <w:t>Right of review</w:t>
      </w:r>
      <w:bookmarkEnd w:id="86"/>
    </w:p>
    <w:p>
      <w:pPr>
        <w:pStyle w:val="Subsection"/>
      </w:pPr>
      <w:r>
        <w:tab/>
        <w:t>(1)</w:t>
      </w:r>
      <w:r>
        <w:tab/>
        <w:t>A person who is dissatisfied with the Commissioner’s decision on the objection or on an application for an extension of time for lodging an objection may apply to the State Administrative Tribunal for a review of the decision.</w:t>
      </w:r>
    </w:p>
    <w:p>
      <w:pPr>
        <w:pStyle w:val="Subsection"/>
      </w:pPr>
      <w:r>
        <w:tab/>
        <w:t>(2)</w:t>
      </w:r>
      <w:r>
        <w:tab/>
        <w:t>An application for review is to be made within 60 days after the date on which notice of the decision is given to the person.</w:t>
      </w:r>
    </w:p>
    <w:p>
      <w:pPr>
        <w:pStyle w:val="Footnotesection"/>
      </w:pPr>
      <w:r>
        <w:tab/>
        <w:t>[Section 31 amended: No. 55 of 2004 s. 376; No. 32 of 2012 s. 32.]</w:t>
      </w:r>
    </w:p>
    <w:p>
      <w:pPr>
        <w:pStyle w:val="Heading5"/>
      </w:pPr>
      <w:bookmarkStart w:id="87" w:name="_Toc100568153"/>
      <w:r>
        <w:rPr>
          <w:rStyle w:val="CharSectno"/>
        </w:rPr>
        <w:t>32</w:t>
      </w:r>
      <w:r>
        <w:t>.</w:t>
      </w:r>
      <w:r>
        <w:tab/>
        <w:t>Payment following determination of review</w:t>
      </w:r>
      <w:bookmarkEnd w:id="87"/>
    </w:p>
    <w:p>
      <w:pPr>
        <w:pStyle w:val="Subsection"/>
      </w:pPr>
      <w:r>
        <w:tab/>
        <w:t>(1)</w:t>
      </w:r>
      <w:r>
        <w:tab/>
        <w:t xml:space="preserve">In this section — </w:t>
      </w:r>
    </w:p>
    <w:p>
      <w:pPr>
        <w:pStyle w:val="Defstart"/>
      </w:pPr>
      <w:r>
        <w:tab/>
      </w:r>
      <w:r>
        <w:rPr>
          <w:rStyle w:val="CharDefText"/>
        </w:rPr>
        <w:t>approved</w:t>
      </w:r>
      <w:r>
        <w:t>, in relation to a date for a payment or repayment, means the date, on or after the date of the decision resulting from the application for review, on which the Commissioner approves the payment or repayment.</w:t>
      </w:r>
    </w:p>
    <w:p>
      <w:pPr>
        <w:pStyle w:val="Subsection"/>
      </w:pPr>
      <w:r>
        <w:rPr>
          <w:snapToGrid w:val="0"/>
        </w:rPr>
        <w:tab/>
        <w:t>(2)</w:t>
      </w:r>
      <w:r>
        <w:rPr>
          <w:snapToGrid w:val="0"/>
        </w:rPr>
        <w:tab/>
      </w:r>
      <w:r>
        <w:t>If, as the result of an application for a review of a decision,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(3)</w:t>
      </w:r>
      <w:r>
        <w:tab/>
        <w:t>If, as the result of an application for a review of a decision,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lastRenderedPageBreak/>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(4)</w:t>
      </w:r>
      <w:r>
        <w:tab/>
        <w:t xml:space="preserve">If, as the result of an application for a review of a decision,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(5)</w:t>
      </w:r>
      <w:r>
        <w:tab/>
        <w:t xml:space="preserve">If, as the result of an application for a review of a decision,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tab/>
        <w:t>(b)</w:t>
      </w:r>
      <w:r>
        <w:tab/>
        <w:t>any interest paid by the applicant in respect of a written arrangement approved by the Commissioner under section 52 that relates to an amount referred to in paragraph (a);</w:t>
      </w:r>
    </w:p>
    <w:p>
      <w:pPr>
        <w:pStyle w:val="Indenta"/>
        <w:keepNext/>
        <w:keepLines/>
      </w:pPr>
      <w:r>
        <w:lastRenderedPageBreak/>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32 inserted: No. 27 of 2009 s. 18; amended: No. 16 of 2017 s. 15.]</w:t>
      </w:r>
    </w:p>
    <w:p>
      <w:pPr>
        <w:pStyle w:val="Footnoteheading"/>
      </w:pPr>
      <w:r>
        <w:tab/>
        <w:t>[Heading deleted: No. 55 of 2004 s. 378.]</w:t>
      </w:r>
    </w:p>
    <w:p>
      <w:pPr>
        <w:pStyle w:val="Ednotesection"/>
      </w:pPr>
      <w:r>
        <w:t>[</w:t>
      </w:r>
      <w:r>
        <w:rPr>
          <w:b/>
        </w:rPr>
        <w:t>33.</w:t>
      </w:r>
      <w:r>
        <w:tab/>
        <w:t>Deleted: No. 55 of 2004 s. 379.]</w:t>
      </w:r>
    </w:p>
    <w:p>
      <w:pPr>
        <w:pStyle w:val="Heading2"/>
      </w:pPr>
      <w:bookmarkStart w:id="88" w:name="_Toc100325856"/>
      <w:bookmarkStart w:id="89" w:name="_Toc100326231"/>
      <w:bookmarkStart w:id="90" w:name="_Toc100568154"/>
      <w:r>
        <w:rPr>
          <w:rStyle w:val="CharPartNo"/>
        </w:rPr>
        <w:lastRenderedPageBreak/>
        <w:t>Part 3</w:t>
      </w:r>
      <w:r>
        <w:t xml:space="preserve"> — </w:t>
      </w:r>
      <w:r>
        <w:rPr>
          <w:rStyle w:val="CharPartText"/>
        </w:rPr>
        <w:t>Administration</w:t>
      </w:r>
      <w:bookmarkEnd w:id="88"/>
      <w:bookmarkEnd w:id="89"/>
      <w:bookmarkEnd w:id="90"/>
    </w:p>
    <w:p>
      <w:pPr>
        <w:pStyle w:val="Heading3"/>
      </w:pPr>
      <w:bookmarkStart w:id="91" w:name="_Toc100325857"/>
      <w:bookmarkStart w:id="92" w:name="_Toc100326232"/>
      <w:bookmarkStart w:id="93" w:name="_Toc100568155"/>
      <w:r>
        <w:rPr>
          <w:rStyle w:val="CharDivNo"/>
        </w:rPr>
        <w:t>Division 1</w:t>
      </w:r>
      <w:r>
        <w:t xml:space="preserve"> — </w:t>
      </w:r>
      <w:r>
        <w:rPr>
          <w:rStyle w:val="CharDivText"/>
        </w:rPr>
        <w:t>Administration generally</w:t>
      </w:r>
      <w:bookmarkEnd w:id="91"/>
      <w:bookmarkEnd w:id="92"/>
      <w:bookmarkEnd w:id="93"/>
    </w:p>
    <w:p>
      <w:pPr>
        <w:pStyle w:val="Heading5"/>
        <w:spacing w:before="180"/>
      </w:pPr>
      <w:bookmarkStart w:id="94" w:name="_Toc100568156"/>
      <w:r>
        <w:rPr>
          <w:rStyle w:val="CharSectno"/>
        </w:rPr>
        <w:t>34</w:t>
      </w:r>
      <w:r>
        <w:t>.</w:t>
      </w:r>
      <w:r>
        <w:tab/>
        <w:t>Administration of Act</w:t>
      </w:r>
      <w:bookmarkEnd w:id="94"/>
    </w:p>
    <w:p>
      <w:pPr>
        <w:pStyle w:val="Subsection"/>
        <w:spacing w:before="120"/>
      </w:pPr>
      <w:r>
        <w:tab/>
      </w:r>
      <w:r>
        <w:tab/>
        <w:t xml:space="preserve">The </w:t>
      </w:r>
      <w:r>
        <w:rPr>
          <w:i/>
          <w:iCs/>
        </w:rPr>
        <w:t>Taxation Administration Act 2003</w:t>
      </w:r>
      <w:r>
        <w:t xml:space="preserve"> section 7 applies in relation to this Act as if this Act were a taxation Act as defined in the Glossary to that Act.</w:t>
      </w:r>
    </w:p>
    <w:p>
      <w:pPr>
        <w:pStyle w:val="Footnotesection"/>
      </w:pPr>
      <w:r>
        <w:tab/>
        <w:t>[Section 34 inserted: No. 31 of 2008 s. 33.]</w:t>
      </w:r>
    </w:p>
    <w:p>
      <w:pPr>
        <w:pStyle w:val="Heading5"/>
        <w:spacing w:before="180"/>
      </w:pPr>
      <w:bookmarkStart w:id="95" w:name="_Toc100568157"/>
      <w:r>
        <w:rPr>
          <w:rStyle w:val="CharSectno"/>
        </w:rPr>
        <w:t>35</w:t>
      </w:r>
      <w:r>
        <w:t>.</w:t>
      </w:r>
      <w:r>
        <w:tab/>
        <w:t>Delegation</w:t>
      </w:r>
      <w:bookmarkEnd w:id="95"/>
    </w:p>
    <w:p>
      <w:pPr>
        <w:pStyle w:val="Subsection"/>
        <w:spacing w:before="120"/>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 or</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spacing w:before="120"/>
      </w:pPr>
      <w:r>
        <w:tab/>
        <w:t>(5)</w:t>
      </w:r>
      <w:r>
        <w:tab/>
        <w:t>A delegate performing a function under this section is taken to do so in accordance with the terms of the delegation unless the contrary is shown.</w:t>
      </w:r>
    </w:p>
    <w:p>
      <w:pPr>
        <w:pStyle w:val="Subsection"/>
      </w:pPr>
      <w:r>
        <w:lastRenderedPageBreak/>
        <w:tab/>
        <w:t>(6)</w:t>
      </w:r>
      <w:r>
        <w:tab/>
        <w:t>Nothing in this section or section 37 limits the ability of the Commissioner to act through the Commissioner’s officers and agents in the normal course of business.</w:t>
      </w:r>
    </w:p>
    <w:p>
      <w:pPr>
        <w:pStyle w:val="Heading5"/>
      </w:pPr>
      <w:bookmarkStart w:id="96" w:name="_Toc100568158"/>
      <w:r>
        <w:rPr>
          <w:rStyle w:val="CharSectno"/>
        </w:rPr>
        <w:t>36</w:t>
      </w:r>
      <w:r>
        <w:t>.</w:t>
      </w:r>
      <w:r>
        <w:tab/>
        <w:t>Authorised investigators</w:t>
      </w:r>
      <w:bookmarkEnd w:id="96"/>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97" w:name="_Toc100568159"/>
      <w:r>
        <w:rPr>
          <w:rStyle w:val="CharSectno"/>
        </w:rPr>
        <w:t>37</w:t>
      </w:r>
      <w:r>
        <w:t>.</w:t>
      </w:r>
      <w:r>
        <w:tab/>
        <w:t>Administration agreements</w:t>
      </w:r>
      <w:bookmarkEnd w:id="97"/>
    </w:p>
    <w:p>
      <w:pPr>
        <w:pStyle w:val="Subsection"/>
      </w:pPr>
      <w:r>
        <w:tab/>
        <w:t>(1)</w:t>
      </w:r>
      <w:r>
        <w:tab/>
        <w:t xml:space="preserve">Without limiting section 35, the Commissioner may enter into an agreement (an </w:t>
      </w:r>
      <w:r>
        <w:rPr>
          <w:rStyle w:val="CharDefText"/>
        </w:rPr>
        <w:t>administration agreement</w:t>
      </w:r>
      <w:r>
        <w:t xml:space="preserve">) with a financial institution or other person under which — </w:t>
      </w:r>
    </w:p>
    <w:p>
      <w:pPr>
        <w:pStyle w:val="Indenta"/>
      </w:pPr>
      <w:r>
        <w:tab/>
        <w:t>(a)</w:t>
      </w:r>
      <w:r>
        <w:tab/>
        <w:t>the Commissioner delegates functions related to the administration of the first home owner grant scheme to the financial institution or other person; and</w:t>
      </w:r>
    </w:p>
    <w:p>
      <w:pPr>
        <w:pStyle w:val="Indenta"/>
      </w:pPr>
      <w:r>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lastRenderedPageBreak/>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Footnotesection"/>
      </w:pPr>
      <w:r>
        <w:tab/>
        <w:t>[Section 37 amended: No. 1 of 2022 s. 11.]</w:t>
      </w:r>
    </w:p>
    <w:p>
      <w:pPr>
        <w:pStyle w:val="Heading3"/>
      </w:pPr>
      <w:bookmarkStart w:id="98" w:name="_Toc100325862"/>
      <w:bookmarkStart w:id="99" w:name="_Toc100326237"/>
      <w:bookmarkStart w:id="100" w:name="_Toc100568160"/>
      <w:r>
        <w:rPr>
          <w:rStyle w:val="CharDivNo"/>
        </w:rPr>
        <w:t>Division 2</w:t>
      </w:r>
      <w:r>
        <w:t xml:space="preserve"> — </w:t>
      </w:r>
      <w:r>
        <w:rPr>
          <w:rStyle w:val="CharDivText"/>
        </w:rPr>
        <w:t>Investigations</w:t>
      </w:r>
      <w:bookmarkEnd w:id="98"/>
      <w:bookmarkEnd w:id="99"/>
      <w:bookmarkEnd w:id="100"/>
    </w:p>
    <w:p>
      <w:pPr>
        <w:pStyle w:val="Heading5"/>
      </w:pPr>
      <w:bookmarkStart w:id="101" w:name="_Toc100568161"/>
      <w:r>
        <w:rPr>
          <w:rStyle w:val="CharSectno"/>
        </w:rPr>
        <w:t>38</w:t>
      </w:r>
      <w:r>
        <w:t>.</w:t>
      </w:r>
      <w:r>
        <w:tab/>
        <w:t>Investigations</w:t>
      </w:r>
      <w:bookmarkEnd w:id="101"/>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r>
        <w:t xml:space="preserve"> or</w:t>
      </w:r>
    </w:p>
    <w:p>
      <w:pPr>
        <w:pStyle w:val="Indenta"/>
        <w:rPr>
          <w:snapToGrid w:val="0"/>
        </w:rPr>
      </w:pPr>
      <w:r>
        <w:rPr>
          <w:snapToGrid w:val="0"/>
        </w:rPr>
        <w:tab/>
        <w:t>(b)</w:t>
      </w:r>
      <w:r>
        <w:rPr>
          <w:snapToGrid w:val="0"/>
        </w:rPr>
        <w:tab/>
        <w:t>whether an objection to a decision made under this Act or a corresponding law should be upheld;</w:t>
      </w:r>
      <w:r>
        <w:t xml:space="preserve"> or</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r>
        <w:t xml:space="preserve"> or</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tab/>
        <w:t>(e)</w:t>
      </w:r>
      <w:r>
        <w:rPr>
          <w:snapToGrid w:val="0"/>
        </w:rPr>
        <w:tab/>
        <w:t>any other matter related to the administration or enforcement of this Act or a corresponding law.</w:t>
      </w:r>
    </w:p>
    <w:p>
      <w:pPr>
        <w:pStyle w:val="Heading5"/>
        <w:rPr>
          <w:snapToGrid w:val="0"/>
        </w:rPr>
      </w:pPr>
      <w:bookmarkStart w:id="102" w:name="_Toc100568162"/>
      <w:r>
        <w:rPr>
          <w:rStyle w:val="CharSectno"/>
        </w:rPr>
        <w:lastRenderedPageBreak/>
        <w:t>39</w:t>
      </w:r>
      <w:r>
        <w:rPr>
          <w:snapToGrid w:val="0"/>
        </w:rPr>
        <w:t>.</w:t>
      </w:r>
      <w:r>
        <w:rPr>
          <w:snapToGrid w:val="0"/>
        </w:rPr>
        <w:tab/>
        <w:t>Cross</w:t>
      </w:r>
      <w:r>
        <w:rPr>
          <w:snapToGrid w:val="0"/>
        </w:rPr>
        <w:noBreakHyphen/>
        <w:t>border investigations</w:t>
      </w:r>
      <w:bookmarkEnd w:id="102"/>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103" w:name="_Toc100568163"/>
      <w:r>
        <w:rPr>
          <w:rStyle w:val="CharSectno"/>
        </w:rPr>
        <w:t>40</w:t>
      </w:r>
      <w:r>
        <w:rPr>
          <w:snapToGrid w:val="0"/>
        </w:rPr>
        <w:t>.</w:t>
      </w:r>
      <w:r>
        <w:rPr>
          <w:snapToGrid w:val="0"/>
        </w:rPr>
        <w:tab/>
        <w:t>Power of investigation</w:t>
      </w:r>
      <w:bookmarkEnd w:id="103"/>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104" w:name="_Toc100568164"/>
      <w:r>
        <w:rPr>
          <w:rStyle w:val="CharSectno"/>
        </w:rPr>
        <w:lastRenderedPageBreak/>
        <w:t>41A.</w:t>
      </w:r>
      <w:r>
        <w:rPr>
          <w:rStyle w:val="CharSectno"/>
        </w:rPr>
        <w:tab/>
        <w:t>P</w:t>
      </w:r>
      <w:r>
        <w:t>ower to have valuation made</w:t>
      </w:r>
      <w:bookmarkEnd w:id="104"/>
    </w:p>
    <w:p>
      <w:pPr>
        <w:pStyle w:val="Subsection"/>
        <w:keepNext/>
      </w:pPr>
      <w:r>
        <w:tab/>
        <w:t>(1)</w:t>
      </w:r>
      <w:r>
        <w:tab/>
        <w:t xml:space="preserve">In this section — </w:t>
      </w:r>
    </w:p>
    <w:p>
      <w:pPr>
        <w:pStyle w:val="Defstart"/>
      </w:pPr>
      <w:r>
        <w:tab/>
      </w:r>
      <w:r>
        <w:rPr>
          <w:rStyle w:val="CharDefText"/>
        </w:rPr>
        <w:t>applicant</w:t>
      </w:r>
      <w:r>
        <w:rPr>
          <w:rStyle w:val="CharDefText"/>
          <w:b w:val="0"/>
          <w:bCs/>
          <w:i w:val="0"/>
          <w:iCs/>
        </w:rPr>
        <w:t>,</w:t>
      </w:r>
      <w:r>
        <w:t xml:space="preserve"> in relation to a transaction, means a person who made an application in respect of the transaction;</w:t>
      </w:r>
    </w:p>
    <w:p>
      <w:pPr>
        <w:pStyle w:val="Defstart"/>
      </w:pPr>
      <w:r>
        <w:tab/>
      </w:r>
      <w:r>
        <w:rPr>
          <w:rStyle w:val="CharDefText"/>
        </w:rPr>
        <w:t>licensed valuer</w:t>
      </w:r>
      <w:r>
        <w:t xml:space="preserve"> means a person licensed under the </w:t>
      </w:r>
      <w:r>
        <w:rPr>
          <w:i/>
        </w:rPr>
        <w:t>Land Valuers Licensing Act 1978</w:t>
      </w:r>
      <w:r>
        <w:t>.</w:t>
      </w:r>
    </w:p>
    <w:p>
      <w:pPr>
        <w:pStyle w:val="Subsection"/>
      </w:pPr>
      <w:r>
        <w:tab/>
        <w:t>(2)</w:t>
      </w:r>
      <w:r>
        <w:tab/>
        <w:t xml:space="preserve">For the purposes of determining whether a transaction is an eligible transaction, the Commissioner may — </w:t>
      </w:r>
    </w:p>
    <w:p>
      <w:pPr>
        <w:pStyle w:val="Indenta"/>
      </w:pPr>
      <w:r>
        <w:tab/>
        <w:t>(a)</w:t>
      </w:r>
      <w:r>
        <w:tab/>
        <w:t xml:space="preserve">have a valuation made of any property or consideration; or </w:t>
      </w:r>
    </w:p>
    <w:p>
      <w:pPr>
        <w:pStyle w:val="Indenta"/>
      </w:pPr>
      <w:r>
        <w:tab/>
        <w:t>(b)</w:t>
      </w:r>
      <w:r>
        <w:tab/>
        <w:t>adopt any available valuation of the property or consideration by a licensed valuer that the Commissioner considers appropriate.</w:t>
      </w:r>
    </w:p>
    <w:p>
      <w:pPr>
        <w:pStyle w:val="Subsection"/>
      </w:pPr>
      <w:r>
        <w:tab/>
        <w:t>(3)</w:t>
      </w:r>
      <w:r>
        <w:tab/>
        <w:t>The Commissioner may have a valuation made, or adopt a valuation, regardless of whether — </w:t>
      </w:r>
    </w:p>
    <w:p>
      <w:pPr>
        <w:pStyle w:val="Indenta"/>
      </w:pPr>
      <w:r>
        <w:tab/>
        <w:t>(a)</w:t>
      </w:r>
      <w:r>
        <w:tab/>
        <w:t>the Commissioner has required the applicant to provide information under section 40 about the value of the property or consideration; or</w:t>
      </w:r>
    </w:p>
    <w:p>
      <w:pPr>
        <w:pStyle w:val="Indenta"/>
      </w:pPr>
      <w:r>
        <w:tab/>
        <w:t>(b)</w:t>
      </w:r>
      <w:r>
        <w:tab/>
        <w:t xml:space="preserve">the applicant has complied with such a requirement. </w:t>
      </w:r>
    </w:p>
    <w:p>
      <w:pPr>
        <w:pStyle w:val="Footnotesection"/>
      </w:pPr>
      <w:r>
        <w:tab/>
        <w:t>[Section 41A inserted: No. 27 of 2009 s. 13.]</w:t>
      </w:r>
    </w:p>
    <w:p>
      <w:pPr>
        <w:pStyle w:val="Heading5"/>
      </w:pPr>
      <w:bookmarkStart w:id="105" w:name="_Toc100568165"/>
      <w:r>
        <w:rPr>
          <w:rStyle w:val="CharSectno"/>
        </w:rPr>
        <w:t>41</w:t>
      </w:r>
      <w:r>
        <w:t>.</w:t>
      </w:r>
      <w:r>
        <w:tab/>
        <w:t>Power to require person to attend for examination</w:t>
      </w:r>
      <w:bookmarkEnd w:id="105"/>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lastRenderedPageBreak/>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keepNext/>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 and</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106" w:name="_Toc100568166"/>
      <w:r>
        <w:rPr>
          <w:rStyle w:val="CharSectno"/>
        </w:rPr>
        <w:t>42</w:t>
      </w:r>
      <w:r>
        <w:t>.</w:t>
      </w:r>
      <w:r>
        <w:tab/>
        <w:t>Entry of premises</w:t>
      </w:r>
      <w:bookmarkEnd w:id="106"/>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pPr>
      <w:r>
        <w:tab/>
        <w:t>(2)</w:t>
      </w:r>
      <w:r>
        <w:tab/>
        <w:t xml:space="preserve">An authorised investigator may only enter premises that comprise a residential property — </w:t>
      </w:r>
    </w:p>
    <w:p>
      <w:pPr>
        <w:pStyle w:val="Indenta"/>
      </w:pPr>
      <w:r>
        <w:tab/>
        <w:t>(a)</w:t>
      </w:r>
      <w:r>
        <w:tab/>
        <w:t>at any reasonable time with the consent of the occupier of the premises; or</w:t>
      </w:r>
    </w:p>
    <w:p>
      <w:pPr>
        <w:pStyle w:val="Indenta"/>
      </w:pPr>
      <w:r>
        <w:lastRenderedPageBreak/>
        <w:tab/>
        <w:t>(b)</w:t>
      </w:r>
      <w:r>
        <w:tab/>
        <w:t>in accordance with the authorisation conferred by a warrant; or</w:t>
      </w:r>
    </w:p>
    <w:p>
      <w:pPr>
        <w:pStyle w:val="Indenta"/>
        <w:keepNext/>
        <w:keepLines/>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107" w:name="_Toc100568167"/>
      <w:r>
        <w:rPr>
          <w:rStyle w:val="CharSectno"/>
        </w:rPr>
        <w:t>43</w:t>
      </w:r>
      <w:r>
        <w:t>.</w:t>
      </w:r>
      <w:r>
        <w:tab/>
        <w:t>Powers of authorised investigator on entry of premises</w:t>
      </w:r>
      <w:bookmarkEnd w:id="107"/>
    </w:p>
    <w:p>
      <w:pPr>
        <w:pStyle w:val="Subsection"/>
        <w:keepNext/>
      </w:pPr>
      <w:r>
        <w:tab/>
        <w:t>(1)</w:t>
      </w:r>
      <w:r>
        <w:tab/>
        <w:t>An authorised investigator who enters premises under section 42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for examining it, or examining and copying it, to determine its evidentiary value; or</w:t>
      </w:r>
    </w:p>
    <w:p>
      <w:pPr>
        <w:pStyle w:val="Indenti"/>
      </w:pPr>
      <w:r>
        <w:tab/>
        <w:t>(ii)</w:t>
      </w:r>
      <w:r>
        <w:tab/>
        <w:t xml:space="preserve">if it is relevant to an investigation of the eligibility for a first home owner grant of a person — </w:t>
      </w:r>
    </w:p>
    <w:p>
      <w:pPr>
        <w:pStyle w:val="IndentI0"/>
      </w:pPr>
      <w:r>
        <w:lastRenderedPageBreak/>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to state his or her full name and address; or</w:t>
      </w:r>
    </w:p>
    <w:p>
      <w:pPr>
        <w:pStyle w:val="Indenti"/>
      </w:pPr>
      <w:r>
        <w:tab/>
        <w:t>(ii)</w:t>
      </w:r>
      <w:r>
        <w:tab/>
        <w:t>to answer (orally or in writing) questions put by the authorised investigator relevant to the investigation; or</w:t>
      </w:r>
    </w:p>
    <w:p>
      <w:pPr>
        <w:pStyle w:val="Indenti"/>
      </w:pPr>
      <w:r>
        <w:tab/>
        <w:t>(iii)</w:t>
      </w:r>
      <w:r>
        <w:tab/>
        <w:t>to produce relevant material in the person’s possession or control; or</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lastRenderedPageBreak/>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or</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108" w:name="_Toc100568168"/>
      <w:r>
        <w:rPr>
          <w:rStyle w:val="CharSectno"/>
        </w:rPr>
        <w:t>44</w:t>
      </w:r>
      <w:r>
        <w:t>.</w:t>
      </w:r>
      <w:r>
        <w:tab/>
        <w:t>Warrants</w:t>
      </w:r>
      <w:bookmarkEnd w:id="108"/>
    </w:p>
    <w:p>
      <w:pPr>
        <w:pStyle w:val="Subsection"/>
      </w:pPr>
      <w:r>
        <w:tab/>
        <w:t>(1)</w:t>
      </w:r>
      <w:r>
        <w:tab/>
        <w:t xml:space="preserve">If a justice is satisfied on an application supported by evidence on oath that it is reasonably necessary for an authorised investigator to enter premises for the purposes of an </w:t>
      </w:r>
      <w:r>
        <w:lastRenderedPageBreak/>
        <w:t>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r>
        <w:tab/>
        <w:t>[Section 44 amended: No. 84 of 2004 s. 80.]</w:t>
      </w:r>
    </w:p>
    <w:p>
      <w:pPr>
        <w:pStyle w:val="Heading5"/>
      </w:pPr>
      <w:bookmarkStart w:id="109" w:name="_Toc100568169"/>
      <w:r>
        <w:rPr>
          <w:rStyle w:val="CharSectno"/>
        </w:rPr>
        <w:t>45</w:t>
      </w:r>
      <w:r>
        <w:t>.</w:t>
      </w:r>
      <w:r>
        <w:tab/>
        <w:t>Use of force</w:t>
      </w:r>
      <w:bookmarkEnd w:id="109"/>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110" w:name="_Toc100568170"/>
      <w:r>
        <w:rPr>
          <w:rStyle w:val="CharSectno"/>
        </w:rPr>
        <w:t>46</w:t>
      </w:r>
      <w:r>
        <w:t>.</w:t>
      </w:r>
      <w:r>
        <w:tab/>
        <w:t>Self incrimination</w:t>
      </w:r>
      <w:bookmarkEnd w:id="110"/>
    </w:p>
    <w:p>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pPr>
        <w:pStyle w:val="Subsection"/>
      </w:pPr>
      <w:r>
        <w:lastRenderedPageBreak/>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111" w:name="_Toc100325873"/>
      <w:bookmarkStart w:id="112" w:name="_Toc100326248"/>
      <w:bookmarkStart w:id="113" w:name="_Toc100568171"/>
      <w:r>
        <w:rPr>
          <w:rStyle w:val="CharPartNo"/>
        </w:rPr>
        <w:lastRenderedPageBreak/>
        <w:t>Part 4</w:t>
      </w:r>
      <w:r>
        <w:t xml:space="preserve"> — </w:t>
      </w:r>
      <w:r>
        <w:rPr>
          <w:rStyle w:val="CharPartText"/>
        </w:rPr>
        <w:t>Miscellaneous</w:t>
      </w:r>
      <w:bookmarkEnd w:id="111"/>
      <w:bookmarkEnd w:id="112"/>
      <w:bookmarkEnd w:id="113"/>
    </w:p>
    <w:p>
      <w:pPr>
        <w:pStyle w:val="Heading3"/>
      </w:pPr>
      <w:bookmarkStart w:id="114" w:name="_Toc100325874"/>
      <w:bookmarkStart w:id="115" w:name="_Toc100326249"/>
      <w:bookmarkStart w:id="116" w:name="_Toc100568172"/>
      <w:r>
        <w:rPr>
          <w:rStyle w:val="CharDivNo"/>
        </w:rPr>
        <w:t>Division 1</w:t>
      </w:r>
      <w:r>
        <w:t xml:space="preserve"> — </w:t>
      </w:r>
      <w:r>
        <w:rPr>
          <w:rStyle w:val="CharDivText"/>
        </w:rPr>
        <w:t>Offences</w:t>
      </w:r>
      <w:bookmarkEnd w:id="114"/>
      <w:bookmarkEnd w:id="115"/>
      <w:bookmarkEnd w:id="116"/>
    </w:p>
    <w:p>
      <w:pPr>
        <w:pStyle w:val="Heading5"/>
        <w:spacing w:before="180"/>
      </w:pPr>
      <w:bookmarkStart w:id="117" w:name="_Toc100568173"/>
      <w:r>
        <w:rPr>
          <w:rStyle w:val="CharSectno"/>
        </w:rPr>
        <w:t>47</w:t>
      </w:r>
      <w:r>
        <w:t>.</w:t>
      </w:r>
      <w:r>
        <w:tab/>
        <w:t>False or misleading information and documents</w:t>
      </w:r>
      <w:bookmarkEnd w:id="117"/>
    </w:p>
    <w:p>
      <w:pPr>
        <w:pStyle w:val="Subsection"/>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rStyle w:val="CharDefText"/>
        </w:rPr>
        <w:t>document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t>whether or not the use or assistance of an electronic, electrical, mechanical, chemical or other device or process is required to recover or convey the information.</w:t>
      </w:r>
    </w:p>
    <w:p>
      <w:pPr>
        <w:pStyle w:val="Footnotesection"/>
        <w:spacing w:before="80"/>
        <w:ind w:left="890" w:hanging="890"/>
      </w:pPr>
      <w:r>
        <w:tab/>
        <w:t>[Section 47 amended: No. 52 of 2004 s. 13.]</w:t>
      </w:r>
    </w:p>
    <w:p>
      <w:pPr>
        <w:pStyle w:val="Heading5"/>
      </w:pPr>
      <w:bookmarkStart w:id="118" w:name="_Toc100568174"/>
      <w:r>
        <w:rPr>
          <w:rStyle w:val="CharSectno"/>
        </w:rPr>
        <w:lastRenderedPageBreak/>
        <w:t>48</w:t>
      </w:r>
      <w:r>
        <w:t>.</w:t>
      </w:r>
      <w:r>
        <w:tab/>
        <w:t>Obstructing or misleading Commissioner or authorised investigator</w:t>
      </w:r>
      <w:bookmarkEnd w:id="118"/>
    </w:p>
    <w:p>
      <w:pPr>
        <w:pStyle w:val="Subsection"/>
      </w:pPr>
      <w:r>
        <w:tab/>
        <w:t>(1)</w:t>
      </w:r>
      <w:r>
        <w:tab/>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rStyle w:val="CharDefText"/>
        </w:rPr>
        <w:t>authorised investigator</w:t>
      </w:r>
      <w:r>
        <w:t xml:space="preserve"> includes the Commissioner.</w:t>
      </w:r>
    </w:p>
    <w:p>
      <w:pPr>
        <w:pStyle w:val="Heading3"/>
      </w:pPr>
      <w:bookmarkStart w:id="119" w:name="_Toc100325877"/>
      <w:bookmarkStart w:id="120" w:name="_Toc100326252"/>
      <w:bookmarkStart w:id="121" w:name="_Toc100568175"/>
      <w:r>
        <w:rPr>
          <w:rStyle w:val="CharDivNo"/>
        </w:rPr>
        <w:t>Division 2</w:t>
      </w:r>
      <w:r>
        <w:t xml:space="preserve"> — </w:t>
      </w:r>
      <w:r>
        <w:rPr>
          <w:rStyle w:val="CharDivText"/>
        </w:rPr>
        <w:t>Evidentiary provisions</w:t>
      </w:r>
      <w:bookmarkEnd w:id="119"/>
      <w:bookmarkEnd w:id="120"/>
      <w:bookmarkEnd w:id="121"/>
    </w:p>
    <w:p>
      <w:pPr>
        <w:pStyle w:val="Heading5"/>
      </w:pPr>
      <w:bookmarkStart w:id="122" w:name="_Toc100568176"/>
      <w:r>
        <w:rPr>
          <w:rStyle w:val="CharSectno"/>
        </w:rPr>
        <w:t>49</w:t>
      </w:r>
      <w:r>
        <w:t>.</w:t>
      </w:r>
      <w:r>
        <w:tab/>
        <w:t>Evidence</w:t>
      </w:r>
      <w:bookmarkEnd w:id="122"/>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123" w:name="_Toc100568177"/>
      <w:r>
        <w:rPr>
          <w:rStyle w:val="CharSectno"/>
        </w:rPr>
        <w:t>50</w:t>
      </w:r>
      <w:r>
        <w:t>.</w:t>
      </w:r>
      <w:r>
        <w:tab/>
        <w:t>Presumption of regularity</w:t>
      </w:r>
      <w:bookmarkEnd w:id="123"/>
    </w:p>
    <w:p>
      <w:pPr>
        <w:pStyle w:val="Subsection"/>
      </w:pPr>
      <w:r>
        <w:tab/>
        <w:t>(1)</w:t>
      </w:r>
      <w:r>
        <w:tab/>
        <w:t xml:space="preserve">Proceedings for an offence against this Act that are taken in the name of the Commissioner are presumed, in the absence of </w:t>
      </w:r>
      <w:r>
        <w:lastRenderedPageBreak/>
        <w:t>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124" w:name="_Toc100325880"/>
      <w:bookmarkStart w:id="125" w:name="_Toc100326255"/>
      <w:bookmarkStart w:id="126" w:name="_Toc100568178"/>
      <w:r>
        <w:rPr>
          <w:rStyle w:val="CharDivNo"/>
        </w:rPr>
        <w:t>Division 3</w:t>
      </w:r>
      <w:r>
        <w:t xml:space="preserve"> — </w:t>
      </w:r>
      <w:r>
        <w:rPr>
          <w:rStyle w:val="CharDivText"/>
        </w:rPr>
        <w:t>Repayments and penalties</w:t>
      </w:r>
      <w:bookmarkEnd w:id="124"/>
      <w:bookmarkEnd w:id="125"/>
      <w:bookmarkEnd w:id="126"/>
    </w:p>
    <w:p>
      <w:pPr>
        <w:pStyle w:val="Heading5"/>
      </w:pPr>
      <w:bookmarkStart w:id="127" w:name="_Toc100568179"/>
      <w:r>
        <w:rPr>
          <w:rStyle w:val="CharSectno"/>
        </w:rPr>
        <w:t>51</w:t>
      </w:r>
      <w:r>
        <w:t>.</w:t>
      </w:r>
      <w:r>
        <w:tab/>
        <w:t>Commissioner may require repayment and impose penalty</w:t>
      </w:r>
      <w:bookmarkEnd w:id="127"/>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 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 or</w:t>
      </w:r>
    </w:p>
    <w:p>
      <w:pPr>
        <w:pStyle w:val="Indenta"/>
      </w:pPr>
      <w:r>
        <w:tab/>
        <w:t>(d)</w:t>
      </w:r>
      <w:r>
        <w:tab/>
        <w:t>the amount was paid on the basis that the eligible transaction was of a class referred to in section 14B but the eligible transaction is not of such a class.</w:t>
      </w:r>
    </w:p>
    <w:p>
      <w:pPr>
        <w:pStyle w:val="Subsection"/>
      </w:pPr>
      <w:r>
        <w:tab/>
        <w:t>(1A)</w:t>
      </w:r>
      <w:r>
        <w:tab/>
        <w:t xml:space="preserve">For the purposes of subsection (1)(d), the amount that the Commissioner may require an applicant to repay is — </w:t>
      </w:r>
    </w:p>
    <w:p>
      <w:pPr>
        <w:pStyle w:val="Indenta"/>
      </w:pPr>
      <w:r>
        <w:tab/>
        <w:t>(a)</w:t>
      </w:r>
      <w:r>
        <w:tab/>
        <w:t>if the amount paid on the application was more than the standard grant amount — the difference between those amounts; or</w:t>
      </w:r>
    </w:p>
    <w:p>
      <w:pPr>
        <w:pStyle w:val="Indenta"/>
      </w:pPr>
      <w:r>
        <w:tab/>
        <w:t>(b)</w:t>
      </w:r>
      <w:r>
        <w:tab/>
        <w:t>if the amount paid on the application was equal to or less than the standard grant amount — nil.</w:t>
      </w:r>
    </w:p>
    <w:p>
      <w:pPr>
        <w:pStyle w:val="Subsection"/>
        <w:keepNext/>
      </w:pPr>
      <w:r>
        <w:lastRenderedPageBreak/>
        <w:tab/>
        <w:t>(1B)</w:t>
      </w:r>
      <w:r>
        <w:tab/>
        <w:t xml:space="preserve">In subsection (1A) — </w:t>
      </w:r>
    </w:p>
    <w:p>
      <w:pPr>
        <w:pStyle w:val="Defstart"/>
      </w:pPr>
      <w:r>
        <w:tab/>
      </w:r>
      <w:r>
        <w:rPr>
          <w:rStyle w:val="CharDefText"/>
        </w:rPr>
        <w:t>standard grant amount</w:t>
      </w:r>
      <w:r>
        <w:t>, in relation to an eligible transaction, means the amount of the first home owner grant payable in respect of the transaction under section 19(2A) to (2C).</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Footnotesection"/>
      </w:pPr>
      <w:r>
        <w:tab/>
        <w:t>[Section 51 amended: No. 16 of 2017 s. 16.]</w:t>
      </w:r>
    </w:p>
    <w:p>
      <w:pPr>
        <w:pStyle w:val="Heading5"/>
      </w:pPr>
      <w:bookmarkStart w:id="128" w:name="_Toc100568180"/>
      <w:r>
        <w:rPr>
          <w:rStyle w:val="CharSectno"/>
        </w:rPr>
        <w:t>52</w:t>
      </w:r>
      <w:r>
        <w:t>.</w:t>
      </w:r>
      <w:r>
        <w:tab/>
        <w:t>Arrangements for instalments and extensions of time</w:t>
      </w:r>
      <w:bookmarkEnd w:id="128"/>
    </w:p>
    <w:p>
      <w:pPr>
        <w:pStyle w:val="Subsection"/>
      </w:pPr>
      <w:r>
        <w:tab/>
        <w:t>(1A)</w:t>
      </w:r>
      <w:r>
        <w:tab/>
        <w:t xml:space="preserve">In this section — </w:t>
      </w:r>
    </w:p>
    <w:p>
      <w:pPr>
        <w:pStyle w:val="Defstart"/>
      </w:pPr>
      <w:r>
        <w:tab/>
      </w:r>
      <w:r>
        <w:rPr>
          <w:rStyle w:val="CharDefText"/>
        </w:rPr>
        <w:t>required repayment</w:t>
      </w:r>
      <w:r>
        <w:t xml:space="preserve"> means any of the following — </w:t>
      </w:r>
    </w:p>
    <w:p>
      <w:pPr>
        <w:pStyle w:val="Defpara"/>
      </w:pPr>
      <w:r>
        <w:tab/>
        <w:t>(a)</w:t>
      </w:r>
      <w:r>
        <w:tab/>
        <w:t>a repayment required, or a penalty imposed, under section 18, 21 or 51;</w:t>
      </w:r>
    </w:p>
    <w:p>
      <w:pPr>
        <w:pStyle w:val="Defpara"/>
      </w:pPr>
      <w:r>
        <w:tab/>
        <w:t>(b)</w:t>
      </w:r>
      <w:r>
        <w:tab/>
        <w:t>a payment required under section 52A(1) or 60(1).</w:t>
      </w:r>
    </w:p>
    <w:p>
      <w:pPr>
        <w:pStyle w:val="Subsection"/>
      </w:pPr>
      <w:r>
        <w:lastRenderedPageBreak/>
        <w:tab/>
        <w:t>(1)</w:t>
      </w:r>
      <w:r>
        <w:tab/>
        <w:t xml:space="preserve">The Commissioner may approve (with or without amendment) a written arrangement — </w:t>
      </w:r>
    </w:p>
    <w:p>
      <w:pPr>
        <w:pStyle w:val="Indenta"/>
      </w:pPr>
      <w:r>
        <w:tab/>
        <w:t>(a)</w:t>
      </w:r>
      <w:r>
        <w:tab/>
        <w:t>extending the period for paying a required repayment;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 xml:space="preserve">On the cancellation of a repayment arrangement, the whole of the required repayment outstanding under the arrangement, together with interest, becomes due and payable as from the date of the cancellation or the original due date for making the </w:t>
      </w:r>
      <w:r>
        <w:lastRenderedPageBreak/>
        <w:t>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No. 13 of 2003 s. 9; No. 27 of 2009 s. 14; No. 16 of 2017 s. 17.]</w:t>
      </w:r>
    </w:p>
    <w:p>
      <w:pPr>
        <w:pStyle w:val="Heading5"/>
      </w:pPr>
      <w:bookmarkStart w:id="129" w:name="_Toc100568181"/>
      <w:r>
        <w:rPr>
          <w:rStyle w:val="CharSectno"/>
        </w:rPr>
        <w:t>52A</w:t>
      </w:r>
      <w:r>
        <w:t>.</w:t>
      </w:r>
      <w:r>
        <w:tab/>
        <w:t>Commissioner may recover legal costs</w:t>
      </w:r>
      <w:bookmarkEnd w:id="129"/>
    </w:p>
    <w:p>
      <w:pPr>
        <w:pStyle w:val="Subsection"/>
      </w:pPr>
      <w:r>
        <w:tab/>
        <w:t>(1)</w:t>
      </w:r>
      <w:r>
        <w:tab/>
        <w:t>The Commissioner may, by written notice, require an applicant to pay the reasonable legal costs incurred by the Commissioner in relation to proceedings for the recovery of an amount referred to in section 53(1)(a) to (d).</w:t>
      </w:r>
    </w:p>
    <w:p>
      <w:pPr>
        <w:pStyle w:val="Subsection"/>
      </w:pPr>
      <w:r>
        <w:tab/>
        <w:t>(2)</w:t>
      </w:r>
      <w:r>
        <w:tab/>
        <w:t>Subject to any arrangement made under section 52, a payment required under subsection (1) must be paid by the applicant within 28 days after the date on which notice of the requirement is given to the applicant.</w:t>
      </w:r>
    </w:p>
    <w:p>
      <w:pPr>
        <w:pStyle w:val="Subsection"/>
      </w:pPr>
      <w:r>
        <w:tab/>
        <w:t>(3)</w:t>
      </w:r>
      <w:r>
        <w:tab/>
        <w:t xml:space="preserve">If the notice covers legal costs as defined in the </w:t>
      </w:r>
      <w:r>
        <w:rPr>
          <w:i/>
        </w:rPr>
        <w:t>Legal Profession Act 2008</w:t>
      </w:r>
      <w:r>
        <w:t xml:space="preserve"> section 3 — </w:t>
      </w:r>
    </w:p>
    <w:p>
      <w:pPr>
        <w:pStyle w:val="Indenta"/>
      </w:pPr>
      <w:r>
        <w:tab/>
        <w:t>(a)</w:t>
      </w:r>
      <w:r>
        <w:tab/>
        <w:t xml:space="preserve">the notice must include or be accompanied by a written statement setting out the applicant’s right under the </w:t>
      </w:r>
      <w:r>
        <w:rPr>
          <w:i/>
        </w:rPr>
        <w:t>Legal Profession Act 2008</w:t>
      </w:r>
      <w:r>
        <w:t xml:space="preserve"> to apply for an assessment of those costs; and</w:t>
      </w:r>
    </w:p>
    <w:p>
      <w:pPr>
        <w:pStyle w:val="Indenta"/>
      </w:pPr>
      <w:r>
        <w:tab/>
        <w:t>(b)</w:t>
      </w:r>
      <w:r>
        <w:tab/>
        <w:t>the Commissioner must not commence proceedings to recover those costs until at least 30 days after the date on which the notice is given to the applicant.</w:t>
      </w:r>
    </w:p>
    <w:p>
      <w:pPr>
        <w:pStyle w:val="Footnotesection"/>
      </w:pPr>
      <w:r>
        <w:tab/>
        <w:t>[Section 52A inserted: No. 16 of 2017 s. 18.]</w:t>
      </w:r>
    </w:p>
    <w:p>
      <w:pPr>
        <w:pStyle w:val="Heading5"/>
        <w:pageBreakBefore/>
        <w:spacing w:before="0"/>
      </w:pPr>
      <w:bookmarkStart w:id="130" w:name="_Toc100568182"/>
      <w:r>
        <w:rPr>
          <w:rStyle w:val="CharSectno"/>
        </w:rPr>
        <w:lastRenderedPageBreak/>
        <w:t>53</w:t>
      </w:r>
      <w:r>
        <w:t>.</w:t>
      </w:r>
      <w:r>
        <w:tab/>
        <w:t>Recovery of certain amounts</w:t>
      </w:r>
      <w:bookmarkEnd w:id="130"/>
    </w:p>
    <w:p>
      <w:pPr>
        <w:pStyle w:val="Subsection"/>
      </w:pPr>
      <w:r>
        <w:tab/>
        <w:t>(1)</w:t>
      </w:r>
      <w:r>
        <w:tab/>
        <w:t>This section applies to the following amounts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w:t>
      </w:r>
    </w:p>
    <w:p>
      <w:pPr>
        <w:pStyle w:val="Indenta"/>
      </w:pPr>
      <w:r>
        <w:tab/>
        <w:t>(d)</w:t>
      </w:r>
      <w:r>
        <w:tab/>
        <w:t>an amount that is required to be paid under section 60;</w:t>
      </w:r>
    </w:p>
    <w:p>
      <w:pPr>
        <w:pStyle w:val="Indenta"/>
      </w:pPr>
      <w:r>
        <w:tab/>
        <w:t>(e)</w:t>
      </w:r>
      <w:r>
        <w:tab/>
        <w:t>the amount of legal costs referred to in a notice given by the Commissioner under section 52A(1).</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Footnotesection"/>
      </w:pPr>
      <w:r>
        <w:tab/>
        <w:t>[Section 53 amended: No. 16 of 2017 s. 19.]</w:t>
      </w:r>
    </w:p>
    <w:p>
      <w:pPr>
        <w:pStyle w:val="Heading5"/>
      </w:pPr>
      <w:bookmarkStart w:id="131" w:name="_Toc100568183"/>
      <w:r>
        <w:rPr>
          <w:rStyle w:val="CharSectno"/>
        </w:rPr>
        <w:t>54A</w:t>
      </w:r>
      <w:r>
        <w:t>.</w:t>
      </w:r>
      <w:r>
        <w:tab/>
        <w:t>Recovery from garnishee</w:t>
      </w:r>
      <w:bookmarkEnd w:id="131"/>
    </w:p>
    <w:p>
      <w:pPr>
        <w:pStyle w:val="Subsection"/>
      </w:pPr>
      <w:r>
        <w:tab/>
        <w:t>(1)</w:t>
      </w:r>
      <w:r>
        <w:tab/>
        <w:t>In this section —</w:t>
      </w:r>
    </w:p>
    <w:p>
      <w:pPr>
        <w:pStyle w:val="Defstart"/>
      </w:pPr>
      <w:r>
        <w:tab/>
      </w:r>
      <w:r>
        <w:rPr>
          <w:rStyle w:val="CharDefText"/>
        </w:rPr>
        <w:t>liable person</w:t>
      </w:r>
      <w:r>
        <w:t xml:space="preserve"> means a person who is liable under section 53(2).</w:t>
      </w:r>
    </w:p>
    <w:p>
      <w:pPr>
        <w:pStyle w:val="Subsection"/>
      </w:pPr>
      <w:r>
        <w:tab/>
        <w:t>(2)</w:t>
      </w:r>
      <w:r>
        <w:tab/>
        <w:t xml:space="preserve">The Commissioner may serve a garnishee notice on a person (the </w:t>
      </w:r>
      <w:r>
        <w:rPr>
          <w:rStyle w:val="CharDefText"/>
        </w:rPr>
        <w:t>garnishee</w:t>
      </w:r>
      <w:r>
        <w:t>) if the Commissioner believes on reasonable grounds that the garnishee —</w:t>
      </w:r>
    </w:p>
    <w:p>
      <w:pPr>
        <w:pStyle w:val="Indenta"/>
      </w:pPr>
      <w:r>
        <w:tab/>
        <w:t>(a)</w:t>
      </w:r>
      <w:r>
        <w:tab/>
        <w:t>holds or may receive money for or on account of a liable person; or</w:t>
      </w:r>
    </w:p>
    <w:p>
      <w:pPr>
        <w:pStyle w:val="Indenta"/>
      </w:pPr>
      <w:r>
        <w:tab/>
        <w:t>(b)</w:t>
      </w:r>
      <w:r>
        <w:tab/>
        <w:t>is liable or may become liable to pay money to a liable person; or</w:t>
      </w:r>
    </w:p>
    <w:p>
      <w:pPr>
        <w:pStyle w:val="Indenta"/>
      </w:pPr>
      <w:r>
        <w:lastRenderedPageBreak/>
        <w:tab/>
        <w:t>(c)</w:t>
      </w:r>
      <w:r>
        <w:tab/>
        <w:t>has authority to pay money to a liable person.</w:t>
      </w:r>
    </w:p>
    <w:p>
      <w:pPr>
        <w:pStyle w:val="Subsection"/>
        <w:keepNext/>
      </w:pPr>
      <w:r>
        <w:tab/>
        <w:t>(3)</w:t>
      </w:r>
      <w:r>
        <w:tab/>
        <w:t>A garnishee notice is a notice —</w:t>
      </w:r>
    </w:p>
    <w:p>
      <w:pPr>
        <w:pStyle w:val="Indenta"/>
      </w:pPr>
      <w:r>
        <w:tab/>
        <w:t>(a)</w:t>
      </w:r>
      <w:r>
        <w:tab/>
        <w:t>requiring the garnishee to pay money in the garnishee’s possession or control to which the liable person is or becomes entitled to the Commissioner up to the amount of a liability stated in the notice; and</w:t>
      </w:r>
    </w:p>
    <w:p>
      <w:pPr>
        <w:pStyle w:val="Indenta"/>
      </w:pPr>
      <w:r>
        <w:tab/>
        <w:t>(b)</w:t>
      </w:r>
      <w:r>
        <w:tab/>
        <w:t>fixing a time for payment (which cannot be before the time the liable person becomes entitled to the money).</w:t>
      </w:r>
    </w:p>
    <w:p>
      <w:pPr>
        <w:pStyle w:val="Subsection"/>
      </w:pPr>
      <w:r>
        <w:tab/>
        <w:t>(4)</w:t>
      </w:r>
      <w:r>
        <w:tab/>
        <w:t>The Commissioner may serve a garnishee notice even though the liable person’s entitlement to the money may be subject to unfulfilled conditions.</w:t>
      </w:r>
    </w:p>
    <w:p>
      <w:pPr>
        <w:pStyle w:val="Subsection"/>
      </w:pPr>
      <w:r>
        <w:tab/>
        <w:t>(5)</w:t>
      </w:r>
      <w:r>
        <w:tab/>
        <w:t>However, a garnishee notice served on the employer of a liable person can require the garnishee to pay to the Commissioner the wages payable by the garnishee to the liable person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(6)</w:t>
      </w:r>
      <w:r>
        <w:tab/>
        <w:t>The Commissioner must serve a copy of the garnishee notice on the liable person.</w:t>
      </w:r>
    </w:p>
    <w:p>
      <w:pPr>
        <w:pStyle w:val="Subsection"/>
      </w:pPr>
      <w:r>
        <w:tab/>
        <w:t>(7)</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liable person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(8)</w:t>
      </w:r>
      <w:r>
        <w:tab/>
        <w:t>A garnishee who does not comply with a garnishee notice commits an offence.</w:t>
      </w:r>
    </w:p>
    <w:p>
      <w:pPr>
        <w:pStyle w:val="Penstart"/>
      </w:pPr>
      <w:r>
        <w:tab/>
        <w:t>Penalty: a fine of $20 000.</w:t>
      </w:r>
    </w:p>
    <w:p>
      <w:pPr>
        <w:pStyle w:val="Subsection"/>
      </w:pPr>
      <w:r>
        <w:lastRenderedPageBreak/>
        <w:tab/>
        <w:t>(9)</w:t>
      </w:r>
      <w:r>
        <w:tab/>
        <w:t>A garnishee who is under an obligation to pay money to the liable person is taken to have satisfied that obligation to the extent of the payment made under the garnishee notice.</w:t>
      </w:r>
    </w:p>
    <w:p>
      <w:pPr>
        <w:pStyle w:val="Footnotesection"/>
      </w:pPr>
      <w:r>
        <w:tab/>
        <w:t>[Section 54A inserted: No. 29 of 2012 s. 11.]</w:t>
      </w:r>
    </w:p>
    <w:p>
      <w:pPr>
        <w:pStyle w:val="Heading5"/>
      </w:pPr>
      <w:bookmarkStart w:id="132" w:name="_Toc100568184"/>
      <w:r>
        <w:rPr>
          <w:rStyle w:val="CharSectno"/>
        </w:rPr>
        <w:t>54</w:t>
      </w:r>
      <w:r>
        <w:t>.</w:t>
      </w:r>
      <w:r>
        <w:tab/>
        <w:t>Writing off liability</w:t>
      </w:r>
      <w:bookmarkEnd w:id="132"/>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Financial Management Act 2006</w:t>
      </w:r>
      <w:r>
        <w:t>.</w:t>
      </w:r>
    </w:p>
    <w:p>
      <w:pPr>
        <w:pStyle w:val="Footnotesection"/>
      </w:pPr>
      <w:r>
        <w:tab/>
        <w:t>[Section 54 amended: No. 77 of 2006 Sch. 1 cl. 67.]</w:t>
      </w:r>
    </w:p>
    <w:p>
      <w:pPr>
        <w:pStyle w:val="Heading3"/>
      </w:pPr>
      <w:bookmarkStart w:id="133" w:name="_Toc100325887"/>
      <w:bookmarkStart w:id="134" w:name="_Toc100326262"/>
      <w:bookmarkStart w:id="135" w:name="_Toc100568185"/>
      <w:r>
        <w:rPr>
          <w:rStyle w:val="CharDivNo"/>
        </w:rPr>
        <w:t>Division 4</w:t>
      </w:r>
      <w:r>
        <w:t xml:space="preserve"> — </w:t>
      </w:r>
      <w:r>
        <w:rPr>
          <w:rStyle w:val="CharDivText"/>
        </w:rPr>
        <w:t>Charge on interest in home</w:t>
      </w:r>
      <w:bookmarkEnd w:id="133"/>
      <w:bookmarkEnd w:id="134"/>
      <w:bookmarkEnd w:id="135"/>
    </w:p>
    <w:p>
      <w:pPr>
        <w:pStyle w:val="Heading5"/>
      </w:pPr>
      <w:bookmarkStart w:id="136" w:name="_Toc100568186"/>
      <w:r>
        <w:rPr>
          <w:rStyle w:val="CharSectno"/>
        </w:rPr>
        <w:t>55</w:t>
      </w:r>
      <w:r>
        <w:t>.</w:t>
      </w:r>
      <w:r>
        <w:tab/>
        <w:t>Lodgement of memorial and creation of charge</w:t>
      </w:r>
      <w:bookmarkEnd w:id="136"/>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lastRenderedPageBreak/>
        <w:tab/>
        <w:t>(2A)</w:t>
      </w:r>
      <w:r>
        <w:tab/>
        <w:t xml:space="preserve">The Commissioner may lodge with the Registrar a memorial signed by the Commissioner if — </w:t>
      </w:r>
    </w:p>
    <w:p>
      <w:pPr>
        <w:pStyle w:val="Indenta"/>
      </w:pPr>
      <w:r>
        <w:tab/>
        <w:t>(a)</w:t>
      </w:r>
      <w:r>
        <w:tab/>
        <w:t>a payment of a first home owner grant authorised under section 21 has been made to an applicant; and</w:t>
      </w:r>
    </w:p>
    <w:p>
      <w:pPr>
        <w:pStyle w:val="Indenta"/>
      </w:pPr>
      <w:r>
        <w:tab/>
        <w:t>(b)</w:t>
      </w:r>
      <w:r>
        <w:tab/>
        <w:t>the applicant holds a relevant interest in relation to the home for which the grant was sought; and</w:t>
      </w:r>
    </w:p>
    <w:p>
      <w:pPr>
        <w:pStyle w:val="Indenta"/>
      </w:pPr>
      <w:r>
        <w:tab/>
        <w:t>(c)</w:t>
      </w:r>
      <w:r>
        <w:tab/>
        <w:t>the Commissioner reasonably believes that the applicant intends to sell the home before the applicant has complied with the residence requirements.</w:t>
      </w:r>
    </w:p>
    <w:p>
      <w:pPr>
        <w:pStyle w:val="Subsection"/>
      </w:pPr>
      <w:r>
        <w:tab/>
        <w:t>(2)</w:t>
      </w:r>
      <w:r>
        <w:tab/>
        <w:t>When a memorial lodged under subsection (1) is registered by the Registrar, a charge for the amount to which section 53 applies is created on the relevant interest.</w:t>
      </w:r>
    </w:p>
    <w:p>
      <w:pPr>
        <w:pStyle w:val="Subsection"/>
      </w:pPr>
      <w:r>
        <w:tab/>
        <w:t>(3A)</w:t>
      </w:r>
      <w:r>
        <w:tab/>
        <w:t>When a memorial lodged under subsection (2A) is registered by the Registrar, a charge for the amount of the first home owner grant that was paid to the applicant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keepLines/>
      </w:pPr>
      <w:r>
        <w:lastRenderedPageBreak/>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rStyle w:val="CharDefText"/>
        </w:rPr>
        <w:t>registered</w:t>
      </w:r>
      <w:r>
        <w:t xml:space="preserve"> means registered under the </w:t>
      </w:r>
      <w:r>
        <w:rPr>
          <w:i/>
        </w:rPr>
        <w:t>Registration of Deeds Act 1856</w:t>
      </w:r>
      <w:r>
        <w:t xml:space="preserve"> or </w:t>
      </w:r>
      <w:r>
        <w:rPr>
          <w:i/>
        </w:rPr>
        <w:t>Transfer of Land Act 1893</w:t>
      </w:r>
      <w:r>
        <w:t>, as the case requires.</w:t>
      </w:r>
    </w:p>
    <w:p>
      <w:pPr>
        <w:pStyle w:val="Footnotesection"/>
      </w:pPr>
      <w:r>
        <w:tab/>
        <w:t>[Section 55 amended: No. 27 of 2009 s. 19.]</w:t>
      </w:r>
    </w:p>
    <w:p>
      <w:pPr>
        <w:pStyle w:val="Heading5"/>
      </w:pPr>
      <w:bookmarkStart w:id="137" w:name="_Toc100568187"/>
      <w:r>
        <w:rPr>
          <w:rStyle w:val="CharSectno"/>
        </w:rPr>
        <w:t>56</w:t>
      </w:r>
      <w:r>
        <w:t>.</w:t>
      </w:r>
      <w:r>
        <w:tab/>
        <w:t>Priority of charge</w:t>
      </w:r>
      <w:bookmarkEnd w:id="137"/>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138" w:name="_Toc100568188"/>
      <w:r>
        <w:rPr>
          <w:rStyle w:val="CharSectno"/>
        </w:rPr>
        <w:t>57</w:t>
      </w:r>
      <w:r>
        <w:t>.</w:t>
      </w:r>
      <w:r>
        <w:tab/>
        <w:t>Release of relevant interest from charge</w:t>
      </w:r>
      <w:bookmarkEnd w:id="138"/>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139" w:name="_Toc100568189"/>
      <w:r>
        <w:rPr>
          <w:rStyle w:val="CharSectno"/>
        </w:rPr>
        <w:t>58</w:t>
      </w:r>
      <w:r>
        <w:t>.</w:t>
      </w:r>
      <w:r>
        <w:tab/>
        <w:t>Order for sale of relevant interest</w:t>
      </w:r>
      <w:bookmarkEnd w:id="139"/>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rStyle w:val="CharDefText"/>
        </w:rPr>
        <w:t>outstanding amount</w:t>
      </w:r>
      <w:r>
        <w:t xml:space="preserve">); and </w:t>
      </w:r>
    </w:p>
    <w:p>
      <w:pPr>
        <w:pStyle w:val="Indenti"/>
      </w:pPr>
      <w:r>
        <w:lastRenderedPageBreak/>
        <w:tab/>
        <w:t>(ii)</w:t>
      </w:r>
      <w:r>
        <w:tab/>
        <w:t>holds a relevant interest in relation to the home for which the grant was sought;</w:t>
      </w:r>
    </w:p>
    <w:p>
      <w:pPr>
        <w:pStyle w:val="Indenta"/>
      </w:pPr>
      <w:r>
        <w:tab/>
      </w:r>
      <w:r>
        <w:tab/>
        <w:t>and</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the other circulating generally throughout Australia;</w:t>
      </w:r>
    </w:p>
    <w:p>
      <w:pPr>
        <w:pStyle w:val="Indenta"/>
      </w:pPr>
      <w:r>
        <w:tab/>
      </w:r>
      <w:r>
        <w:tab/>
        <w:t>and</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 and</w:t>
      </w:r>
    </w:p>
    <w:p>
      <w:pPr>
        <w:pStyle w:val="Indenta"/>
      </w:pPr>
      <w:r>
        <w:lastRenderedPageBreak/>
        <w:tab/>
        <w:t>(b)</w:t>
      </w:r>
      <w:r>
        <w:tab/>
        <w:t>authorising an officer of the Court to execute documents, and to do anything else necessary, for the sale and conveyance of the relevant interest; and</w:t>
      </w:r>
    </w:p>
    <w:p>
      <w:pPr>
        <w:pStyle w:val="Indenta"/>
      </w:pPr>
      <w:r>
        <w:tab/>
        <w:t>(c)</w:t>
      </w:r>
      <w:r>
        <w:tab/>
        <w:t>authorising the Registrar to register a transfer to a purchaser without requiring the duplicate (if any) of the certificate of title or any other document; and</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 and</w:t>
      </w:r>
    </w:p>
    <w:p>
      <w:pPr>
        <w:pStyle w:val="Indenta"/>
      </w:pPr>
      <w:r>
        <w:tab/>
        <w:t>(b)</w:t>
      </w:r>
      <w:r>
        <w:tab/>
        <w:t>secondly, in payment of the costs of the proceedings so far as those costs are, by order of the Court, to be paid out of the proceeds of sale; and</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Heading5"/>
      </w:pPr>
      <w:bookmarkStart w:id="140" w:name="_Toc100568190"/>
      <w:r>
        <w:rPr>
          <w:rStyle w:val="CharSectno"/>
        </w:rPr>
        <w:t>59</w:t>
      </w:r>
      <w:r>
        <w:t>.</w:t>
      </w:r>
      <w:r>
        <w:tab/>
        <w:t>Charge not to limit other means of enforcing payment</w:t>
      </w:r>
      <w:bookmarkEnd w:id="140"/>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141" w:name="_Toc100568191"/>
      <w:r>
        <w:rPr>
          <w:rStyle w:val="CharSectno"/>
        </w:rPr>
        <w:lastRenderedPageBreak/>
        <w:t>60</w:t>
      </w:r>
      <w:r>
        <w:t>.</w:t>
      </w:r>
      <w:r>
        <w:tab/>
        <w:t>Commissioner may require fees to be reimbursed</w:t>
      </w:r>
      <w:bookmarkEnd w:id="141"/>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142" w:name="_Toc100325894"/>
      <w:bookmarkStart w:id="143" w:name="_Toc100326269"/>
      <w:bookmarkStart w:id="144" w:name="_Toc100568192"/>
      <w:r>
        <w:rPr>
          <w:rStyle w:val="CharDivNo"/>
        </w:rPr>
        <w:t>Division 5</w:t>
      </w:r>
      <w:r>
        <w:t xml:space="preserve"> — </w:t>
      </w:r>
      <w:r>
        <w:rPr>
          <w:rStyle w:val="CharDivText"/>
        </w:rPr>
        <w:t>Service of documents</w:t>
      </w:r>
      <w:bookmarkEnd w:id="142"/>
      <w:bookmarkEnd w:id="143"/>
      <w:bookmarkEnd w:id="144"/>
    </w:p>
    <w:p>
      <w:pPr>
        <w:pStyle w:val="Heading5"/>
      </w:pPr>
      <w:bookmarkStart w:id="145" w:name="_Toc100568193"/>
      <w:r>
        <w:rPr>
          <w:rStyle w:val="CharSectno"/>
        </w:rPr>
        <w:t>61</w:t>
      </w:r>
      <w:r>
        <w:t>.</w:t>
      </w:r>
      <w:r>
        <w:tab/>
        <w:t>Service on joint applicants or agent or representative</w:t>
      </w:r>
      <w:bookmarkEnd w:id="145"/>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146" w:name="_Toc100568194"/>
      <w:r>
        <w:rPr>
          <w:rStyle w:val="CharSectno"/>
        </w:rPr>
        <w:t>62</w:t>
      </w:r>
      <w:r>
        <w:t>.</w:t>
      </w:r>
      <w:r>
        <w:tab/>
        <w:t>Method of service by Commissioner</w:t>
      </w:r>
      <w:bookmarkEnd w:id="146"/>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 or</w:t>
      </w:r>
    </w:p>
    <w:p>
      <w:pPr>
        <w:pStyle w:val="Indenta"/>
      </w:pPr>
      <w:r>
        <w:tab/>
        <w:t>(b)</w:t>
      </w:r>
      <w:r>
        <w:tab/>
        <w:t>left for the person at the person’s place of residence or business; or</w:t>
      </w:r>
    </w:p>
    <w:p>
      <w:pPr>
        <w:pStyle w:val="Indenta"/>
        <w:keepLines/>
      </w:pPr>
      <w:r>
        <w:lastRenderedPageBreak/>
        <w:tab/>
        <w:t>(c)</w:t>
      </w:r>
      <w:r>
        <w:tab/>
        <w:t>sent by prepaid post (including document exchange) addressed to the person at an address appearing on correspondence addressed by or on behalf of the person to the Commissioner or otherwise notified to the Commissioner; or</w:t>
      </w:r>
    </w:p>
    <w:p>
      <w:pPr>
        <w:pStyle w:val="Indenta"/>
      </w:pPr>
      <w:r>
        <w:tab/>
        <w:t>(d)</w:t>
      </w:r>
      <w:r>
        <w:tab/>
        <w:t>left for collection by the person, or that person’s agent, in a collection box maintained at the Commissioner’s office; or</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a day prescribed by the regulations.</w:t>
      </w:r>
    </w:p>
    <w:p>
      <w:pPr>
        <w:pStyle w:val="Subsection"/>
      </w:pPr>
      <w:r>
        <w:tab/>
        <w:t>(4)</w:t>
      </w:r>
      <w:r>
        <w:tab/>
        <w:t>For the purposes of subsection (3), the regulations may prescribe different days for documents served by different methods and in different circumstances.</w:t>
      </w:r>
    </w:p>
    <w:p>
      <w:pPr>
        <w:pStyle w:val="Footnotesection"/>
      </w:pPr>
      <w:r>
        <w:tab/>
        <w:t>[Section 62 amended: No. 16 of 2017 s. 20.]</w:t>
      </w:r>
    </w:p>
    <w:p>
      <w:pPr>
        <w:pStyle w:val="Heading5"/>
      </w:pPr>
      <w:bookmarkStart w:id="147" w:name="_Toc100568195"/>
      <w:r>
        <w:rPr>
          <w:rStyle w:val="CharSectno"/>
        </w:rPr>
        <w:t>63</w:t>
      </w:r>
      <w:r>
        <w:t>.</w:t>
      </w:r>
      <w:r>
        <w:tab/>
        <w:t>Service of court process</w:t>
      </w:r>
      <w:bookmarkEnd w:id="147"/>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tab/>
        <w:t>(a)</w:t>
      </w:r>
      <w:r>
        <w:tab/>
        <w:t>if sent by prepaid post to the last known address (within or outside Australia) of the person to be served; or</w:t>
      </w:r>
    </w:p>
    <w:p>
      <w:pPr>
        <w:pStyle w:val="Indenta"/>
      </w:pPr>
      <w:r>
        <w:lastRenderedPageBreak/>
        <w:tab/>
        <w:t>(b)</w:t>
      </w:r>
      <w:r>
        <w:tab/>
        <w:t>if notice of the document is given in accordance with the court’s directions.</w:t>
      </w:r>
    </w:p>
    <w:p>
      <w:pPr>
        <w:pStyle w:val="Heading5"/>
      </w:pPr>
      <w:bookmarkStart w:id="148" w:name="_Toc100568196"/>
      <w:r>
        <w:rPr>
          <w:rStyle w:val="CharSectno"/>
        </w:rPr>
        <w:t>64</w:t>
      </w:r>
      <w:r>
        <w:t>.</w:t>
      </w:r>
      <w:r>
        <w:tab/>
        <w:t>Other enactments not limited</w:t>
      </w:r>
      <w:bookmarkEnd w:id="148"/>
    </w:p>
    <w:p>
      <w:pPr>
        <w:pStyle w:val="Subsection"/>
      </w:pPr>
      <w:r>
        <w:tab/>
      </w:r>
      <w:r>
        <w:tab/>
        <w:t>This Division does not limit any other enactment that provides for the service of documents.</w:t>
      </w:r>
    </w:p>
    <w:p>
      <w:pPr>
        <w:pStyle w:val="Heading3"/>
      </w:pPr>
      <w:bookmarkStart w:id="149" w:name="_Toc100325899"/>
      <w:bookmarkStart w:id="150" w:name="_Toc100326274"/>
      <w:bookmarkStart w:id="151" w:name="_Toc100568197"/>
      <w:r>
        <w:rPr>
          <w:rStyle w:val="CharDivNo"/>
        </w:rPr>
        <w:t>Division 5A</w:t>
      </w:r>
      <w:r>
        <w:t> — </w:t>
      </w:r>
      <w:r>
        <w:rPr>
          <w:rStyle w:val="CharDivText"/>
        </w:rPr>
        <w:t>Emergency grant relief measures</w:t>
      </w:r>
      <w:bookmarkEnd w:id="149"/>
      <w:bookmarkEnd w:id="150"/>
      <w:bookmarkEnd w:id="151"/>
    </w:p>
    <w:p>
      <w:pPr>
        <w:pStyle w:val="Footnoteheading"/>
      </w:pPr>
      <w:r>
        <w:tab/>
        <w:t>[Header inserted: No. 1 of 2022 r. 12.]</w:t>
      </w:r>
    </w:p>
    <w:p>
      <w:pPr>
        <w:pStyle w:val="Heading5"/>
      </w:pPr>
      <w:bookmarkStart w:id="152" w:name="_Toc100568198"/>
      <w:r>
        <w:rPr>
          <w:rStyle w:val="CharSectno"/>
        </w:rPr>
        <w:t>64A</w:t>
      </w:r>
      <w:r>
        <w:t>.</w:t>
      </w:r>
      <w:r>
        <w:tab/>
        <w:t>Grant relief measures</w:t>
      </w:r>
      <w:bookmarkEnd w:id="152"/>
    </w:p>
    <w:p>
      <w:pPr>
        <w:pStyle w:val="Subsection"/>
      </w:pPr>
      <w:r>
        <w:tab/>
        <w:t>(1)</w:t>
      </w:r>
      <w:r>
        <w:tab/>
        <w:t xml:space="preserve">A </w:t>
      </w:r>
      <w:r>
        <w:rPr>
          <w:rStyle w:val="CharDefText"/>
        </w:rPr>
        <w:t>grant relief measure</w:t>
      </w:r>
      <w:r>
        <w:t xml:space="preserve"> is — </w:t>
      </w:r>
    </w:p>
    <w:p>
      <w:pPr>
        <w:pStyle w:val="Indenta"/>
      </w:pPr>
      <w:r>
        <w:tab/>
        <w:t>(a)</w:t>
      </w:r>
      <w:r>
        <w:tab/>
        <w:t>an increase in a grant amount; or</w:t>
      </w:r>
    </w:p>
    <w:p>
      <w:pPr>
        <w:pStyle w:val="Indenta"/>
      </w:pPr>
      <w:r>
        <w:tab/>
        <w:t>(b)</w:t>
      </w:r>
      <w:r>
        <w:tab/>
        <w:t>an increase in a cap amount.</w:t>
      </w:r>
    </w:p>
    <w:p>
      <w:pPr>
        <w:pStyle w:val="Subsection"/>
      </w:pPr>
      <w:r>
        <w:tab/>
        <w:t>(2)</w:t>
      </w:r>
      <w:r>
        <w:tab/>
        <w:t xml:space="preserve">For the purposes of subsection (1)(a), a </w:t>
      </w:r>
      <w:r>
        <w:rPr>
          <w:rStyle w:val="CharDefText"/>
        </w:rPr>
        <w:t>grant amount</w:t>
      </w:r>
      <w:r>
        <w:t xml:space="preserve"> is an amount that, under section 19, is the amount of a first home owner grant in relation to a transaction unless the consideration for the transaction is less than that amount.</w:t>
      </w:r>
    </w:p>
    <w:p>
      <w:pPr>
        <w:pStyle w:val="Footnotesection"/>
      </w:pPr>
      <w:r>
        <w:tab/>
        <w:t>[Section 64A inserted: No. 1 of 2022 s. 12.]</w:t>
      </w:r>
    </w:p>
    <w:p>
      <w:pPr>
        <w:pStyle w:val="Heading5"/>
      </w:pPr>
      <w:bookmarkStart w:id="153" w:name="_Toc100568199"/>
      <w:r>
        <w:rPr>
          <w:rStyle w:val="CharSectno"/>
        </w:rPr>
        <w:t>64B</w:t>
      </w:r>
      <w:r>
        <w:t>.</w:t>
      </w:r>
      <w:r>
        <w:tab/>
        <w:t>Treasurer may declare grant relief measure due to emergency</w:t>
      </w:r>
      <w:bookmarkEnd w:id="153"/>
    </w:p>
    <w:p>
      <w:pPr>
        <w:pStyle w:val="Subsection"/>
      </w:pPr>
      <w:r>
        <w:tab/>
        <w:t>(1)</w:t>
      </w:r>
      <w:r>
        <w:tab/>
        <w:t xml:space="preserve">The Treasurer may, by written instrument, declare 1 or more grant relief measures if — </w:t>
      </w:r>
    </w:p>
    <w:p>
      <w:pPr>
        <w:pStyle w:val="Indenta"/>
      </w:pPr>
      <w:r>
        <w:tab/>
        <w:t>(a)</w:t>
      </w:r>
      <w:r>
        <w:tab/>
        <w:t xml:space="preserve">a declaration (an </w:t>
      </w:r>
      <w:r>
        <w:rPr>
          <w:rStyle w:val="CharDefText"/>
        </w:rPr>
        <w:t>emergency declaration</w:t>
      </w:r>
      <w:r>
        <w:t xml:space="preserve">) of any of the following kinds has been made — </w:t>
      </w:r>
    </w:p>
    <w:p>
      <w:pPr>
        <w:pStyle w:val="Indenti"/>
      </w:pPr>
      <w:r>
        <w:tab/>
        <w:t>(i)</w:t>
      </w:r>
      <w:r>
        <w:tab/>
        <w:t xml:space="preserve">an emergency situation declaration under the </w:t>
      </w:r>
      <w:r>
        <w:rPr>
          <w:i/>
        </w:rPr>
        <w:t>Emergency Management Act 2005</w:t>
      </w:r>
      <w:r>
        <w:t xml:space="preserve"> section 50;</w:t>
      </w:r>
    </w:p>
    <w:p>
      <w:pPr>
        <w:pStyle w:val="Indenti"/>
      </w:pPr>
      <w:r>
        <w:tab/>
        <w:t>(ii)</w:t>
      </w:r>
      <w:r>
        <w:tab/>
        <w:t xml:space="preserve">a state of emergency declaration under the </w:t>
      </w:r>
      <w:r>
        <w:rPr>
          <w:i/>
        </w:rPr>
        <w:t>Emergency Management Act 2005</w:t>
      </w:r>
      <w:r>
        <w:t xml:space="preserve"> section 56;</w:t>
      </w:r>
    </w:p>
    <w:p>
      <w:pPr>
        <w:pStyle w:val="Indenti"/>
      </w:pPr>
      <w:r>
        <w:tab/>
        <w:t>(iii)</w:t>
      </w:r>
      <w:r>
        <w:tab/>
        <w:t xml:space="preserve">a public health state of emergency declaration under the </w:t>
      </w:r>
      <w:r>
        <w:rPr>
          <w:i/>
        </w:rPr>
        <w:t>Public Health Act 2016</w:t>
      </w:r>
      <w:r>
        <w:t xml:space="preserve"> section 167;</w:t>
      </w:r>
    </w:p>
    <w:p>
      <w:pPr>
        <w:pStyle w:val="Indenta"/>
      </w:pPr>
      <w:r>
        <w:tab/>
      </w:r>
      <w:r>
        <w:tab/>
        <w:t>and</w:t>
      </w:r>
    </w:p>
    <w:p>
      <w:pPr>
        <w:pStyle w:val="Indenta"/>
      </w:pPr>
      <w:r>
        <w:lastRenderedPageBreak/>
        <w:tab/>
        <w:t>(b)</w:t>
      </w:r>
      <w:r>
        <w:tab/>
        <w:t>the Treasurer considers that the grant relief measure or measures are necessary to provide relief to persons eligible for the first home owner grant for the purpose of alleviating the financial or economic effects of the emergency to which the emergency declaration relates.</w:t>
      </w:r>
    </w:p>
    <w:p>
      <w:pPr>
        <w:pStyle w:val="Subsection"/>
      </w:pPr>
      <w:r>
        <w:tab/>
        <w:t>(2)</w:t>
      </w:r>
      <w:r>
        <w:tab/>
        <w:t xml:space="preserve">An instrument made under subsection (1), as amended from time to time under section 64C, is a </w:t>
      </w:r>
      <w:r>
        <w:rPr>
          <w:rStyle w:val="CharDefText"/>
        </w:rPr>
        <w:t>grant relief declaration</w:t>
      </w:r>
      <w:r>
        <w:t>.</w:t>
      </w:r>
    </w:p>
    <w:p>
      <w:pPr>
        <w:pStyle w:val="Subsection"/>
      </w:pPr>
      <w:r>
        <w:tab/>
        <w:t>(3)</w:t>
      </w:r>
      <w:r>
        <w:tab/>
        <w:t xml:space="preserve">A grant relief declaration must specify the emergency declaration (the </w:t>
      </w:r>
      <w:r>
        <w:rPr>
          <w:rStyle w:val="CharDefText"/>
        </w:rPr>
        <w:t>relevant emergency declaration</w:t>
      </w:r>
      <w:r>
        <w:t>) in relation to which it is made.</w:t>
      </w:r>
    </w:p>
    <w:p>
      <w:pPr>
        <w:pStyle w:val="Subsection"/>
      </w:pPr>
      <w:r>
        <w:tab/>
        <w:t>(4)</w:t>
      </w:r>
      <w:r>
        <w:tab/>
        <w:t>A grant relief declaration must set out a description of each declared grant relief measure, including by specifying —</w:t>
      </w:r>
    </w:p>
    <w:p>
      <w:pPr>
        <w:pStyle w:val="Indenta"/>
      </w:pPr>
      <w:r>
        <w:tab/>
        <w:t>(a)</w:t>
      </w:r>
      <w:r>
        <w:tab/>
        <w:t>the transactions to which the measure applies, which may be all transactions or transactions that meet specified eligibility conditions for the measure; and</w:t>
      </w:r>
    </w:p>
    <w:p>
      <w:pPr>
        <w:pStyle w:val="Indenta"/>
      </w:pPr>
      <w:r>
        <w:tab/>
        <w:t>(b)</w:t>
      </w:r>
      <w:r>
        <w:tab/>
        <w:t>the period in which the commencement dates of those transactions occur; and</w:t>
      </w:r>
    </w:p>
    <w:p>
      <w:pPr>
        <w:pStyle w:val="Indenta"/>
      </w:pPr>
      <w:r>
        <w:tab/>
        <w:t>(c)</w:t>
      </w:r>
      <w:r>
        <w:tab/>
        <w:t>the persons to whom the measure applies, which may be all persons or persons who meet specified eligibility conditions for the measure.</w:t>
      </w:r>
    </w:p>
    <w:p>
      <w:pPr>
        <w:pStyle w:val="Subsection"/>
      </w:pPr>
      <w:r>
        <w:tab/>
        <w:t>(5)</w:t>
      </w:r>
      <w:r>
        <w:tab/>
        <w:t>The Treasurer cannot make a grant relief declaration more than 12 months after the day on which the relevant emergency declaration ceases to be in force.</w:t>
      </w:r>
    </w:p>
    <w:p>
      <w:pPr>
        <w:pStyle w:val="Subsection"/>
      </w:pPr>
      <w:r>
        <w:tab/>
        <w:t>(6)</w:t>
      </w:r>
      <w:r>
        <w:tab/>
        <w:t xml:space="preserve">A period specified under subsection (4)(b) — </w:t>
      </w:r>
    </w:p>
    <w:p>
      <w:pPr>
        <w:pStyle w:val="Indenta"/>
      </w:pPr>
      <w:r>
        <w:tab/>
        <w:t>(a)</w:t>
      </w:r>
      <w:r>
        <w:tab/>
        <w:t>must not be longer than 2 years; and</w:t>
      </w:r>
    </w:p>
    <w:p>
      <w:pPr>
        <w:pStyle w:val="Indenta"/>
      </w:pPr>
      <w:r>
        <w:tab/>
        <w:t>(b)</w:t>
      </w:r>
      <w:r>
        <w:tab/>
        <w:t xml:space="preserve">subject to subsection (1)(b) — </w:t>
      </w:r>
    </w:p>
    <w:p>
      <w:pPr>
        <w:pStyle w:val="Indenti"/>
      </w:pPr>
      <w:r>
        <w:tab/>
        <w:t>(i)</w:t>
      </w:r>
      <w:r>
        <w:tab/>
        <w:t>is not limited by reference to when the grant relief declaration is made; and</w:t>
      </w:r>
    </w:p>
    <w:p>
      <w:pPr>
        <w:pStyle w:val="Indenti"/>
        <w:keepNext/>
      </w:pPr>
      <w:r>
        <w:tab/>
        <w:t>(ii)</w:t>
      </w:r>
      <w:r>
        <w:tab/>
        <w:t xml:space="preserve">is not limited by reference to the period for which the relevant emergency declaration is in </w:t>
      </w:r>
      <w:r>
        <w:lastRenderedPageBreak/>
        <w:t>force, except that it must not be a period that is wholly before that period.</w:t>
      </w:r>
    </w:p>
    <w:p>
      <w:pPr>
        <w:pStyle w:val="Footnotesection"/>
      </w:pPr>
      <w:r>
        <w:tab/>
        <w:t>[Section 64B inserted: No. 1 of 2022 s. 12.]</w:t>
      </w:r>
    </w:p>
    <w:p>
      <w:pPr>
        <w:pStyle w:val="Heading5"/>
      </w:pPr>
      <w:bookmarkStart w:id="154" w:name="_Toc100568200"/>
      <w:r>
        <w:rPr>
          <w:rStyle w:val="CharSectno"/>
        </w:rPr>
        <w:t>64C</w:t>
      </w:r>
      <w:r>
        <w:t>.</w:t>
      </w:r>
      <w:r>
        <w:tab/>
        <w:t>Amendment and revocation of grant relief declaration</w:t>
      </w:r>
      <w:bookmarkEnd w:id="154"/>
    </w:p>
    <w:p>
      <w:pPr>
        <w:pStyle w:val="Subsection"/>
      </w:pPr>
      <w:r>
        <w:tab/>
        <w:t>(1)</w:t>
      </w:r>
      <w:r>
        <w:tab/>
        <w:t>The Treasurer may, by written instrument, amend a grant relief declaration.</w:t>
      </w:r>
    </w:p>
    <w:p>
      <w:pPr>
        <w:pStyle w:val="Subsection"/>
      </w:pPr>
      <w:r>
        <w:tab/>
        <w:t>(2)</w:t>
      </w:r>
      <w:r>
        <w:tab/>
        <w:t>A grant relief declaration cannot be amended under subsection (1) to add an additional grant relief measure.</w:t>
      </w:r>
    </w:p>
    <w:p>
      <w:pPr>
        <w:pStyle w:val="Subsection"/>
      </w:pPr>
      <w:r>
        <w:tab/>
        <w:t>(3)</w:t>
      </w:r>
      <w:r>
        <w:tab/>
        <w:t>A grant relief declaration cannot be amended under subsection (1) to extend a period specified in the declaration under section 64B(4)(b) if the extension would result in the period being longer than 2 years.</w:t>
      </w:r>
    </w:p>
    <w:p>
      <w:pPr>
        <w:pStyle w:val="Subsection"/>
      </w:pPr>
      <w:r>
        <w:tab/>
        <w:t>(4)</w:t>
      </w:r>
      <w:r>
        <w:tab/>
        <w:t>An instrument amending a grant relief declaration may provide that an amendment of the declaration applies on and from a day that is earlier than the day on which the instrument comes into operation.</w:t>
      </w:r>
    </w:p>
    <w:p>
      <w:pPr>
        <w:pStyle w:val="Subsection"/>
      </w:pPr>
      <w:r>
        <w:tab/>
        <w:t>(5)</w:t>
      </w:r>
      <w:r>
        <w:tab/>
        <w:t>The Treasurer may, by written instrument, revoke a grant relief declaration if the Treasurer considers that the grant relief measure or measures set out in the declaration are no longer necessary for the purpose referred to in section 64B(1)(b).</w:t>
      </w:r>
    </w:p>
    <w:p>
      <w:pPr>
        <w:pStyle w:val="Footnotesection"/>
      </w:pPr>
      <w:r>
        <w:tab/>
        <w:t>[Section 64C inserted: No. 1 of 2022 s. 12.]</w:t>
      </w:r>
    </w:p>
    <w:p>
      <w:pPr>
        <w:pStyle w:val="Heading5"/>
      </w:pPr>
      <w:bookmarkStart w:id="155" w:name="_Toc100568201"/>
      <w:r>
        <w:rPr>
          <w:rStyle w:val="CharSectno"/>
        </w:rPr>
        <w:t>64D</w:t>
      </w:r>
      <w:r>
        <w:t>.</w:t>
      </w:r>
      <w:r>
        <w:tab/>
        <w:t>Provisions about grant relief declarations and instruments of amendment or revocation</w:t>
      </w:r>
      <w:bookmarkEnd w:id="155"/>
    </w:p>
    <w:p>
      <w:pPr>
        <w:pStyle w:val="Subsection"/>
      </w:pPr>
      <w:r>
        <w:tab/>
        <w:t>(1)</w:t>
      </w:r>
      <w:r>
        <w:tab/>
        <w:t>Before making a grant relief declaration or an instrument amending or revoking a grant relief declaration, the Treasurer must consult the Minister.</w:t>
      </w:r>
    </w:p>
    <w:p>
      <w:pPr>
        <w:pStyle w:val="Subsection"/>
      </w:pPr>
      <w:r>
        <w:tab/>
        <w:t>(2)</w:t>
      </w:r>
      <w:r>
        <w:tab/>
        <w:t xml:space="preserve">A grant relief declaration, or an instrument amending or revoking a grant relief declaration, is subsidiary legislation for the purposes of the </w:t>
      </w:r>
      <w:r>
        <w:rPr>
          <w:i/>
        </w:rPr>
        <w:t>Interpretation Act 1984</w:t>
      </w:r>
      <w:r>
        <w:t>.</w:t>
      </w:r>
    </w:p>
    <w:p>
      <w:pPr>
        <w:pStyle w:val="Footnotesection"/>
      </w:pPr>
      <w:r>
        <w:tab/>
        <w:t>[Section 64D inserted: No. 1 of 2022 s. 12.]</w:t>
      </w:r>
    </w:p>
    <w:p>
      <w:pPr>
        <w:pStyle w:val="Heading5"/>
      </w:pPr>
      <w:bookmarkStart w:id="156" w:name="_Toc100568202"/>
      <w:r>
        <w:rPr>
          <w:rStyle w:val="CharSectno"/>
        </w:rPr>
        <w:lastRenderedPageBreak/>
        <w:t>64E</w:t>
      </w:r>
      <w:r>
        <w:t>.</w:t>
      </w:r>
      <w:r>
        <w:tab/>
        <w:t>Procedural requirements for declared grant relief measure</w:t>
      </w:r>
      <w:bookmarkEnd w:id="156"/>
    </w:p>
    <w:p>
      <w:pPr>
        <w:pStyle w:val="Subsection"/>
      </w:pPr>
      <w:r>
        <w:tab/>
        <w:t>(1)</w:t>
      </w:r>
      <w:r>
        <w:tab/>
        <w:t>If a grant relief declaration is in operation, the Commissioner may approve any procedural requirements that the Commissioner considers are necessary to enable the proper administration of a grant relief measure set out in the declaration (for example, requirements relating to applications or the provision of information and evidence).</w:t>
      </w:r>
    </w:p>
    <w:p>
      <w:pPr>
        <w:pStyle w:val="Subsection"/>
      </w:pPr>
      <w:r>
        <w:tab/>
        <w:t>(2)</w:t>
      </w:r>
      <w:r>
        <w:tab/>
        <w:t>An approval under subsection (1) must be published on the Commissioner’s website.</w:t>
      </w:r>
    </w:p>
    <w:p>
      <w:pPr>
        <w:pStyle w:val="Footnotesection"/>
      </w:pPr>
      <w:r>
        <w:tab/>
        <w:t>[Section 64E inserted: No. 1 of 2022 s. 12.]</w:t>
      </w:r>
    </w:p>
    <w:p>
      <w:pPr>
        <w:pStyle w:val="Heading5"/>
      </w:pPr>
      <w:bookmarkStart w:id="157" w:name="_Toc100568203"/>
      <w:r>
        <w:rPr>
          <w:rStyle w:val="CharSectno"/>
        </w:rPr>
        <w:t>64F</w:t>
      </w:r>
      <w:r>
        <w:t>.</w:t>
      </w:r>
      <w:r>
        <w:tab/>
        <w:t>Effect of grant relief declaration</w:t>
      </w:r>
      <w:bookmarkEnd w:id="157"/>
    </w:p>
    <w:p>
      <w:pPr>
        <w:pStyle w:val="Subsection"/>
      </w:pPr>
      <w:r>
        <w:tab/>
        <w:t>(1)</w:t>
      </w:r>
      <w:r>
        <w:tab/>
        <w:t xml:space="preserve">In this section — </w:t>
      </w:r>
    </w:p>
    <w:p>
      <w:pPr>
        <w:pStyle w:val="Defstart"/>
      </w:pPr>
      <w:r>
        <w:tab/>
      </w:r>
      <w:r>
        <w:rPr>
          <w:rStyle w:val="CharDefText"/>
        </w:rPr>
        <w:t>affected transaction</w:t>
      </w:r>
      <w:r>
        <w:t xml:space="preserve">, in relation to a grant relief measure that is set out in a grant relief declaration, means a transaction — </w:t>
      </w:r>
    </w:p>
    <w:p>
      <w:pPr>
        <w:pStyle w:val="Defpara"/>
      </w:pPr>
      <w:r>
        <w:tab/>
        <w:t>(a)</w:t>
      </w:r>
      <w:r>
        <w:tab/>
        <w:t>to which the measure applies as specified in the declaration under section 64B(4)(a); and</w:t>
      </w:r>
    </w:p>
    <w:p>
      <w:pPr>
        <w:pStyle w:val="Defpara"/>
      </w:pPr>
      <w:r>
        <w:tab/>
        <w:t>(b)</w:t>
      </w:r>
      <w:r>
        <w:tab/>
        <w:t>the commencement date of which occurs in the period specified in the declaration under section 64B(4)(b);</w:t>
      </w:r>
    </w:p>
    <w:p>
      <w:pPr>
        <w:pStyle w:val="Defstart"/>
      </w:pPr>
      <w:r>
        <w:tab/>
      </w:r>
      <w:r>
        <w:rPr>
          <w:rStyle w:val="CharDefText"/>
        </w:rPr>
        <w:t>eligible person</w:t>
      </w:r>
      <w:r>
        <w:t xml:space="preserve">, in relation to a grant relief measure that is set out in a grant relief declaration, means a person — </w:t>
      </w:r>
    </w:p>
    <w:p>
      <w:pPr>
        <w:pStyle w:val="Defpara"/>
      </w:pPr>
      <w:r>
        <w:tab/>
        <w:t>(a)</w:t>
      </w:r>
      <w:r>
        <w:tab/>
        <w:t>to whom the measure applies as specified in the declaration under section 64B(4)(c); and</w:t>
      </w:r>
    </w:p>
    <w:p>
      <w:pPr>
        <w:pStyle w:val="Defpara"/>
      </w:pPr>
      <w:r>
        <w:tab/>
        <w:t>(b)</w:t>
      </w:r>
      <w:r>
        <w:tab/>
        <w:t>who has complied with the procedural requirements (if any) approved for the grant relief measure under section 64E.</w:t>
      </w:r>
    </w:p>
    <w:p>
      <w:pPr>
        <w:pStyle w:val="Subsection"/>
      </w:pPr>
      <w:r>
        <w:tab/>
        <w:t>(2)</w:t>
      </w:r>
      <w:r>
        <w:tab/>
        <w:t>This section applies if a grant relief declaration setting out a grant relief measure is in operation.</w:t>
      </w:r>
    </w:p>
    <w:p>
      <w:pPr>
        <w:pStyle w:val="Subsection"/>
      </w:pPr>
      <w:r>
        <w:tab/>
        <w:t>(3)</w:t>
      </w:r>
      <w:r>
        <w:tab/>
        <w:t xml:space="preserve">Despite any other provision of this Act, the Commissioner must do everything necessary to give effect to the grant relief measure, including authorising the payment of any amount or </w:t>
      </w:r>
      <w:r>
        <w:lastRenderedPageBreak/>
        <w:t>additional amount to which a person is entitled as a result of the measure.</w:t>
      </w:r>
    </w:p>
    <w:p>
      <w:pPr>
        <w:pStyle w:val="Subsection"/>
      </w:pPr>
      <w:r>
        <w:tab/>
        <w:t>(4)</w:t>
      </w:r>
      <w:r>
        <w:tab/>
        <w:t xml:space="preserve">Without limiting subsection (3) — </w:t>
      </w:r>
    </w:p>
    <w:p>
      <w:pPr>
        <w:pStyle w:val="Indenta"/>
      </w:pPr>
      <w:r>
        <w:tab/>
        <w:t>(a)</w:t>
      </w:r>
      <w:r>
        <w:tab/>
        <w:t>if the grant relief measure is an increase in a grant amount — despite section 19, the amount of any first home owner grant payable in relation to an affected transaction on an application by an eligible person is, or is taken to have been, the amount determined in accordance with the increased grant amount set out in the declaration; and</w:t>
      </w:r>
    </w:p>
    <w:p>
      <w:pPr>
        <w:pStyle w:val="Indenta"/>
      </w:pPr>
      <w:r>
        <w:tab/>
        <w:t>(b)</w:t>
      </w:r>
      <w:r>
        <w:tab/>
        <w:t>if the grant relief measure is an increase in a cap amount — despite section 14AD and any regulations made for the purposes of that section, the cap amount that applies in relation to an affected transaction on an application by an eligible person is, or is taken to have been, the increased cap amount set out in the declaration.</w:t>
      </w:r>
    </w:p>
    <w:p>
      <w:pPr>
        <w:pStyle w:val="Subsection"/>
      </w:pPr>
      <w:r>
        <w:tab/>
        <w:t>(5)</w:t>
      </w:r>
      <w:r>
        <w:tab/>
        <w:t>The other provisions of this Act apply subject to the declaration and subsections (3) and (4) and, without limitation, all decisions, payments, objections, review proceedings, repayment proceedings and enforcement proceedings must be made or conducted accordingly.</w:t>
      </w:r>
    </w:p>
    <w:p>
      <w:pPr>
        <w:pStyle w:val="Footnotesection"/>
      </w:pPr>
      <w:r>
        <w:tab/>
        <w:t>[Section 64F inserted: No. 1 of 2022 s. 12.]</w:t>
      </w:r>
    </w:p>
    <w:p>
      <w:pPr>
        <w:pStyle w:val="Heading3"/>
      </w:pPr>
      <w:bookmarkStart w:id="158" w:name="_Toc100325906"/>
      <w:bookmarkStart w:id="159" w:name="_Toc100326281"/>
      <w:bookmarkStart w:id="160" w:name="_Toc100568204"/>
      <w:r>
        <w:rPr>
          <w:rStyle w:val="CharDivNo"/>
        </w:rPr>
        <w:t>Division 6</w:t>
      </w:r>
      <w:r>
        <w:t xml:space="preserve"> — </w:t>
      </w:r>
      <w:r>
        <w:rPr>
          <w:rStyle w:val="CharDivText"/>
        </w:rPr>
        <w:t>General</w:t>
      </w:r>
      <w:bookmarkEnd w:id="158"/>
      <w:bookmarkEnd w:id="159"/>
      <w:bookmarkEnd w:id="160"/>
    </w:p>
    <w:p>
      <w:pPr>
        <w:pStyle w:val="Heading5"/>
      </w:pPr>
      <w:bookmarkStart w:id="161" w:name="_Toc100568205"/>
      <w:r>
        <w:rPr>
          <w:rStyle w:val="CharSectno"/>
        </w:rPr>
        <w:t>65</w:t>
      </w:r>
      <w:r>
        <w:t>.</w:t>
      </w:r>
      <w:r>
        <w:tab/>
        <w:t>Confidentiality</w:t>
      </w:r>
      <w:bookmarkEnd w:id="161"/>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lastRenderedPageBreak/>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this Act or a corresponding law; or</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r>
      <w:r>
        <w:tab/>
        <w:t>or</w:t>
      </w:r>
    </w:p>
    <w:p>
      <w:pPr>
        <w:pStyle w:val="Indenta"/>
      </w:pPr>
      <w:r>
        <w:tab/>
        <w:t>(b)</w:t>
      </w:r>
      <w:r>
        <w:tab/>
        <w:t>with the written consent of the person to whom the information relates; or</w:t>
      </w:r>
    </w:p>
    <w:p>
      <w:pPr>
        <w:pStyle w:val="Indenta"/>
        <w:keepLines/>
      </w:pPr>
      <w:r>
        <w:tab/>
        <w:t>(c)</w:t>
      </w:r>
      <w:r>
        <w:tab/>
        <w:t xml:space="preserve">for the purpose of proceedings, or a report of proceedings, arising out of this Act, a taxation Act as defined in the </w:t>
      </w:r>
      <w:r>
        <w:rPr>
          <w:i/>
          <w:iCs/>
        </w:rPr>
        <w:t>Taxation Administration Act 2003</w:t>
      </w:r>
      <w:r>
        <w:t xml:space="preserve"> or a corresponding law, to which — </w:t>
      </w:r>
    </w:p>
    <w:p>
      <w:pPr>
        <w:pStyle w:val="Indenti"/>
      </w:pPr>
      <w:r>
        <w:tab/>
        <w:t>(i)</w:t>
      </w:r>
      <w:r>
        <w:tab/>
        <w:t>the Commissioner is a party, or in respect of proceedings arising out of a corresponding law, the corresponding Commissioner is a party; and</w:t>
      </w:r>
    </w:p>
    <w:p>
      <w:pPr>
        <w:pStyle w:val="Indenti"/>
      </w:pPr>
      <w:r>
        <w:tab/>
        <w:t>(ii)</w:t>
      </w:r>
      <w:r>
        <w:tab/>
        <w:t>the person to whom the information relates is a party.</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Investments Commission; or</w:t>
      </w:r>
    </w:p>
    <w:p>
      <w:pPr>
        <w:pStyle w:val="Indenti"/>
      </w:pPr>
      <w:r>
        <w:lastRenderedPageBreak/>
        <w:tab/>
        <w:t>(iv)</w:t>
      </w:r>
      <w:r>
        <w:tab/>
        <w:t>an officer of another law enforcement agency established under a law of a State or the Commonwealth that is authorised by the regulations to receive confidential information under this paragraph;</w:t>
      </w:r>
    </w:p>
    <w:p>
      <w:pPr>
        <w:pStyle w:val="Indenta"/>
      </w:pPr>
      <w:r>
        <w:tab/>
      </w:r>
      <w:r>
        <w:tab/>
        <w:t>or</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keepLines/>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rStyle w:val="CharDefText"/>
        </w:rPr>
        <w:t>confidential information</w:t>
      </w:r>
      <w:r>
        <w:t xml:space="preserve"> means information or material obtained in the course of the administration of this Act about an applicant for a first home owner grant or about the applicant’s spouse or de facto partner;</w:t>
      </w:r>
    </w:p>
    <w:p>
      <w:pPr>
        <w:pStyle w:val="Defstart"/>
        <w:keepNext/>
      </w:pPr>
      <w:r>
        <w:lastRenderedPageBreak/>
        <w:tab/>
      </w:r>
      <w:r>
        <w:rPr>
          <w:rStyle w:val="CharDefText"/>
        </w:rPr>
        <w:t>State</w:t>
      </w:r>
      <w:r>
        <w:t xml:space="preserve"> includes Territory.</w:t>
      </w:r>
    </w:p>
    <w:p>
      <w:pPr>
        <w:pStyle w:val="Footnotesection"/>
      </w:pPr>
      <w:r>
        <w:tab/>
        <w:t>[Section 65 amended: No. 28 of 2003 s. 65; No. 52 of 2004 s. 14; No. 17 of 2010 s. 19.]</w:t>
      </w:r>
    </w:p>
    <w:p>
      <w:pPr>
        <w:pStyle w:val="Heading5"/>
      </w:pPr>
      <w:bookmarkStart w:id="162" w:name="_Toc100568206"/>
      <w:r>
        <w:rPr>
          <w:rStyle w:val="CharSectno"/>
        </w:rPr>
        <w:t>66</w:t>
      </w:r>
      <w:r>
        <w:t>.</w:t>
      </w:r>
      <w:r>
        <w:tab/>
        <w:t>Time for commencing prosecutions</w:t>
      </w:r>
      <w:bookmarkEnd w:id="162"/>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163" w:name="_Toc100568207"/>
      <w:r>
        <w:rPr>
          <w:rStyle w:val="CharSectno"/>
        </w:rPr>
        <w:t>67</w:t>
      </w:r>
      <w:r>
        <w:t>.</w:t>
      </w:r>
      <w:r>
        <w:tab/>
        <w:t>Protection from liability for wrongdoing</w:t>
      </w:r>
      <w:bookmarkEnd w:id="163"/>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64" w:name="_Toc100568208"/>
      <w:r>
        <w:rPr>
          <w:rStyle w:val="CharSectno"/>
        </w:rPr>
        <w:t>68</w:t>
      </w:r>
      <w:r>
        <w:t>.</w:t>
      </w:r>
      <w:r>
        <w:tab/>
        <w:t xml:space="preserve">Appropriation of </w:t>
      </w:r>
      <w:r>
        <w:rPr>
          <w:snapToGrid w:val="0"/>
        </w:rPr>
        <w:t>Consolidated Account</w:t>
      </w:r>
      <w:bookmarkEnd w:id="164"/>
    </w:p>
    <w:p>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pPr>
        <w:pStyle w:val="Footnotesection"/>
      </w:pPr>
      <w:r>
        <w:tab/>
        <w:t>[Section 68 amended: No. 77 of 2006 s. 4 and 5(1).]</w:t>
      </w:r>
    </w:p>
    <w:p>
      <w:pPr>
        <w:pStyle w:val="Heading5"/>
      </w:pPr>
      <w:bookmarkStart w:id="165" w:name="_Toc100568209"/>
      <w:r>
        <w:rPr>
          <w:rStyle w:val="CharSectno"/>
        </w:rPr>
        <w:t>69</w:t>
      </w:r>
      <w:r>
        <w:t>.</w:t>
      </w:r>
      <w:r>
        <w:tab/>
        <w:t>Regulations</w:t>
      </w:r>
      <w:bookmarkEnd w:id="16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lastRenderedPageBreak/>
        <w:tab/>
        <w:t>(2)</w:t>
      </w:r>
      <w:r>
        <w:tab/>
        <w:t>Regulations may create offences and provide, in respect of an offence so created, for the imposition of a penalty not exceeding $5 000.</w:t>
      </w:r>
    </w:p>
    <w:p>
      <w:pPr>
        <w:pStyle w:val="Subsection"/>
      </w:pPr>
      <w:r>
        <w:tab/>
        <w:t>(3)</w:t>
      </w:r>
      <w:r>
        <w:tab/>
        <w:t>Regulations may be expressed to apply to or in relation to a transaction the commencement date of which is before the day on which the regulations come into operation if the application of the regulations to or in relation to the transaction will not adversely affect a party to the transaction.</w:t>
      </w:r>
    </w:p>
    <w:p>
      <w:pPr>
        <w:pStyle w:val="Footnotesection"/>
      </w:pPr>
      <w:r>
        <w:tab/>
        <w:t>[Section 69 amended: No. 16 of 2017 s. 21.]</w:t>
      </w:r>
    </w:p>
    <w:p>
      <w:pPr>
        <w:pStyle w:val="Heading5"/>
      </w:pPr>
      <w:bookmarkStart w:id="166" w:name="_Toc100568210"/>
      <w:r>
        <w:rPr>
          <w:rStyle w:val="CharSectno"/>
        </w:rPr>
        <w:t>70</w:t>
      </w:r>
      <w:r>
        <w:t>.</w:t>
      </w:r>
      <w:r>
        <w:tab/>
        <w:t>Review of Act</w:t>
      </w:r>
      <w:bookmarkEnd w:id="166"/>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it to be laid before each House of Parliament.</w:t>
      </w:r>
    </w:p>
    <w:p>
      <w:pPr>
        <w:pStyle w:val="Heading2"/>
      </w:pPr>
      <w:bookmarkStart w:id="167" w:name="_Toc100325913"/>
      <w:bookmarkStart w:id="168" w:name="_Toc100326288"/>
      <w:bookmarkStart w:id="169" w:name="_Toc100568211"/>
      <w:r>
        <w:rPr>
          <w:rStyle w:val="CharPartNo"/>
        </w:rPr>
        <w:lastRenderedPageBreak/>
        <w:t>Part 5</w:t>
      </w:r>
      <w:r>
        <w:rPr>
          <w:rStyle w:val="CharDivNo"/>
        </w:rPr>
        <w:t> </w:t>
      </w:r>
      <w:r>
        <w:t>—</w:t>
      </w:r>
      <w:r>
        <w:rPr>
          <w:rStyle w:val="CharDivText"/>
        </w:rPr>
        <w:t> </w:t>
      </w:r>
      <w:r>
        <w:rPr>
          <w:rStyle w:val="CharPartText"/>
        </w:rPr>
        <w:t>Transitional provisions</w:t>
      </w:r>
      <w:bookmarkEnd w:id="167"/>
      <w:bookmarkEnd w:id="168"/>
      <w:bookmarkEnd w:id="169"/>
    </w:p>
    <w:p>
      <w:pPr>
        <w:pStyle w:val="Footnoteheading"/>
      </w:pPr>
      <w:r>
        <w:tab/>
        <w:t>[Heading inserted: No. 1 of 2022 s. 13.]</w:t>
      </w:r>
    </w:p>
    <w:p>
      <w:pPr>
        <w:pStyle w:val="Heading5"/>
      </w:pPr>
      <w:bookmarkStart w:id="170" w:name="_Toc100568212"/>
      <w:r>
        <w:rPr>
          <w:rStyle w:val="CharSectno"/>
        </w:rPr>
        <w:t>71</w:t>
      </w:r>
      <w:r>
        <w:t>.</w:t>
      </w:r>
      <w:r>
        <w:tab/>
        <w:t xml:space="preserve">Transitional provision for </w:t>
      </w:r>
      <w:r>
        <w:rPr>
          <w:i/>
        </w:rPr>
        <w:t>Finance Legislation Amendment (Emergency Relief) Act 2022</w:t>
      </w:r>
      <w:bookmarkEnd w:id="17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Finance Legislation Amendment (Emergency Relief) Act 2022</w:t>
      </w:r>
      <w:r>
        <w:t xml:space="preserve"> Part 3 comes into operation.</w:t>
      </w:r>
    </w:p>
    <w:p>
      <w:pPr>
        <w:pStyle w:val="Subsection"/>
      </w:pPr>
      <w:r>
        <w:tab/>
        <w:t>(2)</w:t>
      </w:r>
      <w:r>
        <w:tab/>
        <w:t>A grant relief declaration can be made in relation to an emergency declaration (as defined in section 64B(1)) only if the emergency declaration is in force on commencement day or is made on or after commencement day.</w:t>
      </w:r>
    </w:p>
    <w:p>
      <w:pPr>
        <w:pStyle w:val="Footnotesection"/>
      </w:pPr>
      <w:r>
        <w:tab/>
        <w:t>[Section 71 inserted: No. 1 of 2022 s. 13.]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71" w:name="_Toc100325915"/>
      <w:bookmarkStart w:id="172" w:name="_Toc100326290"/>
      <w:bookmarkStart w:id="173" w:name="_Toc100568213"/>
      <w:r>
        <w:lastRenderedPageBreak/>
        <w:t>Notes</w:t>
      </w:r>
      <w:bookmarkEnd w:id="171"/>
      <w:bookmarkEnd w:id="172"/>
      <w:bookmarkEnd w:id="173"/>
    </w:p>
    <w:p>
      <w:pPr>
        <w:pStyle w:val="nStatement"/>
      </w:pPr>
      <w:r>
        <w:t xml:space="preserve">This is a compilation of the </w:t>
      </w:r>
      <w:r>
        <w:rPr>
          <w:i/>
          <w:noProof/>
        </w:rPr>
        <w:t>First Home Owner Grant Act 2000</w:t>
      </w:r>
      <w:r>
        <w:t xml:space="preserve"> and includes amendments made by other written laws</w:t>
      </w:r>
      <w:r>
        <w:rPr>
          <w:vertAlign w:val="superscript"/>
        </w:rPr>
        <w:t> 1</w:t>
      </w:r>
      <w:r>
        <w:t>. For provisions that have come into operation, and for information about any reprints, see the compilation table. For provisions that have not yet come into operation see the uncommenced provisions table.</w:t>
      </w:r>
    </w:p>
    <w:p>
      <w:pPr>
        <w:pStyle w:val="nHeading3"/>
      </w:pPr>
      <w:bookmarkStart w:id="174" w:name="_Toc100568214"/>
      <w:r>
        <w:t>Compilation table</w:t>
      </w:r>
      <w:bookmarkEnd w:id="17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
              </w:rPr>
            </w:pPr>
            <w:r>
              <w:rPr>
                <w:i/>
              </w:rPr>
              <w:t xml:space="preserve">First Home Owner Grant Act 2000 </w:t>
            </w:r>
          </w:p>
        </w:tc>
        <w:tc>
          <w:tcPr>
            <w:tcW w:w="1134" w:type="dxa"/>
            <w:tcBorders>
              <w:top w:val="single" w:sz="8" w:space="0" w:color="auto"/>
            </w:tcBorders>
          </w:tcPr>
          <w:p>
            <w:pPr>
              <w:pStyle w:val="nTable"/>
              <w:spacing w:after="40"/>
            </w:pPr>
            <w:r>
              <w:t xml:space="preserve">16 of 2000 </w:t>
            </w:r>
          </w:p>
        </w:tc>
        <w:tc>
          <w:tcPr>
            <w:tcW w:w="1134" w:type="dxa"/>
            <w:tcBorders>
              <w:top w:val="single" w:sz="8" w:space="0" w:color="auto"/>
            </w:tcBorders>
          </w:tcPr>
          <w:p>
            <w:pPr>
              <w:pStyle w:val="nTable"/>
              <w:spacing w:after="40"/>
            </w:pPr>
            <w:r>
              <w:t xml:space="preserve">9 Jun 2000 </w:t>
            </w:r>
          </w:p>
        </w:tc>
        <w:tc>
          <w:tcPr>
            <w:tcW w:w="2552" w:type="dxa"/>
            <w:tcBorders>
              <w:top w:val="single" w:sz="8" w:space="0" w:color="auto"/>
            </w:tcBorders>
          </w:tcPr>
          <w:p>
            <w:pPr>
              <w:pStyle w:val="nTable"/>
              <w:spacing w:after="40"/>
            </w:pPr>
            <w:r>
              <w:t>1 Jul 2000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First Home Owner Grant Amendment Act 2000</w:t>
            </w:r>
          </w:p>
        </w:tc>
        <w:tc>
          <w:tcPr>
            <w:tcW w:w="1134" w:type="dxa"/>
          </w:tcPr>
          <w:p>
            <w:pPr>
              <w:pStyle w:val="nTable"/>
              <w:spacing w:after="40"/>
            </w:pPr>
            <w:r>
              <w:t>61 of 2000</w:t>
            </w:r>
          </w:p>
        </w:tc>
        <w:tc>
          <w:tcPr>
            <w:tcW w:w="1134" w:type="dxa"/>
          </w:tcPr>
          <w:p>
            <w:pPr>
              <w:pStyle w:val="nTable"/>
              <w:spacing w:after="40"/>
            </w:pPr>
            <w:r>
              <w:t>7 Dec 2000</w:t>
            </w:r>
          </w:p>
        </w:tc>
        <w:tc>
          <w:tcPr>
            <w:tcW w:w="2552" w:type="dxa"/>
          </w:tcPr>
          <w:p>
            <w:pPr>
              <w:pStyle w:val="nTable"/>
              <w:spacing w:after="40"/>
            </w:pPr>
            <w:r>
              <w:t>s. 8: 1 Jul 2000 (see s. 2(2));</w:t>
            </w:r>
            <w:r>
              <w:br/>
              <w:t>Act other than s. 8: 7 Dec 2000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First Home Owner Grant Amendment Act 2001</w:t>
            </w:r>
            <w:r>
              <w:rPr>
                <w:vertAlign w:val="superscript"/>
              </w:rPr>
              <w:t> 2</w:t>
            </w:r>
          </w:p>
        </w:tc>
        <w:tc>
          <w:tcPr>
            <w:tcW w:w="1134" w:type="dxa"/>
          </w:tcPr>
          <w:p>
            <w:pPr>
              <w:pStyle w:val="nTable"/>
              <w:spacing w:after="40"/>
            </w:pPr>
            <w:r>
              <w:t>14 of 2001</w:t>
            </w:r>
          </w:p>
        </w:tc>
        <w:tc>
          <w:tcPr>
            <w:tcW w:w="1134" w:type="dxa"/>
          </w:tcPr>
          <w:p>
            <w:pPr>
              <w:pStyle w:val="nTable"/>
              <w:spacing w:after="40"/>
            </w:pPr>
            <w:r>
              <w:t>14 Aug 2001</w:t>
            </w:r>
          </w:p>
        </w:tc>
        <w:tc>
          <w:tcPr>
            <w:tcW w:w="2552" w:type="dxa"/>
          </w:tcPr>
          <w:p>
            <w:pPr>
              <w:pStyle w:val="nTable"/>
              <w:spacing w:after="40"/>
            </w:pPr>
            <w:r>
              <w:t>9 Mar 2001 (see s. 2)</w:t>
            </w:r>
          </w:p>
        </w:tc>
      </w:tr>
      <w:tr>
        <w:tblPrEx>
          <w:tblBorders>
            <w:top w:val="none" w:sz="0" w:space="0" w:color="auto"/>
            <w:bottom w:val="none" w:sz="0" w:space="0" w:color="auto"/>
            <w:insideH w:val="none" w:sz="0" w:space="0" w:color="auto"/>
          </w:tblBorders>
        </w:tblPrEx>
        <w:tc>
          <w:tcPr>
            <w:tcW w:w="2268" w:type="dxa"/>
          </w:tcPr>
          <w:p>
            <w:pPr>
              <w:pStyle w:val="nTable"/>
              <w:tabs>
                <w:tab w:val="left" w:pos="1957"/>
              </w:tabs>
              <w:spacing w:after="40"/>
            </w:pPr>
            <w:r>
              <w:rPr>
                <w:i/>
              </w:rPr>
              <w:t>First Home Owner Grant Amendment Act 2003</w:t>
            </w:r>
            <w:r>
              <w:rPr>
                <w:vertAlign w:val="superscript"/>
              </w:rPr>
              <w:t> 3</w:t>
            </w:r>
          </w:p>
        </w:tc>
        <w:tc>
          <w:tcPr>
            <w:tcW w:w="1134" w:type="dxa"/>
          </w:tcPr>
          <w:p>
            <w:pPr>
              <w:pStyle w:val="nTable"/>
              <w:spacing w:after="40"/>
            </w:pPr>
            <w:r>
              <w:t>13 of 2003</w:t>
            </w:r>
          </w:p>
        </w:tc>
        <w:tc>
          <w:tcPr>
            <w:tcW w:w="1134" w:type="dxa"/>
          </w:tcPr>
          <w:p>
            <w:pPr>
              <w:pStyle w:val="nTable"/>
              <w:spacing w:after="40"/>
            </w:pPr>
            <w:r>
              <w:t>17 Apr 2003</w:t>
            </w:r>
          </w:p>
        </w:tc>
        <w:tc>
          <w:tcPr>
            <w:tcW w:w="2552" w:type="dxa"/>
          </w:tcPr>
          <w:p>
            <w:pPr>
              <w:pStyle w:val="nTable"/>
              <w:spacing w:after="40"/>
            </w:pPr>
            <w:r>
              <w:t>s. 5(5): 9 Mar 2001 (see s. 2(3));</w:t>
            </w:r>
            <w:r>
              <w:br/>
              <w:t>s. 5 (except s. 5(5)) and 6: 9 Oct 2001 (see s. 2(2));</w:t>
            </w:r>
            <w:r>
              <w:br/>
              <w:t>Act other than s. 5 and 6: 17 Apr 2003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(Equality of Status) Act 2003</w:t>
            </w:r>
            <w:r>
              <w:t xml:space="preserve"> Pt. 22</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First Home Owner Grant Amendment Act 2004</w:t>
            </w:r>
            <w:r>
              <w:rPr>
                <w:vertAlign w:val="superscript"/>
              </w:rPr>
              <w:t> 4</w:t>
            </w:r>
          </w:p>
        </w:tc>
        <w:tc>
          <w:tcPr>
            <w:tcW w:w="1134" w:type="dxa"/>
          </w:tcPr>
          <w:p>
            <w:pPr>
              <w:pStyle w:val="nTable"/>
              <w:spacing w:after="40"/>
            </w:pPr>
            <w:r>
              <w:t>52 of 2004</w:t>
            </w:r>
          </w:p>
        </w:tc>
        <w:tc>
          <w:tcPr>
            <w:tcW w:w="1134" w:type="dxa"/>
          </w:tcPr>
          <w:p>
            <w:pPr>
              <w:pStyle w:val="nTable"/>
              <w:spacing w:after="40"/>
            </w:pPr>
            <w:r>
              <w:t>18 Nov 2004</w:t>
            </w:r>
          </w:p>
        </w:tc>
        <w:tc>
          <w:tcPr>
            <w:tcW w:w="2552" w:type="dxa"/>
          </w:tcPr>
          <w:p>
            <w:pPr>
              <w:pStyle w:val="nTable"/>
              <w:spacing w:after="40"/>
            </w:pPr>
            <w:r>
              <w:t>Pt. 2 and 3: 1 Jul 2004 (see s. 2(2));</w:t>
            </w:r>
            <w:r>
              <w:br/>
              <w:t>Pt. 1: 18 Nov 2004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State Administrative Tribunal (Conferral of Jurisdiction) Amendment and Repeal Act 2004</w:t>
            </w:r>
            <w:r>
              <w:t xml:space="preserve"> Pt. 2 Div. 50</w:t>
            </w:r>
            <w:r>
              <w:rPr>
                <w:vertAlign w:val="superscript"/>
              </w:rPr>
              <w:t> 5</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rPr>
            </w:pPr>
            <w:r>
              <w:rPr>
                <w:b/>
                <w:bCs/>
              </w:rPr>
              <w:t xml:space="preserve">Reprint 1: The </w:t>
            </w:r>
            <w:r>
              <w:rPr>
                <w:b/>
                <w:bCs/>
                <w:i/>
              </w:rPr>
              <w:t>First Home Owner Grant Act 2000</w:t>
            </w:r>
            <w:r>
              <w:rPr>
                <w:b/>
                <w:bCs/>
                <w:iCs/>
              </w:rPr>
              <w:t xml:space="preserve"> as at 3 Jun 2005</w:t>
            </w:r>
            <w:r>
              <w:rPr>
                <w:iCs/>
              </w:rPr>
              <w:t xml:space="preserve"> </w:t>
            </w:r>
            <w:r>
              <w:rPr>
                <w:iCs/>
              </w:rPr>
              <w:b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keepLines/>
              <w:spacing w:after="40"/>
            </w:pPr>
            <w:r>
              <w:rPr>
                <w:i/>
                <w:iCs/>
              </w:rPr>
              <w:lastRenderedPageBreak/>
              <w:t>First Home Owner Grant Amendment Act 2005</w:t>
            </w:r>
            <w:r>
              <w:rPr>
                <w:iCs/>
                <w:vertAlign w:val="superscript"/>
              </w:rPr>
              <w:t> 6</w:t>
            </w:r>
          </w:p>
        </w:tc>
        <w:tc>
          <w:tcPr>
            <w:tcW w:w="1134" w:type="dxa"/>
          </w:tcPr>
          <w:p>
            <w:pPr>
              <w:pStyle w:val="nTable"/>
              <w:keepNext/>
              <w:keepLines/>
              <w:spacing w:after="40"/>
            </w:pPr>
            <w:r>
              <w:t>26 of 2005</w:t>
            </w:r>
          </w:p>
        </w:tc>
        <w:tc>
          <w:tcPr>
            <w:tcW w:w="1134" w:type="dxa"/>
          </w:tcPr>
          <w:p>
            <w:pPr>
              <w:pStyle w:val="nTable"/>
              <w:keepNext/>
              <w:keepLines/>
              <w:spacing w:after="40"/>
            </w:pPr>
            <w:r>
              <w:t>12 Dec 2005</w:t>
            </w:r>
          </w:p>
        </w:tc>
        <w:tc>
          <w:tcPr>
            <w:tcW w:w="2552" w:type="dxa"/>
          </w:tcPr>
          <w:p>
            <w:pPr>
              <w:pStyle w:val="nTable"/>
              <w:keepNext/>
              <w:keepLines/>
              <w:spacing w:after="40"/>
            </w:pPr>
            <w:r>
              <w:t>s. 4: 1 Jul 2000 (see s. 2(2));</w:t>
            </w:r>
            <w:r>
              <w:br/>
              <w:t>Act other than s. 4: 12 Dec 2005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rPr>
            </w:pPr>
            <w:r>
              <w:rPr>
                <w:i/>
                <w:snapToGrid w:val="0"/>
              </w:rPr>
              <w:t xml:space="preserve">Financial Legislation Amendment and Repeal Act 2006 </w:t>
            </w:r>
            <w:r>
              <w:rPr>
                <w:iCs/>
                <w:snapToGrid w:val="0"/>
              </w:rPr>
              <w:t>s. 4, 5(1) and Sch. 1 cl. 67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Revenue Laws Amendment Act (No. 2) 2008</w:t>
            </w:r>
            <w:r>
              <w:rPr>
                <w:iCs/>
                <w:snapToGrid w:val="0"/>
              </w:rPr>
              <w:t xml:space="preserve"> s. 33</w:t>
            </w:r>
          </w:p>
        </w:tc>
        <w:tc>
          <w:tcPr>
            <w:tcW w:w="1134" w:type="dxa"/>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First Home Owner Grant Amendment Act 2009</w:t>
            </w:r>
          </w:p>
        </w:tc>
        <w:tc>
          <w:tcPr>
            <w:tcW w:w="1134" w:type="dxa"/>
          </w:tcPr>
          <w:p>
            <w:pPr>
              <w:pStyle w:val="nTable"/>
              <w:spacing w:after="40"/>
              <w:rPr>
                <w:snapToGrid w:val="0"/>
              </w:rPr>
            </w:pPr>
            <w:r>
              <w:rPr>
                <w:snapToGrid w:val="0"/>
              </w:rPr>
              <w:t>27 of 2009</w:t>
            </w:r>
          </w:p>
        </w:tc>
        <w:tc>
          <w:tcPr>
            <w:tcW w:w="1134" w:type="dxa"/>
          </w:tcPr>
          <w:p>
            <w:pPr>
              <w:pStyle w:val="nTable"/>
              <w:spacing w:after="40"/>
              <w:rPr>
                <w:snapToGrid w:val="0"/>
              </w:rPr>
            </w:pPr>
            <w:r>
              <w:t>17 Nov 2009</w:t>
            </w:r>
          </w:p>
        </w:tc>
        <w:tc>
          <w:tcPr>
            <w:tcW w:w="2552" w:type="dxa"/>
          </w:tcPr>
          <w:p>
            <w:pPr>
              <w:pStyle w:val="nTable"/>
              <w:spacing w:after="40"/>
              <w:rPr>
                <w:snapToGrid w:val="0"/>
              </w:rPr>
            </w:pPr>
            <w:r>
              <w:rPr>
                <w:snapToGrid w:val="0"/>
              </w:rPr>
              <w:t>s. 3 and Pt. 2: 14 Oct 2008 (see s. 2(b));</w:t>
            </w:r>
            <w:r>
              <w:rPr>
                <w:snapToGrid w:val="0"/>
              </w:rPr>
              <w:br/>
              <w:t>s. 1 and 2: 17 Nov 2009 (see s. 2(a));</w:t>
            </w:r>
            <w:r>
              <w:rPr>
                <w:snapToGrid w:val="0"/>
              </w:rPr>
              <w:br/>
              <w:t>Pt. 4: 18 Nov 2009 (see s. 2(d));</w:t>
            </w:r>
            <w:r>
              <w:rPr>
                <w:snapToGrid w:val="0"/>
              </w:rPr>
              <w:br/>
              <w:t xml:space="preserve">Pt. 3: 1 Jan 2010 (see s. 2(c) and </w:t>
            </w:r>
            <w:r>
              <w:rPr>
                <w:i/>
                <w:iCs/>
                <w:snapToGrid w:val="0"/>
              </w:rPr>
              <w:t>Gazette</w:t>
            </w:r>
            <w:r>
              <w:rPr>
                <w:snapToGrid w:val="0"/>
              </w:rPr>
              <w:t xml:space="preserve"> 22 Dec 2009 p. 5253)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and Repeal Act 2010</w:t>
            </w:r>
            <w:r>
              <w:rPr>
                <w:iCs/>
                <w:snapToGrid w:val="0"/>
              </w:rPr>
              <w:t xml:space="preserve"> Pt. 3</w:t>
            </w:r>
          </w:p>
        </w:tc>
        <w:tc>
          <w:tcPr>
            <w:tcW w:w="1134" w:type="dxa"/>
          </w:tcPr>
          <w:p>
            <w:pPr>
              <w:pStyle w:val="nTable"/>
              <w:spacing w:after="40"/>
              <w:rPr>
                <w:snapToGrid w:val="0"/>
              </w:rPr>
            </w:pPr>
            <w:r>
              <w:rPr>
                <w:snapToGrid w:val="0"/>
              </w:rP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26 Jun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rPr>
              <w:t xml:space="preserve">Reprint 2: The </w:t>
            </w:r>
            <w:r>
              <w:rPr>
                <w:b/>
                <w:bCs/>
                <w:i/>
              </w:rPr>
              <w:t>First Home Owner Grant Act 2000</w:t>
            </w:r>
            <w:r>
              <w:rPr>
                <w:b/>
                <w:bCs/>
                <w:iCs/>
              </w:rPr>
              <w:t xml:space="preserve"> as at 9 Jul 2010</w:t>
            </w:r>
            <w:r>
              <w:rPr>
                <w:b/>
                <w:bCs/>
                <w:iCs/>
              </w:rPr>
              <w:br/>
            </w:r>
            <w:r>
              <w:rPr>
                <w:iCs/>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2012</w:t>
            </w:r>
            <w:r>
              <w:rPr>
                <w:iCs/>
                <w:snapToGrid w:val="0"/>
              </w:rPr>
              <w:t xml:space="preserve"> Pt. 3</w:t>
            </w:r>
          </w:p>
        </w:tc>
        <w:tc>
          <w:tcPr>
            <w:tcW w:w="1134" w:type="dxa"/>
          </w:tcPr>
          <w:p>
            <w:pPr>
              <w:pStyle w:val="nTable"/>
              <w:spacing w:after="40"/>
              <w:rPr>
                <w:snapToGrid w:val="0"/>
              </w:rPr>
            </w:pPr>
            <w:r>
              <w:rPr>
                <w:snapToGrid w:val="0"/>
              </w:rPr>
              <w:t>29 of 2012</w:t>
            </w:r>
          </w:p>
        </w:tc>
        <w:tc>
          <w:tcPr>
            <w:tcW w:w="1134" w:type="dxa"/>
          </w:tcPr>
          <w:p>
            <w:pPr>
              <w:pStyle w:val="nTable"/>
              <w:spacing w:after="40"/>
            </w:pPr>
            <w:r>
              <w:t>3 Sep 2012</w:t>
            </w:r>
          </w:p>
        </w:tc>
        <w:tc>
          <w:tcPr>
            <w:tcW w:w="2552" w:type="dxa"/>
          </w:tcPr>
          <w:p>
            <w:pPr>
              <w:pStyle w:val="nTable"/>
              <w:spacing w:after="40"/>
              <w:rPr>
                <w:snapToGrid w:val="0"/>
              </w:rPr>
            </w:pPr>
            <w:r>
              <w:rPr>
                <w:snapToGrid w:val="0"/>
              </w:rPr>
              <w:t>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(No. 2) 2012</w:t>
            </w:r>
            <w:r>
              <w:rPr>
                <w:iCs/>
                <w:snapToGrid w:val="0"/>
              </w:rPr>
              <w:t xml:space="preserve"> Pt. 3</w:t>
            </w:r>
          </w:p>
        </w:tc>
        <w:tc>
          <w:tcPr>
            <w:tcW w:w="1134" w:type="dxa"/>
          </w:tcPr>
          <w:p>
            <w:pPr>
              <w:pStyle w:val="nTable"/>
              <w:spacing w:after="40"/>
              <w:rPr>
                <w:snapToGrid w:val="0"/>
              </w:rPr>
            </w:pPr>
            <w:r>
              <w:rPr>
                <w:snapToGrid w:val="0"/>
              </w:rP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Revenue Laws Amendment Act 2013</w:t>
            </w:r>
            <w:r>
              <w:rPr>
                <w:snapToGrid w:val="0"/>
              </w:rPr>
              <w:t xml:space="preserve"> Pt. 4</w:t>
            </w:r>
          </w:p>
        </w:tc>
        <w:tc>
          <w:tcPr>
            <w:tcW w:w="1134" w:type="dxa"/>
          </w:tcPr>
          <w:p>
            <w:pPr>
              <w:pStyle w:val="nTable"/>
              <w:spacing w:after="40"/>
              <w:rPr>
                <w:snapToGrid w:val="0"/>
              </w:rPr>
            </w:pPr>
            <w:r>
              <w:rPr>
                <w:snapToGrid w:val="0"/>
              </w:rPr>
              <w:t>10 of 2013</w:t>
            </w:r>
          </w:p>
        </w:tc>
        <w:tc>
          <w:tcPr>
            <w:tcW w:w="1134" w:type="dxa"/>
          </w:tcPr>
          <w:p>
            <w:pPr>
              <w:pStyle w:val="nTable"/>
              <w:spacing w:after="40"/>
            </w:pPr>
            <w:r>
              <w:t>24 Sep 2013</w:t>
            </w:r>
          </w:p>
        </w:tc>
        <w:tc>
          <w:tcPr>
            <w:tcW w:w="2552" w:type="dxa"/>
          </w:tcPr>
          <w:p>
            <w:pPr>
              <w:pStyle w:val="nTable"/>
              <w:spacing w:after="40"/>
              <w:rPr>
                <w:snapToGrid w:val="0"/>
              </w:rPr>
            </w:pPr>
            <w:r>
              <w:rPr>
                <w:snapToGrid w:val="0"/>
              </w:rPr>
              <w:t>25 Sep 2013 (see s. 2(c)(ii))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2015</w:t>
            </w:r>
            <w:r>
              <w:rPr>
                <w:snapToGrid w:val="0"/>
              </w:rPr>
              <w:t xml:space="preserve"> Pt. 2 Div. 1</w:t>
            </w:r>
          </w:p>
        </w:tc>
        <w:tc>
          <w:tcPr>
            <w:tcW w:w="1134" w:type="dxa"/>
          </w:tcPr>
          <w:p>
            <w:pPr>
              <w:pStyle w:val="nTable"/>
              <w:spacing w:after="40"/>
              <w:rPr>
                <w:snapToGrid w:val="0"/>
              </w:rPr>
            </w:pPr>
            <w:r>
              <w:rPr>
                <w:snapToGrid w:val="0"/>
              </w:rPr>
              <w:t>27 of 2015</w:t>
            </w:r>
          </w:p>
        </w:tc>
        <w:tc>
          <w:tcPr>
            <w:tcW w:w="1134" w:type="dxa"/>
          </w:tcPr>
          <w:p>
            <w:pPr>
              <w:pStyle w:val="nTable"/>
              <w:spacing w:after="40"/>
            </w:pPr>
            <w:r>
              <w:t>2 Oct 2015</w:t>
            </w:r>
          </w:p>
        </w:tc>
        <w:tc>
          <w:tcPr>
            <w:tcW w:w="2552" w:type="dxa"/>
          </w:tcPr>
          <w:p>
            <w:pPr>
              <w:pStyle w:val="nTable"/>
              <w:spacing w:after="40"/>
              <w:rPr>
                <w:snapToGrid w:val="0"/>
              </w:rPr>
            </w:pPr>
            <w:r>
              <w:rPr>
                <w:snapToGrid w:val="0"/>
              </w:rPr>
              <w:t>3 Oct 2015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First Home Owner Grant Amendment Act 2017</w:t>
            </w:r>
          </w:p>
        </w:tc>
        <w:tc>
          <w:tcPr>
            <w:tcW w:w="1134" w:type="dxa"/>
          </w:tcPr>
          <w:p>
            <w:pPr>
              <w:pStyle w:val="nTable"/>
              <w:spacing w:after="40"/>
              <w:rPr>
                <w:snapToGrid w:val="0"/>
              </w:rPr>
            </w:pPr>
            <w:r>
              <w:rPr>
                <w:snapToGrid w:val="0"/>
              </w:rPr>
              <w:t>16 of 2017</w:t>
            </w:r>
          </w:p>
        </w:tc>
        <w:tc>
          <w:tcPr>
            <w:tcW w:w="1134" w:type="dxa"/>
          </w:tcPr>
          <w:p>
            <w:pPr>
              <w:pStyle w:val="nTable"/>
              <w:spacing w:after="40"/>
            </w:pPr>
            <w:r>
              <w:t>5 Dec 2017</w:t>
            </w:r>
          </w:p>
        </w:tc>
        <w:tc>
          <w:tcPr>
            <w:tcW w:w="2552" w:type="dxa"/>
          </w:tcPr>
          <w:p>
            <w:pPr>
              <w:pStyle w:val="nTable"/>
              <w:spacing w:after="40"/>
              <w:rPr>
                <w:snapToGrid w:val="0"/>
              </w:rPr>
            </w:pPr>
            <w:r>
              <w:rPr>
                <w:snapToGrid w:val="0"/>
              </w:rPr>
              <w:t>s. 8-16: 1 Jan 2017 (see s. 2(b));</w:t>
            </w:r>
            <w:r>
              <w:rPr>
                <w:snapToGrid w:val="0"/>
              </w:rPr>
              <w:br/>
              <w:t>s. 1 and 2: 5 Dec 2017 (see s. 2(a));</w:t>
            </w:r>
            <w:r>
              <w:rPr>
                <w:snapToGrid w:val="0"/>
              </w:rPr>
              <w:br/>
              <w:t>Act other than s. 1, 2 and 8</w:t>
            </w:r>
            <w:r>
              <w:rPr>
                <w:snapToGrid w:val="0"/>
              </w:rPr>
              <w:noBreakHyphen/>
              <w:t>16: 6 Dec 2017 (see s. 2(c))</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First Home Owner Grant Act 2000</w:t>
            </w:r>
            <w:r>
              <w:rPr>
                <w:b/>
                <w:snapToGrid w:val="0"/>
              </w:rPr>
              <w:t xml:space="preserve"> as at 4 May 2018</w:t>
            </w:r>
            <w:r>
              <w:rPr>
                <w:snapToGrid w:val="0"/>
              </w:rPr>
              <w:br/>
              <w:t>(includes amendments listed above)</w:t>
            </w:r>
          </w:p>
        </w:tc>
      </w:tr>
      <w:tr>
        <w:trPr>
          <w:cantSplit/>
        </w:trPr>
        <w:tc>
          <w:tcPr>
            <w:tcW w:w="2268" w:type="dxa"/>
            <w:tcBorders>
              <w:top w:val="nil"/>
              <w:bottom w:val="nil"/>
            </w:tcBorders>
          </w:tcPr>
          <w:p>
            <w:pPr>
              <w:pStyle w:val="nTable"/>
              <w:spacing w:after="40"/>
            </w:pPr>
            <w:r>
              <w:rPr>
                <w:i/>
              </w:rPr>
              <w:t>Strata Titles Amendment Act 2018</w:t>
            </w:r>
            <w:r>
              <w:t xml:space="preserve"> Pt. 3 Div. 7</w:t>
            </w:r>
          </w:p>
        </w:tc>
        <w:tc>
          <w:tcPr>
            <w:tcW w:w="1134" w:type="dxa"/>
            <w:tcBorders>
              <w:top w:val="nil"/>
              <w:bottom w:val="nil"/>
            </w:tcBorders>
          </w:tcPr>
          <w:p>
            <w:pPr>
              <w:pStyle w:val="nTable"/>
              <w:spacing w:after="40"/>
              <w:rPr>
                <w:snapToGrid w:val="0"/>
              </w:rPr>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rPr>
                <w:snapToGrid w:val="0"/>
              </w:rPr>
              <w:t>1 May 2020 (see s. 2(b) and SL 2020/39 cl. 2)</w:t>
            </w:r>
          </w:p>
        </w:tc>
      </w:tr>
      <w:tr>
        <w:trPr>
          <w:cantSplit/>
        </w:trPr>
        <w:tc>
          <w:tcPr>
            <w:tcW w:w="2268" w:type="dxa"/>
            <w:tcBorders>
              <w:top w:val="nil"/>
              <w:bottom w:val="nil"/>
            </w:tcBorders>
          </w:tcPr>
          <w:p>
            <w:pPr>
              <w:pStyle w:val="nTable"/>
              <w:spacing w:after="40"/>
              <w:rPr>
                <w:i/>
              </w:rPr>
            </w:pPr>
            <w:r>
              <w:rPr>
                <w:i/>
              </w:rPr>
              <w:lastRenderedPageBreak/>
              <w:t>Community Titles Act 2018</w:t>
            </w:r>
            <w:r>
              <w:t xml:space="preserve"> Pt. 14 Div. 9</w:t>
            </w:r>
          </w:p>
        </w:tc>
        <w:tc>
          <w:tcPr>
            <w:tcW w:w="1134"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t>30 Jun 2021 (see s. 2(b) and SL 2021/69 cl. 2)</w:t>
            </w:r>
          </w:p>
        </w:tc>
      </w:tr>
      <w:tr>
        <w:trPr>
          <w:cantSplit/>
        </w:trPr>
        <w:tc>
          <w:tcPr>
            <w:tcW w:w="2268" w:type="dxa"/>
            <w:tcBorders>
              <w:top w:val="nil"/>
              <w:bottom w:val="single" w:sz="4" w:space="0" w:color="auto"/>
            </w:tcBorders>
          </w:tcPr>
          <w:p>
            <w:pPr>
              <w:pStyle w:val="nTable"/>
              <w:spacing w:after="40"/>
            </w:pPr>
            <w:r>
              <w:rPr>
                <w:i/>
              </w:rPr>
              <w:t>Finance Legislation Amendment (Emergency Relief) Act 2022</w:t>
            </w:r>
            <w:r>
              <w:t xml:space="preserve"> Pt. 3</w:t>
            </w:r>
          </w:p>
        </w:tc>
        <w:tc>
          <w:tcPr>
            <w:tcW w:w="1134" w:type="dxa"/>
            <w:tcBorders>
              <w:top w:val="nil"/>
              <w:bottom w:val="single" w:sz="4" w:space="0" w:color="auto"/>
            </w:tcBorders>
          </w:tcPr>
          <w:p>
            <w:pPr>
              <w:pStyle w:val="nTable"/>
              <w:spacing w:after="40"/>
            </w:pPr>
            <w:r>
              <w:t>1 of 2022</w:t>
            </w:r>
          </w:p>
        </w:tc>
        <w:tc>
          <w:tcPr>
            <w:tcW w:w="1134" w:type="dxa"/>
            <w:tcBorders>
              <w:top w:val="nil"/>
              <w:bottom w:val="single" w:sz="4" w:space="0" w:color="auto"/>
            </w:tcBorders>
          </w:tcPr>
          <w:p>
            <w:pPr>
              <w:pStyle w:val="nTable"/>
              <w:spacing w:after="40"/>
            </w:pPr>
            <w:r>
              <w:t>21 Feb 2022</w:t>
            </w:r>
          </w:p>
        </w:tc>
        <w:tc>
          <w:tcPr>
            <w:tcW w:w="2552" w:type="dxa"/>
            <w:tcBorders>
              <w:top w:val="nil"/>
              <w:bottom w:val="single" w:sz="4" w:space="0" w:color="auto"/>
            </w:tcBorders>
          </w:tcPr>
          <w:p>
            <w:pPr>
              <w:pStyle w:val="nTable"/>
              <w:spacing w:after="40"/>
            </w:pPr>
            <w:r>
              <w:t>22 Feb 2022 (see s. 2(b))</w:t>
            </w:r>
          </w:p>
        </w:tc>
      </w:tr>
    </w:tbl>
    <w:p>
      <w:pPr>
        <w:pStyle w:val="nHeading3"/>
      </w:pPr>
      <w:bookmarkStart w:id="175" w:name="_Toc100568215"/>
      <w:r>
        <w:t>Uncommenced provisions table</w:t>
      </w:r>
      <w:bookmarkEnd w:id="17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Legal Profession Uniform Law Application Act 2022</w:t>
            </w:r>
            <w:r>
              <w:t xml:space="preserve"> s. 424</w:t>
            </w:r>
          </w:p>
        </w:tc>
        <w:tc>
          <w:tcPr>
            <w:tcW w:w="1134" w:type="dxa"/>
          </w:tcPr>
          <w:p>
            <w:pPr>
              <w:pStyle w:val="nTable"/>
              <w:spacing w:after="40"/>
            </w:pPr>
            <w:r>
              <w:t>9 of 2022</w:t>
            </w:r>
          </w:p>
        </w:tc>
        <w:tc>
          <w:tcPr>
            <w:tcW w:w="1134" w:type="dxa"/>
          </w:tcPr>
          <w:p>
            <w:pPr>
              <w:pStyle w:val="nTable"/>
              <w:spacing w:after="40"/>
            </w:pPr>
            <w:r>
              <w:t>14 Apr 2022</w:t>
            </w:r>
          </w:p>
        </w:tc>
        <w:tc>
          <w:tcPr>
            <w:tcW w:w="2552" w:type="dxa"/>
          </w:tcPr>
          <w:p>
            <w:pPr>
              <w:pStyle w:val="nTable"/>
              <w:spacing w:after="40"/>
            </w:pPr>
            <w:r>
              <w:t>To be proclaimed (see s. 2(c))</w:t>
            </w:r>
          </w:p>
        </w:tc>
      </w:tr>
    </w:tbl>
    <w:p>
      <w:pPr>
        <w:pStyle w:val="nHeading3"/>
      </w:pPr>
      <w:bookmarkStart w:id="176" w:name="_Toc100568216"/>
      <w:r>
        <w:t>Other notes</w:t>
      </w:r>
      <w:bookmarkEnd w:id="176"/>
    </w:p>
    <w:p>
      <w:pPr>
        <w:pStyle w:val="nNote"/>
        <w:rPr>
          <w:snapToGrid w:val="0"/>
        </w:rPr>
      </w:pPr>
      <w:r>
        <w:rPr>
          <w:snapToGrid w:val="0"/>
          <w:vertAlign w:val="superscript"/>
        </w:rPr>
        <w:t>1</w:t>
      </w:r>
      <w:r>
        <w:rPr>
          <w:snapToGrid w:val="0"/>
        </w:rPr>
        <w:tab/>
        <w:t xml:space="preserve">The </w:t>
      </w:r>
      <w:r>
        <w:rPr>
          <w:i/>
          <w:snapToGrid w:val="0"/>
        </w:rPr>
        <w:t>Courts Legislation Amendment and Repeal Act 2004</w:t>
      </w:r>
      <w:r>
        <w:rPr>
          <w:snapToGrid w:val="0"/>
        </w:rPr>
        <w:t xml:space="preserve"> Sch. 2 cl. 20 was deleted by the </w:t>
      </w:r>
      <w:r>
        <w:rPr>
          <w:i/>
          <w:iCs/>
          <w:snapToGrid w:val="0"/>
        </w:rPr>
        <w:t>Criminal Law and Evidence Amendment Act 2008</w:t>
      </w:r>
      <w:r>
        <w:rPr>
          <w:snapToGrid w:val="0"/>
        </w:rPr>
        <w:t xml:space="preserve"> s. 77(13).</w:t>
      </w:r>
    </w:p>
    <w:p>
      <w:pPr>
        <w:pStyle w:val="nNote"/>
        <w:spacing w:before="160"/>
        <w:rPr>
          <w:i/>
        </w:rPr>
      </w:pPr>
      <w:r>
        <w:rPr>
          <w:vertAlign w:val="superscript"/>
        </w:rPr>
        <w:t>2</w:t>
      </w:r>
      <w:r>
        <w:tab/>
        <w:t xml:space="preserve">The </w:t>
      </w:r>
      <w:r>
        <w:rPr>
          <w:i/>
        </w:rPr>
        <w:t>First Home Owner Grant Amendment Act 2001</w:t>
      </w:r>
      <w:r>
        <w:t xml:space="preserve"> s. 7</w:t>
      </w:r>
      <w:r>
        <w:rPr>
          <w:i/>
        </w:rPr>
        <w:t xml:space="preserve"> </w:t>
      </w:r>
      <w:r>
        <w:t>is a savings provision of no further effect.</w:t>
      </w:r>
    </w:p>
    <w:p>
      <w:pPr>
        <w:pStyle w:val="nNote"/>
      </w:pPr>
      <w:r>
        <w:rPr>
          <w:vertAlign w:val="superscript"/>
        </w:rPr>
        <w:t>3</w:t>
      </w:r>
      <w:r>
        <w:tab/>
        <w:t xml:space="preserve">The </w:t>
      </w:r>
      <w:r>
        <w:rPr>
          <w:i/>
        </w:rPr>
        <w:t>First Home Owner Grant Amendment Act 2003</w:t>
      </w:r>
      <w:r>
        <w:t xml:space="preserve"> s. 10 is a savings provision of no further effect.</w:t>
      </w:r>
    </w:p>
    <w:p>
      <w:pPr>
        <w:pStyle w:val="nNote"/>
      </w:pPr>
      <w:r>
        <w:rPr>
          <w:vertAlign w:val="superscript"/>
        </w:rPr>
        <w:t>4</w:t>
      </w:r>
      <w:r>
        <w:tab/>
        <w:t xml:space="preserve">The </w:t>
      </w:r>
      <w:r>
        <w:rPr>
          <w:i/>
        </w:rPr>
        <w:t>First Home Owner Grant Amendment Act 2004</w:t>
      </w:r>
      <w:r>
        <w:t xml:space="preserve"> Pt. 3 is a transitional provision of no further effect.</w:t>
      </w:r>
    </w:p>
    <w:p>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6</w:t>
      </w:r>
      <w:r>
        <w:tab/>
        <w:t xml:space="preserve">The </w:t>
      </w:r>
      <w:r>
        <w:rPr>
          <w:i/>
          <w:iCs/>
        </w:rPr>
        <w:t>First Home Owner Grant Amendment Act 2005</w:t>
      </w:r>
      <w:r>
        <w:t xml:space="preserve"> Pt. 3 reads as follows:</w:t>
      </w:r>
    </w:p>
    <w:p>
      <w:pPr>
        <w:pStyle w:val="BlankOpen"/>
      </w:pPr>
    </w:p>
    <w:p>
      <w:pPr>
        <w:pStyle w:val="nzHeading2"/>
      </w:pPr>
      <w:r>
        <w:t>Part 3 — Transitional provisions</w:t>
      </w:r>
    </w:p>
    <w:p>
      <w:pPr>
        <w:pStyle w:val="nzHeading3"/>
      </w:pPr>
      <w:r>
        <w:rPr>
          <w:rStyle w:val="CharDivNo"/>
        </w:rPr>
        <w:t>Division 1</w:t>
      </w:r>
      <w:r>
        <w:t> — </w:t>
      </w:r>
      <w:r>
        <w:rPr>
          <w:rStyle w:val="CharDivText"/>
        </w:rPr>
        <w:t>First home owner grant</w:t>
      </w:r>
    </w:p>
    <w:p>
      <w:pPr>
        <w:pStyle w:val="nzHeading5"/>
      </w:pPr>
      <w:r>
        <w:rPr>
          <w:rStyle w:val="CharSectno"/>
        </w:rPr>
        <w:t>5</w:t>
      </w:r>
      <w:r>
        <w:t>.</w:t>
      </w:r>
      <w:r>
        <w:tab/>
        <w:t>Terms used in this Division</w:t>
      </w:r>
    </w:p>
    <w:p>
      <w:pPr>
        <w:pStyle w:val="nzSubsection"/>
      </w:pPr>
      <w:r>
        <w:tab/>
        <w:t>(1)</w:t>
      </w:r>
      <w:r>
        <w:tab/>
        <w:t xml:space="preserve">In this Division — </w:t>
      </w:r>
    </w:p>
    <w:p>
      <w:pPr>
        <w:pStyle w:val="nzDefstart"/>
      </w:pPr>
      <w:r>
        <w:rPr>
          <w:b/>
        </w:rPr>
        <w:lastRenderedPageBreak/>
        <w:tab/>
      </w:r>
      <w:r>
        <w:rPr>
          <w:rStyle w:val="CharDefText"/>
        </w:rPr>
        <w:t>commencement day</w:t>
      </w:r>
      <w:r>
        <w:t xml:space="preserve"> means the day on which this Act receives the Royal Assent;</w:t>
      </w:r>
    </w:p>
    <w:p>
      <w:pPr>
        <w:pStyle w:val="nzDefstart"/>
        <w:rPr>
          <w:iCs/>
        </w:rPr>
      </w:pPr>
      <w:r>
        <w:rPr>
          <w:b/>
        </w:rPr>
        <w:tab/>
      </w:r>
      <w:r>
        <w:rPr>
          <w:rStyle w:val="CharDefText"/>
        </w:rPr>
        <w:t>FHOG Act</w:t>
      </w:r>
      <w:r>
        <w:t xml:space="preserve"> means the </w:t>
      </w:r>
      <w:r>
        <w:rPr>
          <w:i/>
        </w:rPr>
        <w:t>First Home Owner Grant Act 2000</w:t>
      </w:r>
      <w:r>
        <w:rPr>
          <w:iCs/>
        </w:rPr>
        <w:t>;</w:t>
      </w:r>
    </w:p>
    <w:p>
      <w:pPr>
        <w:pStyle w:val="nzDefstart"/>
        <w:keepNext/>
      </w:pPr>
      <w:r>
        <w:rPr>
          <w:b/>
        </w:rPr>
        <w:tab/>
      </w:r>
      <w:r>
        <w:rPr>
          <w:rStyle w:val="CharDefText"/>
        </w:rPr>
        <w:t>relevant eligible transaction</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r>
        <w:rPr>
          <w:rStyle w:val="CharSectno"/>
        </w:rPr>
        <w:t>6</w:t>
      </w:r>
      <w:r>
        <w:t>.</w:t>
      </w:r>
      <w:r>
        <w:tab/>
        <w:t>Application of amendments to FHOG Act section 12</w:t>
      </w:r>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r>
        <w:rPr>
          <w:rStyle w:val="CharSectno"/>
        </w:rPr>
        <w:t>7</w:t>
      </w:r>
      <w:r>
        <w:t>.</w:t>
      </w:r>
      <w:r>
        <w:tab/>
        <w:t>Application of amendments to FHOG Act section 15</w:t>
      </w:r>
    </w:p>
    <w:p>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keepNext/>
      </w:pPr>
      <w:r>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w:t>
      </w:r>
      <w:r>
        <w:rPr>
          <w:iCs/>
        </w:rPr>
        <w:lastRenderedPageBreak/>
        <w:t xml:space="preserve">applies to and in relation to </w:t>
      </w:r>
      <w:r>
        <w:t>an application referred to in that subsection.</w:t>
      </w:r>
    </w:p>
    <w:p>
      <w:pPr>
        <w:pStyle w:val="nzHeading5"/>
      </w:pPr>
      <w:r>
        <w:rPr>
          <w:rStyle w:val="CharSectno"/>
        </w:rPr>
        <w:t>8</w:t>
      </w:r>
      <w:r>
        <w:t>.</w:t>
      </w:r>
      <w:r>
        <w:tab/>
        <w:t>Application of amendments to existing first home owner grants</w:t>
      </w:r>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r>
        <w:rPr>
          <w:rStyle w:val="CharDivNo"/>
        </w:rPr>
        <w:t>Division 2</w:t>
      </w:r>
      <w:r>
        <w:t> — </w:t>
      </w:r>
      <w:r>
        <w:rPr>
          <w:rStyle w:val="CharDivText"/>
        </w:rPr>
        <w:t>Stamp duty</w:t>
      </w:r>
    </w:p>
    <w:p>
      <w:pPr>
        <w:pStyle w:val="nzHeading5"/>
      </w:pPr>
      <w:r>
        <w:rPr>
          <w:rStyle w:val="CharSectno"/>
        </w:rPr>
        <w:t>9</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pPr>
      <w:r>
        <w:rPr>
          <w:b/>
        </w:rPr>
        <w:tab/>
      </w:r>
      <w:r>
        <w:rPr>
          <w:rStyle w:val="CharDefText"/>
        </w:rPr>
        <w:t>relevant instrument of transfer</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r>
      <w:r>
        <w:rPr>
          <w:rStyle w:val="CharDefText"/>
        </w:rPr>
        <w:t>section 75AG</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r>
        <w:rPr>
          <w:rStyle w:val="CharSectno"/>
        </w:rPr>
        <w:t>10</w:t>
      </w:r>
      <w:r>
        <w:t>.</w:t>
      </w:r>
      <w:r>
        <w:tab/>
        <w:t xml:space="preserve">Assessment of duty under </w:t>
      </w:r>
      <w:r>
        <w:rPr>
          <w:i/>
          <w:iCs/>
        </w:rPr>
        <w:t xml:space="preserve">Stamp Act 1921 </w:t>
      </w:r>
      <w:r>
        <w:t>section 75AG for transfers relating to certain first home owners</w:t>
      </w:r>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BlankClose"/>
      </w:pP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178" w:name="_Toc100325918"/>
      <w:bookmarkStart w:id="179" w:name="_Toc100326294"/>
      <w:bookmarkStart w:id="180" w:name="_Toc100568217"/>
      <w:r>
        <w:rPr>
          <w:sz w:val="28"/>
        </w:rPr>
        <w:lastRenderedPageBreak/>
        <w:t>Defined terms</w:t>
      </w:r>
      <w:bookmarkEnd w:id="178"/>
      <w:bookmarkEnd w:id="179"/>
      <w:bookmarkEnd w:id="1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administration agreement</w:t>
      </w:r>
      <w:r>
        <w:tab/>
        <w:t>37(1)</w:t>
      </w:r>
    </w:p>
    <w:p>
      <w:pPr>
        <w:pStyle w:val="DefinedTerms"/>
      </w:pPr>
      <w:r>
        <w:t>affected transaction</w:t>
      </w:r>
      <w:r>
        <w:tab/>
        <w:t>64F(1)</w:t>
      </w:r>
    </w:p>
    <w:p>
      <w:pPr>
        <w:pStyle w:val="DefinedTerms"/>
      </w:pPr>
      <w:r>
        <w:t>amendment day</w:t>
      </w:r>
      <w:r>
        <w:tab/>
        <w:t>19(1)</w:t>
      </w:r>
    </w:p>
    <w:p>
      <w:pPr>
        <w:pStyle w:val="DefinedTerms"/>
      </w:pPr>
      <w:r>
        <w:t>applicant,</w:t>
      </w:r>
      <w:r>
        <w:tab/>
        <w:t>41A(1)</w:t>
      </w:r>
    </w:p>
    <w:p>
      <w:pPr>
        <w:pStyle w:val="DefinedTerms"/>
      </w:pPr>
      <w:r>
        <w:t>application</w:t>
      </w:r>
      <w:r>
        <w:tab/>
        <w:t>3(1)</w:t>
      </w:r>
    </w:p>
    <w:p>
      <w:pPr>
        <w:pStyle w:val="DefinedTerms"/>
      </w:pPr>
      <w:r>
        <w:t>approved</w:t>
      </w:r>
      <w:r>
        <w:tab/>
        <w:t>30(1A), 32(1)</w:t>
      </w:r>
    </w:p>
    <w:p>
      <w:pPr>
        <w:pStyle w:val="DefinedTerms"/>
      </w:pPr>
      <w:r>
        <w:t>Australian citizen</w:t>
      </w:r>
      <w:r>
        <w:tab/>
        <w:t>3(1), 7A(1)</w:t>
      </w:r>
    </w:p>
    <w:p>
      <w:pPr>
        <w:pStyle w:val="DefinedTerms"/>
      </w:pPr>
      <w:r>
        <w:t>authorised investigator</w:t>
      </w:r>
      <w:r>
        <w:tab/>
        <w:t>3(1), 48(3)</w:t>
      </w:r>
    </w:p>
    <w:p>
      <w:pPr>
        <w:pStyle w:val="DefinedTerms"/>
      </w:pPr>
      <w:r>
        <w:t>building</w:t>
      </w:r>
      <w:r>
        <w:tab/>
        <w:t>3(1)</w:t>
      </w:r>
    </w:p>
    <w:p>
      <w:pPr>
        <w:pStyle w:val="DefinedTerms"/>
      </w:pPr>
      <w:r>
        <w:t>cap amount</w:t>
      </w:r>
      <w:r>
        <w:tab/>
        <w:t>3, 14AD</w:t>
      </w:r>
    </w:p>
    <w:p>
      <w:pPr>
        <w:pStyle w:val="DefinedTerms"/>
      </w:pPr>
      <w:r>
        <w:t>class 1 eligible transaction</w:t>
      </w:r>
      <w:r>
        <w:tab/>
        <w:t>14B(1)</w:t>
      </w:r>
    </w:p>
    <w:p>
      <w:pPr>
        <w:pStyle w:val="DefinedTerms"/>
      </w:pPr>
      <w:r>
        <w:t>class 2 eligible transaction</w:t>
      </w:r>
      <w:r>
        <w:tab/>
        <w:t>14B(1a)</w:t>
      </w:r>
    </w:p>
    <w:p>
      <w:pPr>
        <w:pStyle w:val="DefinedTerms"/>
      </w:pPr>
      <w:r>
        <w:t>class 3 eligible transaction</w:t>
      </w:r>
      <w:r>
        <w:tab/>
        <w:t>14B(1b)</w:t>
      </w:r>
    </w:p>
    <w:p>
      <w:pPr>
        <w:pStyle w:val="DefinedTerms"/>
      </w:pPr>
      <w:r>
        <w:t>class 4 eligible transaction</w:t>
      </w:r>
      <w:r>
        <w:tab/>
        <w:t>14B(2)</w:t>
      </w:r>
    </w:p>
    <w:p>
      <w:pPr>
        <w:pStyle w:val="DefinedTerms"/>
      </w:pPr>
      <w:r>
        <w:t>class 5 eligible transaction</w:t>
      </w:r>
      <w:r>
        <w:tab/>
        <w:t>14B(3)</w:t>
      </w:r>
    </w:p>
    <w:p>
      <w:pPr>
        <w:pStyle w:val="DefinedTerms"/>
      </w:pPr>
      <w:r>
        <w:t>class 6 eligible transaction</w:t>
      </w:r>
      <w:r>
        <w:tab/>
        <w:t>14B(4A)</w:t>
      </w:r>
    </w:p>
    <w:p>
      <w:pPr>
        <w:pStyle w:val="DefinedTerms"/>
      </w:pPr>
      <w:r>
        <w:t>class 7 eligible transaction</w:t>
      </w:r>
      <w:r>
        <w:tab/>
        <w:t>14B(4B)</w:t>
      </w:r>
    </w:p>
    <w:p>
      <w:pPr>
        <w:pStyle w:val="DefinedTerms"/>
      </w:pPr>
      <w:r>
        <w:t>class 8 eligible transaction</w:t>
      </w:r>
      <w:r>
        <w:tab/>
        <w:t>14B(4C)</w:t>
      </w:r>
    </w:p>
    <w:p>
      <w:pPr>
        <w:pStyle w:val="DefinedTerms"/>
      </w:pPr>
      <w:r>
        <w:t>commencement date</w:t>
      </w:r>
      <w:r>
        <w:tab/>
        <w:t>3(1), 14AA(1)</w:t>
      </w:r>
    </w:p>
    <w:p>
      <w:pPr>
        <w:pStyle w:val="DefinedTerms"/>
      </w:pPr>
      <w:r>
        <w:t>commencement day</w:t>
      </w:r>
      <w:r>
        <w:tab/>
        <w:t>71(1)</w:t>
      </w:r>
    </w:p>
    <w:p>
      <w:pPr>
        <w:pStyle w:val="DefinedTerms"/>
      </w:pPr>
      <w:r>
        <w:t>Commissioner</w:t>
      </w:r>
      <w:r>
        <w:tab/>
        <w:t>3(1)</w:t>
      </w:r>
    </w:p>
    <w:p>
      <w:pPr>
        <w:pStyle w:val="DefinedTerms"/>
      </w:pPr>
      <w:r>
        <w:t>Commissioner’s website</w:t>
      </w:r>
      <w:r>
        <w:tab/>
        <w:t>3(1)</w:t>
      </w:r>
    </w:p>
    <w:p>
      <w:pPr>
        <w:pStyle w:val="DefinedTerms"/>
      </w:pPr>
      <w:r>
        <w:t>completed</w:t>
      </w:r>
      <w:r>
        <w:tab/>
        <w:t>3(1), 14AA(2)</w:t>
      </w:r>
    </w:p>
    <w:p>
      <w:pPr>
        <w:pStyle w:val="DefinedTerms"/>
      </w:pPr>
      <w:r>
        <w:t>comprehensive home building contract</w:t>
      </w:r>
      <w:r>
        <w:tab/>
        <w:t>3(1)</w:t>
      </w:r>
    </w:p>
    <w:p>
      <w:pPr>
        <w:pStyle w:val="DefinedTerms"/>
      </w:pPr>
      <w:r>
        <w:t>confidential information</w:t>
      </w:r>
      <w:r>
        <w:tab/>
        <w:t>65(7)</w:t>
      </w:r>
    </w:p>
    <w:p>
      <w:pPr>
        <w:pStyle w:val="DefinedTerms"/>
      </w:pPr>
      <w:r>
        <w:t>consideration</w:t>
      </w:r>
      <w:r>
        <w:tab/>
        <w:t>3(1), 14AB</w:t>
      </w:r>
    </w:p>
    <w:p>
      <w:pPr>
        <w:pStyle w:val="DefinedTerms"/>
      </w:pPr>
      <w:r>
        <w:t>corresponding Commissioner</w:t>
      </w:r>
      <w:r>
        <w:tab/>
        <w:t>3(1)</w:t>
      </w:r>
    </w:p>
    <w:p>
      <w:pPr>
        <w:pStyle w:val="DefinedTerms"/>
      </w:pPr>
      <w:r>
        <w:t>corresponding law</w:t>
      </w:r>
      <w:r>
        <w:tab/>
        <w:t>3(1)</w:t>
      </w:r>
    </w:p>
    <w:p>
      <w:pPr>
        <w:pStyle w:val="DefinedTerms"/>
      </w:pPr>
      <w:r>
        <w:t>cut-off date</w:t>
      </w:r>
      <w:r>
        <w:tab/>
        <w:t>14A</w:t>
      </w:r>
    </w:p>
    <w:p>
      <w:pPr>
        <w:pStyle w:val="DefinedTerms"/>
      </w:pPr>
      <w:r>
        <w:t>decision on the application</w:t>
      </w:r>
      <w:r>
        <w:tab/>
        <w:t>26</w:t>
      </w:r>
    </w:p>
    <w:p>
      <w:pPr>
        <w:pStyle w:val="DefinedTerms"/>
      </w:pPr>
      <w:r>
        <w:t>de facto partner</w:t>
      </w:r>
      <w:r>
        <w:tab/>
        <w:t>3(1)</w:t>
      </w:r>
    </w:p>
    <w:p>
      <w:pPr>
        <w:pStyle w:val="DefinedTerms"/>
      </w:pPr>
      <w:r>
        <w:t>document</w:t>
      </w:r>
      <w:r>
        <w:tab/>
        <w:t>47(3)</w:t>
      </w:r>
    </w:p>
    <w:p>
      <w:pPr>
        <w:pStyle w:val="DefinedTerms"/>
      </w:pPr>
      <w:r>
        <w:t>eligibility criteria</w:t>
      </w:r>
      <w:r>
        <w:tab/>
        <w:t>3(1)</w:t>
      </w:r>
    </w:p>
    <w:p>
      <w:pPr>
        <w:pStyle w:val="DefinedTerms"/>
      </w:pPr>
      <w:r>
        <w:t>eligible person</w:t>
      </w:r>
      <w:r>
        <w:tab/>
        <w:t>64F(1)</w:t>
      </w:r>
    </w:p>
    <w:p>
      <w:pPr>
        <w:pStyle w:val="DefinedTerms"/>
      </w:pPr>
      <w:r>
        <w:t>eligible transaction</w:t>
      </w:r>
      <w:r>
        <w:tab/>
        <w:t>3(1), 14(1)</w:t>
      </w:r>
    </w:p>
    <w:p>
      <w:pPr>
        <w:pStyle w:val="DefinedTerms"/>
      </w:pPr>
      <w:r>
        <w:t>emergency declaration</w:t>
      </w:r>
      <w:r>
        <w:tab/>
        <w:t>64B(1)</w:t>
      </w:r>
    </w:p>
    <w:p>
      <w:pPr>
        <w:pStyle w:val="DefinedTerms"/>
      </w:pPr>
      <w:r>
        <w:t>established home</w:t>
      </w:r>
      <w:r>
        <w:tab/>
        <w:t>3(1)</w:t>
      </w:r>
    </w:p>
    <w:p>
      <w:pPr>
        <w:pStyle w:val="DefinedTerms"/>
      </w:pPr>
      <w:r>
        <w:t>first home owner grant</w:t>
      </w:r>
      <w:r>
        <w:tab/>
        <w:t>3(1)</w:t>
      </w:r>
    </w:p>
    <w:p>
      <w:pPr>
        <w:pStyle w:val="DefinedTerms"/>
      </w:pPr>
      <w:r>
        <w:t>first home owner grant scheme</w:t>
      </w:r>
      <w:r>
        <w:tab/>
        <w:t>3(1)</w:t>
      </w:r>
    </w:p>
    <w:p>
      <w:pPr>
        <w:pStyle w:val="DefinedTerms"/>
      </w:pPr>
      <w:r>
        <w:t>garnishee</w:t>
      </w:r>
      <w:r>
        <w:tab/>
        <w:t>54A(2)</w:t>
      </w:r>
    </w:p>
    <w:p>
      <w:pPr>
        <w:pStyle w:val="DefinedTerms"/>
      </w:pPr>
      <w:r>
        <w:lastRenderedPageBreak/>
        <w:t>grant amount</w:t>
      </w:r>
      <w:r>
        <w:tab/>
        <w:t>64A(2)</w:t>
      </w:r>
    </w:p>
    <w:p>
      <w:pPr>
        <w:pStyle w:val="DefinedTerms"/>
      </w:pPr>
      <w:r>
        <w:t>grant relief declaration</w:t>
      </w:r>
      <w:r>
        <w:tab/>
        <w:t>3(1), 64B(2)</w:t>
      </w:r>
    </w:p>
    <w:p>
      <w:pPr>
        <w:pStyle w:val="DefinedTerms"/>
      </w:pPr>
      <w:r>
        <w:t>grant relief measure</w:t>
      </w:r>
      <w:r>
        <w:tab/>
        <w:t>3(1), 64A(1)</w:t>
      </w:r>
    </w:p>
    <w:p>
      <w:pPr>
        <w:pStyle w:val="DefinedTerms"/>
      </w:pPr>
      <w:r>
        <w:t>guardian</w:t>
      </w:r>
      <w:r>
        <w:tab/>
        <w:t>3(1)</w:t>
      </w:r>
    </w:p>
    <w:p>
      <w:pPr>
        <w:pStyle w:val="DefinedTerms"/>
      </w:pPr>
      <w:r>
        <w:t>home</w:t>
      </w:r>
      <w:r>
        <w:tab/>
        <w:t>3(1), 4</w:t>
      </w:r>
    </w:p>
    <w:p>
      <w:pPr>
        <w:pStyle w:val="DefinedTerms"/>
      </w:pPr>
      <w:r>
        <w:t>home owner</w:t>
      </w:r>
      <w:r>
        <w:tab/>
        <w:t>5</w:t>
      </w:r>
    </w:p>
    <w:p>
      <w:pPr>
        <w:pStyle w:val="DefinedTerms"/>
      </w:pPr>
      <w:r>
        <w:t>identity card</w:t>
      </w:r>
      <w:r>
        <w:tab/>
        <w:t>3(1)</w:t>
      </w:r>
    </w:p>
    <w:p>
      <w:pPr>
        <w:pStyle w:val="DefinedTerms"/>
      </w:pPr>
      <w:r>
        <w:t>interested person</w:t>
      </w:r>
      <w:r>
        <w:tab/>
        <w:t>16(3)</w:t>
      </w:r>
    </w:p>
    <w:p>
      <w:pPr>
        <w:pStyle w:val="DefinedTerms"/>
      </w:pPr>
      <w:r>
        <w:t>liable person</w:t>
      </w:r>
      <w:r>
        <w:tab/>
        <w:t>54A(1)</w:t>
      </w:r>
    </w:p>
    <w:p>
      <w:pPr>
        <w:pStyle w:val="DefinedTerms"/>
      </w:pPr>
      <w:r>
        <w:t>licensed valuer</w:t>
      </w:r>
      <w:r>
        <w:tab/>
        <w:t>41A(1)</w:t>
      </w:r>
    </w:p>
    <w:p>
      <w:pPr>
        <w:pStyle w:val="DefinedTerms"/>
      </w:pPr>
      <w:r>
        <w:t>new home</w:t>
      </w:r>
      <w:r>
        <w:tab/>
        <w:t>3(1)</w:t>
      </w:r>
    </w:p>
    <w:p>
      <w:pPr>
        <w:pStyle w:val="DefinedTerms"/>
      </w:pPr>
      <w:r>
        <w:t>non-conforming interest</w:t>
      </w:r>
      <w:r>
        <w:tab/>
        <w:t>6(3)</w:t>
      </w:r>
    </w:p>
    <w:p>
      <w:pPr>
        <w:pStyle w:val="DefinedTerms"/>
      </w:pPr>
      <w:r>
        <w:t>objector</w:t>
      </w:r>
      <w:r>
        <w:tab/>
        <w:t>26</w:t>
      </w:r>
    </w:p>
    <w:p>
      <w:pPr>
        <w:pStyle w:val="DefinedTerms"/>
      </w:pPr>
      <w:r>
        <w:t>option to purchase</w:t>
      </w:r>
      <w:r>
        <w:tab/>
        <w:t>3(1)</w:t>
      </w:r>
    </w:p>
    <w:p>
      <w:pPr>
        <w:pStyle w:val="DefinedTerms"/>
      </w:pPr>
      <w:r>
        <w:t>outstanding amount</w:t>
      </w:r>
      <w:r>
        <w:tab/>
        <w:t>58(1)</w:t>
      </w:r>
    </w:p>
    <w:p>
      <w:pPr>
        <w:pStyle w:val="DefinedTerms"/>
      </w:pPr>
      <w:r>
        <w:t>owner</w:t>
      </w:r>
      <w:r>
        <w:tab/>
        <w:t>3(1), 5</w:t>
      </w:r>
    </w:p>
    <w:p>
      <w:pPr>
        <w:pStyle w:val="DefinedTerms"/>
      </w:pPr>
      <w:r>
        <w:t>owner builder</w:t>
      </w:r>
      <w:r>
        <w:tab/>
        <w:t>3(1)</w:t>
      </w:r>
    </w:p>
    <w:p>
      <w:pPr>
        <w:pStyle w:val="DefinedTerms"/>
      </w:pPr>
      <w:r>
        <w:t>permanent resident</w:t>
      </w:r>
      <w:r>
        <w:tab/>
        <w:t>2(1), 7B(1)</w:t>
      </w:r>
    </w:p>
    <w:p>
      <w:pPr>
        <w:pStyle w:val="DefinedTerms"/>
      </w:pPr>
      <w:r>
        <w:t>premises</w:t>
      </w:r>
      <w:r>
        <w:tab/>
        <w:t>3(1)</w:t>
      </w:r>
    </w:p>
    <w:p>
      <w:pPr>
        <w:pStyle w:val="DefinedTerms"/>
      </w:pPr>
      <w:r>
        <w:t>property</w:t>
      </w:r>
      <w:r>
        <w:tab/>
        <w:t>3(1)</w:t>
      </w:r>
    </w:p>
    <w:p>
      <w:pPr>
        <w:pStyle w:val="DefinedTerms"/>
      </w:pPr>
      <w:r>
        <w:t>registered</w:t>
      </w:r>
      <w:r>
        <w:tab/>
        <w:t>55(6)</w:t>
      </w:r>
    </w:p>
    <w:p>
      <w:pPr>
        <w:pStyle w:val="DefinedTerms"/>
      </w:pPr>
      <w:r>
        <w:t>Registrar</w:t>
      </w:r>
      <w:r>
        <w:tab/>
        <w:t>3(1)</w:t>
      </w:r>
    </w:p>
    <w:p>
      <w:pPr>
        <w:pStyle w:val="DefinedTerms"/>
      </w:pPr>
      <w:r>
        <w:t>relevant amount</w:t>
      </w:r>
      <w:r>
        <w:tab/>
        <w:t>19(3)</w:t>
      </w:r>
    </w:p>
    <w:p>
      <w:pPr>
        <w:pStyle w:val="DefinedTerms"/>
      </w:pPr>
      <w:r>
        <w:t>relevant date</w:t>
      </w:r>
      <w:r>
        <w:tab/>
        <w:t>14A</w:t>
      </w:r>
    </w:p>
    <w:p>
      <w:pPr>
        <w:pStyle w:val="DefinedTerms"/>
      </w:pPr>
      <w:r>
        <w:t>relevant day</w:t>
      </w:r>
      <w:r>
        <w:tab/>
        <w:t>21(3)</w:t>
      </w:r>
    </w:p>
    <w:p>
      <w:pPr>
        <w:pStyle w:val="DefinedTerms"/>
      </w:pPr>
      <w:r>
        <w:t>relevant emergency declaration</w:t>
      </w:r>
      <w:r>
        <w:tab/>
        <w:t>64B(3)</w:t>
      </w:r>
    </w:p>
    <w:p>
      <w:pPr>
        <w:pStyle w:val="DefinedTerms"/>
      </w:pPr>
      <w:r>
        <w:t>relevant interest</w:t>
      </w:r>
      <w:r>
        <w:tab/>
        <w:t>3(1), 6(1)</w:t>
      </w:r>
    </w:p>
    <w:p>
      <w:pPr>
        <w:pStyle w:val="DefinedTerms"/>
      </w:pPr>
      <w:r>
        <w:t>relevant material</w:t>
      </w:r>
      <w:r>
        <w:tab/>
        <w:t>3(1)</w:t>
      </w:r>
    </w:p>
    <w:p>
      <w:pPr>
        <w:pStyle w:val="DefinedTerms"/>
      </w:pPr>
      <w:r>
        <w:t>repayment arrangement</w:t>
      </w:r>
      <w:r>
        <w:tab/>
        <w:t>3(1)</w:t>
      </w:r>
    </w:p>
    <w:p>
      <w:pPr>
        <w:pStyle w:val="DefinedTerms"/>
      </w:pPr>
      <w:r>
        <w:t>required repayment</w:t>
      </w:r>
      <w:r>
        <w:tab/>
        <w:t>52(1A)</w:t>
      </w:r>
    </w:p>
    <w:p>
      <w:pPr>
        <w:pStyle w:val="DefinedTerms"/>
      </w:pPr>
      <w:r>
        <w:t>required residence period</w:t>
      </w:r>
      <w:r>
        <w:tab/>
        <w:t>3(1), 13(2)</w:t>
      </w:r>
    </w:p>
    <w:p>
      <w:pPr>
        <w:pStyle w:val="DefinedTerms"/>
      </w:pPr>
      <w:r>
        <w:t>residence requirements</w:t>
      </w:r>
      <w:r>
        <w:tab/>
        <w:t>3(1)</w:t>
      </w:r>
    </w:p>
    <w:p>
      <w:pPr>
        <w:pStyle w:val="DefinedTerms"/>
      </w:pPr>
      <w:r>
        <w:t>residential property</w:t>
      </w:r>
      <w:r>
        <w:tab/>
        <w:t>3(1), 3(2)</w:t>
      </w:r>
    </w:p>
    <w:p>
      <w:pPr>
        <w:pStyle w:val="DefinedTerms"/>
      </w:pPr>
      <w:r>
        <w:t>second amendment day</w:t>
      </w:r>
      <w:r>
        <w:tab/>
        <w:t>19(1)</w:t>
      </w:r>
    </w:p>
    <w:p>
      <w:pPr>
        <w:pStyle w:val="DefinedTerms"/>
      </w:pPr>
      <w:r>
        <w:t>special eligible transaction</w:t>
      </w:r>
      <w:r>
        <w:tab/>
        <w:t>14A</w:t>
      </w:r>
    </w:p>
    <w:p>
      <w:pPr>
        <w:pStyle w:val="DefinedTerms"/>
      </w:pPr>
      <w:r>
        <w:t>spouse</w:t>
      </w:r>
      <w:r>
        <w:tab/>
        <w:t>3(1), 7(1)</w:t>
      </w:r>
    </w:p>
    <w:p>
      <w:pPr>
        <w:pStyle w:val="DefinedTerms"/>
      </w:pPr>
      <w:r>
        <w:t>standard grant amount</w:t>
      </w:r>
      <w:r>
        <w:tab/>
        <w:t>51(1B)</w:t>
      </w:r>
    </w:p>
    <w:p>
      <w:pPr>
        <w:pStyle w:val="DefinedTerms"/>
      </w:pPr>
      <w:r>
        <w:t>State</w:t>
      </w:r>
      <w:r>
        <w:tab/>
        <w:t>65(7)</w:t>
      </w:r>
    </w:p>
    <w:p>
      <w:pPr>
        <w:pStyle w:val="DefinedTerms"/>
      </w:pPr>
      <w:r>
        <w:t>substantially renovated home</w:t>
      </w:r>
      <w:r>
        <w:tab/>
        <w:t>3(1)</w:t>
      </w:r>
    </w:p>
    <w:p>
      <w:pPr>
        <w:pStyle w:val="DefinedTerms"/>
      </w:pPr>
      <w:r>
        <w:t>take-up period</w:t>
      </w:r>
      <w:r>
        <w:tab/>
        <w:t>3(1), 13(5)</w:t>
      </w:r>
    </w:p>
    <w:p>
      <w:pPr>
        <w:pStyle w:val="DefinedTerms"/>
      </w:pPr>
      <w:r>
        <w:t>taxation law</w:t>
      </w:r>
      <w:r>
        <w:tab/>
        <w:t>3(1)</w:t>
      </w:r>
    </w:p>
    <w:p>
      <w:pPr>
        <w:pStyle w:val="DefinedTerms"/>
      </w:pPr>
      <w:r>
        <w:t>the applicant</w:t>
      </w:r>
      <w:r>
        <w:tab/>
        <w:t>11(1)</w:t>
      </w:r>
    </w:p>
    <w:p>
      <w:pPr>
        <w:pStyle w:val="DefinedTerms"/>
      </w:pPr>
      <w:r>
        <w:t>the home</w:t>
      </w:r>
      <w:r>
        <w:tab/>
        <w:t>3(1)</w:t>
      </w:r>
    </w:p>
    <w:p>
      <w:pPr>
        <w:pStyle w:val="DefinedTerms"/>
      </w:pPr>
      <w:r>
        <w:t>the other grant</w:t>
      </w:r>
      <w:r>
        <w:tab/>
        <w:t>11(1)</w:t>
      </w:r>
    </w:p>
    <w:p>
      <w:pPr>
        <w:pStyle w:val="DefinedTerms"/>
      </w:pPr>
      <w:r>
        <w:t>total value</w:t>
      </w:r>
      <w:r>
        <w:tab/>
        <w:t>3(1), 14AC(1)</w:t>
      </w:r>
    </w:p>
    <w:p>
      <w:pPr>
        <w:pStyle w:val="DefinedTerms"/>
      </w:pPr>
      <w:r>
        <w:lastRenderedPageBreak/>
        <w:t>transaction</w:t>
      </w:r>
      <w:r>
        <w:tab/>
        <w:t>3(1)</w:t>
      </w:r>
    </w:p>
    <w:p>
      <w:pPr>
        <w:pStyle w:val="DefinedTerms"/>
      </w:pPr>
      <w:r>
        <w:t>unencumbered value</w:t>
      </w:r>
      <w:r>
        <w:tab/>
        <w:t>3(1), 14AE(1)</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7" w:name="Compilation"/>
    <w:bookmarkEnd w:id="1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1" w:name="DefinedTerms"/>
    <w:bookmarkEnd w:id="18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2" w:name="Coversheet"/>
    <w:bookmarkEnd w:id="1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4B6F46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18040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5081A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5D07A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792542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CF66E7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909D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383A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10B5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62E8A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C31B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154923"/>
    <w:docVar w:name="WAFER_20140113133418" w:val="RemoveTocBookmarks,RemoveUnusedBookmarks,RemoveLanguageTags,UsedStyles,ResetPageSize,UpdateArrangement"/>
    <w:docVar w:name="WAFER_20140113133418_GUID" w:val="6546429f-c72d-41f4-8b81-35fd053dc06f"/>
    <w:docVar w:name="WAFER_20140113133426" w:val="RemoveTocBookmarks,RunningHeaders"/>
    <w:docVar w:name="WAFER_20140113133426_GUID" w:val="72979225-1f75-4f58-bf7d-c75c9f8149d8"/>
    <w:docVar w:name="WAFER_20150506111140" w:val="ResetPageSize,UpdateArrangement,UpdateNTable"/>
    <w:docVar w:name="WAFER_20150506111140_GUID" w:val="b74ca269-bcd9-46bb-8d7d-7111d43be3ec"/>
    <w:docVar w:name="WAFER_20151105095213" w:val="UpdateStyles,UsedStyles"/>
    <w:docVar w:name="WAFER_20151105095213_GUID" w:val="76a83993-3978-4b4f-bf2b-89fcfb47176f"/>
    <w:docVar w:name="WAFER_20171206144119" w:val="RemoveTocBookmarks,RemoveUnusedBookmarks,RemoveLanguageTags,UsedStyles,ResetPageSize"/>
    <w:docVar w:name="WAFER_20171206144119_GUID" w:val="a7ddfdd7-6198-41b3-92b7-9666b9e0465f"/>
    <w:docVar w:name="WAFER_20180219103948" w:val="RemoveTocBookmarks,RemoveUnusedBookmarks,RemoveLanguageTags,UsedStyles,ResetPageSize,RemoveCustomizations"/>
    <w:docVar w:name="WAFER_20180219103948_GUID" w:val="2f6df3e5-5528-4378-a3a7-f2148848d9e0"/>
    <w:docVar w:name="WAFER_20181121093020" w:val="RemoveTocBookmarks,RemoveUnusedBookmarks,RemoveLanguageTags,UsedStyles,ResetPageSize"/>
    <w:docVar w:name="WAFER_20181121093020_GUID" w:val="a4c5a6d3-3dec-422b-b98a-767726637333"/>
    <w:docVar w:name="WAFER_202002131348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843_GUID" w:val="659f9505-a886-4b93-b7de-aee305f5d2df"/>
    <w:docVar w:name="WAFER_202002200917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731_GUID" w:val="f36fbd2f-ac2f-4c6d-a427-2f4354394479"/>
    <w:docVar w:name="WAFER_202106151136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13647_GUID" w:val="f48c3e85-d894-4d6f-8c52-1201c38b372b"/>
    <w:docVar w:name="WAFER_202106231032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38_GUID" w:val="d4fac422-8b37-4792-83ea-41b324bca40b"/>
    <w:docVar w:name="WAFER_20220218124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8124222_GUID" w:val="3e2ca8af-e1bf-4119-8709-03463e0816d9"/>
    <w:docVar w:name="WAFER_202204081549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4923_GUID" w:val="0fee467c-34b5-4aff-9d61-3124988c4c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15:docId w15:val="{A4BD7AD6-0B92-4690-B0A1-4340C11C3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775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23343</Words>
  <Characters>111818</Characters>
  <Application>Microsoft Office Word</Application>
  <DocSecurity>0</DocSecurity>
  <Lines>3106</Lines>
  <Paragraphs>1802</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133359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2000 - 03-f0-00</dc:title>
  <dc:subject/>
  <dc:creator/>
  <cp:keywords/>
  <dc:description/>
  <cp:lastModifiedBy>Master Repository Process</cp:lastModifiedBy>
  <cp:revision>4</cp:revision>
  <cp:lastPrinted>2018-11-21T03:28:00Z</cp:lastPrinted>
  <dcterms:created xsi:type="dcterms:W3CDTF">2022-04-14T09:39:00Z</dcterms:created>
  <dcterms:modified xsi:type="dcterms:W3CDTF">2022-04-14T09:39:00Z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DocumentType">
    <vt:lpwstr>Act</vt:lpwstr>
  </property>
  <property fmtid="{D5CDD505-2E9C-101B-9397-08002B2CF9AE}" pid="4" name="OwlsUID">
    <vt:i4>2000</vt:i4>
  </property>
  <property fmtid="{D5CDD505-2E9C-101B-9397-08002B2CF9AE}" pid="5" name="ReprintedAsAt">
    <vt:filetime>2018-05-03T16:00:00Z</vt:filetime>
  </property>
  <property fmtid="{D5CDD505-2E9C-101B-9397-08002B2CF9AE}" pid="6" name="ReprintNo">
    <vt:lpwstr>3</vt:lpwstr>
  </property>
  <property fmtid="{D5CDD505-2E9C-101B-9397-08002B2CF9AE}" pid="7" name="AsAtDate">
    <vt:lpwstr>14 Apr 2022</vt:lpwstr>
  </property>
  <property fmtid="{D5CDD505-2E9C-101B-9397-08002B2CF9AE}" pid="8" name="Suffix">
    <vt:lpwstr>03-f0-00</vt:lpwstr>
  </property>
  <property fmtid="{D5CDD505-2E9C-101B-9397-08002B2CF9AE}" pid="9" name="CommencementDate">
    <vt:lpwstr>20220414</vt:lpwstr>
  </property>
</Properties>
</file>