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Interpretation Act 1984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Interpretation Act 1984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_Toc100568767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_Toc100568768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_Toc100568769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binds Crown</w:t>
      </w:r>
      <w:r>
        <w:tab/>
      </w:r>
      <w:r>
        <w:fldChar w:fldCharType="begin"/>
      </w:r>
      <w:r>
        <w:instrText xml:space="preserve"> PAGEREF _Toc100568770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General interpretation provisions</w:t>
      </w:r>
    </w:p>
    <w:p>
      <w:pPr>
        <w:pStyle w:val="TOC8"/>
        <w:rPr>
          <w:rFonts w:asciiTheme="minorHAnsi" w:eastAsiaTheme="minorEastAsia" w:hAnsiTheme="minorHAnsi" w:cstheme="minorBidi"/>
          <w:szCs w:val="22"/>
        </w:rPr>
      </w:pPr>
      <w:r>
        <w:t>5</w:t>
      </w:r>
      <w:r>
        <w:rPr>
          <w:snapToGrid w:val="0"/>
        </w:rPr>
        <w:t>.</w:t>
      </w:r>
      <w:r>
        <w:rPr>
          <w:snapToGrid w:val="0"/>
        </w:rPr>
        <w:tab/>
        <w:t>Terms used in written laws</w:t>
      </w:r>
      <w:r>
        <w:tab/>
      </w:r>
      <w:r>
        <w:fldChar w:fldCharType="begin"/>
      </w:r>
      <w:r>
        <w:instrText xml:space="preserve"> PAGEREF _Toc100568772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Definitions in a written law, application of</w:t>
      </w:r>
      <w:r>
        <w:tab/>
      </w:r>
      <w:r>
        <w:fldChar w:fldCharType="begin"/>
      </w:r>
      <w:r>
        <w:instrText xml:space="preserve"> PAGEREF _Toc100568773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Written laws to be construed subject to State’s legislative power</w:t>
      </w:r>
      <w:r>
        <w:tab/>
      </w:r>
      <w:r>
        <w:fldChar w:fldCharType="begin"/>
      </w:r>
      <w:r>
        <w:instrText xml:space="preserve"> PAGEREF _Toc100568774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Written laws always speaking</w:t>
      </w:r>
      <w:r>
        <w:tab/>
      </w:r>
      <w:r>
        <w:fldChar w:fldCharType="begin"/>
      </w:r>
      <w:r>
        <w:instrText xml:space="preserve"> PAGEREF _Toc100568775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Parts of speech and grammatical forms</w:t>
      </w:r>
      <w:r>
        <w:tab/>
      </w:r>
      <w:r>
        <w:fldChar w:fldCharType="begin"/>
      </w:r>
      <w:r>
        <w:instrText xml:space="preserve"> PAGEREF _Toc100568776 \h </w:instrText>
      </w:r>
      <w:r>
        <w:fldChar w:fldCharType="separate"/>
      </w:r>
      <w:r>
        <w:t>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Gender and number</w:t>
      </w:r>
      <w:r>
        <w:tab/>
      </w:r>
      <w:r>
        <w:fldChar w:fldCharType="begin"/>
      </w:r>
      <w:r>
        <w:instrText xml:space="preserve"> PAGEREF _Toc100568777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Sovereign, references to</w:t>
      </w:r>
      <w:r>
        <w:tab/>
      </w:r>
      <w:r>
        <w:fldChar w:fldCharType="begin"/>
      </w:r>
      <w:r>
        <w:instrText xml:space="preserve"> PAGEREF _Toc100568778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Minister, references to</w:t>
      </w:r>
      <w:r>
        <w:tab/>
      </w:r>
      <w:r>
        <w:fldChar w:fldCharType="begin"/>
      </w:r>
      <w:r>
        <w:instrText xml:space="preserve"> PAGEREF _Toc100568779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British subject etc., references to</w:t>
      </w:r>
      <w:r>
        <w:tab/>
      </w:r>
      <w:r>
        <w:fldChar w:fldCharType="begin"/>
      </w:r>
      <w:r>
        <w:instrText xml:space="preserve"> PAGEREF _Toc100568780 \h </w:instrText>
      </w:r>
      <w:r>
        <w:fldChar w:fldCharType="separate"/>
      </w:r>
      <w:r>
        <w:t>13</w:t>
      </w:r>
      <w:r>
        <w:fldChar w:fldCharType="end"/>
      </w:r>
    </w:p>
    <w:p>
      <w:pPr>
        <w:pStyle w:val="TOC8"/>
        <w:rPr>
          <w:rFonts w:asciiTheme="minorHAnsi" w:eastAsiaTheme="minorEastAsia" w:hAnsiTheme="minorHAnsi" w:cstheme="minorBidi"/>
          <w:szCs w:val="22"/>
        </w:rPr>
      </w:pPr>
      <w:r>
        <w:t>13A.</w:t>
      </w:r>
      <w:r>
        <w:tab/>
        <w:t>De facto relationship and de facto partner, references to</w:t>
      </w:r>
      <w:r>
        <w:tab/>
      </w:r>
      <w:r>
        <w:fldChar w:fldCharType="begin"/>
      </w:r>
      <w:r>
        <w:instrText xml:space="preserve"> PAGEREF _Toc100568781 \h </w:instrText>
      </w:r>
      <w:r>
        <w:fldChar w:fldCharType="separate"/>
      </w:r>
      <w:r>
        <w:t>14</w:t>
      </w:r>
      <w:r>
        <w:fldChar w:fldCharType="end"/>
      </w:r>
    </w:p>
    <w:p>
      <w:pPr>
        <w:pStyle w:val="TOC8"/>
        <w:rPr>
          <w:rFonts w:asciiTheme="minorHAnsi" w:eastAsiaTheme="minorEastAsia" w:hAnsiTheme="minorHAnsi" w:cstheme="minorBidi"/>
          <w:szCs w:val="22"/>
        </w:rPr>
      </w:pPr>
      <w:r>
        <w:t>13B.</w:t>
      </w:r>
      <w:r>
        <w:tab/>
        <w:t>Standards Association of Australia, references to</w:t>
      </w:r>
      <w:r>
        <w:tab/>
      </w:r>
      <w:r>
        <w:fldChar w:fldCharType="begin"/>
      </w:r>
      <w:r>
        <w:instrText xml:space="preserve"> PAGEREF _Toc100568782 \h </w:instrText>
      </w:r>
      <w:r>
        <w:fldChar w:fldCharType="separate"/>
      </w:r>
      <w:r>
        <w:t>15</w:t>
      </w:r>
      <w:r>
        <w:fldChar w:fldCharType="end"/>
      </w:r>
    </w:p>
    <w:p>
      <w:pPr>
        <w:pStyle w:val="TOC8"/>
        <w:rPr>
          <w:rFonts w:asciiTheme="minorHAnsi" w:eastAsiaTheme="minorEastAsia" w:hAnsiTheme="minorHAnsi" w:cstheme="minorBidi"/>
          <w:szCs w:val="22"/>
        </w:rPr>
      </w:pPr>
      <w:r>
        <w:t>13CA.</w:t>
      </w:r>
      <w:r>
        <w:tab/>
        <w:t>Local government districts, references to</w:t>
      </w:r>
      <w:r>
        <w:tab/>
      </w:r>
      <w:r>
        <w:fldChar w:fldCharType="begin"/>
      </w:r>
      <w:r>
        <w:instrText xml:space="preserve"> PAGEREF _Toc100568783 \h </w:instrText>
      </w:r>
      <w:r>
        <w:fldChar w:fldCharType="separate"/>
      </w:r>
      <w:r>
        <w:t>15</w:t>
      </w:r>
      <w:r>
        <w:fldChar w:fldCharType="end"/>
      </w:r>
    </w:p>
    <w:p>
      <w:pPr>
        <w:pStyle w:val="TOC8"/>
        <w:rPr>
          <w:rFonts w:asciiTheme="minorHAnsi" w:eastAsiaTheme="minorEastAsia" w:hAnsiTheme="minorHAnsi" w:cstheme="minorBidi"/>
          <w:szCs w:val="22"/>
        </w:rPr>
      </w:pPr>
      <w:r>
        <w:t>13C.</w:t>
      </w:r>
      <w:r>
        <w:tab/>
        <w:t>When death of a person occurs</w:t>
      </w:r>
      <w:r>
        <w:tab/>
      </w:r>
      <w:r>
        <w:fldChar w:fldCharType="begin"/>
      </w:r>
      <w:r>
        <w:instrText xml:space="preserve"> PAGEREF _Toc100568784 \h </w:instrText>
      </w:r>
      <w:r>
        <w:fldChar w:fldCharType="separate"/>
      </w:r>
      <w:r>
        <w:t>16</w:t>
      </w:r>
      <w:r>
        <w:fldChar w:fldCharType="end"/>
      </w:r>
    </w:p>
    <w:p>
      <w:pPr>
        <w:pStyle w:val="TOC8"/>
        <w:rPr>
          <w:rFonts w:asciiTheme="minorHAnsi" w:eastAsiaTheme="minorEastAsia" w:hAnsiTheme="minorHAnsi" w:cstheme="minorBidi"/>
          <w:szCs w:val="22"/>
        </w:rPr>
      </w:pPr>
      <w:r>
        <w:t>13D.</w:t>
      </w:r>
      <w:r>
        <w:tab/>
        <w:t>Bankrupt and related expressions, references to</w:t>
      </w:r>
      <w:r>
        <w:tab/>
      </w:r>
      <w:r>
        <w:fldChar w:fldCharType="begin"/>
      </w:r>
      <w:r>
        <w:instrText xml:space="preserve"> PAGEREF _Toc100568785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References to 2 or more provisions to be inclusive</w:t>
      </w:r>
      <w:r>
        <w:tab/>
      </w:r>
      <w:r>
        <w:fldChar w:fldCharType="begin"/>
      </w:r>
      <w:r>
        <w:instrText xml:space="preserve"> PAGEREF _Toc100568786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Internal references in written laws, construction of</w:t>
      </w:r>
      <w:r>
        <w:tab/>
      </w:r>
      <w:r>
        <w:fldChar w:fldCharType="begin"/>
      </w:r>
      <w:r>
        <w:instrText xml:space="preserve"> PAGEREF _Toc100568787 \h </w:instrText>
      </w:r>
      <w:r>
        <w:fldChar w:fldCharType="separate"/>
      </w:r>
      <w:r>
        <w:t>17</w:t>
      </w:r>
      <w:r>
        <w:fldChar w:fldCharType="end"/>
      </w:r>
    </w:p>
    <w:p>
      <w:pPr>
        <w:pStyle w:val="TOC8"/>
        <w:rPr>
          <w:rFonts w:asciiTheme="minorHAnsi" w:eastAsiaTheme="minorEastAsia" w:hAnsiTheme="minorHAnsi" w:cstheme="minorBidi"/>
          <w:szCs w:val="22"/>
        </w:rPr>
      </w:pPr>
      <w:r>
        <w:t>15A.</w:t>
      </w:r>
      <w:r>
        <w:tab/>
        <w:t>Reference to paragraph</w:t>
      </w:r>
      <w:r>
        <w:tab/>
      </w:r>
      <w:r>
        <w:fldChar w:fldCharType="begin"/>
      </w:r>
      <w:r>
        <w:instrText xml:space="preserve"> PAGEREF _Toc100568788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Reference to written law is to written law as amended</w:t>
      </w:r>
      <w:r>
        <w:tab/>
      </w:r>
      <w:r>
        <w:fldChar w:fldCharType="begin"/>
      </w:r>
      <w:r>
        <w:instrText xml:space="preserve"> PAGEREF _Toc100568789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Disjunctive construction of “or”</w:t>
      </w:r>
      <w:r>
        <w:tab/>
      </w:r>
      <w:r>
        <w:fldChar w:fldCharType="begin"/>
      </w:r>
      <w:r>
        <w:instrText xml:space="preserve"> PAGEREF _Toc100568790 \h </w:instrText>
      </w:r>
      <w:r>
        <w:fldChar w:fldCharType="separate"/>
      </w:r>
      <w:r>
        <w:t>18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Purpose or object of written law, use of in interpretation</w:t>
      </w:r>
      <w:r>
        <w:tab/>
      </w:r>
      <w:r>
        <w:fldChar w:fldCharType="begin"/>
      </w:r>
      <w:r>
        <w:instrText xml:space="preserve"> PAGEREF _Toc100568791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Extrinsic material, use of in interpretation</w:t>
      </w:r>
      <w:r>
        <w:tab/>
      </w:r>
      <w:r>
        <w:fldChar w:fldCharType="begin"/>
      </w:r>
      <w:r>
        <w:instrText xml:space="preserve"> PAGEREF _Toc100568792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III — Commencement and citation</w:t>
      </w:r>
    </w:p>
    <w:p>
      <w:pPr>
        <w:pStyle w:val="TOC8"/>
        <w:rPr>
          <w:rFonts w:asciiTheme="minorHAnsi" w:eastAsiaTheme="minorEastAsia" w:hAnsiTheme="minorHAnsi" w:cstheme="minorBidi"/>
          <w:szCs w:val="22"/>
        </w:rPr>
      </w:pPr>
      <w:r>
        <w:t>20</w:t>
      </w:r>
      <w:r>
        <w:rPr>
          <w:snapToGrid w:val="0"/>
        </w:rPr>
        <w:t>.</w:t>
      </w:r>
      <w:r>
        <w:rPr>
          <w:snapToGrid w:val="0"/>
        </w:rPr>
        <w:tab/>
        <w:t>Commencement of Acts</w:t>
      </w:r>
      <w:r>
        <w:tab/>
      </w:r>
      <w:r>
        <w:fldChar w:fldCharType="begin"/>
      </w:r>
      <w:r>
        <w:instrText xml:space="preserve"> PAGEREF _Toc100568794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Time of commencement of written laws</w:t>
      </w:r>
      <w:r>
        <w:tab/>
      </w:r>
      <w:r>
        <w:fldChar w:fldCharType="begin"/>
      </w:r>
      <w:r>
        <w:instrText xml:space="preserve"> PAGEREF _Toc100568795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Act commencing on proclamation, commencement of certain provisions of</w:t>
      </w:r>
      <w:r>
        <w:tab/>
      </w:r>
      <w:r>
        <w:fldChar w:fldCharType="begin"/>
      </w:r>
      <w:r>
        <w:instrText xml:space="preserve"> PAGEREF _Toc100568796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Proclamation of commencement of Act, construction of power to make</w:t>
      </w:r>
      <w:r>
        <w:tab/>
      </w:r>
      <w:r>
        <w:fldChar w:fldCharType="begin"/>
      </w:r>
      <w:r>
        <w:instrText xml:space="preserve"> PAGEREF _Toc100568797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Date of assent, evidence of</w:t>
      </w:r>
      <w:r>
        <w:tab/>
      </w:r>
      <w:r>
        <w:fldChar w:fldCharType="begin"/>
      </w:r>
      <w:r>
        <w:instrText xml:space="preserve"> PAGEREF _Toc100568798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Some powers in Act may be exercised before it commences</w:t>
      </w:r>
      <w:r>
        <w:tab/>
      </w:r>
      <w:r>
        <w:fldChar w:fldCharType="begin"/>
      </w:r>
      <w:r>
        <w:instrText xml:space="preserve"> PAGEREF _Toc100568799 \h </w:instrText>
      </w:r>
      <w:r>
        <w:fldChar w:fldCharType="separate"/>
      </w:r>
      <w:r>
        <w:t>22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Citation of written laws</w:t>
      </w:r>
      <w:r>
        <w:tab/>
      </w:r>
      <w:r>
        <w:fldChar w:fldCharType="begin"/>
      </w:r>
      <w:r>
        <w:instrText xml:space="preserve"> PAGEREF _Toc100568800 \h </w:instrText>
      </w:r>
      <w:r>
        <w:fldChar w:fldCharType="separate"/>
      </w:r>
      <w:r>
        <w:t>24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References to commencement of written law if different provisions commence on different days</w:t>
      </w:r>
      <w:r>
        <w:tab/>
      </w:r>
      <w:r>
        <w:fldChar w:fldCharType="begin"/>
      </w:r>
      <w:r>
        <w:instrText xml:space="preserve"> PAGEREF _Toc100568801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IV — Provisions as to enactment and operation of written law</w:t>
      </w:r>
    </w:p>
    <w:p>
      <w:pPr>
        <w:pStyle w:val="TOC8"/>
        <w:rPr>
          <w:rFonts w:asciiTheme="minorHAnsi" w:eastAsiaTheme="minorEastAsia" w:hAnsiTheme="minorHAnsi" w:cstheme="minorBidi"/>
          <w:szCs w:val="22"/>
        </w:rPr>
      </w:pPr>
      <w:r>
        <w:t>28</w:t>
      </w:r>
      <w:r>
        <w:rPr>
          <w:snapToGrid w:val="0"/>
        </w:rPr>
        <w:t>.</w:t>
      </w:r>
      <w:r>
        <w:rPr>
          <w:snapToGrid w:val="0"/>
        </w:rPr>
        <w:tab/>
        <w:t>Acts deemed public Acts</w:t>
      </w:r>
      <w:r>
        <w:tab/>
      </w:r>
      <w:r>
        <w:fldChar w:fldCharType="begin"/>
      </w:r>
      <w:r>
        <w:instrText xml:space="preserve"> PAGEREF _Toc100568803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Sections to be substantive enactments</w:t>
      </w:r>
      <w:r>
        <w:tab/>
      </w:r>
      <w:r>
        <w:fldChar w:fldCharType="begin"/>
      </w:r>
      <w:r>
        <w:instrText xml:space="preserve"> PAGEREF _Toc100568804 \h </w:instrText>
      </w:r>
      <w:r>
        <w:fldChar w:fldCharType="separate"/>
      </w:r>
      <w:r>
        <w:t>26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Act may be amended in same session</w:t>
      </w:r>
      <w:r>
        <w:tab/>
      </w:r>
      <w:r>
        <w:fldChar w:fldCharType="begin"/>
      </w:r>
      <w:r>
        <w:instrText xml:space="preserve"> PAGEREF _Toc100568805 \h </w:instrText>
      </w:r>
      <w:r>
        <w:fldChar w:fldCharType="separate"/>
      </w:r>
      <w:r>
        <w:t>26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Preambles, schedules etc. to form part of written law</w:t>
      </w:r>
      <w:r>
        <w:tab/>
      </w:r>
      <w:r>
        <w:fldChar w:fldCharType="begin"/>
      </w:r>
      <w:r>
        <w:instrText xml:space="preserve"> PAGEREF _Toc100568806 \h </w:instrText>
      </w:r>
      <w:r>
        <w:fldChar w:fldCharType="separate"/>
      </w:r>
      <w:r>
        <w:t>26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Headings, marginal notes and footnotes</w:t>
      </w:r>
      <w:r>
        <w:tab/>
      </w:r>
      <w:r>
        <w:fldChar w:fldCharType="begin"/>
      </w:r>
      <w:r>
        <w:instrText xml:space="preserve"> PAGEREF _Toc100568807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 — Repeal of written law</w:t>
      </w:r>
    </w:p>
    <w:p>
      <w:pPr>
        <w:pStyle w:val="TOC8"/>
        <w:rPr>
          <w:rFonts w:asciiTheme="minorHAnsi" w:eastAsiaTheme="minorEastAsia" w:hAnsiTheme="minorHAnsi" w:cstheme="minorBidi"/>
          <w:szCs w:val="22"/>
        </w:rPr>
      </w:pPr>
      <w:r>
        <w:t>33</w:t>
      </w:r>
      <w:r>
        <w:rPr>
          <w:snapToGrid w:val="0"/>
        </w:rPr>
        <w:t>.</w:t>
      </w:r>
      <w:r>
        <w:rPr>
          <w:snapToGrid w:val="0"/>
        </w:rPr>
        <w:tab/>
        <w:t>Repeal of written law includes repeal of amendments</w:t>
      </w:r>
      <w:r>
        <w:tab/>
      </w:r>
      <w:r>
        <w:fldChar w:fldCharType="begin"/>
      </w:r>
      <w:r>
        <w:instrText xml:space="preserve"> PAGEREF _Toc100568809 \h </w:instrText>
      </w:r>
      <w:r>
        <w:fldChar w:fldCharType="separate"/>
      </w:r>
      <w:r>
        <w:t>27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Repeal of repealing enactment, effect of</w:t>
      </w:r>
      <w:r>
        <w:tab/>
      </w:r>
      <w:r>
        <w:fldChar w:fldCharType="begin"/>
      </w:r>
      <w:r>
        <w:instrText xml:space="preserve"> PAGEREF _Toc100568810 \h </w:instrText>
      </w:r>
      <w:r>
        <w:fldChar w:fldCharType="separate"/>
      </w:r>
      <w:r>
        <w:t>27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Repeal and substitution of provision, effect of</w:t>
      </w:r>
      <w:r>
        <w:tab/>
      </w:r>
      <w:r>
        <w:fldChar w:fldCharType="begin"/>
      </w:r>
      <w:r>
        <w:instrText xml:space="preserve"> PAGEREF _Toc100568811 \h </w:instrText>
      </w:r>
      <w:r>
        <w:fldChar w:fldCharType="separate"/>
      </w:r>
      <w:r>
        <w:t>27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Repealing and re</w:t>
      </w:r>
      <w:r>
        <w:rPr>
          <w:snapToGrid w:val="0"/>
        </w:rPr>
        <w:noBreakHyphen/>
        <w:t>enacting a provision, effect of</w:t>
      </w:r>
      <w:r>
        <w:tab/>
      </w:r>
      <w:r>
        <w:fldChar w:fldCharType="begin"/>
      </w:r>
      <w:r>
        <w:instrText xml:space="preserve"> PAGEREF _Toc100568812 \h </w:instrText>
      </w:r>
      <w:r>
        <w:fldChar w:fldCharType="separate"/>
      </w:r>
      <w:r>
        <w:t>27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General savings on repeal</w:t>
      </w:r>
      <w:r>
        <w:tab/>
      </w:r>
      <w:r>
        <w:fldChar w:fldCharType="begin"/>
      </w:r>
      <w:r>
        <w:instrText xml:space="preserve"> PAGEREF _Toc100568813 \h </w:instrText>
      </w:r>
      <w:r>
        <w:fldChar w:fldCharType="separate"/>
      </w:r>
      <w:r>
        <w:t>28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Repeal of Act, effect of on subsidiary legislation</w:t>
      </w:r>
      <w:r>
        <w:tab/>
      </w:r>
      <w:r>
        <w:fldChar w:fldCharType="begin"/>
      </w:r>
      <w:r>
        <w:instrText xml:space="preserve"> PAGEREF _Toc100568814 \h </w:instrText>
      </w:r>
      <w:r>
        <w:fldChar w:fldCharType="separate"/>
      </w:r>
      <w:r>
        <w:t>29</w:t>
      </w:r>
      <w:r>
        <w:fldChar w:fldCharType="end"/>
      </w:r>
    </w:p>
    <w:p>
      <w:pPr>
        <w:pStyle w:val="TOC8"/>
        <w:rPr>
          <w:rFonts w:asciiTheme="minorHAnsi" w:eastAsiaTheme="minorEastAsia" w:hAnsiTheme="minorHAnsi" w:cstheme="minorBidi"/>
          <w:szCs w:val="22"/>
        </w:rPr>
      </w:pPr>
      <w:r>
        <w:lastRenderedPageBreak/>
        <w:t>39</w:t>
      </w:r>
      <w:r>
        <w:rPr>
          <w:snapToGrid w:val="0"/>
        </w:rPr>
        <w:t>.</w:t>
      </w:r>
      <w:r>
        <w:rPr>
          <w:snapToGrid w:val="0"/>
        </w:rPr>
        <w:tab/>
        <w:t>Expiry of enactment, effect of</w:t>
      </w:r>
      <w:r>
        <w:tab/>
      </w:r>
      <w:r>
        <w:fldChar w:fldCharType="begin"/>
      </w:r>
      <w:r>
        <w:instrText xml:space="preserve"> PAGEREF _Toc100568815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VI — Subsidiary legislation</w:t>
      </w:r>
    </w:p>
    <w:p>
      <w:pPr>
        <w:pStyle w:val="TOC8"/>
        <w:rPr>
          <w:rFonts w:asciiTheme="minorHAnsi" w:eastAsiaTheme="minorEastAsia" w:hAnsiTheme="minorHAnsi" w:cstheme="minorBidi"/>
          <w:szCs w:val="22"/>
        </w:rPr>
      </w:pPr>
      <w:r>
        <w:t>40</w:t>
      </w:r>
      <w:r>
        <w:rPr>
          <w:snapToGrid w:val="0"/>
        </w:rPr>
        <w:t>.</w:t>
      </w:r>
      <w:r>
        <w:rPr>
          <w:snapToGrid w:val="0"/>
        </w:rPr>
        <w:tab/>
        <w:t>Governor to make subsidiary legislation</w:t>
      </w:r>
      <w:r>
        <w:tab/>
      </w:r>
      <w:r>
        <w:fldChar w:fldCharType="begin"/>
      </w:r>
      <w:r>
        <w:instrText xml:space="preserve"> PAGEREF _Toc100568817 \h </w:instrText>
      </w:r>
      <w:r>
        <w:fldChar w:fldCharType="separate"/>
      </w:r>
      <w:r>
        <w:t>30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Publication and commencement of subsidiary legislation</w:t>
      </w:r>
      <w:r>
        <w:tab/>
      </w:r>
      <w:r>
        <w:fldChar w:fldCharType="begin"/>
      </w:r>
      <w:r>
        <w:instrText xml:space="preserve"> PAGEREF _Toc100568818 \h </w:instrText>
      </w:r>
      <w:r>
        <w:fldChar w:fldCharType="separate"/>
      </w:r>
      <w:r>
        <w:t>30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Laying regulations, rules, local laws and by</w:t>
      </w:r>
      <w:r>
        <w:rPr>
          <w:snapToGrid w:val="0"/>
        </w:rPr>
        <w:noBreakHyphen/>
        <w:t>laws before Parliament, and disallowance</w:t>
      </w:r>
      <w:r>
        <w:tab/>
      </w:r>
      <w:r>
        <w:fldChar w:fldCharType="begin"/>
      </w:r>
      <w:r>
        <w:instrText xml:space="preserve"> PAGEREF _Toc100568819 \h </w:instrText>
      </w:r>
      <w:r>
        <w:fldChar w:fldCharType="separate"/>
      </w:r>
      <w:r>
        <w:t>30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Power to make subsidiary legislation, general provisions about</w:t>
      </w:r>
      <w:r>
        <w:tab/>
      </w:r>
      <w:r>
        <w:fldChar w:fldCharType="begin"/>
      </w:r>
      <w:r>
        <w:instrText xml:space="preserve"> PAGEREF _Toc100568820 \h </w:instrText>
      </w:r>
      <w:r>
        <w:fldChar w:fldCharType="separate"/>
      </w:r>
      <w:r>
        <w:t>32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Words and expressions in subsidiary legislation, meaning of</w:t>
      </w:r>
      <w:r>
        <w:tab/>
      </w:r>
      <w:r>
        <w:fldChar w:fldCharType="begin"/>
      </w:r>
      <w:r>
        <w:instrText xml:space="preserve"> PAGEREF _Toc100568821 \h </w:instrText>
      </w:r>
      <w:r>
        <w:fldChar w:fldCharType="separate"/>
      </w:r>
      <w:r>
        <w:t>34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Fees and charges</w:t>
      </w:r>
      <w:r>
        <w:tab/>
      </w:r>
      <w:r>
        <w:fldChar w:fldCharType="begin"/>
      </w:r>
      <w:r>
        <w:instrText xml:space="preserve"> PAGEREF _Toc100568822 \h </w:instrText>
      </w:r>
      <w:r>
        <w:fldChar w:fldCharType="separate"/>
      </w:r>
      <w:r>
        <w:t>35</w:t>
      </w:r>
      <w:r>
        <w:fldChar w:fldCharType="end"/>
      </w:r>
    </w:p>
    <w:p>
      <w:pPr>
        <w:pStyle w:val="TOC8"/>
        <w:rPr>
          <w:rFonts w:asciiTheme="minorHAnsi" w:eastAsiaTheme="minorEastAsia" w:hAnsiTheme="minorHAnsi" w:cstheme="minorBidi"/>
          <w:szCs w:val="22"/>
        </w:rPr>
      </w:pPr>
      <w:r>
        <w:t>45A.</w:t>
      </w:r>
      <w:r>
        <w:tab/>
        <w:t>Fees for licences, effect of power to prescribe</w:t>
      </w:r>
      <w:r>
        <w:tab/>
      </w:r>
      <w:r>
        <w:fldChar w:fldCharType="begin"/>
      </w:r>
      <w:r>
        <w:instrText xml:space="preserve"> PAGEREF _Toc100568823 \h </w:instrText>
      </w:r>
      <w:r>
        <w:fldChar w:fldCharType="separate"/>
      </w:r>
      <w:r>
        <w:t>36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Reference to written law includes reference to subsidiary legislation made under it</w:t>
      </w:r>
      <w:r>
        <w:tab/>
      </w:r>
      <w:r>
        <w:fldChar w:fldCharType="begin"/>
      </w:r>
      <w:r>
        <w:instrText xml:space="preserve"> PAGEREF _Toc100568824 \h </w:instrText>
      </w:r>
      <w:r>
        <w:fldChar w:fldCharType="separate"/>
      </w:r>
      <w:r>
        <w:t>36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Acts done under subsidiary legislation deemed done under Act</w:t>
      </w:r>
      <w:r>
        <w:tab/>
      </w:r>
      <w:r>
        <w:fldChar w:fldCharType="begin"/>
      </w:r>
      <w:r>
        <w:instrText xml:space="preserve"> PAGEREF _Toc100568825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VII — Statutory powers and duties</w:t>
      </w:r>
    </w:p>
    <w:p>
      <w:pPr>
        <w:pStyle w:val="TOC8"/>
        <w:rPr>
          <w:rFonts w:asciiTheme="minorHAnsi" w:eastAsiaTheme="minorEastAsia" w:hAnsiTheme="minorHAnsi" w:cstheme="minorBidi"/>
          <w:szCs w:val="22"/>
        </w:rPr>
      </w:pPr>
      <w:r>
        <w:t>48</w:t>
      </w:r>
      <w:r>
        <w:rPr>
          <w:snapToGrid w:val="0"/>
        </w:rPr>
        <w:t>.</w:t>
      </w:r>
      <w:r>
        <w:rPr>
          <w:snapToGrid w:val="0"/>
        </w:rPr>
        <w:tab/>
        <w:t>Time for exercise of power or performance of duty</w:t>
      </w:r>
      <w:r>
        <w:tab/>
      </w:r>
      <w:r>
        <w:fldChar w:fldCharType="begin"/>
      </w:r>
      <w:r>
        <w:instrText xml:space="preserve"> PAGEREF _Toc100568827 \h </w:instrText>
      </w:r>
      <w:r>
        <w:fldChar w:fldCharType="separate"/>
      </w:r>
      <w:r>
        <w:t>38</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Judicial acts and service of process may be done on any day</w:t>
      </w:r>
      <w:r>
        <w:tab/>
      </w:r>
      <w:r>
        <w:fldChar w:fldCharType="begin"/>
      </w:r>
      <w:r>
        <w:instrText xml:space="preserve"> PAGEREF _Toc100568828 \h </w:instrText>
      </w:r>
      <w:r>
        <w:fldChar w:fldCharType="separate"/>
      </w:r>
      <w:r>
        <w:t>38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Public officer’s powers and duties may be exercised by acting officer etc.</w:t>
      </w:r>
      <w:r>
        <w:tab/>
      </w:r>
      <w:r>
        <w:fldChar w:fldCharType="begin"/>
      </w:r>
      <w:r>
        <w:instrText xml:space="preserve"> PAGEREF _Toc100568829 \h </w:instrText>
      </w:r>
      <w:r>
        <w:fldChar w:fldCharType="separate"/>
      </w:r>
      <w:r>
        <w:t>38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Statutory powers, construction of</w:t>
      </w:r>
      <w:r>
        <w:tab/>
      </w:r>
      <w:r>
        <w:fldChar w:fldCharType="begin"/>
      </w:r>
      <w:r>
        <w:instrText xml:space="preserve"> PAGEREF _Toc100568830 \h </w:instrText>
      </w:r>
      <w:r>
        <w:fldChar w:fldCharType="separate"/>
      </w:r>
      <w:r>
        <w:t>38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Power to issue licences and other authorisations is discretionary</w:t>
      </w:r>
      <w:r>
        <w:tab/>
      </w:r>
      <w:r>
        <w:fldChar w:fldCharType="begin"/>
      </w:r>
      <w:r>
        <w:instrText xml:space="preserve"> PAGEREF _Toc100568831 \h </w:instrText>
      </w:r>
      <w:r>
        <w:fldChar w:fldCharType="separate"/>
      </w:r>
      <w:r>
        <w:t>39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Power to appoint includes power to remove, suspend, appoint acting officer etc.</w:t>
      </w:r>
      <w:r>
        <w:tab/>
      </w:r>
      <w:r>
        <w:fldChar w:fldCharType="begin"/>
      </w:r>
      <w:r>
        <w:instrText xml:space="preserve"> PAGEREF _Toc100568832 \h </w:instrText>
      </w:r>
      <w:r>
        <w:fldChar w:fldCharType="separate"/>
      </w:r>
      <w:r>
        <w:t>40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Appointments may be by name or office</w:t>
      </w:r>
      <w:r>
        <w:tab/>
      </w:r>
      <w:r>
        <w:fldChar w:fldCharType="begin"/>
      </w:r>
      <w:r>
        <w:instrText xml:space="preserve"> PAGEREF _Toc100568833 \h </w:instrText>
      </w:r>
      <w:r>
        <w:fldChar w:fldCharType="separate"/>
      </w:r>
      <w:r>
        <w:t>41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Statutory bodies, majority and quorum provisions</w:t>
      </w:r>
      <w:r>
        <w:tab/>
      </w:r>
      <w:r>
        <w:fldChar w:fldCharType="begin"/>
      </w:r>
      <w:r>
        <w:instrText xml:space="preserve"> PAGEREF _Toc100568834 \h </w:instrText>
      </w:r>
      <w:r>
        <w:fldChar w:fldCharType="separate"/>
      </w:r>
      <w:r>
        <w:t>41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Errors when exercising certain powers or duties may be corrected</w:t>
      </w:r>
      <w:r>
        <w:tab/>
      </w:r>
      <w:r>
        <w:fldChar w:fldCharType="begin"/>
      </w:r>
      <w:r>
        <w:instrText xml:space="preserve"> PAGEREF _Toc100568835 \h </w:instrText>
      </w:r>
      <w:r>
        <w:fldChar w:fldCharType="separate"/>
      </w:r>
      <w:r>
        <w:t>42</w:t>
      </w:r>
      <w:r>
        <w:fldChar w:fldCharType="end"/>
      </w:r>
    </w:p>
    <w:p>
      <w:pPr>
        <w:pStyle w:val="TOC8"/>
        <w:rPr>
          <w:rFonts w:asciiTheme="minorHAnsi" w:eastAsiaTheme="minorEastAsia" w:hAnsiTheme="minorHAnsi" w:cstheme="minorBidi"/>
          <w:szCs w:val="22"/>
        </w:rPr>
      </w:pPr>
      <w:r>
        <w:rPr>
          <w:snapToGrid w:val="0"/>
        </w:rPr>
        <w:t>56.</w:t>
      </w:r>
      <w:r>
        <w:rPr>
          <w:snapToGrid w:val="0"/>
        </w:rPr>
        <w:tab/>
        <w:t>“May” imports a discretion, “shall” is imperative</w:t>
      </w:r>
      <w:r>
        <w:tab/>
      </w:r>
      <w:r>
        <w:fldChar w:fldCharType="begin"/>
      </w:r>
      <w:r>
        <w:instrText xml:space="preserve"> PAGEREF _Toc100568836 \h </w:instrText>
      </w:r>
      <w:r>
        <w:fldChar w:fldCharType="separate"/>
      </w:r>
      <w:r>
        <w:t>42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Statutory bodies, powers of not affected by vacancies etc.</w:t>
      </w:r>
      <w:r>
        <w:tab/>
      </w:r>
      <w:r>
        <w:fldChar w:fldCharType="begin"/>
      </w:r>
      <w:r>
        <w:instrText xml:space="preserve"> PAGEREF _Toc100568837 \h </w:instrText>
      </w:r>
      <w:r>
        <w:fldChar w:fldCharType="separate"/>
      </w:r>
      <w:r>
        <w:t>42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Delegates, performance of functions by</w:t>
      </w:r>
      <w:r>
        <w:tab/>
      </w:r>
      <w:r>
        <w:fldChar w:fldCharType="begin"/>
      </w:r>
      <w:r>
        <w:instrText xml:space="preserve"> PAGEREF _Toc100568838 \h </w:instrText>
      </w:r>
      <w:r>
        <w:fldChar w:fldCharType="separate"/>
      </w:r>
      <w:r>
        <w:t>43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Power to delegate, effect of</w:t>
      </w:r>
      <w:r>
        <w:tab/>
      </w:r>
      <w:r>
        <w:fldChar w:fldCharType="begin"/>
      </w:r>
      <w:r>
        <w:instrText xml:space="preserve"> PAGEREF _Toc100568839 \h </w:instrText>
      </w:r>
      <w:r>
        <w:fldChar w:fldCharType="separate"/>
      </w:r>
      <w:r>
        <w:t>43</w:t>
      </w:r>
      <w:r>
        <w:fldChar w:fldCharType="end"/>
      </w:r>
    </w:p>
    <w:p>
      <w:pPr>
        <w:pStyle w:val="TOC8"/>
        <w:rPr>
          <w:rFonts w:asciiTheme="minorHAnsi" w:eastAsiaTheme="minorEastAsia" w:hAnsiTheme="minorHAnsi" w:cstheme="minorBidi"/>
          <w:szCs w:val="22"/>
        </w:rPr>
      </w:pPr>
      <w:r>
        <w:lastRenderedPageBreak/>
        <w:t>60</w:t>
      </w:r>
      <w:r>
        <w:rPr>
          <w:snapToGrid w:val="0"/>
        </w:rPr>
        <w:t>.</w:t>
      </w:r>
      <w:r>
        <w:rPr>
          <w:snapToGrid w:val="0"/>
        </w:rPr>
        <w:tab/>
        <w:t>Governor to act with advice of Executive Council</w:t>
      </w:r>
      <w:r>
        <w:tab/>
      </w:r>
      <w:r>
        <w:fldChar w:fldCharType="begin"/>
      </w:r>
      <w:r>
        <w:instrText xml:space="preserve"> PAGEREF _Toc100568840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VIII — Provisions regarding time and distance</w:t>
      </w:r>
    </w:p>
    <w:p>
      <w:pPr>
        <w:pStyle w:val="TOC8"/>
        <w:rPr>
          <w:rFonts w:asciiTheme="minorHAnsi" w:eastAsiaTheme="minorEastAsia" w:hAnsiTheme="minorHAnsi" w:cstheme="minorBidi"/>
          <w:szCs w:val="22"/>
        </w:rPr>
      </w:pPr>
      <w:r>
        <w:t>61</w:t>
      </w:r>
      <w:r>
        <w:rPr>
          <w:snapToGrid w:val="0"/>
        </w:rPr>
        <w:t>.</w:t>
      </w:r>
      <w:r>
        <w:rPr>
          <w:snapToGrid w:val="0"/>
        </w:rPr>
        <w:tab/>
        <w:t>Time, computation of</w:t>
      </w:r>
      <w:r>
        <w:tab/>
      </w:r>
      <w:r>
        <w:fldChar w:fldCharType="begin"/>
      </w:r>
      <w:r>
        <w:instrText xml:space="preserve"> PAGEREF _Toc100568842 \h </w:instrText>
      </w:r>
      <w:r>
        <w:fldChar w:fldCharType="separate"/>
      </w:r>
      <w:r>
        <w:t>45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Months, reckoning of</w:t>
      </w:r>
      <w:r>
        <w:tab/>
      </w:r>
      <w:r>
        <w:fldChar w:fldCharType="begin"/>
      </w:r>
      <w:r>
        <w:instrText xml:space="preserve"> PAGEREF _Toc100568843 \h </w:instrText>
      </w:r>
      <w:r>
        <w:fldChar w:fldCharType="separate"/>
      </w:r>
      <w:r>
        <w:t>46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Time for doing acts if no time fixed</w:t>
      </w:r>
      <w:r>
        <w:tab/>
      </w:r>
      <w:r>
        <w:fldChar w:fldCharType="begin"/>
      </w:r>
      <w:r>
        <w:instrText xml:space="preserve"> PAGEREF _Toc100568844 \h </w:instrText>
      </w:r>
      <w:r>
        <w:fldChar w:fldCharType="separate"/>
      </w:r>
      <w:r>
        <w:t>46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Power to extend time, construction of</w:t>
      </w:r>
      <w:r>
        <w:tab/>
      </w:r>
      <w:r>
        <w:fldChar w:fldCharType="begin"/>
      </w:r>
      <w:r>
        <w:instrText xml:space="preserve"> PAGEREF _Toc100568845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Distance, measurement of</w:t>
      </w:r>
      <w:r>
        <w:tab/>
      </w:r>
      <w:r>
        <w:fldChar w:fldCharType="begin"/>
      </w:r>
      <w:r>
        <w:instrText xml:space="preserve"> PAGEREF _Toc100568846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IX — Procedures and penalties</w:t>
      </w:r>
    </w:p>
    <w:p>
      <w:pPr>
        <w:pStyle w:val="TOC8"/>
        <w:rPr>
          <w:rFonts w:asciiTheme="minorHAnsi" w:eastAsiaTheme="minorEastAsia" w:hAnsiTheme="minorHAnsi" w:cstheme="minorBidi"/>
          <w:szCs w:val="22"/>
        </w:rPr>
      </w:pPr>
      <w:r>
        <w:t>66</w:t>
      </w:r>
      <w:r>
        <w:rPr>
          <w:snapToGrid w:val="0"/>
        </w:rPr>
        <w:t>.</w:t>
      </w:r>
      <w:r>
        <w:rPr>
          <w:snapToGrid w:val="0"/>
        </w:rPr>
        <w:tab/>
        <w:t>Rules of court</w:t>
      </w:r>
      <w:r>
        <w:tab/>
      </w:r>
      <w:r>
        <w:fldChar w:fldCharType="begin"/>
      </w:r>
      <w:r>
        <w:instrText xml:space="preserve"> PAGEREF _Toc100568848 \h </w:instrText>
      </w:r>
      <w:r>
        <w:fldChar w:fldCharType="separate"/>
      </w:r>
      <w:r>
        <w:t>48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Offences and proceedings for offences</w:t>
      </w:r>
      <w:r>
        <w:tab/>
      </w:r>
      <w:r>
        <w:fldChar w:fldCharType="begin"/>
      </w:r>
      <w:r>
        <w:instrText xml:space="preserve"> PAGEREF _Toc100568849 \h </w:instrText>
      </w:r>
      <w:r>
        <w:fldChar w:fldCharType="separate"/>
      </w:r>
      <w:r>
        <w:t>48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Bodies corporate, application of penal laws to</w:t>
      </w:r>
      <w:r>
        <w:tab/>
      </w:r>
      <w:r>
        <w:fldChar w:fldCharType="begin"/>
      </w:r>
      <w:r>
        <w:instrText xml:space="preserve"> PAGEREF _Toc100568850 \h </w:instrText>
      </w:r>
      <w:r>
        <w:fldChar w:fldCharType="separate"/>
      </w:r>
      <w:r>
        <w:t>49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Continuing offences</w:t>
      </w:r>
      <w:r>
        <w:tab/>
      </w:r>
      <w:r>
        <w:fldChar w:fldCharType="begin"/>
      </w:r>
      <w:r>
        <w:instrText xml:space="preserve"> PAGEREF _Toc100568851 \h </w:instrText>
      </w:r>
      <w:r>
        <w:fldChar w:fldCharType="separate"/>
      </w:r>
      <w:r>
        <w:t>49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Statutory penalties, construction of</w:t>
      </w:r>
      <w:r>
        <w:tab/>
      </w:r>
      <w:r>
        <w:fldChar w:fldCharType="begin"/>
      </w:r>
      <w:r>
        <w:instrText xml:space="preserve"> PAGEREF _Toc100568852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X — Miscellaneous provisions</w:t>
      </w:r>
    </w:p>
    <w:p>
      <w:pPr>
        <w:pStyle w:val="TOC8"/>
        <w:rPr>
          <w:rFonts w:asciiTheme="minorHAnsi" w:eastAsiaTheme="minorEastAsia" w:hAnsiTheme="minorHAnsi" w:cstheme="minorBidi"/>
          <w:szCs w:val="22"/>
        </w:rPr>
      </w:pPr>
      <w:r>
        <w:t>73</w:t>
      </w:r>
      <w:r>
        <w:rPr>
          <w:snapToGrid w:val="0"/>
        </w:rPr>
        <w:t>.</w:t>
      </w:r>
      <w:r>
        <w:rPr>
          <w:snapToGrid w:val="0"/>
        </w:rPr>
        <w:tab/>
        <w:t>State deemed established 1 June 1829</w:t>
      </w:r>
      <w:r>
        <w:tab/>
      </w:r>
      <w:r>
        <w:fldChar w:fldCharType="begin"/>
      </w:r>
      <w:r>
        <w:instrText xml:space="preserve"> PAGEREF _Toc100568854 \h </w:instrText>
      </w:r>
      <w:r>
        <w:fldChar w:fldCharType="separate"/>
      </w:r>
      <w:r>
        <w:t>52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Prescribed forms, certain deviations do not invalidate</w:t>
      </w:r>
      <w:r>
        <w:tab/>
      </w:r>
      <w:r>
        <w:fldChar w:fldCharType="begin"/>
      </w:r>
      <w:r>
        <w:instrText xml:space="preserve"> PAGEREF _Toc100568855 \h </w:instrText>
      </w:r>
      <w:r>
        <w:fldChar w:fldCharType="separate"/>
      </w:r>
      <w:r>
        <w:t>52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Service of documents by post</w:t>
      </w:r>
      <w:r>
        <w:tab/>
      </w:r>
      <w:r>
        <w:fldChar w:fldCharType="begin"/>
      </w:r>
      <w:r>
        <w:instrText xml:space="preserve"> PAGEREF _Toc100568856 \h </w:instrText>
      </w:r>
      <w:r>
        <w:fldChar w:fldCharType="separate"/>
      </w:r>
      <w:r>
        <w:t>52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Service of documents generally</w:t>
      </w:r>
      <w:r>
        <w:tab/>
      </w:r>
      <w:r>
        <w:fldChar w:fldCharType="begin"/>
      </w:r>
      <w:r>
        <w:instrText xml:space="preserve"> PAGEREF _Toc100568857 \h </w:instrText>
      </w:r>
      <w:r>
        <w:fldChar w:fldCharType="separate"/>
      </w:r>
      <w:r>
        <w:t>53</w:t>
      </w:r>
      <w:r>
        <w:fldChar w:fldCharType="end"/>
      </w:r>
    </w:p>
    <w:p>
      <w:pPr>
        <w:pStyle w:val="TOC8"/>
        <w:rPr>
          <w:rFonts w:asciiTheme="minorHAnsi" w:eastAsiaTheme="minorEastAsia" w:hAnsiTheme="minorHAnsi" w:cstheme="minorBidi"/>
          <w:szCs w:val="22"/>
        </w:rPr>
      </w:pPr>
      <w:r>
        <w:t>76A</w:t>
      </w:r>
      <w:r>
        <w:rPr>
          <w:snapToGrid w:val="0"/>
        </w:rPr>
        <w:t xml:space="preserve">. </w:t>
      </w:r>
      <w:r>
        <w:rPr>
          <w:snapToGrid w:val="0"/>
        </w:rPr>
        <w:tab/>
        <w:t>Written laws made before Australia Acts, validity of</w:t>
      </w:r>
      <w:r>
        <w:tab/>
      </w:r>
      <w:r>
        <w:fldChar w:fldCharType="begin"/>
      </w:r>
      <w:r>
        <w:instrText xml:space="preserve"> PAGEREF _Toc100568858 \h </w:instrText>
      </w:r>
      <w:r>
        <w:fldChar w:fldCharType="separate"/>
      </w:r>
      <w:r>
        <w:t>53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Repeal and saving</w:t>
      </w:r>
      <w:r>
        <w:tab/>
      </w:r>
      <w:r>
        <w:fldChar w:fldCharType="begin"/>
      </w:r>
      <w:r>
        <w:instrText xml:space="preserve"> PAGEREF _Toc100568859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_Toc100568861 \h </w:instrText>
      </w:r>
      <w:r>
        <w:fldChar w:fldCharType="separate"/>
      </w:r>
      <w:r>
        <w:t>55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_Toc100568862 \h </w:instrText>
      </w:r>
      <w:r>
        <w:fldChar w:fldCharType="separate"/>
      </w:r>
      <w:r>
        <w:t>58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_Toc100568863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Interpretation Act 1984 </w:t>
      </w:r>
    </w:p>
    <w:p>
      <w:pPr>
        <w:pStyle w:val="LongTitle"/>
        <w:spacing w:before="480"/>
        <w:rPr>
          <w:snapToGrid w:val="0"/>
        </w:rPr>
      </w:pPr>
      <w:r>
        <w:rPr>
          <w:snapToGrid w:val="0"/>
        </w:rPr>
        <w:t xml:space="preserve">An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3" w:name="_Toc100326469"/>
      <w:bookmarkStart w:id="4" w:name="_Toc100327099"/>
      <w:bookmarkStart w:id="5" w:name="_Toc100568766"/>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100568767"/>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w:t>
      </w:r>
      <w:r>
        <w:rPr>
          <w:snapToGrid w:val="0"/>
        </w:rPr>
        <w:t>.</w:t>
      </w:r>
    </w:p>
    <w:p>
      <w:pPr>
        <w:pStyle w:val="Heading5"/>
        <w:rPr>
          <w:snapToGrid w:val="0"/>
        </w:rPr>
      </w:pPr>
      <w:bookmarkStart w:id="7" w:name="_Toc100568768"/>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8" w:name="_Toc100568769"/>
      <w:r>
        <w:rPr>
          <w:rStyle w:val="CharSectno"/>
        </w:rPr>
        <w:t>3</w:t>
      </w:r>
      <w:r>
        <w:rPr>
          <w:snapToGrid w:val="0"/>
        </w:rPr>
        <w:t>.</w:t>
      </w:r>
      <w:r>
        <w:rPr>
          <w:snapToGrid w:val="0"/>
        </w:rPr>
        <w:tab/>
        <w:t>Application</w:t>
      </w:r>
      <w:bookmarkEnd w:id="8"/>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 or</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A reference in section 17, 25, 43(6), 50 or 64 to an Act, written law, enactment, or subsidiary legislation passed or made after the commencement of this Act shall be construed so as not to include any enactment which continues or directly amends, but does not repeal entirely, the text of an existing written law</w:t>
      </w:r>
      <w:r>
        <w:rPr>
          <w:snapToGrid w:val="0"/>
          <w:vertAlign w:val="superscript"/>
        </w:rPr>
        <w:t> 1</w:t>
      </w:r>
      <w:r>
        <w:rPr>
          <w:snapToGrid w:val="0"/>
        </w:rPr>
        <w:t>.</w:t>
      </w:r>
    </w:p>
    <w:p>
      <w:pPr>
        <w:pStyle w:val="Footnotesection"/>
      </w:pPr>
      <w:r>
        <w:tab/>
        <w:t>[Section 3 amended: No. 34 of 2020 s. 93.]</w:t>
      </w:r>
    </w:p>
    <w:p>
      <w:pPr>
        <w:pStyle w:val="Heading5"/>
        <w:rPr>
          <w:snapToGrid w:val="0"/>
        </w:rPr>
      </w:pPr>
      <w:bookmarkStart w:id="9" w:name="_Toc100568770"/>
      <w:r>
        <w:rPr>
          <w:rStyle w:val="CharSectno"/>
        </w:rPr>
        <w:t>4</w:t>
      </w:r>
      <w:r>
        <w:rPr>
          <w:snapToGrid w:val="0"/>
        </w:rPr>
        <w:t>.</w:t>
      </w:r>
      <w:r>
        <w:rPr>
          <w:snapToGrid w:val="0"/>
        </w:rPr>
        <w:tab/>
        <w:t>Act binds Crown</w:t>
      </w:r>
      <w:bookmarkEnd w:id="9"/>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10" w:name="_Toc100326474"/>
      <w:bookmarkStart w:id="11" w:name="_Toc100327104"/>
      <w:bookmarkStart w:id="12" w:name="_Toc100568771"/>
      <w:r>
        <w:rPr>
          <w:rStyle w:val="CharPartNo"/>
        </w:rPr>
        <w:lastRenderedPageBreak/>
        <w:t>Part II</w:t>
      </w:r>
      <w:r>
        <w:rPr>
          <w:rStyle w:val="CharDivNo"/>
        </w:rPr>
        <w:t> </w:t>
      </w:r>
      <w:r>
        <w:t>—</w:t>
      </w:r>
      <w:r>
        <w:rPr>
          <w:rStyle w:val="CharDivText"/>
        </w:rPr>
        <w:t> </w:t>
      </w:r>
      <w:r>
        <w:rPr>
          <w:rStyle w:val="CharPartText"/>
        </w:rPr>
        <w:t>General interpretation provisions</w:t>
      </w:r>
      <w:bookmarkEnd w:id="10"/>
      <w:bookmarkEnd w:id="11"/>
      <w:bookmarkEnd w:id="12"/>
      <w:r>
        <w:rPr>
          <w:rStyle w:val="CharPartText"/>
        </w:rPr>
        <w:t xml:space="preserve"> </w:t>
      </w:r>
    </w:p>
    <w:p>
      <w:pPr>
        <w:pStyle w:val="Heading5"/>
        <w:rPr>
          <w:snapToGrid w:val="0"/>
        </w:rPr>
      </w:pPr>
      <w:bookmarkStart w:id="13" w:name="_Toc100568772"/>
      <w:r>
        <w:rPr>
          <w:rStyle w:val="CharSectno"/>
        </w:rPr>
        <w:t>5</w:t>
      </w:r>
      <w:r>
        <w:rPr>
          <w:snapToGrid w:val="0"/>
        </w:rPr>
        <w:t>.</w:t>
      </w:r>
      <w:r>
        <w:rPr>
          <w:snapToGrid w:val="0"/>
        </w:rPr>
        <w:tab/>
        <w:t>Terms used in written laws</w:t>
      </w:r>
      <w:bookmarkEnd w:id="13"/>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r>
      <w:r>
        <w:rPr>
          <w:rStyle w:val="CharDefText"/>
        </w:rPr>
        <w:t>act</w:t>
      </w:r>
      <w:r>
        <w:t xml:space="preserve"> used with reference to an offence or civil wrong includes an omission and extends to a series of acts or omissions or a series of acts and omissions;</w:t>
      </w:r>
    </w:p>
    <w:p>
      <w:pPr>
        <w:pStyle w:val="Defstart"/>
      </w:pPr>
      <w:r>
        <w:rPr>
          <w:b/>
        </w:rPr>
        <w:tab/>
      </w:r>
      <w:r>
        <w:rPr>
          <w:rStyle w:val="CharDefText"/>
        </w:rPr>
        <w:t>Act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r>
      <w:r>
        <w:rPr>
          <w:rStyle w:val="CharDefText"/>
        </w:rPr>
        <w:t>affidavit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alternative offence</w:t>
      </w:r>
      <w:r>
        <w:t xml:space="preserve">, when used in relation to an offence, has the meaning given by section 10B of </w:t>
      </w:r>
      <w:r>
        <w:rPr>
          <w:i/>
        </w:rPr>
        <w:t>The Criminal Code</w:t>
      </w:r>
      <w:r>
        <w:t>;</w:t>
      </w:r>
    </w:p>
    <w:p>
      <w:pPr>
        <w:pStyle w:val="Defstart"/>
      </w:pPr>
      <w:r>
        <w:rPr>
          <w:b/>
        </w:rPr>
        <w:tab/>
      </w:r>
      <w:r>
        <w:rPr>
          <w:rStyle w:val="CharDefText"/>
        </w:rPr>
        <w:t>amend</w:t>
      </w:r>
      <w:r>
        <w:t xml:space="preserve"> means replace, substitute, in whole or in part, add to or vary, and the doing of any 2 or more of such things simultaneously or by the same written law;</w:t>
      </w:r>
    </w:p>
    <w:p>
      <w:pPr>
        <w:pStyle w:val="Defstart"/>
      </w:pPr>
      <w:r>
        <w:rPr>
          <w:b/>
        </w:rPr>
        <w:tab/>
      </w:r>
      <w:r>
        <w:rPr>
          <w:rStyle w:val="CharDefText"/>
        </w:rPr>
        <w:t>ASIC Law</w:t>
      </w:r>
      <w:r>
        <w:t xml:space="preserve"> and </w:t>
      </w:r>
      <w:r>
        <w:rPr>
          <w:rStyle w:val="CharDefText"/>
        </w:rPr>
        <w:t>ASIC Regulations</w:t>
      </w:r>
      <w:r>
        <w:t xml:space="preserve"> have the meaning provided for by Part 11 of the </w:t>
      </w:r>
      <w:r>
        <w:rPr>
          <w:i/>
        </w:rPr>
        <w:t>Corporations (Western Australia) Act 1990</w:t>
      </w:r>
      <w:r>
        <w:t>;</w:t>
      </w:r>
    </w:p>
    <w:p>
      <w:pPr>
        <w:pStyle w:val="Defstart"/>
      </w:pPr>
      <w:r>
        <w:rPr>
          <w:b/>
        </w:rPr>
        <w:tab/>
      </w:r>
      <w:r>
        <w:rPr>
          <w:rStyle w:val="CharDefText"/>
        </w:rPr>
        <w:t>Auditor General</w:t>
      </w:r>
      <w:r>
        <w:t xml:space="preserve"> means the person holding the office of Auditor General for Western Australia continued by section 6 of the </w:t>
      </w:r>
      <w:r>
        <w:rPr>
          <w:i/>
          <w:iCs/>
        </w:rPr>
        <w:t>Auditor General Act 2006</w:t>
      </w:r>
      <w:r>
        <w:t>;</w:t>
      </w:r>
    </w:p>
    <w:p>
      <w:pPr>
        <w:pStyle w:val="Defstart"/>
      </w:pPr>
      <w:r>
        <w:rPr>
          <w:b/>
        </w:rPr>
        <w:tab/>
      </w:r>
      <w:r>
        <w:rPr>
          <w:rStyle w:val="CharDefText"/>
        </w:rPr>
        <w:t>Australia</w:t>
      </w:r>
      <w:r>
        <w:t xml:space="preserve"> means the Commonwealth of Australia;</w:t>
      </w:r>
    </w:p>
    <w:p>
      <w:pPr>
        <w:pStyle w:val="Defstart"/>
      </w:pPr>
      <w:r>
        <w:rPr>
          <w:b/>
        </w:rPr>
        <w:tab/>
      </w:r>
      <w:r>
        <w:rPr>
          <w:rStyle w:val="CharDefText"/>
        </w:rPr>
        <w:t>Australia Acts</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r>
      <w:r>
        <w:rPr>
          <w:rStyle w:val="CharDefText"/>
        </w:rPr>
        <w:t>bank holiday</w:t>
      </w:r>
      <w:r>
        <w:t xml:space="preserve">, in relation to an area, means a day that is appointed or declared a bank holiday for that area by or under the </w:t>
      </w:r>
      <w:r>
        <w:rPr>
          <w:i/>
        </w:rPr>
        <w:t>Public and Bank Holidays Act 1972</w:t>
      </w:r>
      <w:r>
        <w:t>;</w:t>
      </w:r>
    </w:p>
    <w:p>
      <w:pPr>
        <w:pStyle w:val="Defstart"/>
      </w:pPr>
      <w:r>
        <w:lastRenderedPageBreak/>
        <w:tab/>
      </w:r>
      <w:r>
        <w:rPr>
          <w:rStyle w:val="CharDefText"/>
        </w:rPr>
        <w:t>bankrupt</w:t>
      </w:r>
      <w:r>
        <w:rPr>
          <w:rStyle w:val="CharDefText"/>
          <w:b w:val="0"/>
          <w:bCs/>
          <w:i w:val="0"/>
          <w:iCs/>
        </w:rPr>
        <w:t xml:space="preserve"> and </w:t>
      </w:r>
      <w:r>
        <w:rPr>
          <w:rStyle w:val="CharDefText"/>
        </w:rPr>
        <w:t>bankrupt or a person whose affairs are under insolvency laws</w:t>
      </w:r>
      <w:r>
        <w:t xml:space="preserve"> have the meanings given in section 13D;</w:t>
      </w:r>
    </w:p>
    <w:p>
      <w:pPr>
        <w:pStyle w:val="Defstart"/>
      </w:pPr>
      <w:r>
        <w:rPr>
          <w:b/>
        </w:rPr>
        <w:tab/>
      </w:r>
      <w:r>
        <w:rPr>
          <w:rStyle w:val="CharDefText"/>
        </w:rPr>
        <w:t>book</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r>
      <w:r>
        <w:rPr>
          <w:rStyle w:val="CharDefText"/>
        </w:rPr>
        <w:t>British possession</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r>
      <w:r>
        <w:rPr>
          <w:rStyle w:val="CharDefText"/>
        </w:rPr>
        <w:t>by</w:t>
      </w:r>
      <w:r>
        <w:rPr>
          <w:rStyle w:val="CharDefText"/>
        </w:rPr>
        <w:noBreakHyphen/>
        <w:t>law</w:t>
      </w:r>
      <w:r>
        <w:t xml:space="preserve"> means a by</w:t>
      </w:r>
      <w:r>
        <w:noBreakHyphen/>
        <w:t>law made under the Act in which the term is used;</w:t>
      </w:r>
    </w:p>
    <w:p>
      <w:pPr>
        <w:pStyle w:val="Defstart"/>
      </w:pPr>
      <w:r>
        <w:rPr>
          <w:b/>
        </w:rPr>
        <w:tab/>
      </w:r>
      <w:r>
        <w:rPr>
          <w:rStyle w:val="CharDefText"/>
        </w:rPr>
        <w:t>chief executive officer</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pPr>
      <w:r>
        <w:tab/>
        <w:t>(i)</w:t>
      </w:r>
      <w:r>
        <w:tab/>
        <w:t>an agency within the meaning of that Act; or</w:t>
      </w:r>
    </w:p>
    <w:p>
      <w:pPr>
        <w:pStyle w:val="Defsubpara"/>
      </w:pPr>
      <w:r>
        <w:tab/>
        <w:t>(ii)</w:t>
      </w:r>
      <w: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lastRenderedPageBreak/>
        <w:tab/>
      </w:r>
      <w:r>
        <w:rPr>
          <w:rStyle w:val="CharDefText"/>
        </w:rPr>
        <w:t>Children’s Court</w:t>
      </w:r>
      <w:r>
        <w:t xml:space="preserve"> means the Children’s Court of Western Australia established by the </w:t>
      </w:r>
      <w:r>
        <w:rPr>
          <w:i/>
        </w:rPr>
        <w:t>Children’s Court of Western Australia Act 1988</w:t>
      </w:r>
      <w:r>
        <w:t>;</w:t>
      </w:r>
    </w:p>
    <w:p>
      <w:pPr>
        <w:pStyle w:val="Defstart"/>
      </w:pPr>
      <w:r>
        <w:rPr>
          <w:b/>
        </w:rPr>
        <w:tab/>
      </w:r>
      <w:r>
        <w:rPr>
          <w:rStyle w:val="CharDefText"/>
        </w:rPr>
        <w:t>commencement</w:t>
      </w:r>
      <w:r>
        <w:t>, in relation to an enactment, means the time when the enactment came or comes into operation;</w:t>
      </w:r>
    </w:p>
    <w:p>
      <w:pPr>
        <w:pStyle w:val="Defstart"/>
      </w:pPr>
      <w:r>
        <w:tab/>
      </w:r>
      <w:r>
        <w:rPr>
          <w:rStyle w:val="CharDefText"/>
        </w:rPr>
        <w:t>Commissioner of State Revenue</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r>
      <w:r>
        <w:rPr>
          <w:rStyle w:val="CharDefText"/>
        </w:rPr>
        <w:t>Commonwealth</w:t>
      </w:r>
      <w:r>
        <w:t xml:space="preserve"> means the Commonwealth of Australia;</w:t>
      </w:r>
    </w:p>
    <w:p>
      <w:pPr>
        <w:pStyle w:val="Defstart"/>
      </w:pPr>
      <w:r>
        <w:rPr>
          <w:b/>
        </w:rPr>
        <w:tab/>
      </w:r>
      <w:r>
        <w:rPr>
          <w:rStyle w:val="CharDefText"/>
        </w:rPr>
        <w:t>Commonwealth Act</w:t>
      </w:r>
      <w:r>
        <w:t xml:space="preserve"> or </w:t>
      </w:r>
      <w:r>
        <w:rPr>
          <w:rStyle w:val="CharDefText"/>
        </w:rPr>
        <w:t>Act of the Commonwealth</w:t>
      </w:r>
      <w:r>
        <w:t xml:space="preserve"> means an Act passed by the Parliament of the Commonwealth;</w:t>
      </w:r>
    </w:p>
    <w:p>
      <w:pPr>
        <w:pStyle w:val="Defstart"/>
      </w:pPr>
      <w:r>
        <w:rPr>
          <w:b/>
        </w:rPr>
        <w:tab/>
      </w:r>
      <w:r>
        <w:rPr>
          <w:rStyle w:val="CharDefText"/>
        </w:rPr>
        <w:t>Consolidated Account</w:t>
      </w:r>
      <w:r>
        <w:t xml:space="preserve"> means the Consolidated Account referred to in section 64 of the </w:t>
      </w:r>
      <w:r>
        <w:rPr>
          <w:i/>
          <w:iCs/>
        </w:rPr>
        <w:t>Constitution Act 1889</w:t>
      </w:r>
      <w:r>
        <w:t>;</w:t>
      </w:r>
    </w:p>
    <w:p>
      <w:pPr>
        <w:pStyle w:val="Defstart"/>
      </w:pPr>
      <w:r>
        <w:rPr>
          <w:b/>
        </w:rPr>
        <w:tab/>
      </w:r>
      <w:r>
        <w:rPr>
          <w:rStyle w:val="CharDefText"/>
        </w:rPr>
        <w:t>contravene</w:t>
      </w:r>
      <w:r>
        <w:t>, in relation to any requirement or condition prescribed in a written law or in any grant, permit, lease, licence, or other authority under a written law, includes a failure to comply with that requirement or condition;</w:t>
      </w:r>
    </w:p>
    <w:p>
      <w:pPr>
        <w:pStyle w:val="Defstart"/>
      </w:pPr>
      <w:r>
        <w:rPr>
          <w:b/>
        </w:rPr>
        <w:tab/>
      </w:r>
      <w:r>
        <w:rPr>
          <w:rStyle w:val="CharDefText"/>
        </w:rPr>
        <w:t>Corporations Law</w:t>
      </w:r>
      <w:r>
        <w:t xml:space="preserve"> and </w:t>
      </w:r>
      <w:r>
        <w:rPr>
          <w:rStyle w:val="CharDefText"/>
        </w:rPr>
        <w:t>Corporations Regulations</w:t>
      </w:r>
      <w:r>
        <w:t xml:space="preserve"> have the meaning provided for by Part 3 of the </w:t>
      </w:r>
      <w:r>
        <w:rPr>
          <w:i/>
        </w:rPr>
        <w:t>Corporations (Western Australia) Act 1990</w:t>
      </w:r>
      <w:r>
        <w:t>;</w:t>
      </w:r>
    </w:p>
    <w:p>
      <w:pPr>
        <w:pStyle w:val="Defstart"/>
      </w:pPr>
      <w:r>
        <w:rPr>
          <w:b/>
        </w:rPr>
        <w:tab/>
      </w:r>
      <w:r>
        <w:rPr>
          <w:rStyle w:val="CharDefText"/>
        </w:rPr>
        <w:t>Court of Appeal</w:t>
      </w:r>
      <w:r>
        <w:t xml:space="preserve"> means the Court of Appeal established under the </w:t>
      </w:r>
      <w:r>
        <w:rPr>
          <w:i/>
        </w:rPr>
        <w:t>Supreme Court Act 1935</w:t>
      </w:r>
      <w:r>
        <w:t>;</w:t>
      </w:r>
    </w:p>
    <w:p>
      <w:pPr>
        <w:pStyle w:val="Defstart"/>
      </w:pPr>
      <w:r>
        <w:tab/>
      </w:r>
      <w:r>
        <w:rPr>
          <w:rStyle w:val="CharDefText"/>
        </w:rPr>
        <w:t>court of summary jurisdiction</w:t>
      </w:r>
      <w:r>
        <w:t xml:space="preserve"> means the Children’s Court or the Magistrates Court;</w:t>
      </w:r>
    </w:p>
    <w:p>
      <w:pPr>
        <w:pStyle w:val="Defstart"/>
      </w:pPr>
      <w:r>
        <w:rPr>
          <w:b/>
        </w:rPr>
        <w:tab/>
      </w:r>
      <w:r>
        <w:rPr>
          <w:rStyle w:val="CharDefText"/>
        </w:rPr>
        <w:t>death</w:t>
      </w:r>
      <w:r>
        <w:t>, of a person, has a meaning affected by section 13C;</w:t>
      </w:r>
    </w:p>
    <w:p>
      <w:pPr>
        <w:pStyle w:val="Defstart"/>
      </w:pPr>
      <w:r>
        <w:tab/>
      </w:r>
      <w:r>
        <w:rPr>
          <w:rStyle w:val="CharDefText"/>
        </w:rPr>
        <w:t>de facto partner</w:t>
      </w:r>
      <w:r>
        <w:rPr>
          <w:b/>
        </w:rPr>
        <w:t xml:space="preserve"> </w:t>
      </w:r>
      <w:r>
        <w:t xml:space="preserve">and </w:t>
      </w:r>
      <w:r>
        <w:rPr>
          <w:rStyle w:val="CharDefText"/>
        </w:rPr>
        <w:t>de facto relationship</w:t>
      </w:r>
      <w:r>
        <w:rPr>
          <w:b/>
        </w:rPr>
        <w:t xml:space="preserve"> </w:t>
      </w:r>
      <w:r>
        <w:t>have the meanings given in section 13A;</w:t>
      </w:r>
    </w:p>
    <w:p>
      <w:pPr>
        <w:pStyle w:val="Defstart"/>
      </w:pPr>
      <w:r>
        <w:rPr>
          <w:b/>
        </w:rPr>
        <w:tab/>
      </w:r>
      <w:r>
        <w:rPr>
          <w:rStyle w:val="CharDefText"/>
        </w:rPr>
        <w:t>definition</w:t>
      </w:r>
      <w:r>
        <w:t xml:space="preserve"> means the interpretation given by any written law to a word or expression;</w:t>
      </w:r>
    </w:p>
    <w:p>
      <w:pPr>
        <w:pStyle w:val="Defstart"/>
      </w:pPr>
      <w:r>
        <w:rPr>
          <w:b/>
        </w:rPr>
        <w:tab/>
      </w:r>
      <w:r>
        <w:rPr>
          <w:rStyle w:val="CharDefText"/>
        </w:rPr>
        <w:t>District Court</w:t>
      </w:r>
      <w:r>
        <w:t xml:space="preserve"> means The District Court of Western Australia established by the </w:t>
      </w:r>
      <w:r>
        <w:rPr>
          <w:i/>
        </w:rPr>
        <w:t>District Court of Western Australia Act 1969</w:t>
      </w:r>
      <w:r>
        <w:t>;</w:t>
      </w:r>
    </w:p>
    <w:p>
      <w:pPr>
        <w:pStyle w:val="Defstart"/>
      </w:pPr>
      <w:r>
        <w:rPr>
          <w:b/>
        </w:rPr>
        <w:lastRenderedPageBreak/>
        <w:tab/>
      </w:r>
      <w:r>
        <w:rPr>
          <w:rStyle w:val="CharDefText"/>
        </w:rPr>
        <w:t>District Court judge</w:t>
      </w:r>
      <w:r>
        <w:t xml:space="preserve"> means a judge, acting judge or auxiliary judge of the District Court;</w:t>
      </w:r>
    </w:p>
    <w:p>
      <w:pPr>
        <w:pStyle w:val="Defstart"/>
      </w:pPr>
      <w:r>
        <w:rPr>
          <w:b/>
        </w:rPr>
        <w:tab/>
      </w:r>
      <w:r>
        <w:rPr>
          <w:rStyle w:val="CharDefText"/>
        </w:rPr>
        <w:t>document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r>
      <w:r>
        <w:rPr>
          <w:rStyle w:val="CharDefText"/>
        </w:rPr>
        <w:t>enactment</w:t>
      </w:r>
      <w:r>
        <w:t xml:space="preserve"> means a written law or any portion of a written law;</w:t>
      </w:r>
    </w:p>
    <w:p>
      <w:pPr>
        <w:pStyle w:val="Defstart"/>
      </w:pPr>
      <w:r>
        <w:rPr>
          <w:b/>
        </w:rPr>
        <w:tab/>
      </w:r>
      <w:r>
        <w:rPr>
          <w:rStyle w:val="CharDefText"/>
        </w:rPr>
        <w:t>estate</w:t>
      </w:r>
      <w:r>
        <w:t>, in relation to land, includes any legal or equitable estate or interest, easement, right, title, claim, demand, charge, lien, or encumbrance in, over, to, or in respect of the land;</w:t>
      </w:r>
    </w:p>
    <w:p>
      <w:pPr>
        <w:pStyle w:val="Defstart"/>
      </w:pPr>
      <w:r>
        <w:rPr>
          <w:b/>
        </w:rPr>
        <w:tab/>
      </w:r>
      <w:r>
        <w:rPr>
          <w:rStyle w:val="CharDefText"/>
        </w:rPr>
        <w:t>Family Court</w:t>
      </w:r>
      <w:r>
        <w:t xml:space="preserve"> or </w:t>
      </w:r>
      <w:r>
        <w:rPr>
          <w:rStyle w:val="CharDefText"/>
        </w:rPr>
        <w:t>Family Court of Western Australia</w:t>
      </w:r>
      <w:r>
        <w:t xml:space="preserve"> means the Family Court of Western Australia continued by the </w:t>
      </w:r>
      <w:r>
        <w:rPr>
          <w:i/>
        </w:rPr>
        <w:t>Family Court Act 1997</w:t>
      </w:r>
      <w:r>
        <w:t>;</w:t>
      </w:r>
    </w:p>
    <w:p>
      <w:pPr>
        <w:pStyle w:val="Defstart"/>
      </w:pPr>
      <w:r>
        <w:rPr>
          <w:b/>
        </w:rPr>
        <w:tab/>
      </w:r>
      <w:r>
        <w:rPr>
          <w:rStyle w:val="CharDefText"/>
        </w:rPr>
        <w:t>financial year</w:t>
      </w:r>
      <w:r>
        <w:t xml:space="preserve"> means the period of 12 months ending on 30 June;</w:t>
      </w:r>
    </w:p>
    <w:p>
      <w:pPr>
        <w:pStyle w:val="Defstart"/>
      </w:pPr>
      <w:r>
        <w:rPr>
          <w:b/>
        </w:rPr>
        <w:tab/>
      </w:r>
      <w:r>
        <w:rPr>
          <w:rStyle w:val="CharDefText"/>
        </w:rPr>
        <w:t>function</w:t>
      </w:r>
      <w:r>
        <w:t xml:space="preserve"> includes powers, duties, responsibilities, authorities, and jurisdictions;</w:t>
      </w:r>
    </w:p>
    <w:p>
      <w:pPr>
        <w:pStyle w:val="Defstart"/>
      </w:pPr>
      <w:r>
        <w:rPr>
          <w:b/>
        </w:rPr>
        <w:tab/>
      </w:r>
      <w:r>
        <w:rPr>
          <w:rStyle w:val="CharDefText"/>
          <w:iCs/>
        </w:rPr>
        <w:t>Gazette</w:t>
      </w:r>
      <w:r>
        <w:t xml:space="preserve"> or </w:t>
      </w:r>
      <w:r>
        <w:rPr>
          <w:rStyle w:val="CharDefText"/>
          <w:iCs/>
        </w:rPr>
        <w:t>Government Gazette</w:t>
      </w:r>
      <w:r>
        <w:t xml:space="preserve"> means the government gazette of Western Australia printed and published, or purporting to be printed and published, by the Government Printer and includes any supplement to that gazette;</w:t>
      </w:r>
    </w:p>
    <w:p>
      <w:pPr>
        <w:pStyle w:val="Defstart"/>
      </w:pPr>
      <w:r>
        <w:rPr>
          <w:b/>
        </w:rPr>
        <w:tab/>
      </w:r>
      <w:r>
        <w:rPr>
          <w:rStyle w:val="CharDefText"/>
        </w:rPr>
        <w:t>Government</w:t>
      </w:r>
      <w:r>
        <w:t xml:space="preserve"> means the Government of the State;</w:t>
      </w:r>
    </w:p>
    <w:p>
      <w:pPr>
        <w:pStyle w:val="Defstart"/>
      </w:pPr>
      <w:r>
        <w:rPr>
          <w:b/>
        </w:rPr>
        <w:tab/>
      </w:r>
      <w:r>
        <w:rPr>
          <w:rStyle w:val="CharDefText"/>
        </w:rPr>
        <w:t>Government Printer</w:t>
      </w:r>
      <w:r>
        <w:t xml:space="preserve"> means the Government Printer of the State and any other printer authorised by or on behalf of the Government to print any written law or any other document of the Government;</w:t>
      </w:r>
    </w:p>
    <w:p>
      <w:pPr>
        <w:pStyle w:val="Defstart"/>
      </w:pPr>
      <w:r>
        <w:rPr>
          <w:b/>
        </w:rPr>
        <w:tab/>
      </w:r>
      <w:r>
        <w:rPr>
          <w:rStyle w:val="CharDefText"/>
        </w:rPr>
        <w:t>Governor</w:t>
      </w:r>
      <w:r>
        <w:t xml:space="preserve"> means the Governor of the State and includes the officer for the time being administering the Government of the State;</w:t>
      </w:r>
    </w:p>
    <w:p>
      <w:pPr>
        <w:pStyle w:val="Defstart"/>
      </w:pPr>
      <w:r>
        <w:rPr>
          <w:b/>
        </w:rPr>
        <w:tab/>
      </w:r>
      <w:r>
        <w:rPr>
          <w:rStyle w:val="CharDefText"/>
        </w:rPr>
        <w:t>Her Majesty</w:t>
      </w:r>
      <w:r>
        <w:t xml:space="preserve">, </w:t>
      </w:r>
      <w:r>
        <w:rPr>
          <w:rStyle w:val="CharDefText"/>
        </w:rPr>
        <w:t>His Majesty</w:t>
      </w:r>
      <w:r>
        <w:t xml:space="preserve">, </w:t>
      </w:r>
      <w:r>
        <w:rPr>
          <w:rStyle w:val="CharDefText"/>
        </w:rPr>
        <w:t>Queen</w:t>
      </w:r>
      <w:r>
        <w:t xml:space="preserve">, </w:t>
      </w:r>
      <w:r>
        <w:rPr>
          <w:rStyle w:val="CharDefText"/>
        </w:rPr>
        <w:t>King</w:t>
      </w:r>
      <w:r>
        <w:t xml:space="preserve">, or </w:t>
      </w:r>
      <w:r>
        <w:rPr>
          <w:rStyle w:val="CharDefText"/>
        </w:rPr>
        <w:t>Crown</w:t>
      </w:r>
      <w:r>
        <w:t xml:space="preserve"> means the Sovereign of the United Kingdom, Australia and Her other Realms and Territories, and Head of the Commonwealth and </w:t>
      </w:r>
      <w:r>
        <w:lastRenderedPageBreak/>
        <w:t>includes the predecessors and the heirs and successors of the Sovereign;</w:t>
      </w:r>
    </w:p>
    <w:p>
      <w:pPr>
        <w:pStyle w:val="Defstart"/>
      </w:pPr>
      <w:r>
        <w:rPr>
          <w:b/>
        </w:rPr>
        <w:tab/>
      </w:r>
      <w:r>
        <w:rPr>
          <w:rStyle w:val="CharDefText"/>
        </w:rPr>
        <w:t>Imperial Act</w:t>
      </w:r>
      <w:r>
        <w:t xml:space="preserve"> means an Act passed by the Parliament of the United Kingdom;</w:t>
      </w:r>
    </w:p>
    <w:p>
      <w:pPr>
        <w:pStyle w:val="Defstart"/>
      </w:pPr>
      <w:r>
        <w:rPr>
          <w:b/>
        </w:rPr>
        <w:tab/>
      </w:r>
      <w:r>
        <w:rPr>
          <w:rStyle w:val="CharDefText"/>
        </w:rPr>
        <w:t>indictable offence</w:t>
      </w:r>
      <w:r>
        <w:t xml:space="preserve"> has the meaning given by section 67;</w:t>
      </w:r>
    </w:p>
    <w:p>
      <w:pPr>
        <w:pStyle w:val="Defstart"/>
      </w:pPr>
      <w:r>
        <w:rPr>
          <w:b/>
        </w:rPr>
        <w:tab/>
      </w:r>
      <w:r>
        <w:rPr>
          <w:rStyle w:val="CharDefText"/>
        </w:rPr>
        <w:t>individual</w:t>
      </w:r>
      <w:r>
        <w:t xml:space="preserve"> means a natural person;</w:t>
      </w:r>
    </w:p>
    <w:p>
      <w:pPr>
        <w:pStyle w:val="Defstart"/>
      </w:pPr>
      <w:r>
        <w:rPr>
          <w:b/>
        </w:rPr>
        <w:tab/>
      </w:r>
      <w:r>
        <w:rPr>
          <w:rStyle w:val="CharDefText"/>
        </w:rPr>
        <w:t>judge</w:t>
      </w:r>
      <w:r>
        <w:t xml:space="preserve"> means a judge, acting judge or auxiliary judge of the Supreme Court;</w:t>
      </w:r>
    </w:p>
    <w:p>
      <w:pPr>
        <w:pStyle w:val="Defstart"/>
      </w:pPr>
      <w:r>
        <w:tab/>
      </w:r>
      <w:r>
        <w:rPr>
          <w:rStyle w:val="CharDefText"/>
        </w:rPr>
        <w:t>justice of the peace</w:t>
      </w:r>
      <w:r>
        <w:t xml:space="preserve"> or </w:t>
      </w:r>
      <w:r>
        <w:rPr>
          <w:rStyle w:val="CharDefText"/>
        </w:rPr>
        <w:t>justice</w:t>
      </w:r>
      <w:r>
        <w:t xml:space="preserve"> or </w:t>
      </w:r>
      <w:r>
        <w:rPr>
          <w:rStyle w:val="CharDefText"/>
        </w:rPr>
        <w:t>JP</w:t>
      </w:r>
      <w:r>
        <w:t xml:space="preserve"> means a justice of the peace appointed under the </w:t>
      </w:r>
      <w:r>
        <w:rPr>
          <w:i/>
        </w:rPr>
        <w:t>Justices of the Peace Act 2004</w:t>
      </w:r>
      <w:r>
        <w:t>;</w:t>
      </w:r>
    </w:p>
    <w:p>
      <w:pPr>
        <w:pStyle w:val="Defstart"/>
      </w:pPr>
      <w:r>
        <w:rPr>
          <w:b/>
        </w:rPr>
        <w:tab/>
      </w:r>
      <w:r>
        <w:rPr>
          <w:rStyle w:val="CharDefText"/>
        </w:rPr>
        <w:t>land</w:t>
      </w:r>
      <w:r>
        <w:t xml:space="preserve"> includes buildings and other structures, land covered with water, and any estate, interest, easement, servitude or right in or over land;</w:t>
      </w:r>
    </w:p>
    <w:p>
      <w:pPr>
        <w:pStyle w:val="Defstart"/>
      </w:pPr>
      <w:r>
        <w:rPr>
          <w:b/>
        </w:rPr>
        <w:tab/>
      </w:r>
      <w:r>
        <w:rPr>
          <w:rStyle w:val="CharDefText"/>
        </w:rPr>
        <w:t>local government</w:t>
      </w:r>
      <w:r>
        <w:t xml:space="preserve"> means a local government established under the </w:t>
      </w:r>
      <w:r>
        <w:rPr>
          <w:i/>
        </w:rPr>
        <w:t>Local Government Act 1995</w:t>
      </w:r>
      <w:r>
        <w:t>;</w:t>
      </w:r>
    </w:p>
    <w:p>
      <w:pPr>
        <w:pStyle w:val="Defstart"/>
      </w:pPr>
      <w:r>
        <w:rPr>
          <w:b/>
        </w:rPr>
        <w:tab/>
      </w:r>
      <w:r>
        <w:rPr>
          <w:rStyle w:val="CharDefText"/>
        </w:rPr>
        <w:t>local government district</w:t>
      </w:r>
      <w:r>
        <w:t xml:space="preserve"> has the meaning given by section 13CA;</w:t>
      </w:r>
    </w:p>
    <w:p>
      <w:pPr>
        <w:pStyle w:val="Defstart"/>
      </w:pPr>
      <w:r>
        <w:rPr>
          <w:b/>
        </w:rPr>
        <w:tab/>
      </w:r>
      <w:r>
        <w:rPr>
          <w:rStyle w:val="CharDefText"/>
        </w:rPr>
        <w:t>local law</w:t>
      </w:r>
      <w:r>
        <w:t xml:space="preserve"> means a local law made by a local government under the Act in which the term is used;</w:t>
      </w:r>
    </w:p>
    <w:p>
      <w:pPr>
        <w:pStyle w:val="Defstart"/>
      </w:pPr>
      <w:r>
        <w:tab/>
      </w:r>
      <w:r>
        <w:rPr>
          <w:rStyle w:val="CharDefText"/>
        </w:rPr>
        <w:t>magistrate</w:t>
      </w:r>
      <w:r>
        <w:t xml:space="preserve"> means a magistrate of the Magistrates Court;</w:t>
      </w:r>
    </w:p>
    <w:p>
      <w:pPr>
        <w:pStyle w:val="Defstart"/>
      </w:pPr>
      <w:r>
        <w:tab/>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r>
      <w:r>
        <w:rPr>
          <w:rStyle w:val="CharDefText"/>
        </w:rPr>
        <w:t>Minister</w:t>
      </w:r>
      <w:r>
        <w:t xml:space="preserve"> has the meaning given in section 12;</w:t>
      </w:r>
    </w:p>
    <w:p>
      <w:pPr>
        <w:pStyle w:val="Defstart"/>
      </w:pPr>
      <w:r>
        <w:rPr>
          <w:b/>
        </w:rPr>
        <w:tab/>
      </w:r>
      <w:r>
        <w:rPr>
          <w:rStyle w:val="CharDefText"/>
        </w:rPr>
        <w:t>Minister for Public Sector Management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r>
      <w:r>
        <w:rPr>
          <w:rStyle w:val="CharDefText"/>
        </w:rPr>
        <w:t>month</w:t>
      </w:r>
      <w:r>
        <w:t xml:space="preserve"> has the meaning given in section 62;</w:t>
      </w:r>
    </w:p>
    <w:p>
      <w:pPr>
        <w:pStyle w:val="Defstart"/>
      </w:pPr>
      <w:r>
        <w:rPr>
          <w:b/>
        </w:rPr>
        <w:tab/>
      </w:r>
      <w:r>
        <w:rPr>
          <w:rStyle w:val="CharDefText"/>
        </w:rPr>
        <w:t>oath</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lastRenderedPageBreak/>
        <w:tab/>
      </w:r>
      <w:r>
        <w:rPr>
          <w:rStyle w:val="CharDefText"/>
        </w:rPr>
        <w:t>parent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para"/>
      </w:pPr>
      <w:r>
        <w:tab/>
        <w:t>(c)</w:t>
      </w:r>
      <w:r>
        <w:tab/>
        <w:t xml:space="preserve">a person who is a parent in a relationship of parent and child that arises because of a parentage order under the </w:t>
      </w:r>
      <w:r>
        <w:rPr>
          <w:i/>
        </w:rPr>
        <w:t>Surrogacy Act 2008</w:t>
      </w:r>
      <w:r>
        <w:rPr>
          <w:iCs/>
        </w:rPr>
        <w:t>;</w:t>
      </w:r>
    </w:p>
    <w:p>
      <w:pPr>
        <w:pStyle w:val="Defstart"/>
      </w:pPr>
      <w:r>
        <w:rPr>
          <w:b/>
        </w:rPr>
        <w:tab/>
      </w:r>
      <w:r>
        <w:rPr>
          <w:rStyle w:val="CharDefText"/>
        </w:rPr>
        <w:t>Parliament</w:t>
      </w:r>
      <w:r>
        <w:t xml:space="preserve"> means the Parliament of the State;</w:t>
      </w:r>
    </w:p>
    <w:p>
      <w:pPr>
        <w:pStyle w:val="Defstart"/>
      </w:pPr>
      <w:r>
        <w:rPr>
          <w:b/>
        </w:rPr>
        <w:tab/>
      </w:r>
      <w:r>
        <w:rPr>
          <w:rStyle w:val="CharDefText"/>
        </w:rPr>
        <w:t>penalty</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r>
      <w:r>
        <w:rPr>
          <w:rStyle w:val="CharDefText"/>
        </w:rPr>
        <w:t>perform</w:t>
      </w:r>
      <w:r>
        <w:t>, in relation to functions, includes the exercise of a power, responsibility, authority or jurisdiction;</w:t>
      </w:r>
    </w:p>
    <w:p>
      <w:pPr>
        <w:pStyle w:val="Defstart"/>
      </w:pPr>
      <w:r>
        <w:rPr>
          <w:b/>
        </w:rPr>
        <w:tab/>
      </w:r>
      <w:r>
        <w:rPr>
          <w:rStyle w:val="CharDefText"/>
        </w:rPr>
        <w:t>person</w:t>
      </w:r>
      <w:r>
        <w:t xml:space="preserve"> or any word or expression descriptive of a person includes a public body, company, or association or body of persons, corporate or unincorporate;</w:t>
      </w:r>
    </w:p>
    <w:p>
      <w:pPr>
        <w:pStyle w:val="Defstart"/>
      </w:pPr>
      <w:r>
        <w:tab/>
      </w:r>
      <w:r>
        <w:rPr>
          <w:rStyle w:val="CharDefText"/>
        </w:rPr>
        <w:t>police officer</w:t>
      </w:r>
      <w:r>
        <w:t xml:space="preserve"> means a person appointed under Part I of the </w:t>
      </w:r>
      <w:r>
        <w:rPr>
          <w:i/>
          <w:iCs/>
        </w:rPr>
        <w:t>Police Act 1892</w:t>
      </w:r>
      <w:r>
        <w:t xml:space="preserve"> to be a member of the Police Force of Western Australia;</w:t>
      </w:r>
    </w:p>
    <w:p>
      <w:pPr>
        <w:pStyle w:val="Defstart"/>
      </w:pPr>
      <w:r>
        <w:rPr>
          <w:b/>
        </w:rPr>
        <w:tab/>
      </w:r>
      <w:r>
        <w:rPr>
          <w:rStyle w:val="CharDefText"/>
        </w:rPr>
        <w:t>power</w:t>
      </w:r>
      <w:r>
        <w:t xml:space="preserve"> includes any privilege, authority, or discretion;</w:t>
      </w:r>
    </w:p>
    <w:p>
      <w:pPr>
        <w:pStyle w:val="Defstart"/>
      </w:pPr>
      <w:r>
        <w:rPr>
          <w:b/>
        </w:rPr>
        <w:tab/>
      </w:r>
      <w:r>
        <w:rPr>
          <w:rStyle w:val="CharDefText"/>
        </w:rPr>
        <w:t>prescribed</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r>
      <w:r>
        <w:rPr>
          <w:rStyle w:val="CharDefText"/>
        </w:rPr>
        <w:t>proclamation</w:t>
      </w:r>
      <w:r>
        <w:t xml:space="preserve"> means a proclamation made by the Governor and published in the </w:t>
      </w:r>
      <w:r>
        <w:rPr>
          <w:i/>
        </w:rPr>
        <w:t>Gazette</w:t>
      </w:r>
      <w:r>
        <w:t>;</w:t>
      </w:r>
    </w:p>
    <w:p>
      <w:pPr>
        <w:pStyle w:val="Defstart"/>
        <w:spacing w:before="60"/>
      </w:pPr>
      <w:r>
        <w:rPr>
          <w:b/>
        </w:rPr>
        <w:lastRenderedPageBreak/>
        <w:tab/>
      </w:r>
      <w:r>
        <w:rPr>
          <w:rStyle w:val="CharDefText"/>
        </w:rPr>
        <w:t>public half</w:t>
      </w:r>
      <w:r>
        <w:rPr>
          <w:rStyle w:val="CharDefText"/>
        </w:rPr>
        <w:noBreakHyphen/>
        <w:t>holiday</w:t>
      </w:r>
      <w:r>
        <w:t>, in relation to an area, means a part of a day that is appointed or declared a public half</w:t>
      </w:r>
      <w:r>
        <w:noBreakHyphen/>
        <w:t xml:space="preserve">holiday for that area by or under the </w:t>
      </w:r>
      <w:r>
        <w:rPr>
          <w:i/>
        </w:rPr>
        <w:t>Public and Bank Holidays Act 1972</w:t>
      </w:r>
      <w:r>
        <w:t>;</w:t>
      </w:r>
    </w:p>
    <w:p>
      <w:pPr>
        <w:pStyle w:val="Defstart"/>
        <w:spacing w:before="60"/>
      </w:pPr>
      <w:r>
        <w:rPr>
          <w:b/>
        </w:rPr>
        <w:tab/>
      </w:r>
      <w:r>
        <w:rPr>
          <w:rStyle w:val="CharDefText"/>
        </w:rPr>
        <w:t>public holiday</w:t>
      </w:r>
      <w:r>
        <w:t xml:space="preserve">, in relation to an area, means a day that is appointed or declared a public holiday for that area by or under the </w:t>
      </w:r>
      <w:r>
        <w:rPr>
          <w:i/>
        </w:rPr>
        <w:t>Public and Bank Holidays Act 1972</w:t>
      </w:r>
      <w:r>
        <w:t>;</w:t>
      </w:r>
    </w:p>
    <w:p>
      <w:pPr>
        <w:pStyle w:val="Defstart"/>
        <w:spacing w:before="60"/>
      </w:pPr>
      <w:r>
        <w:tab/>
      </w:r>
      <w:r>
        <w:rPr>
          <w:rStyle w:val="CharDefText"/>
        </w:rPr>
        <w:t>Public Sector Commissioner</w:t>
      </w:r>
      <w:r>
        <w:t xml:space="preserve"> means the person holding the office established by the </w:t>
      </w:r>
      <w:r>
        <w:rPr>
          <w:i/>
        </w:rPr>
        <w:t>Public Sector Management Act 1994</w:t>
      </w:r>
      <w:r>
        <w:t xml:space="preserve"> section 16;</w:t>
      </w:r>
    </w:p>
    <w:p>
      <w:pPr>
        <w:pStyle w:val="Defstart"/>
        <w:spacing w:before="60"/>
        <w:rPr>
          <w:b/>
        </w:rPr>
      </w:pPr>
      <w:r>
        <w:rPr>
          <w:b/>
        </w:rPr>
        <w:tab/>
      </w:r>
      <w:r>
        <w:rPr>
          <w:rStyle w:val="CharDefText"/>
        </w:rPr>
        <w:t>Public Service</w:t>
      </w:r>
      <w:r>
        <w:t xml:space="preserve"> has the meaning given by the </w:t>
      </w:r>
      <w:r>
        <w:rPr>
          <w:i/>
        </w:rPr>
        <w:t>Public Sector Management Act 1994</w:t>
      </w:r>
      <w:r>
        <w:t>;</w:t>
      </w:r>
    </w:p>
    <w:p>
      <w:pPr>
        <w:pStyle w:val="Defstart"/>
        <w:spacing w:before="60"/>
      </w:pPr>
      <w:r>
        <w:rPr>
          <w:b/>
        </w:rPr>
        <w:tab/>
      </w:r>
      <w:r>
        <w:rPr>
          <w:rStyle w:val="CharDefText"/>
        </w:rPr>
        <w:t>public service holiday</w:t>
      </w:r>
      <w:r>
        <w:t xml:space="preserve"> means a holiday prescribed as such under the </w:t>
      </w:r>
      <w:r>
        <w:rPr>
          <w:i/>
        </w:rPr>
        <w:t>Public Service Act 1978</w:t>
      </w:r>
      <w:r>
        <w:rPr>
          <w:vertAlign w:val="superscript"/>
        </w:rPr>
        <w:t xml:space="preserve"> 2</w:t>
      </w:r>
      <w:r>
        <w:t>;</w:t>
      </w:r>
    </w:p>
    <w:p>
      <w:pPr>
        <w:pStyle w:val="Defstart"/>
        <w:spacing w:before="60"/>
      </w:pPr>
      <w:r>
        <w:rPr>
          <w:b/>
        </w:rPr>
        <w:tab/>
      </w:r>
      <w:r>
        <w:rPr>
          <w:rStyle w:val="CharDefText"/>
        </w:rPr>
        <w:t>public service officer</w:t>
      </w:r>
      <w:r>
        <w:t xml:space="preserve"> has the meaning given in the </w:t>
      </w:r>
      <w:r>
        <w:rPr>
          <w:i/>
          <w:iCs/>
        </w:rPr>
        <w:t>Public Sector Management Act 1994</w:t>
      </w:r>
      <w:r>
        <w:t xml:space="preserve"> section 3(1);</w:t>
      </w:r>
    </w:p>
    <w:p>
      <w:pPr>
        <w:pStyle w:val="Defstart"/>
        <w:keepNext/>
        <w:spacing w:before="60"/>
      </w:pPr>
      <w:r>
        <w:rPr>
          <w:b/>
        </w:rPr>
        <w:tab/>
      </w:r>
      <w:r>
        <w:rPr>
          <w:rStyle w:val="CharDefText"/>
        </w:rPr>
        <w:t>publication</w:t>
      </w:r>
      <w:r>
        <w:t xml:space="preserve"> means — </w:t>
      </w:r>
    </w:p>
    <w:p>
      <w:pPr>
        <w:pStyle w:val="Defpara"/>
        <w:spacing w:before="60"/>
      </w:pPr>
      <w:r>
        <w:tab/>
        <w:t>(a)</w:t>
      </w:r>
      <w:r>
        <w:tab/>
        <w:t>all written and printed matter; and</w:t>
      </w:r>
    </w:p>
    <w:p>
      <w:pPr>
        <w:pStyle w:val="Defpara"/>
        <w:spacing w:before="60"/>
      </w:pPr>
      <w:r>
        <w:tab/>
        <w:t>(b)</w:t>
      </w:r>
      <w:r>
        <w:tab/>
        <w:t>any record, tape, wire, perforated roll, cinematograph film or images or other contrivance by means of which any words or ideas may be mechanically, electronically, or electrically produced, reproduced, represented, or conveyed; and</w:t>
      </w:r>
    </w:p>
    <w:p>
      <w:pPr>
        <w:pStyle w:val="Defpara"/>
        <w:spacing w:before="60"/>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para"/>
        <w:spacing w:before="60"/>
      </w:pPr>
      <w:r>
        <w:tab/>
        <w:t>(d)</w:t>
      </w:r>
      <w:r>
        <w:tab/>
        <w:t>every copy and reproduction of a publication as defined in paragraphs (a), (b) and (c);</w:t>
      </w:r>
    </w:p>
    <w:p>
      <w:pPr>
        <w:pStyle w:val="Defstart"/>
        <w:spacing w:before="60"/>
      </w:pPr>
      <w:r>
        <w:rPr>
          <w:b/>
        </w:rPr>
        <w:tab/>
      </w:r>
      <w:r>
        <w:rPr>
          <w:rStyle w:val="CharDefText"/>
        </w:rPr>
        <w:t>regional local government</w:t>
      </w:r>
      <w:r>
        <w:t xml:space="preserve"> means a regional local government established under the </w:t>
      </w:r>
      <w:r>
        <w:rPr>
          <w:i/>
        </w:rPr>
        <w:t>Local Government Act 1995</w:t>
      </w:r>
      <w:r>
        <w:t>;</w:t>
      </w:r>
    </w:p>
    <w:p>
      <w:pPr>
        <w:pStyle w:val="Defstart"/>
        <w:spacing w:before="60"/>
      </w:pPr>
      <w:r>
        <w:tab/>
      </w:r>
      <w:r>
        <w:rPr>
          <w:rStyle w:val="CharDefText"/>
        </w:rPr>
        <w:t>regional subsidiary</w:t>
      </w:r>
      <w:r>
        <w:t xml:space="preserve"> means a regional subsidiary established under the </w:t>
      </w:r>
      <w:r>
        <w:rPr>
          <w:i/>
        </w:rPr>
        <w:t>Local Government Act 1995</w:t>
      </w:r>
      <w:r>
        <w:t>;</w:t>
      </w:r>
    </w:p>
    <w:p>
      <w:pPr>
        <w:pStyle w:val="Defstart"/>
        <w:spacing w:before="60"/>
      </w:pPr>
      <w:r>
        <w:rPr>
          <w:b/>
        </w:rPr>
        <w:lastRenderedPageBreak/>
        <w:tab/>
      </w:r>
      <w:r>
        <w:rPr>
          <w:rStyle w:val="CharDefText"/>
        </w:rPr>
        <w:t>regulation</w:t>
      </w:r>
      <w:r>
        <w:t xml:space="preserve"> means a regulation made under the Act in which the term is used;</w:t>
      </w:r>
    </w:p>
    <w:p>
      <w:pPr>
        <w:pStyle w:val="Defstart"/>
      </w:pPr>
      <w:r>
        <w:rPr>
          <w:b/>
        </w:rPr>
        <w:tab/>
      </w:r>
      <w:r>
        <w:rPr>
          <w:rStyle w:val="CharDefText"/>
        </w:rPr>
        <w:t>repeal</w:t>
      </w:r>
      <w:r>
        <w:t xml:space="preserve"> includes rescind, revoke, cancel, or delete;</w:t>
      </w:r>
    </w:p>
    <w:p>
      <w:pPr>
        <w:pStyle w:val="Defstart"/>
      </w:pPr>
      <w:r>
        <w:rPr>
          <w:b/>
        </w:rPr>
        <w:tab/>
      </w:r>
      <w:r>
        <w:rPr>
          <w:rStyle w:val="CharDefText"/>
        </w:rPr>
        <w:t>Royal Assent</w:t>
      </w:r>
      <w:r>
        <w:t xml:space="preserve"> means assent by or in the name of Her Majesty;</w:t>
      </w:r>
    </w:p>
    <w:p>
      <w:pPr>
        <w:pStyle w:val="Defstart"/>
      </w:pPr>
      <w:r>
        <w:rPr>
          <w:b/>
        </w:rPr>
        <w:tab/>
      </w:r>
      <w:r>
        <w:rPr>
          <w:rStyle w:val="CharDefText"/>
        </w:rPr>
        <w:t>rule</w:t>
      </w:r>
      <w:r>
        <w:t xml:space="preserve"> means a rule made under the Act in which the term is used;</w:t>
      </w:r>
    </w:p>
    <w:p>
      <w:pPr>
        <w:pStyle w:val="Defstart"/>
      </w:pPr>
      <w:r>
        <w:rPr>
          <w:b/>
        </w:rPr>
        <w:tab/>
      </w:r>
      <w:r>
        <w:rPr>
          <w:rStyle w:val="CharDefText"/>
        </w:rPr>
        <w:t>rules of court</w:t>
      </w:r>
      <w:r>
        <w:t xml:space="preserve"> has the meaning given by section 66;</w:t>
      </w:r>
    </w:p>
    <w:p>
      <w:pPr>
        <w:pStyle w:val="Defstart"/>
      </w:pPr>
      <w:r>
        <w:rPr>
          <w:b/>
        </w:rPr>
        <w:tab/>
      </w:r>
      <w:r>
        <w:rPr>
          <w:rStyle w:val="CharDefText"/>
        </w:rPr>
        <w:t>sell</w:t>
      </w:r>
      <w:r>
        <w:t xml:space="preserve"> includes barter, exchange, offer to sell and expose for sale;</w:t>
      </w:r>
    </w:p>
    <w:p>
      <w:pPr>
        <w:pStyle w:val="Defstart"/>
      </w:pPr>
      <w:r>
        <w:rPr>
          <w:b/>
        </w:rPr>
        <w:tab/>
      </w:r>
      <w:r>
        <w:rPr>
          <w:rStyle w:val="CharDefText"/>
        </w:rPr>
        <w:t>sign</w:t>
      </w:r>
      <w:r>
        <w:t xml:space="preserve"> includes the affixing or making of a seal, mark or thumbprint;</w:t>
      </w:r>
    </w:p>
    <w:p>
      <w:pPr>
        <w:pStyle w:val="Defstart"/>
      </w:pPr>
      <w:r>
        <w:rPr>
          <w:b/>
        </w:rPr>
        <w:tab/>
      </w:r>
      <w:r>
        <w:rPr>
          <w:rStyle w:val="CharDefText"/>
        </w:rPr>
        <w:t>simple offence</w:t>
      </w:r>
      <w:r>
        <w:t xml:space="preserve"> has the meaning given by section 67;</w:t>
      </w:r>
    </w:p>
    <w:p>
      <w:pPr>
        <w:pStyle w:val="Defstart"/>
      </w:pPr>
      <w:r>
        <w:rPr>
          <w:b/>
        </w:rPr>
        <w:tab/>
      </w:r>
      <w:r>
        <w:rPr>
          <w:rStyle w:val="CharDefText"/>
        </w:rPr>
        <w:t>sitting days</w:t>
      </w:r>
      <w:r>
        <w:t>, in relation to either House of Parliament, means days on which such House actually sits;</w:t>
      </w:r>
    </w:p>
    <w:p>
      <w:pPr>
        <w:pStyle w:val="Defstart"/>
      </w:pPr>
      <w:r>
        <w:tab/>
      </w:r>
      <w:r>
        <w:rPr>
          <w:rStyle w:val="CharDefText"/>
        </w:rPr>
        <w:t>spouse</w:t>
      </w:r>
      <w:r>
        <w:t>, in relation to a person, means a person who is lawfully married to that person;</w:t>
      </w:r>
    </w:p>
    <w:p>
      <w:pPr>
        <w:pStyle w:val="Defstart"/>
      </w:pPr>
      <w:r>
        <w:tab/>
      </w:r>
      <w:r>
        <w:rPr>
          <w:rStyle w:val="CharDefText"/>
        </w:rPr>
        <w:t>Standards Australia</w:t>
      </w:r>
      <w:r>
        <w:t xml:space="preserve"> means Standards Australia International Limited (ACN 087 326 690) and includes a reference to the Standards Association of Australia as constituted before 1 July 1999;</w:t>
      </w:r>
    </w:p>
    <w:p>
      <w:pPr>
        <w:pStyle w:val="Defstart"/>
      </w:pPr>
      <w:r>
        <w:rPr>
          <w:b/>
        </w:rPr>
        <w:tab/>
      </w:r>
      <w:r>
        <w:rPr>
          <w:rStyle w:val="CharDefText"/>
        </w:rPr>
        <w:t>State</w:t>
      </w:r>
      <w:r>
        <w:t xml:space="preserve"> means a State of the Commonwealth;</w:t>
      </w:r>
    </w:p>
    <w:p>
      <w:pPr>
        <w:pStyle w:val="Defstart"/>
      </w:pPr>
      <w:r>
        <w:tab/>
      </w:r>
      <w:r>
        <w:rPr>
          <w:rStyle w:val="CharDefText"/>
        </w:rPr>
        <w:t>State Administrative Tribunal</w:t>
      </w:r>
      <w:r>
        <w:rPr>
          <w:b/>
        </w:rPr>
        <w:t xml:space="preserve"> </w:t>
      </w:r>
      <w:r>
        <w:t xml:space="preserve">means the State Administrative Tribunal established under the </w:t>
      </w:r>
      <w:r>
        <w:rPr>
          <w:i/>
        </w:rPr>
        <w:t>State Administrative Tribunal Act 2004</w:t>
      </w:r>
      <w:r>
        <w:t>;</w:t>
      </w:r>
    </w:p>
    <w:p>
      <w:pPr>
        <w:pStyle w:val="Defstart"/>
      </w:pPr>
      <w:r>
        <w:rPr>
          <w:b/>
        </w:rPr>
        <w:tab/>
      </w:r>
      <w:r>
        <w:rPr>
          <w:rStyle w:val="CharDefText"/>
        </w:rPr>
        <w:t>statutory declaration</w:t>
      </w:r>
      <w:r>
        <w:t xml:space="preserve"> means a statutory declaration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subsidiary legislation</w:t>
      </w:r>
      <w:r>
        <w:t xml:space="preserve"> means any proclamation, regulation, rule, local law, by</w:t>
      </w:r>
      <w:r>
        <w:noBreakHyphen/>
        <w:t>law, order, notice, rule of court, local or region planning scheme, resolution, or other instrument, made under any written law and having legislative effect;</w:t>
      </w:r>
    </w:p>
    <w:p>
      <w:pPr>
        <w:pStyle w:val="Defstart"/>
      </w:pPr>
      <w:r>
        <w:rPr>
          <w:b/>
        </w:rPr>
        <w:tab/>
      </w:r>
      <w:r>
        <w:rPr>
          <w:rStyle w:val="CharDefText"/>
        </w:rPr>
        <w:t>summary conviction</w:t>
      </w:r>
      <w:r>
        <w:t xml:space="preserve"> means a conviction by a court of summary jurisdiction;</w:t>
      </w:r>
    </w:p>
    <w:p>
      <w:pPr>
        <w:pStyle w:val="Defstart"/>
      </w:pPr>
      <w:r>
        <w:rPr>
          <w:b/>
        </w:rPr>
        <w:lastRenderedPageBreak/>
        <w:tab/>
      </w:r>
      <w:r>
        <w:rPr>
          <w:rStyle w:val="CharDefText"/>
        </w:rPr>
        <w:t>summary conviction penalty</w:t>
      </w:r>
      <w:r>
        <w:t xml:space="preserve">, when used in relation to an indictable offence, has the effect provided for by section 5 of </w:t>
      </w:r>
      <w:r>
        <w:rPr>
          <w:i/>
        </w:rPr>
        <w:t>The Criminal Code</w:t>
      </w:r>
      <w:r>
        <w:t>;</w:t>
      </w:r>
    </w:p>
    <w:p>
      <w:pPr>
        <w:pStyle w:val="Defstart"/>
      </w:pPr>
      <w:r>
        <w:rPr>
          <w:b/>
        </w:rPr>
        <w:tab/>
      </w:r>
      <w:r>
        <w:rPr>
          <w:rStyle w:val="CharDefText"/>
        </w:rPr>
        <w:t>Supreme Court</w:t>
      </w:r>
      <w:r>
        <w:t xml:space="preserve"> means the Supreme Court of Western Australia;</w:t>
      </w:r>
    </w:p>
    <w:p>
      <w:pPr>
        <w:pStyle w:val="Defstart"/>
      </w:pPr>
      <w:r>
        <w:rPr>
          <w:b/>
        </w:rPr>
        <w:tab/>
      </w:r>
      <w:r>
        <w:rPr>
          <w:rStyle w:val="CharDefText"/>
        </w:rPr>
        <w:t>swear</w:t>
      </w:r>
      <w:r>
        <w:t xml:space="preserve"> includes to affirm;</w:t>
      </w:r>
    </w:p>
    <w:p>
      <w:pPr>
        <w:pStyle w:val="Defstart"/>
      </w:pPr>
      <w:r>
        <w:rPr>
          <w:b/>
        </w:rPr>
        <w:tab/>
      </w:r>
      <w:r>
        <w:rPr>
          <w:rStyle w:val="CharDefText"/>
        </w:rPr>
        <w:t>Territory</w:t>
      </w:r>
      <w:r>
        <w:t xml:space="preserve"> means a Territory of the Commonwealth;</w:t>
      </w:r>
    </w:p>
    <w:p>
      <w:pPr>
        <w:pStyle w:val="Defstart"/>
      </w:pPr>
      <w:r>
        <w:tab/>
      </w:r>
      <w:r>
        <w:rPr>
          <w:rStyle w:val="CharDefText"/>
          <w:bCs/>
        </w:rPr>
        <w:t xml:space="preserve">the </w:t>
      </w:r>
      <w:r>
        <w:rPr>
          <w:rStyle w:val="CharDefText"/>
        </w:rPr>
        <w:t>State</w:t>
      </w:r>
      <w:r>
        <w:t xml:space="preserve"> or </w:t>
      </w:r>
      <w:r>
        <w:rPr>
          <w:rStyle w:val="CharDefText"/>
        </w:rPr>
        <w:t>this State</w:t>
      </w:r>
      <w:r>
        <w:t xml:space="preserve"> means the State of Western Australia;</w:t>
      </w:r>
    </w:p>
    <w:p>
      <w:pPr>
        <w:pStyle w:val="Defstart"/>
      </w:pPr>
      <w:r>
        <w:rPr>
          <w:b/>
        </w:rPr>
        <w:tab/>
      </w:r>
      <w:r>
        <w:rPr>
          <w:rStyle w:val="CharDefText"/>
        </w:rPr>
        <w:t>under</w:t>
      </w:r>
      <w:r>
        <w:t>,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r>
      <w:r>
        <w:rPr>
          <w:rStyle w:val="CharDefText"/>
        </w:rPr>
        <w:t>United Kingdom</w:t>
      </w:r>
      <w:r>
        <w:t xml:space="preserve"> means the United Kingdom of Great Britain and Northern Ireland;</w:t>
      </w:r>
    </w:p>
    <w:p>
      <w:pPr>
        <w:pStyle w:val="Defstart"/>
      </w:pPr>
      <w:r>
        <w:rPr>
          <w:b/>
        </w:rPr>
        <w:tab/>
      </w:r>
      <w:r>
        <w:rPr>
          <w:rStyle w:val="CharDefText"/>
        </w:rPr>
        <w:t>Valuer</w:t>
      </w:r>
      <w:r>
        <w:rPr>
          <w:rStyle w:val="CharDefText"/>
        </w:rPr>
        <w:noBreakHyphen/>
        <w:t>General</w:t>
      </w:r>
      <w:r>
        <w:t xml:space="preserve"> means the Valuer</w:t>
      </w:r>
      <w:r>
        <w:noBreakHyphen/>
        <w:t xml:space="preserve">General under the </w:t>
      </w:r>
      <w:r>
        <w:rPr>
          <w:i/>
        </w:rPr>
        <w:t>Valuation of Land Act 1978</w:t>
      </w:r>
      <w:r>
        <w:t>;</w:t>
      </w:r>
    </w:p>
    <w:p>
      <w:pPr>
        <w:pStyle w:val="Defstart"/>
      </w:pPr>
      <w:r>
        <w:rPr>
          <w:b/>
        </w:rPr>
        <w:tab/>
      </w:r>
      <w:r>
        <w:rPr>
          <w:rStyle w:val="CharDefText"/>
        </w:rPr>
        <w:t>will</w:t>
      </w:r>
      <w:r>
        <w:t xml:space="preserve"> includes a codicil and every writing making a voluntary posthumous disposition of property;</w:t>
      </w:r>
    </w:p>
    <w:p>
      <w:pPr>
        <w:pStyle w:val="Defstart"/>
      </w:pPr>
      <w:r>
        <w:rPr>
          <w:b/>
        </w:rPr>
        <w:tab/>
      </w:r>
      <w:r>
        <w:rPr>
          <w:rStyle w:val="CharDefText"/>
        </w:rPr>
        <w:t>words</w:t>
      </w:r>
      <w:r>
        <w:t xml:space="preserve"> includes figures and symbols;</w:t>
      </w:r>
    </w:p>
    <w:p>
      <w:pPr>
        <w:pStyle w:val="Defstart"/>
      </w:pPr>
      <w:r>
        <w:rPr>
          <w:b/>
        </w:rPr>
        <w:tab/>
      </w:r>
      <w:r>
        <w:rPr>
          <w:rStyle w:val="CharDefText"/>
        </w:rPr>
        <w:t>writing</w:t>
      </w:r>
      <w:r>
        <w:t xml:space="preserve"> and expressions referring to writing include printing, photography, photocopying, lithography, typewriting and any other modes of representing or reproducing words in visible form;</w:t>
      </w:r>
    </w:p>
    <w:p>
      <w:pPr>
        <w:pStyle w:val="Defstart"/>
      </w:pPr>
      <w:r>
        <w:rPr>
          <w:b/>
        </w:rPr>
        <w:tab/>
      </w:r>
      <w:r>
        <w:rPr>
          <w:rStyle w:val="CharDefText"/>
        </w:rPr>
        <w:t>written law</w:t>
      </w:r>
      <w:r>
        <w:t xml:space="preserve"> means all Acts for the time being in force and all subsidiary legislation for the time being in force;</w:t>
      </w:r>
    </w:p>
    <w:p>
      <w:pPr>
        <w:pStyle w:val="Defstart"/>
      </w:pPr>
      <w:r>
        <w:rPr>
          <w:b/>
        </w:rPr>
        <w:tab/>
      </w:r>
      <w:r>
        <w:rPr>
          <w:rStyle w:val="CharDefText"/>
        </w:rPr>
        <w:t>year</w:t>
      </w:r>
      <w:r>
        <w:t xml:space="preserve"> means a period of 12 months.</w:t>
      </w:r>
    </w:p>
    <w:p>
      <w:pPr>
        <w:pStyle w:val="Footnotesection"/>
        <w:keepLines w:val="0"/>
      </w:pPr>
      <w:r>
        <w:tab/>
        <w:t xml:space="preserve">[Section 5 amended: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55; No. 38 of </w:t>
      </w:r>
      <w:r>
        <w:lastRenderedPageBreak/>
        <w:t xml:space="preserve">2005 s. 15; No. 59 of 2006 s. 73; No. 60 of 2006 s. 183; No. 77 of 2006 Sch. 1 cl. 92; No. 29 of 2008 s. 35(2); No. 47 of 2008 s. 69; No. 18 of 2009 s. 4; No. 31 of 2010 s. 4; No. 39 of 2010 s. 78; No. 26 of 2016 s. 64.] </w:t>
      </w:r>
    </w:p>
    <w:p>
      <w:pPr>
        <w:pStyle w:val="Heading5"/>
        <w:rPr>
          <w:snapToGrid w:val="0"/>
        </w:rPr>
      </w:pPr>
      <w:bookmarkStart w:id="14" w:name="_Toc100568773"/>
      <w:r>
        <w:rPr>
          <w:rStyle w:val="CharSectno"/>
        </w:rPr>
        <w:t>6</w:t>
      </w:r>
      <w:r>
        <w:rPr>
          <w:snapToGrid w:val="0"/>
        </w:rPr>
        <w:t>.</w:t>
      </w:r>
      <w:r>
        <w:rPr>
          <w:snapToGrid w:val="0"/>
        </w:rPr>
        <w:tab/>
        <w:t>Definitions in a written law, application of</w:t>
      </w:r>
      <w:bookmarkEnd w:id="14"/>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spacing w:before="180"/>
        <w:rPr>
          <w:snapToGrid w:val="0"/>
        </w:rPr>
      </w:pPr>
      <w:bookmarkStart w:id="15" w:name="_Toc100568774"/>
      <w:r>
        <w:rPr>
          <w:rStyle w:val="CharSectno"/>
        </w:rPr>
        <w:t>7</w:t>
      </w:r>
      <w:r>
        <w:rPr>
          <w:snapToGrid w:val="0"/>
        </w:rPr>
        <w:t>.</w:t>
      </w:r>
      <w:r>
        <w:rPr>
          <w:snapToGrid w:val="0"/>
        </w:rPr>
        <w:tab/>
        <w:t>Written laws to be construed subject to State’s legislative power</w:t>
      </w:r>
      <w:bookmarkEnd w:id="15"/>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spacing w:before="180"/>
        <w:rPr>
          <w:snapToGrid w:val="0"/>
        </w:rPr>
      </w:pPr>
      <w:bookmarkStart w:id="16" w:name="_Toc100568775"/>
      <w:r>
        <w:rPr>
          <w:rStyle w:val="CharSectno"/>
        </w:rPr>
        <w:t>8</w:t>
      </w:r>
      <w:r>
        <w:rPr>
          <w:snapToGrid w:val="0"/>
        </w:rPr>
        <w:t>.</w:t>
      </w:r>
      <w:r>
        <w:rPr>
          <w:snapToGrid w:val="0"/>
        </w:rPr>
        <w:tab/>
        <w:t>Written laws always speaking</w:t>
      </w:r>
      <w:bookmarkEnd w:id="16"/>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spacing w:before="180"/>
        <w:rPr>
          <w:snapToGrid w:val="0"/>
        </w:rPr>
      </w:pPr>
      <w:bookmarkStart w:id="17" w:name="_Toc100568776"/>
      <w:r>
        <w:rPr>
          <w:rStyle w:val="CharSectno"/>
        </w:rPr>
        <w:t>9</w:t>
      </w:r>
      <w:r>
        <w:rPr>
          <w:snapToGrid w:val="0"/>
        </w:rPr>
        <w:t>.</w:t>
      </w:r>
      <w:r>
        <w:rPr>
          <w:snapToGrid w:val="0"/>
        </w:rPr>
        <w:tab/>
        <w:t>Parts of speech and grammatical forms</w:t>
      </w:r>
      <w:bookmarkEnd w:id="17"/>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spacing w:before="180"/>
        <w:rPr>
          <w:snapToGrid w:val="0"/>
        </w:rPr>
      </w:pPr>
      <w:bookmarkStart w:id="18" w:name="_Toc100568777"/>
      <w:r>
        <w:rPr>
          <w:rStyle w:val="CharSectno"/>
        </w:rPr>
        <w:t>10</w:t>
      </w:r>
      <w:r>
        <w:rPr>
          <w:snapToGrid w:val="0"/>
        </w:rPr>
        <w:t>.</w:t>
      </w:r>
      <w:r>
        <w:rPr>
          <w:snapToGrid w:val="0"/>
        </w:rPr>
        <w:tab/>
        <w:t>Gender and number</w:t>
      </w:r>
      <w:bookmarkEnd w:id="18"/>
      <w:r>
        <w:rPr>
          <w:snapToGrid w:val="0"/>
        </w:rPr>
        <w:t xml:space="preserve"> </w:t>
      </w:r>
    </w:p>
    <w:p>
      <w:pPr>
        <w:pStyle w:val="Subsection"/>
        <w:keepNext/>
        <w:rPr>
          <w:snapToGrid w:val="0"/>
        </w:rPr>
      </w:pPr>
      <w:r>
        <w:rPr>
          <w:snapToGrid w:val="0"/>
        </w:rPr>
        <w:tab/>
      </w:r>
      <w:r>
        <w:rPr>
          <w:snapToGrid w:val="0"/>
        </w:rPr>
        <w:tab/>
        <w:t>In any written law — </w:t>
      </w:r>
    </w:p>
    <w:p>
      <w:pPr>
        <w:pStyle w:val="Indenta"/>
        <w:spacing w:before="60"/>
        <w:rPr>
          <w:snapToGrid w:val="0"/>
        </w:rPr>
      </w:pPr>
      <w:r>
        <w:rPr>
          <w:snapToGrid w:val="0"/>
        </w:rPr>
        <w:tab/>
        <w:t>(a)</w:t>
      </w:r>
      <w:r>
        <w:rPr>
          <w:snapToGrid w:val="0"/>
        </w:rPr>
        <w:tab/>
        <w:t>words denoting a gender or genders include each other gender;</w:t>
      </w:r>
    </w:p>
    <w:p>
      <w:pPr>
        <w:pStyle w:val="Ednotepara"/>
        <w:spacing w:before="60"/>
        <w:rPr>
          <w:snapToGrid w:val="0"/>
        </w:rPr>
      </w:pPr>
      <w:r>
        <w:rPr>
          <w:snapToGrid w:val="0"/>
        </w:rPr>
        <w:lastRenderedPageBreak/>
        <w:tab/>
        <w:t>[(b)</w:t>
      </w:r>
      <w:r>
        <w:rPr>
          <w:snapToGrid w:val="0"/>
        </w:rPr>
        <w:tab/>
        <w:t xml:space="preserve">deleted] </w:t>
      </w:r>
    </w:p>
    <w:p>
      <w:pPr>
        <w:pStyle w:val="Indenta"/>
        <w:spacing w:before="60"/>
        <w:rPr>
          <w:snapToGrid w:val="0"/>
        </w:rPr>
      </w:pPr>
      <w:r>
        <w:rPr>
          <w:snapToGrid w:val="0"/>
        </w:rPr>
        <w:tab/>
        <w:t>(c)</w:t>
      </w:r>
      <w:r>
        <w:rPr>
          <w:snapToGrid w:val="0"/>
        </w:rPr>
        <w:tab/>
        <w:t>words in the singular number include the plural and words in the plural number include the singular.</w:t>
      </w:r>
    </w:p>
    <w:p>
      <w:pPr>
        <w:pStyle w:val="Footnotesection"/>
        <w:spacing w:before="80"/>
        <w:ind w:left="890" w:hanging="890"/>
      </w:pPr>
      <w:r>
        <w:tab/>
        <w:t xml:space="preserve">[Section 10 amended: No. 73 of 1994 s. 4.] </w:t>
      </w:r>
    </w:p>
    <w:p>
      <w:pPr>
        <w:pStyle w:val="Heading5"/>
        <w:rPr>
          <w:snapToGrid w:val="0"/>
        </w:rPr>
      </w:pPr>
      <w:bookmarkStart w:id="19" w:name="_Toc100568778"/>
      <w:r>
        <w:rPr>
          <w:rStyle w:val="CharSectno"/>
        </w:rPr>
        <w:t>11</w:t>
      </w:r>
      <w:r>
        <w:rPr>
          <w:snapToGrid w:val="0"/>
        </w:rPr>
        <w:t>.</w:t>
      </w:r>
      <w:r>
        <w:rPr>
          <w:snapToGrid w:val="0"/>
        </w:rPr>
        <w:tab/>
        <w:t>Sovereign, references to</w:t>
      </w:r>
      <w:bookmarkEnd w:id="19"/>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rPr>
          <w:snapToGrid w:val="0"/>
        </w:rPr>
      </w:pPr>
      <w:bookmarkStart w:id="20" w:name="_Toc100568779"/>
      <w:r>
        <w:rPr>
          <w:rStyle w:val="CharSectno"/>
        </w:rPr>
        <w:t>12</w:t>
      </w:r>
      <w:r>
        <w:rPr>
          <w:snapToGrid w:val="0"/>
        </w:rPr>
        <w:t>.</w:t>
      </w:r>
      <w:r>
        <w:rPr>
          <w:snapToGrid w:val="0"/>
        </w:rPr>
        <w:tab/>
        <w:t>Minister, references to</w:t>
      </w:r>
      <w:bookmarkEnd w:id="20"/>
    </w:p>
    <w:p>
      <w:pPr>
        <w:pStyle w:val="Subsection"/>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 and</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rPr>
          <w:snapToGrid w:val="0"/>
        </w:rPr>
      </w:pPr>
      <w:bookmarkStart w:id="21" w:name="_Toc100568780"/>
      <w:r>
        <w:rPr>
          <w:rStyle w:val="CharSectno"/>
        </w:rPr>
        <w:t>13</w:t>
      </w:r>
      <w:r>
        <w:rPr>
          <w:snapToGrid w:val="0"/>
        </w:rPr>
        <w:t>.</w:t>
      </w:r>
      <w:r>
        <w:rPr>
          <w:snapToGrid w:val="0"/>
        </w:rPr>
        <w:tab/>
        <w:t>British subject etc., references to</w:t>
      </w:r>
      <w:bookmarkEnd w:id="21"/>
    </w:p>
    <w:p>
      <w:pPr>
        <w:pStyle w:val="Subsection"/>
        <w:rPr>
          <w:snapToGrid w:val="0"/>
        </w:rPr>
      </w:pPr>
      <w:r>
        <w:rPr>
          <w:snapToGrid w:val="0"/>
        </w:rPr>
        <w:tab/>
        <w:t>(1)</w:t>
      </w:r>
      <w:r>
        <w:rPr>
          <w:snapToGrid w:val="0"/>
        </w:rPr>
        <w:tab/>
        <w:t>In this section — </w:t>
      </w:r>
    </w:p>
    <w:p>
      <w:pPr>
        <w:pStyle w:val="Defstart"/>
        <w:tabs>
          <w:tab w:val="left" w:pos="6804"/>
        </w:tabs>
        <w:rPr>
          <w:spacing w:val="-4"/>
        </w:rPr>
      </w:pPr>
      <w:r>
        <w:rPr>
          <w:b/>
          <w:spacing w:val="-4"/>
        </w:rPr>
        <w:tab/>
      </w:r>
      <w:r>
        <w:rPr>
          <w:rStyle w:val="CharDefText"/>
          <w:spacing w:val="-4"/>
        </w:rPr>
        <w:t>Commonwealth Act</w:t>
      </w:r>
      <w:r>
        <w:rPr>
          <w:spacing w:val="-4"/>
        </w:rPr>
        <w:t xml:space="preserve"> means the </w:t>
      </w:r>
      <w:r>
        <w:rPr>
          <w:i/>
          <w:spacing w:val="-4"/>
        </w:rPr>
        <w:t>Australian Citizenship Act 1948</w:t>
      </w:r>
      <w:r>
        <w:rPr>
          <w:iCs/>
          <w:spacing w:val="-4"/>
          <w:vertAlign w:val="superscript"/>
        </w:rPr>
        <w:t xml:space="preserve"> 3 </w:t>
      </w:r>
      <w:r>
        <w:rPr>
          <w:spacing w:val="-4"/>
        </w:rPr>
        <w:t>of the Parliament of the Commonwealth, as amended;</w:t>
      </w:r>
    </w:p>
    <w:p>
      <w:pPr>
        <w:pStyle w:val="Defstart"/>
      </w:pPr>
      <w:r>
        <w:rPr>
          <w:b/>
        </w:rPr>
        <w:tab/>
      </w:r>
      <w:r>
        <w:rPr>
          <w:rStyle w:val="CharDefText"/>
        </w:rPr>
        <w:t>law of the State</w:t>
      </w:r>
      <w:r>
        <w:t xml:space="preserve"> means a written law in force in the State.</w:t>
      </w:r>
    </w:p>
    <w:p>
      <w:pPr>
        <w:pStyle w:val="Subsection"/>
        <w:rPr>
          <w:snapToGrid w:val="0"/>
        </w:rPr>
      </w:pPr>
      <w:r>
        <w:rPr>
          <w:snapToGrid w:val="0"/>
        </w:rPr>
        <w:tab/>
        <w:t>(2)</w:t>
      </w:r>
      <w:r>
        <w:rPr>
          <w:snapToGrid w:val="0"/>
        </w:rPr>
        <w:tab/>
        <w:t xml:space="preserve">A reference in any law of the State to a British subject or to a natural born or naturalized subject of Her Majesty or to any other like expression, shall be read as a reference to an </w:t>
      </w:r>
      <w:r>
        <w:rPr>
          <w:snapToGrid w:val="0"/>
        </w:rPr>
        <w:lastRenderedPageBreak/>
        <w:t>Australian citizen and to any other person who, under the Commonwealth Act, has the status of a British subject or has the status of a British subject without citizenship.</w:t>
      </w:r>
    </w:p>
    <w:p>
      <w:pPr>
        <w:pStyle w:val="Subsection"/>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22" w:name="_Toc100568781"/>
      <w:r>
        <w:rPr>
          <w:rStyle w:val="CharSectno"/>
        </w:rPr>
        <w:t>13A</w:t>
      </w:r>
      <w:r>
        <w:t>.</w:t>
      </w:r>
      <w:r>
        <w:tab/>
        <w:t>De facto relationship and de facto partner, references to</w:t>
      </w:r>
      <w:bookmarkEnd w:id="22"/>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keepLines/>
      </w:pPr>
      <w:r>
        <w:lastRenderedPageBreak/>
        <w:tab/>
        <w:t>(3)</w:t>
      </w:r>
      <w:r>
        <w:tab/>
        <w:t>It does not matter whether —</w:t>
      </w:r>
    </w:p>
    <w:p>
      <w:pPr>
        <w:pStyle w:val="Indenta"/>
        <w:keepNext/>
        <w:keepLines/>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rStyle w:val="CharDefText"/>
          <w:snapToGrid w:val="0"/>
        </w:rPr>
        <w:t>first person</w:t>
      </w:r>
      <w:r>
        <w:t>) is the person who lives, or lived, in the de facto relationship with the first person.</w:t>
      </w:r>
    </w:p>
    <w:p>
      <w:pPr>
        <w:pStyle w:val="Footnotesection"/>
      </w:pPr>
      <w:r>
        <w:tab/>
        <w:t>[Section 13A inserted: No. 3 of 2002 s. 85.]</w:t>
      </w:r>
    </w:p>
    <w:p>
      <w:pPr>
        <w:pStyle w:val="Heading5"/>
      </w:pPr>
      <w:bookmarkStart w:id="23" w:name="_Toc100568782"/>
      <w:r>
        <w:rPr>
          <w:rStyle w:val="CharSectno"/>
        </w:rPr>
        <w:t>13B</w:t>
      </w:r>
      <w:r>
        <w:t>.</w:t>
      </w:r>
      <w:r>
        <w:tab/>
        <w:t>Standards Association of Australia, references to</w:t>
      </w:r>
      <w:bookmarkEnd w:id="23"/>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No. 74 of 2003 s. 69(3); renumbered as 13B under the Reprints Act 1984 s. 7(5)(c)(ii).]</w:t>
      </w:r>
    </w:p>
    <w:p>
      <w:pPr>
        <w:pStyle w:val="Heading5"/>
      </w:pPr>
      <w:bookmarkStart w:id="24" w:name="_Toc100568783"/>
      <w:r>
        <w:rPr>
          <w:rStyle w:val="CharSectno"/>
        </w:rPr>
        <w:t>13CA</w:t>
      </w:r>
      <w:r>
        <w:t>.</w:t>
      </w:r>
      <w:r>
        <w:tab/>
        <w:t>Local government districts, references to</w:t>
      </w:r>
      <w:bookmarkEnd w:id="24"/>
    </w:p>
    <w:p>
      <w:pPr>
        <w:pStyle w:val="Subsection"/>
      </w:pPr>
      <w:r>
        <w:tab/>
        <w:t>(1)</w:t>
      </w:r>
      <w:r>
        <w:tab/>
        <w:t>In a written law —</w:t>
      </w:r>
    </w:p>
    <w:p>
      <w:pPr>
        <w:pStyle w:val="Defstart"/>
      </w:pPr>
      <w:r>
        <w:rPr>
          <w:b/>
        </w:rPr>
        <w:tab/>
      </w:r>
      <w:r>
        <w:rPr>
          <w:rStyle w:val="CharDefText"/>
        </w:rPr>
        <w:t>local government district</w:t>
      </w:r>
      <w:r>
        <w:t xml:space="preserve"> means a district under the </w:t>
      </w:r>
      <w:r>
        <w:rPr>
          <w:i/>
        </w:rPr>
        <w:t>Local Government Act 1995</w:t>
      </w:r>
      <w:r>
        <w:t>.</w:t>
      </w:r>
    </w:p>
    <w:p>
      <w:pPr>
        <w:pStyle w:val="Subsection"/>
      </w:pPr>
      <w:r>
        <w:tab/>
        <w:t>(2)</w:t>
      </w:r>
      <w:r>
        <w:tab/>
        <w:t xml:space="preserve">A reference in a written law to a named local government district is a reference to the local government district that has that name under the </w:t>
      </w:r>
      <w:r>
        <w:rPr>
          <w:i/>
          <w:iCs/>
        </w:rPr>
        <w:t>Local Government Act 1995</w:t>
      </w:r>
      <w:r>
        <w:t>.</w:t>
      </w:r>
    </w:p>
    <w:p>
      <w:pPr>
        <w:pStyle w:val="PermNoteHeading"/>
      </w:pPr>
      <w:r>
        <w:tab/>
        <w:t>Example for this section:</w:t>
      </w:r>
    </w:p>
    <w:p>
      <w:pPr>
        <w:pStyle w:val="PermNoteText"/>
      </w:pPr>
      <w:r>
        <w:tab/>
        <w:t>1.</w:t>
      </w:r>
      <w:r>
        <w:tab/>
        <w:t>“Perth local government district” refers to the local government district named Perth.</w:t>
      </w:r>
    </w:p>
    <w:p>
      <w:pPr>
        <w:pStyle w:val="PermNoteText"/>
      </w:pPr>
      <w:r>
        <w:tab/>
        <w:t>2.</w:t>
      </w:r>
      <w:r>
        <w:tab/>
        <w:t>“Narrogin (Shire) local government district” refers to the local government district named Narrogin (Shire).]</w:t>
      </w:r>
    </w:p>
    <w:p>
      <w:pPr>
        <w:pStyle w:val="Footnotesection"/>
      </w:pPr>
      <w:r>
        <w:tab/>
        <w:t>[Section 13CA inserted: No. 31 of 2010 s. 5; amended: No. 17 of 2014 s. 27.]</w:t>
      </w:r>
    </w:p>
    <w:p>
      <w:pPr>
        <w:pStyle w:val="Heading5"/>
      </w:pPr>
      <w:bookmarkStart w:id="25" w:name="_Toc100568784"/>
      <w:r>
        <w:rPr>
          <w:rStyle w:val="CharSectno"/>
        </w:rPr>
        <w:lastRenderedPageBreak/>
        <w:t>13C</w:t>
      </w:r>
      <w:r>
        <w:t>.</w:t>
      </w:r>
      <w:r>
        <w:tab/>
        <w:t>When death of a person occurs</w:t>
      </w:r>
      <w:bookmarkEnd w:id="25"/>
    </w:p>
    <w:p>
      <w:pPr>
        <w:pStyle w:val="Subsection"/>
      </w:pPr>
      <w:r>
        <w:tab/>
      </w:r>
      <w:r>
        <w:tab/>
        <w:t xml:space="preserve">For the purposes of the law of this State, a person dies when there occurs — </w:t>
      </w:r>
    </w:p>
    <w:p>
      <w:pPr>
        <w:pStyle w:val="Indenta"/>
      </w:pPr>
      <w:r>
        <w:tab/>
        <w:t>(a)</w:t>
      </w:r>
      <w:r>
        <w:tab/>
        <w:t>irreversible cessation of all function of the person’s brain; or</w:t>
      </w:r>
    </w:p>
    <w:p>
      <w:pPr>
        <w:pStyle w:val="Indenta"/>
      </w:pPr>
      <w:r>
        <w:tab/>
        <w:t>(b)</w:t>
      </w:r>
      <w:r>
        <w:tab/>
        <w:t>irreversible cessation of circulation of blood in the person’s body.</w:t>
      </w:r>
    </w:p>
    <w:p>
      <w:pPr>
        <w:pStyle w:val="Footnotesection"/>
      </w:pPr>
      <w:r>
        <w:tab/>
        <w:t>[Section 13C inserted: No. 29 of 2008 s. 35(3).]</w:t>
      </w:r>
    </w:p>
    <w:p>
      <w:pPr>
        <w:pStyle w:val="Heading5"/>
      </w:pPr>
      <w:bookmarkStart w:id="26" w:name="_Toc100568785"/>
      <w:r>
        <w:rPr>
          <w:rStyle w:val="CharSectno"/>
        </w:rPr>
        <w:t>13D</w:t>
      </w:r>
      <w:r>
        <w:t>.</w:t>
      </w:r>
      <w:r>
        <w:tab/>
        <w:t>Bankrupt and related expressions, references to</w:t>
      </w:r>
      <w:bookmarkEnd w:id="26"/>
    </w:p>
    <w:p>
      <w:pPr>
        <w:pStyle w:val="Subsection"/>
      </w:pPr>
      <w:r>
        <w:tab/>
        <w:t>(1)</w:t>
      </w:r>
      <w:r>
        <w:tab/>
        <w:t xml:space="preserve">A reference in a written law to a person being a bankrupt means that the person is a bankrupt as defined in the </w:t>
      </w:r>
      <w:r>
        <w:rPr>
          <w:i/>
          <w:iCs/>
        </w:rPr>
        <w:t>Bankruptcy Act 1966</w:t>
      </w:r>
      <w:r>
        <w:t xml:space="preserve"> (Commonwealth) or has a substantially similar status under a law applicable in a place where that Act does not apply.</w:t>
      </w:r>
    </w:p>
    <w:p>
      <w:pPr>
        <w:pStyle w:val="Subsection"/>
      </w:pPr>
      <w:r>
        <w:tab/>
        <w:t>(2)</w:t>
      </w:r>
      <w:r>
        <w:tab/>
        <w:t xml:space="preserve">A reference in a written law to a person being a bankrupt or a person whose affairs are under insolvency laws means that — </w:t>
      </w:r>
    </w:p>
    <w:p>
      <w:pPr>
        <w:pStyle w:val="Indenta"/>
      </w:pPr>
      <w:r>
        <w:tab/>
        <w:t>(a)</w:t>
      </w:r>
      <w:r>
        <w:tab/>
        <w:t>the person is a bankrupt as described in subsection (1); or</w:t>
      </w:r>
    </w:p>
    <w:p>
      <w:pPr>
        <w:pStyle w:val="Indenta"/>
      </w:pPr>
      <w:r>
        <w:tab/>
        <w:t>(b)</w:t>
      </w:r>
      <w:r>
        <w:tab/>
        <w:t xml:space="preserve">the person is a party, as a debtor, to a debt agreement under the </w:t>
      </w:r>
      <w:r>
        <w:rPr>
          <w:i/>
          <w:iCs/>
        </w:rPr>
        <w:t>Bankruptcy Act 1966</w:t>
      </w:r>
      <w:r>
        <w:t xml:space="preserve"> (Commonwealth); or</w:t>
      </w:r>
    </w:p>
    <w:p>
      <w:pPr>
        <w:pStyle w:val="Indenta"/>
      </w:pPr>
      <w:r>
        <w:tab/>
        <w:t>(c)</w:t>
      </w:r>
      <w:r>
        <w:tab/>
        <w:t xml:space="preserve">the person has, as a debtor, entered into a personal insolvency agreement under Part X of the </w:t>
      </w:r>
      <w:r>
        <w:rPr>
          <w:i/>
          <w:iCs/>
        </w:rPr>
        <w:t>Bankruptcy Act 1966</w:t>
      </w:r>
      <w:r>
        <w:t xml:space="preserve"> (Commonwealth) and obligations created by the agreement remain to be discharged; or</w:t>
      </w:r>
    </w:p>
    <w:p>
      <w:pPr>
        <w:pStyle w:val="Indenta"/>
      </w:pPr>
      <w:r>
        <w:tab/>
        <w:t>(d)</w:t>
      </w:r>
      <w:r>
        <w:tab/>
        <w:t xml:space="preserve">the person has not yet entered a personal insolvency agreement under Part X of the </w:t>
      </w:r>
      <w:r>
        <w:rPr>
          <w:i/>
          <w:iCs/>
        </w:rPr>
        <w:t>Bankruptcy Act 1966</w:t>
      </w:r>
      <w:r>
        <w:t xml:space="preserve"> (Commonwealth) but has authorised a controlling trustee to perform functions under that Part,</w:t>
      </w:r>
    </w:p>
    <w:p>
      <w:pPr>
        <w:pStyle w:val="Subsection"/>
      </w:pPr>
      <w:r>
        <w:tab/>
      </w:r>
      <w:r>
        <w:tab/>
        <w:t xml:space="preserve">or that the person has a substantially similar status under a law applicable in a place where the </w:t>
      </w:r>
      <w:r>
        <w:rPr>
          <w:i/>
          <w:iCs/>
        </w:rPr>
        <w:t>Bankruptcy Act 1966</w:t>
      </w:r>
      <w:r>
        <w:t xml:space="preserve"> (Commonwealth) does not apply.</w:t>
      </w:r>
    </w:p>
    <w:p>
      <w:pPr>
        <w:pStyle w:val="Footnotesection"/>
      </w:pPr>
      <w:r>
        <w:tab/>
        <w:t>[Section 13D inserted: No. 18 of 2009 s. 5.]</w:t>
      </w:r>
    </w:p>
    <w:p>
      <w:pPr>
        <w:pStyle w:val="Heading5"/>
        <w:rPr>
          <w:snapToGrid w:val="0"/>
        </w:rPr>
      </w:pPr>
      <w:bookmarkStart w:id="27" w:name="_Toc100568786"/>
      <w:r>
        <w:rPr>
          <w:rStyle w:val="CharSectno"/>
        </w:rPr>
        <w:lastRenderedPageBreak/>
        <w:t>14</w:t>
      </w:r>
      <w:r>
        <w:rPr>
          <w:snapToGrid w:val="0"/>
        </w:rPr>
        <w:t>.</w:t>
      </w:r>
      <w:r>
        <w:rPr>
          <w:snapToGrid w:val="0"/>
        </w:rPr>
        <w:tab/>
        <w:t>References to 2 or more provisions to be inclusive</w:t>
      </w:r>
      <w:bookmarkEnd w:id="27"/>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28" w:name="_Toc100568787"/>
      <w:r>
        <w:rPr>
          <w:rStyle w:val="CharSectno"/>
        </w:rPr>
        <w:t>15</w:t>
      </w:r>
      <w:r>
        <w:rPr>
          <w:snapToGrid w:val="0"/>
        </w:rPr>
        <w:t>.</w:t>
      </w:r>
      <w:r>
        <w:rPr>
          <w:snapToGrid w:val="0"/>
        </w:rPr>
        <w:tab/>
        <w:t>Internal references in written laws, construction of</w:t>
      </w:r>
      <w:bookmarkEnd w:id="28"/>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pPr>
      <w:bookmarkStart w:id="29" w:name="_Toc100568788"/>
      <w:r>
        <w:rPr>
          <w:rStyle w:val="CharSectno"/>
        </w:rPr>
        <w:lastRenderedPageBreak/>
        <w:t>15A</w:t>
      </w:r>
      <w:r>
        <w:t>.</w:t>
      </w:r>
      <w:r>
        <w:tab/>
        <w:t>Reference to paragraph</w:t>
      </w:r>
      <w:bookmarkEnd w:id="29"/>
    </w:p>
    <w:p>
      <w:pPr>
        <w:pStyle w:val="Subsection"/>
      </w:pPr>
      <w:r>
        <w:tab/>
        <w:t>(1)</w:t>
      </w:r>
      <w:r>
        <w:tab/>
        <w:t>In this section —</w:t>
      </w:r>
    </w:p>
    <w:p>
      <w:pPr>
        <w:pStyle w:val="Defstart"/>
      </w:pPr>
      <w:r>
        <w:rPr>
          <w:b/>
        </w:rPr>
        <w:tab/>
      </w:r>
      <w:r>
        <w:rPr>
          <w:rStyle w:val="CharDefText"/>
        </w:rPr>
        <w:t>paragraph</w:t>
      </w:r>
      <w:r>
        <w:t xml:space="preserve"> includes a subparagraph, item, subitem and any other similar provision.</w:t>
      </w:r>
    </w:p>
    <w:p>
      <w:pPr>
        <w:pStyle w:val="Subsection"/>
      </w:pPr>
      <w:r>
        <w:tab/>
        <w:t>(2)</w:t>
      </w:r>
      <w:r>
        <w:tab/>
        <w:t>A reference in a written law to a paragraph includes a reference to a conjunction after it connecting it to another paragraph.</w:t>
      </w:r>
    </w:p>
    <w:p>
      <w:pPr>
        <w:pStyle w:val="Footnotesection"/>
      </w:pPr>
      <w:r>
        <w:tab/>
        <w:t>[Section 15A inserted: No. 31 of 2010 s. 6.]</w:t>
      </w:r>
    </w:p>
    <w:p>
      <w:pPr>
        <w:pStyle w:val="Heading5"/>
        <w:rPr>
          <w:snapToGrid w:val="0"/>
        </w:rPr>
      </w:pPr>
      <w:bookmarkStart w:id="30" w:name="_Toc100568789"/>
      <w:r>
        <w:rPr>
          <w:rStyle w:val="CharSectno"/>
        </w:rPr>
        <w:t>16</w:t>
      </w:r>
      <w:r>
        <w:rPr>
          <w:snapToGrid w:val="0"/>
        </w:rPr>
        <w:t>.</w:t>
      </w:r>
      <w:r>
        <w:rPr>
          <w:snapToGrid w:val="0"/>
        </w:rPr>
        <w:tab/>
        <w:t>Reference to written law is to written law as amended</w:t>
      </w:r>
      <w:bookmarkEnd w:id="30"/>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31" w:name="_Toc100568790"/>
      <w:r>
        <w:rPr>
          <w:rStyle w:val="CharSectno"/>
        </w:rPr>
        <w:t>17</w:t>
      </w:r>
      <w:r>
        <w:rPr>
          <w:snapToGrid w:val="0"/>
        </w:rPr>
        <w:t>.</w:t>
      </w:r>
      <w:r>
        <w:rPr>
          <w:snapToGrid w:val="0"/>
        </w:rPr>
        <w:tab/>
        <w:t>Disjunctive construction of “or”</w:t>
      </w:r>
      <w:bookmarkEnd w:id="31"/>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rStyle w:val="CharDefText"/>
        </w:rPr>
        <w:t>or</w:t>
      </w:r>
      <w:r>
        <w:rPr>
          <w:snapToGrid w:val="0"/>
        </w:rPr>
        <w:t xml:space="preserve">, </w:t>
      </w:r>
      <w:r>
        <w:rPr>
          <w:rStyle w:val="CharDefText"/>
        </w:rPr>
        <w:t>other</w:t>
      </w:r>
      <w:r>
        <w:rPr>
          <w:snapToGrid w:val="0"/>
        </w:rPr>
        <w:t xml:space="preserve">, and </w:t>
      </w:r>
      <w:r>
        <w:rPr>
          <w:rStyle w:val="CharDefText"/>
        </w:rPr>
        <w:t>otherwise</w:t>
      </w:r>
      <w:r>
        <w:rPr>
          <w:snapToGrid w:val="0"/>
        </w:rPr>
        <w:t xml:space="preserve"> shall be construed disjunctively and not as implying similarity unless the word “similar” or some other word of like meaning is added.</w:t>
      </w:r>
    </w:p>
    <w:p>
      <w:pPr>
        <w:pStyle w:val="Heading5"/>
        <w:rPr>
          <w:snapToGrid w:val="0"/>
        </w:rPr>
      </w:pPr>
      <w:bookmarkStart w:id="32" w:name="_Toc100568791"/>
      <w:r>
        <w:rPr>
          <w:rStyle w:val="CharSectno"/>
        </w:rPr>
        <w:t>18</w:t>
      </w:r>
      <w:r>
        <w:rPr>
          <w:snapToGrid w:val="0"/>
        </w:rPr>
        <w:t>.</w:t>
      </w:r>
      <w:r>
        <w:rPr>
          <w:snapToGrid w:val="0"/>
        </w:rPr>
        <w:tab/>
        <w:t>Purpose or object of written law, use of in interpretation</w:t>
      </w:r>
      <w:bookmarkEnd w:id="32"/>
    </w:p>
    <w:p>
      <w:pPr>
        <w:pStyle w:val="Subsection"/>
        <w:rPr>
          <w:snapToGrid w:val="0"/>
        </w:rPr>
      </w:pPr>
      <w:r>
        <w:rPr>
          <w:snapToGrid w:val="0"/>
        </w:rPr>
        <w:tab/>
      </w:r>
      <w:r>
        <w:rPr>
          <w:snapToGrid w:val="0"/>
        </w:rPr>
        <w:tab/>
        <w:t xml:space="preserve">In the interpretation of a provision of a written law, a construction that would promote the purpose or object underlying the written law (whether that purpose or object is </w:t>
      </w:r>
      <w:r>
        <w:rPr>
          <w:snapToGrid w:val="0"/>
        </w:rPr>
        <w:lastRenderedPageBreak/>
        <w:t>expressly stated in the written law or not) shall be preferred to a construction that would not promote that purpose or object.</w:t>
      </w:r>
    </w:p>
    <w:p>
      <w:pPr>
        <w:pStyle w:val="Heading5"/>
        <w:rPr>
          <w:snapToGrid w:val="0"/>
        </w:rPr>
      </w:pPr>
      <w:bookmarkStart w:id="33" w:name="_Toc100568792"/>
      <w:r>
        <w:rPr>
          <w:rStyle w:val="CharSectno"/>
        </w:rPr>
        <w:t>19</w:t>
      </w:r>
      <w:r>
        <w:rPr>
          <w:snapToGrid w:val="0"/>
        </w:rPr>
        <w:t>.</w:t>
      </w:r>
      <w:r>
        <w:rPr>
          <w:snapToGrid w:val="0"/>
        </w:rPr>
        <w:tab/>
        <w:t>Extrinsic material, use of in interpretation</w:t>
      </w:r>
      <w:bookmarkEnd w:id="33"/>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rPr>
          <w:snapToGrid w:val="0"/>
        </w:rPr>
      </w:pPr>
      <w:r>
        <w:rPr>
          <w:snapToGrid w:val="0"/>
        </w:rPr>
        <w:tab/>
        <w:t>(a)</w:t>
      </w:r>
      <w:r>
        <w:rPr>
          <w:snapToGrid w:val="0"/>
        </w:rPr>
        <w:tab/>
        <w:t>all matters not forming part of the written law that are set out in the document containing the text of the written law as printed by the Government Printer; and</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 and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 and</w:t>
      </w:r>
    </w:p>
    <w:p>
      <w:pPr>
        <w:pStyle w:val="Indenta"/>
        <w:rPr>
          <w:snapToGrid w:val="0"/>
        </w:rPr>
      </w:pPr>
      <w:r>
        <w:rPr>
          <w:snapToGrid w:val="0"/>
        </w:rPr>
        <w:lastRenderedPageBreak/>
        <w:tab/>
        <w:t>(d)</w:t>
      </w:r>
      <w:r>
        <w:rPr>
          <w:snapToGrid w:val="0"/>
        </w:rPr>
        <w:tab/>
        <w:t>any treaty or other international agreement that is referred to in the written law; and</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 and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 and</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rPr>
          <w:snapToGrid w:val="0"/>
        </w:rPr>
      </w:pPr>
      <w:r>
        <w:rPr>
          <w:snapToGrid w:val="0"/>
        </w:rPr>
        <w:tab/>
        <w:t>(b)</w:t>
      </w:r>
      <w:r>
        <w:rPr>
          <w:snapToGrid w:val="0"/>
        </w:rPr>
        <w:tab/>
        <w:t>the need to avoid prolonging legal or other proceedings without compensating advantage.</w:t>
      </w:r>
    </w:p>
    <w:p>
      <w:pPr>
        <w:pStyle w:val="Heading2"/>
      </w:pPr>
      <w:bookmarkStart w:id="34" w:name="_Toc100326496"/>
      <w:bookmarkStart w:id="35" w:name="_Toc100327126"/>
      <w:bookmarkStart w:id="36" w:name="_Toc100568793"/>
      <w:r>
        <w:rPr>
          <w:rStyle w:val="CharPartNo"/>
        </w:rPr>
        <w:lastRenderedPageBreak/>
        <w:t>Part III</w:t>
      </w:r>
      <w:r>
        <w:rPr>
          <w:rStyle w:val="CharDivNo"/>
        </w:rPr>
        <w:t> </w:t>
      </w:r>
      <w:r>
        <w:t>—</w:t>
      </w:r>
      <w:r>
        <w:rPr>
          <w:rStyle w:val="CharDivText"/>
        </w:rPr>
        <w:t> </w:t>
      </w:r>
      <w:r>
        <w:rPr>
          <w:rStyle w:val="CharPartText"/>
        </w:rPr>
        <w:t>Commencement and citation</w:t>
      </w:r>
      <w:bookmarkEnd w:id="34"/>
      <w:bookmarkEnd w:id="35"/>
      <w:bookmarkEnd w:id="36"/>
      <w:r>
        <w:rPr>
          <w:rStyle w:val="CharPartText"/>
        </w:rPr>
        <w:t xml:space="preserve"> </w:t>
      </w:r>
    </w:p>
    <w:p>
      <w:pPr>
        <w:pStyle w:val="Heading5"/>
        <w:spacing w:before="240"/>
        <w:rPr>
          <w:snapToGrid w:val="0"/>
        </w:rPr>
      </w:pPr>
      <w:bookmarkStart w:id="37" w:name="_Toc100568794"/>
      <w:r>
        <w:rPr>
          <w:rStyle w:val="CharSectno"/>
        </w:rPr>
        <w:t>20</w:t>
      </w:r>
      <w:r>
        <w:rPr>
          <w:snapToGrid w:val="0"/>
        </w:rPr>
        <w:t>.</w:t>
      </w:r>
      <w:r>
        <w:rPr>
          <w:snapToGrid w:val="0"/>
        </w:rPr>
        <w:tab/>
        <w:t>Commencement of Acts</w:t>
      </w:r>
      <w:bookmarkEnd w:id="37"/>
      <w:r>
        <w:rPr>
          <w:snapToGrid w:val="0"/>
        </w:rPr>
        <w:t xml:space="preserve"> </w:t>
      </w:r>
    </w:p>
    <w:p>
      <w:pPr>
        <w:pStyle w:val="Subsection"/>
        <w:spacing w:before="180"/>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spacing w:before="180"/>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spacing w:before="180"/>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240"/>
        <w:rPr>
          <w:snapToGrid w:val="0"/>
        </w:rPr>
      </w:pPr>
      <w:bookmarkStart w:id="38" w:name="_Toc100568795"/>
      <w:r>
        <w:rPr>
          <w:rStyle w:val="CharSectno"/>
        </w:rPr>
        <w:t>21</w:t>
      </w:r>
      <w:r>
        <w:rPr>
          <w:snapToGrid w:val="0"/>
        </w:rPr>
        <w:t>.</w:t>
      </w:r>
      <w:r>
        <w:rPr>
          <w:snapToGrid w:val="0"/>
        </w:rPr>
        <w:tab/>
        <w:t>Time of commencement of written laws</w:t>
      </w:r>
      <w:bookmarkEnd w:id="38"/>
      <w:r>
        <w:rPr>
          <w:snapToGrid w:val="0"/>
        </w:rPr>
        <w:t xml:space="preserve"> </w:t>
      </w:r>
    </w:p>
    <w:p>
      <w:pPr>
        <w:pStyle w:val="Subsection"/>
        <w:spacing w:before="180"/>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240"/>
        <w:rPr>
          <w:snapToGrid w:val="0"/>
        </w:rPr>
      </w:pPr>
      <w:bookmarkStart w:id="39" w:name="_Toc100568796"/>
      <w:r>
        <w:rPr>
          <w:rStyle w:val="CharSectno"/>
        </w:rPr>
        <w:t>22</w:t>
      </w:r>
      <w:r>
        <w:rPr>
          <w:snapToGrid w:val="0"/>
        </w:rPr>
        <w:t>.</w:t>
      </w:r>
      <w:r>
        <w:rPr>
          <w:snapToGrid w:val="0"/>
        </w:rPr>
        <w:tab/>
        <w:t>Act commencing on proclamation, commencement of certain provisions of</w:t>
      </w:r>
      <w:bookmarkEnd w:id="39"/>
    </w:p>
    <w:p>
      <w:pPr>
        <w:pStyle w:val="Subsection"/>
        <w:spacing w:before="180"/>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rPr>
          <w:snapToGrid w:val="0"/>
        </w:rPr>
      </w:pPr>
      <w:bookmarkStart w:id="40" w:name="_Toc100568797"/>
      <w:r>
        <w:rPr>
          <w:rStyle w:val="CharSectno"/>
        </w:rPr>
        <w:lastRenderedPageBreak/>
        <w:t>23</w:t>
      </w:r>
      <w:r>
        <w:rPr>
          <w:snapToGrid w:val="0"/>
        </w:rPr>
        <w:t>.</w:t>
      </w:r>
      <w:r>
        <w:rPr>
          <w:snapToGrid w:val="0"/>
        </w:rPr>
        <w:tab/>
        <w:t>Proclamation of commencement of Act, construction of power to make</w:t>
      </w:r>
      <w:bookmarkEnd w:id="40"/>
    </w:p>
    <w:p>
      <w:pPr>
        <w:pStyle w:val="Subsection"/>
        <w:keepNext/>
        <w:keepLines/>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snapToGrid w:val="0"/>
        </w:rPr>
        <w:t>Gazette</w:t>
      </w:r>
      <w:r>
        <w:rPr>
          <w:snapToGrid w:val="0"/>
        </w:rPr>
        <w:t>; or</w:t>
      </w:r>
    </w:p>
    <w:p>
      <w:pPr>
        <w:pStyle w:val="Indenta"/>
        <w:rPr>
          <w:snapToGrid w:val="0"/>
        </w:rPr>
      </w:pPr>
      <w:r>
        <w:rPr>
          <w:snapToGrid w:val="0"/>
        </w:rPr>
        <w:tab/>
        <w:t>(b)</w:t>
      </w:r>
      <w:r>
        <w:rPr>
          <w:snapToGrid w:val="0"/>
        </w:rPr>
        <w:tab/>
        <w:t>different days for different provisions of that Act,</w:t>
      </w:r>
    </w:p>
    <w:p>
      <w:pPr>
        <w:pStyle w:val="Subsection"/>
        <w:rPr>
          <w:snapToGrid w:val="0"/>
        </w:rPr>
      </w:pPr>
      <w:r>
        <w:rPr>
          <w:snapToGrid w:val="0"/>
        </w:rPr>
        <w:tab/>
      </w:r>
      <w:r>
        <w:rPr>
          <w:snapToGrid w:val="0"/>
        </w:rPr>
        <w:tab/>
        <w:t>unless express provision is made in that behalf.</w:t>
      </w:r>
    </w:p>
    <w:p>
      <w:pPr>
        <w:pStyle w:val="Heading5"/>
        <w:rPr>
          <w:snapToGrid w:val="0"/>
        </w:rPr>
      </w:pPr>
      <w:bookmarkStart w:id="41" w:name="_Toc100568798"/>
      <w:r>
        <w:rPr>
          <w:rStyle w:val="CharSectno"/>
        </w:rPr>
        <w:t>24</w:t>
      </w:r>
      <w:r>
        <w:rPr>
          <w:snapToGrid w:val="0"/>
        </w:rPr>
        <w:t>.</w:t>
      </w:r>
      <w:r>
        <w:rPr>
          <w:snapToGrid w:val="0"/>
        </w:rPr>
        <w:tab/>
        <w:t>Date of assent, evidence of</w:t>
      </w:r>
      <w:bookmarkEnd w:id="41"/>
    </w:p>
    <w:p>
      <w:pPr>
        <w:pStyle w:val="Subsection"/>
        <w:rPr>
          <w:snapToGrid w:val="0"/>
        </w:rPr>
      </w:pPr>
      <w:r>
        <w:rPr>
          <w:snapToGrid w:val="0"/>
        </w:rPr>
        <w:tab/>
      </w:r>
      <w:r>
        <w:rPr>
          <w:snapToGrid w:val="0"/>
        </w:rPr>
        <w:tab/>
        <w:t xml:space="preserve">Where a date appearing on a copy of an Act printed, or purporting to be printed, by the Government Printer, purports to be the date on which the Governor assented to such Act or to a portion thereof, or proclaimed in the </w:t>
      </w:r>
      <w:r>
        <w:rPr>
          <w:i/>
          <w:snapToGrid w:val="0"/>
        </w:rPr>
        <w:t>Gazette</w:t>
      </w:r>
      <w:r>
        <w:rPr>
          <w:snapToGrid w:val="0"/>
        </w:rPr>
        <w:t xml:space="preserve"> Her Majesty’s assent to such Act or portion, that date as so appearing shall be evidence that it was the date on which the Governor so assented, or made known Her Majesty’s assent, and shall be judicially noticed accordingly.</w:t>
      </w:r>
    </w:p>
    <w:p>
      <w:pPr>
        <w:pStyle w:val="Heading5"/>
        <w:rPr>
          <w:snapToGrid w:val="0"/>
        </w:rPr>
      </w:pPr>
      <w:bookmarkStart w:id="42" w:name="_Toc100568799"/>
      <w:r>
        <w:rPr>
          <w:rStyle w:val="CharSectno"/>
        </w:rPr>
        <w:t>25</w:t>
      </w:r>
      <w:r>
        <w:rPr>
          <w:snapToGrid w:val="0"/>
        </w:rPr>
        <w:t>.</w:t>
      </w:r>
      <w:r>
        <w:rPr>
          <w:snapToGrid w:val="0"/>
        </w:rPr>
        <w:tab/>
        <w:t>Some powers in Act may be exercised before it commences</w:t>
      </w:r>
      <w:bookmarkEnd w:id="42"/>
    </w:p>
    <w:p>
      <w:pPr>
        <w:pStyle w:val="Subsection"/>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 or</w:t>
      </w:r>
    </w:p>
    <w:p>
      <w:pPr>
        <w:pStyle w:val="Indenta"/>
        <w:rPr>
          <w:snapToGrid w:val="0"/>
        </w:rPr>
      </w:pPr>
      <w:r>
        <w:rPr>
          <w:snapToGrid w:val="0"/>
        </w:rPr>
        <w:tab/>
        <w:t>(b)</w:t>
      </w:r>
      <w:r>
        <w:rPr>
          <w:snapToGrid w:val="0"/>
        </w:rPr>
        <w:tab/>
        <w:t>give or serve a notice or other document; or</w:t>
      </w:r>
    </w:p>
    <w:p>
      <w:pPr>
        <w:pStyle w:val="Indenta"/>
        <w:rPr>
          <w:snapToGrid w:val="0"/>
        </w:rPr>
      </w:pPr>
      <w:r>
        <w:rPr>
          <w:snapToGrid w:val="0"/>
        </w:rPr>
        <w:tab/>
        <w:t>(c)</w:t>
      </w:r>
      <w:r>
        <w:rPr>
          <w:snapToGrid w:val="0"/>
        </w:rPr>
        <w:tab/>
        <w:t>appoint a person to a specified office; or</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rPr>
          <w:snapToGrid w:val="0"/>
        </w:rPr>
      </w:pPr>
      <w:r>
        <w:rPr>
          <w:snapToGrid w:val="0"/>
        </w:rPr>
        <w:tab/>
      </w:r>
      <w:r>
        <w:rPr>
          <w:snapToGrid w:val="0"/>
        </w:rPr>
        <w:tab/>
        <w:t xml:space="preserve">then the power may, notwithstanding that that provision has not commenced, but subject to subsections (3) and (4), be exercised at any time after the passing of the Act to the extent that it is </w:t>
      </w:r>
      <w:r>
        <w:rPr>
          <w:snapToGrid w:val="0"/>
        </w:rPr>
        <w:lastRenderedPageBreak/>
        <w:t>necessary or expedient for the purpose of bringing the Act, or provisions of the Act, into operation, or giving full effect to the Act, or provisions of the Act, when or after that provision commences.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 or</w:t>
      </w:r>
    </w:p>
    <w:p>
      <w:pPr>
        <w:pStyle w:val="Indenti"/>
        <w:rPr>
          <w:snapToGrid w:val="0"/>
        </w:rPr>
      </w:pPr>
      <w:r>
        <w:rPr>
          <w:snapToGrid w:val="0"/>
        </w:rPr>
        <w:tab/>
        <w:t>(ii)</w:t>
      </w:r>
      <w:r>
        <w:rPr>
          <w:snapToGrid w:val="0"/>
        </w:rPr>
        <w:tab/>
        <w:t>give or serve a notice or other document; or</w:t>
      </w:r>
    </w:p>
    <w:p>
      <w:pPr>
        <w:pStyle w:val="Indenti"/>
        <w:rPr>
          <w:snapToGrid w:val="0"/>
        </w:rPr>
      </w:pPr>
      <w:r>
        <w:rPr>
          <w:snapToGrid w:val="0"/>
        </w:rPr>
        <w:tab/>
        <w:t>(iii)</w:t>
      </w:r>
      <w:r>
        <w:rPr>
          <w:snapToGrid w:val="0"/>
        </w:rPr>
        <w:tab/>
        <w:t>appoint a person to a specified office; or</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lastRenderedPageBreak/>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Subject to section 3(3), this section applies to Acts passed after the commencement of this Act</w:t>
      </w:r>
      <w:r>
        <w:rPr>
          <w:snapToGrid w:val="0"/>
          <w:vertAlign w:val="superscript"/>
        </w:rPr>
        <w:t> 1</w:t>
      </w:r>
      <w:r>
        <w:rPr>
          <w:snapToGrid w:val="0"/>
        </w:rPr>
        <w:t>.</w:t>
      </w:r>
    </w:p>
    <w:p>
      <w:pPr>
        <w:pStyle w:val="Heading5"/>
        <w:rPr>
          <w:snapToGrid w:val="0"/>
        </w:rPr>
      </w:pPr>
      <w:bookmarkStart w:id="43" w:name="_Toc100568800"/>
      <w:r>
        <w:rPr>
          <w:rStyle w:val="CharSectno"/>
        </w:rPr>
        <w:t>26</w:t>
      </w:r>
      <w:r>
        <w:rPr>
          <w:snapToGrid w:val="0"/>
        </w:rPr>
        <w:t>.</w:t>
      </w:r>
      <w:r>
        <w:rPr>
          <w:snapToGrid w:val="0"/>
        </w:rPr>
        <w:tab/>
        <w:t>Citation of written laws</w:t>
      </w:r>
      <w:bookmarkEnd w:id="43"/>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snapToGrid w:val="0"/>
        </w:rPr>
      </w:pPr>
      <w:r>
        <w:rPr>
          <w:snapToGrid w:val="0"/>
        </w:rPr>
        <w:tab/>
        <w:t>(3)</w:t>
      </w:r>
      <w:r>
        <w:rPr>
          <w:snapToGrid w:val="0"/>
        </w:rPr>
        <w:tab/>
        <w:t>Subject to subsection (4), the citation of or reference to any written law shall in all cases be made according to the copy of such written law printed, or purporting to be printed, by the Government Printer.</w:t>
      </w:r>
    </w:p>
    <w:p>
      <w:pPr>
        <w:pStyle w:val="Subsection"/>
        <w:keepNext/>
        <w:rPr>
          <w:snapToGrid w:val="0"/>
        </w:rPr>
      </w:pPr>
      <w:r>
        <w:rPr>
          <w:snapToGrid w:val="0"/>
        </w:rPr>
        <w:lastRenderedPageBreak/>
        <w:tab/>
        <w:t>(4)</w:t>
      </w:r>
      <w:r>
        <w:rPr>
          <w:snapToGrid w:val="0"/>
        </w:rPr>
        <w:tab/>
        <w:t>Where — </w:t>
      </w:r>
    </w:p>
    <w:p>
      <w:pPr>
        <w:pStyle w:val="Indenta"/>
        <w:rPr>
          <w:snapToGrid w:val="0"/>
        </w:rPr>
      </w:pPr>
      <w:r>
        <w:rPr>
          <w:snapToGrid w:val="0"/>
        </w:rPr>
        <w:tab/>
        <w:t>(a)</w:t>
      </w:r>
      <w:r>
        <w:rPr>
          <w:snapToGrid w:val="0"/>
        </w:rPr>
        <w:tab/>
        <w:t>immediately before the commencement of this Act, an Act was in force as amended; and</w:t>
      </w:r>
    </w:p>
    <w:p>
      <w:pPr>
        <w:pStyle w:val="Indenta"/>
        <w:rPr>
          <w:snapToGrid w:val="0"/>
        </w:rPr>
      </w:pPr>
      <w:r>
        <w:rPr>
          <w:snapToGrid w:val="0"/>
        </w:rPr>
        <w:tab/>
        <w:t>(b)</w:t>
      </w:r>
      <w:r>
        <w:rPr>
          <w:snapToGrid w:val="0"/>
        </w:rPr>
        <w:tab/>
        <w:t>it is provided that the Act may be cited by a method of citation that contains figures referring to 2 years,</w:t>
      </w:r>
    </w:p>
    <w:p>
      <w:pPr>
        <w:pStyle w:val="Subsection"/>
        <w:rPr>
          <w:snapToGrid w:val="0"/>
        </w:rPr>
      </w:pPr>
      <w:r>
        <w:rPr>
          <w:snapToGrid w:val="0"/>
        </w:rPr>
        <w:tab/>
      </w:r>
      <w:r>
        <w:rPr>
          <w:snapToGrid w:val="0"/>
        </w:rPr>
        <w:tab/>
        <w:t>that provision is amended by omitting so much of the method of citation as follows the reference to the first of those years.</w:t>
      </w:r>
    </w:p>
    <w:p>
      <w:pPr>
        <w:pStyle w:val="Footnotesection"/>
      </w:pPr>
      <w:r>
        <w:tab/>
        <w:t>[Section 26 amended: No. 74 of 2003 s. 69(4).]</w:t>
      </w:r>
    </w:p>
    <w:p>
      <w:pPr>
        <w:pStyle w:val="Heading5"/>
        <w:rPr>
          <w:snapToGrid w:val="0"/>
        </w:rPr>
      </w:pPr>
      <w:bookmarkStart w:id="44" w:name="_Toc100568801"/>
      <w:r>
        <w:rPr>
          <w:rStyle w:val="CharSectno"/>
        </w:rPr>
        <w:t>27</w:t>
      </w:r>
      <w:r>
        <w:rPr>
          <w:snapToGrid w:val="0"/>
        </w:rPr>
        <w:t>.</w:t>
      </w:r>
      <w:r>
        <w:rPr>
          <w:snapToGrid w:val="0"/>
        </w:rPr>
        <w:tab/>
        <w:t>References to commencement of written law if different provisions commence on different days</w:t>
      </w:r>
      <w:bookmarkEnd w:id="44"/>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45" w:name="_Toc100326505"/>
      <w:bookmarkStart w:id="46" w:name="_Toc100327135"/>
      <w:bookmarkStart w:id="47" w:name="_Toc100568802"/>
      <w:r>
        <w:rPr>
          <w:rStyle w:val="CharPartNo"/>
        </w:rPr>
        <w:lastRenderedPageBreak/>
        <w:t>Part IV</w:t>
      </w:r>
      <w:r>
        <w:rPr>
          <w:rStyle w:val="CharDivNo"/>
        </w:rPr>
        <w:t> </w:t>
      </w:r>
      <w:r>
        <w:t>—</w:t>
      </w:r>
      <w:r>
        <w:rPr>
          <w:rStyle w:val="CharDivText"/>
        </w:rPr>
        <w:t> </w:t>
      </w:r>
      <w:r>
        <w:rPr>
          <w:rStyle w:val="CharPartText"/>
        </w:rPr>
        <w:t>Provisions as to enactment and operation of written law</w:t>
      </w:r>
      <w:bookmarkEnd w:id="45"/>
      <w:bookmarkEnd w:id="46"/>
      <w:bookmarkEnd w:id="47"/>
      <w:r>
        <w:rPr>
          <w:rStyle w:val="CharPartText"/>
        </w:rPr>
        <w:t xml:space="preserve"> </w:t>
      </w:r>
    </w:p>
    <w:p>
      <w:pPr>
        <w:pStyle w:val="Heading5"/>
        <w:rPr>
          <w:snapToGrid w:val="0"/>
        </w:rPr>
      </w:pPr>
      <w:bookmarkStart w:id="48" w:name="_Toc100568803"/>
      <w:r>
        <w:rPr>
          <w:rStyle w:val="CharSectno"/>
        </w:rPr>
        <w:t>28</w:t>
      </w:r>
      <w:r>
        <w:rPr>
          <w:snapToGrid w:val="0"/>
        </w:rPr>
        <w:t>.</w:t>
      </w:r>
      <w:r>
        <w:rPr>
          <w:snapToGrid w:val="0"/>
        </w:rPr>
        <w:tab/>
        <w:t>Acts deemed public Acts</w:t>
      </w:r>
      <w:bookmarkEnd w:id="48"/>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49" w:name="_Toc100568804"/>
      <w:r>
        <w:rPr>
          <w:rStyle w:val="CharSectno"/>
        </w:rPr>
        <w:t>29</w:t>
      </w:r>
      <w:r>
        <w:rPr>
          <w:snapToGrid w:val="0"/>
        </w:rPr>
        <w:t>.</w:t>
      </w:r>
      <w:r>
        <w:rPr>
          <w:snapToGrid w:val="0"/>
        </w:rPr>
        <w:tab/>
        <w:t>Sections to be substantive enactments</w:t>
      </w:r>
      <w:bookmarkEnd w:id="49"/>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50" w:name="_Toc100568805"/>
      <w:r>
        <w:rPr>
          <w:rStyle w:val="CharSectno"/>
        </w:rPr>
        <w:t>30</w:t>
      </w:r>
      <w:r>
        <w:rPr>
          <w:snapToGrid w:val="0"/>
        </w:rPr>
        <w:t>.</w:t>
      </w:r>
      <w:r>
        <w:rPr>
          <w:snapToGrid w:val="0"/>
        </w:rPr>
        <w:tab/>
        <w:t>Act may be amended in same session</w:t>
      </w:r>
      <w:bookmarkEnd w:id="50"/>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spacing w:before="180"/>
        <w:rPr>
          <w:snapToGrid w:val="0"/>
        </w:rPr>
      </w:pPr>
      <w:bookmarkStart w:id="51" w:name="_Toc100568806"/>
      <w:r>
        <w:rPr>
          <w:rStyle w:val="CharSectno"/>
        </w:rPr>
        <w:t>31</w:t>
      </w:r>
      <w:r>
        <w:rPr>
          <w:snapToGrid w:val="0"/>
        </w:rPr>
        <w:t>.</w:t>
      </w:r>
      <w:r>
        <w:rPr>
          <w:snapToGrid w:val="0"/>
        </w:rPr>
        <w:tab/>
        <w:t>Preambles, schedules etc. to form part of written law</w:t>
      </w:r>
      <w:bookmarkEnd w:id="51"/>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spacing w:before="180"/>
        <w:rPr>
          <w:snapToGrid w:val="0"/>
        </w:rPr>
      </w:pPr>
      <w:bookmarkStart w:id="52" w:name="_Toc100568807"/>
      <w:r>
        <w:rPr>
          <w:rStyle w:val="CharSectno"/>
        </w:rPr>
        <w:t>32</w:t>
      </w:r>
      <w:r>
        <w:rPr>
          <w:snapToGrid w:val="0"/>
        </w:rPr>
        <w:t>.</w:t>
      </w:r>
      <w:r>
        <w:rPr>
          <w:snapToGrid w:val="0"/>
        </w:rPr>
        <w:tab/>
        <w:t>Headings, marginal notes and footnotes</w:t>
      </w:r>
      <w:bookmarkEnd w:id="52"/>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rPr>
      </w:pPr>
      <w:r>
        <w:rPr>
          <w:snapToGrid w:val="0"/>
        </w:rPr>
        <w:tab/>
        <w:t>(2)</w:t>
      </w:r>
      <w:r>
        <w:rPr>
          <w:snapToGrid w:val="0"/>
        </w:rPr>
        <w:tab/>
        <w:t>A marginal note or footnote to a written law and, in a context where there is no marginal note with respect to the relevant provision and notwithstanding subsection (1), a heading to a section, regulation, rule, local law, by</w:t>
      </w:r>
      <w:r>
        <w:rPr>
          <w:snapToGrid w:val="0"/>
        </w:rPr>
        <w:noBreakHyphen/>
        <w:t>law, or clause of a written law, or to a portion of a section, regulation, rule, local law, by</w:t>
      </w:r>
      <w:r>
        <w:rPr>
          <w:snapToGrid w:val="0"/>
        </w:rPr>
        <w:noBreakHyphen/>
        <w:t>law or clause of a written law, shall be taken not to be part of the written law.</w:t>
      </w:r>
    </w:p>
    <w:p>
      <w:pPr>
        <w:pStyle w:val="Footnotesection"/>
        <w:spacing w:before="60"/>
        <w:ind w:left="890" w:hanging="890"/>
      </w:pPr>
      <w:r>
        <w:tab/>
        <w:t xml:space="preserve">[Section 32 amended: No. 14 of 1996 s. 4.] </w:t>
      </w:r>
    </w:p>
    <w:p>
      <w:pPr>
        <w:pStyle w:val="Heading2"/>
      </w:pPr>
      <w:bookmarkStart w:id="53" w:name="_Toc100326511"/>
      <w:bookmarkStart w:id="54" w:name="_Toc100327141"/>
      <w:bookmarkStart w:id="55" w:name="_Toc100568808"/>
      <w:r>
        <w:rPr>
          <w:rStyle w:val="CharPartNo"/>
        </w:rPr>
        <w:lastRenderedPageBreak/>
        <w:t>Part V</w:t>
      </w:r>
      <w:r>
        <w:rPr>
          <w:rStyle w:val="CharDivNo"/>
        </w:rPr>
        <w:t> </w:t>
      </w:r>
      <w:r>
        <w:t>—</w:t>
      </w:r>
      <w:r>
        <w:rPr>
          <w:rStyle w:val="CharDivText"/>
        </w:rPr>
        <w:t> </w:t>
      </w:r>
      <w:r>
        <w:rPr>
          <w:rStyle w:val="CharPartText"/>
        </w:rPr>
        <w:t>Repeal of written law</w:t>
      </w:r>
      <w:bookmarkEnd w:id="53"/>
      <w:bookmarkEnd w:id="54"/>
      <w:bookmarkEnd w:id="55"/>
      <w:r>
        <w:rPr>
          <w:rStyle w:val="CharPartText"/>
        </w:rPr>
        <w:t xml:space="preserve"> </w:t>
      </w:r>
    </w:p>
    <w:p>
      <w:pPr>
        <w:pStyle w:val="Heading5"/>
        <w:spacing w:before="180"/>
        <w:rPr>
          <w:snapToGrid w:val="0"/>
        </w:rPr>
      </w:pPr>
      <w:bookmarkStart w:id="56" w:name="_Toc100568809"/>
      <w:r>
        <w:rPr>
          <w:rStyle w:val="CharSectno"/>
        </w:rPr>
        <w:t>33</w:t>
      </w:r>
      <w:r>
        <w:rPr>
          <w:snapToGrid w:val="0"/>
        </w:rPr>
        <w:t>.</w:t>
      </w:r>
      <w:r>
        <w:rPr>
          <w:snapToGrid w:val="0"/>
        </w:rPr>
        <w:tab/>
        <w:t>Repeal of written law includes repeal of amendments</w:t>
      </w:r>
      <w:bookmarkEnd w:id="56"/>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spacing w:before="180"/>
        <w:rPr>
          <w:snapToGrid w:val="0"/>
        </w:rPr>
      </w:pPr>
      <w:bookmarkStart w:id="57" w:name="_Toc100568810"/>
      <w:r>
        <w:rPr>
          <w:rStyle w:val="CharSectno"/>
        </w:rPr>
        <w:t>34</w:t>
      </w:r>
      <w:r>
        <w:rPr>
          <w:snapToGrid w:val="0"/>
        </w:rPr>
        <w:t>.</w:t>
      </w:r>
      <w:r>
        <w:rPr>
          <w:snapToGrid w:val="0"/>
        </w:rPr>
        <w:tab/>
        <w:t>Repeal of repealing enactment, effect of</w:t>
      </w:r>
      <w:bookmarkEnd w:id="57"/>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spacing w:before="180"/>
        <w:rPr>
          <w:snapToGrid w:val="0"/>
        </w:rPr>
      </w:pPr>
      <w:bookmarkStart w:id="58" w:name="_Toc100568811"/>
      <w:r>
        <w:rPr>
          <w:rStyle w:val="CharSectno"/>
        </w:rPr>
        <w:t>35</w:t>
      </w:r>
      <w:r>
        <w:rPr>
          <w:snapToGrid w:val="0"/>
        </w:rPr>
        <w:t>.</w:t>
      </w:r>
      <w:r>
        <w:rPr>
          <w:snapToGrid w:val="0"/>
        </w:rPr>
        <w:tab/>
        <w:t>Repeal and substitution of provision, effect of</w:t>
      </w:r>
      <w:bookmarkEnd w:id="58"/>
    </w:p>
    <w:p>
      <w:pPr>
        <w:pStyle w:val="Subsection"/>
        <w:rPr>
          <w:snapToGrid w:val="0"/>
        </w:rPr>
      </w:pPr>
      <w:r>
        <w:rPr>
          <w:snapToGrid w:val="0"/>
        </w:rPr>
        <w:tab/>
      </w:r>
      <w:r>
        <w:rPr>
          <w:snapToGrid w:val="0"/>
        </w:rPr>
        <w:tab/>
        <w:t>Where a written law repeals an enactment and substitutes provisions for the enactment repealed, the repealed enactment remains in operation until the substituted provisions come into operation.</w:t>
      </w:r>
    </w:p>
    <w:p>
      <w:pPr>
        <w:pStyle w:val="Heading5"/>
        <w:spacing w:before="180"/>
        <w:rPr>
          <w:snapToGrid w:val="0"/>
        </w:rPr>
      </w:pPr>
      <w:bookmarkStart w:id="59" w:name="_Toc100568812"/>
      <w:r>
        <w:rPr>
          <w:rStyle w:val="CharSectno"/>
        </w:rPr>
        <w:t>36</w:t>
      </w:r>
      <w:r>
        <w:rPr>
          <w:snapToGrid w:val="0"/>
        </w:rPr>
        <w:t>.</w:t>
      </w:r>
      <w:r>
        <w:rPr>
          <w:snapToGrid w:val="0"/>
        </w:rPr>
        <w:tab/>
        <w:t>Repealing and re</w:t>
      </w:r>
      <w:r>
        <w:rPr>
          <w:snapToGrid w:val="0"/>
        </w:rPr>
        <w:noBreakHyphen/>
        <w:t>enacting a provision, effect of</w:t>
      </w:r>
      <w:bookmarkEnd w:id="59"/>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 and</w:t>
      </w:r>
    </w:p>
    <w:p>
      <w:pPr>
        <w:pStyle w:val="Indenta"/>
        <w:rPr>
          <w:snapToGrid w:val="0"/>
        </w:rPr>
      </w:pPr>
      <w:r>
        <w:rPr>
          <w:snapToGrid w:val="0"/>
        </w:rPr>
        <w:tab/>
        <w:t>(b)</w:t>
      </w:r>
      <w:r>
        <w:rPr>
          <w:snapToGrid w:val="0"/>
        </w:rPr>
        <w:tab/>
        <w:t>all councils, corporations, boards, tribunals, commissions, trusts, or other bodies constituted, and all elections and appointments of members thereof made; and</w:t>
      </w:r>
    </w:p>
    <w:p>
      <w:pPr>
        <w:pStyle w:val="Indenta"/>
        <w:rPr>
          <w:snapToGrid w:val="0"/>
        </w:rPr>
      </w:pPr>
      <w:r>
        <w:rPr>
          <w:snapToGrid w:val="0"/>
        </w:rPr>
        <w:tab/>
        <w:t>(c)</w:t>
      </w:r>
      <w:r>
        <w:rPr>
          <w:snapToGrid w:val="0"/>
        </w:rPr>
        <w:tab/>
        <w:t>all offices constituted and appointments of officers made; and</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widowControl w:val="0"/>
        <w:spacing w:before="120"/>
        <w:rPr>
          <w:snapToGrid w:val="0"/>
        </w:rPr>
      </w:pPr>
      <w:r>
        <w:rPr>
          <w:snapToGrid w:val="0"/>
        </w:rPr>
        <w:tab/>
      </w:r>
      <w:r>
        <w:rPr>
          <w:snapToGrid w:val="0"/>
        </w:rPr>
        <w:tab/>
        <w:t xml:space="preserve">which, at the commencement of the repealing law, are respectively in existence, or in force or operation, under or for </w:t>
      </w:r>
      <w:r>
        <w:rPr>
          <w:snapToGrid w:val="0"/>
        </w:rPr>
        <w:lastRenderedPageBreak/>
        <w:t>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rPr>
          <w:snapToGrid w:val="0"/>
        </w:rPr>
      </w:pPr>
      <w:bookmarkStart w:id="60" w:name="_Toc100568813"/>
      <w:r>
        <w:rPr>
          <w:rStyle w:val="CharSectno"/>
        </w:rPr>
        <w:t>37</w:t>
      </w:r>
      <w:r>
        <w:rPr>
          <w:snapToGrid w:val="0"/>
        </w:rPr>
        <w:t>.</w:t>
      </w:r>
      <w:r>
        <w:rPr>
          <w:snapToGrid w:val="0"/>
        </w:rPr>
        <w:tab/>
        <w:t>General savings on repeal</w:t>
      </w:r>
      <w:bookmarkEnd w:id="60"/>
      <w:r>
        <w:rPr>
          <w:snapToGrid w:val="0"/>
        </w:rPr>
        <w:t xml:space="preserve"> </w:t>
      </w:r>
    </w:p>
    <w:p>
      <w:pPr>
        <w:pStyle w:val="Subsection"/>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rPr>
          <w:snapToGrid w:val="0"/>
        </w:rPr>
      </w:pPr>
      <w:r>
        <w:rPr>
          <w:snapToGrid w:val="0"/>
        </w:rPr>
        <w:tab/>
        <w:t>(2)</w:t>
      </w:r>
      <w:r>
        <w:rPr>
          <w:snapToGrid w:val="0"/>
        </w:rPr>
        <w:tab/>
        <w:t xml:space="preserve">The inclusion in the repealing provisions of an enactment of any express saving with respect to the repeals effected thereby shall </w:t>
      </w:r>
      <w:r>
        <w:rPr>
          <w:snapToGrid w:val="0"/>
        </w:rPr>
        <w:lastRenderedPageBreak/>
        <w:t>not be taken to prejudice the operation of this section with respect to the effect of those repeals.</w:t>
      </w:r>
    </w:p>
    <w:p>
      <w:pPr>
        <w:pStyle w:val="Footnotesection"/>
      </w:pPr>
      <w:r>
        <w:tab/>
        <w:t xml:space="preserve">[Section 37 amended: No. 78 of 1995 s. 56.] </w:t>
      </w:r>
    </w:p>
    <w:p>
      <w:pPr>
        <w:pStyle w:val="Heading5"/>
        <w:rPr>
          <w:snapToGrid w:val="0"/>
        </w:rPr>
      </w:pPr>
      <w:bookmarkStart w:id="61" w:name="_Toc100568814"/>
      <w:r>
        <w:rPr>
          <w:rStyle w:val="CharSectno"/>
        </w:rPr>
        <w:t>38</w:t>
      </w:r>
      <w:r>
        <w:rPr>
          <w:snapToGrid w:val="0"/>
        </w:rPr>
        <w:t>.</w:t>
      </w:r>
      <w:r>
        <w:rPr>
          <w:snapToGrid w:val="0"/>
        </w:rPr>
        <w:tab/>
        <w:t>Repeal of Act, effect of on subsidiary legislation</w:t>
      </w:r>
      <w:bookmarkEnd w:id="61"/>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62" w:name="_Toc100568815"/>
      <w:r>
        <w:rPr>
          <w:rStyle w:val="CharSectno"/>
        </w:rPr>
        <w:t>39</w:t>
      </w:r>
      <w:r>
        <w:rPr>
          <w:snapToGrid w:val="0"/>
        </w:rPr>
        <w:t>.</w:t>
      </w:r>
      <w:r>
        <w:rPr>
          <w:snapToGrid w:val="0"/>
        </w:rPr>
        <w:tab/>
        <w:t>Expiry of enactment, effect of</w:t>
      </w:r>
      <w:bookmarkEnd w:id="62"/>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63" w:name="_Toc100326519"/>
      <w:bookmarkStart w:id="64" w:name="_Toc100327149"/>
      <w:bookmarkStart w:id="65" w:name="_Toc100568816"/>
      <w:r>
        <w:rPr>
          <w:rStyle w:val="CharPartNo"/>
        </w:rPr>
        <w:lastRenderedPageBreak/>
        <w:t>Part VI</w:t>
      </w:r>
      <w:r>
        <w:rPr>
          <w:rStyle w:val="CharDivNo"/>
        </w:rPr>
        <w:t> </w:t>
      </w:r>
      <w:r>
        <w:t>—</w:t>
      </w:r>
      <w:r>
        <w:rPr>
          <w:rStyle w:val="CharDivText"/>
        </w:rPr>
        <w:t> </w:t>
      </w:r>
      <w:r>
        <w:rPr>
          <w:rStyle w:val="CharPartText"/>
        </w:rPr>
        <w:t>Subsidiary legislation</w:t>
      </w:r>
      <w:bookmarkEnd w:id="63"/>
      <w:bookmarkEnd w:id="64"/>
      <w:bookmarkEnd w:id="65"/>
      <w:r>
        <w:rPr>
          <w:rStyle w:val="CharPartText"/>
        </w:rPr>
        <w:t xml:space="preserve"> </w:t>
      </w:r>
    </w:p>
    <w:p>
      <w:pPr>
        <w:pStyle w:val="Heading5"/>
        <w:spacing w:before="240"/>
        <w:rPr>
          <w:snapToGrid w:val="0"/>
        </w:rPr>
      </w:pPr>
      <w:bookmarkStart w:id="66" w:name="_Toc100568817"/>
      <w:r>
        <w:rPr>
          <w:rStyle w:val="CharSectno"/>
        </w:rPr>
        <w:t>40</w:t>
      </w:r>
      <w:r>
        <w:rPr>
          <w:snapToGrid w:val="0"/>
        </w:rPr>
        <w:t>.</w:t>
      </w:r>
      <w:r>
        <w:rPr>
          <w:snapToGrid w:val="0"/>
        </w:rPr>
        <w:tab/>
        <w:t>Governor to make subsidiary legislation</w:t>
      </w:r>
      <w:bookmarkEnd w:id="66"/>
      <w:r>
        <w:rPr>
          <w:snapToGrid w:val="0"/>
        </w:rPr>
        <w:t xml:space="preserve"> </w:t>
      </w:r>
    </w:p>
    <w:p>
      <w:pPr>
        <w:pStyle w:val="Subsection"/>
        <w:spacing w:before="180"/>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spacing w:before="240"/>
        <w:rPr>
          <w:snapToGrid w:val="0"/>
        </w:rPr>
      </w:pPr>
      <w:bookmarkStart w:id="67" w:name="_Toc100568818"/>
      <w:r>
        <w:rPr>
          <w:rStyle w:val="CharSectno"/>
        </w:rPr>
        <w:t>41</w:t>
      </w:r>
      <w:r>
        <w:rPr>
          <w:snapToGrid w:val="0"/>
        </w:rPr>
        <w:t>.</w:t>
      </w:r>
      <w:r>
        <w:rPr>
          <w:snapToGrid w:val="0"/>
        </w:rPr>
        <w:tab/>
        <w:t>Publication and commencement of subsidiary legislation</w:t>
      </w:r>
      <w:bookmarkEnd w:id="67"/>
      <w:r>
        <w:rPr>
          <w:snapToGrid w:val="0"/>
        </w:rPr>
        <w:t xml:space="preserve"> </w:t>
      </w:r>
    </w:p>
    <w:p>
      <w:pPr>
        <w:pStyle w:val="Subsection"/>
        <w:spacing w:before="180"/>
        <w:rPr>
          <w:snapToGrid w:val="0"/>
        </w:rPr>
      </w:pPr>
      <w:r>
        <w:rPr>
          <w:snapToGrid w:val="0"/>
        </w:rPr>
        <w:tab/>
        <w:t>(1)</w:t>
      </w:r>
      <w:r>
        <w:rPr>
          <w:snapToGrid w:val="0"/>
        </w:rPr>
        <w:tab/>
        <w:t>Where a written law confers power to make subsidiary legislation, all subsidiary legislation made under that power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Heading5"/>
        <w:spacing w:before="240"/>
        <w:rPr>
          <w:snapToGrid w:val="0"/>
        </w:rPr>
      </w:pPr>
      <w:bookmarkStart w:id="68" w:name="_Toc100568819"/>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68"/>
      <w:r>
        <w:rPr>
          <w:snapToGrid w:val="0"/>
        </w:rPr>
        <w:t xml:space="preserve"> </w:t>
      </w:r>
    </w:p>
    <w:p>
      <w:pPr>
        <w:pStyle w:val="Subsection"/>
        <w:spacing w:before="180"/>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snapToGrid w:val="0"/>
        </w:rPr>
        <w:t>Gazette</w:t>
      </w:r>
      <w:r>
        <w:rPr>
          <w:snapToGrid w:val="0"/>
        </w:rPr>
        <w:t>.</w:t>
      </w:r>
    </w:p>
    <w:p>
      <w:pPr>
        <w:pStyle w:val="Subsection"/>
        <w:spacing w:before="180"/>
        <w:rPr>
          <w:snapToGrid w:val="0"/>
        </w:rPr>
      </w:pPr>
      <w:r>
        <w:rPr>
          <w:snapToGrid w:val="0"/>
        </w:rPr>
        <w:tab/>
        <w:t>(2)</w:t>
      </w:r>
      <w:r>
        <w:rPr>
          <w:snapToGrid w:val="0"/>
        </w:rPr>
        <w:tab/>
        <w:t xml:space="preserve">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w:t>
      </w:r>
      <w:r>
        <w:rPr>
          <w:snapToGrid w:val="0"/>
        </w:rPr>
        <w:lastRenderedPageBreak/>
        <w:t>affecting the validity or curing the invalidity of anything done or of the omission of anything in the meantime.</w:t>
      </w:r>
    </w:p>
    <w:p>
      <w:pPr>
        <w:pStyle w:val="Subsection"/>
        <w:spacing w:before="18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spacing w:before="180"/>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of the notice provided for in subsection (5), take effect as so amended;</w:t>
      </w:r>
    </w:p>
    <w:p>
      <w:pPr>
        <w:pStyle w:val="Indenta"/>
        <w:rPr>
          <w:snapToGrid w:val="0"/>
        </w:rPr>
      </w:pPr>
      <w:r>
        <w:rPr>
          <w:snapToGrid w:val="0"/>
        </w:rPr>
        <w:tab/>
        <w:t>(b)</w:t>
      </w:r>
      <w:r>
        <w:rPr>
          <w:snapToGrid w:val="0"/>
        </w:rPr>
        <w:tab/>
        <w:t xml:space="preserve">substituting regulations in place of regulations disallowed, the regulations so substituted shall, after the expiration of 7 days from the publication in the </w:t>
      </w:r>
      <w:r>
        <w:rPr>
          <w:i/>
          <w:snapToGrid w:val="0"/>
        </w:rPr>
        <w:t>Gazette</w:t>
      </w:r>
      <w:r>
        <w:rPr>
          <w:snapToGrid w:val="0"/>
        </w:rPr>
        <w:t xml:space="preserve"> of the notice provided for in subsection (5), take effect in place of that for which the regulations are so substituted.</w:t>
      </w:r>
    </w:p>
    <w:p>
      <w:pPr>
        <w:pStyle w:val="Subsection"/>
        <w:spacing w:before="180"/>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within 21 days of the passing of the resolution.</w:t>
      </w:r>
    </w:p>
    <w:p>
      <w:pPr>
        <w:pStyle w:val="Subsection"/>
        <w:spacing w:before="180"/>
        <w:rPr>
          <w:snapToGrid w:val="0"/>
        </w:rPr>
      </w:pPr>
      <w:r>
        <w:rPr>
          <w:snapToGrid w:val="0"/>
        </w:rPr>
        <w:tab/>
        <w:t>(6)</w:t>
      </w:r>
      <w:r>
        <w:rPr>
          <w:snapToGrid w:val="0"/>
        </w:rPr>
        <w:tab/>
        <w:t>Notwithstanding section 37(1), where — </w:t>
      </w:r>
    </w:p>
    <w:p>
      <w:pPr>
        <w:pStyle w:val="Indenta"/>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keepNext/>
        <w:rPr>
          <w:snapToGrid w:val="0"/>
        </w:rPr>
      </w:pPr>
      <w:r>
        <w:rPr>
          <w:snapToGrid w:val="0"/>
        </w:rPr>
        <w:lastRenderedPageBreak/>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rStyle w:val="CharDefText"/>
        </w:rPr>
        <w:t>regulations</w:t>
      </w:r>
      <w:r>
        <w:rPr>
          <w:snapToGrid w:val="0"/>
        </w:rPr>
        <w:t xml:space="preserve"> includes rules, local laws and by</w:t>
      </w:r>
      <w:r>
        <w:rPr>
          <w:snapToGrid w:val="0"/>
        </w:rPr>
        <w:noBreakHyphen/>
        <w:t>laws.</w:t>
      </w:r>
    </w:p>
    <w:p>
      <w:pPr>
        <w:pStyle w:val="Footnotesection"/>
      </w:pPr>
      <w:r>
        <w:tab/>
        <w:t xml:space="preserve">[Section 42 amended: No. 14 of 1996 s. 4.] </w:t>
      </w:r>
    </w:p>
    <w:p>
      <w:pPr>
        <w:pStyle w:val="Heading5"/>
        <w:rPr>
          <w:snapToGrid w:val="0"/>
        </w:rPr>
      </w:pPr>
      <w:bookmarkStart w:id="69" w:name="_Toc100568820"/>
      <w:r>
        <w:rPr>
          <w:rStyle w:val="CharSectno"/>
        </w:rPr>
        <w:t>43</w:t>
      </w:r>
      <w:r>
        <w:rPr>
          <w:snapToGrid w:val="0"/>
        </w:rPr>
        <w:t>.</w:t>
      </w:r>
      <w:r>
        <w:rPr>
          <w:snapToGrid w:val="0"/>
        </w:rPr>
        <w:tab/>
        <w:t>Power to make subsidiary legislation, general provisions about</w:t>
      </w:r>
      <w:bookmarkEnd w:id="69"/>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rPr>
      </w:pPr>
      <w:r>
        <w:rPr>
          <w:snapToGrid w:val="0"/>
        </w:rPr>
        <w:tab/>
        <w:t>(2)</w:t>
      </w:r>
      <w:r>
        <w:rPr>
          <w:snapToGrid w:val="0"/>
        </w:rPr>
        <w:tab/>
        <w:t>Where any subsidiary legislation purports to be made in exercise of a particular power or powers, it shall be deemed also to be made in exercise of all powers under which it may be made.</w:t>
      </w:r>
    </w:p>
    <w:p>
      <w:pPr>
        <w:pStyle w:val="Subsection"/>
        <w:keepNext/>
        <w:keepLines/>
        <w:rPr>
          <w:snapToGrid w:val="0"/>
        </w:rPr>
      </w:pPr>
      <w:r>
        <w:rPr>
          <w:snapToGrid w:val="0"/>
        </w:rPr>
        <w:lastRenderedPageBreak/>
        <w:tab/>
        <w:t>(3)</w:t>
      </w:r>
      <w:r>
        <w:rPr>
          <w:snapToGrid w:val="0"/>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spacing w:before="120"/>
        <w:rPr>
          <w:snapToGrid w:val="0"/>
        </w:rPr>
      </w:pPr>
      <w:r>
        <w:rPr>
          <w:snapToGrid w:val="0"/>
        </w:rPr>
        <w:lastRenderedPageBreak/>
        <w:tab/>
        <w:t>(8)</w:t>
      </w:r>
      <w:r>
        <w:rPr>
          <w:snapToGrid w:val="0"/>
        </w:rPr>
        <w:tab/>
        <w:t>Subsidiary legislation may be made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throughout the State or in a specified part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 legislation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rStyle w:val="CharDefText"/>
        </w:rPr>
        <w:t>specified</w:t>
      </w:r>
      <w:r>
        <w:rPr>
          <w:snapToGrid w:val="0"/>
        </w:rPr>
        <w:t xml:space="preserve"> means specified in the subsidiary legislation.</w:t>
      </w:r>
    </w:p>
    <w:p>
      <w:pPr>
        <w:pStyle w:val="Footnotesection"/>
      </w:pPr>
      <w:r>
        <w:tab/>
        <w:t xml:space="preserve">[Section 43 amended: No. 14 of 1996 s. 4.] </w:t>
      </w:r>
    </w:p>
    <w:p>
      <w:pPr>
        <w:pStyle w:val="Heading5"/>
        <w:rPr>
          <w:snapToGrid w:val="0"/>
        </w:rPr>
      </w:pPr>
      <w:bookmarkStart w:id="70" w:name="_Toc100568821"/>
      <w:r>
        <w:rPr>
          <w:rStyle w:val="CharSectno"/>
        </w:rPr>
        <w:t>44</w:t>
      </w:r>
      <w:r>
        <w:rPr>
          <w:snapToGrid w:val="0"/>
        </w:rPr>
        <w:t>.</w:t>
      </w:r>
      <w:r>
        <w:rPr>
          <w:snapToGrid w:val="0"/>
        </w:rPr>
        <w:tab/>
        <w:t>Words and expressions in subsidiary legislation, meaning of</w:t>
      </w:r>
      <w:bookmarkEnd w:id="70"/>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lastRenderedPageBreak/>
        <w:tab/>
        <w:t>(2)</w:t>
      </w:r>
      <w:r>
        <w:rPr>
          <w:snapToGrid w:val="0"/>
        </w:rPr>
        <w:tab/>
        <w:t xml:space="preserve">A reference in subsidiary legislation to </w:t>
      </w:r>
      <w:r>
        <w:rPr>
          <w:rStyle w:val="CharDefText"/>
        </w:rPr>
        <w:t>the Act</w:t>
      </w:r>
      <w:r>
        <w:rPr>
          <w:snapToGrid w:val="0"/>
        </w:rPr>
        <w:t xml:space="preserve"> shall be construed as a reference to the Act under which the subsidiary legislation is made.</w:t>
      </w:r>
    </w:p>
    <w:p>
      <w:pPr>
        <w:pStyle w:val="Heading5"/>
        <w:rPr>
          <w:snapToGrid w:val="0"/>
        </w:rPr>
      </w:pPr>
      <w:bookmarkStart w:id="71" w:name="_Toc100568822"/>
      <w:r>
        <w:rPr>
          <w:rStyle w:val="CharSectno"/>
        </w:rPr>
        <w:t>45</w:t>
      </w:r>
      <w:r>
        <w:rPr>
          <w:snapToGrid w:val="0"/>
        </w:rPr>
        <w:t>.</w:t>
      </w:r>
      <w:r>
        <w:rPr>
          <w:snapToGrid w:val="0"/>
        </w:rPr>
        <w:tab/>
        <w:t>Fees and charges</w:t>
      </w:r>
      <w:bookmarkEnd w:id="71"/>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 and</w:t>
      </w:r>
    </w:p>
    <w:p>
      <w:pPr>
        <w:pStyle w:val="Indenta"/>
        <w:rPr>
          <w:snapToGrid w:val="0"/>
        </w:rPr>
      </w:pPr>
      <w:r>
        <w:rPr>
          <w:snapToGrid w:val="0"/>
        </w:rPr>
        <w:tab/>
        <w:t>(b)</w:t>
      </w:r>
      <w:r>
        <w:rPr>
          <w:snapToGrid w:val="0"/>
        </w:rPr>
        <w:tab/>
        <w:t>maximum or minimum fees or charges; and</w:t>
      </w:r>
    </w:p>
    <w:p>
      <w:pPr>
        <w:pStyle w:val="Indenta"/>
        <w:rPr>
          <w:snapToGrid w:val="0"/>
        </w:rPr>
      </w:pPr>
      <w:r>
        <w:rPr>
          <w:snapToGrid w:val="0"/>
        </w:rPr>
        <w:tab/>
        <w:t>(c)</w:t>
      </w:r>
      <w:r>
        <w:rPr>
          <w:snapToGrid w:val="0"/>
        </w:rPr>
        <w:tab/>
        <w:t>maximum and minimum fees or charges; and</w:t>
      </w:r>
    </w:p>
    <w:p>
      <w:pPr>
        <w:pStyle w:val="Indenta"/>
        <w:rPr>
          <w:snapToGrid w:val="0"/>
        </w:rPr>
      </w:pPr>
      <w:r>
        <w:rPr>
          <w:snapToGrid w:val="0"/>
        </w:rPr>
        <w:tab/>
        <w:t>(d)</w:t>
      </w:r>
      <w:r>
        <w:rPr>
          <w:snapToGrid w:val="0"/>
        </w:rPr>
        <w:tab/>
      </w:r>
      <w:r>
        <w:rPr>
          <w:i/>
          <w:snapToGrid w:val="0"/>
        </w:rPr>
        <w:t>ad valorem</w:t>
      </w:r>
      <w:r>
        <w:rPr>
          <w:snapToGrid w:val="0"/>
        </w:rPr>
        <w:t xml:space="preserve"> fees or charges; and</w:t>
      </w:r>
    </w:p>
    <w:p>
      <w:pPr>
        <w:pStyle w:val="Indenta"/>
        <w:rPr>
          <w:snapToGrid w:val="0"/>
        </w:rPr>
      </w:pPr>
      <w:r>
        <w:rPr>
          <w:snapToGrid w:val="0"/>
          <w:spacing w:val="-2"/>
        </w:rPr>
        <w:tab/>
        <w:t>(e)</w:t>
      </w:r>
      <w:r>
        <w:rPr>
          <w:snapToGrid w:val="0"/>
          <w:spacing w:val="-2"/>
        </w:rPr>
        <w:tab/>
      </w:r>
      <w:r>
        <w:rPr>
          <w:snapToGrid w:val="0"/>
        </w:rPr>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 or</w:t>
      </w:r>
    </w:p>
    <w:p>
      <w:pPr>
        <w:pStyle w:val="Indenta"/>
        <w:rPr>
          <w:snapToGrid w:val="0"/>
        </w:rPr>
      </w:pPr>
      <w:r>
        <w:rPr>
          <w:snapToGrid w:val="0"/>
        </w:rPr>
        <w:tab/>
        <w:t>(b)</w:t>
      </w:r>
      <w:r>
        <w:rPr>
          <w:snapToGrid w:val="0"/>
        </w:rPr>
        <w:tab/>
        <w:t>in respect of certain documents or classes of document; or</w:t>
      </w:r>
    </w:p>
    <w:p>
      <w:pPr>
        <w:pStyle w:val="Indenta"/>
        <w:rPr>
          <w:snapToGrid w:val="0"/>
        </w:rPr>
      </w:pPr>
      <w:r>
        <w:rPr>
          <w:snapToGrid w:val="0"/>
        </w:rPr>
        <w:tab/>
        <w:t>(c)</w:t>
      </w:r>
      <w:r>
        <w:rPr>
          <w:snapToGrid w:val="0"/>
        </w:rPr>
        <w:tab/>
        <w:t>when any event happens or ceases to happen; or</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 xml:space="preserve">and may be expressed to apply or to be applicable subject to such conditions as may be specified in the subsidiary legislation </w:t>
      </w:r>
      <w:r>
        <w:rPr>
          <w:snapToGrid w:val="0"/>
        </w:rPr>
        <w:lastRenderedPageBreak/>
        <w:t>or in the discretion of any person specified in the subsidiary legislation.</w:t>
      </w:r>
    </w:p>
    <w:p>
      <w:pPr>
        <w:pStyle w:val="Ednotesubsection"/>
      </w:pPr>
      <w:r>
        <w:tab/>
        <w:t>[(3)</w:t>
      </w:r>
      <w:r>
        <w:tab/>
        <w:t>deleted]</w:t>
      </w:r>
    </w:p>
    <w:p>
      <w:pPr>
        <w:pStyle w:val="Footnotesection"/>
      </w:pPr>
      <w:r>
        <w:tab/>
        <w:t>[Section 45 amended: No. 34 of 2020 s. 94.]</w:t>
      </w:r>
    </w:p>
    <w:p>
      <w:pPr>
        <w:pStyle w:val="Heading5"/>
      </w:pPr>
      <w:bookmarkStart w:id="72" w:name="_Toc100568823"/>
      <w:r>
        <w:rPr>
          <w:rStyle w:val="CharSectno"/>
        </w:rPr>
        <w:t>45A</w:t>
      </w:r>
      <w:r>
        <w:t>.</w:t>
      </w:r>
      <w:r>
        <w:tab/>
        <w:t>Fees for licences, effect of power to prescribe</w:t>
      </w:r>
      <w:bookmarkEnd w:id="72"/>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Footnotesection"/>
      </w:pPr>
      <w:r>
        <w:tab/>
        <w:t>[Section 45A inserted: No. 54 of 1997 s. 3.]</w:t>
      </w:r>
    </w:p>
    <w:p>
      <w:pPr>
        <w:pStyle w:val="Heading5"/>
        <w:rPr>
          <w:snapToGrid w:val="0"/>
        </w:rPr>
      </w:pPr>
      <w:bookmarkStart w:id="73" w:name="_Toc100568824"/>
      <w:r>
        <w:rPr>
          <w:rStyle w:val="CharSectno"/>
        </w:rPr>
        <w:t>46</w:t>
      </w:r>
      <w:r>
        <w:rPr>
          <w:snapToGrid w:val="0"/>
        </w:rPr>
        <w:t>.</w:t>
      </w:r>
      <w:r>
        <w:rPr>
          <w:snapToGrid w:val="0"/>
        </w:rPr>
        <w:tab/>
        <w:t>Reference to written law includes reference to subsidiary legislation made under it</w:t>
      </w:r>
      <w:bookmarkEnd w:id="73"/>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lastRenderedPageBreak/>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No. 73 of 1994 s. 4.] </w:t>
      </w:r>
    </w:p>
    <w:p>
      <w:pPr>
        <w:pStyle w:val="Heading5"/>
        <w:rPr>
          <w:snapToGrid w:val="0"/>
        </w:rPr>
      </w:pPr>
      <w:bookmarkStart w:id="74" w:name="_Toc100568825"/>
      <w:r>
        <w:rPr>
          <w:rStyle w:val="CharSectno"/>
        </w:rPr>
        <w:t>47</w:t>
      </w:r>
      <w:r>
        <w:rPr>
          <w:snapToGrid w:val="0"/>
        </w:rPr>
        <w:t>.</w:t>
      </w:r>
      <w:r>
        <w:rPr>
          <w:snapToGrid w:val="0"/>
        </w:rPr>
        <w:tab/>
        <w:t>Acts done under subsidiary legislation deemed done under Act</w:t>
      </w:r>
      <w:bookmarkEnd w:id="74"/>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75" w:name="_Toc100326529"/>
      <w:bookmarkStart w:id="76" w:name="_Toc100327159"/>
      <w:bookmarkStart w:id="77" w:name="_Toc100568826"/>
      <w:r>
        <w:rPr>
          <w:rStyle w:val="CharPartNo"/>
        </w:rPr>
        <w:lastRenderedPageBreak/>
        <w:t>Part VII</w:t>
      </w:r>
      <w:r>
        <w:rPr>
          <w:rStyle w:val="CharDivNo"/>
        </w:rPr>
        <w:t> </w:t>
      </w:r>
      <w:r>
        <w:t>—</w:t>
      </w:r>
      <w:r>
        <w:rPr>
          <w:rStyle w:val="CharDivText"/>
        </w:rPr>
        <w:t> </w:t>
      </w:r>
      <w:r>
        <w:rPr>
          <w:rStyle w:val="CharPartText"/>
        </w:rPr>
        <w:t>Statutory powers and duties</w:t>
      </w:r>
      <w:bookmarkEnd w:id="75"/>
      <w:bookmarkEnd w:id="76"/>
      <w:bookmarkEnd w:id="77"/>
      <w:r>
        <w:rPr>
          <w:rStyle w:val="CharPartText"/>
        </w:rPr>
        <w:t xml:space="preserve"> </w:t>
      </w:r>
    </w:p>
    <w:p>
      <w:pPr>
        <w:pStyle w:val="Heading5"/>
        <w:rPr>
          <w:snapToGrid w:val="0"/>
        </w:rPr>
      </w:pPr>
      <w:bookmarkStart w:id="78" w:name="_Toc100568827"/>
      <w:r>
        <w:rPr>
          <w:rStyle w:val="CharSectno"/>
        </w:rPr>
        <w:t>48</w:t>
      </w:r>
      <w:r>
        <w:rPr>
          <w:snapToGrid w:val="0"/>
        </w:rPr>
        <w:t>.</w:t>
      </w:r>
      <w:r>
        <w:rPr>
          <w:snapToGrid w:val="0"/>
        </w:rPr>
        <w:tab/>
        <w:t>Time for exercise of power or performance of duty</w:t>
      </w:r>
      <w:bookmarkEnd w:id="78"/>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79" w:name="_Toc100568828"/>
      <w:r>
        <w:rPr>
          <w:rStyle w:val="CharSectno"/>
        </w:rPr>
        <w:t>48A</w:t>
      </w:r>
      <w:r>
        <w:rPr>
          <w:snapToGrid w:val="0"/>
        </w:rPr>
        <w:t>.</w:t>
      </w:r>
      <w:r>
        <w:rPr>
          <w:snapToGrid w:val="0"/>
        </w:rPr>
        <w:tab/>
        <w:t>Judicial acts and service of process may be done on any day</w:t>
      </w:r>
      <w:bookmarkEnd w:id="79"/>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No. 49 of 1997 s. 4(1).]</w:t>
      </w:r>
    </w:p>
    <w:p>
      <w:pPr>
        <w:pStyle w:val="Heading5"/>
        <w:spacing w:before="180"/>
        <w:rPr>
          <w:snapToGrid w:val="0"/>
        </w:rPr>
      </w:pPr>
      <w:bookmarkStart w:id="80" w:name="_Toc100568829"/>
      <w:r>
        <w:rPr>
          <w:rStyle w:val="CharSectno"/>
        </w:rPr>
        <w:t>49</w:t>
      </w:r>
      <w:r>
        <w:rPr>
          <w:snapToGrid w:val="0"/>
        </w:rPr>
        <w:t>.</w:t>
      </w:r>
      <w:r>
        <w:rPr>
          <w:snapToGrid w:val="0"/>
        </w:rPr>
        <w:tab/>
        <w:t>Public officer’s powers and duties may be exercised by acting officer etc.</w:t>
      </w:r>
      <w:bookmarkEnd w:id="80"/>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spacing w:before="180"/>
        <w:rPr>
          <w:snapToGrid w:val="0"/>
        </w:rPr>
      </w:pPr>
      <w:bookmarkStart w:id="81" w:name="_Toc100568830"/>
      <w:r>
        <w:rPr>
          <w:rStyle w:val="CharSectno"/>
        </w:rPr>
        <w:t>50</w:t>
      </w:r>
      <w:r>
        <w:rPr>
          <w:snapToGrid w:val="0"/>
        </w:rPr>
        <w:t>.</w:t>
      </w:r>
      <w:r>
        <w:rPr>
          <w:snapToGrid w:val="0"/>
        </w:rPr>
        <w:tab/>
        <w:t>Statutory powers, construction of</w:t>
      </w:r>
      <w:bookmarkEnd w:id="81"/>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rPr>
      </w:pPr>
      <w:r>
        <w:rPr>
          <w:snapToGrid w:val="0"/>
        </w:rPr>
        <w:tab/>
        <w:t>(a)</w:t>
      </w:r>
      <w:r>
        <w:rPr>
          <w:snapToGrid w:val="0"/>
        </w:rPr>
        <w:tab/>
        <w:t xml:space="preserve">to provide for, prohibit, control or regulate any matter, such power includes power to provide for the same by </w:t>
      </w:r>
      <w:r>
        <w:rPr>
          <w:snapToGrid w:val="0"/>
        </w:rPr>
        <w:lastRenderedPageBreak/>
        <w:t>the licensing or registration thereof or the granting of permits and power to prohibit acts whereby the prohibition, control, or regulation of such matter might be evaded;</w:t>
      </w:r>
    </w:p>
    <w:p>
      <w:pPr>
        <w:pStyle w:val="Indenta"/>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rPr>
          <w:snapToGrid w:val="0"/>
        </w:rPr>
      </w:pPr>
      <w:r>
        <w:rPr>
          <w:snapToGrid w:val="0"/>
        </w:rPr>
        <w:tab/>
        <w:t>(c)</w:t>
      </w:r>
      <w:r>
        <w:rPr>
          <w:snapToGrid w:val="0"/>
        </w:rPr>
        <w:tab/>
        <w:t>to approve any person, matter, or thing, such power includes power to withdraw approval thereof;</w:t>
      </w:r>
    </w:p>
    <w:p>
      <w:pPr>
        <w:pStyle w:val="Indenta"/>
        <w:rPr>
          <w:snapToGrid w:val="0"/>
        </w:rPr>
      </w:pPr>
      <w:r>
        <w:rPr>
          <w:snapToGrid w:val="0"/>
        </w:rPr>
        <w:tab/>
        <w:t>(d)</w:t>
      </w:r>
      <w:r>
        <w:rPr>
          <w:snapToGrid w:val="0"/>
        </w:rPr>
        <w:tab/>
        <w:t>to give directions, such power includes power to express the same in the form of prohibitions.</w:t>
      </w:r>
    </w:p>
    <w:p>
      <w:pPr>
        <w:pStyle w:val="Subsection"/>
        <w:spacing w:before="18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240"/>
        <w:rPr>
          <w:snapToGrid w:val="0"/>
        </w:rPr>
      </w:pPr>
      <w:bookmarkStart w:id="82" w:name="_Toc100568831"/>
      <w:r>
        <w:rPr>
          <w:rStyle w:val="CharSectno"/>
        </w:rPr>
        <w:t>51</w:t>
      </w:r>
      <w:r>
        <w:rPr>
          <w:snapToGrid w:val="0"/>
        </w:rPr>
        <w:t>.</w:t>
      </w:r>
      <w:r>
        <w:rPr>
          <w:snapToGrid w:val="0"/>
        </w:rPr>
        <w:tab/>
        <w:t>Power to issue licences and other authorisations is discretionary</w:t>
      </w:r>
      <w:bookmarkEnd w:id="82"/>
      <w:r>
        <w:rPr>
          <w:snapToGrid w:val="0"/>
        </w:rPr>
        <w:t xml:space="preserve"> </w:t>
      </w:r>
    </w:p>
    <w:p>
      <w:pPr>
        <w:pStyle w:val="Subsection"/>
        <w:spacing w:before="180"/>
        <w:rPr>
          <w:snapToGrid w:val="0"/>
        </w:rPr>
      </w:pPr>
      <w:r>
        <w:rPr>
          <w:snapToGrid w:val="0"/>
        </w:rPr>
        <w:tab/>
        <w:t>(1)</w:t>
      </w:r>
      <w:r>
        <w:rPr>
          <w:snapToGrid w:val="0"/>
        </w:rPr>
        <w:tab/>
        <w:t>Where a written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18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No. 54 of 2004 s. 175(3).]</w:t>
      </w:r>
    </w:p>
    <w:p>
      <w:pPr>
        <w:pStyle w:val="Heading5"/>
        <w:spacing w:before="120"/>
        <w:rPr>
          <w:snapToGrid w:val="0"/>
        </w:rPr>
      </w:pPr>
      <w:bookmarkStart w:id="83" w:name="_Toc100568832"/>
      <w:r>
        <w:rPr>
          <w:rStyle w:val="CharSectno"/>
        </w:rPr>
        <w:lastRenderedPageBreak/>
        <w:t>52</w:t>
      </w:r>
      <w:r>
        <w:rPr>
          <w:snapToGrid w:val="0"/>
        </w:rPr>
        <w:t>.</w:t>
      </w:r>
      <w:r>
        <w:rPr>
          <w:snapToGrid w:val="0"/>
        </w:rPr>
        <w:tab/>
        <w:t>Power to appoint includes power to remove, suspend, appoint acting officer etc.</w:t>
      </w:r>
      <w:bookmarkEnd w:id="83"/>
    </w:p>
    <w:p>
      <w:pPr>
        <w:pStyle w:val="Subsection"/>
        <w:spacing w:before="120"/>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 and</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rPr>
      </w:pPr>
      <w:r>
        <w:rPr>
          <w:snapToGrid w:val="0"/>
        </w:rPr>
        <w:tab/>
        <w:t>(c)</w:t>
      </w:r>
      <w:r>
        <w:rPr>
          <w:snapToGrid w:val="0"/>
        </w:rPr>
        <w:tab/>
        <w:t>to specify the period for which any person appointed in exercise of such a power or duty shall hold his appointment.</w:t>
      </w:r>
    </w:p>
    <w:p>
      <w:pPr>
        <w:pStyle w:val="Subsection"/>
        <w:spacing w:before="120"/>
        <w:rPr>
          <w:snapToGrid w:val="0"/>
        </w:rPr>
      </w:pPr>
      <w:r>
        <w:rPr>
          <w:snapToGrid w:val="0"/>
        </w:rPr>
        <w:tab/>
        <w:t>(2)</w:t>
      </w:r>
      <w:r>
        <w:rPr>
          <w:snapToGrid w:val="0"/>
        </w:rPr>
        <w:tab/>
        <w:t xml:space="preserve">For the purposes of subsection (1)(b), </w:t>
      </w:r>
      <w:r>
        <w:rPr>
          <w:rStyle w:val="CharDefText"/>
        </w:rPr>
        <w:t>cause</w:t>
      </w:r>
      <w:r>
        <w:rPr>
          <w:snapToGrid w:val="0"/>
        </w:rPr>
        <w:t xml:space="preserve"> includes — </w:t>
      </w:r>
    </w:p>
    <w:p>
      <w:pPr>
        <w:pStyle w:val="Indenta"/>
        <w:rPr>
          <w:snapToGrid w:val="0"/>
        </w:rPr>
      </w:pPr>
      <w:r>
        <w:rPr>
          <w:snapToGrid w:val="0"/>
        </w:rPr>
        <w:tab/>
        <w:t>(a)</w:t>
      </w:r>
      <w:r>
        <w:rPr>
          <w:snapToGrid w:val="0"/>
        </w:rPr>
        <w:tab/>
        <w:t>illness; and</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spacing w:before="120"/>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spacing w:before="120"/>
        <w:rPr>
          <w:snapToGrid w:val="0"/>
        </w:rPr>
      </w:pPr>
      <w:r>
        <w:rPr>
          <w:snapToGrid w:val="0"/>
        </w:rPr>
        <w:tab/>
        <w:t>(4)</w:t>
      </w:r>
      <w:r>
        <w:rPr>
          <w:snapToGrid w:val="0"/>
        </w:rPr>
        <w:tab/>
        <w:t xml:space="preserve">Where a written law confers a power or imposes a duty upon a person to make an appointment to an office or position and that power or duty is exercisable only upon the </w:t>
      </w:r>
      <w:r>
        <w:t>nomination</w:t>
      </w:r>
      <w:r>
        <w:rPr>
          <w:snapToGrid w:val="0"/>
        </w:rPr>
        <w:t xml:space="preserve"> or recommendation, or is subject to the approval, concurrence, or consent of some other person, then the powers conferred by subsection (1)(a) to (c) shall only be exercisable upon such </w:t>
      </w:r>
      <w:r>
        <w:rPr>
          <w:snapToGrid w:val="0"/>
        </w:rPr>
        <w:lastRenderedPageBreak/>
        <w:t>nomination or recommendation or subject to such approval, concurrence, or consent.</w:t>
      </w:r>
    </w:p>
    <w:p>
      <w:pPr>
        <w:pStyle w:val="Subsection"/>
        <w:spacing w:before="120"/>
        <w:rPr>
          <w:snapToGrid w:val="0"/>
        </w:rPr>
      </w:pPr>
      <w:r>
        <w:rPr>
          <w:snapToGrid w:val="0"/>
        </w:rPr>
        <w:tab/>
        <w:t>(5)</w:t>
      </w:r>
      <w:r>
        <w:rPr>
          <w:snapToGrid w:val="0"/>
        </w:rPr>
        <w:tab/>
        <w:t>Nothing in this section affects the tenure of office or position of any person under the express provisions of any written law.</w:t>
      </w:r>
    </w:p>
    <w:p>
      <w:pPr>
        <w:pStyle w:val="Footnotesection"/>
      </w:pPr>
      <w:r>
        <w:tab/>
        <w:t>[Section 52 amended: No. 31 of 2010 s. 7.]</w:t>
      </w:r>
    </w:p>
    <w:p>
      <w:pPr>
        <w:pStyle w:val="Heading5"/>
        <w:spacing w:before="180"/>
        <w:rPr>
          <w:snapToGrid w:val="0"/>
        </w:rPr>
      </w:pPr>
      <w:bookmarkStart w:id="84" w:name="_Toc100568833"/>
      <w:r>
        <w:rPr>
          <w:rStyle w:val="CharSectno"/>
        </w:rPr>
        <w:t>53</w:t>
      </w:r>
      <w:r>
        <w:rPr>
          <w:snapToGrid w:val="0"/>
        </w:rPr>
        <w:t>.</w:t>
      </w:r>
      <w:r>
        <w:rPr>
          <w:snapToGrid w:val="0"/>
        </w:rPr>
        <w:tab/>
        <w:t>Appointments may be by name or office</w:t>
      </w:r>
      <w:bookmarkEnd w:id="84"/>
      <w:r>
        <w:rPr>
          <w:snapToGrid w:val="0"/>
        </w:rPr>
        <w:t xml:space="preserve"> </w:t>
      </w:r>
    </w:p>
    <w:p>
      <w:pPr>
        <w:pStyle w:val="Subsection"/>
        <w:keepNext/>
        <w:spacing w:before="120"/>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 or</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spacing w:before="180"/>
        <w:rPr>
          <w:snapToGrid w:val="0"/>
        </w:rPr>
      </w:pPr>
      <w:bookmarkStart w:id="85" w:name="_Toc100568834"/>
      <w:r>
        <w:rPr>
          <w:rStyle w:val="CharSectno"/>
        </w:rPr>
        <w:t>54</w:t>
      </w:r>
      <w:r>
        <w:rPr>
          <w:snapToGrid w:val="0"/>
        </w:rPr>
        <w:t>.</w:t>
      </w:r>
      <w:r>
        <w:rPr>
          <w:snapToGrid w:val="0"/>
        </w:rPr>
        <w:tab/>
        <w:t>Statutory bodies, majority and quorum provisions</w:t>
      </w:r>
      <w:bookmarkEnd w:id="85"/>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rStyle w:val="CharDefText"/>
        </w:rPr>
        <w:t>association</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lastRenderedPageBreak/>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spacing w:before="180"/>
        <w:rPr>
          <w:snapToGrid w:val="0"/>
        </w:rPr>
      </w:pPr>
      <w:bookmarkStart w:id="86" w:name="_Toc100568835"/>
      <w:r>
        <w:rPr>
          <w:rStyle w:val="CharSectno"/>
        </w:rPr>
        <w:t>55</w:t>
      </w:r>
      <w:r>
        <w:rPr>
          <w:snapToGrid w:val="0"/>
        </w:rPr>
        <w:t>.</w:t>
      </w:r>
      <w:r>
        <w:rPr>
          <w:snapToGrid w:val="0"/>
        </w:rPr>
        <w:tab/>
        <w:t>Errors when exercising certain powers or duties may be corrected</w:t>
      </w:r>
      <w:bookmarkEnd w:id="86"/>
    </w:p>
    <w:p>
      <w:pPr>
        <w:pStyle w:val="Subsection"/>
        <w:spacing w:before="120"/>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spacing w:before="180"/>
        <w:rPr>
          <w:snapToGrid w:val="0"/>
        </w:rPr>
      </w:pPr>
      <w:bookmarkStart w:id="87" w:name="_Toc100568836"/>
      <w:r>
        <w:rPr>
          <w:snapToGrid w:val="0"/>
        </w:rPr>
        <w:t>56.</w:t>
      </w:r>
      <w:r>
        <w:rPr>
          <w:snapToGrid w:val="0"/>
        </w:rPr>
        <w:tab/>
        <w:t>“May” imports a discretion, “shall” is imperative</w:t>
      </w:r>
      <w:bookmarkEnd w:id="87"/>
      <w:r>
        <w:rPr>
          <w:snapToGrid w:val="0"/>
        </w:rPr>
        <w:t xml:space="preserve"> </w:t>
      </w:r>
    </w:p>
    <w:p>
      <w:pPr>
        <w:pStyle w:val="Subsection"/>
        <w:spacing w:before="120"/>
        <w:rPr>
          <w:snapToGrid w:val="0"/>
        </w:rPr>
      </w:pPr>
      <w:r>
        <w:rPr>
          <w:snapToGrid w:val="0"/>
        </w:rPr>
        <w:tab/>
        <w:t>(1)</w:t>
      </w:r>
      <w:r>
        <w:rPr>
          <w:snapToGrid w:val="0"/>
        </w:rPr>
        <w:tab/>
        <w:t xml:space="preserve">Where in a written law the word </w:t>
      </w:r>
      <w:r>
        <w:rPr>
          <w:rStyle w:val="CharDefText"/>
        </w:rPr>
        <w:t>may</w:t>
      </w:r>
      <w:r>
        <w:rPr>
          <w:snapToGrid w:val="0"/>
        </w:rPr>
        <w:t xml:space="preserve"> is used in conferring a power, such word shall be interpreted to imply that the power so conferred may be exercised or not, at discretion.</w:t>
      </w:r>
    </w:p>
    <w:p>
      <w:pPr>
        <w:pStyle w:val="Subsection"/>
        <w:spacing w:before="120"/>
        <w:rPr>
          <w:snapToGrid w:val="0"/>
        </w:rPr>
      </w:pPr>
      <w:r>
        <w:rPr>
          <w:snapToGrid w:val="0"/>
        </w:rPr>
        <w:tab/>
        <w:t>(2)</w:t>
      </w:r>
      <w:r>
        <w:rPr>
          <w:snapToGrid w:val="0"/>
        </w:rPr>
        <w:tab/>
        <w:t xml:space="preserve">Where in a written law the word </w:t>
      </w:r>
      <w:r>
        <w:rPr>
          <w:rStyle w:val="CharDefText"/>
        </w:rPr>
        <w:t>shall</w:t>
      </w:r>
      <w:r>
        <w:rPr>
          <w:snapToGrid w:val="0"/>
        </w:rPr>
        <w:t xml:space="preserve"> is used in conferring a function, such word shall be interpreted to mean that the function so conferred must be performed.</w:t>
      </w:r>
    </w:p>
    <w:p>
      <w:pPr>
        <w:pStyle w:val="Heading5"/>
        <w:spacing w:before="180"/>
        <w:rPr>
          <w:snapToGrid w:val="0"/>
        </w:rPr>
      </w:pPr>
      <w:bookmarkStart w:id="88" w:name="_Toc100568837"/>
      <w:r>
        <w:rPr>
          <w:rStyle w:val="CharSectno"/>
        </w:rPr>
        <w:t>57</w:t>
      </w:r>
      <w:r>
        <w:rPr>
          <w:snapToGrid w:val="0"/>
        </w:rPr>
        <w:t>.</w:t>
      </w:r>
      <w:r>
        <w:rPr>
          <w:snapToGrid w:val="0"/>
        </w:rPr>
        <w:tab/>
        <w:t>Statutory bodies, powers of not affected by vacancies etc.</w:t>
      </w:r>
      <w:bookmarkEnd w:id="88"/>
    </w:p>
    <w:p>
      <w:pPr>
        <w:pStyle w:val="Subsection"/>
        <w:spacing w:before="120"/>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 or</w:t>
      </w:r>
    </w:p>
    <w:p>
      <w:pPr>
        <w:pStyle w:val="Indenta"/>
        <w:keepNext/>
        <w:keepLines/>
        <w:rPr>
          <w:snapToGrid w:val="0"/>
        </w:rPr>
      </w:pPr>
      <w:r>
        <w:rPr>
          <w:snapToGrid w:val="0"/>
        </w:rPr>
        <w:lastRenderedPageBreak/>
        <w:tab/>
        <w:t>(b)</w:t>
      </w:r>
      <w:r>
        <w:rPr>
          <w:snapToGrid w:val="0"/>
        </w:rPr>
        <w:tab/>
        <w:t>any defect afterwards discovered in the appointment or qualification of a person purporting to be a member of the body or the deputy or alternate of a member; or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89" w:name="_Toc100568838"/>
      <w:r>
        <w:rPr>
          <w:rStyle w:val="CharSectno"/>
        </w:rPr>
        <w:t>58</w:t>
      </w:r>
      <w:r>
        <w:rPr>
          <w:snapToGrid w:val="0"/>
        </w:rPr>
        <w:t>.</w:t>
      </w:r>
      <w:r>
        <w:rPr>
          <w:snapToGrid w:val="0"/>
        </w:rPr>
        <w:tab/>
        <w:t>Delegates, performance of functions by</w:t>
      </w:r>
      <w:bookmarkEnd w:id="89"/>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90" w:name="_Toc100568839"/>
      <w:r>
        <w:rPr>
          <w:rStyle w:val="CharSectno"/>
        </w:rPr>
        <w:t>59</w:t>
      </w:r>
      <w:r>
        <w:rPr>
          <w:snapToGrid w:val="0"/>
        </w:rPr>
        <w:t>.</w:t>
      </w:r>
      <w:r>
        <w:rPr>
          <w:snapToGrid w:val="0"/>
        </w:rPr>
        <w:tab/>
        <w:t>Power to delegate, effect of</w:t>
      </w:r>
      <w:bookmarkEnd w:id="90"/>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lastRenderedPageBreak/>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91" w:name="_Toc100568840"/>
      <w:r>
        <w:rPr>
          <w:rStyle w:val="CharSectno"/>
        </w:rPr>
        <w:t>60</w:t>
      </w:r>
      <w:r>
        <w:rPr>
          <w:snapToGrid w:val="0"/>
        </w:rPr>
        <w:t>.</w:t>
      </w:r>
      <w:r>
        <w:rPr>
          <w:snapToGrid w:val="0"/>
        </w:rPr>
        <w:tab/>
        <w:t>Governor to act with advice of Executive Council</w:t>
      </w:r>
      <w:bookmarkEnd w:id="91"/>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92" w:name="_Toc100326544"/>
      <w:bookmarkStart w:id="93" w:name="_Toc100327174"/>
      <w:bookmarkStart w:id="94" w:name="_Toc100568841"/>
      <w:r>
        <w:rPr>
          <w:rStyle w:val="CharPartNo"/>
        </w:rPr>
        <w:lastRenderedPageBreak/>
        <w:t>Part VIII</w:t>
      </w:r>
      <w:r>
        <w:rPr>
          <w:rStyle w:val="CharDivNo"/>
        </w:rPr>
        <w:t> </w:t>
      </w:r>
      <w:r>
        <w:t>—</w:t>
      </w:r>
      <w:r>
        <w:rPr>
          <w:rStyle w:val="CharDivText"/>
        </w:rPr>
        <w:t> </w:t>
      </w:r>
      <w:r>
        <w:rPr>
          <w:rStyle w:val="CharPartText"/>
        </w:rPr>
        <w:t>Provisions regarding time and distance</w:t>
      </w:r>
      <w:bookmarkEnd w:id="92"/>
      <w:bookmarkEnd w:id="93"/>
      <w:bookmarkEnd w:id="94"/>
      <w:r>
        <w:rPr>
          <w:rStyle w:val="CharPartText"/>
        </w:rPr>
        <w:t xml:space="preserve"> </w:t>
      </w:r>
    </w:p>
    <w:p>
      <w:pPr>
        <w:pStyle w:val="Heading5"/>
        <w:rPr>
          <w:snapToGrid w:val="0"/>
        </w:rPr>
      </w:pPr>
      <w:bookmarkStart w:id="95" w:name="_Toc100568842"/>
      <w:r>
        <w:rPr>
          <w:rStyle w:val="CharSectno"/>
        </w:rPr>
        <w:t>61</w:t>
      </w:r>
      <w:r>
        <w:rPr>
          <w:snapToGrid w:val="0"/>
        </w:rPr>
        <w:t>.</w:t>
      </w:r>
      <w:r>
        <w:rPr>
          <w:snapToGrid w:val="0"/>
        </w:rPr>
        <w:tab/>
        <w:t>Time, computation of</w:t>
      </w:r>
      <w:bookmarkEnd w:id="95"/>
      <w:r>
        <w:rPr>
          <w:snapToGrid w:val="0"/>
        </w:rPr>
        <w:t xml:space="preserve"> </w:t>
      </w:r>
    </w:p>
    <w:p>
      <w:pPr>
        <w:pStyle w:val="Subsection"/>
        <w:spacing w:before="120"/>
        <w:rPr>
          <w:snapToGrid w:val="0"/>
        </w:rPr>
      </w:pP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lastRenderedPageBreak/>
        <w:tab/>
        <w:t>(2)</w:t>
      </w:r>
      <w:r>
        <w:rPr>
          <w:snapToGrid w:val="0"/>
        </w:rPr>
        <w:tab/>
        <w:t xml:space="preserve">For the purposes of this section, </w:t>
      </w:r>
      <w:r>
        <w:rPr>
          <w:rStyle w:val="CharDefText"/>
        </w:rPr>
        <w:t>excluded day</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96" w:name="_Toc100568843"/>
      <w:r>
        <w:rPr>
          <w:rStyle w:val="CharSectno"/>
        </w:rPr>
        <w:t>62</w:t>
      </w:r>
      <w:r>
        <w:rPr>
          <w:snapToGrid w:val="0"/>
        </w:rPr>
        <w:t>.</w:t>
      </w:r>
      <w:r>
        <w:rPr>
          <w:snapToGrid w:val="0"/>
        </w:rPr>
        <w:tab/>
        <w:t>Months, reckoning of</w:t>
      </w:r>
      <w:bookmarkEnd w:id="96"/>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month</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97" w:name="_Toc100568844"/>
      <w:r>
        <w:rPr>
          <w:rStyle w:val="CharSectno"/>
        </w:rPr>
        <w:t>63</w:t>
      </w:r>
      <w:r>
        <w:rPr>
          <w:snapToGrid w:val="0"/>
        </w:rPr>
        <w:t>.</w:t>
      </w:r>
      <w:r>
        <w:rPr>
          <w:snapToGrid w:val="0"/>
        </w:rPr>
        <w:tab/>
        <w:t>Time for doing acts if no time fixed</w:t>
      </w:r>
      <w:bookmarkEnd w:id="97"/>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98" w:name="_Toc100568845"/>
      <w:r>
        <w:rPr>
          <w:rStyle w:val="CharSectno"/>
        </w:rPr>
        <w:lastRenderedPageBreak/>
        <w:t>64</w:t>
      </w:r>
      <w:r>
        <w:rPr>
          <w:snapToGrid w:val="0"/>
        </w:rPr>
        <w:t>.</w:t>
      </w:r>
      <w:r>
        <w:rPr>
          <w:snapToGrid w:val="0"/>
        </w:rPr>
        <w:tab/>
        <w:t>Power to extend time, construction of</w:t>
      </w:r>
      <w:bookmarkEnd w:id="98"/>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99" w:name="_Toc100568846"/>
      <w:r>
        <w:rPr>
          <w:rStyle w:val="CharSectno"/>
        </w:rPr>
        <w:t>65</w:t>
      </w:r>
      <w:r>
        <w:rPr>
          <w:snapToGrid w:val="0"/>
        </w:rPr>
        <w:t>.</w:t>
      </w:r>
      <w:r>
        <w:rPr>
          <w:snapToGrid w:val="0"/>
        </w:rPr>
        <w:tab/>
        <w:t>Distance, measurement of</w:t>
      </w:r>
      <w:bookmarkEnd w:id="99"/>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100" w:name="_Toc100326550"/>
      <w:bookmarkStart w:id="101" w:name="_Toc100327180"/>
      <w:bookmarkStart w:id="102" w:name="_Toc100568847"/>
      <w:r>
        <w:rPr>
          <w:rStyle w:val="CharPartNo"/>
        </w:rPr>
        <w:lastRenderedPageBreak/>
        <w:t>Part IX</w:t>
      </w:r>
      <w:r>
        <w:rPr>
          <w:rStyle w:val="CharDivNo"/>
        </w:rPr>
        <w:t> </w:t>
      </w:r>
      <w:r>
        <w:t>—</w:t>
      </w:r>
      <w:r>
        <w:rPr>
          <w:rStyle w:val="CharDivText"/>
        </w:rPr>
        <w:t> </w:t>
      </w:r>
      <w:r>
        <w:rPr>
          <w:rStyle w:val="CharPartText"/>
        </w:rPr>
        <w:t>Procedures and penalties</w:t>
      </w:r>
      <w:bookmarkEnd w:id="100"/>
      <w:bookmarkEnd w:id="101"/>
      <w:bookmarkEnd w:id="102"/>
      <w:r>
        <w:rPr>
          <w:rStyle w:val="CharPartText"/>
        </w:rPr>
        <w:t xml:space="preserve"> </w:t>
      </w:r>
    </w:p>
    <w:p>
      <w:pPr>
        <w:pStyle w:val="Heading5"/>
        <w:spacing w:before="240"/>
        <w:rPr>
          <w:snapToGrid w:val="0"/>
        </w:rPr>
      </w:pPr>
      <w:bookmarkStart w:id="103" w:name="_Toc100568848"/>
      <w:r>
        <w:rPr>
          <w:rStyle w:val="CharSectno"/>
        </w:rPr>
        <w:t>66</w:t>
      </w:r>
      <w:r>
        <w:rPr>
          <w:snapToGrid w:val="0"/>
        </w:rPr>
        <w:t>.</w:t>
      </w:r>
      <w:r>
        <w:rPr>
          <w:snapToGrid w:val="0"/>
        </w:rPr>
        <w:tab/>
        <w:t>Rules of court</w:t>
      </w:r>
      <w:bookmarkEnd w:id="103"/>
      <w:r>
        <w:rPr>
          <w:snapToGrid w:val="0"/>
        </w:rPr>
        <w:t xml:space="preserve"> </w:t>
      </w:r>
    </w:p>
    <w:p>
      <w:pPr>
        <w:pStyle w:val="Subsection"/>
        <w:spacing w:before="120"/>
        <w:rPr>
          <w:snapToGrid w:val="0"/>
        </w:rPr>
      </w:pPr>
      <w:r>
        <w:rPr>
          <w:snapToGrid w:val="0"/>
        </w:rPr>
        <w:tab/>
        <w:t>(1)</w:t>
      </w:r>
      <w:r>
        <w:rPr>
          <w:snapToGrid w:val="0"/>
        </w:rPr>
        <w:tab/>
        <w:t xml:space="preserve">In a written law, </w:t>
      </w:r>
      <w:r>
        <w:rPr>
          <w:rStyle w:val="CharDefText"/>
        </w:rPr>
        <w:t>rules of court</w:t>
      </w:r>
      <w:r>
        <w:rPr>
          <w:snapToGrid w:val="0"/>
        </w:rPr>
        <w:t>, in relation to any court or tribunal, means rules made by the authority having for the time being power to make rules or orders regulating the practice and procedure of such court or tribunal.</w:t>
      </w:r>
    </w:p>
    <w:p>
      <w:pPr>
        <w:pStyle w:val="Subsection"/>
        <w:spacing w:before="120"/>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spacing w:before="120"/>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spacing w:before="180"/>
        <w:rPr>
          <w:snapToGrid w:val="0"/>
        </w:rPr>
      </w:pPr>
      <w:bookmarkStart w:id="104" w:name="_Toc100568849"/>
      <w:r>
        <w:rPr>
          <w:rStyle w:val="CharSectno"/>
        </w:rPr>
        <w:t>67</w:t>
      </w:r>
      <w:r>
        <w:rPr>
          <w:snapToGrid w:val="0"/>
        </w:rPr>
        <w:t>.</w:t>
      </w:r>
      <w:r>
        <w:rPr>
          <w:snapToGrid w:val="0"/>
        </w:rPr>
        <w:tab/>
        <w:t>Offences and proceedings for offences</w:t>
      </w:r>
      <w:bookmarkEnd w:id="104"/>
      <w:r>
        <w:rPr>
          <w:snapToGrid w:val="0"/>
        </w:rPr>
        <w:t xml:space="preserve"> </w:t>
      </w:r>
    </w:p>
    <w:p>
      <w:pPr>
        <w:pStyle w:val="Subsection"/>
        <w:spacing w:before="120"/>
        <w:rPr>
          <w:snapToGrid w:val="0"/>
        </w:rPr>
      </w:pPr>
      <w:r>
        <w:rPr>
          <w:snapToGrid w:val="0"/>
        </w:rPr>
        <w:tab/>
        <w:t>(1)</w:t>
      </w:r>
      <w:r>
        <w:rPr>
          <w:snapToGrid w:val="0"/>
        </w:rPr>
        <w:tab/>
        <w:t>Offences are of 2 kinds: indictable offences and simple offences.</w:t>
      </w:r>
    </w:p>
    <w:p>
      <w:pPr>
        <w:pStyle w:val="Subsection"/>
        <w:spacing w:before="120"/>
      </w:pPr>
      <w:r>
        <w:tab/>
        <w:t>(1a)</w:t>
      </w:r>
      <w:r>
        <w:tab/>
        <w:t>An offence designated as a crime or as a misdemeanour is an indictable offence.</w:t>
      </w:r>
    </w:p>
    <w:p>
      <w:pPr>
        <w:pStyle w:val="Subsection"/>
        <w:spacing w:before="120"/>
        <w:rPr>
          <w:snapToGrid w:val="0"/>
        </w:rPr>
      </w:pPr>
      <w:r>
        <w:rPr>
          <w:snapToGrid w:val="0"/>
        </w:rPr>
        <w:tab/>
        <w:t>(2)</w:t>
      </w:r>
      <w:r>
        <w:rPr>
          <w:snapToGrid w:val="0"/>
        </w:rPr>
        <w:tab/>
        <w:t>An offence not otherwise designated is a simple offence.</w:t>
      </w:r>
    </w:p>
    <w:p>
      <w:pPr>
        <w:pStyle w:val="Subsection"/>
        <w:spacing w:before="120"/>
      </w:pPr>
      <w:r>
        <w:tab/>
        <w:t>(3)</w:t>
      </w:r>
      <w:r>
        <w:tab/>
        <w:t xml:space="preserve">The procedure for prosecuting and dealing with offences is set out in the </w:t>
      </w:r>
      <w:r>
        <w:rPr>
          <w:i/>
        </w:rPr>
        <w:t>Criminal Procedure Act 2004</w:t>
      </w:r>
      <w:r>
        <w:t>.</w:t>
      </w:r>
    </w:p>
    <w:p>
      <w:pPr>
        <w:pStyle w:val="Ednotesubsection"/>
        <w:spacing w:before="120"/>
      </w:pPr>
      <w:r>
        <w:tab/>
        <w:t>[(4)</w:t>
      </w:r>
      <w:r>
        <w:tab/>
        <w:t>deleted]</w:t>
      </w:r>
    </w:p>
    <w:p>
      <w:pPr>
        <w:pStyle w:val="Subsection"/>
        <w:spacing w:before="120"/>
        <w:rPr>
          <w:snapToGrid w:val="0"/>
        </w:rPr>
      </w:pPr>
      <w:r>
        <w:tab/>
        <w:t>(5)</w:t>
      </w:r>
      <w:r>
        <w:tab/>
        <w:t xml:space="preserve">This section does not limit the operation of Part 3 of the </w:t>
      </w:r>
      <w:r>
        <w:rPr>
          <w:i/>
        </w:rPr>
        <w:t>Children’s Court of Western Australia Act 1988</w:t>
      </w:r>
      <w:r>
        <w:t>.</w:t>
      </w:r>
    </w:p>
    <w:p>
      <w:pPr>
        <w:pStyle w:val="Footnotesection"/>
        <w:spacing w:before="80"/>
        <w:ind w:left="890" w:hanging="890"/>
      </w:pPr>
      <w:r>
        <w:tab/>
        <w:t xml:space="preserve">[Section 67 inserted: No. 92 of 1994 s. 15; amended: No. 4 of 2004 s. 58; No. 59 of 2004 s. 141; No. 84 of 2004 s. 78.] </w:t>
      </w:r>
    </w:p>
    <w:p>
      <w:pPr>
        <w:pStyle w:val="Ednotesection"/>
      </w:pPr>
      <w:r>
        <w:lastRenderedPageBreak/>
        <w:t>[</w:t>
      </w:r>
      <w:r>
        <w:rPr>
          <w:b/>
        </w:rPr>
        <w:t>68.</w:t>
      </w:r>
      <w:r>
        <w:tab/>
        <w:t xml:space="preserve">Deleted: No. 78 of 1995 s. 56.] </w:t>
      </w:r>
    </w:p>
    <w:p>
      <w:pPr>
        <w:pStyle w:val="Heading5"/>
        <w:rPr>
          <w:snapToGrid w:val="0"/>
        </w:rPr>
      </w:pPr>
      <w:bookmarkStart w:id="105" w:name="_Toc100568850"/>
      <w:r>
        <w:rPr>
          <w:rStyle w:val="CharSectno"/>
        </w:rPr>
        <w:t>69</w:t>
      </w:r>
      <w:r>
        <w:rPr>
          <w:snapToGrid w:val="0"/>
        </w:rPr>
        <w:t>.</w:t>
      </w:r>
      <w:r>
        <w:rPr>
          <w:snapToGrid w:val="0"/>
        </w:rPr>
        <w:tab/>
        <w:t>Bodies corporate, application of penal laws to</w:t>
      </w:r>
      <w:bookmarkEnd w:id="105"/>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No. 78 of 1995 s. 56.] </w:t>
      </w:r>
    </w:p>
    <w:p>
      <w:pPr>
        <w:pStyle w:val="Ednotesection"/>
      </w:pPr>
      <w:r>
        <w:t>[</w:t>
      </w:r>
      <w:r>
        <w:rPr>
          <w:b/>
        </w:rPr>
        <w:t>70.</w:t>
      </w:r>
      <w:r>
        <w:tab/>
        <w:t xml:space="preserve">Deleted: No. 78 of 1995 s. 56.] </w:t>
      </w:r>
    </w:p>
    <w:p>
      <w:pPr>
        <w:pStyle w:val="Heading5"/>
        <w:rPr>
          <w:snapToGrid w:val="0"/>
        </w:rPr>
      </w:pPr>
      <w:bookmarkStart w:id="106" w:name="_Toc100568851"/>
      <w:r>
        <w:rPr>
          <w:rStyle w:val="CharSectno"/>
        </w:rPr>
        <w:t>71</w:t>
      </w:r>
      <w:r>
        <w:rPr>
          <w:snapToGrid w:val="0"/>
        </w:rPr>
        <w:t>.</w:t>
      </w:r>
      <w:r>
        <w:rPr>
          <w:snapToGrid w:val="0"/>
        </w:rPr>
        <w:tab/>
        <w:t>Continuing offences</w:t>
      </w:r>
      <w:bookmarkEnd w:id="10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rPr>
      </w:pPr>
      <w:r>
        <w:rPr>
          <w:snapToGrid w:val="0"/>
        </w:rPr>
        <w:tab/>
        <w:t>(b)</w:t>
      </w:r>
      <w:r>
        <w:rPr>
          <w:snapToGrid w:val="0"/>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 and</w:t>
      </w:r>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lastRenderedPageBreak/>
        <w:tab/>
        <w:t>(f)</w:t>
      </w:r>
      <w:r>
        <w:rPr>
          <w:snapToGrid w:val="0"/>
        </w:rPr>
        <w:tab/>
        <w:t>unless otherwise provided, the penalty applicable to each separate and further offence is $50.</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rPr>
          <w:snapToGrid w:val="0"/>
        </w:rPr>
      </w:pPr>
      <w:r>
        <w:rPr>
          <w:snapToGrid w:val="0"/>
        </w:rPr>
        <w:tab/>
      </w:r>
      <w:r>
        <w:rPr>
          <w:snapToGrid w:val="0"/>
        </w:rPr>
        <w:tab/>
        <w:t>that person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107" w:name="_Toc100568852"/>
      <w:r>
        <w:rPr>
          <w:rStyle w:val="CharSectno"/>
        </w:rPr>
        <w:t>72</w:t>
      </w:r>
      <w:r>
        <w:rPr>
          <w:snapToGrid w:val="0"/>
        </w:rPr>
        <w:t>.</w:t>
      </w:r>
      <w:r>
        <w:rPr>
          <w:snapToGrid w:val="0"/>
        </w:rPr>
        <w:tab/>
        <w:t>Statutory penalties, construction of</w:t>
      </w:r>
      <w:bookmarkEnd w:id="107"/>
      <w:r>
        <w:rPr>
          <w:snapToGrid w:val="0"/>
        </w:rPr>
        <w:t xml:space="preserve"> </w:t>
      </w:r>
    </w:p>
    <w:p>
      <w:pPr>
        <w:pStyle w:val="Subsection"/>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 or</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lastRenderedPageBreak/>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No. 78 of 1995 s. 55; amended: No. 10 of 1998 s. 40(2); No. 24 of 2000 s. 19.] </w:t>
      </w:r>
    </w:p>
    <w:p>
      <w:pPr>
        <w:pStyle w:val="Heading2"/>
      </w:pPr>
      <w:bookmarkStart w:id="108" w:name="_Toc100326556"/>
      <w:bookmarkStart w:id="109" w:name="_Toc100327186"/>
      <w:bookmarkStart w:id="110" w:name="_Toc100568853"/>
      <w:r>
        <w:rPr>
          <w:rStyle w:val="CharPartNo"/>
        </w:rPr>
        <w:lastRenderedPageBreak/>
        <w:t>Part X</w:t>
      </w:r>
      <w:r>
        <w:rPr>
          <w:rStyle w:val="CharDivNo"/>
        </w:rPr>
        <w:t> </w:t>
      </w:r>
      <w:r>
        <w:t>—</w:t>
      </w:r>
      <w:r>
        <w:rPr>
          <w:rStyle w:val="CharDivText"/>
        </w:rPr>
        <w:t> </w:t>
      </w:r>
      <w:r>
        <w:rPr>
          <w:rStyle w:val="CharPartText"/>
        </w:rPr>
        <w:t>Miscellaneous provisions</w:t>
      </w:r>
      <w:bookmarkEnd w:id="108"/>
      <w:bookmarkEnd w:id="109"/>
      <w:bookmarkEnd w:id="110"/>
      <w:r>
        <w:rPr>
          <w:rStyle w:val="CharPartText"/>
        </w:rPr>
        <w:t xml:space="preserve"> </w:t>
      </w:r>
    </w:p>
    <w:p>
      <w:pPr>
        <w:pStyle w:val="Heading5"/>
        <w:rPr>
          <w:snapToGrid w:val="0"/>
        </w:rPr>
      </w:pPr>
      <w:bookmarkStart w:id="111" w:name="_Toc100568854"/>
      <w:r>
        <w:rPr>
          <w:rStyle w:val="CharSectno"/>
        </w:rPr>
        <w:t>73</w:t>
      </w:r>
      <w:r>
        <w:rPr>
          <w:snapToGrid w:val="0"/>
        </w:rPr>
        <w:t>.</w:t>
      </w:r>
      <w:r>
        <w:rPr>
          <w:snapToGrid w:val="0"/>
        </w:rPr>
        <w:tab/>
        <w:t>State deemed established 1 June 1829</w:t>
      </w:r>
      <w:bookmarkEnd w:id="111"/>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112" w:name="_Toc100568855"/>
      <w:r>
        <w:rPr>
          <w:rStyle w:val="CharSectno"/>
        </w:rPr>
        <w:t>74</w:t>
      </w:r>
      <w:r>
        <w:rPr>
          <w:snapToGrid w:val="0"/>
        </w:rPr>
        <w:t>.</w:t>
      </w:r>
      <w:r>
        <w:rPr>
          <w:snapToGrid w:val="0"/>
        </w:rPr>
        <w:tab/>
        <w:t>Prescribed forms, certain deviations do not invalidate</w:t>
      </w:r>
      <w:bookmarkEnd w:id="112"/>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113" w:name="_Toc100568856"/>
      <w:r>
        <w:rPr>
          <w:rStyle w:val="CharSectno"/>
        </w:rPr>
        <w:t>75</w:t>
      </w:r>
      <w:r>
        <w:rPr>
          <w:snapToGrid w:val="0"/>
        </w:rPr>
        <w:t>.</w:t>
      </w:r>
      <w:r>
        <w:rPr>
          <w:snapToGrid w:val="0"/>
        </w:rPr>
        <w:tab/>
        <w:t>Service of documents by post</w:t>
      </w:r>
      <w:bookmarkEnd w:id="113"/>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114" w:name="_Toc100568857"/>
      <w:r>
        <w:rPr>
          <w:rStyle w:val="CharSectno"/>
        </w:rPr>
        <w:lastRenderedPageBreak/>
        <w:t>76</w:t>
      </w:r>
      <w:r>
        <w:rPr>
          <w:snapToGrid w:val="0"/>
        </w:rPr>
        <w:t>.</w:t>
      </w:r>
      <w:r>
        <w:rPr>
          <w:snapToGrid w:val="0"/>
        </w:rPr>
        <w:tab/>
        <w:t>Service of documents generally</w:t>
      </w:r>
      <w:bookmarkEnd w:id="114"/>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115" w:name="_Toc100568858"/>
      <w:r>
        <w:rPr>
          <w:rStyle w:val="CharSectno"/>
        </w:rPr>
        <w:t>76A</w:t>
      </w:r>
      <w:r>
        <w:rPr>
          <w:snapToGrid w:val="0"/>
        </w:rPr>
        <w:t xml:space="preserve">. </w:t>
      </w:r>
      <w:r>
        <w:rPr>
          <w:snapToGrid w:val="0"/>
        </w:rPr>
        <w:tab/>
        <w:t>Written laws made before Australia Acts, validity of</w:t>
      </w:r>
      <w:bookmarkEnd w:id="115"/>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lastRenderedPageBreak/>
        <w:tab/>
        <w:t>(b)</w:t>
      </w:r>
      <w:r>
        <w:rPr>
          <w:snapToGrid w:val="0"/>
        </w:rPr>
        <w:tab/>
        <w:t>invalidate any Act because it was assented to by the Sovereign rather than the Governor.</w:t>
      </w:r>
    </w:p>
    <w:p>
      <w:pPr>
        <w:pStyle w:val="Footnotesection"/>
      </w:pPr>
      <w:r>
        <w:tab/>
        <w:t xml:space="preserve">[Section 76A inserted: No. 85 of 1994 s. 5.] </w:t>
      </w:r>
    </w:p>
    <w:p>
      <w:pPr>
        <w:pStyle w:val="Heading5"/>
        <w:rPr>
          <w:snapToGrid w:val="0"/>
        </w:rPr>
      </w:pPr>
      <w:bookmarkStart w:id="116" w:name="_Toc100568859"/>
      <w:r>
        <w:rPr>
          <w:rStyle w:val="CharSectno"/>
        </w:rPr>
        <w:t>77</w:t>
      </w:r>
      <w:r>
        <w:rPr>
          <w:snapToGrid w:val="0"/>
        </w:rPr>
        <w:t>.</w:t>
      </w:r>
      <w:r>
        <w:rPr>
          <w:snapToGrid w:val="0"/>
        </w:rPr>
        <w:tab/>
        <w:t>Repeal and saving</w:t>
      </w:r>
      <w:bookmarkEnd w:id="116"/>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w:t>
      </w:r>
      <w:r>
        <w:rPr>
          <w:snapToGrid w:val="0"/>
          <w:vertAlign w:val="superscript"/>
        </w:rPr>
        <w:t> 1</w:t>
      </w:r>
      <w:r>
        <w:rPr>
          <w:snapToGrid w:val="0"/>
        </w:rPr>
        <w: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w:t>
      </w:r>
      <w:r>
        <w:rPr>
          <w:snapToGrid w:val="0"/>
          <w:vertAlign w:val="superscript"/>
        </w:rPr>
        <w:t> 4</w:t>
      </w:r>
      <w:r>
        <w:rPr>
          <w:snapToGrid w:val="0"/>
        </w:rPr>
        <w: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rPr>
          <w:snapToGrid w:val="0"/>
        </w:rPr>
      </w:pP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17" w:name="_Toc100326563"/>
      <w:bookmarkStart w:id="118" w:name="_Toc100327193"/>
      <w:bookmarkStart w:id="119" w:name="_Toc100568860"/>
      <w:r>
        <w:lastRenderedPageBreak/>
        <w:t>Notes</w:t>
      </w:r>
      <w:bookmarkEnd w:id="117"/>
      <w:bookmarkEnd w:id="118"/>
      <w:bookmarkEnd w:id="119"/>
    </w:p>
    <w:p>
      <w:pPr>
        <w:pStyle w:val="nStatement"/>
      </w:pPr>
      <w:r>
        <w:t xml:space="preserve">This is a compilation of the </w:t>
      </w:r>
      <w:r>
        <w:rPr>
          <w:i/>
          <w:noProof/>
        </w:rPr>
        <w:t>Interpretation Act 1984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0" w:name="_Toc100568861"/>
      <w:r>
        <w:t>Compilation table</w:t>
      </w:r>
      <w:bookmarkEnd w:id="12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pPr>
              <w:pStyle w:val="nTable"/>
              <w:spacing w:after="40"/>
            </w:pPr>
            <w:r>
              <w:rPr>
                <w:i/>
              </w:rPr>
              <w:t>Interpretation Act 1984</w:t>
            </w:r>
          </w:p>
        </w:tc>
        <w:tc>
          <w:tcPr>
            <w:tcW w:w="1134" w:type="dxa"/>
            <w:tcBorders>
              <w:top w:val="single" w:sz="8" w:space="0" w:color="auto"/>
            </w:tcBorders>
          </w:tcPr>
          <w:p>
            <w:pPr>
              <w:pStyle w:val="nTable"/>
              <w:spacing w:after="40"/>
            </w:pPr>
            <w:r>
              <w:t>12 of 1984</w:t>
            </w:r>
          </w:p>
        </w:tc>
        <w:tc>
          <w:tcPr>
            <w:tcW w:w="1134" w:type="dxa"/>
            <w:tcBorders>
              <w:top w:val="single" w:sz="8" w:space="0" w:color="auto"/>
            </w:tcBorders>
          </w:tcPr>
          <w:p>
            <w:pPr>
              <w:pStyle w:val="nTable"/>
              <w:spacing w:after="40"/>
            </w:pPr>
            <w:r>
              <w:t>31 May 1984</w:t>
            </w:r>
          </w:p>
        </w:tc>
        <w:tc>
          <w:tcPr>
            <w:tcW w:w="2552" w:type="dxa"/>
            <w:tcBorders>
              <w:top w:val="single" w:sz="8" w:space="0" w:color="auto"/>
            </w:tcBorders>
          </w:tcPr>
          <w:p>
            <w:pPr>
              <w:pStyle w:val="nTable"/>
              <w:spacing w:after="40"/>
            </w:pPr>
            <w:r>
              <w:t>1 Jul 1984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(Public Service) Act 1987 </w:t>
            </w:r>
            <w:r>
              <w:t>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(Children’s Court) Act 1988 </w:t>
            </w:r>
            <w:r>
              <w:t>Pt. 3</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Corporations (Western Australia) Act 1990 </w:t>
            </w:r>
            <w:r>
              <w:t>s. 97</w:t>
            </w:r>
          </w:p>
        </w:tc>
        <w:tc>
          <w:tcPr>
            <w:tcW w:w="1134" w:type="dxa"/>
          </w:tcPr>
          <w:p>
            <w:pPr>
              <w:pStyle w:val="nTable"/>
              <w:spacing w:after="40"/>
            </w:pPr>
            <w:r>
              <w:t>105 of 1990</w:t>
            </w:r>
          </w:p>
        </w:tc>
        <w:tc>
          <w:tcPr>
            <w:tcW w:w="1134" w:type="dxa"/>
          </w:tcPr>
          <w:p>
            <w:pPr>
              <w:pStyle w:val="nTable"/>
              <w:spacing w:after="40"/>
            </w:pPr>
            <w:r>
              <w:t>2 Jan 1991</w:t>
            </w:r>
          </w:p>
        </w:tc>
        <w:tc>
          <w:tcPr>
            <w:tcW w:w="2552" w:type="dxa"/>
          </w:tcPr>
          <w:p>
            <w:pPr>
              <w:pStyle w:val="nTable"/>
              <w:spacing w:after="40"/>
            </w:pPr>
            <w:r>
              <w:t>1 Jan 1991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Children’s Court of Western Australia Amendment Act (No. 2) 1991 </w:t>
            </w:r>
            <w:r>
              <w:t>s. 21</w:t>
            </w:r>
          </w:p>
        </w:tc>
        <w:tc>
          <w:tcPr>
            <w:tcW w:w="1134" w:type="dxa"/>
          </w:tcPr>
          <w:p>
            <w:pPr>
              <w:pStyle w:val="nTable"/>
              <w:spacing w:after="40"/>
            </w:pPr>
            <w:r>
              <w:t>15 of 1991</w:t>
            </w:r>
          </w:p>
        </w:tc>
        <w:tc>
          <w:tcPr>
            <w:tcW w:w="1134" w:type="dxa"/>
          </w:tcPr>
          <w:p>
            <w:pPr>
              <w:pStyle w:val="nTable"/>
              <w:spacing w:after="40"/>
            </w:pPr>
            <w:r>
              <w:t>21 Jun 1991</w:t>
            </w:r>
          </w:p>
        </w:tc>
        <w:tc>
          <w:tcPr>
            <w:tcW w:w="2552" w:type="dxa"/>
          </w:tcPr>
          <w:p>
            <w:pPr>
              <w:pStyle w:val="nTable"/>
              <w:spacing w:after="40"/>
            </w:pPr>
            <w:r>
              <w:t xml:space="preserve">9 Aug 1991 (see s. 2(2) and </w:t>
            </w:r>
            <w:r>
              <w:rPr>
                <w:i/>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Financial Institutions (Western Australia) Act 1992 </w:t>
            </w:r>
            <w:r>
              <w:t>s. 21</w:t>
            </w:r>
          </w:p>
        </w:tc>
        <w:tc>
          <w:tcPr>
            <w:tcW w:w="1134" w:type="dxa"/>
          </w:tcPr>
          <w:p>
            <w:pPr>
              <w:pStyle w:val="nTable"/>
              <w:spacing w:after="40"/>
            </w:pPr>
            <w:r>
              <w:t>30 of 1992</w:t>
            </w:r>
          </w:p>
        </w:tc>
        <w:tc>
          <w:tcPr>
            <w:tcW w:w="1134" w:type="dxa"/>
          </w:tcPr>
          <w:p>
            <w:pPr>
              <w:pStyle w:val="nTable"/>
              <w:spacing w:after="40"/>
            </w:pPr>
            <w:r>
              <w:t>19 Jun 1992</w:t>
            </w:r>
          </w:p>
        </w:tc>
        <w:tc>
          <w:tcPr>
            <w:tcW w:w="2552" w:type="dxa"/>
          </w:tcPr>
          <w:p>
            <w:pPr>
              <w:pStyle w:val="nTable"/>
              <w:spacing w:after="40"/>
            </w:pPr>
            <w:r>
              <w:t xml:space="preserve">1 Jul 1992 (see s. 2 and </w:t>
            </w:r>
            <w:r>
              <w:rPr>
                <w:i/>
              </w:rPr>
              <w:t>Gazette</w:t>
            </w:r>
            <w:r>
              <w:t xml:space="preserve"> 26 Jun 1992 p. 2643)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Interpretation Act 1984</w:t>
            </w:r>
            <w:r>
              <w:rPr>
                <w:b/>
              </w:rPr>
              <w:t xml:space="preserve"> as at 4 Nov 1992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Financial Administration Legislation Amendment Act 1993 </w:t>
            </w:r>
            <w:r>
              <w:t>s. 11</w:t>
            </w:r>
          </w:p>
        </w:tc>
        <w:tc>
          <w:tcPr>
            <w:tcW w:w="1134" w:type="dxa"/>
          </w:tcPr>
          <w:p>
            <w:pPr>
              <w:pStyle w:val="nTable"/>
              <w:keepNext/>
              <w:spacing w:after="40"/>
            </w:pPr>
            <w:r>
              <w:t>6 of 1993</w:t>
            </w:r>
          </w:p>
        </w:tc>
        <w:tc>
          <w:tcPr>
            <w:tcW w:w="1134" w:type="dxa"/>
          </w:tcPr>
          <w:p>
            <w:pPr>
              <w:pStyle w:val="nTable"/>
              <w:keepNext/>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(Public Sector Management) Act 1994 </w:t>
            </w:r>
            <w:r>
              <w:t>s. 15</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Interpretation Amendment (Australia Acts) Act 1994</w:t>
            </w:r>
          </w:p>
        </w:tc>
        <w:tc>
          <w:tcPr>
            <w:tcW w:w="1134" w:type="dxa"/>
          </w:tcPr>
          <w:p>
            <w:pPr>
              <w:pStyle w:val="nTable"/>
              <w:spacing w:after="40"/>
            </w:pPr>
            <w:r>
              <w:t>85 of 1994</w:t>
            </w:r>
          </w:p>
        </w:tc>
        <w:tc>
          <w:tcPr>
            <w:tcW w:w="1134" w:type="dxa"/>
          </w:tcPr>
          <w:p>
            <w:pPr>
              <w:pStyle w:val="nTable"/>
              <w:spacing w:after="40"/>
            </w:pPr>
            <w:r>
              <w:t>20 Dec 1994</w:t>
            </w:r>
          </w:p>
        </w:tc>
        <w:tc>
          <w:tcPr>
            <w:tcW w:w="2552" w:type="dxa"/>
          </w:tcPr>
          <w:p>
            <w:pPr>
              <w:pStyle w:val="nTable"/>
              <w:spacing w:after="40"/>
            </w:pPr>
            <w:r>
              <w:t xml:space="preserve">3 Mar 1986 (see s. 2 and </w:t>
            </w:r>
            <w:r>
              <w:rPr>
                <w:i/>
              </w:rPr>
              <w:t>Gazette</w:t>
            </w:r>
            <w:r>
              <w:t xml:space="preserve"> 28 Feb 1986 p. 683)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lastRenderedPageBreak/>
              <w:t xml:space="preserve">Acts Amendment (Fines, Penalties and Infringement Notices) Act 1994 </w:t>
            </w:r>
            <w:r>
              <w:t>s. 15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Sentencing (Consequential Provisions) Act 1995 </w:t>
            </w:r>
            <w:r>
              <w:t>Pt. 41</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Interpretation Act 1984</w:t>
            </w:r>
            <w:r>
              <w:rPr>
                <w:b/>
              </w:rPr>
              <w:t xml:space="preserve"> as at 15 Mar 1996</w:t>
            </w:r>
            <w:r>
              <w:t xml:space="preserve"> (includes amendments listed above except those in the </w:t>
            </w:r>
            <w:r>
              <w:rPr>
                <w:i/>
              </w:rPr>
              <w:t>Sentencing (Consequential Provisions) Act 1995</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(Auxiliary Judges) Act 1997 </w:t>
            </w:r>
            <w:r>
              <w:t>Pt. 3</w:t>
            </w:r>
          </w:p>
        </w:tc>
        <w:tc>
          <w:tcPr>
            <w:tcW w:w="1134" w:type="dxa"/>
          </w:tcPr>
          <w:p>
            <w:pPr>
              <w:pStyle w:val="nTable"/>
              <w:spacing w:after="40"/>
            </w:pPr>
            <w:r>
              <w:t>23 of 1997</w:t>
            </w:r>
          </w:p>
        </w:tc>
        <w:tc>
          <w:tcPr>
            <w:tcW w:w="1134" w:type="dxa"/>
          </w:tcPr>
          <w:p>
            <w:pPr>
              <w:pStyle w:val="nTable"/>
              <w:spacing w:after="40"/>
            </w:pPr>
            <w:r>
              <w:t>18 Sep 1997</w:t>
            </w:r>
          </w:p>
        </w:tc>
        <w:tc>
          <w:tcPr>
            <w:tcW w:w="2552" w:type="dxa"/>
          </w:tcPr>
          <w:p>
            <w:pPr>
              <w:pStyle w:val="nTable"/>
              <w:spacing w:after="40"/>
            </w:pPr>
            <w:r>
              <w:t>18 Sep 1997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and Repeal (Family Court) Act 1997</w:t>
            </w:r>
            <w:r>
              <w:t xml:space="preserve"> s. 33</w:t>
            </w:r>
          </w:p>
        </w:tc>
        <w:tc>
          <w:tcPr>
            <w:tcW w:w="1134" w:type="dxa"/>
          </w:tcPr>
          <w:p>
            <w:pPr>
              <w:pStyle w:val="nTable"/>
              <w:spacing w:after="40"/>
            </w:pPr>
            <w:r>
              <w:t>41 of 1997</w:t>
            </w:r>
          </w:p>
        </w:tc>
        <w:tc>
          <w:tcPr>
            <w:tcW w:w="1134" w:type="dxa"/>
          </w:tcPr>
          <w:p>
            <w:pPr>
              <w:pStyle w:val="nTable"/>
              <w:spacing w:after="40"/>
            </w:pPr>
            <w:r>
              <w:t>9 Dec 1997</w:t>
            </w:r>
          </w:p>
        </w:tc>
        <w:tc>
          <w:tcPr>
            <w:tcW w:w="2552" w:type="dxa"/>
          </w:tcPr>
          <w:p>
            <w:pPr>
              <w:pStyle w:val="nTable"/>
              <w:spacing w:after="40"/>
            </w:pPr>
            <w:r>
              <w:t xml:space="preserve">26 Sep 1998 (see s. 2 and </w:t>
            </w:r>
            <w:r>
              <w:rPr>
                <w:i/>
              </w:rPr>
              <w:t>Gazette</w:t>
            </w:r>
            <w:r>
              <w:t xml:space="preserve"> 25 Sep 1998 p. 5295)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Sunday Observance Laws Amendment and Repeal Act 1997 </w:t>
            </w:r>
            <w:r>
              <w:t>s. 4</w:t>
            </w:r>
            <w:r>
              <w:rPr>
                <w:vertAlign w:val="superscript"/>
              </w:rPr>
              <w:t xml:space="preserve">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Interpretation Amendment Act 1997</w:t>
            </w:r>
          </w:p>
        </w:tc>
        <w:tc>
          <w:tcPr>
            <w:tcW w:w="1134" w:type="dxa"/>
          </w:tcPr>
          <w:p>
            <w:pPr>
              <w:pStyle w:val="nTable"/>
              <w:spacing w:after="40"/>
            </w:pPr>
            <w:r>
              <w:t>54 of 1997</w:t>
            </w:r>
          </w:p>
        </w:tc>
        <w:tc>
          <w:tcPr>
            <w:tcW w:w="1134" w:type="dxa"/>
          </w:tcPr>
          <w:p>
            <w:pPr>
              <w:pStyle w:val="nTable"/>
              <w:spacing w:after="40"/>
            </w:pPr>
            <w:r>
              <w:t>12 Dec 1997</w:t>
            </w:r>
          </w:p>
        </w:tc>
        <w:tc>
          <w:tcPr>
            <w:tcW w:w="2552" w:type="dxa"/>
          </w:tcPr>
          <w:p>
            <w:pPr>
              <w:pStyle w:val="nTable"/>
              <w:spacing w:after="40"/>
            </w:pPr>
            <w:r>
              <w:t>12 Dec 1997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Statutes (Repeals and Minor Amendments) Act (No. 2) 1998 </w:t>
            </w:r>
            <w:r>
              <w:t>s. 40</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Interpretation Act 1984</w:t>
            </w:r>
            <w:r>
              <w:rPr>
                <w:b/>
              </w:rPr>
              <w:t xml:space="preserve"> as at 1 Jan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and Repeal (Financial Sector Reform) Act 1999 </w:t>
            </w:r>
            <w:r>
              <w:t>s. 89</w:t>
            </w:r>
          </w:p>
        </w:tc>
        <w:tc>
          <w:tcPr>
            <w:tcW w:w="1134" w:type="dxa"/>
          </w:tcPr>
          <w:p>
            <w:pPr>
              <w:pStyle w:val="nTable"/>
              <w:spacing w:after="40"/>
            </w:pPr>
            <w:r>
              <w:t>26 of 1999</w:t>
            </w:r>
          </w:p>
        </w:tc>
        <w:tc>
          <w:tcPr>
            <w:tcW w:w="1134" w:type="dxa"/>
          </w:tcPr>
          <w:p>
            <w:pPr>
              <w:pStyle w:val="nTable"/>
              <w:spacing w:after="40"/>
            </w:pPr>
            <w:r>
              <w:t>29 Jun 1999</w:t>
            </w:r>
          </w:p>
        </w:tc>
        <w:tc>
          <w:tcPr>
            <w:tcW w:w="2552" w:type="dxa"/>
          </w:tcPr>
          <w:p>
            <w:pPr>
              <w:pStyle w:val="nTable"/>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 xml:space="preserve">Statutes (Repeals and Minor Amendments) Act 2000 </w:t>
            </w:r>
            <w:r>
              <w:t>s. 19</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 xml:space="preserve">Acts Amendment (Lesbian and Gay Law Reform) Act 2002 </w:t>
            </w:r>
            <w:r>
              <w:t>Pt. 14</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 xml:space="preserve">Taxation Administration (Consequential Provisions) Act 2002 </w:t>
            </w:r>
            <w:r>
              <w:t>s. 16</w:t>
            </w:r>
          </w:p>
        </w:tc>
        <w:tc>
          <w:tcPr>
            <w:tcW w:w="1134" w:type="dxa"/>
          </w:tcPr>
          <w:p>
            <w:pPr>
              <w:pStyle w:val="nTable"/>
              <w:spacing w:after="40"/>
            </w:pPr>
            <w:r>
              <w:t>45 of 2002</w:t>
            </w:r>
          </w:p>
        </w:tc>
        <w:tc>
          <w:tcPr>
            <w:tcW w:w="1134" w:type="dxa"/>
          </w:tcPr>
          <w:p>
            <w:pPr>
              <w:pStyle w:val="nTable"/>
              <w:spacing w:after="40"/>
            </w:pPr>
            <w:r>
              <w:t>20 Mar 2003</w:t>
            </w:r>
          </w:p>
        </w:tc>
        <w:tc>
          <w:tcPr>
            <w:tcW w:w="2552" w:type="dxa"/>
          </w:tcPr>
          <w:p>
            <w:pPr>
              <w:pStyle w:val="nTable"/>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lastRenderedPageBreak/>
              <w:t>Statutes (Repeals and Minor Amendments) Act 2003</w:t>
            </w:r>
            <w:r>
              <w:t xml:space="preserve"> s. 69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4: The </w:t>
            </w:r>
            <w:r>
              <w:rPr>
                <w:b/>
                <w:i/>
              </w:rPr>
              <w:t xml:space="preserve">Interpretation Act 1984 </w:t>
            </w:r>
            <w:r>
              <w:rPr>
                <w:b/>
              </w:rPr>
              <w:t>as at 6 Feb 2004</w:t>
            </w:r>
            <w:r>
              <w:t xml:space="preserve"> (includes amendments listed above)</w:t>
            </w:r>
          </w:p>
        </w:tc>
      </w:tr>
      <w:tr>
        <w:tblPrEx>
          <w:tblBorders>
            <w:top w:val="none" w:sz="0" w:space="0" w:color="auto"/>
            <w:bottom w:val="none" w:sz="0" w:space="0" w:color="auto"/>
            <w:insideH w:val="none" w:sz="0" w:space="0" w:color="auto"/>
          </w:tblBorders>
        </w:tblPrEx>
        <w:tc>
          <w:tcPr>
            <w:tcW w:w="2269" w:type="dxa"/>
          </w:tcPr>
          <w:p>
            <w:pPr>
              <w:pStyle w:val="nTable"/>
              <w:spacing w:after="40"/>
              <w:rPr>
                <w:vertAlign w:val="superscript"/>
              </w:rPr>
            </w:pPr>
            <w:r>
              <w:rPr>
                <w:i/>
              </w:rPr>
              <w:t>Criminal Code Amendment Act 2004</w:t>
            </w:r>
            <w:r>
              <w:t xml:space="preserve"> 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snapToGrid w:val="0"/>
              </w:rPr>
              <w:t>Acts Amendment (Court of Appeal) Act 2004</w:t>
            </w:r>
            <w:r>
              <w:rPr>
                <w:snapToGrid w:val="0"/>
              </w:rPr>
              <w:t xml:space="preserve"> s. 33</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State Administrative Tribunal Act 2004</w:t>
            </w:r>
            <w:r>
              <w:t xml:space="preserve"> s. 175</w:t>
            </w:r>
          </w:p>
        </w:tc>
        <w:tc>
          <w:tcPr>
            <w:tcW w:w="1134" w:type="dxa"/>
          </w:tcPr>
          <w:p>
            <w:pPr>
              <w:pStyle w:val="nTable"/>
              <w:spacing w:after="40"/>
            </w:pPr>
            <w:r>
              <w:t>54 of 2004</w:t>
            </w:r>
          </w:p>
        </w:tc>
        <w:tc>
          <w:tcPr>
            <w:tcW w:w="1134" w:type="dxa"/>
          </w:tcPr>
          <w:p>
            <w:pPr>
              <w:pStyle w:val="nTable"/>
              <w:spacing w:after="40"/>
            </w:pPr>
            <w:r>
              <w:t>23 Nov 2004</w:t>
            </w:r>
          </w:p>
        </w:tc>
        <w:tc>
          <w:tcPr>
            <w:tcW w:w="2552" w:type="dxa"/>
          </w:tcPr>
          <w:p>
            <w:pPr>
              <w:pStyle w:val="nTable"/>
              <w:spacing w:after="40"/>
            </w:pPr>
            <w:r>
              <w:t xml:space="preserve">1 Jan 2005 (see s. 2 and </w:t>
            </w:r>
            <w:r>
              <w:rPr>
                <w:i/>
              </w:rPr>
              <w:t>Gazette</w:t>
            </w:r>
            <w:r>
              <w:t xml:space="preserve"> 31 Dec 2004 p. 7129)</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Criminal Law Amendment (Simple Offences) Act 2004</w:t>
            </w:r>
            <w:r>
              <w:rPr>
                <w:snapToGrid w:val="0"/>
              </w:rPr>
              <w:t xml:space="preserve"> s. 36(12)</w:t>
            </w:r>
          </w:p>
        </w:tc>
        <w:tc>
          <w:tcPr>
            <w:tcW w:w="1134" w:type="dxa"/>
          </w:tcPr>
          <w:p>
            <w:pPr>
              <w:pStyle w:val="nTable"/>
              <w:spacing w:after="40"/>
              <w:rPr>
                <w:snapToGrid w:val="0"/>
              </w:rPr>
            </w:pPr>
            <w:r>
              <w:rPr>
                <w:snapToGrid w:val="0"/>
              </w:rPr>
              <w:t>70 of 2004</w:t>
            </w:r>
          </w:p>
        </w:tc>
        <w:tc>
          <w:tcPr>
            <w:tcW w:w="1134" w:type="dxa"/>
          </w:tcPr>
          <w:p>
            <w:pPr>
              <w:pStyle w:val="nTable"/>
              <w:spacing w:after="40"/>
              <w:rPr>
                <w:snapToGrid w:val="0"/>
              </w:rPr>
            </w:pPr>
            <w:r>
              <w:rPr>
                <w:snapToGrid w:val="0"/>
              </w:rPr>
              <w:t>8 Dec 2004</w:t>
            </w:r>
          </w:p>
        </w:tc>
        <w:tc>
          <w:tcPr>
            <w:tcW w:w="2552"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78</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5: The </w:t>
            </w:r>
            <w:r>
              <w:rPr>
                <w:b/>
                <w:i/>
              </w:rPr>
              <w:t xml:space="preserve">Interpretation Act 1984 </w:t>
            </w:r>
            <w:r>
              <w:rPr>
                <w:b/>
              </w:rPr>
              <w:t>as at 12 Aug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Oaths, Affidavits and Statutory Declarations (Consequential Provisions) Act 2005</w:t>
            </w:r>
            <w:r>
              <w:rPr>
                <w:iCs/>
              </w:rPr>
              <w:t xml:space="preserve"> Pt. 13</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Land Information Authority Act 2006</w:t>
            </w:r>
            <w:r>
              <w:rPr>
                <w:iCs/>
                <w:snapToGrid w:val="0"/>
              </w:rPr>
              <w:t xml:space="preserve"> s. 183</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lastRenderedPageBreak/>
              <w:t>Financial Legislation Amendment and Repeal Act 2006</w:t>
            </w:r>
            <w:r>
              <w:rPr>
                <w:iCs/>
                <w:snapToGrid w:val="0"/>
              </w:rPr>
              <w:t xml:space="preserve"> </w:t>
            </w:r>
            <w:r>
              <w:t>Sch. 1 cl. 92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tcPr>
          <w:p>
            <w:pPr>
              <w:pStyle w:val="nTable"/>
              <w:spacing w:after="40"/>
            </w:pPr>
            <w:r>
              <w:rPr>
                <w:snapToGrid w:val="0"/>
              </w:rPr>
              <w:t>1 Feb 2007 (see s. 2</w:t>
            </w:r>
            <w:r>
              <w:t xml:space="preserve">(1) </w:t>
            </w:r>
            <w:r>
              <w:rPr>
                <w:snapToGrid w:val="0"/>
              </w:rPr>
              <w:t xml:space="preserve">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6:  The </w:t>
            </w:r>
            <w:r>
              <w:rPr>
                <w:b/>
                <w:i/>
              </w:rPr>
              <w:t xml:space="preserve">Interpretation Act 1984 </w:t>
            </w:r>
            <w:r>
              <w:rPr>
                <w:b/>
              </w:rPr>
              <w:t>as at 25 May 2007</w:t>
            </w:r>
            <w:r>
              <w:t xml:space="preserve"> (includes amendments listed above except the amendments in the </w:t>
            </w:r>
            <w:r>
              <w:rPr>
                <w:i/>
                <w:snapToGrid w:val="0"/>
              </w:rPr>
              <w:t>Criminal Investigation (Consequential Provisions) Act 2006</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vertAlign w:val="superscript"/>
              </w:rPr>
            </w:pPr>
            <w:r>
              <w:rPr>
                <w:i/>
                <w:snapToGrid w:val="0"/>
              </w:rPr>
              <w:t>Criminal Law Amendment (Homicide) Act 2008</w:t>
            </w:r>
            <w:r>
              <w:rPr>
                <w:iCs/>
                <w:snapToGrid w:val="0"/>
              </w:rPr>
              <w:t xml:space="preserve"> s. 35</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Surrogacy Act 2008 </w:t>
            </w:r>
            <w:r>
              <w:rPr>
                <w:snapToGrid w:val="0"/>
              </w:rPr>
              <w:t>Pt. 4 Div. 6</w:t>
            </w:r>
          </w:p>
        </w:tc>
        <w:tc>
          <w:tcPr>
            <w:tcW w:w="1134" w:type="dxa"/>
          </w:tcPr>
          <w:p>
            <w:pPr>
              <w:pStyle w:val="nTable"/>
              <w:spacing w:after="40"/>
            </w:pPr>
            <w:r>
              <w:t>47 of 2008</w:t>
            </w:r>
          </w:p>
        </w:tc>
        <w:tc>
          <w:tcPr>
            <w:tcW w:w="1134" w:type="dxa"/>
          </w:tcPr>
          <w:p>
            <w:pPr>
              <w:pStyle w:val="nTable"/>
              <w:spacing w:after="40"/>
            </w:pPr>
            <w:r>
              <w:t>10 Dec 2008</w:t>
            </w:r>
          </w:p>
        </w:tc>
        <w:tc>
          <w:tcPr>
            <w:tcW w:w="2552" w:type="dxa"/>
          </w:tcPr>
          <w:p>
            <w:pPr>
              <w:pStyle w:val="nTable"/>
              <w:spacing w:after="40"/>
              <w:rPr>
                <w:snapToGrid w:val="0"/>
              </w:rPr>
            </w:pPr>
            <w:r>
              <w:t xml:space="preserve">1 Mar 2009 (see s. 2(b) and </w:t>
            </w:r>
            <w:r>
              <w:rPr>
                <w:i/>
                <w:iCs/>
              </w:rPr>
              <w:t xml:space="preserve">Gazette </w:t>
            </w:r>
            <w:r>
              <w:t>27 Feb 2009 p. 512)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Pt. 2</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Interpretation and Reprints Amendment Act 2010</w:t>
            </w:r>
            <w:r>
              <w:rPr>
                <w:iCs/>
                <w:snapToGrid w:val="0"/>
              </w:rPr>
              <w:t xml:space="preserve"> Pt. 2</w:t>
            </w:r>
          </w:p>
        </w:tc>
        <w:tc>
          <w:tcPr>
            <w:tcW w:w="1134" w:type="dxa"/>
          </w:tcPr>
          <w:p>
            <w:pPr>
              <w:pStyle w:val="nTable"/>
              <w:spacing w:after="40"/>
            </w:pPr>
            <w:r>
              <w:t>31 of 2010</w:t>
            </w:r>
          </w:p>
        </w:tc>
        <w:tc>
          <w:tcPr>
            <w:tcW w:w="1134" w:type="dxa"/>
          </w:tcPr>
          <w:p>
            <w:pPr>
              <w:pStyle w:val="nTable"/>
              <w:spacing w:after="40"/>
            </w:pPr>
            <w:r>
              <w:t>25 Aug 2010</w:t>
            </w:r>
          </w:p>
        </w:tc>
        <w:tc>
          <w:tcPr>
            <w:tcW w:w="2552" w:type="dxa"/>
          </w:tcPr>
          <w:p>
            <w:pPr>
              <w:pStyle w:val="nTable"/>
              <w:spacing w:after="40"/>
            </w:pPr>
            <w:r>
              <w:t>26 Aug 2010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Public Sector Reform Act 2010</w:t>
            </w:r>
            <w:r>
              <w:rPr>
                <w:iCs/>
                <w:snapToGrid w:val="0"/>
              </w:rPr>
              <w:t xml:space="preserve"> s. 78</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7:  The </w:t>
            </w:r>
            <w:r>
              <w:rPr>
                <w:b/>
                <w:i/>
              </w:rPr>
              <w:t xml:space="preserve">Interpretation Act 1984 </w:t>
            </w:r>
            <w:r>
              <w:rPr>
                <w:b/>
              </w:rPr>
              <w:t>as at 21 Jan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Statutes (Repeals and Minor Amendments) Act 2014</w:t>
            </w:r>
            <w:r>
              <w:rPr>
                <w:snapToGrid w:val="0"/>
              </w:rPr>
              <w:t xml:space="preserve"> s. 27</w:t>
            </w:r>
          </w:p>
        </w:tc>
        <w:tc>
          <w:tcPr>
            <w:tcW w:w="1134" w:type="dxa"/>
          </w:tcPr>
          <w:p>
            <w:pPr>
              <w:pStyle w:val="nTable"/>
              <w:spacing w:after="40"/>
            </w:pPr>
            <w:r>
              <w:rPr>
                <w:snapToGrid w:val="0"/>
              </w:rPr>
              <w:t>17 of 2014</w:t>
            </w:r>
          </w:p>
        </w:tc>
        <w:tc>
          <w:tcPr>
            <w:tcW w:w="1134" w:type="dxa"/>
          </w:tcPr>
          <w:p>
            <w:pPr>
              <w:pStyle w:val="nTable"/>
              <w:spacing w:after="40"/>
            </w:pPr>
            <w:r>
              <w:t>2 Jul 2014</w:t>
            </w:r>
          </w:p>
        </w:tc>
        <w:tc>
          <w:tcPr>
            <w:tcW w:w="2552" w:type="dxa"/>
          </w:tcPr>
          <w:p>
            <w:pPr>
              <w:pStyle w:val="nTable"/>
              <w:spacing w:after="40"/>
            </w:pPr>
            <w:r>
              <w:rPr>
                <w:snapToGrid w:val="0"/>
              </w:rPr>
              <w:t xml:space="preserve">6 Sep 2014 (see s. 2(b) and </w:t>
            </w:r>
            <w:r>
              <w:rPr>
                <w:i/>
                <w:snapToGrid w:val="0"/>
              </w:rPr>
              <w:t>Gazette</w:t>
            </w:r>
            <w:r>
              <w:rPr>
                <w:snapToGrid w:val="0"/>
              </w:rPr>
              <w:t xml:space="preserve"> 5 Sep 2014 p. 3213)</w:t>
            </w:r>
          </w:p>
        </w:tc>
      </w:tr>
      <w:tr>
        <w:trPr>
          <w:cantSplit/>
        </w:trPr>
        <w:tc>
          <w:tcPr>
            <w:tcW w:w="2269" w:type="dxa"/>
            <w:tcBorders>
              <w:top w:val="nil"/>
              <w:bottom w:val="nil"/>
            </w:tcBorders>
          </w:tcPr>
          <w:p>
            <w:pPr>
              <w:pStyle w:val="nTable"/>
              <w:spacing w:after="40"/>
              <w:rPr>
                <w:i/>
                <w:snapToGrid w:val="0"/>
              </w:rPr>
            </w:pPr>
            <w:r>
              <w:rPr>
                <w:i/>
                <w:snapToGrid w:val="0"/>
              </w:rPr>
              <w:t>Local Government Legislation Amendment Act 2016</w:t>
            </w:r>
            <w:r>
              <w:rPr>
                <w:snapToGrid w:val="0"/>
              </w:rPr>
              <w:t xml:space="preserve"> Pt. 3 Div. 19</w:t>
            </w:r>
          </w:p>
        </w:tc>
        <w:tc>
          <w:tcPr>
            <w:tcW w:w="1134" w:type="dxa"/>
            <w:tcBorders>
              <w:top w:val="nil"/>
              <w:bottom w:val="nil"/>
            </w:tcBorders>
          </w:tcPr>
          <w:p>
            <w:pPr>
              <w:pStyle w:val="nTable"/>
              <w:spacing w:after="40"/>
              <w:rPr>
                <w:snapToGrid w:val="0"/>
              </w:rPr>
            </w:pPr>
            <w:r>
              <w:t>26 of 2016</w:t>
            </w:r>
          </w:p>
        </w:tc>
        <w:tc>
          <w:tcPr>
            <w:tcW w:w="1134" w:type="dxa"/>
            <w:tcBorders>
              <w:top w:val="nil"/>
              <w:bottom w:val="nil"/>
            </w:tcBorders>
          </w:tcPr>
          <w:p>
            <w:pPr>
              <w:pStyle w:val="nTable"/>
              <w:spacing w:after="40"/>
            </w:pPr>
            <w:r>
              <w:t>21 Sep 2016</w:t>
            </w:r>
          </w:p>
        </w:tc>
        <w:tc>
          <w:tcPr>
            <w:tcW w:w="2552" w:type="dxa"/>
            <w:tcBorders>
              <w:top w:val="nil"/>
              <w:bottom w:val="nil"/>
            </w:tcBorders>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rPr>
                <w:snapToGrid w:val="0"/>
              </w:rPr>
            </w:pPr>
            <w:r>
              <w:rPr>
                <w:i/>
              </w:rPr>
              <w:t>COVID</w:t>
            </w:r>
            <w:r>
              <w:rPr>
                <w:i/>
              </w:rPr>
              <w:noBreakHyphen/>
              <w:t>19 Response and Economic Recovery Omnibus Act 2020</w:t>
            </w:r>
            <w:r>
              <w:t xml:space="preserve"> Pt. 6 Div. 5 Subdiv. 1</w:t>
            </w:r>
          </w:p>
        </w:tc>
        <w:tc>
          <w:tcPr>
            <w:tcW w:w="1134" w:type="dxa"/>
            <w:tcBorders>
              <w:bottom w:val="single" w:sz="4" w:space="0" w:color="auto"/>
            </w:tcBorders>
          </w:tcPr>
          <w:p>
            <w:pPr>
              <w:pStyle w:val="nTable"/>
              <w:spacing w:after="40"/>
            </w:pPr>
            <w:r>
              <w:t>34 of 2020</w:t>
            </w:r>
          </w:p>
        </w:tc>
        <w:tc>
          <w:tcPr>
            <w:tcW w:w="1134" w:type="dxa"/>
            <w:tcBorders>
              <w:bottom w:val="single" w:sz="4" w:space="0" w:color="auto"/>
            </w:tcBorders>
          </w:tcPr>
          <w:p>
            <w:pPr>
              <w:pStyle w:val="nTable"/>
              <w:spacing w:after="40"/>
            </w:pPr>
            <w:r>
              <w:t>11 Sep 2020</w:t>
            </w:r>
          </w:p>
        </w:tc>
        <w:tc>
          <w:tcPr>
            <w:tcW w:w="2552" w:type="dxa"/>
            <w:tcBorders>
              <w:bottom w:val="single" w:sz="4" w:space="0" w:color="auto"/>
            </w:tcBorders>
          </w:tcPr>
          <w:p>
            <w:pPr>
              <w:pStyle w:val="nTable"/>
              <w:spacing w:after="40"/>
              <w:rPr>
                <w:snapToGrid w:val="0"/>
              </w:rPr>
            </w:pPr>
            <w:r>
              <w:rPr>
                <w:snapToGrid w:val="0"/>
              </w:rPr>
              <w:t>12 Sep 2020 (see s. 2(b))</w:t>
            </w:r>
          </w:p>
        </w:tc>
      </w:tr>
    </w:tbl>
    <w:p>
      <w:pPr>
        <w:pStyle w:val="nHeading3"/>
      </w:pPr>
      <w:bookmarkStart w:id="121" w:name="_Toc100568862"/>
      <w:r>
        <w:t>Uncommenced provisions table</w:t>
      </w:r>
      <w:bookmarkEnd w:id="12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Legislation Act 2021</w:t>
            </w:r>
            <w:r>
              <w:t xml:space="preserve"> Pt. 6 Div. 1</w:t>
            </w:r>
          </w:p>
        </w:tc>
        <w:tc>
          <w:tcPr>
            <w:tcW w:w="1134" w:type="dxa"/>
            <w:tcBorders>
              <w:bottom w:val="nil"/>
            </w:tcBorders>
          </w:tcPr>
          <w:p>
            <w:pPr>
              <w:pStyle w:val="nTable"/>
              <w:spacing w:after="40"/>
            </w:pPr>
            <w:r>
              <w:t>13 of 2021</w:t>
            </w:r>
          </w:p>
        </w:tc>
        <w:tc>
          <w:tcPr>
            <w:tcW w:w="1134" w:type="dxa"/>
            <w:tcBorders>
              <w:bottom w:val="nil"/>
            </w:tcBorders>
          </w:tcPr>
          <w:p>
            <w:pPr>
              <w:pStyle w:val="nTable"/>
              <w:spacing w:after="40"/>
            </w:pPr>
            <w:r>
              <w:t>24 Aug 2021</w:t>
            </w:r>
          </w:p>
        </w:tc>
        <w:tc>
          <w:tcPr>
            <w:tcW w:w="2552" w:type="dxa"/>
            <w:tcBorders>
              <w:bottom w:val="nil"/>
            </w:tcBorders>
          </w:tcPr>
          <w:p>
            <w:pPr>
              <w:pStyle w:val="nTable"/>
              <w:spacing w:after="40"/>
            </w:pPr>
            <w:r>
              <w:t>To be proclaimed (see s. 2(b))</w:t>
            </w:r>
          </w:p>
        </w:tc>
      </w:tr>
      <w:tr>
        <w:tc>
          <w:tcPr>
            <w:tcW w:w="2268" w:type="dxa"/>
            <w:tcBorders>
              <w:top w:val="nil"/>
            </w:tcBorders>
          </w:tcPr>
          <w:p>
            <w:pPr>
              <w:pStyle w:val="nTable"/>
              <w:spacing w:after="40"/>
              <w:rPr>
                <w:i/>
              </w:rPr>
            </w:pPr>
            <w:r>
              <w:rPr>
                <w:i/>
              </w:rPr>
              <w:lastRenderedPageBreak/>
              <w:t>Legal Profession Uniform Law Application Act 2022</w:t>
            </w:r>
            <w:r>
              <w:t xml:space="preserve"> Pt. 17 Div. 10</w:t>
            </w:r>
          </w:p>
        </w:tc>
        <w:tc>
          <w:tcPr>
            <w:tcW w:w="1134" w:type="dxa"/>
            <w:tcBorders>
              <w:top w:val="nil"/>
            </w:tcBorders>
          </w:tcPr>
          <w:p>
            <w:pPr>
              <w:pStyle w:val="nTable"/>
              <w:spacing w:after="40"/>
            </w:pPr>
            <w:r>
              <w:t>9 of 2022</w:t>
            </w:r>
          </w:p>
        </w:tc>
        <w:tc>
          <w:tcPr>
            <w:tcW w:w="1134" w:type="dxa"/>
            <w:tcBorders>
              <w:top w:val="nil"/>
            </w:tcBorders>
          </w:tcPr>
          <w:p>
            <w:pPr>
              <w:pStyle w:val="nTable"/>
              <w:spacing w:after="40"/>
            </w:pPr>
            <w:r>
              <w:t>14 Apr 2022</w:t>
            </w:r>
          </w:p>
        </w:tc>
        <w:tc>
          <w:tcPr>
            <w:tcW w:w="2552" w:type="dxa"/>
            <w:tcBorders>
              <w:top w:val="nil"/>
            </w:tcBorders>
          </w:tcPr>
          <w:p>
            <w:pPr>
              <w:pStyle w:val="nTable"/>
              <w:spacing w:after="40"/>
            </w:pPr>
            <w:r>
              <w:t>To be proclaimed (see s. 2(c))</w:t>
            </w:r>
          </w:p>
        </w:tc>
      </w:tr>
    </w:tbl>
    <w:p>
      <w:pPr>
        <w:pStyle w:val="nHeading3"/>
      </w:pPr>
      <w:bookmarkStart w:id="122" w:name="_Toc100568863"/>
      <w:r>
        <w:t>Other notes</w:t>
      </w:r>
      <w:bookmarkEnd w:id="122"/>
    </w:p>
    <w:p>
      <w:pPr>
        <w:pStyle w:val="nNote"/>
        <w:spacing w:before="160"/>
        <w:rPr>
          <w:snapToGrid w:val="0"/>
        </w:rPr>
      </w:pPr>
      <w:r>
        <w:rPr>
          <w:snapToGrid w:val="0"/>
          <w:vertAlign w:val="superscript"/>
        </w:rPr>
        <w:t>1</w:t>
      </w:r>
      <w:r>
        <w:rPr>
          <w:snapToGrid w:val="0"/>
          <w:vertAlign w:val="superscript"/>
        </w:rPr>
        <w:tab/>
      </w:r>
      <w:r>
        <w:rPr>
          <w:snapToGrid w:val="0"/>
        </w:rPr>
        <w:t xml:space="preserve">Under s. 77(2), the </w:t>
      </w:r>
      <w:r>
        <w:rPr>
          <w:i/>
          <w:iCs/>
          <w:snapToGrid w:val="0"/>
        </w:rPr>
        <w:t>Interpretation Act 1918</w:t>
      </w:r>
      <w:r>
        <w:rPr>
          <w:snapToGrid w:val="0"/>
        </w:rPr>
        <w:t xml:space="preserve"> s. 11 continues to apply to Acts passed before 1 July 1984.  Section 11 reads as follows:</w:t>
      </w:r>
    </w:p>
    <w:p>
      <w:pPr>
        <w:pStyle w:val="BlankOpen"/>
        <w:rPr>
          <w:snapToGrid w:val="0"/>
        </w:rPr>
      </w:pPr>
    </w:p>
    <w:p>
      <w:pPr>
        <w:pStyle w:val="nzHeading5"/>
        <w:rPr>
          <w:snapToGrid w:val="0"/>
        </w:rPr>
      </w:pPr>
      <w:r>
        <w:rPr>
          <w:snapToGrid w:val="0"/>
        </w:rPr>
        <w:t>11.</w:t>
      </w:r>
      <w:r>
        <w:rPr>
          <w:snapToGrid w:val="0"/>
        </w:rPr>
        <w:tab/>
        <w:t>Exercise of statutory power between passing and coming into operation of an Act or any provision thereof.</w:t>
      </w:r>
    </w:p>
    <w:p>
      <w:pPr>
        <w:pStyle w:val="nzSubsection"/>
        <w:rPr>
          <w:snapToGrid w:val="0"/>
        </w:rPr>
      </w:pPr>
      <w:r>
        <w:rPr>
          <w:snapToGrid w:val="0"/>
        </w:rPr>
        <w:tab/>
        <w:t>(1)</w:t>
      </w:r>
      <w:r>
        <w:rPr>
          <w:snapToGrid w:val="0"/>
        </w:rPr>
        <w:tab/>
        <w:t>Where an Act is not to come into operation immediately on the passing thereof, and confers power or will, upon its coming into operation, amend another Act so as to confer power under the other Act as so amended, to make any appointment, to hold any election, to make, grant or issue any instrument that is to say any proclamation, Order in Council, order, warrant, scheme, letters patent, rules, regulations, or by</w:t>
      </w:r>
      <w:r>
        <w:rPr>
          <w:snapToGrid w:val="0"/>
        </w:rPr>
        <w:noBreakHyphen/>
        <w:t>laws, to give notices, to prescribe forms, or to do any other thing for the purposes of the Act, the power that is or will be conferred may, unless the Act otherwise provides, be exercised at any time after the passing of the first</w:t>
      </w:r>
      <w:r>
        <w:rPr>
          <w:snapToGrid w:val="0"/>
        </w:rPr>
        <w:noBreakHyphen/>
        <w:t>mentioned Act but the exercise of the power does not confer a right or impose an obligation upon a person before the coming into operation of the first</w:t>
      </w:r>
      <w:r>
        <w:rPr>
          <w:snapToGrid w:val="0"/>
        </w:rPr>
        <w:noBreakHyphen/>
        <w:t>mentioned Act except in so far as is necessary or expedient for the purpose of making the first</w:t>
      </w:r>
      <w:r>
        <w:rPr>
          <w:snapToGrid w:val="0"/>
        </w:rPr>
        <w:noBreakHyphen/>
        <w:t>mentioned Act fully effective upon its coming into operation or the other Act fully effective when so amended.</w:t>
      </w:r>
    </w:p>
    <w:p>
      <w:pPr>
        <w:pStyle w:val="nzSubsection"/>
        <w:rPr>
          <w:snapToGrid w:val="0"/>
        </w:rPr>
      </w:pPr>
      <w:r>
        <w:rPr>
          <w:snapToGrid w:val="0"/>
        </w:rPr>
        <w:tab/>
        <w:t>(2)</w:t>
      </w:r>
      <w:r>
        <w:rPr>
          <w:snapToGrid w:val="0"/>
        </w:rPr>
        <w:tab/>
        <w:t xml:space="preserve">A power purporting to have been exercised at a time before the date of the coming into operation of the </w:t>
      </w:r>
      <w:r>
        <w:rPr>
          <w:i/>
          <w:iCs/>
          <w:snapToGrid w:val="0"/>
        </w:rPr>
        <w:t>Interpretation Act Amendment Act 1975</w:t>
      </w:r>
      <w:r>
        <w:rPr>
          <w:snapToGrid w:val="0"/>
        </w:rPr>
        <w:t xml:space="preserve"> for the purposes of an Act that came into operation before that date, shall be deemed to have been exercised as validly and effectually as it would have been if this section as re</w:t>
      </w:r>
      <w:r>
        <w:rPr>
          <w:snapToGrid w:val="0"/>
        </w:rPr>
        <w:noBreakHyphen/>
        <w:t xml:space="preserve">enacted by the </w:t>
      </w:r>
      <w:r>
        <w:rPr>
          <w:i/>
          <w:iCs/>
          <w:snapToGrid w:val="0"/>
        </w:rPr>
        <w:t>Interpretation Act Amendment Act 1975</w:t>
      </w:r>
      <w:r>
        <w:rPr>
          <w:snapToGrid w:val="0"/>
        </w:rPr>
        <w:t xml:space="preserve"> had been in operation at that time.</w:t>
      </w:r>
    </w:p>
    <w:p>
      <w:pPr>
        <w:pStyle w:val="nzSubsection"/>
        <w:rPr>
          <w:snapToGrid w:val="0"/>
        </w:rPr>
      </w:pPr>
      <w:r>
        <w:rPr>
          <w:snapToGrid w:val="0"/>
        </w:rPr>
        <w:tab/>
        <w:t>(3)</w:t>
      </w:r>
      <w:r>
        <w:rPr>
          <w:snapToGrid w:val="0"/>
        </w:rPr>
        <w:tab/>
        <w:t>In this section a reference to an Act includes a reference to a provision or provisions of an Act.</w:t>
      </w:r>
    </w:p>
    <w:p>
      <w:pPr>
        <w:pStyle w:val="BlankClose"/>
        <w:rPr>
          <w:snapToGrid w:val="0"/>
        </w:rPr>
      </w:pPr>
    </w:p>
    <w:p>
      <w:pPr>
        <w:pStyle w:val="nNote"/>
        <w:spacing w:before="160"/>
        <w:rPr>
          <w:snapToGrid w:val="0"/>
        </w:rPr>
      </w:pPr>
      <w:r>
        <w:rPr>
          <w:snapToGrid w:val="0"/>
          <w:vertAlign w:val="superscript"/>
        </w:rPr>
        <w:t>2</w:t>
      </w:r>
      <w:r>
        <w:rPr>
          <w:snapToGrid w:val="0"/>
        </w:rPr>
        <w:tab/>
        <w:t xml:space="preserve">Now see the </w:t>
      </w:r>
      <w:r>
        <w:rPr>
          <w:i/>
          <w:snapToGrid w:val="0"/>
        </w:rPr>
        <w:t>Public Sector Management Act 1994</w:t>
      </w:r>
      <w:r>
        <w:rPr>
          <w:snapToGrid w:val="0"/>
        </w:rPr>
        <w:t>.</w:t>
      </w:r>
    </w:p>
    <w:p>
      <w:pPr>
        <w:pStyle w:val="nNote"/>
        <w:spacing w:before="160"/>
        <w:rPr>
          <w:snapToGrid w:val="0"/>
          <w:vertAlign w:val="superscript"/>
        </w:rPr>
      </w:pPr>
      <w:r>
        <w:rPr>
          <w:snapToGrid w:val="0"/>
          <w:vertAlign w:val="superscript"/>
        </w:rPr>
        <w:lastRenderedPageBreak/>
        <w:t>3</w:t>
      </w:r>
      <w:r>
        <w:rPr>
          <w:snapToGrid w:val="0"/>
        </w:rPr>
        <w:tab/>
        <w:t>Repealed by th</w:t>
      </w:r>
      <w:r>
        <w:rPr>
          <w:spacing w:val="-4"/>
        </w:rPr>
        <w:t xml:space="preserve">e </w:t>
      </w:r>
      <w:r>
        <w:rPr>
          <w:i/>
          <w:spacing w:val="-4"/>
        </w:rPr>
        <w:t xml:space="preserve">Australian Citizenship (Transitionals and Consequentials) Act 2007 </w:t>
      </w:r>
      <w:r>
        <w:rPr>
          <w:iCs/>
          <w:spacing w:val="-4"/>
        </w:rPr>
        <w:t>s. 42. Now see the</w:t>
      </w:r>
      <w:r>
        <w:rPr>
          <w:i/>
          <w:spacing w:val="-4"/>
        </w:rPr>
        <w:t xml:space="preserve"> Australian Citizenship Act 2007. </w:t>
      </w:r>
    </w:p>
    <w:p>
      <w:pPr>
        <w:pStyle w:val="nNote"/>
      </w:pPr>
      <w:r>
        <w:rPr>
          <w:vertAlign w:val="superscript"/>
        </w:rPr>
        <w:t>4</w:t>
      </w:r>
      <w:r>
        <w:rPr>
          <w:vertAlign w:val="superscript"/>
        </w:rPr>
        <w:tab/>
      </w:r>
      <w:r>
        <w:t xml:space="preserve">Under s. 77(4), the </w:t>
      </w:r>
      <w:r>
        <w:rPr>
          <w:i/>
          <w:iCs/>
        </w:rPr>
        <w:t>Interpretation Act 1918</w:t>
      </w:r>
      <w:r>
        <w:t xml:space="preserve"> s. 47(2) and the Second Schedule continue to apply to Acts passed before 1 July 1984.  Section 47 and the Second Schedule read as follows:</w:t>
      </w:r>
    </w:p>
    <w:p>
      <w:pPr>
        <w:pStyle w:val="BlankOpen"/>
      </w:pPr>
    </w:p>
    <w:p>
      <w:pPr>
        <w:pStyle w:val="nzHeading5"/>
        <w:rPr>
          <w:snapToGrid w:val="0"/>
        </w:rPr>
      </w:pPr>
      <w:r>
        <w:rPr>
          <w:snapToGrid w:val="0"/>
        </w:rPr>
        <w:t>47.</w:t>
      </w:r>
      <w:r>
        <w:rPr>
          <w:snapToGrid w:val="0"/>
        </w:rPr>
        <w:tab/>
        <w:t>Sections in Second Schedule may be incorporated in Act by reference.</w:t>
      </w:r>
    </w:p>
    <w:p>
      <w:pPr>
        <w:pStyle w:val="nzSubsection"/>
      </w:pPr>
      <w:r>
        <w:tab/>
        <w:t>(1)</w:t>
      </w:r>
      <w:r>
        <w:tab/>
        <w:t>Any of the provisions contained in the sections of the Second Schedule hereto, and distinguished respectively by the letters A, B, C, D, E, F, G, and H, may be incorporated as enactments in any Act by reference to the said Schedule and to the letters distinguishing the said sections respectively.</w:t>
      </w:r>
    </w:p>
    <w:p>
      <w:pPr>
        <w:pStyle w:val="nzSubsection"/>
        <w:rPr>
          <w:i/>
          <w:iCs/>
        </w:rPr>
      </w:pPr>
      <w:r>
        <w:tab/>
        <w:t>(2)</w:t>
      </w:r>
      <w:r>
        <w:tab/>
        <w:t xml:space="preserve">Where in any Act passed before the commencement of this Act reference is made to the sections (distinguished by letters as aforesaid) of the Second Schedule to the </w:t>
      </w:r>
      <w:r>
        <w:rPr>
          <w:i/>
          <w:iCs/>
        </w:rPr>
        <w:t>Interpretation Act 1898</w:t>
      </w:r>
      <w:r>
        <w:t xml:space="preserve"> or of the Schedule to the </w:t>
      </w:r>
      <w:r>
        <w:rPr>
          <w:i/>
          <w:iCs/>
        </w:rPr>
        <w:t>Shortening Ordinance 1853</w:t>
      </w:r>
      <w:r>
        <w:t>, such reference shall be deemed to be made to the corresponding sections of the Second Schedule to this Act.</w:t>
      </w:r>
      <w:r>
        <w:rPr>
          <w:i/>
          <w:iCs/>
        </w:rPr>
        <w:t xml:space="preserve"> </w:t>
      </w:r>
    </w:p>
    <w:p>
      <w:pPr>
        <w:pStyle w:val="nzMiscellaneousHeading"/>
        <w:rPr>
          <w:b/>
        </w:rPr>
      </w:pPr>
      <w:r>
        <w:rPr>
          <w:b/>
        </w:rPr>
        <w:t>The Second Schedule.</w:t>
      </w:r>
    </w:p>
    <w:p>
      <w:pPr>
        <w:pStyle w:val="nzMiscellaneousHeading"/>
        <w:rPr>
          <w:b/>
        </w:rPr>
      </w:pPr>
      <w:r>
        <w:rPr>
          <w:b/>
        </w:rPr>
        <w:t>A.</w:t>
      </w:r>
    </w:p>
    <w:p>
      <w:pPr>
        <w:pStyle w:val="nzMiscellaneousBody"/>
        <w:ind w:left="1418" w:hanging="851"/>
      </w:pPr>
      <w:r>
        <w:tab/>
        <w:t xml:space="preserve">All informations, complaints, and proceedings in respect of offences against this Act hereby made summarily punishable upon conviction before a Justice or Justices of the Peace in Petty Sessions shall be heard and determined, and the penalties and forfeitures in respect of the same be enforced and appropriated (if not hereinbefore otherwise appropriated) according to the provisions of the </w:t>
      </w:r>
      <w:r>
        <w:rPr>
          <w:i/>
          <w:iCs/>
        </w:rPr>
        <w:t>Justices Act 1902</w:t>
      </w:r>
      <w:r>
        <w:t>.</w:t>
      </w:r>
    </w:p>
    <w:p>
      <w:pPr>
        <w:pStyle w:val="nzMiscellaneousHeading"/>
        <w:rPr>
          <w:b/>
        </w:rPr>
      </w:pPr>
      <w:r>
        <w:rPr>
          <w:b/>
        </w:rPr>
        <w:t>B.</w:t>
      </w:r>
    </w:p>
    <w:p>
      <w:pPr>
        <w:pStyle w:val="nzMiscellaneousBody"/>
        <w:ind w:left="1418" w:hanging="851"/>
      </w:pPr>
      <w:r>
        <w:rPr>
          <w:b/>
          <w:bCs/>
        </w:rPr>
        <w:tab/>
      </w:r>
      <w:r>
        <w:t>The complaint in respect of an offence against this Act shall be made and the proceedings commenced within one month after the offence thereby charged shall have been committed.</w:t>
      </w:r>
    </w:p>
    <w:p>
      <w:pPr>
        <w:pStyle w:val="nzMiscellaneousHeading"/>
        <w:rPr>
          <w:b/>
        </w:rPr>
      </w:pPr>
      <w:r>
        <w:rPr>
          <w:b/>
        </w:rPr>
        <w:t>C.</w:t>
      </w:r>
    </w:p>
    <w:p>
      <w:pPr>
        <w:pStyle w:val="nzMiscellaneousBody"/>
        <w:ind w:left="1418" w:hanging="851"/>
      </w:pPr>
      <w:r>
        <w:rPr>
          <w:b/>
          <w:bCs/>
        </w:rPr>
        <w:tab/>
      </w:r>
      <w:r>
        <w:t>The complaint in respect of an offence against this Act shall be made and the proceedings commenced within three months after the offence thereby charged shall have been committed.</w:t>
      </w:r>
    </w:p>
    <w:p>
      <w:pPr>
        <w:pStyle w:val="nzMiscellaneousHeading"/>
        <w:rPr>
          <w:b/>
        </w:rPr>
      </w:pPr>
      <w:r>
        <w:rPr>
          <w:b/>
        </w:rPr>
        <w:t>D.</w:t>
      </w:r>
    </w:p>
    <w:p>
      <w:pPr>
        <w:pStyle w:val="nzMiscellaneousBody"/>
        <w:ind w:left="1418" w:hanging="851"/>
      </w:pPr>
      <w:r>
        <w:tab/>
        <w:t>The complaint in respect of an offence against this Act shall be made and the proceedings commenced within six months after the offence thereby charged shall have been committed.</w:t>
      </w:r>
    </w:p>
    <w:p>
      <w:pPr>
        <w:pStyle w:val="nzMiscellaneousHeading"/>
        <w:rPr>
          <w:b/>
        </w:rPr>
      </w:pPr>
      <w:r>
        <w:rPr>
          <w:b/>
        </w:rPr>
        <w:lastRenderedPageBreak/>
        <w:t>E.</w:t>
      </w:r>
    </w:p>
    <w:p>
      <w:pPr>
        <w:pStyle w:val="nzMiscellaneousBody"/>
        <w:ind w:left="1418" w:hanging="851"/>
      </w:pPr>
      <w:r>
        <w:tab/>
        <w:t>The complaint in respect of an offence against this Act shall be made and the proceedings commenced within twelve months after the offence thereby charged shall have been committed.</w:t>
      </w:r>
    </w:p>
    <w:p>
      <w:pPr>
        <w:pStyle w:val="nzMiscellaneousHeading"/>
        <w:rPr>
          <w:b/>
        </w:rPr>
      </w:pPr>
      <w:r>
        <w:rPr>
          <w:b/>
        </w:rPr>
        <w:t>F.</w:t>
      </w:r>
    </w:p>
    <w:p>
      <w:pPr>
        <w:pStyle w:val="nzMiscellaneousBody"/>
        <w:ind w:left="1418" w:hanging="851"/>
      </w:pPr>
      <w:r>
        <w:rPr>
          <w:b/>
          <w:bCs/>
        </w:rPr>
        <w:tab/>
      </w:r>
      <w:r>
        <w:t xml:space="preserve">No order, judgment, warrant, or other proceeding made, or purporting to be made under or concerning the conviction of any offender against this Act shall be quashed or vacated for want of form only, or be removed or removable by </w:t>
      </w:r>
      <w:r>
        <w:rPr>
          <w:i/>
          <w:iCs/>
        </w:rPr>
        <w:t>certiorari</w:t>
      </w:r>
      <w:r>
        <w:t>, or by any writ or process whatsoever into any superior Court of the State.</w:t>
      </w:r>
    </w:p>
    <w:p>
      <w:pPr>
        <w:pStyle w:val="nzMiscellaneousHeading"/>
        <w:rPr>
          <w:b/>
        </w:rPr>
      </w:pPr>
      <w:r>
        <w:rPr>
          <w:b/>
        </w:rPr>
        <w:t>G.</w:t>
      </w:r>
    </w:p>
    <w:p>
      <w:pPr>
        <w:pStyle w:val="nzMiscellaneousBody"/>
        <w:ind w:left="1418" w:hanging="851"/>
      </w:pPr>
      <w:r>
        <w:tab/>
        <w:t>And, for the protection of persons acting in execution of this Act, where an action is commenced against any one of such persons for anything done under this Act, in every such action the defendant may plead the general issue and give this Act and the special matter in evidence at any trial to be had hereupon, and no plaintiff shall recover in any such action if tender of sufficient amends shall have been made before such action brought, or if a sufficient sum of money shall have been paid into Court, after such action brought, by, or on behalf of the defendant, together with costs incurred up to that time; and if a verdict shall pass for the defendant or the plaintiff become non</w:t>
      </w:r>
      <w:r>
        <w:noBreakHyphen/>
        <w:t>suited or discontinue such action after issue joined, or if, upon demurrer or otherwise, judgment shall be given against the plaintiff, the defendant shall recover his full costs as between solicitor and client, and have the like remedy for the same as any defendant hath by law in other cases; and, though a verdict shall be given for the plaintiff in any such action, such plaintiff shall not have costs against the defendant unless the Judge before whom the trial is held shall certify his approbation of the action and of the verdict obtained thereon.</w:t>
      </w:r>
    </w:p>
    <w:p>
      <w:pPr>
        <w:pStyle w:val="nzMiscellaneousHeading"/>
        <w:rPr>
          <w:b/>
        </w:rPr>
      </w:pPr>
      <w:r>
        <w:rPr>
          <w:b/>
        </w:rPr>
        <w:t>H.</w:t>
      </w:r>
    </w:p>
    <w:p>
      <w:pPr>
        <w:pStyle w:val="nzMiscellaneousBody"/>
        <w:ind w:left="1418" w:hanging="851"/>
      </w:pPr>
      <w:r>
        <w:tab/>
        <w:t xml:space="preserve">No action shall lie against any Justice of the Peace, Officer of Police, Policeman, Constable, Peace Officer, or any other person in the employ of the Government authorised to carry the provisions of this Act, or any of them, into effect, or any person acting for, or under such persons, or any of them, on account of any act, matter, or thing done, or to be done, or commanded by them, or any of them, in carrying the provisions of this Act into effect again any parties offending or suspected of offending against the same, unless there is direct proof of corruption or malice; and if any such person shall be sued for any act, matter, or thing which he shall </w:t>
      </w:r>
      <w:r>
        <w:lastRenderedPageBreak/>
        <w:t>have so done, or shall so do, in carrying the provisions of this Act into effect, he may plead the general issue and give the special matter in evidence; and in case of judgment after verdict, or by a Judge sitting as a jury, or on demurrer being given for the defendant, or of the plaintiff discontinuing, or becoming non</w:t>
      </w:r>
      <w:r>
        <w:noBreakHyphen/>
        <w:t>suit in any such action, the Court before which the action was brought may award treble costs to the defendant or such portion of those costs as the Court thinks fit.</w:t>
      </w:r>
    </w:p>
    <w:p>
      <w:pPr>
        <w:pStyle w:val="BlankClose"/>
      </w:pPr>
    </w:p>
    <w:p>
      <w:pPr>
        <w:pStyle w:val="nNote"/>
      </w:pPr>
      <w:r>
        <w:rPr>
          <w:vertAlign w:val="superscript"/>
        </w:rPr>
        <w:t>5</w:t>
      </w:r>
      <w:r>
        <w:tab/>
        <w:t xml:space="preserve">The </w:t>
      </w:r>
      <w:r>
        <w:rPr>
          <w:i/>
        </w:rPr>
        <w:t>Sunday Observance Laws Amendment and Repeal Act 1997</w:t>
      </w:r>
      <w:r>
        <w:t xml:space="preserve"> s. 4(2) is a transitional provision that is of no further effect.</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124" w:name="_Toc100326567"/>
      <w:bookmarkStart w:id="125" w:name="_Toc100327197"/>
      <w:bookmarkStart w:id="126" w:name="_Toc100568864"/>
      <w:r>
        <w:rPr>
          <w:sz w:val="28"/>
        </w:rPr>
        <w:lastRenderedPageBreak/>
        <w:t>Defined terms</w:t>
      </w:r>
      <w:bookmarkEnd w:id="124"/>
      <w:bookmarkEnd w:id="125"/>
      <w:bookmarkEnd w:id="1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5</w:t>
      </w:r>
    </w:p>
    <w:p>
      <w:pPr>
        <w:pStyle w:val="DefinedTerms"/>
      </w:pPr>
      <w:r>
        <w:t>Act</w:t>
      </w:r>
      <w:r>
        <w:tab/>
        <w:t>5</w:t>
      </w:r>
    </w:p>
    <w:p>
      <w:pPr>
        <w:pStyle w:val="DefinedTerms"/>
      </w:pPr>
      <w:r>
        <w:t>Act of the Commonwealth</w:t>
      </w:r>
      <w:r>
        <w:tab/>
        <w:t>5</w:t>
      </w:r>
    </w:p>
    <w:p>
      <w:pPr>
        <w:pStyle w:val="DefinedTerms"/>
      </w:pPr>
      <w:r>
        <w:t>affidavit</w:t>
      </w:r>
      <w:r>
        <w:tab/>
        <w:t>5</w:t>
      </w:r>
    </w:p>
    <w:p>
      <w:pPr>
        <w:pStyle w:val="DefinedTerms"/>
      </w:pPr>
      <w:r>
        <w:t>alternative offence</w:t>
      </w:r>
      <w:r>
        <w:tab/>
        <w:t>5</w:t>
      </w:r>
    </w:p>
    <w:p>
      <w:pPr>
        <w:pStyle w:val="DefinedTerms"/>
      </w:pPr>
      <w:r>
        <w:t>amend</w:t>
      </w:r>
      <w:r>
        <w:tab/>
        <w:t>5</w:t>
      </w:r>
    </w:p>
    <w:p>
      <w:pPr>
        <w:pStyle w:val="DefinedTerms"/>
      </w:pPr>
      <w:r>
        <w:t>ASIC Law</w:t>
      </w:r>
      <w:r>
        <w:tab/>
        <w:t>5</w:t>
      </w:r>
    </w:p>
    <w:p>
      <w:pPr>
        <w:pStyle w:val="DefinedTerms"/>
      </w:pPr>
      <w:r>
        <w:t>ASIC Regulations</w:t>
      </w:r>
      <w:r>
        <w:tab/>
        <w:t>5</w:t>
      </w:r>
    </w:p>
    <w:p>
      <w:pPr>
        <w:pStyle w:val="DefinedTerms"/>
      </w:pPr>
      <w:r>
        <w:t>association</w:t>
      </w:r>
      <w:r>
        <w:tab/>
        <w:t>54(2)</w:t>
      </w:r>
    </w:p>
    <w:p>
      <w:pPr>
        <w:pStyle w:val="DefinedTerms"/>
      </w:pPr>
      <w:r>
        <w:t>Auditor General</w:t>
      </w:r>
      <w:r>
        <w:tab/>
        <w:t>5</w:t>
      </w:r>
    </w:p>
    <w:p>
      <w:pPr>
        <w:pStyle w:val="DefinedTerms"/>
      </w:pPr>
      <w:r>
        <w:t>Australia</w:t>
      </w:r>
      <w:r>
        <w:tab/>
        <w:t>5</w:t>
      </w:r>
    </w:p>
    <w:p>
      <w:pPr>
        <w:pStyle w:val="DefinedTerms"/>
      </w:pPr>
      <w:r>
        <w:t>Australia Acts</w:t>
      </w:r>
      <w:r>
        <w:tab/>
        <w:t>5</w:t>
      </w:r>
    </w:p>
    <w:p>
      <w:pPr>
        <w:pStyle w:val="DefinedTerms"/>
      </w:pPr>
      <w:r>
        <w:t>bank holiday</w:t>
      </w:r>
      <w:r>
        <w:tab/>
        <w:t>5</w:t>
      </w:r>
    </w:p>
    <w:p>
      <w:pPr>
        <w:pStyle w:val="DefinedTerms"/>
      </w:pPr>
      <w:r>
        <w:t>bankrupt and bankrupt or a person whose affairs are under insolvency laws</w:t>
      </w:r>
      <w:r>
        <w:tab/>
        <w:t>5</w:t>
      </w:r>
    </w:p>
    <w:p>
      <w:pPr>
        <w:pStyle w:val="DefinedTerms"/>
      </w:pPr>
      <w:r>
        <w:t>book</w:t>
      </w:r>
      <w:r>
        <w:tab/>
        <w:t>5</w:t>
      </w:r>
    </w:p>
    <w:p>
      <w:pPr>
        <w:pStyle w:val="DefinedTerms"/>
      </w:pPr>
      <w:r>
        <w:t>British possession</w:t>
      </w:r>
      <w:r>
        <w:tab/>
        <w:t>5</w:t>
      </w:r>
    </w:p>
    <w:p>
      <w:pPr>
        <w:pStyle w:val="DefinedTerms"/>
      </w:pPr>
      <w:r>
        <w:t>by</w:t>
      </w:r>
      <w:r>
        <w:noBreakHyphen/>
        <w:t>law</w:t>
      </w:r>
      <w:r>
        <w:tab/>
        <w:t>5</w:t>
      </w:r>
    </w:p>
    <w:p>
      <w:pPr>
        <w:pStyle w:val="DefinedTerms"/>
      </w:pPr>
      <w:r>
        <w:t>cause</w:t>
      </w:r>
      <w:r>
        <w:tab/>
        <w:t>52(2)</w:t>
      </w:r>
    </w:p>
    <w:p>
      <w:pPr>
        <w:pStyle w:val="DefinedTerms"/>
      </w:pPr>
      <w:r>
        <w:t>chief executive officer</w:t>
      </w:r>
      <w:r>
        <w:tab/>
        <w:t>5</w:t>
      </w:r>
    </w:p>
    <w:p>
      <w:pPr>
        <w:pStyle w:val="DefinedTerms"/>
      </w:pPr>
      <w:r>
        <w:t>Children’s Court</w:t>
      </w:r>
      <w:r>
        <w:tab/>
        <w:t>5</w:t>
      </w:r>
    </w:p>
    <w:p>
      <w:pPr>
        <w:pStyle w:val="DefinedTerms"/>
      </w:pPr>
      <w:r>
        <w:t>commencement</w:t>
      </w:r>
      <w:r>
        <w:tab/>
        <w:t>5</w:t>
      </w:r>
    </w:p>
    <w:p>
      <w:pPr>
        <w:pStyle w:val="DefinedTerms"/>
      </w:pPr>
      <w:r>
        <w:t>Commissioner of State Revenue</w:t>
      </w:r>
      <w:r>
        <w:tab/>
        <w:t>5</w:t>
      </w:r>
    </w:p>
    <w:p>
      <w:pPr>
        <w:pStyle w:val="DefinedTerms"/>
      </w:pPr>
      <w:r>
        <w:t>Commonwealth</w:t>
      </w:r>
      <w:r>
        <w:tab/>
        <w:t>5</w:t>
      </w:r>
    </w:p>
    <w:p>
      <w:pPr>
        <w:pStyle w:val="DefinedTerms"/>
      </w:pPr>
      <w:r>
        <w:t>Commonwealth Act</w:t>
      </w:r>
      <w:r>
        <w:tab/>
        <w:t>5, 13(1)</w:t>
      </w:r>
    </w:p>
    <w:p>
      <w:pPr>
        <w:pStyle w:val="DefinedTerms"/>
      </w:pPr>
      <w:r>
        <w:t>Consolidated Account</w:t>
      </w:r>
      <w:r>
        <w:tab/>
        <w:t>5</w:t>
      </w:r>
    </w:p>
    <w:p>
      <w:pPr>
        <w:pStyle w:val="DefinedTerms"/>
      </w:pPr>
      <w:r>
        <w:t>contravene</w:t>
      </w:r>
      <w:r>
        <w:tab/>
        <w:t>5</w:t>
      </w:r>
    </w:p>
    <w:p>
      <w:pPr>
        <w:pStyle w:val="DefinedTerms"/>
      </w:pPr>
      <w:r>
        <w:t>Corporations Law</w:t>
      </w:r>
      <w:r>
        <w:tab/>
        <w:t>5</w:t>
      </w:r>
    </w:p>
    <w:p>
      <w:pPr>
        <w:pStyle w:val="DefinedTerms"/>
      </w:pPr>
      <w:r>
        <w:t>Corporations Regulations</w:t>
      </w:r>
      <w:r>
        <w:tab/>
        <w:t>5</w:t>
      </w:r>
    </w:p>
    <w:p>
      <w:pPr>
        <w:pStyle w:val="DefinedTerms"/>
      </w:pPr>
      <w:r>
        <w:t>Court of Appeal</w:t>
      </w:r>
      <w:r>
        <w:tab/>
        <w:t>5</w:t>
      </w:r>
    </w:p>
    <w:p>
      <w:pPr>
        <w:pStyle w:val="DefinedTerms"/>
      </w:pPr>
      <w:r>
        <w:t>court of summary jurisdiction</w:t>
      </w:r>
      <w:r>
        <w:tab/>
        <w:t>5</w:t>
      </w:r>
    </w:p>
    <w:p>
      <w:pPr>
        <w:pStyle w:val="DefinedTerms"/>
      </w:pPr>
      <w:r>
        <w:t>Crown</w:t>
      </w:r>
      <w:r>
        <w:tab/>
        <w:t>5</w:t>
      </w:r>
    </w:p>
    <w:p>
      <w:pPr>
        <w:pStyle w:val="DefinedTerms"/>
      </w:pPr>
      <w:r>
        <w:t>de facto partner</w:t>
      </w:r>
      <w:r>
        <w:tab/>
        <w:t>5</w:t>
      </w:r>
    </w:p>
    <w:p>
      <w:pPr>
        <w:pStyle w:val="DefinedTerms"/>
      </w:pPr>
      <w:r>
        <w:t>de facto relationship</w:t>
      </w:r>
      <w:r>
        <w:tab/>
        <w:t>5</w:t>
      </w:r>
    </w:p>
    <w:p>
      <w:pPr>
        <w:pStyle w:val="DefinedTerms"/>
      </w:pPr>
      <w:r>
        <w:t>death</w:t>
      </w:r>
      <w:r>
        <w:tab/>
        <w:t>5</w:t>
      </w:r>
    </w:p>
    <w:p>
      <w:pPr>
        <w:pStyle w:val="DefinedTerms"/>
      </w:pPr>
      <w:r>
        <w:t>definition</w:t>
      </w:r>
      <w:r>
        <w:tab/>
        <w:t>5</w:t>
      </w:r>
    </w:p>
    <w:p>
      <w:pPr>
        <w:pStyle w:val="DefinedTerms"/>
      </w:pPr>
      <w:r>
        <w:t>District Court</w:t>
      </w:r>
      <w:r>
        <w:tab/>
        <w:t>5</w:t>
      </w:r>
    </w:p>
    <w:p>
      <w:pPr>
        <w:pStyle w:val="DefinedTerms"/>
      </w:pPr>
      <w:r>
        <w:t>District Court judge</w:t>
      </w:r>
      <w:r>
        <w:tab/>
        <w:t>5</w:t>
      </w:r>
    </w:p>
    <w:p>
      <w:pPr>
        <w:pStyle w:val="DefinedTerms"/>
      </w:pPr>
      <w:r>
        <w:t>document</w:t>
      </w:r>
      <w:r>
        <w:tab/>
        <w:t>5</w:t>
      </w:r>
    </w:p>
    <w:p>
      <w:pPr>
        <w:pStyle w:val="DefinedTerms"/>
      </w:pPr>
      <w:r>
        <w:t>enactment</w:t>
      </w:r>
      <w:r>
        <w:tab/>
        <w:t>5</w:t>
      </w:r>
    </w:p>
    <w:p>
      <w:pPr>
        <w:pStyle w:val="DefinedTerms"/>
      </w:pPr>
      <w:r>
        <w:lastRenderedPageBreak/>
        <w:t>estate</w:t>
      </w:r>
      <w:r>
        <w:tab/>
        <w:t>5</w:t>
      </w:r>
    </w:p>
    <w:p>
      <w:pPr>
        <w:pStyle w:val="DefinedTerms"/>
      </w:pPr>
      <w:r>
        <w:t>excluded day</w:t>
      </w:r>
      <w:r>
        <w:tab/>
        <w:t>61(2)</w:t>
      </w:r>
    </w:p>
    <w:p>
      <w:pPr>
        <w:pStyle w:val="DefinedTerms"/>
      </w:pPr>
      <w:r>
        <w:t>Family Court</w:t>
      </w:r>
      <w:r>
        <w:tab/>
        <w:t>5</w:t>
      </w:r>
    </w:p>
    <w:p>
      <w:pPr>
        <w:pStyle w:val="DefinedTerms"/>
      </w:pPr>
      <w:r>
        <w:t>Family Court of Western Australia</w:t>
      </w:r>
      <w:r>
        <w:tab/>
        <w:t>5</w:t>
      </w:r>
    </w:p>
    <w:p>
      <w:pPr>
        <w:pStyle w:val="DefinedTerms"/>
      </w:pPr>
      <w:r>
        <w:t>fee</w:t>
      </w:r>
      <w:r>
        <w:tab/>
        <w:t>45A(4)</w:t>
      </w:r>
    </w:p>
    <w:p>
      <w:pPr>
        <w:pStyle w:val="DefinedTerms"/>
      </w:pPr>
      <w:r>
        <w:t>financial year</w:t>
      </w:r>
      <w:r>
        <w:tab/>
        <w:t>5</w:t>
      </w:r>
    </w:p>
    <w:p>
      <w:pPr>
        <w:pStyle w:val="DefinedTerms"/>
      </w:pPr>
      <w:r>
        <w:t>first person</w:t>
      </w:r>
      <w:r>
        <w:tab/>
        <w:t>13A(5)</w:t>
      </w:r>
    </w:p>
    <w:p>
      <w:pPr>
        <w:pStyle w:val="DefinedTerms"/>
      </w:pPr>
      <w:r>
        <w:t>function</w:t>
      </w:r>
      <w:r>
        <w:tab/>
        <w:t>5</w:t>
      </w:r>
    </w:p>
    <w:p>
      <w:pPr>
        <w:pStyle w:val="DefinedTerms"/>
      </w:pPr>
      <w:r>
        <w:t>Gazette</w:t>
      </w:r>
      <w:r>
        <w:tab/>
        <w:t>5</w:t>
      </w:r>
    </w:p>
    <w:p>
      <w:pPr>
        <w:pStyle w:val="DefinedTerms"/>
      </w:pPr>
      <w:r>
        <w:t>Government</w:t>
      </w:r>
      <w:r>
        <w:tab/>
        <w:t>5</w:t>
      </w:r>
    </w:p>
    <w:p>
      <w:pPr>
        <w:pStyle w:val="DefinedTerms"/>
      </w:pPr>
      <w:r>
        <w:t>Government Gazette</w:t>
      </w:r>
      <w:r>
        <w:tab/>
        <w:t>5</w:t>
      </w:r>
    </w:p>
    <w:p>
      <w:pPr>
        <w:pStyle w:val="DefinedTerms"/>
      </w:pPr>
      <w:r>
        <w:t>Government Printer</w:t>
      </w:r>
      <w:r>
        <w:tab/>
        <w:t>5</w:t>
      </w:r>
    </w:p>
    <w:p>
      <w:pPr>
        <w:pStyle w:val="DefinedTerms"/>
      </w:pPr>
      <w:r>
        <w:t>Governor</w:t>
      </w:r>
      <w:r>
        <w:tab/>
        <w:t>5</w:t>
      </w:r>
    </w:p>
    <w:p>
      <w:pPr>
        <w:pStyle w:val="DefinedTerms"/>
      </w:pPr>
      <w:r>
        <w:t>Her Majesty</w:t>
      </w:r>
      <w:r>
        <w:tab/>
        <w:t>5</w:t>
      </w:r>
    </w:p>
    <w:p>
      <w:pPr>
        <w:pStyle w:val="DefinedTerms"/>
      </w:pPr>
      <w:r>
        <w:t>His Majesty</w:t>
      </w:r>
      <w:r>
        <w:tab/>
        <w:t>5</w:t>
      </w:r>
    </w:p>
    <w:p>
      <w:pPr>
        <w:pStyle w:val="DefinedTerms"/>
      </w:pPr>
      <w:r>
        <w:t>Imperial Act</w:t>
      </w:r>
      <w:r>
        <w:tab/>
        <w:t>5</w:t>
      </w:r>
    </w:p>
    <w:p>
      <w:pPr>
        <w:pStyle w:val="DefinedTerms"/>
      </w:pPr>
      <w:r>
        <w:t>indictable offence</w:t>
      </w:r>
      <w:r>
        <w:tab/>
        <w:t>5</w:t>
      </w:r>
    </w:p>
    <w:p>
      <w:pPr>
        <w:pStyle w:val="DefinedTerms"/>
      </w:pPr>
      <w:r>
        <w:t>individual</w:t>
      </w:r>
      <w:r>
        <w:tab/>
        <w:t>5</w:t>
      </w:r>
    </w:p>
    <w:p>
      <w:pPr>
        <w:pStyle w:val="DefinedTerms"/>
      </w:pPr>
      <w:r>
        <w:t>issue</w:t>
      </w:r>
      <w:r>
        <w:tab/>
        <w:t>45A(4)</w:t>
      </w:r>
    </w:p>
    <w:p>
      <w:pPr>
        <w:pStyle w:val="DefinedTerms"/>
      </w:pPr>
      <w:r>
        <w:t>JP</w:t>
      </w:r>
      <w:r>
        <w:tab/>
        <w:t>5</w:t>
      </w:r>
    </w:p>
    <w:p>
      <w:pPr>
        <w:pStyle w:val="DefinedTerms"/>
      </w:pPr>
      <w:r>
        <w:t>judge</w:t>
      </w:r>
      <w:r>
        <w:tab/>
        <w:t>5</w:t>
      </w:r>
    </w:p>
    <w:p>
      <w:pPr>
        <w:pStyle w:val="DefinedTerms"/>
      </w:pPr>
      <w:r>
        <w:t>justice</w:t>
      </w:r>
      <w:r>
        <w:tab/>
        <w:t>5</w:t>
      </w:r>
    </w:p>
    <w:p>
      <w:pPr>
        <w:pStyle w:val="DefinedTerms"/>
      </w:pPr>
      <w:r>
        <w:t>justice of the peace</w:t>
      </w:r>
      <w:r>
        <w:tab/>
        <w:t>5</w:t>
      </w:r>
    </w:p>
    <w:p>
      <w:pPr>
        <w:pStyle w:val="DefinedTerms"/>
      </w:pPr>
      <w:r>
        <w:t>King</w:t>
      </w:r>
      <w:r>
        <w:tab/>
        <w:t>5</w:t>
      </w:r>
    </w:p>
    <w:p>
      <w:pPr>
        <w:pStyle w:val="DefinedTerms"/>
      </w:pPr>
      <w:r>
        <w:t>land</w:t>
      </w:r>
      <w:r>
        <w:tab/>
        <w:t>5</w:t>
      </w:r>
    </w:p>
    <w:p>
      <w:pPr>
        <w:pStyle w:val="DefinedTerms"/>
      </w:pPr>
      <w:r>
        <w:t>law of the State</w:t>
      </w:r>
      <w:r>
        <w:tab/>
        <w:t>13(1)</w:t>
      </w:r>
    </w:p>
    <w:p>
      <w:pPr>
        <w:pStyle w:val="DefinedTerms"/>
      </w:pPr>
      <w:r>
        <w:t>licence</w:t>
      </w:r>
      <w:r>
        <w:tab/>
        <w:t>45A(4)</w:t>
      </w:r>
    </w:p>
    <w:p>
      <w:pPr>
        <w:pStyle w:val="DefinedTerms"/>
      </w:pPr>
      <w:r>
        <w:t>local government</w:t>
      </w:r>
      <w:r>
        <w:tab/>
        <w:t>5</w:t>
      </w:r>
    </w:p>
    <w:p>
      <w:pPr>
        <w:pStyle w:val="DefinedTerms"/>
      </w:pPr>
      <w:r>
        <w:t>local government district</w:t>
      </w:r>
      <w:r>
        <w:tab/>
        <w:t>5, 13CA(1)</w:t>
      </w:r>
    </w:p>
    <w:p>
      <w:pPr>
        <w:pStyle w:val="DefinedTerms"/>
      </w:pPr>
      <w:r>
        <w:t>local law</w:t>
      </w:r>
      <w:r>
        <w:tab/>
        <w:t>5</w:t>
      </w:r>
    </w:p>
    <w:p>
      <w:pPr>
        <w:pStyle w:val="DefinedTerms"/>
      </w:pPr>
      <w:r>
        <w:t>magistrate</w:t>
      </w:r>
      <w:r>
        <w:tab/>
        <w:t>5</w:t>
      </w:r>
    </w:p>
    <w:p>
      <w:pPr>
        <w:pStyle w:val="DefinedTerms"/>
      </w:pPr>
      <w:r>
        <w:t>Magistrates Court</w:t>
      </w:r>
      <w:r>
        <w:tab/>
        <w:t>5</w:t>
      </w:r>
    </w:p>
    <w:p>
      <w:pPr>
        <w:pStyle w:val="DefinedTerms"/>
      </w:pPr>
      <w:r>
        <w:t>may</w:t>
      </w:r>
      <w:r>
        <w:tab/>
        <w:t>56(1)</w:t>
      </w:r>
    </w:p>
    <w:p>
      <w:pPr>
        <w:pStyle w:val="DefinedTerms"/>
      </w:pPr>
      <w:r>
        <w:t>Minister</w:t>
      </w:r>
      <w:r>
        <w:tab/>
        <w:t>5</w:t>
      </w:r>
    </w:p>
    <w:p>
      <w:pPr>
        <w:pStyle w:val="DefinedTerms"/>
      </w:pPr>
      <w:r>
        <w:t>Minister for Public Sector Management</w:t>
      </w:r>
      <w:r>
        <w:tab/>
        <w:t>5</w:t>
      </w:r>
    </w:p>
    <w:p>
      <w:pPr>
        <w:pStyle w:val="DefinedTerms"/>
      </w:pPr>
      <w:r>
        <w:t>month</w:t>
      </w:r>
      <w:r>
        <w:tab/>
        <w:t>5, 62(1)</w:t>
      </w:r>
    </w:p>
    <w:p>
      <w:pPr>
        <w:pStyle w:val="DefinedTerms"/>
      </w:pPr>
      <w:r>
        <w:t>oath</w:t>
      </w:r>
      <w:r>
        <w:tab/>
        <w:t>5</w:t>
      </w:r>
    </w:p>
    <w:p>
      <w:pPr>
        <w:pStyle w:val="DefinedTerms"/>
      </w:pPr>
      <w:r>
        <w:t>or</w:t>
      </w:r>
      <w:r>
        <w:tab/>
        <w:t>17</w:t>
      </w:r>
    </w:p>
    <w:p>
      <w:pPr>
        <w:pStyle w:val="DefinedTerms"/>
      </w:pPr>
      <w:r>
        <w:t>other</w:t>
      </w:r>
      <w:r>
        <w:tab/>
        <w:t>17</w:t>
      </w:r>
    </w:p>
    <w:p>
      <w:pPr>
        <w:pStyle w:val="DefinedTerms"/>
      </w:pPr>
      <w:r>
        <w:t>otherwise</w:t>
      </w:r>
      <w:r>
        <w:tab/>
        <w:t>17</w:t>
      </w:r>
    </w:p>
    <w:p>
      <w:pPr>
        <w:pStyle w:val="DefinedTerms"/>
      </w:pPr>
      <w:r>
        <w:t>paragraph</w:t>
      </w:r>
      <w:r>
        <w:tab/>
        <w:t>15A(1)</w:t>
      </w:r>
    </w:p>
    <w:p>
      <w:pPr>
        <w:pStyle w:val="DefinedTerms"/>
      </w:pPr>
      <w:r>
        <w:t>parent</w:t>
      </w:r>
      <w:r>
        <w:tab/>
        <w:t>5</w:t>
      </w:r>
    </w:p>
    <w:p>
      <w:pPr>
        <w:pStyle w:val="DefinedTerms"/>
      </w:pPr>
      <w:r>
        <w:t>Parliament</w:t>
      </w:r>
      <w:r>
        <w:tab/>
        <w:t>5</w:t>
      </w:r>
    </w:p>
    <w:p>
      <w:pPr>
        <w:pStyle w:val="DefinedTerms"/>
      </w:pPr>
      <w:r>
        <w:t>penalty</w:t>
      </w:r>
      <w:r>
        <w:tab/>
        <w:t>5</w:t>
      </w:r>
    </w:p>
    <w:p>
      <w:pPr>
        <w:pStyle w:val="DefinedTerms"/>
      </w:pPr>
      <w:r>
        <w:t>perform</w:t>
      </w:r>
      <w:r>
        <w:tab/>
        <w:t>5</w:t>
      </w:r>
    </w:p>
    <w:p>
      <w:pPr>
        <w:pStyle w:val="DefinedTerms"/>
      </w:pPr>
      <w:r>
        <w:lastRenderedPageBreak/>
        <w:t>person</w:t>
      </w:r>
      <w:r>
        <w:tab/>
        <w:t>5</w:t>
      </w:r>
    </w:p>
    <w:p>
      <w:pPr>
        <w:pStyle w:val="DefinedTerms"/>
      </w:pPr>
      <w:r>
        <w:t>police officer</w:t>
      </w:r>
      <w:r>
        <w:tab/>
        <w:t>5</w:t>
      </w:r>
    </w:p>
    <w:p>
      <w:pPr>
        <w:pStyle w:val="DefinedTerms"/>
      </w:pPr>
      <w:r>
        <w:t>power</w:t>
      </w:r>
      <w:r>
        <w:tab/>
        <w:t>5</w:t>
      </w:r>
    </w:p>
    <w:p>
      <w:pPr>
        <w:pStyle w:val="DefinedTerms"/>
      </w:pPr>
      <w:r>
        <w:t>prescribed</w:t>
      </w:r>
      <w:r>
        <w:tab/>
        <w:t>5</w:t>
      </w:r>
    </w:p>
    <w:p>
      <w:pPr>
        <w:pStyle w:val="DefinedTerms"/>
      </w:pPr>
      <w:r>
        <w:t>proclamation</w:t>
      </w:r>
      <w:r>
        <w:tab/>
        <w:t>5</w:t>
      </w:r>
    </w:p>
    <w:p>
      <w:pPr>
        <w:pStyle w:val="DefinedTerms"/>
      </w:pPr>
      <w:r>
        <w:t>public half</w:t>
      </w:r>
      <w:r>
        <w:noBreakHyphen/>
        <w:t>holiday</w:t>
      </w:r>
      <w:r>
        <w:tab/>
        <w:t>5</w:t>
      </w:r>
    </w:p>
    <w:p>
      <w:pPr>
        <w:pStyle w:val="DefinedTerms"/>
      </w:pPr>
      <w:r>
        <w:t>public holiday</w:t>
      </w:r>
      <w:r>
        <w:tab/>
        <w:t>5</w:t>
      </w:r>
    </w:p>
    <w:p>
      <w:pPr>
        <w:pStyle w:val="DefinedTerms"/>
      </w:pPr>
      <w:r>
        <w:t>Public Sector Commissioner</w:t>
      </w:r>
      <w:r>
        <w:tab/>
        <w:t>5</w:t>
      </w:r>
    </w:p>
    <w:p>
      <w:pPr>
        <w:pStyle w:val="DefinedTerms"/>
      </w:pPr>
      <w:r>
        <w:t>Public Service</w:t>
      </w:r>
      <w:r>
        <w:tab/>
        <w:t>5</w:t>
      </w:r>
    </w:p>
    <w:p>
      <w:pPr>
        <w:pStyle w:val="DefinedTerms"/>
      </w:pPr>
      <w:r>
        <w:t>public service holiday</w:t>
      </w:r>
      <w:r>
        <w:tab/>
        <w:t>5</w:t>
      </w:r>
    </w:p>
    <w:p>
      <w:pPr>
        <w:pStyle w:val="DefinedTerms"/>
      </w:pPr>
      <w:r>
        <w:t>public service officer</w:t>
      </w:r>
      <w:r>
        <w:tab/>
        <w:t>5</w:t>
      </w:r>
    </w:p>
    <w:p>
      <w:pPr>
        <w:pStyle w:val="DefinedTerms"/>
      </w:pPr>
      <w:r>
        <w:t>publication</w:t>
      </w:r>
      <w:r>
        <w:tab/>
        <w:t>5</w:t>
      </w:r>
    </w:p>
    <w:p>
      <w:pPr>
        <w:pStyle w:val="DefinedTerms"/>
      </w:pPr>
      <w:r>
        <w:t>Queen</w:t>
      </w:r>
      <w:r>
        <w:tab/>
        <w:t>5</w:t>
      </w:r>
    </w:p>
    <w:p>
      <w:pPr>
        <w:pStyle w:val="DefinedTerms"/>
      </w:pPr>
      <w:r>
        <w:t>regional local government</w:t>
      </w:r>
      <w:r>
        <w:tab/>
        <w:t>5</w:t>
      </w:r>
    </w:p>
    <w:p>
      <w:pPr>
        <w:pStyle w:val="DefinedTerms"/>
      </w:pPr>
      <w:r>
        <w:t>regional subsidiary</w:t>
      </w:r>
      <w:r>
        <w:tab/>
        <w:t>5</w:t>
      </w:r>
    </w:p>
    <w:p>
      <w:pPr>
        <w:pStyle w:val="DefinedTerms"/>
      </w:pPr>
      <w:r>
        <w:t>regulation</w:t>
      </w:r>
      <w:r>
        <w:tab/>
        <w:t>5</w:t>
      </w:r>
    </w:p>
    <w:p>
      <w:pPr>
        <w:pStyle w:val="DefinedTerms"/>
      </w:pPr>
      <w:r>
        <w:t>regulations</w:t>
      </w:r>
      <w:r>
        <w:tab/>
        <w:t>42(8)</w:t>
      </w:r>
    </w:p>
    <w:p>
      <w:pPr>
        <w:pStyle w:val="DefinedTerms"/>
      </w:pPr>
      <w:r>
        <w:t>repeal</w:t>
      </w:r>
      <w:r>
        <w:tab/>
        <w:t>5</w:t>
      </w:r>
    </w:p>
    <w:p>
      <w:pPr>
        <w:pStyle w:val="DefinedTerms"/>
      </w:pPr>
      <w:r>
        <w:t>Royal Assent</w:t>
      </w:r>
      <w:r>
        <w:tab/>
        <w:t>5</w:t>
      </w:r>
    </w:p>
    <w:p>
      <w:pPr>
        <w:pStyle w:val="DefinedTerms"/>
      </w:pPr>
      <w:r>
        <w:t>rule</w:t>
      </w:r>
      <w:r>
        <w:tab/>
        <w:t>5</w:t>
      </w:r>
    </w:p>
    <w:p>
      <w:pPr>
        <w:pStyle w:val="DefinedTerms"/>
      </w:pPr>
      <w:r>
        <w:t>rules of court</w:t>
      </w:r>
      <w:r>
        <w:tab/>
        <w:t>5, 66(1)</w:t>
      </w:r>
    </w:p>
    <w:p>
      <w:pPr>
        <w:pStyle w:val="DefinedTerms"/>
      </w:pPr>
      <w:r>
        <w:t>sell</w:t>
      </w:r>
      <w:r>
        <w:tab/>
        <w:t>5</w:t>
      </w:r>
    </w:p>
    <w:p>
      <w:pPr>
        <w:pStyle w:val="DefinedTerms"/>
      </w:pPr>
      <w:r>
        <w:t>shall</w:t>
      </w:r>
      <w:r>
        <w:tab/>
        <w:t>56(2)</w:t>
      </w:r>
    </w:p>
    <w:p>
      <w:pPr>
        <w:pStyle w:val="DefinedTerms"/>
      </w:pPr>
      <w:r>
        <w:t>sign</w:t>
      </w:r>
      <w:r>
        <w:tab/>
        <w:t>5</w:t>
      </w:r>
    </w:p>
    <w:p>
      <w:pPr>
        <w:pStyle w:val="DefinedTerms"/>
      </w:pPr>
      <w:r>
        <w:t>simple offence</w:t>
      </w:r>
      <w:r>
        <w:tab/>
        <w:t>5</w:t>
      </w:r>
    </w:p>
    <w:p>
      <w:pPr>
        <w:pStyle w:val="DefinedTerms"/>
      </w:pPr>
      <w:r>
        <w:t>sitting days</w:t>
      </w:r>
      <w:r>
        <w:tab/>
        <w:t>5</w:t>
      </w:r>
    </w:p>
    <w:p>
      <w:pPr>
        <w:pStyle w:val="DefinedTerms"/>
      </w:pPr>
      <w:r>
        <w:t>specified</w:t>
      </w:r>
      <w:r>
        <w:tab/>
        <w:t>43(9)</w:t>
      </w:r>
    </w:p>
    <w:p>
      <w:pPr>
        <w:pStyle w:val="DefinedTerms"/>
      </w:pPr>
      <w:r>
        <w:t>spouse</w:t>
      </w:r>
      <w:r>
        <w:tab/>
        <w:t>5</w:t>
      </w:r>
    </w:p>
    <w:p>
      <w:pPr>
        <w:pStyle w:val="DefinedTerms"/>
      </w:pPr>
      <w:r>
        <w:t>Standards Australia</w:t>
      </w:r>
      <w:r>
        <w:tab/>
        <w:t>5</w:t>
      </w:r>
    </w:p>
    <w:p>
      <w:pPr>
        <w:pStyle w:val="DefinedTerms"/>
      </w:pPr>
      <w:r>
        <w:t>State</w:t>
      </w:r>
      <w:r>
        <w:tab/>
        <w:t>5</w:t>
      </w:r>
    </w:p>
    <w:p>
      <w:pPr>
        <w:pStyle w:val="DefinedTerms"/>
      </w:pPr>
      <w:r>
        <w:t>State Administrative Tribunal</w:t>
      </w:r>
      <w:r>
        <w:tab/>
        <w:t>5</w:t>
      </w:r>
    </w:p>
    <w:p>
      <w:pPr>
        <w:pStyle w:val="DefinedTerms"/>
      </w:pPr>
      <w:r>
        <w:t>statutory declaration</w:t>
      </w:r>
      <w:r>
        <w:tab/>
        <w:t>5</w:t>
      </w:r>
    </w:p>
    <w:p>
      <w:pPr>
        <w:pStyle w:val="DefinedTerms"/>
      </w:pPr>
      <w:r>
        <w:t>subsidiary legislation</w:t>
      </w:r>
      <w:r>
        <w:tab/>
        <w:t>5</w:t>
      </w:r>
    </w:p>
    <w:p>
      <w:pPr>
        <w:pStyle w:val="DefinedTerms"/>
      </w:pPr>
      <w:r>
        <w:t>summary conviction</w:t>
      </w:r>
      <w:r>
        <w:tab/>
        <w:t>5</w:t>
      </w:r>
    </w:p>
    <w:p>
      <w:pPr>
        <w:pStyle w:val="DefinedTerms"/>
      </w:pPr>
      <w:r>
        <w:t>summary conviction penalty</w:t>
      </w:r>
      <w:r>
        <w:tab/>
        <w:t>5</w:t>
      </w:r>
    </w:p>
    <w:p>
      <w:pPr>
        <w:pStyle w:val="DefinedTerms"/>
      </w:pPr>
      <w:r>
        <w:t>Supreme Court</w:t>
      </w:r>
      <w:r>
        <w:tab/>
        <w:t>5</w:t>
      </w:r>
    </w:p>
    <w:p>
      <w:pPr>
        <w:pStyle w:val="DefinedTerms"/>
      </w:pPr>
      <w:r>
        <w:t>swear</w:t>
      </w:r>
      <w:r>
        <w:tab/>
        <w:t>5</w:t>
      </w:r>
    </w:p>
    <w:p>
      <w:pPr>
        <w:pStyle w:val="DefinedTerms"/>
      </w:pPr>
      <w:r>
        <w:t>Territory</w:t>
      </w:r>
      <w:r>
        <w:tab/>
        <w:t>5</w:t>
      </w:r>
    </w:p>
    <w:p>
      <w:pPr>
        <w:pStyle w:val="DefinedTerms"/>
      </w:pPr>
      <w:r>
        <w:t>the Act</w:t>
      </w:r>
      <w:r>
        <w:tab/>
        <w:t>44(2)</w:t>
      </w:r>
    </w:p>
    <w:p>
      <w:pPr>
        <w:pStyle w:val="DefinedTerms"/>
      </w:pPr>
      <w:r>
        <w:t>the State</w:t>
      </w:r>
      <w:r>
        <w:tab/>
        <w:t>5</w:t>
      </w:r>
    </w:p>
    <w:p>
      <w:pPr>
        <w:pStyle w:val="DefinedTerms"/>
      </w:pPr>
      <w:r>
        <w:t>this State</w:t>
      </w:r>
      <w:r>
        <w:tab/>
        <w:t>5</w:t>
      </w:r>
    </w:p>
    <w:p>
      <w:pPr>
        <w:pStyle w:val="DefinedTerms"/>
      </w:pPr>
      <w:r>
        <w:t>under</w:t>
      </w:r>
      <w:r>
        <w:tab/>
        <w:t>5</w:t>
      </w:r>
    </w:p>
    <w:p>
      <w:pPr>
        <w:pStyle w:val="DefinedTerms"/>
      </w:pPr>
      <w:r>
        <w:t>United Kingdom</w:t>
      </w:r>
      <w:r>
        <w:tab/>
        <w:t>5</w:t>
      </w:r>
    </w:p>
    <w:p>
      <w:pPr>
        <w:pStyle w:val="DefinedTerms"/>
      </w:pPr>
      <w:r>
        <w:t>Valuer</w:t>
      </w:r>
      <w:r>
        <w:noBreakHyphen/>
        <w:t>General</w:t>
      </w:r>
      <w:r>
        <w:tab/>
        <w:t>5</w:t>
      </w:r>
    </w:p>
    <w:p>
      <w:pPr>
        <w:pStyle w:val="DefinedTerms"/>
      </w:pPr>
      <w:r>
        <w:t>will</w:t>
      </w:r>
      <w:r>
        <w:tab/>
        <w:t>5</w:t>
      </w:r>
    </w:p>
    <w:p>
      <w:pPr>
        <w:pStyle w:val="DefinedTerms"/>
      </w:pPr>
      <w:r>
        <w:lastRenderedPageBreak/>
        <w:t>words</w:t>
      </w:r>
      <w:r>
        <w:tab/>
        <w:t>5</w:t>
      </w:r>
    </w:p>
    <w:p>
      <w:pPr>
        <w:pStyle w:val="DefinedTerms"/>
      </w:pPr>
      <w:r>
        <w:t>writing</w:t>
      </w:r>
      <w:r>
        <w:tab/>
        <w:t>5</w:t>
      </w:r>
    </w:p>
    <w:p>
      <w:pPr>
        <w:pStyle w:val="DefinedTerms"/>
      </w:pPr>
      <w:r>
        <w:t>written law</w:t>
      </w:r>
      <w:r>
        <w:tab/>
        <w:t>5</w:t>
      </w:r>
    </w:p>
    <w:p>
      <w:pPr>
        <w:pStyle w:val="DefinedTerms"/>
      </w:pPr>
      <w:r>
        <w:t>year</w:t>
      </w:r>
      <w:r>
        <w:tab/>
        <w:t>5</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Interpretation Act 1984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Interpretation Act 1984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3" w:name="Compilation"/>
    <w:bookmarkEnd w:id="1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7" w:name="DefinedTerms"/>
    <w:bookmarkEnd w:id="12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8" w:name="Coversheet"/>
    <w:bookmarkEnd w:id="1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5EAF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78A746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194985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EF62A5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EE0D30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28E3F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86E92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B2D0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8CCD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1125AA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E8877F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45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160509"/>
    <w:docVar w:name="WAFER_20140130140307" w:val="RemoveTocBookmarks,RemoveUnusedBookmarks,RemoveLanguageTags,UsedStyles,ResetPageSize,UpdateArrangement"/>
    <w:docVar w:name="WAFER_20140130140307_GUID" w:val="6fe5262c-e220-49dd-901c-39e49a2892a7"/>
    <w:docVar w:name="WAFER_20140130140315" w:val="RemoveTocBookmarks,RunningHeaders"/>
    <w:docVar w:name="WAFER_20140130140315_GUID" w:val="1f9aba84-d7e9-45db-a069-46a5ad9f0ce6"/>
    <w:docVar w:name="WAFER_20150518114412" w:val="ResetPageSize,UpdateArrangement,UpdateNTable"/>
    <w:docVar w:name="WAFER_20150518114412_GUID" w:val="259119ea-1a15-406c-8337-6a747e0624c9"/>
    <w:docVar w:name="WAFER_20151102140053" w:val="UpdateStyles"/>
    <w:docVar w:name="WAFER_20151102140053_GUID" w:val="f91e2ee7-dc5b-46cb-bc45-8b236c570b26"/>
    <w:docVar w:name="WAFER_20151103165320" w:val="UsedStyles"/>
    <w:docVar w:name="WAFER_20151103165320_GUID" w:val="2bb67779-1907-4a7c-b4bc-90c476e6f75f"/>
    <w:docVar w:name="WAFER_202009111105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10515_GUID" w:val="d1fc69ae-9d09-419c-8f74-901978e1ffa3"/>
    <w:docVar w:name="WAFER_202108251221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22117_GUID" w:val="fec25164-a59e-4e8b-b952-9430f43c2f5b"/>
    <w:docVar w:name="WAFER_20210825122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22139_GUID" w:val="cb04cb45-ea3f-4db1-968d-9d495b8b80a7"/>
    <w:docVar w:name="WAFER_202204081605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60509_GUID" w:val="cefe1808-9a4a-4858-9593-b70ea94919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4513"/>
    <o:shapelayout v:ext="edit">
      <o:idmap v:ext="edit" data="1"/>
    </o:shapelayout>
  </w:shapeDefaults>
  <w:decimalSymbol w:val="."/>
  <w:listSeparator w:val=","/>
  <w15:docId w15:val="{FFDF37BA-AE24-4FC9-B7A0-67B76D261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17948</Words>
  <Characters>84360</Characters>
  <Application>Microsoft Office Word</Application>
  <DocSecurity>0</DocSecurity>
  <Lines>2410</Lines>
  <Paragraphs>1346</Paragraphs>
  <ScaleCrop>false</ScaleCrop>
  <HeadingPairs>
    <vt:vector size="2" baseType="variant">
      <vt:variant>
        <vt:lpstr>Title</vt:lpstr>
      </vt:variant>
      <vt:variant>
        <vt:i4>1</vt:i4>
      </vt:variant>
    </vt:vector>
  </HeadingPairs>
  <TitlesOfParts>
    <vt:vector size="1" baseType="lpstr">
      <vt:lpstr>Interpretation Act 1984</vt:lpstr>
    </vt:vector>
  </TitlesOfParts>
  <Manager/>
  <Company/>
  <LinksUpToDate>false</LinksUpToDate>
  <CharactersWithSpaces>100962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1984 - 07-h0-00</dc:title>
  <dc:subject/>
  <dc:creator/>
  <cp:keywords/>
  <dc:description/>
  <cp:lastModifiedBy>Master Repository Process</cp:lastModifiedBy>
  <cp:revision>4</cp:revision>
  <cp:lastPrinted>2011-02-01T03:30:00Z</cp:lastPrinted>
  <dcterms:created xsi:type="dcterms:W3CDTF">2022-04-14T09:45:00Z</dcterms:created>
  <dcterms:modified xsi:type="dcterms:W3CDTF">2022-04-14T09:45:00Z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DocumentType">
    <vt:lpwstr>Act</vt:lpwstr>
  </property>
  <property fmtid="{D5CDD505-2E9C-101B-9397-08002B2CF9AE}" pid="4" name="OwlsUID">
    <vt:i4>384</vt:i4>
  </property>
  <property fmtid="{D5CDD505-2E9C-101B-9397-08002B2CF9AE}" pid="5" name="ReprintNo">
    <vt:lpwstr>7</vt:lpwstr>
  </property>
  <property fmtid="{D5CDD505-2E9C-101B-9397-08002B2CF9AE}" pid="6" name="ReprintedAsAt">
    <vt:filetime>2011-01-20T16:00:00Z</vt:filetime>
  </property>
  <property fmtid="{D5CDD505-2E9C-101B-9397-08002B2CF9AE}" pid="7" name="AsAtDate">
    <vt:lpwstr>14 Apr 2022</vt:lpwstr>
  </property>
  <property fmtid="{D5CDD505-2E9C-101B-9397-08002B2CF9AE}" pid="8" name="Suffix">
    <vt:lpwstr>07-h0-00</vt:lpwstr>
  </property>
  <property fmtid="{D5CDD505-2E9C-101B-9397-08002B2CF9AE}" pid="9" name="CommencementDate">
    <vt:lpwstr>20220414</vt:lpwstr>
  </property>
</Properties>
</file>