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_Toc100587805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This Act to be read with the Road Traffic (Vehicles) Act</w:t>
      </w:r>
      <w:r>
        <w:tab/>
      </w:r>
      <w:r>
        <w:fldChar w:fldCharType="begin"/>
      </w:r>
      <w:r>
        <w:instrText xml:space="preserve"> PAGEREF _Toc100587806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_Toc100587807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Application of sections 3C and 3D</w:t>
      </w:r>
      <w:r>
        <w:tab/>
      </w:r>
      <w:r>
        <w:fldChar w:fldCharType="begin"/>
      </w:r>
      <w:r>
        <w:instrText xml:space="preserve"> PAGEREF _Toc100587808 \h </w:instrText>
      </w:r>
      <w:r>
        <w:fldChar w:fldCharType="separate"/>
      </w:r>
      <w:r>
        <w:t>5</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Limit on powers of courts</w:t>
      </w:r>
      <w:r>
        <w:tab/>
      </w:r>
      <w:r>
        <w:fldChar w:fldCharType="begin"/>
      </w:r>
      <w:r>
        <w:instrText xml:space="preserve"> PAGEREF _Toc100587809 \h </w:instrText>
      </w:r>
      <w:r>
        <w:fldChar w:fldCharType="separate"/>
      </w:r>
      <w:r>
        <w:t>5</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Restrictions on damages for non</w:t>
      </w:r>
      <w:r>
        <w:rPr>
          <w:snapToGrid w:val="0"/>
        </w:rPr>
        <w:noBreakHyphen/>
        <w:t>pecuniary loss</w:t>
      </w:r>
      <w:r>
        <w:tab/>
      </w:r>
      <w:r>
        <w:fldChar w:fldCharType="begin"/>
      </w:r>
      <w:r>
        <w:instrText xml:space="preserve"> PAGEREF _Toc100587810 \h </w:instrText>
      </w:r>
      <w:r>
        <w:fldChar w:fldCharType="separate"/>
      </w:r>
      <w:r>
        <w:t>6</w:t>
      </w:r>
      <w:r>
        <w:fldChar w:fldCharType="end"/>
      </w:r>
    </w:p>
    <w:p>
      <w:pPr>
        <w:pStyle w:val="TOC8"/>
        <w:rPr>
          <w:rFonts w:asciiTheme="minorHAnsi" w:eastAsiaTheme="minorEastAsia" w:hAnsiTheme="minorHAnsi" w:cstheme="minorBidi"/>
          <w:szCs w:val="22"/>
        </w:rPr>
      </w:pPr>
      <w:r>
        <w:t>3D</w:t>
      </w:r>
      <w:r>
        <w:rPr>
          <w:snapToGrid w:val="0"/>
        </w:rPr>
        <w:t xml:space="preserve">. </w:t>
      </w:r>
      <w:r>
        <w:rPr>
          <w:snapToGrid w:val="0"/>
        </w:rPr>
        <w:tab/>
        <w:t>Restrictions on damages for provision of home care services</w:t>
      </w:r>
      <w:r>
        <w:tab/>
      </w:r>
      <w:r>
        <w:fldChar w:fldCharType="begin"/>
      </w:r>
      <w:r>
        <w:instrText xml:space="preserve"> PAGEREF _Toc100587811 \h </w:instrText>
      </w:r>
      <w:r>
        <w:fldChar w:fldCharType="separate"/>
      </w:r>
      <w:r>
        <w:t>8</w:t>
      </w:r>
      <w:r>
        <w:fldChar w:fldCharType="end"/>
      </w:r>
    </w:p>
    <w:p>
      <w:pPr>
        <w:pStyle w:val="TOC8"/>
        <w:rPr>
          <w:rFonts w:asciiTheme="minorHAnsi" w:eastAsiaTheme="minorEastAsia" w:hAnsiTheme="minorHAnsi" w:cstheme="minorBidi"/>
          <w:szCs w:val="22"/>
        </w:rPr>
      </w:pPr>
      <w:r>
        <w:t>3E</w:t>
      </w:r>
      <w:r>
        <w:rPr>
          <w:snapToGrid w:val="0"/>
        </w:rPr>
        <w:t xml:space="preserve">. </w:t>
      </w:r>
      <w:r>
        <w:rPr>
          <w:snapToGrid w:val="0"/>
        </w:rPr>
        <w:tab/>
        <w:t>Causes of action to which restrictions on damages apply</w:t>
      </w:r>
      <w:r>
        <w:tab/>
      </w:r>
      <w:r>
        <w:fldChar w:fldCharType="begin"/>
      </w:r>
      <w:r>
        <w:instrText xml:space="preserve"> PAGEREF _Toc100587812 \h </w:instrText>
      </w:r>
      <w:r>
        <w:fldChar w:fldCharType="separate"/>
      </w:r>
      <w:r>
        <w:t>10</w:t>
      </w:r>
      <w:r>
        <w:fldChar w:fldCharType="end"/>
      </w:r>
    </w:p>
    <w:p>
      <w:pPr>
        <w:pStyle w:val="TOC8"/>
        <w:rPr>
          <w:rFonts w:asciiTheme="minorHAnsi" w:eastAsiaTheme="minorEastAsia" w:hAnsiTheme="minorHAnsi" w:cstheme="minorBidi"/>
          <w:szCs w:val="22"/>
        </w:rPr>
      </w:pPr>
      <w:r>
        <w:t>3EA.</w:t>
      </w:r>
      <w:r>
        <w:tab/>
        <w:t>Restrictions on damages if payments received under CISS</w:t>
      </w:r>
      <w:r>
        <w:tab/>
      </w:r>
      <w:r>
        <w:fldChar w:fldCharType="begin"/>
      </w:r>
      <w:r>
        <w:instrText xml:space="preserve"> PAGEREF _Toc100587813 \h </w:instrText>
      </w:r>
      <w:r>
        <w:fldChar w:fldCharType="separate"/>
      </w:r>
      <w:r>
        <w:t>11</w:t>
      </w:r>
      <w:r>
        <w:fldChar w:fldCharType="end"/>
      </w:r>
    </w:p>
    <w:p>
      <w:pPr>
        <w:pStyle w:val="TOC8"/>
        <w:rPr>
          <w:rFonts w:asciiTheme="minorHAnsi" w:eastAsiaTheme="minorEastAsia" w:hAnsiTheme="minorHAnsi" w:cstheme="minorBidi"/>
          <w:szCs w:val="22"/>
        </w:rPr>
      </w:pPr>
      <w:r>
        <w:t>3F.</w:t>
      </w:r>
      <w:r>
        <w:tab/>
        <w:t>Restriction on damages for loss relating to earning capacity</w:t>
      </w:r>
      <w:r>
        <w:tab/>
      </w:r>
      <w:r>
        <w:fldChar w:fldCharType="begin"/>
      </w:r>
      <w:r>
        <w:instrText xml:space="preserve"> PAGEREF _Toc100587814 \h </w:instrText>
      </w:r>
      <w:r>
        <w:fldChar w:fldCharType="separate"/>
      </w:r>
      <w:r>
        <w:t>12</w:t>
      </w:r>
      <w:r>
        <w:fldChar w:fldCharType="end"/>
      </w:r>
    </w:p>
    <w:p>
      <w:pPr>
        <w:pStyle w:val="TOC8"/>
        <w:rPr>
          <w:rFonts w:asciiTheme="minorHAnsi" w:eastAsiaTheme="minorEastAsia" w:hAnsiTheme="minorHAnsi" w:cstheme="minorBidi"/>
          <w:szCs w:val="22"/>
        </w:rPr>
      </w:pPr>
      <w:r>
        <w:t>3FA.</w:t>
      </w:r>
      <w:r>
        <w:tab/>
        <w:t>Restrictions on damages to be part of the substantive law</w:t>
      </w:r>
      <w:r>
        <w:tab/>
      </w:r>
      <w:r>
        <w:fldChar w:fldCharType="begin"/>
      </w:r>
      <w:r>
        <w:instrText xml:space="preserve"> PAGEREF _Toc100587815 \h </w:instrText>
      </w:r>
      <w:r>
        <w:fldChar w:fldCharType="separate"/>
      </w:r>
      <w:r>
        <w:t>13</w:t>
      </w:r>
      <w:r>
        <w:fldChar w:fldCharType="end"/>
      </w:r>
    </w:p>
    <w:p>
      <w:pPr>
        <w:pStyle w:val="TOC8"/>
        <w:rPr>
          <w:rFonts w:asciiTheme="minorHAnsi" w:eastAsiaTheme="minorEastAsia" w:hAnsiTheme="minorHAnsi" w:cstheme="minorBidi"/>
          <w:szCs w:val="22"/>
        </w:rPr>
      </w:pPr>
      <w:r>
        <w:t>3FB.</w:t>
      </w:r>
      <w:r>
        <w:tab/>
        <w:t>Damages for treatment, care and support needs: catastrophic injury</w:t>
      </w:r>
      <w:r>
        <w:tab/>
      </w:r>
      <w:r>
        <w:fldChar w:fldCharType="begin"/>
      </w:r>
      <w:r>
        <w:instrText xml:space="preserve"> PAGEREF _Toc100587816 \h </w:instrText>
      </w:r>
      <w:r>
        <w:fldChar w:fldCharType="separate"/>
      </w:r>
      <w:r>
        <w:t>14</w:t>
      </w:r>
      <w:r>
        <w:fldChar w:fldCharType="end"/>
      </w:r>
    </w:p>
    <w:p>
      <w:pPr>
        <w:pStyle w:val="TOC8"/>
        <w:rPr>
          <w:rFonts w:asciiTheme="minorHAnsi" w:eastAsiaTheme="minorEastAsia" w:hAnsiTheme="minorHAnsi" w:cstheme="minorBidi"/>
          <w:szCs w:val="22"/>
        </w:rPr>
      </w:pPr>
      <w:r>
        <w:t>3G.</w:t>
      </w:r>
      <w:r>
        <w:tab/>
        <w:t>Liability of employers</w:t>
      </w:r>
      <w:r>
        <w:tab/>
      </w:r>
      <w:r>
        <w:fldChar w:fldCharType="begin"/>
      </w:r>
      <w:r>
        <w:instrText xml:space="preserve"> PAGEREF _Toc100587817 \h </w:instrText>
      </w:r>
      <w:r>
        <w:fldChar w:fldCharType="separate"/>
      </w:r>
      <w:r>
        <w:t>14</w:t>
      </w:r>
      <w:r>
        <w:fldChar w:fldCharType="end"/>
      </w:r>
    </w:p>
    <w:p>
      <w:pPr>
        <w:pStyle w:val="TOC8"/>
        <w:rPr>
          <w:rFonts w:asciiTheme="minorHAnsi" w:eastAsiaTheme="minorEastAsia" w:hAnsiTheme="minorHAnsi" w:cstheme="minorBidi"/>
          <w:szCs w:val="22"/>
        </w:rPr>
      </w:pPr>
      <w:r>
        <w:t>3Q</w:t>
      </w:r>
      <w:r>
        <w:rPr>
          <w:snapToGrid w:val="0"/>
        </w:rPr>
        <w:t xml:space="preserve">. </w:t>
      </w:r>
      <w:r>
        <w:rPr>
          <w:snapToGrid w:val="0"/>
        </w:rPr>
        <w:tab/>
        <w:t>Director General’s functions</w:t>
      </w:r>
      <w:r>
        <w:tab/>
      </w:r>
      <w:r>
        <w:fldChar w:fldCharType="begin"/>
      </w:r>
      <w:r>
        <w:instrText xml:space="preserve"> PAGEREF _Toc100587818 \h </w:instrText>
      </w:r>
      <w:r>
        <w:fldChar w:fldCharType="separate"/>
      </w:r>
      <w:r>
        <w:t>15</w:t>
      </w:r>
      <w:r>
        <w:fldChar w:fldCharType="end"/>
      </w:r>
    </w:p>
    <w:p>
      <w:pPr>
        <w:pStyle w:val="TOC8"/>
        <w:rPr>
          <w:rFonts w:asciiTheme="minorHAnsi" w:eastAsiaTheme="minorEastAsia" w:hAnsiTheme="minorHAnsi" w:cstheme="minorBidi"/>
          <w:szCs w:val="22"/>
        </w:rPr>
      </w:pPr>
      <w:r>
        <w:t>3QA.</w:t>
      </w:r>
      <w:r>
        <w:tab/>
        <w:t>Agreements for performance of functions</w:t>
      </w:r>
      <w:r>
        <w:tab/>
      </w:r>
      <w:r>
        <w:fldChar w:fldCharType="begin"/>
      </w:r>
      <w:r>
        <w:instrText xml:space="preserve"> PAGEREF _Toc100587819 \h </w:instrText>
      </w:r>
      <w:r>
        <w:fldChar w:fldCharType="separate"/>
      </w:r>
      <w:r>
        <w:t>15</w:t>
      </w:r>
      <w:r>
        <w:fldChar w:fldCharType="end"/>
      </w:r>
    </w:p>
    <w:p>
      <w:pPr>
        <w:pStyle w:val="TOC8"/>
        <w:rPr>
          <w:rFonts w:asciiTheme="minorHAnsi" w:eastAsiaTheme="minorEastAsia" w:hAnsiTheme="minorHAnsi" w:cstheme="minorBidi"/>
          <w:szCs w:val="22"/>
        </w:rPr>
      </w:pPr>
      <w:r>
        <w:t>3QB.</w:t>
      </w:r>
      <w:r>
        <w:tab/>
        <w:t>Delegation</w:t>
      </w:r>
      <w:r>
        <w:tab/>
      </w:r>
      <w:r>
        <w:fldChar w:fldCharType="begin"/>
      </w:r>
      <w:r>
        <w:instrText xml:space="preserve"> PAGEREF _Toc100587820 \h </w:instrText>
      </w:r>
      <w:r>
        <w:fldChar w:fldCharType="separate"/>
      </w:r>
      <w:r>
        <w:t>16</w:t>
      </w:r>
      <w:r>
        <w:fldChar w:fldCharType="end"/>
      </w:r>
    </w:p>
    <w:p>
      <w:pPr>
        <w:pStyle w:val="TOC8"/>
        <w:rPr>
          <w:rFonts w:asciiTheme="minorHAnsi" w:eastAsiaTheme="minorEastAsia" w:hAnsiTheme="minorHAnsi" w:cstheme="minorBidi"/>
          <w:szCs w:val="22"/>
        </w:rPr>
      </w:pPr>
      <w:r>
        <w:t>3R</w:t>
      </w:r>
      <w:r>
        <w:rPr>
          <w:snapToGrid w:val="0"/>
        </w:rPr>
        <w:t xml:space="preserve">. </w:t>
      </w:r>
      <w:r>
        <w:rPr>
          <w:snapToGrid w:val="0"/>
        </w:rPr>
        <w:tab/>
        <w:t>Issue of policies of insurance</w:t>
      </w:r>
      <w:r>
        <w:tab/>
      </w:r>
      <w:r>
        <w:fldChar w:fldCharType="begin"/>
      </w:r>
      <w:r>
        <w:instrText xml:space="preserve"> PAGEREF _Toc100587821 \h </w:instrText>
      </w:r>
      <w:r>
        <w:fldChar w:fldCharType="separate"/>
      </w:r>
      <w:r>
        <w:t>17</w:t>
      </w:r>
      <w:r>
        <w:fldChar w:fldCharType="end"/>
      </w:r>
    </w:p>
    <w:p>
      <w:pPr>
        <w:pStyle w:val="TOC8"/>
        <w:rPr>
          <w:rFonts w:asciiTheme="minorHAnsi" w:eastAsiaTheme="minorEastAsia" w:hAnsiTheme="minorHAnsi" w:cstheme="minorBidi"/>
          <w:szCs w:val="22"/>
        </w:rPr>
      </w:pPr>
      <w:r>
        <w:t>3S</w:t>
      </w:r>
      <w:r>
        <w:rPr>
          <w:snapToGrid w:val="0"/>
        </w:rPr>
        <w:t xml:space="preserve">. </w:t>
      </w:r>
      <w:r>
        <w:rPr>
          <w:snapToGrid w:val="0"/>
        </w:rPr>
        <w:tab/>
        <w:t>Further powers of the Commission</w:t>
      </w:r>
      <w:r>
        <w:tab/>
      </w:r>
      <w:r>
        <w:fldChar w:fldCharType="begin"/>
      </w:r>
      <w:r>
        <w:instrText xml:space="preserve"> PAGEREF _Toc100587822 \h </w:instrText>
      </w:r>
      <w:r>
        <w:fldChar w:fldCharType="separate"/>
      </w:r>
      <w:r>
        <w:t>18</w:t>
      </w:r>
      <w:r>
        <w:fldChar w:fldCharType="end"/>
      </w:r>
    </w:p>
    <w:p>
      <w:pPr>
        <w:pStyle w:val="TOC8"/>
        <w:rPr>
          <w:rFonts w:asciiTheme="minorHAnsi" w:eastAsiaTheme="minorEastAsia" w:hAnsiTheme="minorHAnsi" w:cstheme="minorBidi"/>
          <w:szCs w:val="22"/>
        </w:rPr>
      </w:pPr>
      <w:r>
        <w:t>3T</w:t>
      </w:r>
      <w:r>
        <w:rPr>
          <w:snapToGrid w:val="0"/>
        </w:rPr>
        <w:t xml:space="preserve">. </w:t>
      </w:r>
      <w:r>
        <w:rPr>
          <w:snapToGrid w:val="0"/>
        </w:rPr>
        <w:tab/>
        <w:t>Premiums</w:t>
      </w:r>
      <w:r>
        <w:tab/>
      </w:r>
      <w:r>
        <w:fldChar w:fldCharType="begin"/>
      </w:r>
      <w:r>
        <w:instrText xml:space="preserve"> PAGEREF _Toc100587823 \h </w:instrText>
      </w:r>
      <w:r>
        <w:fldChar w:fldCharType="separate"/>
      </w:r>
      <w:r>
        <w:t>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Insurance against third party risks</w:t>
      </w:r>
      <w:r>
        <w:tab/>
      </w:r>
      <w:r>
        <w:fldChar w:fldCharType="begin"/>
      </w:r>
      <w:r>
        <w:instrText xml:space="preserve"> PAGEREF _Toc100587824 \h </w:instrText>
      </w:r>
      <w:r>
        <w:fldChar w:fldCharType="separate"/>
      </w:r>
      <w:r>
        <w:t>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in respect of policies</w:t>
      </w:r>
      <w:r>
        <w:tab/>
      </w:r>
      <w:r>
        <w:fldChar w:fldCharType="begin"/>
      </w:r>
      <w:r>
        <w:instrText xml:space="preserve"> PAGEREF _Toc100587825 \h </w:instrText>
      </w:r>
      <w:r>
        <w:fldChar w:fldCharType="separate"/>
      </w:r>
      <w:r>
        <w:t>22</w:t>
      </w:r>
      <w:r>
        <w:fldChar w:fldCharType="end"/>
      </w:r>
    </w:p>
    <w:p>
      <w:pPr>
        <w:pStyle w:val="TOC8"/>
        <w:rPr>
          <w:rFonts w:asciiTheme="minorHAnsi" w:eastAsiaTheme="minorEastAsia" w:hAnsiTheme="minorHAnsi" w:cstheme="minorBidi"/>
          <w:szCs w:val="22"/>
        </w:rPr>
      </w:pPr>
      <w:r>
        <w:lastRenderedPageBreak/>
        <w:t>6A.</w:t>
      </w:r>
      <w:r>
        <w:tab/>
        <w:t>Insurance relating to catastrophic injury</w:t>
      </w:r>
      <w:r>
        <w:tab/>
      </w:r>
      <w:r>
        <w:fldChar w:fldCharType="begin"/>
      </w:r>
      <w:r>
        <w:instrText xml:space="preserve"> PAGEREF _Toc100587826 \h </w:instrText>
      </w:r>
      <w:r>
        <w:fldChar w:fldCharType="separate"/>
      </w:r>
      <w:r>
        <w:t>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the Commission</w:t>
      </w:r>
      <w:r>
        <w:tab/>
      </w:r>
      <w:r>
        <w:fldChar w:fldCharType="begin"/>
      </w:r>
      <w:r>
        <w:instrText xml:space="preserve"> PAGEREF _Toc100587827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provisions in relation to uninsured motor vehicles</w:t>
      </w:r>
      <w:r>
        <w:tab/>
      </w:r>
      <w:r>
        <w:fldChar w:fldCharType="begin"/>
      </w:r>
      <w:r>
        <w:instrText xml:space="preserve"> PAGEREF _Toc100587828 \h </w:instrText>
      </w:r>
      <w:r>
        <w:fldChar w:fldCharType="separate"/>
      </w:r>
      <w:r>
        <w:t>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owner or insured person</w:t>
      </w:r>
      <w:r>
        <w:tab/>
      </w:r>
      <w:r>
        <w:fldChar w:fldCharType="begin"/>
      </w:r>
      <w:r>
        <w:instrText xml:space="preserve"> PAGEREF _Toc100587829 \h </w:instrText>
      </w:r>
      <w:r>
        <w:fldChar w:fldCharType="separate"/>
      </w:r>
      <w:r>
        <w:t>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the Commission to deal with claims against insured persons</w:t>
      </w:r>
      <w:r>
        <w:tab/>
      </w:r>
      <w:r>
        <w:fldChar w:fldCharType="begin"/>
      </w:r>
      <w:r>
        <w:instrText xml:space="preserve"> PAGEREF _Toc100587830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Emergency treatment</w:t>
      </w:r>
      <w:r>
        <w:tab/>
      </w:r>
      <w:r>
        <w:fldChar w:fldCharType="begin"/>
      </w:r>
      <w:r>
        <w:instrText xml:space="preserve"> PAGEREF _Toc100587831 \h </w:instrText>
      </w:r>
      <w:r>
        <w:fldChar w:fldCharType="separate"/>
      </w:r>
      <w:r>
        <w:t>32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Recovery of payment for emergency treatment</w:t>
      </w:r>
      <w:r>
        <w:tab/>
      </w:r>
      <w:r>
        <w:fldChar w:fldCharType="begin"/>
      </w:r>
      <w:r>
        <w:instrText xml:space="preserve"> PAGEREF _Toc100587832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Right of the Commission against unauthorised drivers</w:t>
      </w:r>
      <w:r>
        <w:tab/>
      </w:r>
      <w:r>
        <w:fldChar w:fldCharType="begin"/>
      </w:r>
      <w:r>
        <w:instrText xml:space="preserve"> PAGEREF _Toc100587833 \h </w:instrText>
      </w:r>
      <w:r>
        <w:fldChar w:fldCharType="separate"/>
      </w:r>
      <w:r>
        <w:t>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Jurisdiction</w:t>
      </w:r>
      <w:r>
        <w:tab/>
      </w:r>
      <w:r>
        <w:fldChar w:fldCharType="begin"/>
      </w:r>
      <w:r>
        <w:instrText xml:space="preserve"> PAGEREF _Toc100587834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Insurance by visiting motorists</w:t>
      </w:r>
      <w:r>
        <w:tab/>
      </w:r>
      <w:r>
        <w:fldChar w:fldCharType="begin"/>
      </w:r>
      <w:r>
        <w:instrText xml:space="preserve"> PAGEREF _Toc100587835 \h </w:instrText>
      </w:r>
      <w:r>
        <w:fldChar w:fldCharType="separate"/>
      </w:r>
      <w:r>
        <w:t>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suspend or cancel licences</w:t>
      </w:r>
      <w:r>
        <w:tab/>
      </w:r>
      <w:r>
        <w:fldChar w:fldCharType="begin"/>
      </w:r>
      <w:r>
        <w:instrText xml:space="preserve"> PAGEREF _Toc100587836 \h </w:instrText>
      </w:r>
      <w:r>
        <w:fldChar w:fldCharType="separate"/>
      </w:r>
      <w:r>
        <w:t>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not to terminate policy</w:t>
      </w:r>
      <w:r>
        <w:tab/>
      </w:r>
      <w:r>
        <w:fldChar w:fldCharType="begin"/>
      </w:r>
      <w:r>
        <w:instrText xml:space="preserve"> PAGEREF _Toc100587837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Policy of insurance to continue notwithstanding change of ownership of vehicle</w:t>
      </w:r>
      <w:r>
        <w:tab/>
      </w:r>
      <w:r>
        <w:fldChar w:fldCharType="begin"/>
      </w:r>
      <w:r>
        <w:instrText xml:space="preserve"> PAGEREF _Toc100587838 \h </w:instrText>
      </w:r>
      <w:r>
        <w:fldChar w:fldCharType="separate"/>
      </w:r>
      <w:r>
        <w:t>38</w:t>
      </w:r>
      <w:r>
        <w:fldChar w:fldCharType="end"/>
      </w:r>
    </w:p>
    <w:p>
      <w:pPr>
        <w:pStyle w:val="TOC8"/>
        <w:rPr>
          <w:rFonts w:asciiTheme="minorHAnsi" w:eastAsiaTheme="minorEastAsia" w:hAnsiTheme="minorHAnsi" w:cstheme="minorBidi"/>
          <w:szCs w:val="22"/>
        </w:rPr>
      </w:pPr>
      <w:r>
        <w:t>21.</w:t>
      </w:r>
      <w:r>
        <w:tab/>
        <w:t>Term of policy of insurance extended in certain cases</w:t>
      </w:r>
      <w:r>
        <w:tab/>
      </w:r>
      <w:r>
        <w:fldChar w:fldCharType="begin"/>
      </w:r>
      <w:r>
        <w:instrText xml:space="preserve"> PAGEREF _Toc100587839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Provision regarding motor vehicle of employee used by employee in employer’s business</w:t>
      </w:r>
      <w:r>
        <w:tab/>
      </w:r>
      <w:r>
        <w:fldChar w:fldCharType="begin"/>
      </w:r>
      <w:r>
        <w:instrText xml:space="preserve"> PAGEREF _Toc100587840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Policies to give cover required by amending Acts</w:t>
      </w:r>
      <w:r>
        <w:tab/>
      </w:r>
      <w:r>
        <w:fldChar w:fldCharType="begin"/>
      </w:r>
      <w:r>
        <w:instrText xml:space="preserve"> PAGEREF _Toc100587841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to issue of policy to extend to renewal of policy</w:t>
      </w:r>
      <w:r>
        <w:tab/>
      </w:r>
      <w:r>
        <w:fldChar w:fldCharType="begin"/>
      </w:r>
      <w:r>
        <w:instrText xml:space="preserve"> PAGEREF _Toc100587842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Information to be furnished by the Commission</w:t>
      </w:r>
      <w:r>
        <w:tab/>
      </w:r>
      <w:r>
        <w:fldChar w:fldCharType="begin"/>
      </w:r>
      <w:r>
        <w:instrText xml:space="preserve"> PAGEREF _Toc100587843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Contracting out of liability for negligence</w:t>
      </w:r>
      <w:r>
        <w:tab/>
      </w:r>
      <w:r>
        <w:fldChar w:fldCharType="begin"/>
      </w:r>
      <w:r>
        <w:instrText xml:space="preserve"> PAGEREF _Toc100587844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Soliciting instructions from persons claiming</w:t>
      </w:r>
      <w:r>
        <w:tab/>
      </w:r>
      <w:r>
        <w:fldChar w:fldCharType="begin"/>
      </w:r>
      <w:r>
        <w:instrText xml:space="preserve"> PAGEREF _Toc100587845 \h </w:instrText>
      </w:r>
      <w:r>
        <w:fldChar w:fldCharType="separate"/>
      </w:r>
      <w:r>
        <w:t>42</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Costs between solicitor and client</w:t>
      </w:r>
      <w:r>
        <w:tab/>
      </w:r>
      <w:r>
        <w:fldChar w:fldCharType="begin"/>
      </w:r>
      <w:r>
        <w:instrText xml:space="preserve"> PAGEREF _Toc100587846 \h </w:instrText>
      </w:r>
      <w:r>
        <w:fldChar w:fldCharType="separate"/>
      </w:r>
      <w:r>
        <w:t>43</w:t>
      </w:r>
      <w:r>
        <w:fldChar w:fldCharType="end"/>
      </w:r>
    </w:p>
    <w:p>
      <w:pPr>
        <w:pStyle w:val="TOC8"/>
        <w:rPr>
          <w:rFonts w:asciiTheme="minorHAnsi" w:eastAsiaTheme="minorEastAsia" w:hAnsiTheme="minorHAnsi" w:cstheme="minorBidi"/>
          <w:szCs w:val="22"/>
        </w:rPr>
      </w:pPr>
      <w:r>
        <w:t>27B.</w:t>
      </w:r>
      <w:r>
        <w:tab/>
        <w:t>False or misleading information</w:t>
      </w:r>
      <w:r>
        <w:tab/>
      </w:r>
      <w:r>
        <w:fldChar w:fldCharType="begin"/>
      </w:r>
      <w:r>
        <w:instrText xml:space="preserve"> PAGEREF _Toc100587847 \h </w:instrText>
      </w:r>
      <w:r>
        <w:fldChar w:fldCharType="separate"/>
      </w:r>
      <w:r>
        <w:t>43</w:t>
      </w:r>
      <w:r>
        <w:fldChar w:fldCharType="end"/>
      </w:r>
    </w:p>
    <w:p>
      <w:pPr>
        <w:pStyle w:val="TOC8"/>
        <w:rPr>
          <w:rFonts w:asciiTheme="minorHAnsi" w:eastAsiaTheme="minorEastAsia" w:hAnsiTheme="minorHAnsi" w:cstheme="minorBidi"/>
          <w:szCs w:val="22"/>
        </w:rPr>
      </w:pPr>
      <w:r>
        <w:t>27C.</w:t>
      </w:r>
      <w:r>
        <w:tab/>
        <w:t>Obstruction</w:t>
      </w:r>
      <w:r>
        <w:tab/>
      </w:r>
      <w:r>
        <w:fldChar w:fldCharType="begin"/>
      </w:r>
      <w:r>
        <w:instrText xml:space="preserve"> PAGEREF _Toc100587848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general penalty</w:t>
      </w:r>
      <w:r>
        <w:tab/>
      </w:r>
      <w:r>
        <w:fldChar w:fldCharType="begin"/>
      </w:r>
      <w:r>
        <w:instrText xml:space="preserve"> PAGEREF _Toc100587849 \h </w:instrText>
      </w:r>
      <w:r>
        <w:fldChar w:fldCharType="separate"/>
      </w:r>
      <w:r>
        <w:t>44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of claim</w:t>
      </w:r>
      <w:r>
        <w:tab/>
      </w:r>
      <w:r>
        <w:fldChar w:fldCharType="begin"/>
      </w:r>
      <w:r>
        <w:instrText xml:space="preserve"> PAGEREF _Toc100587850 \h </w:instrText>
      </w:r>
      <w:r>
        <w:fldChar w:fldCharType="separate"/>
      </w:r>
      <w:r>
        <w:t>45</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Court may grant leave to proceed</w:t>
      </w:r>
      <w:r>
        <w:tab/>
      </w:r>
      <w:r>
        <w:fldChar w:fldCharType="begin"/>
      </w:r>
      <w:r>
        <w:instrText xml:space="preserve"> PAGEREF _Toc100587851 \h </w:instrText>
      </w:r>
      <w:r>
        <w:fldChar w:fldCharType="separate"/>
      </w:r>
      <w:r>
        <w:t>47</w:t>
      </w:r>
      <w:r>
        <w:fldChar w:fldCharType="end"/>
      </w:r>
    </w:p>
    <w:p>
      <w:pPr>
        <w:pStyle w:val="TOC8"/>
        <w:rPr>
          <w:rFonts w:asciiTheme="minorHAnsi" w:eastAsiaTheme="minorEastAsia" w:hAnsiTheme="minorHAnsi" w:cstheme="minorBidi"/>
          <w:szCs w:val="22"/>
        </w:rPr>
      </w:pPr>
      <w:r>
        <w:t>30.</w:t>
      </w:r>
      <w:r>
        <w:tab/>
        <w:t>Examination of injured person by health professional</w:t>
      </w:r>
      <w:r>
        <w:tab/>
      </w:r>
      <w:r>
        <w:fldChar w:fldCharType="begin"/>
      </w:r>
      <w:r>
        <w:instrText xml:space="preserve"> PAGEREF _Toc100587852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_Toc100587853 \h </w:instrText>
      </w:r>
      <w:r>
        <w:fldChar w:fldCharType="separate"/>
      </w:r>
      <w:r>
        <w:t>49</w:t>
      </w:r>
      <w:r>
        <w:fldChar w:fldCharType="end"/>
      </w:r>
    </w:p>
    <w:p>
      <w:pPr>
        <w:pStyle w:val="TOC8"/>
        <w:rPr>
          <w:rFonts w:asciiTheme="minorHAnsi" w:eastAsiaTheme="minorEastAsia" w:hAnsiTheme="minorHAnsi" w:cstheme="minorBidi"/>
          <w:szCs w:val="22"/>
        </w:rPr>
      </w:pPr>
      <w:r>
        <w:t>34.</w:t>
      </w:r>
      <w:r>
        <w:tab/>
        <w:t xml:space="preserve">Transitional provision for </w:t>
      </w:r>
      <w:r>
        <w:rPr>
          <w:i/>
        </w:rPr>
        <w:t>Motor Vehicle (Catastrophic Injuries) Act 2016</w:t>
      </w:r>
      <w:r>
        <w:tab/>
      </w:r>
      <w:r>
        <w:fldChar w:fldCharType="begin"/>
      </w:r>
      <w:r>
        <w:instrText xml:space="preserve"> PAGEREF _Toc100587854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 Form of insurance policy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_Toc100587857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_Toc100587858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_Toc100587859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No. 95 of 1966 s. 3; No. 42 of 1972 s. 3; No. 107 of 1987 s. 4; No. 13 of 1994 s. 4; No. 17 of 1994 s. 4.]</w:t>
      </w:r>
    </w:p>
    <w:p>
      <w:pPr>
        <w:pStyle w:val="Heading5"/>
        <w:rPr>
          <w:snapToGrid w:val="0"/>
        </w:rPr>
      </w:pPr>
      <w:bookmarkStart w:id="3" w:name="_Toc100587805"/>
      <w:r>
        <w:rPr>
          <w:rStyle w:val="CharSectno"/>
        </w:rPr>
        <w:t>1</w:t>
      </w:r>
      <w:r>
        <w:rPr>
          <w:snapToGrid w:val="0"/>
        </w:rPr>
        <w:t>.</w:t>
      </w:r>
      <w:r>
        <w:rPr>
          <w:snapToGrid w:val="0"/>
        </w:rPr>
        <w:tab/>
        <w:t>Short title and commencement</w:t>
      </w:r>
      <w:bookmarkEnd w:id="3"/>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p>
    <w:p>
      <w:pPr>
        <w:pStyle w:val="Heading5"/>
        <w:rPr>
          <w:snapToGrid w:val="0"/>
        </w:rPr>
      </w:pPr>
      <w:bookmarkStart w:id="4" w:name="_Toc100587806"/>
      <w:r>
        <w:rPr>
          <w:rStyle w:val="CharSectno"/>
        </w:rPr>
        <w:t>2</w:t>
      </w:r>
      <w:r>
        <w:rPr>
          <w:snapToGrid w:val="0"/>
        </w:rPr>
        <w:t>.</w:t>
      </w:r>
      <w:r>
        <w:rPr>
          <w:snapToGrid w:val="0"/>
        </w:rPr>
        <w:tab/>
        <w:t>This Act to be read with the Road Traffic (Vehicles) Act</w:t>
      </w:r>
      <w:bookmarkEnd w:id="4"/>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No. 58 of 1974 s. 27; No. 13 of 1994 s. 5; No. 8 of 2012 s. 136 and 141.]</w:t>
      </w:r>
    </w:p>
    <w:p>
      <w:pPr>
        <w:pStyle w:val="Heading5"/>
        <w:rPr>
          <w:snapToGrid w:val="0"/>
        </w:rPr>
      </w:pPr>
      <w:bookmarkStart w:id="5" w:name="_Toc100587807"/>
      <w:r>
        <w:rPr>
          <w:rStyle w:val="CharSectno"/>
        </w:rPr>
        <w:t>3</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assessed treatment, care and support needs</w:t>
      </w:r>
      <w:r>
        <w:t xml:space="preserve"> has the meaning given in the MV(CI) Act section 18(2);</w:t>
      </w:r>
    </w:p>
    <w:p>
      <w:pPr>
        <w:pStyle w:val="Defstart"/>
      </w:pPr>
      <w:r>
        <w:lastRenderedPageBreak/>
        <w:tab/>
      </w:r>
      <w:r>
        <w:rPr>
          <w:rStyle w:val="CharDefText"/>
        </w:rPr>
        <w:t>catastrophic injury</w:t>
      </w:r>
      <w:r>
        <w:t xml:space="preserve"> has the meaning given in the MV(CI) Act section 3(1);</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pPr>
      <w:r>
        <w:tab/>
      </w:r>
      <w:r>
        <w:rPr>
          <w:rStyle w:val="CharDefText"/>
        </w:rPr>
        <w:t>MV(CI) Act</w:t>
      </w:r>
      <w:r>
        <w:t xml:space="preserve"> means the </w:t>
      </w:r>
      <w:r>
        <w:rPr>
          <w:i/>
        </w:rPr>
        <w:t>Motor Vehicle (Catastrophic Injuries) Act 2016</w:t>
      </w:r>
      <w:r>
        <w:t>;</w:t>
      </w:r>
    </w:p>
    <w:p>
      <w:pPr>
        <w:pStyle w:val="Defstart"/>
        <w:keepLines/>
      </w:pPr>
      <w:r>
        <w:rPr>
          <w:b/>
        </w:rPr>
        <w:lastRenderedPageBreak/>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lastRenderedPageBreak/>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w:t>
      </w:r>
      <w:r>
        <w:rPr>
          <w:snapToGrid w:val="0"/>
        </w:rPr>
        <w:lastRenderedPageBreak/>
        <w:t>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 No. 8 of 2016 s. 44.]</w:t>
      </w:r>
    </w:p>
    <w:p>
      <w:pPr>
        <w:pStyle w:val="Heading5"/>
        <w:rPr>
          <w:snapToGrid w:val="0"/>
        </w:rPr>
      </w:pPr>
      <w:bookmarkStart w:id="6" w:name="_Toc100587808"/>
      <w:r>
        <w:rPr>
          <w:rStyle w:val="CharSectno"/>
        </w:rPr>
        <w:t>3A</w:t>
      </w:r>
      <w:r>
        <w:rPr>
          <w:snapToGrid w:val="0"/>
        </w:rPr>
        <w:t xml:space="preserve">. </w:t>
      </w:r>
      <w:r>
        <w:rPr>
          <w:snapToGrid w:val="0"/>
        </w:rPr>
        <w:tab/>
        <w:t>Application of sections 3C and 3D</w:t>
      </w:r>
      <w:bookmarkEnd w:id="6"/>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No. 17 of 1994 s. 5.]</w:t>
      </w:r>
    </w:p>
    <w:p>
      <w:pPr>
        <w:pStyle w:val="Heading5"/>
        <w:rPr>
          <w:snapToGrid w:val="0"/>
        </w:rPr>
      </w:pPr>
      <w:bookmarkStart w:id="7" w:name="_Toc100587809"/>
      <w:r>
        <w:rPr>
          <w:rStyle w:val="CharSectno"/>
        </w:rPr>
        <w:t>3B</w:t>
      </w:r>
      <w:r>
        <w:rPr>
          <w:snapToGrid w:val="0"/>
        </w:rPr>
        <w:t xml:space="preserve">. </w:t>
      </w:r>
      <w:r>
        <w:rPr>
          <w:snapToGrid w:val="0"/>
        </w:rPr>
        <w:tab/>
        <w:t>Limit on powers of courts</w:t>
      </w:r>
      <w:bookmarkEnd w:id="7"/>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No. 17 of 1994 s. 5.]</w:t>
      </w:r>
    </w:p>
    <w:p>
      <w:pPr>
        <w:pStyle w:val="Heading5"/>
        <w:rPr>
          <w:snapToGrid w:val="0"/>
        </w:rPr>
      </w:pPr>
      <w:bookmarkStart w:id="8" w:name="_Toc100587810"/>
      <w:r>
        <w:rPr>
          <w:rStyle w:val="CharSectno"/>
        </w:rPr>
        <w:lastRenderedPageBreak/>
        <w:t>3C</w:t>
      </w:r>
      <w:r>
        <w:rPr>
          <w:snapToGrid w:val="0"/>
        </w:rPr>
        <w:t xml:space="preserve">. </w:t>
      </w:r>
      <w:r>
        <w:rPr>
          <w:snapToGrid w:val="0"/>
        </w:rPr>
        <w:tab/>
        <w:t>Restrictions on damages for non</w:t>
      </w:r>
      <w:r>
        <w:rPr>
          <w:snapToGrid w:val="0"/>
        </w:rPr>
        <w:noBreakHyphen/>
        <w:t>pecuniary loss</w:t>
      </w:r>
      <w:bookmarkEnd w:id="8"/>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1</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1</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1</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lastRenderedPageBreak/>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1pt;height:36.5pt" o:ole="" fillcolor="window">
            <v:imagedata r:id="rId20" o:title=""/>
          </v:shape>
          <o:OLEObject Type="Embed" ProgID="Equation.3" ShapeID="_x0000_i1025" DrawAspect="Content" ObjectID="_1711465019" r:id="rId21"/>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lastRenderedPageBreak/>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1</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No. 17 of 1994 s. 5; amended: No. 42 of 2004 s. 174.]</w:t>
      </w:r>
    </w:p>
    <w:p>
      <w:pPr>
        <w:pStyle w:val="Heading5"/>
        <w:rPr>
          <w:snapToGrid w:val="0"/>
        </w:rPr>
      </w:pPr>
      <w:bookmarkStart w:id="9" w:name="_Toc100587811"/>
      <w:r>
        <w:rPr>
          <w:rStyle w:val="CharSectno"/>
        </w:rPr>
        <w:t>3D</w:t>
      </w:r>
      <w:r>
        <w:rPr>
          <w:snapToGrid w:val="0"/>
        </w:rPr>
        <w:t xml:space="preserve">. </w:t>
      </w:r>
      <w:r>
        <w:rPr>
          <w:snapToGrid w:val="0"/>
        </w:rPr>
        <w:tab/>
        <w:t>Restrictions on damages for provision of home care services</w:t>
      </w:r>
      <w:bookmarkEnd w:id="9"/>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lastRenderedPageBreak/>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1</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lastRenderedPageBreak/>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1</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No. 17 of 1994 s. 5.]</w:t>
      </w:r>
    </w:p>
    <w:p>
      <w:pPr>
        <w:pStyle w:val="Heading5"/>
        <w:rPr>
          <w:snapToGrid w:val="0"/>
        </w:rPr>
      </w:pPr>
      <w:bookmarkStart w:id="10" w:name="_Toc100587812"/>
      <w:r>
        <w:rPr>
          <w:rStyle w:val="CharSectno"/>
        </w:rPr>
        <w:t>3E</w:t>
      </w:r>
      <w:r>
        <w:rPr>
          <w:snapToGrid w:val="0"/>
        </w:rPr>
        <w:t xml:space="preserve">. </w:t>
      </w:r>
      <w:r>
        <w:rPr>
          <w:snapToGrid w:val="0"/>
        </w:rPr>
        <w:tab/>
        <w:t>Causes of action to which restrictions on damages apply</w:t>
      </w:r>
      <w:bookmarkEnd w:id="10"/>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xml:space="preserve"> in </w:t>
      </w:r>
      <w:r>
        <w:rPr>
          <w:snapToGrid w:val="0"/>
        </w:rPr>
        <w:lastRenderedPageBreak/>
        <w:t>the same way as they apply to causes of action arising after that commencement.</w:t>
      </w:r>
    </w:p>
    <w:p>
      <w:pPr>
        <w:pStyle w:val="Footnotesection"/>
        <w:spacing w:before="60"/>
        <w:ind w:left="890" w:hanging="890"/>
      </w:pPr>
      <w:r>
        <w:tab/>
        <w:t>[Section 3E inserted: No. 17 of 1994 s. 5.]</w:t>
      </w:r>
    </w:p>
    <w:p>
      <w:pPr>
        <w:pStyle w:val="Heading5"/>
      </w:pPr>
      <w:bookmarkStart w:id="11" w:name="_Toc100587813"/>
      <w:r>
        <w:rPr>
          <w:rStyle w:val="CharSectno"/>
        </w:rPr>
        <w:t>3EA</w:t>
      </w:r>
      <w:r>
        <w:t>.</w:t>
      </w:r>
      <w:r>
        <w:tab/>
        <w:t>Restrictions on damages if payments received under CISS</w:t>
      </w:r>
      <w:bookmarkEnd w:id="11"/>
    </w:p>
    <w:p>
      <w:pPr>
        <w:pStyle w:val="Subsection"/>
      </w:pPr>
      <w:r>
        <w:tab/>
        <w:t>(1)</w:t>
      </w:r>
      <w:r>
        <w:tab/>
        <w:t xml:space="preserve">In this section — </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(3)</w:t>
      </w:r>
      <w:r>
        <w:tab/>
        <w:t xml:space="preserve">Subsection (4) applies to the awarding of damages in respect of bodily injury to a person directly caused by, or by the driving of, a motor vehicle if the person — </w:t>
      </w:r>
    </w:p>
    <w:p>
      <w:pPr>
        <w:pStyle w:val="Indenta"/>
      </w:pPr>
      <w:r>
        <w:tab/>
        <w:t>(a)</w:t>
      </w:r>
      <w:r>
        <w:tab/>
        <w:t>has ceased to be an interim participant in respect of the bodily injury; and</w:t>
      </w:r>
    </w:p>
    <w:p>
      <w:pPr>
        <w:pStyle w:val="Indenta"/>
      </w:pPr>
      <w:r>
        <w:tab/>
        <w:t>(b)</w:t>
      </w:r>
      <w:r>
        <w:tab/>
        <w:t>has not become a lifetime participant in respect of the bodily injury.</w:t>
      </w:r>
    </w:p>
    <w:p>
      <w:pPr>
        <w:pStyle w:val="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Subsection"/>
      </w:pPr>
      <w:r>
        <w:tab/>
        <w:t>(5)</w:t>
      </w:r>
      <w:r>
        <w:tab/>
        <w:t xml:space="preserve">Subsection (4) applies — </w:t>
      </w:r>
    </w:p>
    <w:p>
      <w:pPr>
        <w:pStyle w:val="Indenta"/>
      </w:pPr>
      <w:r>
        <w:lastRenderedPageBreak/>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(6)</w:t>
      </w:r>
      <w:r>
        <w:tab/>
        <w:t>If subsection (4) applies a court is not to award damages to a person contrary to that subsection.</w:t>
      </w:r>
    </w:p>
    <w:p>
      <w:pPr>
        <w:pStyle w:val="Footnotesection"/>
      </w:pPr>
      <w:r>
        <w:tab/>
        <w:t>[Section 3EA inserted: No. 8 of 2016 s. 45.]</w:t>
      </w:r>
    </w:p>
    <w:p>
      <w:pPr>
        <w:pStyle w:val="Heading5"/>
      </w:pPr>
      <w:bookmarkStart w:id="12" w:name="_Toc100587814"/>
      <w:r>
        <w:rPr>
          <w:rStyle w:val="CharSectno"/>
        </w:rPr>
        <w:t>3F</w:t>
      </w:r>
      <w:r>
        <w:t>.</w:t>
      </w:r>
      <w:r>
        <w:tab/>
        <w:t>Restriction on damages for loss relating to earning capacity</w:t>
      </w:r>
      <w:bookmarkEnd w:id="12"/>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lastRenderedPageBreak/>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No. 15 of 2006 s. 4.]</w:t>
      </w:r>
    </w:p>
    <w:p>
      <w:pPr>
        <w:pStyle w:val="Heading5"/>
      </w:pPr>
      <w:bookmarkStart w:id="13" w:name="_Toc100587815"/>
      <w:r>
        <w:rPr>
          <w:rStyle w:val="CharSectno"/>
        </w:rPr>
        <w:t>3FA</w:t>
      </w:r>
      <w:r>
        <w:t>.</w:t>
      </w:r>
      <w:r>
        <w:tab/>
        <w:t>Restrictions on damages to be part of the substantive law</w:t>
      </w:r>
      <w:bookmarkEnd w:id="13"/>
    </w:p>
    <w:p>
      <w:pPr>
        <w:pStyle w:val="Subsection"/>
      </w:pPr>
      <w:r>
        <w:tab/>
        <w:t>(1)</w:t>
      </w:r>
      <w:r>
        <w:tab/>
        <w:t xml:space="preserve">In this section — </w:t>
      </w:r>
    </w:p>
    <w:p>
      <w:pPr>
        <w:pStyle w:val="Defstart"/>
      </w:pPr>
      <w:r>
        <w:tab/>
      </w:r>
      <w:r>
        <w:rPr>
          <w:rStyle w:val="CharDefText"/>
        </w:rPr>
        <w:t>restrictive provisions</w:t>
      </w:r>
      <w:r>
        <w:t xml:space="preserve"> means sections 3A to 3F.</w:t>
      </w:r>
    </w:p>
    <w:p>
      <w:pPr>
        <w:pStyle w:val="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Subsection"/>
      </w:pPr>
      <w:r>
        <w:tab/>
        <w:t>(3)</w:t>
      </w:r>
      <w:r>
        <w:tab/>
        <w:t xml:space="preserve">This subsection applies if — </w:t>
      </w:r>
    </w:p>
    <w:p>
      <w:pPr>
        <w:pStyle w:val="Indenta"/>
      </w:pPr>
      <w:r>
        <w:tab/>
        <w:t>(a)</w:t>
      </w:r>
      <w:r>
        <w:tab/>
        <w:t>a court (including a court of another jurisdiction) awards damages to a person in respect of bodily injury to a person directly caused by, or by the driving of, a motor vehicle; and</w:t>
      </w:r>
    </w:p>
    <w:p>
      <w:pPr>
        <w:pStyle w:val="Indenta"/>
      </w:pPr>
      <w:r>
        <w:tab/>
        <w:t>(b)</w:t>
      </w:r>
      <w:r>
        <w:tab/>
        <w:t>the award does not conform with the restrictive provisions.</w:t>
      </w:r>
    </w:p>
    <w:p>
      <w:pPr>
        <w:pStyle w:val="Subsection"/>
      </w:pPr>
      <w:r>
        <w:tab/>
        <w:t>(4)</w:t>
      </w:r>
      <w:r>
        <w:tab/>
        <w:t>If subsection (3) applies, the person against whom the award is made is not required to pay the damages awarded to the extent that the award is contrary to the restrictive provisions.</w:t>
      </w:r>
    </w:p>
    <w:p>
      <w:pPr>
        <w:pStyle w:val="Subsection"/>
      </w:pPr>
      <w:r>
        <w:lastRenderedPageBreak/>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Footnotesection"/>
      </w:pPr>
      <w:r>
        <w:tab/>
        <w:t>[Section 3FA inserted: No. 8 of 2016 s. 46.]</w:t>
      </w:r>
    </w:p>
    <w:p>
      <w:pPr>
        <w:pStyle w:val="Heading5"/>
      </w:pPr>
      <w:bookmarkStart w:id="14" w:name="_Toc100587816"/>
      <w:r>
        <w:rPr>
          <w:rStyle w:val="CharSectno"/>
        </w:rPr>
        <w:t>3FB</w:t>
      </w:r>
      <w:r>
        <w:rPr>
          <w:szCs w:val="24"/>
        </w:rPr>
        <w:t>.</w:t>
      </w:r>
      <w:r>
        <w:rPr>
          <w:szCs w:val="24"/>
        </w:rPr>
        <w:tab/>
        <w:t>Damages for treatment, care and support needs: catastrophic injury</w:t>
      </w:r>
      <w:bookmarkEnd w:id="14"/>
    </w:p>
    <w:p>
      <w:pPr>
        <w:pStyle w:val="Subsection"/>
      </w:pPr>
      <w:r>
        <w:rPr>
          <w:szCs w:val="24"/>
        </w:rPr>
        <w:tab/>
        <w:t>(1)</w:t>
      </w:r>
      <w:r>
        <w:rPr>
          <w:szCs w:val="24"/>
        </w:rPr>
        <w:tab/>
        <w:t xml:space="preserve">In this section — </w:t>
      </w:r>
    </w:p>
    <w:p>
      <w:pPr>
        <w:pStyle w:val="Defstart"/>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Subsection"/>
      </w:pPr>
      <w:r>
        <w:tab/>
        <w:t>(3)</w:t>
      </w:r>
      <w:r>
        <w:tab/>
        <w:t>In determining the amount of damages, no deduction is to be made for any contributory negligence of the person in relation to the catastrophic injury to which the damages relate.</w:t>
      </w:r>
    </w:p>
    <w:p>
      <w:pPr>
        <w:pStyle w:val="Subsection"/>
      </w:pPr>
      <w:r>
        <w:tab/>
        <w:t>(4)</w:t>
      </w:r>
      <w:r>
        <w:tab/>
        <w:t>If subsection (3) applies a court awarding damages to a person is to award them in accordance with that subsection.</w:t>
      </w:r>
    </w:p>
    <w:p>
      <w:pPr>
        <w:pStyle w:val="Footnotesection"/>
      </w:pPr>
      <w:r>
        <w:tab/>
        <w:t>[Section 3FB inserted: No. 8 of 2016 s. 46.]</w:t>
      </w:r>
    </w:p>
    <w:p>
      <w:pPr>
        <w:pStyle w:val="Heading5"/>
      </w:pPr>
      <w:bookmarkStart w:id="15" w:name="_Toc100587817"/>
      <w:r>
        <w:rPr>
          <w:rStyle w:val="CharSectno"/>
        </w:rPr>
        <w:t>3G</w:t>
      </w:r>
      <w:r>
        <w:t>.</w:t>
      </w:r>
      <w:r>
        <w:tab/>
        <w:t>Liability of employers</w:t>
      </w:r>
      <w:bookmarkEnd w:id="15"/>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lastRenderedPageBreak/>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No. 15 of 2006 s. 5.]</w:t>
      </w:r>
    </w:p>
    <w:p>
      <w:pPr>
        <w:pStyle w:val="Ednotesection"/>
        <w:spacing w:before="200"/>
      </w:pPr>
      <w:r>
        <w:t>[</w:t>
      </w:r>
      <w:r>
        <w:rPr>
          <w:b/>
        </w:rPr>
        <w:t>3H</w:t>
      </w:r>
      <w:r>
        <w:rPr>
          <w:b/>
        </w:rPr>
        <w:noBreakHyphen/>
        <w:t>3K.</w:t>
      </w:r>
      <w:r>
        <w:tab/>
        <w:t>Deleted: No. 51 of 1986 s. 46(2).]</w:t>
      </w:r>
    </w:p>
    <w:p>
      <w:pPr>
        <w:pStyle w:val="Ednotesection"/>
        <w:spacing w:before="200"/>
      </w:pPr>
      <w:r>
        <w:t>[</w:t>
      </w:r>
      <w:r>
        <w:rPr>
          <w:b/>
        </w:rPr>
        <w:t>3L</w:t>
      </w:r>
      <w:r>
        <w:rPr>
          <w:b/>
        </w:rPr>
        <w:noBreakHyphen/>
        <w:t>3N.</w:t>
      </w:r>
      <w:r>
        <w:rPr>
          <w:b/>
        </w:rPr>
        <w:tab/>
      </w:r>
      <w:r>
        <w:t>Deleted: No. 81 of 1982 s. 10.]</w:t>
      </w:r>
    </w:p>
    <w:p>
      <w:pPr>
        <w:pStyle w:val="Ednotesection"/>
        <w:spacing w:before="200"/>
      </w:pPr>
      <w:r>
        <w:t>[</w:t>
      </w:r>
      <w:r>
        <w:rPr>
          <w:b/>
        </w:rPr>
        <w:t>3P.</w:t>
      </w:r>
      <w:r>
        <w:rPr>
          <w:b/>
        </w:rPr>
        <w:tab/>
      </w:r>
      <w:r>
        <w:t>Deleted: No. 8 of 1988 s. 5.]</w:t>
      </w:r>
    </w:p>
    <w:p>
      <w:pPr>
        <w:pStyle w:val="Heading5"/>
        <w:spacing w:before="200"/>
        <w:rPr>
          <w:snapToGrid w:val="0"/>
        </w:rPr>
      </w:pPr>
      <w:bookmarkStart w:id="16" w:name="_Toc100587818"/>
      <w:r>
        <w:rPr>
          <w:rStyle w:val="CharSectno"/>
        </w:rPr>
        <w:t>3Q</w:t>
      </w:r>
      <w:r>
        <w:rPr>
          <w:snapToGrid w:val="0"/>
        </w:rPr>
        <w:t xml:space="preserve">. </w:t>
      </w:r>
      <w:r>
        <w:rPr>
          <w:snapToGrid w:val="0"/>
        </w:rPr>
        <w:tab/>
        <w:t>Director General’s functions</w:t>
      </w:r>
      <w:bookmarkEnd w:id="16"/>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No. 76 of 1996 s. 38.]</w:t>
      </w:r>
    </w:p>
    <w:p>
      <w:pPr>
        <w:pStyle w:val="Heading5"/>
        <w:spacing w:before="180"/>
      </w:pPr>
      <w:bookmarkStart w:id="17" w:name="_Toc100587819"/>
      <w:r>
        <w:rPr>
          <w:rStyle w:val="CharSectno"/>
        </w:rPr>
        <w:t>3QA</w:t>
      </w:r>
      <w:r>
        <w:t>.</w:t>
      </w:r>
      <w:r>
        <w:tab/>
        <w:t>Agreements for performance of functions</w:t>
      </w:r>
      <w:bookmarkEnd w:id="1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lastRenderedPageBreak/>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No. 7 of 2002 s. 17.]</w:t>
      </w:r>
    </w:p>
    <w:p>
      <w:pPr>
        <w:pStyle w:val="Heading5"/>
      </w:pPr>
      <w:bookmarkStart w:id="18" w:name="_Toc100587820"/>
      <w:r>
        <w:rPr>
          <w:rStyle w:val="CharSectno"/>
        </w:rPr>
        <w:t>3QB</w:t>
      </w:r>
      <w:r>
        <w:t>.</w:t>
      </w:r>
      <w:r>
        <w:tab/>
        <w:t>Delegation</w:t>
      </w:r>
      <w:bookmarkEnd w:id="1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lastRenderedPageBreak/>
        <w:tab/>
        <w:t>(7)</w:t>
      </w:r>
      <w:r>
        <w:tab/>
        <w:t>Nothing in this section limits the ability of the Director General to perform a function through an officer or agent.</w:t>
      </w:r>
    </w:p>
    <w:p>
      <w:pPr>
        <w:pStyle w:val="Footnotesection"/>
      </w:pPr>
      <w:r>
        <w:tab/>
        <w:t>[Section 3QB inserted: No. 7 of 2002 s. 17.]</w:t>
      </w:r>
    </w:p>
    <w:p>
      <w:pPr>
        <w:pStyle w:val="Heading5"/>
        <w:rPr>
          <w:snapToGrid w:val="0"/>
        </w:rPr>
      </w:pPr>
      <w:bookmarkStart w:id="19" w:name="_Toc100587821"/>
      <w:r>
        <w:rPr>
          <w:rStyle w:val="CharSectno"/>
        </w:rPr>
        <w:t>3R</w:t>
      </w:r>
      <w:r>
        <w:rPr>
          <w:snapToGrid w:val="0"/>
        </w:rPr>
        <w:t xml:space="preserve">. </w:t>
      </w:r>
      <w:r>
        <w:rPr>
          <w:snapToGrid w:val="0"/>
        </w:rPr>
        <w:tab/>
        <w:t>Issue of policies of insurance</w:t>
      </w:r>
      <w:bookmarkEnd w:id="19"/>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No. 31 of 1948 s. 4; amended: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20" w:name="_Toc100587822"/>
      <w:r>
        <w:rPr>
          <w:rStyle w:val="CharSectno"/>
        </w:rPr>
        <w:lastRenderedPageBreak/>
        <w:t>3S</w:t>
      </w:r>
      <w:r>
        <w:rPr>
          <w:snapToGrid w:val="0"/>
        </w:rPr>
        <w:t xml:space="preserve">. </w:t>
      </w:r>
      <w:r>
        <w:rPr>
          <w:snapToGrid w:val="0"/>
        </w:rPr>
        <w:tab/>
        <w:t>Further powers of the Commission</w:t>
      </w:r>
      <w:bookmarkEnd w:id="20"/>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No. 31 of 1948 s. 4; amended: No. 51 of 1986 s. 46(2).]</w:t>
      </w:r>
    </w:p>
    <w:p>
      <w:pPr>
        <w:pStyle w:val="Heading5"/>
        <w:rPr>
          <w:snapToGrid w:val="0"/>
        </w:rPr>
      </w:pPr>
      <w:bookmarkStart w:id="21" w:name="_Toc100587823"/>
      <w:r>
        <w:rPr>
          <w:rStyle w:val="CharSectno"/>
        </w:rPr>
        <w:t>3T</w:t>
      </w:r>
      <w:r>
        <w:rPr>
          <w:snapToGrid w:val="0"/>
        </w:rPr>
        <w:t xml:space="preserve">. </w:t>
      </w:r>
      <w:r>
        <w:rPr>
          <w:snapToGrid w:val="0"/>
        </w:rPr>
        <w:tab/>
        <w:t>Premiums</w:t>
      </w:r>
      <w:bookmarkEnd w:id="21"/>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w:t>
      </w:r>
      <w:r>
        <w:t>and the MV(CI) Act by the Commission, will be sufficient to meet claims, payments, costs and other expenses anticipated to arise or to be incurred under this Act and the MV(CI) Act.</w:t>
      </w:r>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 xml:space="preserve">the Fund and the Motor Vehicle (Catastrophic Injuries) Fund established under the </w:t>
      </w:r>
      <w:r>
        <w:rPr>
          <w:i/>
        </w:rPr>
        <w:t>Insurance Commission of Western Australia Act 1986</w:t>
      </w:r>
      <w:r>
        <w:t xml:space="preserve"> section 16(1)(b).</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 xml:space="preserve">If under subsection (4) the Minister invites the Commission to review all or any of its recommendations, the Commission shall proceed to do so and after such a review the Commission may </w:t>
      </w:r>
      <w:r>
        <w:rPr>
          <w:snapToGrid w:val="0"/>
        </w:rPr>
        <w:lastRenderedPageBreak/>
        <w:t>submit further recommendations for the approval of the Minister.</w:t>
      </w:r>
    </w:p>
    <w:p>
      <w:pPr>
        <w:pStyle w:val="Footnotesection"/>
      </w:pPr>
      <w:r>
        <w:tab/>
        <w:t>[Section 3T inserted: No. 81 of 1982 s. 14; amended: No. 51 of 1986 s. 46(2); No. 15 of 2006 s. 6; No. 8 of 2016 s. 47.]</w:t>
      </w:r>
    </w:p>
    <w:p>
      <w:pPr>
        <w:pStyle w:val="Heading5"/>
        <w:rPr>
          <w:snapToGrid w:val="0"/>
        </w:rPr>
      </w:pPr>
      <w:bookmarkStart w:id="22" w:name="_Toc100587824"/>
      <w:r>
        <w:rPr>
          <w:rStyle w:val="CharSectno"/>
        </w:rPr>
        <w:t>4</w:t>
      </w:r>
      <w:r>
        <w:rPr>
          <w:snapToGrid w:val="0"/>
        </w:rPr>
        <w:t>.</w:t>
      </w:r>
      <w:r>
        <w:rPr>
          <w:snapToGrid w:val="0"/>
        </w:rPr>
        <w:tab/>
        <w:t>Insurance against third party risks</w:t>
      </w:r>
      <w:bookmarkEnd w:id="22"/>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 xml:space="preserve">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w:t>
      </w:r>
      <w:r>
        <w:lastRenderedPageBreak/>
        <w:t>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 xml:space="preserve">police </w:t>
      </w:r>
      <w:r>
        <w:lastRenderedPageBreak/>
        <w:t>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Subsection"/>
      </w:pPr>
      <w:r>
        <w:tab/>
        <w:t>(8A)</w:t>
      </w:r>
      <w:r>
        <w:tab/>
        <w:t xml:space="preserve">The grant or renewal of a licence under the Vehicles Act in respect of a motor vehicle is to be taken to constitute the issue of a policy of insurance complying with this Act — </w:t>
      </w:r>
    </w:p>
    <w:p>
      <w:pPr>
        <w:pStyle w:val="Indenta"/>
      </w:pPr>
      <w:r>
        <w:tab/>
        <w:t>(a)</w:t>
      </w:r>
      <w:r>
        <w:tab/>
        <w:t>in respect of the motor vehicle; and</w:t>
      </w:r>
    </w:p>
    <w:p>
      <w:pPr>
        <w:pStyle w:val="Indenta"/>
      </w:pPr>
      <w:r>
        <w:tab/>
        <w:t>(b)</w:t>
      </w:r>
      <w:r>
        <w:tab/>
        <w:t>in respect of the period for which the licence is granted or renewed.</w:t>
      </w:r>
    </w:p>
    <w:p>
      <w:pPr>
        <w:pStyle w:val="Subsection"/>
      </w:pPr>
      <w:r>
        <w:tab/>
        <w:t>(8B)</w:t>
      </w:r>
      <w:r>
        <w:tab/>
        <w:t xml:space="preserve">A licence document under the Vehicles Act in respect of a motor vehicle must incorporate a statement in a form approved by the Commission explaining — </w:t>
      </w:r>
    </w:p>
    <w:p>
      <w:pPr>
        <w:pStyle w:val="Indenta"/>
      </w:pPr>
      <w:r>
        <w:tab/>
        <w:t>(a)</w:t>
      </w:r>
      <w:r>
        <w:tab/>
        <w:t>the effect of a policy of insurance complying with this Act, including the effect that the policy has because of the operation of section 6A; and</w:t>
      </w:r>
    </w:p>
    <w:p>
      <w:pPr>
        <w:pStyle w:val="Indenta"/>
      </w:pPr>
      <w:r>
        <w:tab/>
        <w:t>(b)</w:t>
      </w:r>
      <w:r>
        <w:tab/>
        <w:t>the obligations of persons as to the reporting of motor vehicle accidents causing bodily injury or death; and</w:t>
      </w:r>
    </w:p>
    <w:p>
      <w:pPr>
        <w:pStyle w:val="Indenta"/>
      </w:pPr>
      <w:r>
        <w:tab/>
        <w:t>(c)</w:t>
      </w:r>
      <w:r>
        <w:tab/>
        <w:t>related matters.</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w:t>
      </w:r>
      <w:r>
        <w:rPr>
          <w:snapToGrid w:val="0"/>
        </w:rPr>
        <w:lastRenderedPageBreak/>
        <w:t>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 No. 8 of 2016 s. 48.]</w:t>
      </w:r>
    </w:p>
    <w:p>
      <w:pPr>
        <w:pStyle w:val="Ednotesection"/>
      </w:pPr>
      <w:r>
        <w:t>[</w:t>
      </w:r>
      <w:r>
        <w:rPr>
          <w:b/>
        </w:rPr>
        <w:t>5.</w:t>
      </w:r>
      <w:r>
        <w:rPr>
          <w:b/>
        </w:rPr>
        <w:tab/>
      </w:r>
      <w:r>
        <w:t>Deleted: No. 31 of 1948 s. 7.]</w:t>
      </w:r>
    </w:p>
    <w:p>
      <w:pPr>
        <w:pStyle w:val="Heading5"/>
        <w:rPr>
          <w:snapToGrid w:val="0"/>
        </w:rPr>
      </w:pPr>
      <w:bookmarkStart w:id="23" w:name="_Toc100587825"/>
      <w:r>
        <w:rPr>
          <w:rStyle w:val="CharSectno"/>
        </w:rPr>
        <w:t>6</w:t>
      </w:r>
      <w:r>
        <w:rPr>
          <w:snapToGrid w:val="0"/>
        </w:rPr>
        <w:t>.</w:t>
      </w:r>
      <w:r>
        <w:rPr>
          <w:snapToGrid w:val="0"/>
        </w:rPr>
        <w:tab/>
        <w:t>Requirements in respect of policies</w:t>
      </w:r>
      <w:bookmarkEnd w:id="23"/>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 xml:space="preserve">be in </w:t>
      </w:r>
      <w:r>
        <w:t>the form</w:t>
      </w:r>
      <w:r>
        <w:rPr>
          <w:snapToGrid w:val="0"/>
        </w:rPr>
        <w:t xml:space="preserve"> contained in the Schedule.</w:t>
      </w:r>
    </w:p>
    <w:p>
      <w:pPr>
        <w:pStyle w:val="Ednotesubsection"/>
        <w:keepNext/>
      </w:pPr>
      <w:r>
        <w:lastRenderedPageBreak/>
        <w:tab/>
        <w:t>[(2)</w:t>
      </w:r>
      <w:r>
        <w:tab/>
        <w:t>deleted]</w:t>
      </w:r>
    </w:p>
    <w:p>
      <w:pPr>
        <w:pStyle w:val="Footnotesection"/>
      </w:pPr>
      <w:r>
        <w:tab/>
        <w:t>[Section 6 amended: No. 40 of 1944 s. 4; No. 31 of 1948 s. 8; No. 72 of 1962 s. 6; No. 95 of 1966 s. 6; No. 51 of 1986 s. 46(2); No. 107 of 1987 s. 6 and 14; No. 8 of 2016 s. 49.]</w:t>
      </w:r>
    </w:p>
    <w:p>
      <w:pPr>
        <w:pStyle w:val="Heading5"/>
      </w:pPr>
      <w:bookmarkStart w:id="24" w:name="_Toc100587826"/>
      <w:r>
        <w:rPr>
          <w:rStyle w:val="CharSectno"/>
        </w:rPr>
        <w:t>6A</w:t>
      </w:r>
      <w:r>
        <w:t>.</w:t>
      </w:r>
      <w:r>
        <w:tab/>
        <w:t>Insurance relating to catastrophic injury</w:t>
      </w:r>
      <w:bookmarkEnd w:id="24"/>
    </w:p>
    <w:p>
      <w:pPr>
        <w:pStyle w:val="Subsection"/>
      </w:pPr>
      <w:r>
        <w:tab/>
        <w:t>(1)</w:t>
      </w:r>
      <w:r>
        <w:tab/>
        <w:t xml:space="preserve">In this section — </w:t>
      </w:r>
    </w:p>
    <w:p>
      <w:pPr>
        <w:pStyle w:val="Defstart"/>
      </w:pPr>
      <w:r>
        <w:tab/>
      </w:r>
      <w:r>
        <w:rPr>
          <w:rStyle w:val="CharDefText"/>
        </w:rPr>
        <w:t>motor vehicle accident</w:t>
      </w:r>
      <w:r>
        <w:t xml:space="preserve"> has the meaning given in the MV(CI) Act section 4(1).</w:t>
      </w:r>
    </w:p>
    <w:p>
      <w:pPr>
        <w:pStyle w:val="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Indenta"/>
      </w:pPr>
      <w:r>
        <w:tab/>
        <w:t>(a)</w:t>
      </w:r>
      <w:r>
        <w:tab/>
        <w:t>is a motor vehicle injury to which the MV(CI) Act applies; and</w:t>
      </w:r>
    </w:p>
    <w:p>
      <w:pPr>
        <w:pStyle w:val="Indenta"/>
      </w:pPr>
      <w:r>
        <w:tab/>
        <w:t>(b)</w:t>
      </w:r>
      <w:r>
        <w:tab/>
        <w:t>results from a motor vehicle accident involving the vehicle mentioned in the policy.</w:t>
      </w:r>
    </w:p>
    <w:p>
      <w:pPr>
        <w:pStyle w:val="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Footnotesection"/>
      </w:pPr>
      <w:r>
        <w:tab/>
        <w:t>[Section 6A inserted: No. 8 of 2016 s. 50.]</w:t>
      </w:r>
    </w:p>
    <w:p>
      <w:pPr>
        <w:pStyle w:val="Heading5"/>
        <w:rPr>
          <w:snapToGrid w:val="0"/>
        </w:rPr>
      </w:pPr>
      <w:bookmarkStart w:id="25" w:name="_Toc100587827"/>
      <w:r>
        <w:rPr>
          <w:rStyle w:val="CharSectno"/>
        </w:rPr>
        <w:t>7</w:t>
      </w:r>
      <w:r>
        <w:rPr>
          <w:snapToGrid w:val="0"/>
        </w:rPr>
        <w:t>.</w:t>
      </w:r>
      <w:r>
        <w:rPr>
          <w:snapToGrid w:val="0"/>
        </w:rPr>
        <w:tab/>
        <w:t>Liability of the Commission</w:t>
      </w:r>
      <w:bookmarkEnd w:id="25"/>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lastRenderedPageBreak/>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lastRenderedPageBreak/>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lastRenderedPageBreak/>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26" w:name="_Toc100587828"/>
      <w:r>
        <w:rPr>
          <w:rStyle w:val="CharSectno"/>
        </w:rPr>
        <w:t>8</w:t>
      </w:r>
      <w:r>
        <w:rPr>
          <w:snapToGrid w:val="0"/>
        </w:rPr>
        <w:t>.</w:t>
      </w:r>
      <w:r>
        <w:rPr>
          <w:snapToGrid w:val="0"/>
        </w:rPr>
        <w:tab/>
        <w:t>Special provisions in relation to uninsured motor vehicles</w:t>
      </w:r>
      <w:bookmarkEnd w:id="2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lastRenderedPageBreak/>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lastRenderedPageBreak/>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lastRenderedPageBreak/>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No. 31 of 1948 s. 10; No. 36 of 1954 s. 4; No. 25 of 1959 s. 5; No. 72 of 1962 s. 8; No. 51 of 1986 s. 46(2); No. 107 of 1987 s. 14; No. 19 of 2010 s. 51.]</w:t>
      </w:r>
    </w:p>
    <w:p>
      <w:pPr>
        <w:pStyle w:val="Ednotesection"/>
      </w:pPr>
      <w:r>
        <w:t>[</w:t>
      </w:r>
      <w:r>
        <w:rPr>
          <w:b/>
        </w:rPr>
        <w:t>8A.</w:t>
      </w:r>
      <w:r>
        <w:rPr>
          <w:b/>
        </w:rPr>
        <w:tab/>
      </w:r>
      <w:r>
        <w:t>Deleted: No. 28 of 2003 s. 122(3).]</w:t>
      </w:r>
    </w:p>
    <w:p>
      <w:pPr>
        <w:pStyle w:val="Ednotesection"/>
      </w:pPr>
      <w:r>
        <w:t>[</w:t>
      </w:r>
      <w:r>
        <w:rPr>
          <w:b/>
        </w:rPr>
        <w:t>9.</w:t>
      </w:r>
      <w:r>
        <w:rPr>
          <w:b/>
        </w:rPr>
        <w:tab/>
      </w:r>
      <w:r>
        <w:t>Deleted: No. 31 of 1948 s. 11.]</w:t>
      </w:r>
    </w:p>
    <w:p>
      <w:pPr>
        <w:pStyle w:val="Heading5"/>
        <w:rPr>
          <w:snapToGrid w:val="0"/>
        </w:rPr>
      </w:pPr>
      <w:bookmarkStart w:id="27" w:name="_Toc100587829"/>
      <w:r>
        <w:rPr>
          <w:rStyle w:val="CharSectno"/>
        </w:rPr>
        <w:t>10</w:t>
      </w:r>
      <w:r>
        <w:rPr>
          <w:snapToGrid w:val="0"/>
        </w:rPr>
        <w:t>.</w:t>
      </w:r>
      <w:r>
        <w:rPr>
          <w:snapToGrid w:val="0"/>
        </w:rPr>
        <w:tab/>
        <w:t>Duties of owner or insured person</w:t>
      </w:r>
      <w:bookmarkEnd w:id="27"/>
    </w:p>
    <w:p>
      <w:pPr>
        <w:pStyle w:val="Subsection"/>
        <w:rPr>
          <w:snapToGrid w:val="0"/>
        </w:rPr>
      </w:pPr>
      <w:r>
        <w:rPr>
          <w:snapToGrid w:val="0"/>
        </w:rPr>
        <w:tab/>
        <w:t>(1)</w:t>
      </w:r>
      <w:r>
        <w:rPr>
          <w:snapToGrid w:val="0"/>
        </w:rPr>
        <w:tab/>
        <w:t xml:space="preserve">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w:t>
      </w:r>
      <w:r>
        <w:rPr>
          <w:snapToGrid w:val="0"/>
        </w:rPr>
        <w:lastRenderedPageBreak/>
        <w:t>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lastRenderedPageBreak/>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No. 31 of 1948 s. 12; No. 36 of 1954 s. 5; No. 95 of 1966 s. 21; No. 44 of 1971 s. 4; No. 51 of 1986 s. 46(2); No. 107 of 1987 s. 9; No. 13 of 1994 s. 8.]</w:t>
      </w:r>
    </w:p>
    <w:p>
      <w:pPr>
        <w:pStyle w:val="Heading5"/>
        <w:rPr>
          <w:snapToGrid w:val="0"/>
        </w:rPr>
      </w:pPr>
      <w:bookmarkStart w:id="28" w:name="_Toc100587830"/>
      <w:r>
        <w:rPr>
          <w:rStyle w:val="CharSectno"/>
        </w:rPr>
        <w:t>11</w:t>
      </w:r>
      <w:r>
        <w:rPr>
          <w:snapToGrid w:val="0"/>
        </w:rPr>
        <w:t>.</w:t>
      </w:r>
      <w:r>
        <w:rPr>
          <w:snapToGrid w:val="0"/>
        </w:rPr>
        <w:tab/>
        <w:t>Power of the Commission to deal with claims against insured persons</w:t>
      </w:r>
      <w:bookmarkEnd w:id="28"/>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 xml:space="preserve">The insured person and the owner and the driver of an uninsured vehicle shall sign and execute all such warrants, authorities and other documents as are necessary to give effect to this section, and, if he defaults in doing so or is absent or cannot be found, </w:t>
      </w:r>
      <w:r>
        <w:rPr>
          <w:snapToGrid w:val="0"/>
        </w:rPr>
        <w:lastRenderedPageBreak/>
        <w:t>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No. 31 of 1948 s. 13; No. 36 of 1954 s. 6; No. 25 of 1959 s. 6; No. 7 of 1975 s. 2; No. 51 of 1986 s. 46(2); No. 107 of 1987 s. 10.]</w:t>
      </w:r>
    </w:p>
    <w:p>
      <w:pPr>
        <w:pStyle w:val="Heading5"/>
        <w:rPr>
          <w:snapToGrid w:val="0"/>
        </w:rPr>
      </w:pPr>
      <w:bookmarkStart w:id="29" w:name="_Toc100587831"/>
      <w:r>
        <w:rPr>
          <w:rStyle w:val="CharSectno"/>
        </w:rPr>
        <w:t>12</w:t>
      </w:r>
      <w:r>
        <w:rPr>
          <w:snapToGrid w:val="0"/>
        </w:rPr>
        <w:t>.</w:t>
      </w:r>
      <w:r>
        <w:rPr>
          <w:snapToGrid w:val="0"/>
        </w:rPr>
        <w:tab/>
        <w:t>Emergency treatment</w:t>
      </w:r>
      <w:bookmarkEnd w:id="29"/>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lastRenderedPageBreak/>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No. 81 of 1982 s. 18.]</w:t>
      </w:r>
    </w:p>
    <w:p>
      <w:pPr>
        <w:pStyle w:val="Heading5"/>
        <w:rPr>
          <w:snapToGrid w:val="0"/>
        </w:rPr>
      </w:pPr>
      <w:bookmarkStart w:id="30" w:name="_Toc100587832"/>
      <w:r>
        <w:rPr>
          <w:rStyle w:val="CharSectno"/>
        </w:rPr>
        <w:t>14</w:t>
      </w:r>
      <w:r>
        <w:rPr>
          <w:snapToGrid w:val="0"/>
        </w:rPr>
        <w:t>.</w:t>
      </w:r>
      <w:r>
        <w:rPr>
          <w:snapToGrid w:val="0"/>
        </w:rPr>
        <w:tab/>
        <w:t>Recovery of payment for emergency treatment</w:t>
      </w:r>
      <w:bookmarkEnd w:id="30"/>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No. 31 of 1948 s. 16; amended: No. 51 of 1986 s. 46(2); No. 107 of 1987 s. 14.]</w:t>
      </w:r>
    </w:p>
    <w:p>
      <w:pPr>
        <w:pStyle w:val="Heading5"/>
        <w:rPr>
          <w:snapToGrid w:val="0"/>
        </w:rPr>
      </w:pPr>
      <w:bookmarkStart w:id="31" w:name="_Toc100587833"/>
      <w:r>
        <w:rPr>
          <w:rStyle w:val="CharSectno"/>
        </w:rPr>
        <w:lastRenderedPageBreak/>
        <w:t>15</w:t>
      </w:r>
      <w:r>
        <w:rPr>
          <w:snapToGrid w:val="0"/>
        </w:rPr>
        <w:t>.</w:t>
      </w:r>
      <w:r>
        <w:rPr>
          <w:snapToGrid w:val="0"/>
        </w:rPr>
        <w:tab/>
        <w:t>Right of the Commission against unauthorised drivers</w:t>
      </w:r>
      <w:bookmarkEnd w:id="31"/>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No. 31 of 1948 s. 17; No. 51 of 1986 s. 46(2); No. 107 of 1987 s. 11.]</w:t>
      </w:r>
    </w:p>
    <w:p>
      <w:pPr>
        <w:pStyle w:val="Heading5"/>
        <w:rPr>
          <w:snapToGrid w:val="0"/>
        </w:rPr>
      </w:pPr>
      <w:bookmarkStart w:id="32" w:name="_Toc100587834"/>
      <w:r>
        <w:rPr>
          <w:rStyle w:val="CharSectno"/>
        </w:rPr>
        <w:t>16</w:t>
      </w:r>
      <w:r>
        <w:rPr>
          <w:snapToGrid w:val="0"/>
        </w:rPr>
        <w:t>.</w:t>
      </w:r>
      <w:r>
        <w:rPr>
          <w:snapToGrid w:val="0"/>
        </w:rPr>
        <w:tab/>
        <w:t>Jurisdiction</w:t>
      </w:r>
      <w:bookmarkEnd w:id="32"/>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w:t>
      </w:r>
      <w:r>
        <w:lastRenderedPageBreak/>
        <w:t>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lastRenderedPageBreak/>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No. 42 of 1972 s. 6; amended: No. 51 of 1986 s. 46(2); No. 107 of 1987 s. 14; No. 59 of 2004 s. 141.]</w:t>
      </w:r>
    </w:p>
    <w:p>
      <w:pPr>
        <w:pStyle w:val="Heading5"/>
        <w:rPr>
          <w:snapToGrid w:val="0"/>
        </w:rPr>
      </w:pPr>
      <w:bookmarkStart w:id="33" w:name="_Toc100587835"/>
      <w:r>
        <w:rPr>
          <w:rStyle w:val="CharSectno"/>
        </w:rPr>
        <w:t>17</w:t>
      </w:r>
      <w:r>
        <w:rPr>
          <w:snapToGrid w:val="0"/>
        </w:rPr>
        <w:t>.</w:t>
      </w:r>
      <w:r>
        <w:rPr>
          <w:snapToGrid w:val="0"/>
        </w:rPr>
        <w:tab/>
        <w:t>Insurance by visiting motorists</w:t>
      </w:r>
      <w:bookmarkEnd w:id="33"/>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No. 31 of 1948 s. 19; No. 107 of 1987 s. 14; No. 14 of 1996 s. 4.]</w:t>
      </w:r>
    </w:p>
    <w:p>
      <w:pPr>
        <w:pStyle w:val="Heading5"/>
        <w:rPr>
          <w:snapToGrid w:val="0"/>
        </w:rPr>
      </w:pPr>
      <w:bookmarkStart w:id="34" w:name="_Toc100587836"/>
      <w:r>
        <w:rPr>
          <w:rStyle w:val="CharSectno"/>
        </w:rPr>
        <w:t>18</w:t>
      </w:r>
      <w:r>
        <w:rPr>
          <w:snapToGrid w:val="0"/>
        </w:rPr>
        <w:t>.</w:t>
      </w:r>
      <w:r>
        <w:rPr>
          <w:snapToGrid w:val="0"/>
        </w:rPr>
        <w:tab/>
        <w:t>Power to suspend or cancel licences</w:t>
      </w:r>
      <w:bookmarkEnd w:id="34"/>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Magistrates Court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lastRenderedPageBreak/>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No. 31 of 1948 s. 20; No. 58 of 1974 s. 32; No. 51 of 1986 s. 46(2); No 78 of 1995 s. 74; No. 84 of 2004 s. 80; No. 8 of 2012 s. 139.]</w:t>
      </w:r>
    </w:p>
    <w:p>
      <w:pPr>
        <w:pStyle w:val="Heading5"/>
        <w:rPr>
          <w:snapToGrid w:val="0"/>
        </w:rPr>
      </w:pPr>
      <w:bookmarkStart w:id="35" w:name="_Toc100587837"/>
      <w:r>
        <w:rPr>
          <w:rStyle w:val="CharSectno"/>
        </w:rPr>
        <w:t>19</w:t>
      </w:r>
      <w:r>
        <w:rPr>
          <w:snapToGrid w:val="0"/>
        </w:rPr>
        <w:t>.</w:t>
      </w:r>
      <w:r>
        <w:rPr>
          <w:snapToGrid w:val="0"/>
        </w:rPr>
        <w:tab/>
        <w:t>Commission not to terminate policy</w:t>
      </w:r>
      <w:bookmarkEnd w:id="35"/>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No. 31 of 1948 s. 21; amended: No. 51 of 1986 s. 46(2).]</w:t>
      </w:r>
    </w:p>
    <w:p>
      <w:pPr>
        <w:pStyle w:val="Heading5"/>
        <w:rPr>
          <w:snapToGrid w:val="0"/>
        </w:rPr>
      </w:pPr>
      <w:bookmarkStart w:id="36" w:name="_Toc100587838"/>
      <w:r>
        <w:rPr>
          <w:rStyle w:val="CharSectno"/>
        </w:rPr>
        <w:t>20</w:t>
      </w:r>
      <w:r>
        <w:rPr>
          <w:snapToGrid w:val="0"/>
        </w:rPr>
        <w:t>.</w:t>
      </w:r>
      <w:r>
        <w:rPr>
          <w:snapToGrid w:val="0"/>
        </w:rPr>
        <w:tab/>
        <w:t>Policy of insurance to continue notwithstanding change of ownership of vehicle</w:t>
      </w:r>
      <w:bookmarkEnd w:id="3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 xml:space="preserve">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w:t>
      </w:r>
      <w:r>
        <w:rPr>
          <w:snapToGrid w:val="0"/>
        </w:rPr>
        <w:lastRenderedPageBreak/>
        <w:t>terms, warranties and conditions in the policy as if he had expressly agreed to them.</w:t>
      </w:r>
    </w:p>
    <w:p>
      <w:pPr>
        <w:pStyle w:val="Footnotesection"/>
      </w:pPr>
      <w:r>
        <w:tab/>
        <w:t>[Section 20 </w:t>
      </w:r>
      <w:r>
        <w:rPr>
          <w:i w:val="0"/>
          <w:vertAlign w:val="superscript"/>
        </w:rPr>
        <w:t>2</w:t>
      </w:r>
      <w:r>
        <w:t xml:space="preserve"> inserted as s. 19A: No. 40 of 1944 s. 7; amended: No. 36 of 1954 s. 7.]</w:t>
      </w:r>
    </w:p>
    <w:p>
      <w:pPr>
        <w:pStyle w:val="Heading5"/>
      </w:pPr>
      <w:bookmarkStart w:id="37" w:name="_Toc100587839"/>
      <w:r>
        <w:rPr>
          <w:rStyle w:val="CharSectno"/>
        </w:rPr>
        <w:t>21</w:t>
      </w:r>
      <w:r>
        <w:t>.</w:t>
      </w:r>
      <w:r>
        <w:tab/>
        <w:t>Term of policy of insurance extended in certain cases</w:t>
      </w:r>
      <w:bookmarkEnd w:id="37"/>
    </w:p>
    <w:p>
      <w:pPr>
        <w:pStyle w:val="Subsection"/>
      </w:pPr>
      <w:r>
        <w:tab/>
        <w:t>(1)</w:t>
      </w:r>
      <w:r>
        <w:tab/>
        <w:t>This section applies if a vehicle licence in respect of a motor vehicle is renewed after it has expired.</w:t>
      </w:r>
    </w:p>
    <w:p>
      <w:pPr>
        <w:pStyle w:val="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Subsection"/>
      </w:pPr>
      <w:r>
        <w:tab/>
        <w:t>(5)</w:t>
      </w:r>
      <w:r>
        <w:tab/>
        <w:t>Subsection (4) does not affect the amount of the insurance premium that must be paid before the vehicle licence can be renewed.</w:t>
      </w:r>
    </w:p>
    <w:p>
      <w:pPr>
        <w:pStyle w:val="Footnotesection"/>
      </w:pPr>
      <w:r>
        <w:tab/>
        <w:t>[Section 21 inserted: No. 8 of 2016 s. 51.]</w:t>
      </w:r>
    </w:p>
    <w:p>
      <w:pPr>
        <w:pStyle w:val="Heading5"/>
        <w:rPr>
          <w:snapToGrid w:val="0"/>
        </w:rPr>
      </w:pPr>
      <w:bookmarkStart w:id="38" w:name="_Toc100587840"/>
      <w:r>
        <w:rPr>
          <w:rStyle w:val="CharSectno"/>
        </w:rPr>
        <w:t>22</w:t>
      </w:r>
      <w:r>
        <w:rPr>
          <w:snapToGrid w:val="0"/>
        </w:rPr>
        <w:t>.</w:t>
      </w:r>
      <w:r>
        <w:rPr>
          <w:snapToGrid w:val="0"/>
        </w:rPr>
        <w:tab/>
        <w:t>Provision regarding motor vehicle of employee used by employee in employer’s business</w:t>
      </w:r>
      <w:bookmarkEnd w:id="38"/>
    </w:p>
    <w:p>
      <w:pPr>
        <w:pStyle w:val="Subsection"/>
        <w:rPr>
          <w:snapToGrid w:val="0"/>
        </w:rPr>
      </w:pPr>
      <w:r>
        <w:rPr>
          <w:snapToGrid w:val="0"/>
        </w:rPr>
        <w:tab/>
        <w:t>(1)</w:t>
      </w:r>
      <w:r>
        <w:rPr>
          <w:snapToGrid w:val="0"/>
        </w:rPr>
        <w:tab/>
        <w:t xml:space="preserve">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w:t>
      </w:r>
      <w:r>
        <w:rPr>
          <w:snapToGrid w:val="0"/>
        </w:rPr>
        <w:lastRenderedPageBreak/>
        <w:t>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i w:val="0"/>
          <w:vertAlign w:val="superscript"/>
        </w:rPr>
        <w:t>2</w:t>
      </w:r>
      <w:r>
        <w:t xml:space="preserve"> inserted as s. 19C: No. 40 of 1944 s. 7.]</w:t>
      </w:r>
    </w:p>
    <w:p>
      <w:pPr>
        <w:pStyle w:val="Heading5"/>
        <w:rPr>
          <w:snapToGrid w:val="0"/>
        </w:rPr>
      </w:pPr>
      <w:bookmarkStart w:id="39" w:name="_Toc100587841"/>
      <w:r>
        <w:rPr>
          <w:rStyle w:val="CharSectno"/>
        </w:rPr>
        <w:t>23</w:t>
      </w:r>
      <w:r>
        <w:rPr>
          <w:snapToGrid w:val="0"/>
        </w:rPr>
        <w:t>.</w:t>
      </w:r>
      <w:r>
        <w:rPr>
          <w:snapToGrid w:val="0"/>
        </w:rPr>
        <w:tab/>
        <w:t>Policies to give cover required by amending Acts</w:t>
      </w:r>
      <w:bookmarkEnd w:id="39"/>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lastRenderedPageBreak/>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i w:val="0"/>
          <w:vertAlign w:val="superscript"/>
        </w:rPr>
        <w:t>2</w:t>
      </w:r>
      <w:r>
        <w:t xml:space="preserve"> inserted as s. 19D: No. 40 of 1944 s. 7; amended: No. 31 of 1948 s. 22; No. 51 of 1986 s. 46(2); No. 107 of 1987 s. 12.]</w:t>
      </w:r>
    </w:p>
    <w:p>
      <w:pPr>
        <w:pStyle w:val="Heading5"/>
        <w:rPr>
          <w:snapToGrid w:val="0"/>
        </w:rPr>
      </w:pPr>
      <w:bookmarkStart w:id="40" w:name="_Toc100587842"/>
      <w:r>
        <w:rPr>
          <w:rStyle w:val="CharSectno"/>
        </w:rPr>
        <w:t>24</w:t>
      </w:r>
      <w:r>
        <w:rPr>
          <w:snapToGrid w:val="0"/>
        </w:rPr>
        <w:t>.</w:t>
      </w:r>
      <w:r>
        <w:rPr>
          <w:snapToGrid w:val="0"/>
        </w:rPr>
        <w:tab/>
        <w:t>Reference to issue of policy to extend to renewal of policy</w:t>
      </w:r>
      <w:bookmarkEnd w:id="40"/>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i w:val="0"/>
          <w:vertAlign w:val="superscript"/>
        </w:rPr>
        <w:t>2</w:t>
      </w:r>
      <w:r>
        <w:rPr>
          <w:i w:val="0"/>
        </w:rPr>
        <w:t xml:space="preserve"> </w:t>
      </w:r>
      <w:r>
        <w:t>inserted as s. 19E: No. 40 of 1944 s. 7.]</w:t>
      </w:r>
    </w:p>
    <w:p>
      <w:pPr>
        <w:pStyle w:val="Heading5"/>
        <w:rPr>
          <w:snapToGrid w:val="0"/>
        </w:rPr>
      </w:pPr>
      <w:bookmarkStart w:id="41" w:name="_Toc100587843"/>
      <w:r>
        <w:rPr>
          <w:rStyle w:val="CharSectno"/>
        </w:rPr>
        <w:t>25</w:t>
      </w:r>
      <w:r>
        <w:rPr>
          <w:snapToGrid w:val="0"/>
        </w:rPr>
        <w:t>.</w:t>
      </w:r>
      <w:r>
        <w:rPr>
          <w:snapToGrid w:val="0"/>
        </w:rPr>
        <w:tab/>
        <w:t>Information to be furnished by the Commission</w:t>
      </w:r>
      <w:bookmarkEnd w:id="41"/>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2</w:t>
      </w:r>
      <w:r>
        <w:t>, formerly section 20, amended: No. 31 of 1948 s. 23; No. 57 of 1962 s. 5; No. 51 of 1986 s. 46(2); No. 8 of 1988 s. 8.]</w:t>
      </w:r>
    </w:p>
    <w:p>
      <w:pPr>
        <w:pStyle w:val="Heading5"/>
        <w:rPr>
          <w:snapToGrid w:val="0"/>
        </w:rPr>
      </w:pPr>
      <w:bookmarkStart w:id="42" w:name="_Toc100587844"/>
      <w:r>
        <w:rPr>
          <w:rStyle w:val="CharSectno"/>
        </w:rPr>
        <w:t>26</w:t>
      </w:r>
      <w:r>
        <w:rPr>
          <w:snapToGrid w:val="0"/>
        </w:rPr>
        <w:t>.</w:t>
      </w:r>
      <w:r>
        <w:rPr>
          <w:snapToGrid w:val="0"/>
        </w:rPr>
        <w:tab/>
        <w:t>Contracting out of liability for negligence</w:t>
      </w:r>
      <w:bookmarkEnd w:id="42"/>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2</w:t>
      </w:r>
      <w:r>
        <w:t xml:space="preserve"> amended: No. 65 of 1986 s. 3.]</w:t>
      </w:r>
    </w:p>
    <w:p>
      <w:pPr>
        <w:pStyle w:val="Heading5"/>
        <w:rPr>
          <w:snapToGrid w:val="0"/>
        </w:rPr>
      </w:pPr>
      <w:bookmarkStart w:id="43" w:name="_Toc100587845"/>
      <w:r>
        <w:rPr>
          <w:rStyle w:val="CharSectno"/>
        </w:rPr>
        <w:lastRenderedPageBreak/>
        <w:t>27</w:t>
      </w:r>
      <w:r>
        <w:rPr>
          <w:snapToGrid w:val="0"/>
        </w:rPr>
        <w:t>.</w:t>
      </w:r>
      <w:r>
        <w:rPr>
          <w:snapToGrid w:val="0"/>
        </w:rPr>
        <w:tab/>
        <w:t>Soliciting instructions from persons claiming</w:t>
      </w:r>
      <w:bookmarkEnd w:id="43"/>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2</w:t>
      </w:r>
      <w:r>
        <w:t>, formerly section 22, amended: No. 31 of 1948 s. 24; No. 51 of 1986 s. 46(2); No. 107 of 1987 s. 13; No. 13 of 1994 s. 9.]</w:t>
      </w:r>
    </w:p>
    <w:p>
      <w:pPr>
        <w:pStyle w:val="Heading5"/>
        <w:rPr>
          <w:snapToGrid w:val="0"/>
        </w:rPr>
      </w:pPr>
      <w:bookmarkStart w:id="44" w:name="_Toc100587846"/>
      <w:r>
        <w:rPr>
          <w:rStyle w:val="CharSectno"/>
        </w:rPr>
        <w:lastRenderedPageBreak/>
        <w:t>27A</w:t>
      </w:r>
      <w:r>
        <w:rPr>
          <w:snapToGrid w:val="0"/>
        </w:rPr>
        <w:t xml:space="preserve">. </w:t>
      </w:r>
      <w:r>
        <w:rPr>
          <w:snapToGrid w:val="0"/>
        </w:rPr>
        <w:tab/>
        <w:t>Costs between solicitor and client</w:t>
      </w:r>
      <w:bookmarkEnd w:id="44"/>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rPr>
        <w:t xml:space="preserve"> and does not apply in relation to any money paid in respect of services so provided.</w:t>
      </w:r>
    </w:p>
    <w:p>
      <w:pPr>
        <w:pStyle w:val="Footnotesection"/>
      </w:pPr>
      <w:r>
        <w:tab/>
        <w:t>[Section 27A inserted: No. 17 of 1994 s. 6; amended: No. 65 of 2003 s. 53(2); No. 21 of 2008 s. 682.]</w:t>
      </w:r>
    </w:p>
    <w:p>
      <w:pPr>
        <w:pStyle w:val="Heading5"/>
      </w:pPr>
      <w:bookmarkStart w:id="45" w:name="_Toc100587847"/>
      <w:r>
        <w:rPr>
          <w:rStyle w:val="CharSectno"/>
        </w:rPr>
        <w:t>27B</w:t>
      </w:r>
      <w:r>
        <w:t>.</w:t>
      </w:r>
      <w:r>
        <w:tab/>
        <w:t>False or misleading information</w:t>
      </w:r>
      <w:bookmarkEnd w:id="45"/>
    </w:p>
    <w:p>
      <w:pPr>
        <w:pStyle w:val="Subsection"/>
      </w:pPr>
      <w:r>
        <w:tab/>
        <w:t>(1)</w:t>
      </w:r>
      <w:r>
        <w:tab/>
        <w:t xml:space="preserve">A person must not do anything set out in subsection (2) — </w:t>
      </w:r>
    </w:p>
    <w:p>
      <w:pPr>
        <w:pStyle w:val="Indenta"/>
      </w:pPr>
      <w:r>
        <w:tab/>
        <w:t>(a)</w:t>
      </w:r>
      <w:r>
        <w:tab/>
        <w:t>in, or in connection with,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lastRenderedPageBreak/>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Footnotesection"/>
      </w:pPr>
      <w:r>
        <w:tab/>
        <w:t>[Section 27B inserted: No. 8 of 2016 s. 52.]</w:t>
      </w:r>
    </w:p>
    <w:p>
      <w:pPr>
        <w:pStyle w:val="Heading5"/>
      </w:pPr>
      <w:bookmarkStart w:id="46" w:name="_Toc100587848"/>
      <w:r>
        <w:rPr>
          <w:rStyle w:val="CharSectno"/>
        </w:rPr>
        <w:t>27C</w:t>
      </w:r>
      <w:r>
        <w:t>.</w:t>
      </w:r>
      <w:r>
        <w:tab/>
        <w:t>Obstruction</w:t>
      </w:r>
      <w:bookmarkEnd w:id="46"/>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Footnotesection"/>
      </w:pPr>
      <w:r>
        <w:tab/>
        <w:t>[Section 27C inserted: No. 8 of 2016 s. 52.]</w:t>
      </w:r>
    </w:p>
    <w:p>
      <w:pPr>
        <w:pStyle w:val="Heading5"/>
        <w:rPr>
          <w:snapToGrid w:val="0"/>
        </w:rPr>
      </w:pPr>
      <w:bookmarkStart w:id="47" w:name="_Toc100587849"/>
      <w:r>
        <w:rPr>
          <w:rStyle w:val="CharSectno"/>
        </w:rPr>
        <w:t>28</w:t>
      </w:r>
      <w:r>
        <w:rPr>
          <w:snapToGrid w:val="0"/>
        </w:rPr>
        <w:t>.</w:t>
      </w:r>
      <w:r>
        <w:rPr>
          <w:snapToGrid w:val="0"/>
        </w:rPr>
        <w:tab/>
        <w:t>Offences: general penalty</w:t>
      </w:r>
      <w:bookmarkEnd w:id="47"/>
    </w:p>
    <w:p>
      <w:pPr>
        <w:pStyle w:val="Subsection"/>
        <w:rPr>
          <w:snapToGrid w:val="0"/>
        </w:rPr>
      </w:pPr>
      <w:r>
        <w:rPr>
          <w:snapToGrid w:val="0"/>
        </w:rPr>
        <w:tab/>
        <w:t>(1)</w:t>
      </w:r>
      <w:r>
        <w:rPr>
          <w:snapToGrid w:val="0"/>
        </w:rPr>
        <w:tab/>
        <w:t xml:space="preserve">Any person who does or attempts to do any act, matter, or thing in breach of any of the provisions of this Act, or fails or neglects </w:t>
      </w:r>
      <w:r>
        <w:rPr>
          <w:snapToGrid w:val="0"/>
        </w:rPr>
        <w:lastRenderedPageBreak/>
        <w:t>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2</w:t>
      </w:r>
      <w:r>
        <w:t xml:space="preserve"> amended: No. 95 of 1966 s. 21; No. 44 of 1971 s. 5.]</w:t>
      </w:r>
    </w:p>
    <w:p>
      <w:pPr>
        <w:pStyle w:val="Heading5"/>
        <w:rPr>
          <w:snapToGrid w:val="0"/>
        </w:rPr>
      </w:pPr>
      <w:bookmarkStart w:id="48" w:name="_Toc100587850"/>
      <w:r>
        <w:rPr>
          <w:rStyle w:val="CharSectno"/>
        </w:rPr>
        <w:t>29</w:t>
      </w:r>
      <w:r>
        <w:rPr>
          <w:snapToGrid w:val="0"/>
        </w:rPr>
        <w:t>.</w:t>
      </w:r>
      <w:r>
        <w:rPr>
          <w:snapToGrid w:val="0"/>
        </w:rPr>
        <w:tab/>
        <w:t>Notice of claim</w:t>
      </w:r>
      <w:bookmarkEnd w:id="48"/>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lastRenderedPageBreak/>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No. 21 of 1969 s. 5; amended: No. 42 of 1972 s. 8; No. 51 of 1986 s. 46(2); No. 107 of 1987 s. 14; No. 13 of 1994 s. 10.]</w:t>
      </w:r>
    </w:p>
    <w:p>
      <w:pPr>
        <w:pStyle w:val="Heading5"/>
        <w:rPr>
          <w:snapToGrid w:val="0"/>
        </w:rPr>
      </w:pPr>
      <w:bookmarkStart w:id="49" w:name="_Toc100587851"/>
      <w:r>
        <w:rPr>
          <w:rStyle w:val="CharSectno"/>
        </w:rPr>
        <w:lastRenderedPageBreak/>
        <w:t>29A</w:t>
      </w:r>
      <w:r>
        <w:rPr>
          <w:snapToGrid w:val="0"/>
        </w:rPr>
        <w:t xml:space="preserve">. </w:t>
      </w:r>
      <w:r>
        <w:rPr>
          <w:snapToGrid w:val="0"/>
        </w:rPr>
        <w:tab/>
        <w:t>Court may grant leave to proceed</w:t>
      </w:r>
      <w:bookmarkEnd w:id="49"/>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No. 72 of 1962 s. 10; amended: No. 95 of 1966 s. 19; No. 51 of 1986 s. 46(2); No. 107 of 1987 s. 14; No. 13 of 1994 s. 11; No. 28 of 2003 s. 122(4).]</w:t>
      </w:r>
    </w:p>
    <w:p>
      <w:pPr>
        <w:pStyle w:val="Heading5"/>
      </w:pPr>
      <w:bookmarkStart w:id="50" w:name="_Toc100587852"/>
      <w:r>
        <w:rPr>
          <w:rStyle w:val="CharSectno"/>
        </w:rPr>
        <w:t>30</w:t>
      </w:r>
      <w:r>
        <w:t>.</w:t>
      </w:r>
      <w:r>
        <w:tab/>
        <w:t>Examination of injured person by health professional</w:t>
      </w:r>
      <w:bookmarkEnd w:id="50"/>
    </w:p>
    <w:p>
      <w:pPr>
        <w:pStyle w:val="Subsection"/>
      </w:pPr>
      <w:r>
        <w:tab/>
        <w:t>(1)</w:t>
      </w:r>
      <w:r>
        <w:tab/>
        <w:t xml:space="preserve">In this section — </w:t>
      </w:r>
    </w:p>
    <w:p>
      <w:pPr>
        <w:pStyle w:val="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lastRenderedPageBreak/>
        <w:tab/>
        <w:t>(b)</w:t>
      </w:r>
      <w:r>
        <w:tab/>
        <w:t>in relation to the examination of an injured person in another country — a person licensed, registered or otherwise authorised under a law of that country to practise a health profession (other than as a student).</w:t>
      </w:r>
    </w:p>
    <w:p>
      <w:pPr>
        <w:pStyle w:val="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Subsection"/>
      </w:pPr>
      <w:r>
        <w:tab/>
        <w:t>(3)</w:t>
      </w:r>
      <w:r>
        <w:tab/>
        <w:t>The Commission must pay for an examination under subsection (2).</w:t>
      </w:r>
    </w:p>
    <w:p>
      <w:pPr>
        <w:pStyle w:val="Subsection"/>
      </w:pPr>
      <w:r>
        <w:tab/>
        <w:t>(4)</w:t>
      </w:r>
      <w:r>
        <w:tab/>
        <w:t>An injured person may be accompanied at an examination under subsection (2) by a medical adviser but not by a legal adviser.</w:t>
      </w:r>
    </w:p>
    <w:p>
      <w:pPr>
        <w:pStyle w:val="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Footnotesection"/>
      </w:pPr>
      <w:r>
        <w:tab/>
        <w:t>[Section 30 inserted: No. 8 of 2016 s. 53.]</w:t>
      </w:r>
    </w:p>
    <w:p>
      <w:pPr>
        <w:pStyle w:val="Ednotesection"/>
        <w:spacing w:before="200"/>
        <w:ind w:left="890" w:hanging="890"/>
      </w:pPr>
      <w:r>
        <w:t>[</w:t>
      </w:r>
      <w:r>
        <w:rPr>
          <w:b/>
        </w:rPr>
        <w:t>31.</w:t>
      </w:r>
      <w:r>
        <w:tab/>
        <w:t>Deleted: No. 81 of 1982 s. 19.]</w:t>
      </w:r>
    </w:p>
    <w:p>
      <w:pPr>
        <w:pStyle w:val="Ednotesection"/>
        <w:spacing w:before="200"/>
        <w:ind w:left="890" w:hanging="890"/>
      </w:pPr>
      <w:r>
        <w:t>[</w:t>
      </w:r>
      <w:r>
        <w:rPr>
          <w:b/>
        </w:rPr>
        <w:t>32.</w:t>
      </w:r>
      <w:r>
        <w:tab/>
        <w:t>Deleted: No. 51 of 1986 s. 46(2).]</w:t>
      </w:r>
    </w:p>
    <w:p>
      <w:pPr>
        <w:pStyle w:val="Ednotesection"/>
        <w:spacing w:before="200"/>
        <w:ind w:left="890" w:hanging="890"/>
      </w:pPr>
      <w:r>
        <w:t>[</w:t>
      </w:r>
      <w:r>
        <w:rPr>
          <w:b/>
        </w:rPr>
        <w:t>32A.</w:t>
      </w:r>
      <w:r>
        <w:tab/>
        <w:t>Deleted: No. 76 of 1996 s. 39.]</w:t>
      </w:r>
    </w:p>
    <w:p>
      <w:pPr>
        <w:pStyle w:val="Heading5"/>
        <w:spacing w:before="260"/>
        <w:rPr>
          <w:snapToGrid w:val="0"/>
        </w:rPr>
      </w:pPr>
      <w:bookmarkStart w:id="51" w:name="_Toc100587853"/>
      <w:r>
        <w:rPr>
          <w:rStyle w:val="CharSectno"/>
        </w:rPr>
        <w:lastRenderedPageBreak/>
        <w:t>33</w:t>
      </w:r>
      <w:r>
        <w:rPr>
          <w:snapToGrid w:val="0"/>
        </w:rPr>
        <w:t>.</w:t>
      </w:r>
      <w:r>
        <w:rPr>
          <w:snapToGrid w:val="0"/>
        </w:rPr>
        <w:tab/>
        <w:t>Regulations</w:t>
      </w:r>
      <w:bookmarkEnd w:id="51"/>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No. 95 of 1966 s. 20; amended: No. 37 of 1967 s. 7; No. 44 of 1971 s. 6; No. 42 of 1972 s. 9; No. 111 of 1976 s. 13; No. 51 of 1986 s. 46(2); No. 107 of 1987 s. 14.]</w:t>
      </w:r>
    </w:p>
    <w:p>
      <w:pPr>
        <w:pStyle w:val="Ednotesection"/>
        <w:spacing w:before="160"/>
        <w:ind w:left="890" w:hanging="890"/>
      </w:pPr>
      <w:r>
        <w:t>[</w:t>
      </w:r>
      <w:r>
        <w:rPr>
          <w:b/>
        </w:rPr>
        <w:t>33A.</w:t>
      </w:r>
      <w:r>
        <w:tab/>
        <w:t>Deleted: No. 42 of 1972 s. 10.]</w:t>
      </w:r>
    </w:p>
    <w:p>
      <w:pPr>
        <w:pStyle w:val="Heading5"/>
      </w:pPr>
      <w:bookmarkStart w:id="52" w:name="_Toc100587854"/>
      <w:r>
        <w:rPr>
          <w:rStyle w:val="CharSectno"/>
        </w:rPr>
        <w:t>34</w:t>
      </w:r>
      <w:r>
        <w:t>.</w:t>
      </w:r>
      <w:r>
        <w:tab/>
        <w:t xml:space="preserve">Transitional provision for </w:t>
      </w:r>
      <w:r>
        <w:rPr>
          <w:i/>
        </w:rPr>
        <w:t>Motor Vehicle (Catastrophic Injuries) Act 2016</w:t>
      </w:r>
      <w:bookmarkEnd w:id="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Defstart"/>
      </w:pPr>
      <w:r>
        <w:tab/>
      </w:r>
      <w:r>
        <w:rPr>
          <w:rStyle w:val="CharDefText"/>
        </w:rPr>
        <w:t>issued</w:t>
      </w:r>
      <w:r>
        <w:t xml:space="preserve"> means granted or renewed;</w:t>
      </w:r>
    </w:p>
    <w:p>
      <w:pPr>
        <w:pStyle w:val="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Defstart"/>
      </w:pPr>
      <w:r>
        <w:lastRenderedPageBreak/>
        <w:tab/>
      </w:r>
      <w:r>
        <w:rPr>
          <w:rStyle w:val="CharDefText"/>
        </w:rPr>
        <w:t>repealed provision</w:t>
      </w:r>
      <w:r>
        <w:t xml:space="preserve"> means section 4(8) as enacted before the commencement day.</w:t>
      </w:r>
    </w:p>
    <w:p>
      <w:pPr>
        <w:pStyle w:val="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Subsection"/>
      </w:pPr>
      <w:r>
        <w:tab/>
        <w:t>(3)</w:t>
      </w:r>
      <w:r>
        <w:tab/>
        <w:t xml:space="preserve">This subsection applies if — </w:t>
      </w:r>
    </w:p>
    <w:p>
      <w:pPr>
        <w:pStyle w:val="Indenta"/>
      </w:pPr>
      <w:r>
        <w:tab/>
        <w:t>(a)</w:t>
      </w:r>
      <w:r>
        <w:tab/>
        <w:t>a vehicle licence that expired before the commencement day has not been renewed before the commencement day; or</w:t>
      </w:r>
    </w:p>
    <w:p>
      <w:pPr>
        <w:pStyle w:val="Indenta"/>
      </w:pPr>
      <w:r>
        <w:tab/>
        <w:t>(b)</w:t>
      </w:r>
      <w:r>
        <w:tab/>
        <w:t>a vehicle licence expires on or after the commencement day but before the relevant day; or</w:t>
      </w:r>
    </w:p>
    <w:p>
      <w:pPr>
        <w:pStyle w:val="Indenta"/>
      </w:pPr>
      <w:r>
        <w:tab/>
        <w:t>(c)</w:t>
      </w:r>
      <w:r>
        <w:tab/>
        <w:t>the period for which a vehicle licence was issued began before the relevant day and the vehicle licence expires on or after the relevant day.</w:t>
      </w:r>
    </w:p>
    <w:p>
      <w:pPr>
        <w:pStyle w:val="Subsection"/>
      </w:pPr>
      <w:r>
        <w:tab/>
        <w:t>(4)</w:t>
      </w:r>
      <w:r>
        <w:tab/>
        <w:t xml:space="preserve">If subsection (3) applies — </w:t>
      </w:r>
    </w:p>
    <w:p>
      <w:pPr>
        <w:pStyle w:val="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Indenta"/>
      </w:pPr>
      <w:r>
        <w:tab/>
        <w:t>(b)</w:t>
      </w:r>
      <w:r>
        <w:tab/>
        <w:t>in section 21(2) the reference to section 4(8A)(b) is to be taken to be a reference to paragraph (b) of the repealed provision.</w:t>
      </w:r>
    </w:p>
    <w:p>
      <w:pPr>
        <w:pStyle w:val="Footnotesection"/>
      </w:pPr>
      <w:r>
        <w:tab/>
        <w:t>[Section 34 inserted: No. 8 of 2016 s. 54.]</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3" w:name="_Toc100564555"/>
      <w:bookmarkStart w:id="54" w:name="_Toc100587855"/>
      <w:r>
        <w:rPr>
          <w:rStyle w:val="CharSchNo"/>
        </w:rPr>
        <w:lastRenderedPageBreak/>
        <w:t>Schedule</w:t>
      </w:r>
      <w:r>
        <w:rPr>
          <w:rStyle w:val="CharSDivNo"/>
        </w:rPr>
        <w:t> </w:t>
      </w:r>
      <w:r>
        <w:t>—</w:t>
      </w:r>
      <w:r>
        <w:rPr>
          <w:rStyle w:val="CharSDivText"/>
        </w:rPr>
        <w:t> </w:t>
      </w:r>
      <w:r>
        <w:rPr>
          <w:rStyle w:val="CharSchText"/>
        </w:rPr>
        <w:t>Form of insurance policy</w:t>
      </w:r>
      <w:bookmarkEnd w:id="53"/>
      <w:bookmarkEnd w:id="54"/>
    </w:p>
    <w:p>
      <w:pPr>
        <w:pStyle w:val="yShoulderClause"/>
      </w:pPr>
      <w:r>
        <w:t>[s. 6]</w:t>
      </w:r>
    </w:p>
    <w:p>
      <w:pPr>
        <w:pStyle w:val="yFootnoteheading"/>
        <w:rPr>
          <w:snapToGrid w:val="0"/>
        </w:rPr>
      </w:pPr>
      <w:r>
        <w:rPr>
          <w:snapToGrid w:val="0"/>
        </w:rPr>
        <w:tab/>
        <w:t>[Heading inserted: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lastRenderedPageBreak/>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No. 107 of 1987 s. 15; amended: No. 45 of 1996 s. 38; No. 19 of 2010 s. 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56" w:name="_Toc100587856"/>
      <w:bookmarkStart w:id="57" w:name="_Toc100564558"/>
      <w:r>
        <w:lastRenderedPageBreak/>
        <w:t>Notes</w:t>
      </w:r>
      <w:bookmarkEnd w:id="56"/>
    </w:p>
    <w:p>
      <w:pPr>
        <w:pStyle w:val="nStatement"/>
      </w:pPr>
      <w:r>
        <w:t xml:space="preserve">This is a compilation of the </w:t>
      </w:r>
      <w:r>
        <w:rPr>
          <w:i/>
          <w:noProof/>
        </w:rPr>
        <w:t>Motor Vehicle (Third Party Insurance) Act 1943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8" w:name="_Toc100587857"/>
      <w:r>
        <w:t>Compilation table</w:t>
      </w:r>
      <w:bookmarkEnd w:id="58"/>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lastRenderedPageBreak/>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 xml:space="preserve">9, 19, 21: 1 Jul 1967 (see s. 2 and </w:t>
            </w:r>
            <w:r>
              <w:rPr>
                <w:i/>
              </w:rPr>
              <w:t>Gazette</w:t>
            </w:r>
            <w:r>
              <w:t xml:space="preserve"> 5 May 1967 p. 1119);</w:t>
            </w:r>
            <w:r>
              <w:br/>
            </w:r>
            <w:r>
              <w:rPr>
                <w:color w:val="000000"/>
              </w:rPr>
              <w:t xml:space="preserve"> s. 3-5, 10-18 and 20:</w:t>
            </w:r>
            <w:r>
              <w:t xml:space="preserve"> 4 Dec 1967 (see s. 2 and </w:t>
            </w:r>
            <w:r>
              <w:rPr>
                <w:i/>
              </w:rPr>
              <w:t>Gazette</w:t>
            </w:r>
            <w:r>
              <w:t xml:space="preserve"> 24 Nov 1967 p. 3195)</w:t>
            </w:r>
          </w:p>
        </w:tc>
      </w:tr>
      <w:tr>
        <w:trPr>
          <w:cantSplit/>
        </w:trPr>
        <w:tc>
          <w:tcPr>
            <w:tcW w:w="2323" w:type="dxa"/>
          </w:tcPr>
          <w:p>
            <w:pPr>
              <w:pStyle w:val="nTable"/>
              <w:keepNext/>
              <w:spacing w:after="40"/>
            </w:pPr>
            <w:r>
              <w:rPr>
                <w:i/>
              </w:rPr>
              <w:lastRenderedPageBreak/>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lastRenderedPageBreak/>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3</w:t>
            </w:r>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4</w:t>
            </w:r>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lastRenderedPageBreak/>
              <w:t>Machinery of Government (Planning and Infrastructure) Amendment Act 2002</w:t>
            </w:r>
            <w:r>
              <w:rPr>
                <w:snapToGrid w:val="0"/>
                <w:spacing w:val="6"/>
              </w:rPr>
              <w:t xml:space="preserve"> Pt. 4</w:t>
            </w:r>
            <w:r>
              <w:rPr>
                <w:snapToGrid w:val="0"/>
                <w:spacing w:val="6"/>
                <w:vertAlign w:val="superscript"/>
              </w:rPr>
              <w:t> 5</w:t>
            </w:r>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lastRenderedPageBreak/>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323" w:type="dxa"/>
            <w:tcBorders>
              <w:bottom w:val="single" w:sz="4" w:space="0" w:color="auto"/>
            </w:tcBorders>
          </w:tcPr>
          <w:p>
            <w:pPr>
              <w:pStyle w:val="nTable"/>
              <w:spacing w:after="40"/>
              <w:ind w:right="113"/>
              <w:rPr>
                <w:snapToGrid w:val="0"/>
              </w:rPr>
            </w:pPr>
            <w:r>
              <w:rPr>
                <w:i/>
                <w:snapToGrid w:val="0"/>
              </w:rPr>
              <w:t xml:space="preserve">Motor Vehicle (Catastrophic Injuries) Act 2016 </w:t>
            </w:r>
            <w:r>
              <w:rPr>
                <w:snapToGrid w:val="0"/>
              </w:rPr>
              <w:t>Pt. 7 Div. 3</w:t>
            </w:r>
          </w:p>
        </w:tc>
        <w:tc>
          <w:tcPr>
            <w:tcW w:w="1161" w:type="dxa"/>
            <w:tcBorders>
              <w:bottom w:val="single" w:sz="4" w:space="0" w:color="auto"/>
            </w:tcBorders>
          </w:tcPr>
          <w:p>
            <w:pPr>
              <w:pStyle w:val="nTable"/>
              <w:spacing w:after="40"/>
              <w:rPr>
                <w:snapToGrid w:val="0"/>
              </w:rPr>
            </w:pPr>
            <w:r>
              <w:rPr>
                <w:snapToGrid w:val="0"/>
              </w:rPr>
              <w:t>8 of 2016</w:t>
            </w:r>
          </w:p>
        </w:tc>
        <w:tc>
          <w:tcPr>
            <w:tcW w:w="1161" w:type="dxa"/>
            <w:tcBorders>
              <w:bottom w:val="single" w:sz="4" w:space="0" w:color="auto"/>
            </w:tcBorders>
          </w:tcPr>
          <w:p>
            <w:pPr>
              <w:pStyle w:val="nTable"/>
              <w:spacing w:after="40"/>
            </w:pPr>
            <w:r>
              <w:t>14 Apr 2016</w:t>
            </w:r>
          </w:p>
        </w:tc>
        <w:tc>
          <w:tcPr>
            <w:tcW w:w="2613" w:type="dxa"/>
            <w:tcBorders>
              <w:bottom w:val="single" w:sz="4" w:space="0" w:color="auto"/>
            </w:tcBorders>
          </w:tcPr>
          <w:p>
            <w:pPr>
              <w:pStyle w:val="nTable"/>
              <w:spacing w:after="40"/>
              <w:rPr>
                <w:snapToGrid w:val="0"/>
              </w:rPr>
            </w:pPr>
            <w:r>
              <w:rPr>
                <w:snapToGrid w:val="0"/>
              </w:rPr>
              <w:t xml:space="preserve">14 May 2016 (see s. 2(b) and </w:t>
            </w:r>
            <w:r>
              <w:rPr>
                <w:i/>
                <w:snapToGrid w:val="0"/>
              </w:rPr>
              <w:t xml:space="preserve">Gazette </w:t>
            </w:r>
            <w:r>
              <w:rPr>
                <w:snapToGrid w:val="0"/>
              </w:rPr>
              <w:t>13 May 2016 p. 1421)</w:t>
            </w:r>
          </w:p>
        </w:tc>
      </w:tr>
    </w:tbl>
    <w:p>
      <w:pPr>
        <w:pStyle w:val="nHeading3"/>
      </w:pPr>
      <w:bookmarkStart w:id="59" w:name="_Toc100587858"/>
      <w:r>
        <w:t>Uncommenced provisions table</w:t>
      </w:r>
      <w:bookmarkEnd w:id="5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60" w:name="_Toc100587859"/>
      <w:r>
        <w:t>Other notes</w:t>
      </w:r>
      <w:bookmarkEnd w:id="60"/>
    </w:p>
    <w:p>
      <w:pPr>
        <w:pStyle w:val="nNote"/>
        <w:keepNext/>
        <w:spacing w:before="120" w:after="60"/>
        <w:rPr>
          <w:snapToGrid w:val="0"/>
        </w:rPr>
      </w:pPr>
      <w:r>
        <w:rPr>
          <w:snapToGrid w:val="0"/>
          <w:vertAlign w:val="superscript"/>
        </w:rPr>
        <w:t>1</w:t>
      </w:r>
      <w:r>
        <w:rPr>
          <w:snapToGrid w:val="0"/>
        </w:rPr>
        <w:tab/>
        <w:t>For the purposes of s. 3C and 3D, the Amounts A, B, C and D for the financial years beginning after 30 June 1994 up to the date of this compilation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Note"/>
              <w:ind w:left="0" w:firstLine="0"/>
              <w:jc w:val="center"/>
              <w:rPr>
                <w:b/>
                <w:snapToGrid w:val="0"/>
                <w:sz w:val="18"/>
              </w:rPr>
            </w:pPr>
            <w:r>
              <w:rPr>
                <w:b/>
                <w:snapToGrid w:val="0"/>
                <w:sz w:val="18"/>
              </w:rPr>
              <w:t>Financial year beginning</w:t>
            </w:r>
          </w:p>
        </w:tc>
        <w:tc>
          <w:tcPr>
            <w:tcW w:w="1080" w:type="dxa"/>
          </w:tcPr>
          <w:p>
            <w:pPr>
              <w:pStyle w:val="nNote"/>
              <w:ind w:left="0" w:firstLine="0"/>
              <w:jc w:val="center"/>
              <w:rPr>
                <w:b/>
                <w:snapToGrid w:val="0"/>
                <w:sz w:val="18"/>
              </w:rPr>
            </w:pPr>
            <w:r>
              <w:rPr>
                <w:b/>
                <w:snapToGrid w:val="0"/>
                <w:sz w:val="18"/>
              </w:rPr>
              <w:t>Amount A</w:t>
            </w:r>
          </w:p>
        </w:tc>
        <w:tc>
          <w:tcPr>
            <w:tcW w:w="1080" w:type="dxa"/>
          </w:tcPr>
          <w:p>
            <w:pPr>
              <w:pStyle w:val="nNote"/>
              <w:ind w:left="0" w:firstLine="0"/>
              <w:jc w:val="center"/>
              <w:rPr>
                <w:b/>
                <w:snapToGrid w:val="0"/>
                <w:sz w:val="18"/>
              </w:rPr>
            </w:pPr>
            <w:r>
              <w:rPr>
                <w:b/>
                <w:snapToGrid w:val="0"/>
                <w:sz w:val="18"/>
              </w:rPr>
              <w:t>Amount B</w:t>
            </w:r>
          </w:p>
        </w:tc>
        <w:tc>
          <w:tcPr>
            <w:tcW w:w="1080" w:type="dxa"/>
          </w:tcPr>
          <w:p>
            <w:pPr>
              <w:pStyle w:val="nNote"/>
              <w:ind w:left="0" w:firstLine="0"/>
              <w:jc w:val="center"/>
              <w:rPr>
                <w:b/>
                <w:snapToGrid w:val="0"/>
                <w:sz w:val="18"/>
              </w:rPr>
            </w:pPr>
            <w:r>
              <w:rPr>
                <w:b/>
                <w:snapToGrid w:val="0"/>
                <w:sz w:val="18"/>
              </w:rPr>
              <w:t>Amount C</w:t>
            </w:r>
          </w:p>
        </w:tc>
        <w:tc>
          <w:tcPr>
            <w:tcW w:w="1080" w:type="dxa"/>
          </w:tcPr>
          <w:p>
            <w:pPr>
              <w:pStyle w:val="nNote"/>
              <w:ind w:left="0" w:firstLine="0"/>
              <w:jc w:val="center"/>
              <w:rPr>
                <w:b/>
                <w:snapToGrid w:val="0"/>
                <w:sz w:val="18"/>
              </w:rPr>
            </w:pPr>
            <w:r>
              <w:rPr>
                <w:b/>
                <w:snapToGrid w:val="0"/>
                <w:sz w:val="18"/>
              </w:rPr>
              <w:t>Amount D</w:t>
            </w:r>
          </w:p>
        </w:tc>
        <w:tc>
          <w:tcPr>
            <w:tcW w:w="1320" w:type="dxa"/>
          </w:tcPr>
          <w:p>
            <w:pPr>
              <w:pStyle w:val="nNote"/>
              <w:ind w:left="12" w:firstLine="0"/>
              <w:jc w:val="center"/>
              <w:rPr>
                <w:b/>
                <w:snapToGrid w:val="0"/>
                <w:sz w:val="18"/>
              </w:rPr>
            </w:pPr>
            <w:r>
              <w:rPr>
                <w:b/>
                <w:snapToGrid w:val="0"/>
                <w:sz w:val="18"/>
              </w:rPr>
              <w:t>Gazette</w:t>
            </w:r>
          </w:p>
        </w:tc>
      </w:tr>
      <w:tr>
        <w:tc>
          <w:tcPr>
            <w:tcW w:w="1440" w:type="dxa"/>
          </w:tcPr>
          <w:p>
            <w:pPr>
              <w:pStyle w:val="nNote"/>
              <w:ind w:left="0" w:firstLine="0"/>
              <w:rPr>
                <w:snapToGrid w:val="0"/>
                <w:sz w:val="18"/>
              </w:rPr>
            </w:pPr>
            <w:r>
              <w:rPr>
                <w:snapToGrid w:val="0"/>
                <w:sz w:val="18"/>
              </w:rPr>
              <w:t>1 July 1994</w:t>
            </w:r>
          </w:p>
        </w:tc>
        <w:tc>
          <w:tcPr>
            <w:tcW w:w="1080" w:type="dxa"/>
          </w:tcPr>
          <w:p>
            <w:pPr>
              <w:pStyle w:val="nNote"/>
              <w:ind w:left="0" w:firstLine="0"/>
              <w:rPr>
                <w:snapToGrid w:val="0"/>
                <w:sz w:val="18"/>
              </w:rPr>
            </w:pPr>
            <w:r>
              <w:rPr>
                <w:snapToGrid w:val="0"/>
                <w:sz w:val="18"/>
              </w:rPr>
              <w:t>$201 000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24 Jun 1994 p. 2944</w:t>
            </w:r>
          </w:p>
        </w:tc>
      </w:tr>
      <w:tr>
        <w:tc>
          <w:tcPr>
            <w:tcW w:w="1440" w:type="dxa"/>
          </w:tcPr>
          <w:p>
            <w:pPr>
              <w:pStyle w:val="nNote"/>
              <w:ind w:left="0" w:firstLine="0"/>
              <w:rPr>
                <w:snapToGrid w:val="0"/>
                <w:sz w:val="18"/>
              </w:rPr>
            </w:pPr>
            <w:r>
              <w:rPr>
                <w:snapToGrid w:val="0"/>
                <w:sz w:val="18"/>
              </w:rPr>
              <w:t>1 July 1995</w:t>
            </w:r>
          </w:p>
        </w:tc>
        <w:tc>
          <w:tcPr>
            <w:tcW w:w="1080" w:type="dxa"/>
          </w:tcPr>
          <w:p>
            <w:pPr>
              <w:pStyle w:val="nNote"/>
              <w:ind w:left="0" w:firstLine="0"/>
              <w:rPr>
                <w:snapToGrid w:val="0"/>
                <w:sz w:val="18"/>
              </w:rPr>
            </w:pPr>
            <w:r>
              <w:rPr>
                <w:snapToGrid w:val="0"/>
                <w:sz w:val="18"/>
              </w:rPr>
              <w:t>$204 000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9 Jun 1995 p. 2285</w:t>
            </w:r>
          </w:p>
        </w:tc>
      </w:tr>
      <w:tr>
        <w:trPr>
          <w:cantSplit/>
        </w:trPr>
        <w:tc>
          <w:tcPr>
            <w:tcW w:w="1440" w:type="dxa"/>
          </w:tcPr>
          <w:p>
            <w:pPr>
              <w:pStyle w:val="nNote"/>
              <w:ind w:left="0" w:firstLine="0"/>
              <w:rPr>
                <w:snapToGrid w:val="0"/>
                <w:sz w:val="18"/>
              </w:rPr>
            </w:pPr>
            <w:r>
              <w:rPr>
                <w:snapToGrid w:val="0"/>
                <w:sz w:val="18"/>
              </w:rPr>
              <w:t>1 July 1996</w:t>
            </w:r>
          </w:p>
        </w:tc>
        <w:tc>
          <w:tcPr>
            <w:tcW w:w="1080" w:type="dxa"/>
          </w:tcPr>
          <w:p>
            <w:pPr>
              <w:pStyle w:val="nNote"/>
              <w:ind w:left="0" w:firstLine="0"/>
              <w:rPr>
                <w:snapToGrid w:val="0"/>
                <w:sz w:val="18"/>
              </w:rPr>
            </w:pPr>
            <w:r>
              <w:rPr>
                <w:snapToGrid w:val="0"/>
                <w:sz w:val="18"/>
              </w:rPr>
              <w:t>$207 000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7 Jun 1996 p. 2415</w:t>
            </w:r>
          </w:p>
        </w:tc>
      </w:tr>
      <w:tr>
        <w:tc>
          <w:tcPr>
            <w:tcW w:w="1440" w:type="dxa"/>
          </w:tcPr>
          <w:p>
            <w:pPr>
              <w:pStyle w:val="nNote"/>
              <w:ind w:left="0" w:firstLine="0"/>
              <w:rPr>
                <w:snapToGrid w:val="0"/>
                <w:sz w:val="18"/>
              </w:rPr>
            </w:pPr>
            <w:r>
              <w:rPr>
                <w:snapToGrid w:val="0"/>
                <w:sz w:val="18"/>
              </w:rPr>
              <w:t>1 July 1997</w:t>
            </w:r>
          </w:p>
        </w:tc>
        <w:tc>
          <w:tcPr>
            <w:tcW w:w="1080" w:type="dxa"/>
          </w:tcPr>
          <w:p>
            <w:pPr>
              <w:pStyle w:val="nNote"/>
              <w:ind w:left="0" w:firstLine="0"/>
              <w:rPr>
                <w:snapToGrid w:val="0"/>
                <w:sz w:val="18"/>
              </w:rPr>
            </w:pPr>
            <w:r>
              <w:rPr>
                <w:snapToGrid w:val="0"/>
                <w:sz w:val="18"/>
              </w:rPr>
              <w:t>$209 000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6 Jun 1997 p. 2645</w:t>
            </w:r>
          </w:p>
        </w:tc>
      </w:tr>
      <w:tr>
        <w:tc>
          <w:tcPr>
            <w:tcW w:w="1440" w:type="dxa"/>
          </w:tcPr>
          <w:p>
            <w:pPr>
              <w:pStyle w:val="nNote"/>
              <w:ind w:left="0" w:firstLine="0"/>
              <w:rPr>
                <w:snapToGrid w:val="0"/>
                <w:sz w:val="18"/>
              </w:rPr>
            </w:pPr>
            <w:r>
              <w:rPr>
                <w:snapToGrid w:val="0"/>
                <w:sz w:val="18"/>
              </w:rPr>
              <w:t>1 July 1998</w:t>
            </w:r>
          </w:p>
        </w:tc>
        <w:tc>
          <w:tcPr>
            <w:tcW w:w="1080" w:type="dxa"/>
          </w:tcPr>
          <w:p>
            <w:pPr>
              <w:pStyle w:val="nNote"/>
              <w:ind w:left="0" w:firstLine="0"/>
              <w:rPr>
                <w:snapToGrid w:val="0"/>
                <w:sz w:val="18"/>
              </w:rPr>
            </w:pPr>
            <w:r>
              <w:rPr>
                <w:snapToGrid w:val="0"/>
                <w:sz w:val="18"/>
              </w:rPr>
              <w:t>$212 000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$32 000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23 Jun 1998 p. 3339</w:t>
            </w:r>
          </w:p>
        </w:tc>
      </w:tr>
      <w:tr>
        <w:tc>
          <w:tcPr>
            <w:tcW w:w="1440" w:type="dxa"/>
          </w:tcPr>
          <w:p>
            <w:pPr>
              <w:pStyle w:val="nNote"/>
              <w:ind w:left="0" w:firstLine="0"/>
              <w:rPr>
                <w:snapToGrid w:val="0"/>
                <w:sz w:val="18"/>
              </w:rPr>
            </w:pPr>
            <w:r>
              <w:rPr>
                <w:snapToGrid w:val="0"/>
                <w:sz w:val="18"/>
              </w:rPr>
              <w:t>1 July 1999</w:t>
            </w:r>
          </w:p>
        </w:tc>
        <w:tc>
          <w:tcPr>
            <w:tcW w:w="1080" w:type="dxa"/>
          </w:tcPr>
          <w:p>
            <w:pPr>
              <w:pStyle w:val="nNote"/>
              <w:ind w:left="0" w:firstLine="0"/>
              <w:rPr>
                <w:snapToGrid w:val="0"/>
                <w:sz w:val="18"/>
              </w:rPr>
            </w:pPr>
            <w:r>
              <w:rPr>
                <w:snapToGrid w:val="0"/>
                <w:sz w:val="18"/>
              </w:rPr>
              <w:t>$219 000</w:t>
            </w:r>
          </w:p>
        </w:tc>
        <w:tc>
          <w:tcPr>
            <w:tcW w:w="1080" w:type="dxa"/>
          </w:tcPr>
          <w:p>
            <w:pPr>
              <w:pStyle w:val="nNote"/>
              <w:ind w:left="0" w:firstLine="0"/>
              <w:rPr>
                <w:snapToGrid w:val="0"/>
                <w:sz w:val="18"/>
              </w:rPr>
            </w:pPr>
            <w:r>
              <w:rPr>
                <w:snapToGrid w:val="0"/>
                <w:sz w:val="18"/>
              </w:rPr>
              <w:t>$10 500</w:t>
            </w:r>
          </w:p>
        </w:tc>
        <w:tc>
          <w:tcPr>
            <w:tcW w:w="1080" w:type="dxa"/>
          </w:tcPr>
          <w:p>
            <w:pPr>
              <w:pStyle w:val="nNote"/>
              <w:ind w:left="0" w:firstLine="0"/>
              <w:rPr>
                <w:snapToGrid w:val="0"/>
                <w:sz w:val="18"/>
              </w:rPr>
            </w:pPr>
            <w:r>
              <w:rPr>
                <w:snapToGrid w:val="0"/>
                <w:sz w:val="18"/>
              </w:rPr>
              <w:t>$33 000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25 Jun 1999 p. 2744</w:t>
            </w:r>
          </w:p>
        </w:tc>
      </w:tr>
      <w:tr>
        <w:tc>
          <w:tcPr>
            <w:tcW w:w="1440" w:type="dxa"/>
          </w:tcPr>
          <w:p>
            <w:pPr>
              <w:pStyle w:val="nNote"/>
              <w:ind w:left="0" w:firstLine="0"/>
              <w:rPr>
                <w:snapToGrid w:val="0"/>
                <w:sz w:val="18"/>
              </w:rPr>
            </w:pPr>
            <w:r>
              <w:rPr>
                <w:snapToGrid w:val="0"/>
                <w:sz w:val="18"/>
              </w:rPr>
              <w:t>1 July 2000</w:t>
            </w:r>
          </w:p>
        </w:tc>
        <w:tc>
          <w:tcPr>
            <w:tcW w:w="1080" w:type="dxa"/>
          </w:tcPr>
          <w:p>
            <w:pPr>
              <w:pStyle w:val="nNote"/>
              <w:ind w:left="0" w:firstLine="0"/>
              <w:rPr>
                <w:snapToGrid w:val="0"/>
                <w:sz w:val="18"/>
              </w:rPr>
            </w:pPr>
            <w:r>
              <w:rPr>
                <w:snapToGrid w:val="0"/>
                <w:sz w:val="18"/>
              </w:rPr>
              <w:t>$225 000</w:t>
            </w:r>
          </w:p>
        </w:tc>
        <w:tc>
          <w:tcPr>
            <w:tcW w:w="1080" w:type="dxa"/>
          </w:tcPr>
          <w:p>
            <w:pPr>
              <w:pStyle w:val="nNote"/>
              <w:ind w:left="0" w:firstLine="0"/>
              <w:rPr>
                <w:snapToGrid w:val="0"/>
                <w:sz w:val="18"/>
              </w:rPr>
            </w:pPr>
            <w:r>
              <w:rPr>
                <w:snapToGrid w:val="0"/>
                <w:sz w:val="18"/>
              </w:rPr>
              <w:t>$11 000</w:t>
            </w:r>
          </w:p>
        </w:tc>
        <w:tc>
          <w:tcPr>
            <w:tcW w:w="1080" w:type="dxa"/>
          </w:tcPr>
          <w:p>
            <w:pPr>
              <w:pStyle w:val="nNote"/>
              <w:ind w:left="0" w:firstLine="0"/>
              <w:rPr>
                <w:snapToGrid w:val="0"/>
                <w:sz w:val="18"/>
              </w:rPr>
            </w:pPr>
            <w:r>
              <w:rPr>
                <w:snapToGrid w:val="0"/>
                <w:sz w:val="18"/>
              </w:rPr>
              <w:t>$34 000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19 May 2000 p. 2441</w:t>
            </w:r>
          </w:p>
        </w:tc>
      </w:tr>
      <w:tr>
        <w:tc>
          <w:tcPr>
            <w:tcW w:w="1440" w:type="dxa"/>
          </w:tcPr>
          <w:p>
            <w:pPr>
              <w:pStyle w:val="nNote"/>
              <w:ind w:left="0" w:firstLine="0"/>
              <w:rPr>
                <w:snapToGrid w:val="0"/>
                <w:sz w:val="18"/>
              </w:rPr>
            </w:pPr>
            <w:r>
              <w:rPr>
                <w:snapToGrid w:val="0"/>
                <w:sz w:val="18"/>
              </w:rPr>
              <w:lastRenderedPageBreak/>
              <w:t>1 July 2001</w:t>
            </w:r>
          </w:p>
        </w:tc>
        <w:tc>
          <w:tcPr>
            <w:tcW w:w="1080" w:type="dxa"/>
          </w:tcPr>
          <w:p>
            <w:pPr>
              <w:pStyle w:val="nNote"/>
              <w:ind w:left="0" w:firstLine="0"/>
              <w:rPr>
                <w:snapToGrid w:val="0"/>
                <w:sz w:val="18"/>
              </w:rPr>
            </w:pPr>
            <w:r>
              <w:rPr>
                <w:snapToGrid w:val="0"/>
                <w:sz w:val="18"/>
              </w:rPr>
              <w:t>$232 000</w:t>
            </w:r>
          </w:p>
        </w:tc>
        <w:tc>
          <w:tcPr>
            <w:tcW w:w="1080" w:type="dxa"/>
          </w:tcPr>
          <w:p>
            <w:pPr>
              <w:pStyle w:val="nNote"/>
              <w:ind w:left="0" w:firstLine="0"/>
              <w:rPr>
                <w:snapToGrid w:val="0"/>
                <w:sz w:val="18"/>
              </w:rPr>
            </w:pPr>
            <w:r>
              <w:rPr>
                <w:snapToGrid w:val="0"/>
                <w:sz w:val="18"/>
              </w:rPr>
              <w:t>$11 500</w:t>
            </w:r>
          </w:p>
        </w:tc>
        <w:tc>
          <w:tcPr>
            <w:tcW w:w="1080" w:type="dxa"/>
          </w:tcPr>
          <w:p>
            <w:pPr>
              <w:pStyle w:val="nNote"/>
              <w:ind w:left="0" w:firstLine="0"/>
              <w:rPr>
                <w:snapToGrid w:val="0"/>
                <w:sz w:val="18"/>
              </w:rPr>
            </w:pPr>
            <w:r>
              <w:rPr>
                <w:snapToGrid w:val="0"/>
                <w:sz w:val="18"/>
              </w:rPr>
              <w:t>$35 000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Jun 2001 p. 3029</w:t>
            </w:r>
          </w:p>
        </w:tc>
      </w:tr>
      <w:tr>
        <w:tc>
          <w:tcPr>
            <w:tcW w:w="1440" w:type="dxa"/>
          </w:tcPr>
          <w:p>
            <w:pPr>
              <w:pStyle w:val="nNote"/>
              <w:ind w:left="0" w:firstLine="0"/>
              <w:rPr>
                <w:snapToGrid w:val="0"/>
                <w:sz w:val="18"/>
              </w:rPr>
            </w:pPr>
            <w:r>
              <w:rPr>
                <w:snapToGrid w:val="0"/>
                <w:sz w:val="18"/>
              </w:rPr>
              <w:t>1 July 2002</w:t>
            </w:r>
          </w:p>
        </w:tc>
        <w:tc>
          <w:tcPr>
            <w:tcW w:w="1080" w:type="dxa"/>
          </w:tcPr>
          <w:p>
            <w:pPr>
              <w:pStyle w:val="nNote"/>
              <w:ind w:left="0" w:firstLine="0"/>
              <w:rPr>
                <w:snapToGrid w:val="0"/>
                <w:sz w:val="18"/>
              </w:rPr>
            </w:pPr>
            <w:r>
              <w:rPr>
                <w:snapToGrid w:val="0"/>
                <w:sz w:val="18"/>
              </w:rPr>
              <w:t>$240 000</w:t>
            </w:r>
          </w:p>
        </w:tc>
        <w:tc>
          <w:tcPr>
            <w:tcW w:w="1080" w:type="dxa"/>
          </w:tcPr>
          <w:p>
            <w:pPr>
              <w:pStyle w:val="nNote"/>
              <w:ind w:left="0" w:firstLine="0"/>
              <w:rPr>
                <w:snapToGrid w:val="0"/>
                <w:sz w:val="18"/>
              </w:rPr>
            </w:pPr>
            <w:r>
              <w:rPr>
                <w:snapToGrid w:val="0"/>
                <w:sz w:val="18"/>
              </w:rPr>
              <w:t>$12 000</w:t>
            </w:r>
          </w:p>
        </w:tc>
        <w:tc>
          <w:tcPr>
            <w:tcW w:w="1080" w:type="dxa"/>
          </w:tcPr>
          <w:p>
            <w:pPr>
              <w:pStyle w:val="nNote"/>
              <w:ind w:left="0" w:firstLine="0"/>
              <w:rPr>
                <w:snapToGrid w:val="0"/>
                <w:sz w:val="18"/>
              </w:rPr>
            </w:pPr>
            <w:r>
              <w:rPr>
                <w:snapToGrid w:val="0"/>
                <w:sz w:val="18"/>
              </w:rPr>
              <w:t>$36 500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28 May 2002 p. 2651</w:t>
            </w:r>
          </w:p>
        </w:tc>
      </w:tr>
      <w:tr>
        <w:tc>
          <w:tcPr>
            <w:tcW w:w="1440" w:type="dxa"/>
          </w:tcPr>
          <w:p>
            <w:pPr>
              <w:pStyle w:val="nNote"/>
              <w:ind w:left="0" w:firstLine="0"/>
              <w:rPr>
                <w:snapToGrid w:val="0"/>
                <w:sz w:val="18"/>
              </w:rPr>
            </w:pPr>
            <w:r>
              <w:rPr>
                <w:snapToGrid w:val="0"/>
                <w:sz w:val="18"/>
              </w:rPr>
              <w:t>1 July 2003</w:t>
            </w:r>
          </w:p>
        </w:tc>
        <w:tc>
          <w:tcPr>
            <w:tcW w:w="1080" w:type="dxa"/>
          </w:tcPr>
          <w:p>
            <w:pPr>
              <w:pStyle w:val="nNote"/>
              <w:keepNext/>
              <w:ind w:left="0" w:firstLine="0"/>
              <w:rPr>
                <w:snapToGrid w:val="0"/>
                <w:sz w:val="18"/>
              </w:rPr>
            </w:pPr>
            <w:r>
              <w:rPr>
                <w:snapToGrid w:val="0"/>
                <w:sz w:val="18"/>
              </w:rPr>
              <w:t>$249 000</w:t>
            </w:r>
          </w:p>
        </w:tc>
        <w:tc>
          <w:tcPr>
            <w:tcW w:w="1080" w:type="dxa"/>
          </w:tcPr>
          <w:p>
            <w:pPr>
              <w:pStyle w:val="nNote"/>
              <w:keepNext/>
              <w:ind w:left="0" w:firstLine="0"/>
              <w:rPr>
                <w:snapToGrid w:val="0"/>
                <w:sz w:val="18"/>
              </w:rPr>
            </w:pPr>
            <w:r>
              <w:rPr>
                <w:snapToGrid w:val="0"/>
                <w:sz w:val="18"/>
              </w:rPr>
              <w:t>$12 500</w:t>
            </w:r>
          </w:p>
        </w:tc>
        <w:tc>
          <w:tcPr>
            <w:tcW w:w="1080" w:type="dxa"/>
          </w:tcPr>
          <w:p>
            <w:pPr>
              <w:pStyle w:val="nNote"/>
              <w:keepNext/>
              <w:ind w:left="0" w:firstLine="0"/>
              <w:rPr>
                <w:snapToGrid w:val="0"/>
                <w:sz w:val="18"/>
              </w:rPr>
            </w:pPr>
            <w:r>
              <w:rPr>
                <w:snapToGrid w:val="0"/>
                <w:sz w:val="18"/>
              </w:rPr>
              <w:t>$38 000</w:t>
            </w:r>
          </w:p>
        </w:tc>
        <w:tc>
          <w:tcPr>
            <w:tcW w:w="1080" w:type="dxa"/>
          </w:tcPr>
          <w:p>
            <w:pPr>
              <w:pStyle w:val="nNote"/>
              <w:keepNext/>
              <w:ind w:left="0" w:firstLine="0"/>
              <w:rPr>
                <w:snapToGrid w:val="0"/>
                <w:sz w:val="18"/>
              </w:rPr>
            </w:pPr>
            <w:r>
              <w:rPr>
                <w:snapToGrid w:val="0"/>
                <w:sz w:val="18"/>
              </w:rPr>
              <w:t>$5 000</w:t>
            </w:r>
          </w:p>
        </w:tc>
        <w:tc>
          <w:tcPr>
            <w:tcW w:w="1320" w:type="dxa"/>
          </w:tcPr>
          <w:p>
            <w:pPr>
              <w:pStyle w:val="nNote"/>
              <w:keepNext/>
              <w:ind w:left="12" w:firstLine="0"/>
              <w:rPr>
                <w:snapToGrid w:val="0"/>
                <w:sz w:val="18"/>
              </w:rPr>
            </w:pPr>
            <w:r>
              <w:rPr>
                <w:snapToGrid w:val="0"/>
                <w:sz w:val="18"/>
              </w:rPr>
              <w:t>23 May 2003 p. 1830</w:t>
            </w:r>
          </w:p>
        </w:tc>
      </w:tr>
      <w:tr>
        <w:tc>
          <w:tcPr>
            <w:tcW w:w="1440" w:type="dxa"/>
          </w:tcPr>
          <w:p>
            <w:pPr>
              <w:pStyle w:val="nNote"/>
              <w:ind w:left="0" w:firstLine="0"/>
              <w:rPr>
                <w:snapToGrid w:val="0"/>
                <w:sz w:val="18"/>
              </w:rPr>
            </w:pPr>
            <w:r>
              <w:rPr>
                <w:snapToGrid w:val="0"/>
                <w:sz w:val="18"/>
              </w:rPr>
              <w:t>1 July 2004</w:t>
            </w:r>
          </w:p>
        </w:tc>
        <w:tc>
          <w:tcPr>
            <w:tcW w:w="1080" w:type="dxa"/>
          </w:tcPr>
          <w:p>
            <w:pPr>
              <w:pStyle w:val="nNote"/>
              <w:keepNext/>
              <w:keepLines/>
              <w:ind w:left="0" w:firstLine="0"/>
              <w:rPr>
                <w:snapToGrid w:val="0"/>
                <w:sz w:val="18"/>
              </w:rPr>
            </w:pPr>
            <w:r>
              <w:rPr>
                <w:snapToGrid w:val="0"/>
                <w:sz w:val="18"/>
              </w:rPr>
              <w:t>$257 000</w:t>
            </w:r>
          </w:p>
        </w:tc>
        <w:tc>
          <w:tcPr>
            <w:tcW w:w="1080" w:type="dxa"/>
          </w:tcPr>
          <w:p>
            <w:pPr>
              <w:pStyle w:val="nNote"/>
              <w:keepNext/>
              <w:keepLines/>
              <w:ind w:left="0" w:firstLine="0"/>
              <w:rPr>
                <w:snapToGrid w:val="0"/>
                <w:sz w:val="18"/>
              </w:rPr>
            </w:pPr>
            <w:r>
              <w:rPr>
                <w:snapToGrid w:val="0"/>
                <w:sz w:val="18"/>
              </w:rPr>
              <w:t>$13 000</w:t>
            </w:r>
          </w:p>
        </w:tc>
        <w:tc>
          <w:tcPr>
            <w:tcW w:w="1080" w:type="dxa"/>
          </w:tcPr>
          <w:p>
            <w:pPr>
              <w:pStyle w:val="nNote"/>
              <w:keepNext/>
              <w:keepLines/>
              <w:ind w:left="0" w:firstLine="0"/>
              <w:rPr>
                <w:snapToGrid w:val="0"/>
                <w:sz w:val="18"/>
              </w:rPr>
            </w:pPr>
            <w:r>
              <w:rPr>
                <w:snapToGrid w:val="0"/>
                <w:sz w:val="18"/>
              </w:rPr>
              <w:t>$39 500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14 May 2004 p. 1459</w:t>
            </w:r>
          </w:p>
        </w:tc>
      </w:tr>
      <w:tr>
        <w:tc>
          <w:tcPr>
            <w:tcW w:w="1440" w:type="dxa"/>
          </w:tcPr>
          <w:p>
            <w:pPr>
              <w:pStyle w:val="nNote"/>
              <w:ind w:left="0" w:firstLine="0"/>
              <w:rPr>
                <w:snapToGrid w:val="0"/>
                <w:sz w:val="18"/>
              </w:rPr>
            </w:pPr>
            <w:r>
              <w:rPr>
                <w:snapToGrid w:val="0"/>
                <w:sz w:val="18"/>
              </w:rPr>
              <w:t>1 July 2005</w:t>
            </w:r>
          </w:p>
        </w:tc>
        <w:tc>
          <w:tcPr>
            <w:tcW w:w="1080" w:type="dxa"/>
          </w:tcPr>
          <w:p>
            <w:pPr>
              <w:pStyle w:val="nNote"/>
              <w:ind w:left="0" w:firstLine="0"/>
              <w:rPr>
                <w:snapToGrid w:val="0"/>
                <w:sz w:val="18"/>
              </w:rPr>
            </w:pPr>
            <w:r>
              <w:rPr>
                <w:snapToGrid w:val="0"/>
                <w:sz w:val="18"/>
              </w:rPr>
              <w:t>$268 000</w:t>
            </w:r>
          </w:p>
        </w:tc>
        <w:tc>
          <w:tcPr>
            <w:tcW w:w="1080" w:type="dxa"/>
          </w:tcPr>
          <w:p>
            <w:pPr>
              <w:pStyle w:val="nNote"/>
              <w:ind w:left="0" w:firstLine="0"/>
              <w:rPr>
                <w:snapToGrid w:val="0"/>
                <w:sz w:val="18"/>
              </w:rPr>
            </w:pPr>
            <w:r>
              <w:rPr>
                <w:snapToGrid w:val="0"/>
                <w:sz w:val="18"/>
              </w:rPr>
              <w:t>$13 500</w:t>
            </w:r>
          </w:p>
        </w:tc>
        <w:tc>
          <w:tcPr>
            <w:tcW w:w="1080" w:type="dxa"/>
          </w:tcPr>
          <w:p>
            <w:pPr>
              <w:pStyle w:val="nNote"/>
              <w:ind w:left="0" w:firstLine="0"/>
              <w:rPr>
                <w:snapToGrid w:val="0"/>
                <w:sz w:val="18"/>
              </w:rPr>
            </w:pPr>
            <w:r>
              <w:rPr>
                <w:snapToGrid w:val="0"/>
                <w:sz w:val="18"/>
              </w:rPr>
              <w:t>$41 000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Apr 2005 p. 1349</w:t>
            </w:r>
          </w:p>
        </w:tc>
      </w:tr>
      <w:tr>
        <w:tc>
          <w:tcPr>
            <w:tcW w:w="1440" w:type="dxa"/>
          </w:tcPr>
          <w:p>
            <w:pPr>
              <w:pStyle w:val="nNote"/>
              <w:ind w:left="0" w:firstLine="0"/>
              <w:rPr>
                <w:snapToGrid w:val="0"/>
                <w:sz w:val="18"/>
              </w:rPr>
            </w:pPr>
            <w:r>
              <w:rPr>
                <w:snapToGrid w:val="0"/>
                <w:sz w:val="18"/>
              </w:rPr>
              <w:t>1 July 2006</w:t>
            </w:r>
          </w:p>
        </w:tc>
        <w:tc>
          <w:tcPr>
            <w:tcW w:w="1080" w:type="dxa"/>
          </w:tcPr>
          <w:p>
            <w:pPr>
              <w:pStyle w:val="nNote"/>
              <w:keepNext/>
              <w:keepLines/>
              <w:ind w:left="0" w:firstLine="0"/>
              <w:rPr>
                <w:snapToGrid w:val="0"/>
                <w:sz w:val="18"/>
              </w:rPr>
            </w:pPr>
            <w:r>
              <w:rPr>
                <w:snapToGrid w:val="0"/>
                <w:sz w:val="18"/>
              </w:rPr>
              <w:t>$279 000</w:t>
            </w:r>
          </w:p>
        </w:tc>
        <w:tc>
          <w:tcPr>
            <w:tcW w:w="1080" w:type="dxa"/>
          </w:tcPr>
          <w:p>
            <w:pPr>
              <w:pStyle w:val="nNote"/>
              <w:keepNext/>
              <w:keepLines/>
              <w:ind w:left="0" w:firstLine="0"/>
              <w:rPr>
                <w:snapToGrid w:val="0"/>
                <w:sz w:val="18"/>
              </w:rPr>
            </w:pPr>
            <w:r>
              <w:rPr>
                <w:snapToGrid w:val="0"/>
                <w:sz w:val="18"/>
              </w:rPr>
              <w:t>$14 000</w:t>
            </w:r>
          </w:p>
        </w:tc>
        <w:tc>
          <w:tcPr>
            <w:tcW w:w="1080" w:type="dxa"/>
          </w:tcPr>
          <w:p>
            <w:pPr>
              <w:pStyle w:val="nNote"/>
              <w:keepNext/>
              <w:keepLines/>
              <w:ind w:left="0" w:firstLine="0"/>
              <w:rPr>
                <w:snapToGrid w:val="0"/>
                <w:sz w:val="18"/>
              </w:rPr>
            </w:pPr>
            <w:r>
              <w:rPr>
                <w:snapToGrid w:val="0"/>
                <w:sz w:val="18"/>
              </w:rPr>
              <w:t>$42 500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28 Apr 2006 p. 1670</w:t>
            </w:r>
          </w:p>
        </w:tc>
      </w:tr>
      <w:tr>
        <w:tc>
          <w:tcPr>
            <w:tcW w:w="1440" w:type="dxa"/>
          </w:tcPr>
          <w:p>
            <w:pPr>
              <w:pStyle w:val="nNote"/>
              <w:ind w:left="0" w:firstLine="0"/>
              <w:rPr>
                <w:snapToGrid w:val="0"/>
                <w:sz w:val="18"/>
              </w:rPr>
            </w:pPr>
            <w:r>
              <w:rPr>
                <w:snapToGrid w:val="0"/>
                <w:sz w:val="18"/>
              </w:rPr>
              <w:t>1 July 2007</w:t>
            </w:r>
          </w:p>
        </w:tc>
        <w:tc>
          <w:tcPr>
            <w:tcW w:w="1080" w:type="dxa"/>
          </w:tcPr>
          <w:p>
            <w:pPr>
              <w:pStyle w:val="nNote"/>
              <w:keepNext/>
              <w:keepLines/>
              <w:ind w:left="0" w:firstLine="0"/>
              <w:rPr>
                <w:snapToGrid w:val="0"/>
                <w:sz w:val="18"/>
              </w:rPr>
            </w:pPr>
            <w:r>
              <w:rPr>
                <w:snapToGrid w:val="0"/>
                <w:sz w:val="18"/>
              </w:rPr>
              <w:t>$292 000</w:t>
            </w:r>
          </w:p>
        </w:tc>
        <w:tc>
          <w:tcPr>
            <w:tcW w:w="1080" w:type="dxa"/>
          </w:tcPr>
          <w:p>
            <w:pPr>
              <w:pStyle w:val="nNote"/>
              <w:keepNext/>
              <w:keepLines/>
              <w:ind w:left="0" w:firstLine="0"/>
              <w:rPr>
                <w:snapToGrid w:val="0"/>
                <w:sz w:val="18"/>
              </w:rPr>
            </w:pPr>
            <w:r>
              <w:rPr>
                <w:snapToGrid w:val="0"/>
                <w:sz w:val="18"/>
              </w:rPr>
              <w:t>$14 500</w:t>
            </w:r>
          </w:p>
        </w:tc>
        <w:tc>
          <w:tcPr>
            <w:tcW w:w="1080" w:type="dxa"/>
          </w:tcPr>
          <w:p>
            <w:pPr>
              <w:pStyle w:val="nNote"/>
              <w:keepNext/>
              <w:keepLines/>
              <w:ind w:left="0" w:firstLine="0"/>
              <w:rPr>
                <w:snapToGrid w:val="0"/>
                <w:sz w:val="18"/>
              </w:rPr>
            </w:pPr>
            <w:r>
              <w:rPr>
                <w:snapToGrid w:val="0"/>
                <w:sz w:val="18"/>
              </w:rPr>
              <w:t>$44 500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3 Apr 2007 p. 1512</w:t>
            </w:r>
          </w:p>
        </w:tc>
      </w:tr>
      <w:tr>
        <w:tc>
          <w:tcPr>
            <w:tcW w:w="1440" w:type="dxa"/>
          </w:tcPr>
          <w:p>
            <w:pPr>
              <w:pStyle w:val="nNote"/>
              <w:ind w:left="0" w:firstLine="0"/>
              <w:rPr>
                <w:snapToGrid w:val="0"/>
                <w:sz w:val="18"/>
              </w:rPr>
            </w:pPr>
            <w:r>
              <w:rPr>
                <w:snapToGrid w:val="0"/>
                <w:sz w:val="18"/>
              </w:rPr>
              <w:t>1 July 2008</w:t>
            </w:r>
          </w:p>
        </w:tc>
        <w:tc>
          <w:tcPr>
            <w:tcW w:w="1080" w:type="dxa"/>
          </w:tcPr>
          <w:p>
            <w:pPr>
              <w:pStyle w:val="nNote"/>
              <w:ind w:left="0" w:firstLine="0"/>
              <w:rPr>
                <w:snapToGrid w:val="0"/>
                <w:sz w:val="18"/>
              </w:rPr>
            </w:pPr>
            <w:r>
              <w:rPr>
                <w:snapToGrid w:val="0"/>
                <w:sz w:val="18"/>
              </w:rPr>
              <w:t>$309 000</w:t>
            </w:r>
          </w:p>
        </w:tc>
        <w:tc>
          <w:tcPr>
            <w:tcW w:w="1080" w:type="dxa"/>
          </w:tcPr>
          <w:p>
            <w:pPr>
              <w:pStyle w:val="nNote"/>
              <w:ind w:left="0" w:firstLine="0"/>
              <w:rPr>
                <w:snapToGrid w:val="0"/>
                <w:sz w:val="18"/>
              </w:rPr>
            </w:pPr>
            <w:r>
              <w:rPr>
                <w:snapToGrid w:val="0"/>
                <w:sz w:val="18"/>
              </w:rPr>
              <w:t>$15 500</w:t>
            </w:r>
          </w:p>
        </w:tc>
        <w:tc>
          <w:tcPr>
            <w:tcW w:w="1080" w:type="dxa"/>
          </w:tcPr>
          <w:p>
            <w:pPr>
              <w:pStyle w:val="nNote"/>
              <w:ind w:left="0" w:firstLine="0"/>
              <w:rPr>
                <w:snapToGrid w:val="0"/>
                <w:sz w:val="18"/>
              </w:rPr>
            </w:pPr>
            <w:r>
              <w:rPr>
                <w:snapToGrid w:val="0"/>
                <w:sz w:val="18"/>
              </w:rPr>
              <w:t>$47 000</w:t>
            </w:r>
          </w:p>
        </w:tc>
        <w:tc>
          <w:tcPr>
            <w:tcW w:w="1080" w:type="dxa"/>
          </w:tcPr>
          <w:p>
            <w:pPr>
              <w:pStyle w:val="nNote"/>
              <w:ind w:left="0" w:firstLine="0"/>
              <w:rPr>
                <w:snapToGrid w:val="0"/>
                <w:sz w:val="18"/>
              </w:rPr>
            </w:pPr>
            <w:r>
              <w:rPr>
                <w:snapToGrid w:val="0"/>
                <w:sz w:val="18"/>
              </w:rPr>
              <w:t>$5 500</w:t>
            </w:r>
          </w:p>
        </w:tc>
        <w:tc>
          <w:tcPr>
            <w:tcW w:w="1320" w:type="dxa"/>
          </w:tcPr>
          <w:p>
            <w:pPr>
              <w:pStyle w:val="nNote"/>
              <w:ind w:left="12" w:firstLine="0"/>
              <w:rPr>
                <w:snapToGrid w:val="0"/>
                <w:sz w:val="18"/>
              </w:rPr>
            </w:pPr>
            <w:r>
              <w:rPr>
                <w:snapToGrid w:val="0"/>
                <w:sz w:val="18"/>
              </w:rPr>
              <w:t>22 Apr 2008 p. 1546</w:t>
            </w:r>
          </w:p>
        </w:tc>
      </w:tr>
      <w:tr>
        <w:tc>
          <w:tcPr>
            <w:tcW w:w="1440" w:type="dxa"/>
          </w:tcPr>
          <w:p>
            <w:pPr>
              <w:pStyle w:val="nNote"/>
              <w:ind w:left="0" w:firstLine="0"/>
              <w:rPr>
                <w:snapToGrid w:val="0"/>
                <w:sz w:val="18"/>
              </w:rPr>
            </w:pPr>
            <w:r>
              <w:rPr>
                <w:snapToGrid w:val="0"/>
                <w:sz w:val="18"/>
              </w:rPr>
              <w:t>1 July 2009</w:t>
            </w:r>
          </w:p>
        </w:tc>
        <w:tc>
          <w:tcPr>
            <w:tcW w:w="1080" w:type="dxa"/>
          </w:tcPr>
          <w:p>
            <w:pPr>
              <w:pStyle w:val="nNote"/>
              <w:ind w:left="0" w:firstLine="0"/>
              <w:rPr>
                <w:snapToGrid w:val="0"/>
                <w:sz w:val="18"/>
              </w:rPr>
            </w:pPr>
            <w:r>
              <w:rPr>
                <w:snapToGrid w:val="0"/>
                <w:sz w:val="18"/>
              </w:rPr>
              <w:t>$327 000</w:t>
            </w:r>
          </w:p>
        </w:tc>
        <w:tc>
          <w:tcPr>
            <w:tcW w:w="1080" w:type="dxa"/>
          </w:tcPr>
          <w:p>
            <w:pPr>
              <w:pStyle w:val="nNote"/>
              <w:ind w:left="0" w:firstLine="0"/>
              <w:rPr>
                <w:snapToGrid w:val="0"/>
                <w:sz w:val="18"/>
              </w:rPr>
            </w:pPr>
            <w:r>
              <w:rPr>
                <w:snapToGrid w:val="0"/>
                <w:sz w:val="18"/>
              </w:rPr>
              <w:t>$16 500</w:t>
            </w:r>
          </w:p>
        </w:tc>
        <w:tc>
          <w:tcPr>
            <w:tcW w:w="1080" w:type="dxa"/>
          </w:tcPr>
          <w:p>
            <w:pPr>
              <w:pStyle w:val="nNote"/>
              <w:ind w:left="0" w:firstLine="0"/>
              <w:rPr>
                <w:snapToGrid w:val="0"/>
                <w:sz w:val="18"/>
              </w:rPr>
            </w:pPr>
            <w:r>
              <w:rPr>
                <w:snapToGrid w:val="0"/>
                <w:sz w:val="18"/>
              </w:rPr>
              <w:t>$49 500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12 May 2009 p. 1542</w:t>
            </w:r>
          </w:p>
        </w:tc>
      </w:tr>
      <w:tr>
        <w:tc>
          <w:tcPr>
            <w:tcW w:w="1440" w:type="dxa"/>
          </w:tcPr>
          <w:p>
            <w:pPr>
              <w:pStyle w:val="nNote"/>
              <w:ind w:left="0" w:firstLine="0"/>
              <w:rPr>
                <w:snapToGrid w:val="0"/>
                <w:sz w:val="18"/>
              </w:rPr>
            </w:pPr>
            <w:r>
              <w:rPr>
                <w:snapToGrid w:val="0"/>
                <w:sz w:val="18"/>
              </w:rPr>
              <w:t>1 July 2010</w:t>
            </w:r>
          </w:p>
        </w:tc>
        <w:tc>
          <w:tcPr>
            <w:tcW w:w="1080" w:type="dxa"/>
          </w:tcPr>
          <w:p>
            <w:pPr>
              <w:pStyle w:val="nNote"/>
              <w:ind w:left="0" w:firstLine="0"/>
              <w:rPr>
                <w:snapToGrid w:val="0"/>
                <w:sz w:val="18"/>
              </w:rPr>
            </w:pPr>
            <w:r>
              <w:rPr>
                <w:snapToGrid w:val="0"/>
                <w:sz w:val="18"/>
              </w:rPr>
              <w:t>$337 000</w:t>
            </w:r>
          </w:p>
        </w:tc>
        <w:tc>
          <w:tcPr>
            <w:tcW w:w="1080" w:type="dxa"/>
          </w:tcPr>
          <w:p>
            <w:pPr>
              <w:pStyle w:val="nNote"/>
              <w:ind w:left="0" w:firstLine="0"/>
              <w:rPr>
                <w:snapToGrid w:val="0"/>
                <w:sz w:val="18"/>
              </w:rPr>
            </w:pPr>
            <w:r>
              <w:rPr>
                <w:snapToGrid w:val="0"/>
                <w:sz w:val="18"/>
              </w:rPr>
              <w:t>$17 000</w:t>
            </w:r>
          </w:p>
        </w:tc>
        <w:tc>
          <w:tcPr>
            <w:tcW w:w="1080" w:type="dxa"/>
          </w:tcPr>
          <w:p>
            <w:pPr>
              <w:pStyle w:val="nNote"/>
              <w:ind w:left="0" w:firstLine="0"/>
              <w:rPr>
                <w:snapToGrid w:val="0"/>
                <w:sz w:val="18"/>
              </w:rPr>
            </w:pPr>
            <w:r>
              <w:rPr>
                <w:snapToGrid w:val="0"/>
                <w:sz w:val="18"/>
              </w:rPr>
              <w:t>$51 000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23 Apr 2010 p. 1529</w:t>
            </w:r>
          </w:p>
        </w:tc>
      </w:tr>
    </w:tbl>
    <w:p>
      <w:pPr>
        <w:pStyle w:val="nNote"/>
        <w:spacing w:before="160"/>
        <w:rPr>
          <w:snapToGrid w:val="0"/>
        </w:rPr>
      </w:pPr>
      <w:r>
        <w:rPr>
          <w:snapToGrid w:val="0"/>
          <w:vertAlign w:val="superscript"/>
        </w:rPr>
        <w:t>2</w:t>
      </w:r>
      <w:r>
        <w:rPr>
          <w:snapToGrid w:val="0"/>
          <w:vertAlign w:val="superscript"/>
        </w:rPr>
        <w:tab/>
      </w:r>
      <w:r>
        <w:rPr>
          <w:snapToGrid w:val="0"/>
        </w:rPr>
        <w:t>This provision was renumbered in the 1950 Reprint.</w:t>
      </w:r>
    </w:p>
    <w:p>
      <w:pPr>
        <w:pStyle w:val="nNote"/>
        <w:keepNext/>
        <w:spacing w:before="120"/>
        <w:rPr>
          <w:snapToGrid w:val="0"/>
        </w:rPr>
      </w:pPr>
      <w:r>
        <w:rPr>
          <w:snapToGrid w:val="0"/>
          <w:vertAlign w:val="superscript"/>
        </w:rPr>
        <w:t>3</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Note"/>
        <w:spacing w:before="100"/>
        <w:rPr>
          <w:snapToGrid w:val="0"/>
        </w:rPr>
      </w:pPr>
      <w:r>
        <w:rPr>
          <w:snapToGrid w:val="0"/>
          <w:vertAlign w:val="superscript"/>
        </w:rPr>
        <w:t>4</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Note"/>
        <w:spacing w:before="100"/>
        <w:rPr>
          <w:snapToGrid w:val="0"/>
        </w:rPr>
      </w:pPr>
      <w:r>
        <w:rPr>
          <w:snapToGrid w:val="0"/>
          <w:vertAlign w:val="superscript"/>
        </w:rPr>
        <w:t>5</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lastRenderedPageBreak/>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lastRenderedPageBreak/>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lastRenderedPageBreak/>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pPr>
    </w:p>
    <w:p>
      <w:pPr>
        <w:pStyle w:val="nHeading3"/>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62" w:name="_Toc100587860"/>
      <w:r>
        <w:rPr>
          <w:sz w:val="28"/>
        </w:rPr>
        <w:lastRenderedPageBreak/>
        <w:t>Defined terms</w:t>
      </w:r>
      <w:bookmarkEnd w:id="57"/>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assessed treatment, care and support needs</w:t>
      </w:r>
      <w:r>
        <w:tab/>
        <w:t>3(1)</w:t>
      </w:r>
    </w:p>
    <w:p>
      <w:pPr>
        <w:pStyle w:val="DefinedTerms"/>
      </w:pPr>
      <w:r>
        <w:t>catastrophic injury</w:t>
      </w:r>
      <w:r>
        <w:tab/>
        <w:t>3(1)</w:t>
      </w:r>
    </w:p>
    <w:p>
      <w:pPr>
        <w:pStyle w:val="DefinedTerms"/>
      </w:pPr>
      <w:r>
        <w:t>CISS</w:t>
      </w:r>
      <w:r>
        <w:tab/>
        <w:t>3(1)</w:t>
      </w:r>
    </w:p>
    <w:p>
      <w:pPr>
        <w:pStyle w:val="DefinedTerms"/>
      </w:pPr>
      <w:r>
        <w:t>commencement day</w:t>
      </w:r>
      <w:r>
        <w:tab/>
        <w:t>34(1)</w:t>
      </w:r>
    </w:p>
    <w:p>
      <w:pPr>
        <w:pStyle w:val="DefinedTerms"/>
      </w:pPr>
      <w:r>
        <w:t>Commission</w:t>
      </w:r>
      <w:r>
        <w:tab/>
        <w:t>3(1)</w:t>
      </w:r>
    </w:p>
    <w:p>
      <w:pPr>
        <w:pStyle w:val="DefinedTerms"/>
      </w:pPr>
      <w:r>
        <w:t>Commission officer</w:t>
      </w:r>
      <w:r>
        <w:tab/>
        <w:t>27C(1)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health profession</w:t>
      </w:r>
      <w:r>
        <w:tab/>
        <w:t>30(1)</w:t>
      </w:r>
    </w:p>
    <w:p>
      <w:pPr>
        <w:pStyle w:val="DefinedTerms"/>
      </w:pPr>
      <w:r>
        <w:t>health professional</w:t>
      </w:r>
      <w:r>
        <w:tab/>
        <w:t>30(1)</w:t>
      </w:r>
    </w:p>
    <w:p>
      <w:pPr>
        <w:pStyle w:val="DefinedTerms"/>
      </w:pPr>
      <w:r>
        <w:t>injured person</w:t>
      </w:r>
      <w:r>
        <w:tab/>
        <w:t>6A(2), 30(2)</w:t>
      </w:r>
    </w:p>
    <w:p>
      <w:pPr>
        <w:pStyle w:val="DefinedTerms"/>
      </w:pPr>
      <w:r>
        <w:t>insured person</w:t>
      </w:r>
      <w:r>
        <w:tab/>
        <w:t>3(1)</w:t>
      </w:r>
    </w:p>
    <w:p>
      <w:pPr>
        <w:pStyle w:val="DefinedTerms"/>
      </w:pPr>
      <w:r>
        <w:t>interim participant</w:t>
      </w:r>
      <w:r>
        <w:tab/>
        <w:t>3EA(1)</w:t>
      </w:r>
    </w:p>
    <w:p>
      <w:pPr>
        <w:pStyle w:val="DefinedTerms"/>
      </w:pPr>
      <w:r>
        <w:t>issued</w:t>
      </w:r>
      <w:r>
        <w:tab/>
        <w:t>34(1)</w:t>
      </w:r>
    </w:p>
    <w:p>
      <w:pPr>
        <w:pStyle w:val="DefinedTerms"/>
      </w:pPr>
      <w:r>
        <w:t>lifetime participant</w:t>
      </w:r>
      <w:r>
        <w:tab/>
        <w:t>3EA(1)</w:t>
      </w:r>
    </w:p>
    <w:p>
      <w:pPr>
        <w:pStyle w:val="DefinedTerms"/>
      </w:pPr>
      <w:r>
        <w:t>Minister</w:t>
      </w:r>
      <w:r>
        <w:tab/>
        <w:t>3(1)</w:t>
      </w:r>
    </w:p>
    <w:p>
      <w:pPr>
        <w:pStyle w:val="DefinedTerms"/>
      </w:pPr>
      <w:r>
        <w:t>motor vehicle</w:t>
      </w:r>
      <w:r>
        <w:tab/>
        <w:t>3(1), 4(10)</w:t>
      </w:r>
    </w:p>
    <w:p>
      <w:pPr>
        <w:pStyle w:val="DefinedTerms"/>
      </w:pPr>
      <w:r>
        <w:t>motor vehicle accident</w:t>
      </w:r>
      <w:r>
        <w:tab/>
        <w:t>6A(1)</w:t>
      </w:r>
    </w:p>
    <w:p>
      <w:pPr>
        <w:pStyle w:val="DefinedTerms"/>
      </w:pPr>
      <w:r>
        <w:t>MV(CI) Act</w:t>
      </w:r>
      <w:r>
        <w:tab/>
        <w:t>3(1)</w:t>
      </w:r>
    </w:p>
    <w:p>
      <w:pPr>
        <w:pStyle w:val="DefinedTerms"/>
      </w:pPr>
      <w:r>
        <w:t>non</w:t>
      </w:r>
      <w:r>
        <w:noBreakHyphen/>
        <w:t>pecuniary loss</w:t>
      </w:r>
      <w:r>
        <w:tab/>
        <w:t>3C(1)</w:t>
      </w:r>
    </w:p>
    <w:p>
      <w:pPr>
        <w:pStyle w:val="DefinedTerms"/>
      </w:pPr>
      <w:r>
        <w:t>owner</w:t>
      </w:r>
      <w:r>
        <w:tab/>
        <w:t>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relevant day</w:t>
      </w:r>
      <w:r>
        <w:tab/>
        <w:t>34(1)</w:t>
      </w:r>
    </w:p>
    <w:p>
      <w:pPr>
        <w:pStyle w:val="DefinedTerms"/>
      </w:pPr>
      <w:r>
        <w:t>repealed provision</w:t>
      </w:r>
      <w:r>
        <w:tab/>
        <w:t>34(1)</w:t>
      </w:r>
    </w:p>
    <w:p>
      <w:pPr>
        <w:pStyle w:val="DefinedTerms"/>
      </w:pPr>
      <w:r>
        <w:t>restrictive provisions</w:t>
      </w:r>
      <w:r>
        <w:tab/>
        <w:t>3FA(1)</w:t>
      </w:r>
    </w:p>
    <w:p>
      <w:pPr>
        <w:pStyle w:val="DefinedTerms"/>
      </w:pPr>
      <w:r>
        <w:t>the claimant</w:t>
      </w:r>
      <w:r>
        <w:tab/>
        <w:t>29(2)</w:t>
      </w:r>
    </w:p>
    <w:p>
      <w:pPr>
        <w:pStyle w:val="DefinedTerms"/>
      </w:pPr>
      <w:r>
        <w:t>the recalculation date</w:t>
      </w:r>
      <w:r>
        <w:tab/>
        <w:t>3C(8), 3D(8)</w:t>
      </w:r>
    </w:p>
    <w:p>
      <w:pPr>
        <w:pStyle w:val="DefinedTerms"/>
      </w:pPr>
      <w:r>
        <w:t>the relevant quarter</w:t>
      </w:r>
      <w:r>
        <w:tab/>
        <w:t>3D(4)</w:t>
      </w:r>
    </w:p>
    <w:p>
      <w:pPr>
        <w:pStyle w:val="DefinedTerms"/>
      </w:pPr>
      <w:r>
        <w:lastRenderedPageBreak/>
        <w:t>the Tribunal</w:t>
      </w:r>
      <w:r>
        <w:tab/>
        <w:t>16(1)</w:t>
      </w:r>
    </w:p>
    <w:p>
      <w:pPr>
        <w:pStyle w:val="DefinedTerms"/>
      </w:pPr>
      <w:r>
        <w:t>treatment, care and support needs</w:t>
      </w:r>
      <w:r>
        <w:tab/>
        <w:t>3EA(1), 3FB(1)</w:t>
      </w:r>
    </w:p>
    <w:p>
      <w:pPr>
        <w:pStyle w:val="DefinedTerms"/>
      </w:pPr>
      <w:r>
        <w:t>uninsured motor vehicle</w:t>
      </w:r>
      <w:r>
        <w:tab/>
        <w:t>3(1)</w:t>
      </w:r>
    </w:p>
    <w:p>
      <w:pPr>
        <w:pStyle w:val="DefinedTerms"/>
      </w:pPr>
      <w:r>
        <w:t>Vehicles Act</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0527"/>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 w:name="WAFER_202204111005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0527_GUID" w:val="b36bc569-463a-4454-b196-5b66ae9a30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5:docId w15:val="{93BF15C1-298F-4622-A61F-9CCE0BE1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oleObject" Target="embeddings/oleObject1.bin"/><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19347</Words>
  <Characters>87064</Characters>
  <Application>Microsoft Office Word</Application>
  <DocSecurity>0</DocSecurity>
  <Lines>2560</Lines>
  <Paragraphs>1313</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105098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1943 - 12-h0-00</dc:title>
  <dc:subject/>
  <dc:creator/>
  <cp:keywords/>
  <dc:description/>
  <cp:lastModifiedBy>Master Repository Process</cp:lastModifiedBy>
  <cp:revision>4</cp:revision>
  <cp:lastPrinted>2010-09-14T06:34:00Z</cp:lastPrinted>
  <dcterms:created xsi:type="dcterms:W3CDTF">2022-04-14T10:10:00Z</dcterms:created>
  <dcterms:modified xsi:type="dcterms:W3CDTF">2022-04-14T10:11:00Z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AsAtDate">
    <vt:lpwstr>14 Apr 2022</vt:lpwstr>
  </property>
  <property fmtid="{D5CDD505-2E9C-101B-9397-08002B2CF9AE}" pid="7" name="Suffix">
    <vt:lpwstr>12-h0-00</vt:lpwstr>
  </property>
  <property fmtid="{D5CDD505-2E9C-101B-9397-08002B2CF9AE}" pid="8" name="CommencementDate">
    <vt:lpwstr>20220414</vt:lpwstr>
  </property>
</Properties>
</file>