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Restraining Orders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_Toc100567179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_Toc100567180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_Toc100567181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family relationship and family member</w:t>
      </w:r>
      <w:r>
        <w:tab/>
      </w:r>
      <w:r>
        <w:fldChar w:fldCharType="begin"/>
      </w:r>
      <w:r>
        <w:instrText xml:space="preserve"> PAGEREF _Toc100567182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_Toc100567183 \h </w:instrText>
      </w:r>
      <w:r>
        <w:fldChar w:fldCharType="separate"/>
      </w:r>
      <w:r>
        <w:t>8</w:t>
      </w:r>
      <w:r>
        <w:fldChar w:fldCharType="end"/>
      </w:r>
    </w:p>
    <w:p>
      <w:pPr>
        <w:pStyle w:val="TOC8"/>
        <w:rPr>
          <w:rFonts w:asciiTheme="minorHAnsi" w:eastAsiaTheme="minorEastAsia" w:hAnsiTheme="minorHAnsi" w:cstheme="minorBidi"/>
          <w:szCs w:val="22"/>
        </w:rPr>
      </w:pPr>
      <w:r>
        <w:t>5A.</w:t>
      </w:r>
      <w:r>
        <w:tab/>
        <w:t>Term used: family violence</w:t>
      </w:r>
      <w:r>
        <w:tab/>
      </w:r>
      <w:r>
        <w:fldChar w:fldCharType="begin"/>
      </w:r>
      <w:r>
        <w:instrText xml:space="preserve"> PAGEREF _Toc100567184 \h </w:instrText>
      </w:r>
      <w:r>
        <w:fldChar w:fldCharType="separate"/>
      </w:r>
      <w:r>
        <w:t>10</w:t>
      </w:r>
      <w:r>
        <w:fldChar w:fldCharType="end"/>
      </w:r>
    </w:p>
    <w:p>
      <w:pPr>
        <w:pStyle w:val="TOC8"/>
        <w:rPr>
          <w:rFonts w:asciiTheme="minorHAnsi" w:eastAsiaTheme="minorEastAsia" w:hAnsiTheme="minorHAnsi" w:cstheme="minorBidi"/>
          <w:szCs w:val="22"/>
        </w:rPr>
      </w:pPr>
      <w:r>
        <w:t>6.</w:t>
      </w:r>
      <w:r>
        <w:tab/>
        <w:t>Term used: personal violence</w:t>
      </w:r>
      <w:r>
        <w:tab/>
      </w:r>
      <w:r>
        <w:fldChar w:fldCharType="begin"/>
      </w:r>
      <w:r>
        <w:instrText xml:space="preserve"> PAGEREF _Toc100567185 \h </w:instrText>
      </w:r>
      <w:r>
        <w:fldChar w:fldCharType="separate"/>
      </w:r>
      <w:r>
        <w:t>11</w:t>
      </w:r>
      <w:r>
        <w:fldChar w:fldCharType="end"/>
      </w:r>
    </w:p>
    <w:p>
      <w:pPr>
        <w:pStyle w:val="TOC8"/>
        <w:rPr>
          <w:rFonts w:asciiTheme="minorHAnsi" w:eastAsiaTheme="minorEastAsia" w:hAnsiTheme="minorHAnsi" w:cstheme="minorBidi"/>
          <w:szCs w:val="22"/>
        </w:rPr>
      </w:pPr>
      <w:r>
        <w:t>6A.</w:t>
      </w:r>
      <w:r>
        <w:tab/>
        <w:t>Term used: exposed</w:t>
      </w:r>
      <w:r>
        <w:tab/>
      </w:r>
      <w:r>
        <w:fldChar w:fldCharType="begin"/>
      </w:r>
      <w:r>
        <w:instrText xml:space="preserve"> PAGEREF _Toc100567186 \h </w:instrText>
      </w:r>
      <w:r>
        <w:fldChar w:fldCharType="separate"/>
      </w:r>
      <w:r>
        <w:t>12</w:t>
      </w:r>
      <w:r>
        <w:fldChar w:fldCharType="end"/>
      </w:r>
    </w:p>
    <w:p>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_Toc100567187 \h </w:instrText>
      </w:r>
      <w:r>
        <w:fldChar w:fldCharType="separate"/>
      </w:r>
      <w:r>
        <w:t>12</w:t>
      </w:r>
      <w:r>
        <w:fldChar w:fldCharType="end"/>
      </w:r>
    </w:p>
    <w:p>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_Toc100567188 \h </w:instrText>
      </w:r>
      <w:r>
        <w:fldChar w:fldCharType="separate"/>
      </w:r>
      <w:r>
        <w:t>12</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_Toc100567189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_Toc100567191 \h </w:instrText>
      </w:r>
      <w:r>
        <w:fldChar w:fldCharType="separate"/>
      </w:r>
      <w:r>
        <w:t>14</w:t>
      </w:r>
      <w:r>
        <w:fldChar w:fldCharType="end"/>
      </w:r>
    </w:p>
    <w:p>
      <w:pPr>
        <w:pStyle w:val="TOC8"/>
        <w:rPr>
          <w:rFonts w:asciiTheme="minorHAnsi" w:eastAsiaTheme="minorEastAsia" w:hAnsiTheme="minorHAnsi" w:cstheme="minorBidi"/>
          <w:szCs w:val="22"/>
        </w:rPr>
      </w:pPr>
      <w:r>
        <w:t>9.</w:t>
      </w:r>
      <w:r>
        <w:tab/>
        <w:t>Fixing a hearing</w:t>
      </w:r>
      <w:r>
        <w:tab/>
      </w:r>
      <w:r>
        <w:fldChar w:fldCharType="begin"/>
      </w:r>
      <w:r>
        <w:instrText xml:space="preserve"> PAGEREF _Toc100567192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Preparation and service of orders</w:t>
      </w:r>
      <w:r>
        <w:tab/>
      </w:r>
      <w:r>
        <w:fldChar w:fldCharType="begin"/>
      </w:r>
      <w:r>
        <w:instrText xml:space="preserve"> PAGEREF _Toc100567193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1B — Family violence restraining order</w:t>
      </w:r>
    </w:p>
    <w:p>
      <w:pPr>
        <w:pStyle w:val="TOC8"/>
        <w:rPr>
          <w:rFonts w:asciiTheme="minorHAnsi" w:eastAsiaTheme="minorEastAsia" w:hAnsiTheme="minorHAnsi" w:cstheme="minorBidi"/>
          <w:szCs w:val="22"/>
        </w:rPr>
      </w:pPr>
      <w:r>
        <w:t>10A.</w:t>
      </w:r>
      <w:r>
        <w:tab/>
        <w:t>Objects</w:t>
      </w:r>
      <w:r>
        <w:tab/>
      </w:r>
      <w:r>
        <w:fldChar w:fldCharType="begin"/>
      </w:r>
      <w:r>
        <w:instrText xml:space="preserve"> PAGEREF _Toc100567195 \h </w:instrText>
      </w:r>
      <w:r>
        <w:fldChar w:fldCharType="separate"/>
      </w:r>
      <w:r>
        <w:t>19</w:t>
      </w:r>
      <w:r>
        <w:fldChar w:fldCharType="end"/>
      </w:r>
    </w:p>
    <w:p>
      <w:pPr>
        <w:pStyle w:val="TOC8"/>
        <w:rPr>
          <w:rFonts w:asciiTheme="minorHAnsi" w:eastAsiaTheme="minorEastAsia" w:hAnsiTheme="minorHAnsi" w:cstheme="minorBidi"/>
          <w:szCs w:val="22"/>
        </w:rPr>
      </w:pPr>
      <w:r>
        <w:t>10B.</w:t>
      </w:r>
      <w:r>
        <w:tab/>
        <w:t>Principles to be observed in performing functions in relation to FVROs</w:t>
      </w:r>
      <w:r>
        <w:tab/>
      </w:r>
      <w:r>
        <w:fldChar w:fldCharType="begin"/>
      </w:r>
      <w:r>
        <w:instrText xml:space="preserve"> PAGEREF _Toc100567196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10C.</w:t>
      </w:r>
      <w:r>
        <w:tab/>
        <w:t>FVRO to specify names of person bound, and person protected, by order</w:t>
      </w:r>
      <w:r>
        <w:tab/>
      </w:r>
      <w:r>
        <w:fldChar w:fldCharType="begin"/>
      </w:r>
      <w:r>
        <w:instrText xml:space="preserve"> PAGEREF _Toc100567197 \h </w:instrText>
      </w:r>
      <w:r>
        <w:fldChar w:fldCharType="separate"/>
      </w:r>
      <w:r>
        <w:t>21</w:t>
      </w:r>
      <w:r>
        <w:fldChar w:fldCharType="end"/>
      </w:r>
    </w:p>
    <w:p>
      <w:pPr>
        <w:pStyle w:val="TOC8"/>
        <w:rPr>
          <w:rFonts w:asciiTheme="minorHAnsi" w:eastAsiaTheme="minorEastAsia" w:hAnsiTheme="minorHAnsi" w:cstheme="minorBidi"/>
          <w:szCs w:val="22"/>
        </w:rPr>
      </w:pPr>
      <w:r>
        <w:t>10D.</w:t>
      </w:r>
      <w:r>
        <w:tab/>
        <w:t>When FVROs may be made</w:t>
      </w:r>
      <w:r>
        <w:tab/>
      </w:r>
      <w:r>
        <w:fldChar w:fldCharType="begin"/>
      </w:r>
      <w:r>
        <w:instrText xml:space="preserve"> PAGEREF _Toc100567198 \h </w:instrText>
      </w:r>
      <w:r>
        <w:fldChar w:fldCharType="separate"/>
      </w:r>
      <w:r>
        <w:t>21</w:t>
      </w:r>
      <w:r>
        <w:fldChar w:fldCharType="end"/>
      </w:r>
    </w:p>
    <w:p>
      <w:pPr>
        <w:pStyle w:val="TOC8"/>
        <w:rPr>
          <w:rFonts w:asciiTheme="minorHAnsi" w:eastAsiaTheme="minorEastAsia" w:hAnsiTheme="minorHAnsi" w:cstheme="minorBidi"/>
          <w:szCs w:val="22"/>
        </w:rPr>
      </w:pPr>
      <w:r>
        <w:t>10E.</w:t>
      </w:r>
      <w:r>
        <w:tab/>
        <w:t>FVRO may be made for child in circumstances of family violence</w:t>
      </w:r>
      <w:r>
        <w:tab/>
      </w:r>
      <w:r>
        <w:fldChar w:fldCharType="begin"/>
      </w:r>
      <w:r>
        <w:instrText xml:space="preserve"> PAGEREF _Toc100567199 \h </w:instrText>
      </w:r>
      <w:r>
        <w:fldChar w:fldCharType="separate"/>
      </w:r>
      <w:r>
        <w:t>22</w:t>
      </w:r>
      <w:r>
        <w:fldChar w:fldCharType="end"/>
      </w:r>
    </w:p>
    <w:p>
      <w:pPr>
        <w:pStyle w:val="TOC8"/>
        <w:rPr>
          <w:rFonts w:asciiTheme="minorHAnsi" w:eastAsiaTheme="minorEastAsia" w:hAnsiTheme="minorHAnsi" w:cstheme="minorBidi"/>
          <w:szCs w:val="22"/>
        </w:rPr>
      </w:pPr>
      <w:r>
        <w:t>10F.</w:t>
      </w:r>
      <w:r>
        <w:tab/>
        <w:t>Matters to be considered by court generally</w:t>
      </w:r>
      <w:r>
        <w:tab/>
      </w:r>
      <w:r>
        <w:fldChar w:fldCharType="begin"/>
      </w:r>
      <w:r>
        <w:instrText xml:space="preserve"> PAGEREF _Toc100567200 \h </w:instrText>
      </w:r>
      <w:r>
        <w:fldChar w:fldCharType="separate"/>
      </w:r>
      <w:r>
        <w:t>22</w:t>
      </w:r>
      <w:r>
        <w:fldChar w:fldCharType="end"/>
      </w:r>
    </w:p>
    <w:p>
      <w:pPr>
        <w:pStyle w:val="TOC8"/>
        <w:rPr>
          <w:rFonts w:asciiTheme="minorHAnsi" w:eastAsiaTheme="minorEastAsia" w:hAnsiTheme="minorHAnsi" w:cstheme="minorBidi"/>
          <w:szCs w:val="22"/>
        </w:rPr>
      </w:pPr>
      <w:r>
        <w:t>10G.</w:t>
      </w:r>
      <w:r>
        <w:tab/>
        <w:t>Restraints on respondent</w:t>
      </w:r>
      <w:r>
        <w:tab/>
      </w:r>
      <w:r>
        <w:fldChar w:fldCharType="begin"/>
      </w:r>
      <w:r>
        <w:instrText xml:space="preserve"> PAGEREF _Toc100567201 \h </w:instrText>
      </w:r>
      <w:r>
        <w:fldChar w:fldCharType="separate"/>
      </w:r>
      <w:r>
        <w:t>24</w:t>
      </w:r>
      <w:r>
        <w:fldChar w:fldCharType="end"/>
      </w:r>
    </w:p>
    <w:p>
      <w:pPr>
        <w:pStyle w:val="TOC8"/>
        <w:rPr>
          <w:rFonts w:asciiTheme="minorHAnsi" w:eastAsiaTheme="minorEastAsia" w:hAnsiTheme="minorHAnsi" w:cstheme="minorBidi"/>
          <w:szCs w:val="22"/>
        </w:rPr>
      </w:pPr>
      <w:r>
        <w:t>10H.</w:t>
      </w:r>
      <w:r>
        <w:tab/>
        <w:t>Conduct agreement</w:t>
      </w:r>
      <w:r>
        <w:tab/>
      </w:r>
      <w:r>
        <w:fldChar w:fldCharType="begin"/>
      </w:r>
      <w:r>
        <w:instrText xml:space="preserve"> PAGEREF _Toc100567202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1C — Behaviour management order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10I.</w:t>
      </w:r>
      <w:r>
        <w:tab/>
        <w:t>Terms used</w:t>
      </w:r>
      <w:r>
        <w:tab/>
      </w:r>
      <w:r>
        <w:fldChar w:fldCharType="begin"/>
      </w:r>
      <w:r>
        <w:instrText xml:space="preserve"> PAGEREF _Toc100567205 \h </w:instrText>
      </w:r>
      <w:r>
        <w:fldChar w:fldCharType="separate"/>
      </w:r>
      <w:r>
        <w:t>27</w:t>
      </w:r>
      <w:r>
        <w:fldChar w:fldCharType="end"/>
      </w:r>
    </w:p>
    <w:p>
      <w:pPr>
        <w:pStyle w:val="TOC8"/>
        <w:rPr>
          <w:rFonts w:asciiTheme="minorHAnsi" w:eastAsiaTheme="minorEastAsia" w:hAnsiTheme="minorHAnsi" w:cstheme="minorBidi"/>
          <w:szCs w:val="22"/>
        </w:rPr>
      </w:pPr>
      <w:r>
        <w:t>10J.</w:t>
      </w:r>
      <w:r>
        <w:tab/>
        <w:t>Objects</w:t>
      </w:r>
      <w:r>
        <w:tab/>
      </w:r>
      <w:r>
        <w:fldChar w:fldCharType="begin"/>
      </w:r>
      <w:r>
        <w:instrText xml:space="preserve"> PAGEREF _Toc100567206 \h </w:instrText>
      </w:r>
      <w:r>
        <w:fldChar w:fldCharType="separate"/>
      </w:r>
      <w:r>
        <w:t>28</w:t>
      </w:r>
      <w:r>
        <w:fldChar w:fldCharType="end"/>
      </w:r>
    </w:p>
    <w:p>
      <w:pPr>
        <w:pStyle w:val="TOC8"/>
        <w:rPr>
          <w:rFonts w:asciiTheme="minorHAnsi" w:eastAsiaTheme="minorEastAsia" w:hAnsiTheme="minorHAnsi" w:cstheme="minorBidi"/>
          <w:szCs w:val="22"/>
        </w:rPr>
      </w:pPr>
      <w:r>
        <w:t>10K.</w:t>
      </w:r>
      <w:r>
        <w:tab/>
        <w:t>Application of Part</w:t>
      </w:r>
      <w:r>
        <w:tab/>
      </w:r>
      <w:r>
        <w:fldChar w:fldCharType="begin"/>
      </w:r>
      <w:r>
        <w:instrText xml:space="preserve"> PAGEREF _Toc100567207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Eligibility assessment order</w:t>
      </w:r>
    </w:p>
    <w:p>
      <w:pPr>
        <w:pStyle w:val="TOC8"/>
        <w:rPr>
          <w:rFonts w:asciiTheme="minorHAnsi" w:eastAsiaTheme="minorEastAsia" w:hAnsiTheme="minorHAnsi" w:cstheme="minorBidi"/>
          <w:szCs w:val="22"/>
        </w:rPr>
      </w:pPr>
      <w:r>
        <w:t>10L.</w:t>
      </w:r>
      <w:r>
        <w:tab/>
        <w:t>Making an eligibility assessment order</w:t>
      </w:r>
      <w:r>
        <w:tab/>
      </w:r>
      <w:r>
        <w:fldChar w:fldCharType="begin"/>
      </w:r>
      <w:r>
        <w:instrText xml:space="preserve"> PAGEREF _Toc100567209 \h </w:instrText>
      </w:r>
      <w:r>
        <w:fldChar w:fldCharType="separate"/>
      </w:r>
      <w:r>
        <w:t>28</w:t>
      </w:r>
      <w:r>
        <w:fldChar w:fldCharType="end"/>
      </w:r>
    </w:p>
    <w:p>
      <w:pPr>
        <w:pStyle w:val="TOC8"/>
        <w:rPr>
          <w:rFonts w:asciiTheme="minorHAnsi" w:eastAsiaTheme="minorEastAsia" w:hAnsiTheme="minorHAnsi" w:cstheme="minorBidi"/>
          <w:szCs w:val="22"/>
        </w:rPr>
      </w:pPr>
      <w:r>
        <w:t>10M.</w:t>
      </w:r>
      <w:r>
        <w:tab/>
        <w:t>Order to attend behaviour change programme</w:t>
      </w:r>
      <w:r>
        <w:tab/>
      </w:r>
      <w:r>
        <w:fldChar w:fldCharType="begin"/>
      </w:r>
      <w:r>
        <w:instrText xml:space="preserve"> PAGEREF _Toc100567210 \h </w:instrText>
      </w:r>
      <w:r>
        <w:fldChar w:fldCharType="separate"/>
      </w:r>
      <w:r>
        <w:t>30</w:t>
      </w:r>
      <w:r>
        <w:fldChar w:fldCharType="end"/>
      </w:r>
    </w:p>
    <w:p>
      <w:pPr>
        <w:pStyle w:val="TOC8"/>
        <w:rPr>
          <w:rFonts w:asciiTheme="minorHAnsi" w:eastAsiaTheme="minorEastAsia" w:hAnsiTheme="minorHAnsi" w:cstheme="minorBidi"/>
          <w:szCs w:val="22"/>
        </w:rPr>
      </w:pPr>
      <w:r>
        <w:t>10N.</w:t>
      </w:r>
      <w:r>
        <w:tab/>
        <w:t>Effect of appeal against final order</w:t>
      </w:r>
      <w:r>
        <w:tab/>
      </w:r>
      <w:r>
        <w:fldChar w:fldCharType="begin"/>
      </w:r>
      <w:r>
        <w:instrText xml:space="preserve"> PAGEREF _Toc100567211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Procedures relating to behaviour management order</w:t>
      </w:r>
    </w:p>
    <w:p>
      <w:pPr>
        <w:pStyle w:val="TOC8"/>
        <w:rPr>
          <w:rFonts w:asciiTheme="minorHAnsi" w:eastAsiaTheme="minorEastAsia" w:hAnsiTheme="minorHAnsi" w:cstheme="minorBidi"/>
          <w:szCs w:val="22"/>
        </w:rPr>
      </w:pPr>
      <w:r>
        <w:t>10O.</w:t>
      </w:r>
      <w:r>
        <w:tab/>
        <w:t>Notice of hearings</w:t>
      </w:r>
      <w:r>
        <w:tab/>
      </w:r>
      <w:r>
        <w:fldChar w:fldCharType="begin"/>
      </w:r>
      <w:r>
        <w:instrText xml:space="preserve"> PAGEREF _Toc100567213 \h </w:instrText>
      </w:r>
      <w:r>
        <w:fldChar w:fldCharType="separate"/>
      </w:r>
      <w:r>
        <w:t>32</w:t>
      </w:r>
      <w:r>
        <w:fldChar w:fldCharType="end"/>
      </w:r>
    </w:p>
    <w:p>
      <w:pPr>
        <w:pStyle w:val="TOC8"/>
        <w:rPr>
          <w:rFonts w:asciiTheme="minorHAnsi" w:eastAsiaTheme="minorEastAsia" w:hAnsiTheme="minorHAnsi" w:cstheme="minorBidi"/>
          <w:szCs w:val="22"/>
        </w:rPr>
      </w:pPr>
      <w:r>
        <w:t>10P.</w:t>
      </w:r>
      <w:r>
        <w:tab/>
        <w:t>Approval of persons and of behaviour change programme</w:t>
      </w:r>
      <w:r>
        <w:tab/>
      </w:r>
      <w:r>
        <w:fldChar w:fldCharType="begin"/>
      </w:r>
      <w:r>
        <w:instrText xml:space="preserve"> PAGEREF _Toc100567214 \h </w:instrText>
      </w:r>
      <w:r>
        <w:fldChar w:fldCharType="separate"/>
      </w:r>
      <w:r>
        <w:t>32</w:t>
      </w:r>
      <w:r>
        <w:fldChar w:fldCharType="end"/>
      </w:r>
    </w:p>
    <w:p>
      <w:pPr>
        <w:pStyle w:val="TOC8"/>
        <w:rPr>
          <w:rFonts w:asciiTheme="minorHAnsi" w:eastAsiaTheme="minorEastAsia" w:hAnsiTheme="minorHAnsi" w:cstheme="minorBidi"/>
          <w:szCs w:val="22"/>
        </w:rPr>
      </w:pPr>
      <w:r>
        <w:t>10Q.</w:t>
      </w:r>
      <w:r>
        <w:tab/>
        <w:t>Eligibility assessor may be required to attend hearing</w:t>
      </w:r>
      <w:r>
        <w:tab/>
      </w:r>
      <w:r>
        <w:fldChar w:fldCharType="begin"/>
      </w:r>
      <w:r>
        <w:instrText xml:space="preserve"> PAGEREF _Toc100567215 \h </w:instrText>
      </w:r>
      <w:r>
        <w:fldChar w:fldCharType="separate"/>
      </w:r>
      <w:r>
        <w:t>33</w:t>
      </w:r>
      <w:r>
        <w:fldChar w:fldCharType="end"/>
      </w:r>
    </w:p>
    <w:p>
      <w:pPr>
        <w:pStyle w:val="TOC8"/>
        <w:rPr>
          <w:rFonts w:asciiTheme="minorHAnsi" w:eastAsiaTheme="minorEastAsia" w:hAnsiTheme="minorHAnsi" w:cstheme="minorBidi"/>
          <w:szCs w:val="22"/>
        </w:rPr>
      </w:pPr>
      <w:r>
        <w:t>10R.</w:t>
      </w:r>
      <w:r>
        <w:tab/>
        <w:t>Disputed eligibility assessment report</w:t>
      </w:r>
      <w:r>
        <w:tab/>
      </w:r>
      <w:r>
        <w:fldChar w:fldCharType="begin"/>
      </w:r>
      <w:r>
        <w:instrText xml:space="preserve"> PAGEREF _Toc100567216 \h </w:instrText>
      </w:r>
      <w:r>
        <w:fldChar w:fldCharType="separate"/>
      </w:r>
      <w:r>
        <w:t>33</w:t>
      </w:r>
      <w:r>
        <w:fldChar w:fldCharType="end"/>
      </w:r>
    </w:p>
    <w:p>
      <w:pPr>
        <w:pStyle w:val="TOC8"/>
        <w:rPr>
          <w:rFonts w:asciiTheme="minorHAnsi" w:eastAsiaTheme="minorEastAsia" w:hAnsiTheme="minorHAnsi" w:cstheme="minorBidi"/>
          <w:szCs w:val="22"/>
        </w:rPr>
      </w:pPr>
      <w:r>
        <w:t>10S.</w:t>
      </w:r>
      <w:r>
        <w:tab/>
        <w:t>Explanation of behaviour management orders</w:t>
      </w:r>
      <w:r>
        <w:tab/>
      </w:r>
      <w:r>
        <w:fldChar w:fldCharType="begin"/>
      </w:r>
      <w:r>
        <w:instrText xml:space="preserve"> PAGEREF _Toc100567217 \h </w:instrText>
      </w:r>
      <w:r>
        <w:fldChar w:fldCharType="separate"/>
      </w:r>
      <w:r>
        <w:t>34</w:t>
      </w:r>
      <w:r>
        <w:fldChar w:fldCharType="end"/>
      </w:r>
    </w:p>
    <w:p>
      <w:pPr>
        <w:pStyle w:val="TOC8"/>
        <w:rPr>
          <w:rFonts w:asciiTheme="minorHAnsi" w:eastAsiaTheme="minorEastAsia" w:hAnsiTheme="minorHAnsi" w:cstheme="minorBidi"/>
          <w:szCs w:val="22"/>
        </w:rPr>
      </w:pPr>
      <w:r>
        <w:t>10T.</w:t>
      </w:r>
      <w:r>
        <w:tab/>
        <w:t>Variation or cancellation of behaviour management orders</w:t>
      </w:r>
      <w:r>
        <w:tab/>
      </w:r>
      <w:r>
        <w:fldChar w:fldCharType="begin"/>
      </w:r>
      <w:r>
        <w:instrText xml:space="preserve"> PAGEREF _Toc100567218 \h </w:instrText>
      </w:r>
      <w:r>
        <w:fldChar w:fldCharType="separate"/>
      </w:r>
      <w:r>
        <w:t>34</w:t>
      </w:r>
      <w:r>
        <w:fldChar w:fldCharType="end"/>
      </w:r>
    </w:p>
    <w:p>
      <w:pPr>
        <w:pStyle w:val="TOC8"/>
        <w:rPr>
          <w:rFonts w:asciiTheme="minorHAnsi" w:eastAsiaTheme="minorEastAsia" w:hAnsiTheme="minorHAnsi" w:cstheme="minorBidi"/>
          <w:szCs w:val="22"/>
        </w:rPr>
      </w:pPr>
      <w:r>
        <w:t>10U.</w:t>
      </w:r>
      <w:r>
        <w:tab/>
        <w:t>Service of orders</w:t>
      </w:r>
      <w:r>
        <w:tab/>
      </w:r>
      <w:r>
        <w:fldChar w:fldCharType="begin"/>
      </w:r>
      <w:r>
        <w:instrText xml:space="preserve"> PAGEREF _Toc100567219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10V.</w:t>
      </w:r>
      <w:r>
        <w:tab/>
        <w:t>Respondent’s participation in behaviour change programme</w:t>
      </w:r>
      <w:r>
        <w:tab/>
      </w:r>
      <w:r>
        <w:fldChar w:fldCharType="begin"/>
      </w:r>
      <w:r>
        <w:instrText xml:space="preserve"> PAGEREF _Toc100567221 \h </w:instrText>
      </w:r>
      <w:r>
        <w:fldChar w:fldCharType="separate"/>
      </w:r>
      <w:r>
        <w:t>36</w:t>
      </w:r>
      <w:r>
        <w:fldChar w:fldCharType="end"/>
      </w:r>
    </w:p>
    <w:p>
      <w:pPr>
        <w:pStyle w:val="TOC8"/>
        <w:rPr>
          <w:rFonts w:asciiTheme="minorHAnsi" w:eastAsiaTheme="minorEastAsia" w:hAnsiTheme="minorHAnsi" w:cstheme="minorBidi"/>
          <w:szCs w:val="22"/>
        </w:rPr>
      </w:pPr>
      <w:r>
        <w:t>10W.</w:t>
      </w:r>
      <w:r>
        <w:tab/>
        <w:t>Respondent’s contravention of behaviour management order</w:t>
      </w:r>
      <w:r>
        <w:tab/>
      </w:r>
      <w:r>
        <w:fldChar w:fldCharType="begin"/>
      </w:r>
      <w:r>
        <w:instrText xml:space="preserve"> PAGEREF _Toc100567222 \h </w:instrText>
      </w:r>
      <w:r>
        <w:fldChar w:fldCharType="separate"/>
      </w:r>
      <w:r>
        <w:t>37</w:t>
      </w:r>
      <w:r>
        <w:fldChar w:fldCharType="end"/>
      </w:r>
    </w:p>
    <w:p>
      <w:pPr>
        <w:pStyle w:val="TOC8"/>
        <w:rPr>
          <w:rFonts w:asciiTheme="minorHAnsi" w:eastAsiaTheme="minorEastAsia" w:hAnsiTheme="minorHAnsi" w:cstheme="minorBidi"/>
          <w:szCs w:val="22"/>
        </w:rPr>
      </w:pPr>
      <w:r>
        <w:t>10X.</w:t>
      </w:r>
      <w:r>
        <w:tab/>
        <w:t>Confidentiality of interviews and reports</w:t>
      </w:r>
      <w:r>
        <w:tab/>
      </w:r>
      <w:r>
        <w:fldChar w:fldCharType="begin"/>
      </w:r>
      <w:r>
        <w:instrText xml:space="preserve"> PAGEREF _Toc100567223 \h </w:instrText>
      </w:r>
      <w:r>
        <w:fldChar w:fldCharType="separate"/>
      </w:r>
      <w:r>
        <w:t>37</w:t>
      </w:r>
      <w:r>
        <w:fldChar w:fldCharType="end"/>
      </w:r>
    </w:p>
    <w:p>
      <w:pPr>
        <w:pStyle w:val="TOC8"/>
        <w:rPr>
          <w:rFonts w:asciiTheme="minorHAnsi" w:eastAsiaTheme="minorEastAsia" w:hAnsiTheme="minorHAnsi" w:cstheme="minorBidi"/>
          <w:szCs w:val="22"/>
        </w:rPr>
      </w:pPr>
      <w:r>
        <w:t>10Y.</w:t>
      </w:r>
      <w:r>
        <w:tab/>
        <w:t>Confidentiality of behaviour change programme</w:t>
      </w:r>
      <w:r>
        <w:tab/>
      </w:r>
      <w:r>
        <w:fldChar w:fldCharType="begin"/>
      </w:r>
      <w:r>
        <w:instrText xml:space="preserve"> PAGEREF _Toc100567224 \h </w:instrText>
      </w:r>
      <w:r>
        <w:fldChar w:fldCharType="separate"/>
      </w:r>
      <w:r>
        <w:t>39</w:t>
      </w:r>
      <w:r>
        <w:fldChar w:fldCharType="end"/>
      </w:r>
    </w:p>
    <w:p>
      <w:pPr>
        <w:pStyle w:val="TOC8"/>
        <w:rPr>
          <w:rFonts w:asciiTheme="minorHAnsi" w:eastAsiaTheme="minorEastAsia" w:hAnsiTheme="minorHAnsi" w:cstheme="minorBidi"/>
          <w:szCs w:val="22"/>
        </w:rPr>
      </w:pPr>
      <w:r>
        <w:t>10Z.</w:t>
      </w:r>
      <w:r>
        <w:tab/>
        <w:t>Delegation</w:t>
      </w:r>
      <w:r>
        <w:tab/>
      </w:r>
      <w:r>
        <w:fldChar w:fldCharType="begin"/>
      </w:r>
      <w:r>
        <w:instrText xml:space="preserve"> PAGEREF _Toc100567225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Violence restraining order</w:t>
      </w:r>
    </w:p>
    <w:p>
      <w:pPr>
        <w:pStyle w:val="TOC8"/>
        <w:rPr>
          <w:rFonts w:asciiTheme="minorHAnsi" w:eastAsiaTheme="minorEastAsia" w:hAnsiTheme="minorHAnsi" w:cstheme="minorBidi"/>
          <w:szCs w:val="22"/>
        </w:rPr>
      </w:pPr>
      <w:r>
        <w:t>11.</w:t>
      </w:r>
      <w:r>
        <w:tab/>
        <w:t>VRO to specify names of person bound, and person protected, by order</w:t>
      </w:r>
      <w:r>
        <w:tab/>
      </w:r>
      <w:r>
        <w:fldChar w:fldCharType="begin"/>
      </w:r>
      <w:r>
        <w:instrText xml:space="preserve"> PAGEREF _Toc100567227 \h </w:instrText>
      </w:r>
      <w:r>
        <w:fldChar w:fldCharType="separate"/>
      </w:r>
      <w:r>
        <w:t>40</w:t>
      </w:r>
      <w:r>
        <w:fldChar w:fldCharType="end"/>
      </w:r>
    </w:p>
    <w:p>
      <w:pPr>
        <w:pStyle w:val="TOC8"/>
        <w:rPr>
          <w:rFonts w:asciiTheme="minorHAnsi" w:eastAsiaTheme="minorEastAsia" w:hAnsiTheme="minorHAnsi" w:cstheme="minorBidi"/>
          <w:szCs w:val="22"/>
        </w:rPr>
      </w:pPr>
      <w:r>
        <w:t>11A.</w:t>
      </w:r>
      <w:r>
        <w:tab/>
        <w:t>When VROs may be made</w:t>
      </w:r>
      <w:r>
        <w:tab/>
      </w:r>
      <w:r>
        <w:fldChar w:fldCharType="begin"/>
      </w:r>
      <w:r>
        <w:instrText xml:space="preserve"> PAGEREF _Toc100567228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Matters to be considered by court generally</w:t>
      </w:r>
      <w:r>
        <w:tab/>
      </w:r>
      <w:r>
        <w:fldChar w:fldCharType="begin"/>
      </w:r>
      <w:r>
        <w:instrText xml:space="preserve"> PAGEREF _Toc100567229 \h </w:instrText>
      </w:r>
      <w:r>
        <w:fldChar w:fldCharType="separate"/>
      </w:r>
      <w:r>
        <w:t>41</w:t>
      </w:r>
      <w:r>
        <w:fldChar w:fldCharType="end"/>
      </w:r>
    </w:p>
    <w:p>
      <w:pPr>
        <w:pStyle w:val="TOC8"/>
        <w:rPr>
          <w:rFonts w:asciiTheme="minorHAnsi" w:eastAsiaTheme="minorEastAsia" w:hAnsiTheme="minorHAnsi" w:cstheme="minorBidi"/>
          <w:szCs w:val="22"/>
        </w:rPr>
      </w:pPr>
      <w:r>
        <w:t>12A.</w:t>
      </w:r>
      <w:r>
        <w:tab/>
        <w:t>VROs not for persons in family relationship</w:t>
      </w:r>
      <w:r>
        <w:tab/>
      </w:r>
      <w:r>
        <w:fldChar w:fldCharType="begin"/>
      </w:r>
      <w:r>
        <w:instrText xml:space="preserve"> PAGEREF _Toc100567230 \h </w:instrText>
      </w:r>
      <w:r>
        <w:fldChar w:fldCharType="separate"/>
      </w:r>
      <w:r>
        <w:t>42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Restraints on respondent</w:t>
      </w:r>
      <w:r>
        <w:tab/>
      </w:r>
      <w:r>
        <w:fldChar w:fldCharType="begin"/>
      </w:r>
      <w:r>
        <w:instrText xml:space="preserve"> PAGEREF _Toc100567231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2A — Provisions for FVRO and VRO</w:t>
      </w:r>
    </w:p>
    <w:p>
      <w:pPr>
        <w:pStyle w:val="TOC4"/>
        <w:tabs>
          <w:tab w:val="right" w:leader="dot" w:pos="7077"/>
        </w:tabs>
        <w:rPr>
          <w:rFonts w:asciiTheme="minorHAnsi" w:eastAsiaTheme="minorEastAsia" w:hAnsiTheme="minorHAnsi" w:cstheme="minorBidi"/>
          <w:b w:val="0"/>
          <w:szCs w:val="22"/>
        </w:rPr>
      </w:pPr>
      <w:r>
        <w:t>Division 1AA — Additional circumstances where orders may be made</w:t>
      </w:r>
    </w:p>
    <w:p>
      <w:pPr>
        <w:pStyle w:val="TOC8"/>
        <w:rPr>
          <w:rFonts w:asciiTheme="minorHAnsi" w:eastAsiaTheme="minorEastAsia" w:hAnsiTheme="minorHAnsi" w:cstheme="minorBidi"/>
          <w:szCs w:val="22"/>
        </w:rPr>
      </w:pPr>
      <w:r>
        <w:t>13A.</w:t>
      </w:r>
      <w:r>
        <w:tab/>
        <w:t>Cases involving violent offences</w:t>
      </w:r>
      <w:r>
        <w:tab/>
      </w:r>
      <w:r>
        <w:fldChar w:fldCharType="begin"/>
      </w:r>
      <w:r>
        <w:instrText xml:space="preserve"> PAGEREF _Toc100567234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 — Orders relating to firearms and explosives</w:t>
      </w:r>
    </w:p>
    <w:p>
      <w:pPr>
        <w:pStyle w:val="TOC8"/>
        <w:rPr>
          <w:rFonts w:asciiTheme="minorHAnsi" w:eastAsiaTheme="minorEastAsia" w:hAnsiTheme="minorHAnsi" w:cstheme="minorBidi"/>
          <w:szCs w:val="22"/>
        </w:rPr>
      </w:pPr>
      <w:r>
        <w:t>14</w:t>
      </w:r>
      <w:r>
        <w:rPr>
          <w:snapToGrid w:val="0"/>
        </w:rPr>
        <w:t>.</w:t>
      </w:r>
      <w:r>
        <w:rPr>
          <w:snapToGrid w:val="0"/>
        </w:rPr>
        <w:tab/>
        <w:t>Firearms order</w:t>
      </w:r>
      <w:r>
        <w:tab/>
      </w:r>
      <w:r>
        <w:fldChar w:fldCharType="begin"/>
      </w:r>
      <w:r>
        <w:instrText xml:space="preserve"> PAGEREF _Toc100567236 \h </w:instrText>
      </w:r>
      <w:r>
        <w:fldChar w:fldCharType="separate"/>
      </w:r>
      <w:r>
        <w:t>46</w:t>
      </w:r>
      <w:r>
        <w:fldChar w:fldCharType="end"/>
      </w:r>
    </w:p>
    <w:p>
      <w:pPr>
        <w:pStyle w:val="TOC8"/>
        <w:rPr>
          <w:rFonts w:asciiTheme="minorHAnsi" w:eastAsiaTheme="minorEastAsia" w:hAnsiTheme="minorHAnsi" w:cstheme="minorBidi"/>
          <w:szCs w:val="22"/>
        </w:rPr>
      </w:pPr>
      <w:r>
        <w:t>14A.</w:t>
      </w:r>
      <w:r>
        <w:tab/>
        <w:t>Explosives order</w:t>
      </w:r>
      <w:r>
        <w:tab/>
      </w:r>
      <w:r>
        <w:fldChar w:fldCharType="begin"/>
      </w:r>
      <w:r>
        <w:instrText xml:space="preserve"> PAGEREF _Toc100567237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1A — Duration of orders</w:t>
      </w:r>
    </w:p>
    <w:p>
      <w:pPr>
        <w:pStyle w:val="TOC8"/>
        <w:rPr>
          <w:rFonts w:asciiTheme="minorHAnsi" w:eastAsiaTheme="minorEastAsia" w:hAnsiTheme="minorHAnsi" w:cstheme="minorBidi"/>
          <w:szCs w:val="22"/>
        </w:rPr>
      </w:pPr>
      <w:r>
        <w:t>16</w:t>
      </w:r>
      <w:r>
        <w:rPr>
          <w:snapToGrid w:val="0"/>
        </w:rPr>
        <w:t>.</w:t>
      </w:r>
      <w:r>
        <w:rPr>
          <w:snapToGrid w:val="0"/>
        </w:rPr>
        <w:tab/>
        <w:t>Duration of FVRO or VRO generally</w:t>
      </w:r>
      <w:r>
        <w:tab/>
      </w:r>
      <w:r>
        <w:fldChar w:fldCharType="begin"/>
      </w:r>
      <w:r>
        <w:instrText xml:space="preserve"> PAGEREF _Toc100567239 \h </w:instrText>
      </w:r>
      <w:r>
        <w:fldChar w:fldCharType="separate"/>
      </w:r>
      <w:r>
        <w:t>49</w:t>
      </w:r>
      <w:r>
        <w:fldChar w:fldCharType="end"/>
      </w:r>
    </w:p>
    <w:p>
      <w:pPr>
        <w:pStyle w:val="TOC8"/>
        <w:rPr>
          <w:rFonts w:asciiTheme="minorHAnsi" w:eastAsiaTheme="minorEastAsia" w:hAnsiTheme="minorHAnsi" w:cstheme="minorBidi"/>
          <w:szCs w:val="22"/>
        </w:rPr>
      </w:pPr>
      <w:r>
        <w:t>16A.</w:t>
      </w:r>
      <w:r>
        <w:tab/>
        <w:t>Duration of FVRO</w:t>
      </w:r>
      <w:r>
        <w:tab/>
      </w:r>
      <w:r>
        <w:fldChar w:fldCharType="begin"/>
      </w:r>
      <w:r>
        <w:instrText xml:space="preserve"> PAGEREF _Toc100567240 \h </w:instrText>
      </w:r>
      <w:r>
        <w:fldChar w:fldCharType="separate"/>
      </w:r>
      <w:r>
        <w:t>50</w:t>
      </w:r>
      <w:r>
        <w:fldChar w:fldCharType="end"/>
      </w:r>
    </w:p>
    <w:p>
      <w:pPr>
        <w:pStyle w:val="TOC8"/>
        <w:rPr>
          <w:rFonts w:asciiTheme="minorHAnsi" w:eastAsiaTheme="minorEastAsia" w:hAnsiTheme="minorHAnsi" w:cstheme="minorBidi"/>
          <w:szCs w:val="22"/>
        </w:rPr>
      </w:pPr>
      <w:r>
        <w:t>16B.</w:t>
      </w:r>
      <w:r>
        <w:tab/>
        <w:t>Duration of VRO</w:t>
      </w:r>
      <w:r>
        <w:tab/>
      </w:r>
      <w:r>
        <w:fldChar w:fldCharType="begin"/>
      </w:r>
      <w:r>
        <w:instrText xml:space="preserve"> PAGEREF _Toc100567241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Telephone applications</w:t>
      </w:r>
    </w:p>
    <w:p>
      <w:pPr>
        <w:pStyle w:val="TOC8"/>
        <w:rPr>
          <w:rFonts w:asciiTheme="minorHAnsi" w:eastAsiaTheme="minorEastAsia" w:hAnsiTheme="minorHAnsi" w:cstheme="minorBidi"/>
          <w:szCs w:val="22"/>
        </w:rPr>
      </w:pPr>
      <w:r>
        <w:t>17</w:t>
      </w:r>
      <w:r>
        <w:rPr>
          <w:snapToGrid w:val="0"/>
        </w:rPr>
        <w:t>.</w:t>
      </w:r>
      <w:r>
        <w:rPr>
          <w:snapToGrid w:val="0"/>
        </w:rPr>
        <w:tab/>
        <w:t>Authorised magistrates</w:t>
      </w:r>
      <w:r>
        <w:tab/>
      </w:r>
      <w:r>
        <w:fldChar w:fldCharType="begin"/>
      </w:r>
      <w:r>
        <w:instrText xml:space="preserve"> PAGEREF _Toc100567243 \h </w:instrText>
      </w:r>
      <w:r>
        <w:fldChar w:fldCharType="separate"/>
      </w:r>
      <w:r>
        <w:t>52</w:t>
      </w:r>
      <w:r>
        <w:fldChar w:fldCharType="end"/>
      </w:r>
    </w:p>
    <w:p>
      <w:pPr>
        <w:pStyle w:val="TOC8"/>
        <w:rPr>
          <w:rFonts w:asciiTheme="minorHAnsi" w:eastAsiaTheme="minorEastAsia" w:hAnsiTheme="minorHAnsi" w:cstheme="minorBidi"/>
          <w:szCs w:val="22"/>
        </w:rPr>
      </w:pPr>
      <w:r>
        <w:t>18.</w:t>
      </w:r>
      <w:r>
        <w:tab/>
        <w:t>Who can apply</w:t>
      </w:r>
      <w:r>
        <w:tab/>
      </w:r>
      <w:r>
        <w:fldChar w:fldCharType="begin"/>
      </w:r>
      <w:r>
        <w:instrText xml:space="preserve"> PAGEREF _Toc100567244 \h </w:instrText>
      </w:r>
      <w:r>
        <w:fldChar w:fldCharType="separate"/>
      </w:r>
      <w:r>
        <w:t>52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to make telephone application</w:t>
      </w:r>
      <w:r>
        <w:tab/>
      </w:r>
      <w:r>
        <w:fldChar w:fldCharType="begin"/>
      </w:r>
      <w:r>
        <w:instrText xml:space="preserve"> PAGEREF _Toc100567245 \h </w:instrText>
      </w:r>
      <w:r>
        <w:fldChar w:fldCharType="separate"/>
      </w:r>
      <w:r>
        <w:t>53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telephone application may be heard</w:t>
      </w:r>
      <w:r>
        <w:tab/>
      </w:r>
      <w:r>
        <w:fldChar w:fldCharType="begin"/>
      </w:r>
      <w:r>
        <w:instrText xml:space="preserve"> PAGEREF _Toc100567246 \h </w:instrText>
      </w:r>
      <w:r>
        <w:fldChar w:fldCharType="separate"/>
      </w:r>
      <w:r>
        <w:t>54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hearing to be conducted</w:t>
      </w:r>
      <w:r>
        <w:tab/>
      </w:r>
      <w:r>
        <w:fldChar w:fldCharType="begin"/>
      </w:r>
      <w:r>
        <w:instrText xml:space="preserve"> PAGEREF _Toc100567247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Orders at telephone hearing</w:t>
      </w:r>
      <w:r>
        <w:tab/>
      </w:r>
      <w:r>
        <w:fldChar w:fldCharType="begin"/>
      </w:r>
      <w:r>
        <w:instrText xml:space="preserve"> PAGEREF _Toc100567248 \h </w:instrText>
      </w:r>
      <w:r>
        <w:fldChar w:fldCharType="separate"/>
      </w:r>
      <w:r>
        <w:t>55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Telephone order to be prepared and served</w:t>
      </w:r>
      <w:r>
        <w:tab/>
      </w:r>
      <w:r>
        <w:fldChar w:fldCharType="begin"/>
      </w:r>
      <w:r>
        <w:instrText xml:space="preserve"> PAGEREF _Toc100567249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Applications in person to a court</w:t>
      </w:r>
    </w:p>
    <w:p>
      <w:pPr>
        <w:pStyle w:val="TOC8"/>
        <w:rPr>
          <w:rFonts w:asciiTheme="minorHAnsi" w:eastAsiaTheme="minorEastAsia" w:hAnsiTheme="minorHAnsi" w:cstheme="minorBidi"/>
          <w:szCs w:val="22"/>
        </w:rPr>
      </w:pPr>
      <w:r>
        <w:t>24A.</w:t>
      </w:r>
      <w:r>
        <w:tab/>
        <w:t>Application for FVRO</w:t>
      </w:r>
      <w:r>
        <w:tab/>
      </w:r>
      <w:r>
        <w:fldChar w:fldCharType="begin"/>
      </w:r>
      <w:r>
        <w:instrText xml:space="preserve"> PAGEREF _Toc100567251 \h </w:instrText>
      </w:r>
      <w:r>
        <w:fldChar w:fldCharType="separate"/>
      </w:r>
      <w:r>
        <w:t>56</w:t>
      </w:r>
      <w:r>
        <w:fldChar w:fldCharType="end"/>
      </w:r>
    </w:p>
    <w:p>
      <w:pPr>
        <w:pStyle w:val="TOC8"/>
        <w:rPr>
          <w:rFonts w:asciiTheme="minorHAnsi" w:eastAsiaTheme="minorEastAsia" w:hAnsiTheme="minorHAnsi" w:cstheme="minorBidi"/>
          <w:szCs w:val="22"/>
        </w:rPr>
      </w:pPr>
      <w:r>
        <w:t>25.</w:t>
      </w:r>
      <w:r>
        <w:tab/>
        <w:t>Application for VRO</w:t>
      </w:r>
      <w:r>
        <w:tab/>
      </w:r>
      <w:r>
        <w:fldChar w:fldCharType="begin"/>
      </w:r>
      <w:r>
        <w:instrText xml:space="preserve"> PAGEREF _Toc100567252 \h </w:instrText>
      </w:r>
      <w:r>
        <w:fldChar w:fldCharType="separate"/>
      </w:r>
      <w:r>
        <w:t>58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Applicant to choose whether to have hearing in absence of respondent</w:t>
      </w:r>
      <w:r>
        <w:tab/>
      </w:r>
      <w:r>
        <w:fldChar w:fldCharType="begin"/>
      </w:r>
      <w:r>
        <w:instrText xml:space="preserve"> PAGEREF _Toc100567253 \h </w:instrText>
      </w:r>
      <w:r>
        <w:fldChar w:fldCharType="separate"/>
      </w:r>
      <w:r>
        <w:t>59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Attendance at hearing in absence of respondent</w:t>
      </w:r>
      <w:r>
        <w:tab/>
      </w:r>
      <w:r>
        <w:fldChar w:fldCharType="begin"/>
      </w:r>
      <w:r>
        <w:instrText xml:space="preserve"> PAGEREF _Toc100567254 \h </w:instrText>
      </w:r>
      <w:r>
        <w:fldChar w:fldCharType="separate"/>
      </w:r>
      <w:r>
        <w:t>59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Affidavit evidence</w:t>
      </w:r>
      <w:r>
        <w:tab/>
      </w:r>
      <w:r>
        <w:fldChar w:fldCharType="begin"/>
      </w:r>
      <w:r>
        <w:instrText xml:space="preserve"> PAGEREF _Toc100567255 \h </w:instrText>
      </w:r>
      <w:r>
        <w:fldChar w:fldCharType="separate"/>
      </w:r>
      <w:r>
        <w:t>60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Order at hearing in absence of respondent</w:t>
      </w:r>
      <w:r>
        <w:tab/>
      </w:r>
      <w:r>
        <w:fldChar w:fldCharType="begin"/>
      </w:r>
      <w:r>
        <w:instrText xml:space="preserve"> PAGEREF _Toc100567256 \h </w:instrText>
      </w:r>
      <w:r>
        <w:fldChar w:fldCharType="separate"/>
      </w:r>
      <w:r>
        <w:t>60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to be prepared and served</w:t>
      </w:r>
      <w:r>
        <w:tab/>
      </w:r>
      <w:r>
        <w:fldChar w:fldCharType="begin"/>
      </w:r>
      <w:r>
        <w:instrText xml:space="preserve"> PAGEREF _Toc100567257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Police officers may make police orders where family violence</w:t>
      </w:r>
    </w:p>
    <w:p>
      <w:pPr>
        <w:pStyle w:val="TOC8"/>
        <w:rPr>
          <w:rFonts w:asciiTheme="minorHAnsi" w:eastAsiaTheme="minorEastAsia" w:hAnsiTheme="minorHAnsi" w:cstheme="minorBidi"/>
          <w:szCs w:val="22"/>
        </w:rPr>
      </w:pPr>
      <w:r>
        <w:t>30A.</w:t>
      </w:r>
      <w:r>
        <w:tab/>
        <w:t>When police order may be made</w:t>
      </w:r>
      <w:r>
        <w:tab/>
      </w:r>
      <w:r>
        <w:fldChar w:fldCharType="begin"/>
      </w:r>
      <w:r>
        <w:instrText xml:space="preserve"> PAGEREF _Toc100567259 \h </w:instrText>
      </w:r>
      <w:r>
        <w:fldChar w:fldCharType="separate"/>
      </w:r>
      <w:r>
        <w:t>61</w:t>
      </w:r>
      <w:r>
        <w:fldChar w:fldCharType="end"/>
      </w:r>
    </w:p>
    <w:p>
      <w:pPr>
        <w:pStyle w:val="TOC8"/>
        <w:rPr>
          <w:rFonts w:asciiTheme="minorHAnsi" w:eastAsiaTheme="minorEastAsia" w:hAnsiTheme="minorHAnsi" w:cstheme="minorBidi"/>
          <w:szCs w:val="22"/>
        </w:rPr>
      </w:pPr>
      <w:r>
        <w:t>30B.</w:t>
      </w:r>
      <w:r>
        <w:tab/>
        <w:t>Matters to be considered by police officer generally</w:t>
      </w:r>
      <w:r>
        <w:tab/>
      </w:r>
      <w:r>
        <w:fldChar w:fldCharType="begin"/>
      </w:r>
      <w:r>
        <w:instrText xml:space="preserve"> PAGEREF _Toc100567260 \h </w:instrText>
      </w:r>
      <w:r>
        <w:fldChar w:fldCharType="separate"/>
      </w:r>
      <w:r>
        <w:t>62</w:t>
      </w:r>
      <w:r>
        <w:fldChar w:fldCharType="end"/>
      </w:r>
    </w:p>
    <w:p>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_Toc100567261 \h </w:instrText>
      </w:r>
      <w:r>
        <w:fldChar w:fldCharType="separate"/>
      </w:r>
      <w:r>
        <w:t>63</w:t>
      </w:r>
      <w:r>
        <w:fldChar w:fldCharType="end"/>
      </w:r>
    </w:p>
    <w:p>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_Toc100567262 \h </w:instrText>
      </w:r>
      <w:r>
        <w:fldChar w:fldCharType="separate"/>
      </w:r>
      <w:r>
        <w:t>64</w:t>
      </w:r>
      <w:r>
        <w:fldChar w:fldCharType="end"/>
      </w:r>
    </w:p>
    <w:p>
      <w:pPr>
        <w:pStyle w:val="TOC8"/>
        <w:rPr>
          <w:rFonts w:asciiTheme="minorHAnsi" w:eastAsiaTheme="minorEastAsia" w:hAnsiTheme="minorHAnsi" w:cstheme="minorBidi"/>
          <w:szCs w:val="22"/>
        </w:rPr>
      </w:pPr>
      <w:r>
        <w:t>30E.</w:t>
      </w:r>
      <w:r>
        <w:tab/>
        <w:t>Police order to be served and explained</w:t>
      </w:r>
      <w:r>
        <w:tab/>
      </w:r>
      <w:r>
        <w:fldChar w:fldCharType="begin"/>
      </w:r>
      <w:r>
        <w:instrText xml:space="preserve"> PAGEREF _Toc100567263 \h </w:instrText>
      </w:r>
      <w:r>
        <w:fldChar w:fldCharType="separate"/>
      </w:r>
      <w:r>
        <w:t>64</w:t>
      </w:r>
      <w:r>
        <w:fldChar w:fldCharType="end"/>
      </w:r>
    </w:p>
    <w:p>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_Toc100567264 \h </w:instrText>
      </w:r>
      <w:r>
        <w:fldChar w:fldCharType="separate"/>
      </w:r>
      <w:r>
        <w:t>65</w:t>
      </w:r>
      <w:r>
        <w:fldChar w:fldCharType="end"/>
      </w:r>
    </w:p>
    <w:p>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_Toc100567265 \h </w:instrText>
      </w:r>
      <w:r>
        <w:fldChar w:fldCharType="separate"/>
      </w:r>
      <w:r>
        <w:t>65</w:t>
      </w:r>
      <w:r>
        <w:fldChar w:fldCharType="end"/>
      </w:r>
    </w:p>
    <w:p>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_Toc100567266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Procedure when interim order made</w:t>
      </w:r>
    </w:p>
    <w:p>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_Toc100567268 \h </w:instrText>
      </w:r>
      <w:r>
        <w:fldChar w:fldCharType="separate"/>
      </w:r>
      <w:r>
        <w:t>66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21 days for respondent to object</w:t>
      </w:r>
      <w:r>
        <w:tab/>
      </w:r>
      <w:r>
        <w:fldChar w:fldCharType="begin"/>
      </w:r>
      <w:r>
        <w:instrText xml:space="preserve"> PAGEREF _Toc100567269 \h </w:instrText>
      </w:r>
      <w:r>
        <w:fldChar w:fldCharType="separate"/>
      </w:r>
      <w:r>
        <w:t>66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Respondent does not object to final order being made</w:t>
      </w:r>
      <w:r>
        <w:tab/>
      </w:r>
      <w:r>
        <w:fldChar w:fldCharType="begin"/>
      </w:r>
      <w:r>
        <w:instrText xml:space="preserve"> PAGEREF _Toc100567270 \h </w:instrText>
      </w:r>
      <w:r>
        <w:fldChar w:fldCharType="separate"/>
      </w:r>
      <w:r>
        <w:t>67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Respondent objects to final order being made</w:t>
      </w:r>
      <w:r>
        <w:tab/>
      </w:r>
      <w:r>
        <w:fldChar w:fldCharType="begin"/>
      </w:r>
      <w:r>
        <w:instrText xml:space="preserve"> PAGEREF _Toc100567271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3 — Misconduct restraining order</w:t>
      </w:r>
    </w:p>
    <w:p>
      <w:pPr>
        <w:pStyle w:val="TOC8"/>
        <w:rPr>
          <w:rFonts w:asciiTheme="minorHAnsi" w:eastAsiaTheme="minorEastAsia" w:hAnsiTheme="minorHAnsi" w:cstheme="minorBidi"/>
          <w:szCs w:val="22"/>
        </w:rPr>
      </w:pPr>
      <w:r>
        <w:t>34</w:t>
      </w:r>
      <w:r>
        <w:rPr>
          <w:snapToGrid w:val="0"/>
        </w:rPr>
        <w:t>.</w:t>
      </w:r>
      <w:r>
        <w:rPr>
          <w:snapToGrid w:val="0"/>
        </w:rPr>
        <w:tab/>
        <w:t>Grounds for misconduct restraining order</w:t>
      </w:r>
      <w:r>
        <w:tab/>
      </w:r>
      <w:r>
        <w:fldChar w:fldCharType="begin"/>
      </w:r>
      <w:r>
        <w:instrText xml:space="preserve"> PAGEREF _Toc100567273 \h </w:instrText>
      </w:r>
      <w:r>
        <w:fldChar w:fldCharType="separate"/>
      </w:r>
      <w:r>
        <w:t>71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Matters to be considered by court generally</w:t>
      </w:r>
      <w:r>
        <w:tab/>
      </w:r>
      <w:r>
        <w:fldChar w:fldCharType="begin"/>
      </w:r>
      <w:r>
        <w:instrText xml:space="preserve"> PAGEREF _Toc100567274 \h </w:instrText>
      </w:r>
      <w:r>
        <w:fldChar w:fldCharType="separate"/>
      </w:r>
      <w:r>
        <w:t>71</w:t>
      </w:r>
      <w:r>
        <w:fldChar w:fldCharType="end"/>
      </w:r>
    </w:p>
    <w:p>
      <w:pPr>
        <w:pStyle w:val="TOC8"/>
        <w:rPr>
          <w:rFonts w:asciiTheme="minorHAnsi" w:eastAsiaTheme="minorEastAsia" w:hAnsiTheme="minorHAnsi" w:cstheme="minorBidi"/>
          <w:szCs w:val="22"/>
        </w:rPr>
      </w:pPr>
      <w:r>
        <w:t>35A.</w:t>
      </w:r>
      <w:r>
        <w:tab/>
        <w:t>MROs not for persons in family relationship</w:t>
      </w:r>
      <w:r>
        <w:tab/>
      </w:r>
      <w:r>
        <w:fldChar w:fldCharType="begin"/>
      </w:r>
      <w:r>
        <w:instrText xml:space="preserve"> PAGEREF _Toc100567275 \h </w:instrText>
      </w:r>
      <w:r>
        <w:fldChar w:fldCharType="separate"/>
      </w:r>
      <w:r>
        <w:t>73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Restraints on respondent</w:t>
      </w:r>
      <w:r>
        <w:tab/>
      </w:r>
      <w:r>
        <w:fldChar w:fldCharType="begin"/>
      </w:r>
      <w:r>
        <w:instrText xml:space="preserve"> PAGEREF _Toc100567276 \h </w:instrText>
      </w:r>
      <w:r>
        <w:fldChar w:fldCharType="separate"/>
      </w:r>
      <w:r>
        <w:t>73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MRO</w:t>
      </w:r>
      <w:r>
        <w:tab/>
      </w:r>
      <w:r>
        <w:fldChar w:fldCharType="begin"/>
      </w:r>
      <w:r>
        <w:instrText xml:space="preserve"> PAGEREF _Toc100567277 \h </w:instrText>
      </w:r>
      <w:r>
        <w:fldChar w:fldCharType="separate"/>
      </w:r>
      <w:r>
        <w:t>75</w:t>
      </w:r>
      <w:r>
        <w:fldChar w:fldCharType="end"/>
      </w:r>
    </w:p>
    <w:p>
      <w:pPr>
        <w:pStyle w:val="TOC8"/>
        <w:rPr>
          <w:rFonts w:asciiTheme="minorHAnsi" w:eastAsiaTheme="minorEastAsia" w:hAnsiTheme="minorHAnsi" w:cstheme="minorBidi"/>
          <w:szCs w:val="22"/>
        </w:rPr>
      </w:pPr>
      <w:r>
        <w:t>38.</w:t>
      </w:r>
      <w:r>
        <w:tab/>
        <w:t>Application for MRO</w:t>
      </w:r>
      <w:r>
        <w:tab/>
      </w:r>
      <w:r>
        <w:fldChar w:fldCharType="begin"/>
      </w:r>
      <w:r>
        <w:instrText xml:space="preserve"> PAGEREF _Toc100567278 \h </w:instrText>
      </w:r>
      <w:r>
        <w:fldChar w:fldCharType="separate"/>
      </w:r>
      <w:r>
        <w:t>75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_Toc100567279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4 — Hearings and evidence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Mention hearings</w:t>
      </w:r>
    </w:p>
    <w:p>
      <w:pPr>
        <w:pStyle w:val="TOC8"/>
        <w:rPr>
          <w:rFonts w:asciiTheme="minorHAnsi" w:eastAsiaTheme="minorEastAsia" w:hAnsiTheme="minorHAnsi" w:cstheme="minorBidi"/>
          <w:szCs w:val="22"/>
        </w:rPr>
      </w:pPr>
      <w:r>
        <w:t>40</w:t>
      </w:r>
      <w:r>
        <w:rPr>
          <w:snapToGrid w:val="0"/>
        </w:rPr>
        <w:t>.</w:t>
      </w:r>
      <w:r>
        <w:rPr>
          <w:snapToGrid w:val="0"/>
        </w:rPr>
        <w:tab/>
        <w:t>Attendance at hearing</w:t>
      </w:r>
      <w:r>
        <w:tab/>
      </w:r>
      <w:r>
        <w:fldChar w:fldCharType="begin"/>
      </w:r>
      <w:r>
        <w:instrText xml:space="preserve"> PAGEREF _Toc100567282 \h </w:instrText>
      </w:r>
      <w:r>
        <w:fldChar w:fldCharType="separate"/>
      </w:r>
      <w:r>
        <w:t>77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Consent order or final order hearing to be fixed</w:t>
      </w:r>
      <w:r>
        <w:tab/>
      </w:r>
      <w:r>
        <w:fldChar w:fldCharType="begin"/>
      </w:r>
      <w:r>
        <w:instrText xml:space="preserve"> PAGEREF _Toc100567283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Final order hearings</w:t>
      </w:r>
    </w:p>
    <w:p>
      <w:pPr>
        <w:pStyle w:val="TOC8"/>
        <w:rPr>
          <w:rFonts w:asciiTheme="minorHAnsi" w:eastAsiaTheme="minorEastAsia" w:hAnsiTheme="minorHAnsi" w:cstheme="minorBidi"/>
          <w:szCs w:val="22"/>
        </w:rPr>
      </w:pPr>
      <w:r>
        <w:t>42</w:t>
      </w:r>
      <w:r>
        <w:rPr>
          <w:snapToGrid w:val="0"/>
        </w:rPr>
        <w:t>.</w:t>
      </w:r>
      <w:r>
        <w:rPr>
          <w:snapToGrid w:val="0"/>
        </w:rPr>
        <w:tab/>
        <w:t>Attendance at final order hearing</w:t>
      </w:r>
      <w:r>
        <w:tab/>
      </w:r>
      <w:r>
        <w:fldChar w:fldCharType="begin"/>
      </w:r>
      <w:r>
        <w:instrText xml:space="preserve"> PAGEREF _Toc100567285 \h </w:instrText>
      </w:r>
      <w:r>
        <w:fldChar w:fldCharType="separate"/>
      </w:r>
      <w:r>
        <w:t>78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Making final order</w:t>
      </w:r>
      <w:r>
        <w:tab/>
      </w:r>
      <w:r>
        <w:fldChar w:fldCharType="begin"/>
      </w:r>
      <w:r>
        <w:instrText xml:space="preserve"> PAGEREF _Toc100567286 \h </w:instrText>
      </w:r>
      <w:r>
        <w:fldChar w:fldCharType="separate"/>
      </w:r>
      <w:r>
        <w:t>79</w:t>
      </w:r>
      <w:r>
        <w:fldChar w:fldCharType="end"/>
      </w:r>
    </w:p>
    <w:p>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_Toc100567287 \h </w:instrText>
      </w:r>
      <w:r>
        <w:fldChar w:fldCharType="separate"/>
      </w:r>
      <w:r>
        <w:t>80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prepared and served</w:t>
      </w:r>
      <w:r>
        <w:tab/>
      </w:r>
      <w:r>
        <w:fldChar w:fldCharType="begin"/>
      </w:r>
      <w:r>
        <w:instrText xml:space="preserve"> PAGEREF _Toc100567288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Evidence</w:t>
      </w:r>
    </w:p>
    <w:p>
      <w:pPr>
        <w:pStyle w:val="TOC8"/>
        <w:rPr>
          <w:rFonts w:asciiTheme="minorHAnsi" w:eastAsiaTheme="minorEastAsia" w:hAnsiTheme="minorHAnsi" w:cstheme="minorBidi"/>
          <w:szCs w:val="22"/>
        </w:rPr>
      </w:pPr>
      <w:r>
        <w:t>44A.</w:t>
      </w:r>
      <w:r>
        <w:tab/>
        <w:t>Rules of evidence not to apply in certain circumstances</w:t>
      </w:r>
      <w:r>
        <w:tab/>
      </w:r>
      <w:r>
        <w:fldChar w:fldCharType="begin"/>
      </w:r>
      <w:r>
        <w:instrText xml:space="preserve"> PAGEREF _Toc100567290 \h </w:instrText>
      </w:r>
      <w:r>
        <w:fldChar w:fldCharType="separate"/>
      </w:r>
      <w:r>
        <w:t>83</w:t>
      </w:r>
      <w:r>
        <w:fldChar w:fldCharType="end"/>
      </w:r>
    </w:p>
    <w:p>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_Toc100567291 \h </w:instrText>
      </w:r>
      <w:r>
        <w:fldChar w:fldCharType="separate"/>
      </w:r>
      <w:r>
        <w:t>84</w:t>
      </w:r>
      <w:r>
        <w:fldChar w:fldCharType="end"/>
      </w:r>
    </w:p>
    <w:p>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_Toc100567292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Other provisions to protect applicants</w:t>
      </w:r>
    </w:p>
    <w:p>
      <w:pPr>
        <w:pStyle w:val="TOC8"/>
        <w:rPr>
          <w:rFonts w:asciiTheme="minorHAnsi" w:eastAsiaTheme="minorEastAsia" w:hAnsiTheme="minorHAnsi" w:cstheme="minorBidi"/>
          <w:szCs w:val="22"/>
        </w:rPr>
      </w:pPr>
      <w:r>
        <w:t>44D.</w:t>
      </w:r>
      <w:r>
        <w:tab/>
        <w:t>Support and other persons who may be present</w:t>
      </w:r>
      <w:r>
        <w:tab/>
      </w:r>
      <w:r>
        <w:fldChar w:fldCharType="begin"/>
      </w:r>
      <w:r>
        <w:instrText xml:space="preserve"> PAGEREF _Toc100567294 \h </w:instrText>
      </w:r>
      <w:r>
        <w:fldChar w:fldCharType="separate"/>
      </w:r>
      <w:r>
        <w:t>85</w:t>
      </w:r>
      <w:r>
        <w:fldChar w:fldCharType="end"/>
      </w:r>
    </w:p>
    <w:p>
      <w:pPr>
        <w:pStyle w:val="TOC8"/>
        <w:rPr>
          <w:rFonts w:asciiTheme="minorHAnsi" w:eastAsiaTheme="minorEastAsia" w:hAnsiTheme="minorHAnsi" w:cstheme="minorBidi"/>
          <w:szCs w:val="22"/>
        </w:rPr>
      </w:pPr>
      <w:r>
        <w:t>44E.</w:t>
      </w:r>
      <w:r>
        <w:tab/>
        <w:t>Use of closed circuit television or screening arrangements</w:t>
      </w:r>
      <w:r>
        <w:tab/>
      </w:r>
      <w:r>
        <w:fldChar w:fldCharType="begin"/>
      </w:r>
      <w:r>
        <w:instrText xml:space="preserve"> PAGEREF _Toc100567295 \h </w:instrText>
      </w:r>
      <w:r>
        <w:fldChar w:fldCharType="separate"/>
      </w:r>
      <w:r>
        <w:t>85</w:t>
      </w:r>
      <w:r>
        <w:fldChar w:fldCharType="end"/>
      </w:r>
    </w:p>
    <w:p>
      <w:pPr>
        <w:pStyle w:val="TOC8"/>
        <w:rPr>
          <w:rFonts w:asciiTheme="minorHAnsi" w:eastAsiaTheme="minorEastAsia" w:hAnsiTheme="minorHAnsi" w:cstheme="minorBidi"/>
          <w:szCs w:val="22"/>
        </w:rPr>
      </w:pPr>
      <w:r>
        <w:t>44F.</w:t>
      </w:r>
      <w:r>
        <w:tab/>
        <w:t>Additional provisions relating to FVROs</w:t>
      </w:r>
      <w:r>
        <w:tab/>
      </w:r>
      <w:r>
        <w:fldChar w:fldCharType="begin"/>
      </w:r>
      <w:r>
        <w:instrText xml:space="preserve"> PAGEREF _Toc100567296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5 — Variation or cancellation</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_Toc100567298 \h </w:instrText>
      </w:r>
      <w:r>
        <w:fldChar w:fldCharType="separate"/>
      </w:r>
      <w:r>
        <w:t>88</w:t>
      </w:r>
      <w:r>
        <w:fldChar w:fldCharType="end"/>
      </w:r>
    </w:p>
    <w:p>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_Toc100567299 \h </w:instrText>
      </w:r>
      <w:r>
        <w:fldChar w:fldCharType="separate"/>
      </w:r>
      <w:r>
        <w:t>90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Leave hearing</w:t>
      </w:r>
      <w:r>
        <w:tab/>
      </w:r>
      <w:r>
        <w:fldChar w:fldCharType="begin"/>
      </w:r>
      <w:r>
        <w:instrText xml:space="preserve"> PAGEREF _Toc100567300 \h </w:instrText>
      </w:r>
      <w:r>
        <w:fldChar w:fldCharType="separate"/>
      </w:r>
      <w:r>
        <w:t>90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_Toc100567301 \h </w:instrText>
      </w:r>
      <w:r>
        <w:fldChar w:fldCharType="separate"/>
      </w:r>
      <w:r>
        <w:t>91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Attendance at hearing</w:t>
      </w:r>
      <w:r>
        <w:tab/>
      </w:r>
      <w:r>
        <w:fldChar w:fldCharType="begin"/>
      </w:r>
      <w:r>
        <w:instrText xml:space="preserve"> PAGEREF _Toc100567302 \h </w:instrText>
      </w:r>
      <w:r>
        <w:fldChar w:fldCharType="separate"/>
      </w:r>
      <w:r>
        <w:t>92</w:t>
      </w:r>
      <w:r>
        <w:fldChar w:fldCharType="end"/>
      </w:r>
    </w:p>
    <w:p>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_Toc100567303 \h </w:instrText>
      </w:r>
      <w:r>
        <w:fldChar w:fldCharType="separate"/>
      </w:r>
      <w:r>
        <w:t>93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Variation or cancellation</w:t>
      </w:r>
      <w:r>
        <w:tab/>
      </w:r>
      <w:r>
        <w:fldChar w:fldCharType="begin"/>
      </w:r>
      <w:r>
        <w:instrText xml:space="preserve"> PAGEREF _Toc100567304 \h </w:instrText>
      </w:r>
      <w:r>
        <w:fldChar w:fldCharType="separate"/>
      </w:r>
      <w:r>
        <w:t>94</w:t>
      </w:r>
      <w:r>
        <w:fldChar w:fldCharType="end"/>
      </w:r>
    </w:p>
    <w:p>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_Toc100567305 \h </w:instrText>
      </w:r>
      <w:r>
        <w:fldChar w:fldCharType="separate"/>
      </w:r>
      <w:r>
        <w:t>95</w:t>
      </w:r>
      <w:r>
        <w:fldChar w:fldCharType="end"/>
      </w:r>
    </w:p>
    <w:p>
      <w:pPr>
        <w:pStyle w:val="TOC8"/>
        <w:rPr>
          <w:rFonts w:asciiTheme="minorHAnsi" w:eastAsiaTheme="minorEastAsia" w:hAnsiTheme="minorHAnsi" w:cstheme="minorBidi"/>
          <w:szCs w:val="22"/>
        </w:rPr>
      </w:pPr>
      <w:r>
        <w:t>49B.</w:t>
      </w:r>
      <w:r>
        <w:tab/>
        <w:t>Matters to be considered by court generally</w:t>
      </w:r>
      <w:r>
        <w:tab/>
      </w:r>
      <w:r>
        <w:fldChar w:fldCharType="begin"/>
      </w:r>
      <w:r>
        <w:instrText xml:space="preserve"> PAGEREF _Toc100567306 \h </w:instrText>
      </w:r>
      <w:r>
        <w:fldChar w:fldCharType="separate"/>
      </w:r>
      <w:r>
        <w:t>95</w:t>
      </w:r>
      <w:r>
        <w:fldChar w:fldCharType="end"/>
      </w:r>
    </w:p>
    <w:p>
      <w:pPr>
        <w:pStyle w:val="TOC8"/>
        <w:rPr>
          <w:rFonts w:asciiTheme="minorHAnsi" w:eastAsiaTheme="minorEastAsia" w:hAnsiTheme="minorHAnsi" w:cstheme="minorBidi"/>
          <w:szCs w:val="22"/>
        </w:rPr>
      </w:pPr>
      <w:r>
        <w:t>49C.</w:t>
      </w:r>
      <w:r>
        <w:tab/>
        <w:t>Variation of application to allow a different order to be sought</w:t>
      </w:r>
      <w:r>
        <w:tab/>
      </w:r>
      <w:r>
        <w:fldChar w:fldCharType="begin"/>
      </w:r>
      <w:r>
        <w:instrText xml:space="preserve"> PAGEREF _Toc100567307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5A — Conferences</w:t>
      </w:r>
    </w:p>
    <w:p>
      <w:pPr>
        <w:pStyle w:val="TOC8"/>
        <w:rPr>
          <w:rFonts w:asciiTheme="minorHAnsi" w:eastAsiaTheme="minorEastAsia" w:hAnsiTheme="minorHAnsi" w:cstheme="minorBidi"/>
          <w:szCs w:val="22"/>
        </w:rPr>
      </w:pPr>
      <w:r>
        <w:t>49D.</w:t>
      </w:r>
      <w:r>
        <w:tab/>
        <w:t>Special conference procedures</w:t>
      </w:r>
      <w:r>
        <w:tab/>
      </w:r>
      <w:r>
        <w:fldChar w:fldCharType="begin"/>
      </w:r>
      <w:r>
        <w:instrText xml:space="preserve"> PAGEREF _Toc100567309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4"/>
        <w:tabs>
          <w:tab w:val="right" w:leader="dot" w:pos="7077"/>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50</w:t>
      </w:r>
      <w:r>
        <w:rPr>
          <w:snapToGrid w:val="0"/>
        </w:rPr>
        <w:t>.</w:t>
      </w:r>
      <w:r>
        <w:rPr>
          <w:snapToGrid w:val="0"/>
        </w:rPr>
        <w:tab/>
        <w:t>No restraining orders against children under 10</w:t>
      </w:r>
      <w:r>
        <w:tab/>
      </w:r>
      <w:r>
        <w:fldChar w:fldCharType="begin"/>
      </w:r>
      <w:r>
        <w:instrText xml:space="preserve"> PAGEREF _Toc100567312 \h </w:instrText>
      </w:r>
      <w:r>
        <w:fldChar w:fldCharType="separate"/>
      </w:r>
      <w:r>
        <w:t>100</w:t>
      </w:r>
      <w:r>
        <w:fldChar w:fldCharType="end"/>
      </w:r>
    </w:p>
    <w:p>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_Toc100567313 \h </w:instrText>
      </w:r>
      <w:r>
        <w:fldChar w:fldCharType="separate"/>
      </w:r>
      <w:r>
        <w:t>100</w:t>
      </w:r>
      <w:r>
        <w:fldChar w:fldCharType="end"/>
      </w:r>
    </w:p>
    <w:p>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_Toc100567314 \h </w:instrText>
      </w:r>
      <w:r>
        <w:fldChar w:fldCharType="separate"/>
      </w:r>
      <w:r>
        <w:t>100</w:t>
      </w:r>
      <w:r>
        <w:fldChar w:fldCharType="end"/>
      </w:r>
    </w:p>
    <w:p>
      <w:pPr>
        <w:pStyle w:val="TOC8"/>
        <w:rPr>
          <w:rFonts w:asciiTheme="minorHAnsi" w:eastAsiaTheme="minorEastAsia" w:hAnsiTheme="minorHAnsi" w:cstheme="minorBidi"/>
          <w:szCs w:val="22"/>
        </w:rPr>
      </w:pPr>
      <w:r>
        <w:t>50C.</w:t>
      </w:r>
      <w:r>
        <w:tab/>
        <w:t>CEO (child welfare) to be notified before certain FVROs or VROs are made</w:t>
      </w:r>
      <w:r>
        <w:tab/>
      </w:r>
      <w:r>
        <w:fldChar w:fldCharType="begin"/>
      </w:r>
      <w:r>
        <w:instrText xml:space="preserve"> PAGEREF _Toc100567315 \h </w:instrText>
      </w:r>
      <w:r>
        <w:fldChar w:fldCharType="separate"/>
      </w:r>
      <w:r>
        <w:t>101</w:t>
      </w:r>
      <w:r>
        <w:fldChar w:fldCharType="end"/>
      </w:r>
    </w:p>
    <w:p>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_Toc100567316 \h </w:instrText>
      </w:r>
      <w:r>
        <w:fldChar w:fldCharType="separate"/>
      </w:r>
      <w:r>
        <w:t>102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attend</w:t>
      </w:r>
      <w:r>
        <w:tab/>
      </w:r>
      <w:r>
        <w:fldChar w:fldCharType="begin"/>
      </w:r>
      <w:r>
        <w:instrText xml:space="preserve"> PAGEREF _Toc100567317 \h </w:instrText>
      </w:r>
      <w:r>
        <w:fldChar w:fldCharType="separate"/>
      </w:r>
      <w:r>
        <w:t>102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between courts</w:t>
      </w:r>
      <w:r>
        <w:tab/>
      </w:r>
      <w:r>
        <w:fldChar w:fldCharType="begin"/>
      </w:r>
      <w:r>
        <w:instrText xml:space="preserve"> PAGEREF _Toc100567318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53</w:t>
      </w:r>
      <w:r>
        <w:rPr>
          <w:snapToGrid w:val="0"/>
        </w:rPr>
        <w:t>.</w:t>
      </w:r>
      <w:r>
        <w:rPr>
          <w:snapToGrid w:val="0"/>
        </w:rPr>
        <w:tab/>
        <w:t>Telephone order made against child</w:t>
      </w:r>
      <w:r>
        <w:tab/>
      </w:r>
      <w:r>
        <w:fldChar w:fldCharType="begin"/>
      </w:r>
      <w:r>
        <w:instrText xml:space="preserve"> PAGEREF _Toc100567319 \h </w:instrText>
      </w:r>
      <w:r>
        <w:fldChar w:fldCharType="separate"/>
      </w:r>
      <w:r>
        <w:t>103</w:t>
      </w:r>
      <w:r>
        <w:fldChar w:fldCharType="end"/>
      </w:r>
    </w:p>
    <w:p>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_Toc100567320 \h </w:instrText>
      </w:r>
      <w:r>
        <w:fldChar w:fldCharType="separate"/>
      </w:r>
      <w:r>
        <w:t>104</w:t>
      </w:r>
      <w:r>
        <w:fldChar w:fldCharType="end"/>
      </w:r>
    </w:p>
    <w:p>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_Toc100567321 \h </w:instrText>
      </w:r>
      <w:r>
        <w:fldChar w:fldCharType="separate"/>
      </w:r>
      <w:r>
        <w:t>104</w:t>
      </w:r>
      <w:r>
        <w:fldChar w:fldCharType="end"/>
      </w:r>
    </w:p>
    <w:p>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_Toc100567322 \h </w:instrText>
      </w:r>
      <w:r>
        <w:fldChar w:fldCharType="separate"/>
      </w:r>
      <w:r>
        <w:t>105</w:t>
      </w:r>
      <w:r>
        <w:fldChar w:fldCharType="end"/>
      </w:r>
    </w:p>
    <w:p>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_Toc100567323 \h </w:instrText>
      </w:r>
      <w:r>
        <w:fldChar w:fldCharType="separate"/>
      </w:r>
      <w:r>
        <w:t>105</w:t>
      </w:r>
      <w:r>
        <w:fldChar w:fldCharType="end"/>
      </w:r>
    </w:p>
    <w:p>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_Toc100567324 \h </w:instrText>
      </w:r>
      <w:r>
        <w:fldChar w:fldCharType="separate"/>
      </w:r>
      <w:r>
        <w:t>105</w:t>
      </w:r>
      <w:r>
        <w:fldChar w:fldCharType="end"/>
      </w:r>
    </w:p>
    <w:p>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_Toc100567325 \h </w:instrText>
      </w:r>
      <w:r>
        <w:fldChar w:fldCharType="separate"/>
      </w:r>
      <w:r>
        <w:t>106</w:t>
      </w:r>
      <w:r>
        <w:fldChar w:fldCharType="end"/>
      </w:r>
    </w:p>
    <w:p>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_Toc100567326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Service</w:t>
      </w:r>
    </w:p>
    <w:p>
      <w:pPr>
        <w:pStyle w:val="TOC8"/>
        <w:rPr>
          <w:rFonts w:asciiTheme="minorHAnsi" w:eastAsiaTheme="minorEastAsia" w:hAnsiTheme="minorHAnsi" w:cstheme="minorBidi"/>
          <w:szCs w:val="22"/>
        </w:rPr>
      </w:pPr>
      <w:r>
        <w:t>54</w:t>
      </w:r>
      <w:r>
        <w:rPr>
          <w:snapToGrid w:val="0"/>
        </w:rPr>
        <w:t>.</w:t>
      </w:r>
      <w:r>
        <w:rPr>
          <w:snapToGrid w:val="0"/>
        </w:rPr>
        <w:tab/>
        <w:t>Service of summons</w:t>
      </w:r>
      <w:r>
        <w:tab/>
      </w:r>
      <w:r>
        <w:fldChar w:fldCharType="begin"/>
      </w:r>
      <w:r>
        <w:instrText xml:space="preserve"> PAGEREF _Toc100567328 \h </w:instrText>
      </w:r>
      <w:r>
        <w:fldChar w:fldCharType="separate"/>
      </w:r>
      <w:r>
        <w:t>107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Service of restraining order</w:t>
      </w:r>
      <w:r>
        <w:tab/>
      </w:r>
      <w:r>
        <w:fldChar w:fldCharType="begin"/>
      </w:r>
      <w:r>
        <w:instrText xml:space="preserve"> PAGEREF _Toc100567329 \h </w:instrText>
      </w:r>
      <w:r>
        <w:fldChar w:fldCharType="separate"/>
      </w:r>
      <w:r>
        <w:t>107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Delivery or notification</w:t>
      </w:r>
      <w:r>
        <w:tab/>
      </w:r>
      <w:r>
        <w:fldChar w:fldCharType="begin"/>
      </w:r>
      <w:r>
        <w:instrText xml:space="preserve"> PAGEREF _Toc100567330 \h </w:instrText>
      </w:r>
      <w:r>
        <w:fldChar w:fldCharType="separate"/>
      </w:r>
      <w:r>
        <w:t>109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Copy of document sufficient for service</w:t>
      </w:r>
      <w:r>
        <w:tab/>
      </w:r>
      <w:r>
        <w:fldChar w:fldCharType="begin"/>
      </w:r>
      <w:r>
        <w:instrText xml:space="preserve"> PAGEREF _Toc100567331 \h </w:instrText>
      </w:r>
      <w:r>
        <w:fldChar w:fldCharType="separate"/>
      </w:r>
      <w:r>
        <w:t>109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Proof of service</w:t>
      </w:r>
      <w:r>
        <w:tab/>
      </w:r>
      <w:r>
        <w:fldChar w:fldCharType="begin"/>
      </w:r>
      <w:r>
        <w:instrText xml:space="preserve"> PAGEREF _Toc100567332 \h </w:instrText>
      </w:r>
      <w:r>
        <w:fldChar w:fldCharType="separate"/>
      </w:r>
      <w:r>
        <w:t>110</w:t>
      </w:r>
      <w:r>
        <w:fldChar w:fldCharType="end"/>
      </w:r>
    </w:p>
    <w:p>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_Toc100567333 \h </w:instrText>
      </w:r>
      <w:r>
        <w:fldChar w:fldCharType="separate"/>
      </w:r>
      <w:r>
        <w:t>111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Substituted service</w:t>
      </w:r>
      <w:r>
        <w:tab/>
      </w:r>
      <w:r>
        <w:fldChar w:fldCharType="begin"/>
      </w:r>
      <w:r>
        <w:instrText xml:space="preserve"> PAGEREF _Toc100567334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Breach of restraining order or police order</w:t>
      </w:r>
    </w:p>
    <w:p>
      <w:pPr>
        <w:pStyle w:val="TOC8"/>
        <w:rPr>
          <w:rFonts w:asciiTheme="minorHAnsi" w:eastAsiaTheme="minorEastAsia" w:hAnsiTheme="minorHAnsi" w:cstheme="minorBidi"/>
          <w:szCs w:val="22"/>
        </w:rPr>
      </w:pPr>
      <w:r>
        <w:t>61</w:t>
      </w:r>
      <w:r>
        <w:rPr>
          <w:snapToGrid w:val="0"/>
        </w:rPr>
        <w:t>.</w:t>
      </w:r>
      <w:r>
        <w:rPr>
          <w:snapToGrid w:val="0"/>
        </w:rPr>
        <w:tab/>
        <w:t>Breach of restraining order</w:t>
      </w:r>
      <w:r>
        <w:tab/>
      </w:r>
      <w:r>
        <w:fldChar w:fldCharType="begin"/>
      </w:r>
      <w:r>
        <w:instrText xml:space="preserve"> PAGEREF _Toc100567336 \h </w:instrText>
      </w:r>
      <w:r>
        <w:fldChar w:fldCharType="separate"/>
      </w:r>
      <w:r>
        <w:t>113</w:t>
      </w:r>
      <w:r>
        <w:fldChar w:fldCharType="end"/>
      </w:r>
    </w:p>
    <w:p>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_Toc100567337 \h </w:instrText>
      </w:r>
      <w:r>
        <w:fldChar w:fldCharType="separate"/>
      </w:r>
      <w:r>
        <w:t>114</w:t>
      </w:r>
      <w:r>
        <w:fldChar w:fldCharType="end"/>
      </w:r>
    </w:p>
    <w:p>
      <w:pPr>
        <w:pStyle w:val="TOC8"/>
        <w:rPr>
          <w:rFonts w:asciiTheme="minorHAnsi" w:eastAsiaTheme="minorEastAsia" w:hAnsiTheme="minorHAnsi" w:cstheme="minorBidi"/>
          <w:szCs w:val="22"/>
        </w:rPr>
      </w:pPr>
      <w:r>
        <w:t>61B.</w:t>
      </w:r>
      <w:r>
        <w:tab/>
        <w:t>Protected person aiding breach of restraining order or police order</w:t>
      </w:r>
      <w:r>
        <w:tab/>
      </w:r>
      <w:r>
        <w:fldChar w:fldCharType="begin"/>
      </w:r>
      <w:r>
        <w:instrText xml:space="preserve"> PAGEREF _Toc100567338 \h </w:instrText>
      </w:r>
      <w:r>
        <w:fldChar w:fldCharType="separate"/>
      </w:r>
      <w:r>
        <w:t>116</w:t>
      </w:r>
      <w:r>
        <w:fldChar w:fldCharType="end"/>
      </w:r>
    </w:p>
    <w:p>
      <w:pPr>
        <w:pStyle w:val="TOC8"/>
        <w:rPr>
          <w:rFonts w:asciiTheme="minorHAnsi" w:eastAsiaTheme="minorEastAsia" w:hAnsiTheme="minorHAnsi" w:cstheme="minorBidi"/>
          <w:szCs w:val="22"/>
        </w:rPr>
      </w:pPr>
      <w:r>
        <w:t>61C.</w:t>
      </w:r>
      <w:r>
        <w:tab/>
        <w:t>Report under s. 10V to be considered in sentencing for breach of FVRO</w:t>
      </w:r>
      <w:r>
        <w:tab/>
      </w:r>
      <w:r>
        <w:fldChar w:fldCharType="begin"/>
      </w:r>
      <w:r>
        <w:instrText xml:space="preserve"> PAGEREF _Toc100567339 \h </w:instrText>
      </w:r>
      <w:r>
        <w:fldChar w:fldCharType="separate"/>
      </w:r>
      <w:r>
        <w:t>117</w:t>
      </w:r>
      <w:r>
        <w:fldChar w:fldCharType="end"/>
      </w:r>
    </w:p>
    <w:p>
      <w:pPr>
        <w:pStyle w:val="TOC8"/>
        <w:rPr>
          <w:rFonts w:asciiTheme="minorHAnsi" w:eastAsiaTheme="minorEastAsia" w:hAnsiTheme="minorHAnsi" w:cstheme="minorBidi"/>
          <w:szCs w:val="22"/>
        </w:rPr>
      </w:pPr>
      <w:r>
        <w:t>62.</w:t>
      </w:r>
      <w:r>
        <w:tab/>
        <w:t>Defence</w:t>
      </w:r>
      <w:r>
        <w:tab/>
      </w:r>
      <w:r>
        <w:fldChar w:fldCharType="begin"/>
      </w:r>
      <w:r>
        <w:instrText xml:space="preserve"> PAGEREF _Toc100567340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3A — Police functions</w:t>
      </w:r>
    </w:p>
    <w:p>
      <w:pPr>
        <w:pStyle w:val="TOC8"/>
        <w:rPr>
          <w:rFonts w:asciiTheme="minorHAnsi" w:eastAsiaTheme="minorEastAsia" w:hAnsiTheme="minorHAnsi" w:cstheme="minorBidi"/>
          <w:szCs w:val="22"/>
        </w:rPr>
      </w:pPr>
      <w:r>
        <w:t>62A.</w:t>
      </w:r>
      <w:r>
        <w:tab/>
        <w:t>Investigation of suspected family violence</w:t>
      </w:r>
      <w:r>
        <w:tab/>
      </w:r>
      <w:r>
        <w:fldChar w:fldCharType="begin"/>
      </w:r>
      <w:r>
        <w:instrText xml:space="preserve"> PAGEREF _Toc100567342 \h </w:instrText>
      </w:r>
      <w:r>
        <w:fldChar w:fldCharType="separate"/>
      </w:r>
      <w:r>
        <w:t>118</w:t>
      </w:r>
      <w:r>
        <w:fldChar w:fldCharType="end"/>
      </w:r>
    </w:p>
    <w:p>
      <w:pPr>
        <w:pStyle w:val="TOC8"/>
        <w:rPr>
          <w:rFonts w:asciiTheme="minorHAnsi" w:eastAsiaTheme="minorEastAsia" w:hAnsiTheme="minorHAnsi" w:cstheme="minorBidi"/>
          <w:szCs w:val="22"/>
        </w:rPr>
      </w:pPr>
      <w:r>
        <w:t>62B.</w:t>
      </w:r>
      <w:r>
        <w:tab/>
        <w:t>Entry and search of premises if family violence suspected</w:t>
      </w:r>
      <w:r>
        <w:tab/>
      </w:r>
      <w:r>
        <w:fldChar w:fldCharType="begin"/>
      </w:r>
      <w:r>
        <w:instrText xml:space="preserve"> PAGEREF _Toc100567343 \h </w:instrText>
      </w:r>
      <w:r>
        <w:fldChar w:fldCharType="separate"/>
      </w:r>
      <w:r>
        <w:t>119</w:t>
      </w:r>
      <w:r>
        <w:fldChar w:fldCharType="end"/>
      </w:r>
    </w:p>
    <w:p>
      <w:pPr>
        <w:pStyle w:val="TOC8"/>
        <w:rPr>
          <w:rFonts w:asciiTheme="minorHAnsi" w:eastAsiaTheme="minorEastAsia" w:hAnsiTheme="minorHAnsi" w:cstheme="minorBidi"/>
          <w:szCs w:val="22"/>
        </w:rPr>
      </w:pPr>
      <w:r>
        <w:t>62C.</w:t>
      </w:r>
      <w:r>
        <w:tab/>
        <w:t>Action to be taken by police officer after investigating suspected family violence</w:t>
      </w:r>
      <w:r>
        <w:tab/>
      </w:r>
      <w:r>
        <w:fldChar w:fldCharType="begin"/>
      </w:r>
      <w:r>
        <w:instrText xml:space="preserve"> PAGEREF _Toc100567344 \h </w:instrText>
      </w:r>
      <w:r>
        <w:fldChar w:fldCharType="separate"/>
      </w:r>
      <w:r>
        <w:t>120</w:t>
      </w:r>
      <w:r>
        <w:fldChar w:fldCharType="end"/>
      </w:r>
    </w:p>
    <w:p>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_Toc100567345 \h </w:instrText>
      </w:r>
      <w:r>
        <w:fldChar w:fldCharType="separate"/>
      </w:r>
      <w:r>
        <w:t>121</w:t>
      </w:r>
      <w:r>
        <w:fldChar w:fldCharType="end"/>
      </w:r>
    </w:p>
    <w:p>
      <w:pPr>
        <w:pStyle w:val="TOC8"/>
        <w:rPr>
          <w:rFonts w:asciiTheme="minorHAnsi" w:eastAsiaTheme="minorEastAsia" w:hAnsiTheme="minorHAnsi" w:cstheme="minorBidi"/>
          <w:szCs w:val="22"/>
        </w:rPr>
      </w:pPr>
      <w:r>
        <w:t>62E.</w:t>
      </w:r>
      <w:r>
        <w:tab/>
        <w:t>Seizure of firearms and explosives</w:t>
      </w:r>
      <w:r>
        <w:tab/>
      </w:r>
      <w:r>
        <w:fldChar w:fldCharType="begin"/>
      </w:r>
      <w:r>
        <w:instrText xml:space="preserve"> PAGEREF _Toc100567346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62F.</w:t>
      </w:r>
      <w:r>
        <w:tab/>
        <w:t>Detention of respondent during telephone hearing or while police order is being made</w:t>
      </w:r>
      <w:r>
        <w:tab/>
      </w:r>
      <w:r>
        <w:fldChar w:fldCharType="begin"/>
      </w:r>
      <w:r>
        <w:instrText xml:space="preserve"> PAGEREF _Toc100567347 \h </w:instrText>
      </w:r>
      <w:r>
        <w:fldChar w:fldCharType="separate"/>
      </w:r>
      <w:r>
        <w:t>123</w:t>
      </w:r>
      <w:r>
        <w:fldChar w:fldCharType="end"/>
      </w:r>
    </w:p>
    <w:p>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_Toc100567348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63</w:t>
      </w:r>
      <w:r>
        <w:rPr>
          <w:snapToGrid w:val="0"/>
        </w:rPr>
        <w:t>.</w:t>
      </w:r>
      <w:r>
        <w:rPr>
          <w:snapToGrid w:val="0"/>
        </w:rPr>
        <w:tab/>
        <w:t>Making restraining orders during other proceedings</w:t>
      </w:r>
      <w:r>
        <w:tab/>
      </w:r>
      <w:r>
        <w:fldChar w:fldCharType="begin"/>
      </w:r>
      <w:r>
        <w:instrText xml:space="preserve"> PAGEREF _Toc100567350 \h </w:instrText>
      </w:r>
      <w:r>
        <w:fldChar w:fldCharType="separate"/>
      </w:r>
      <w:r>
        <w:t>125</w:t>
      </w:r>
      <w:r>
        <w:fldChar w:fldCharType="end"/>
      </w:r>
    </w:p>
    <w:p>
      <w:pPr>
        <w:pStyle w:val="TOC8"/>
        <w:rPr>
          <w:rFonts w:asciiTheme="minorHAnsi" w:eastAsiaTheme="minorEastAsia" w:hAnsiTheme="minorHAnsi" w:cstheme="minorBidi"/>
          <w:szCs w:val="22"/>
        </w:rPr>
      </w:pPr>
      <w:r>
        <w:t>63A.</w:t>
      </w:r>
      <w:r>
        <w:tab/>
        <w:t>FVRO or VRO made if certain violent personal offences committed</w:t>
      </w:r>
      <w:r>
        <w:tab/>
      </w:r>
      <w:r>
        <w:fldChar w:fldCharType="begin"/>
      </w:r>
      <w:r>
        <w:instrText xml:space="preserve"> PAGEREF _Toc100567351 \h </w:instrText>
      </w:r>
      <w:r>
        <w:fldChar w:fldCharType="separate"/>
      </w:r>
      <w:r>
        <w:t>129</w:t>
      </w:r>
      <w:r>
        <w:fldChar w:fldCharType="end"/>
      </w:r>
    </w:p>
    <w:p>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_Toc100567352 \h </w:instrText>
      </w:r>
      <w:r>
        <w:fldChar w:fldCharType="separate"/>
      </w:r>
      <w:r>
        <w:t>130</w:t>
      </w:r>
      <w:r>
        <w:fldChar w:fldCharType="end"/>
      </w:r>
    </w:p>
    <w:p>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_Toc100567353 \h </w:instrText>
      </w:r>
      <w:r>
        <w:fldChar w:fldCharType="separate"/>
      </w:r>
      <w:r>
        <w:t>131</w:t>
      </w:r>
      <w:r>
        <w:fldChar w:fldCharType="end"/>
      </w:r>
    </w:p>
    <w:p>
      <w:pPr>
        <w:pStyle w:val="TOC8"/>
        <w:rPr>
          <w:rFonts w:asciiTheme="minorHAnsi" w:eastAsiaTheme="minorEastAsia" w:hAnsiTheme="minorHAnsi" w:cstheme="minorBidi"/>
          <w:szCs w:val="22"/>
        </w:rPr>
      </w:pPr>
      <w:r>
        <w:t>63D.</w:t>
      </w:r>
      <w:r>
        <w:tab/>
        <w:t>Court to give reasons for certain decisions</w:t>
      </w:r>
      <w:r>
        <w:tab/>
      </w:r>
      <w:r>
        <w:fldChar w:fldCharType="begin"/>
      </w:r>
      <w:r>
        <w:instrText xml:space="preserve"> PAGEREF _Toc100567354 \h </w:instrText>
      </w:r>
      <w:r>
        <w:fldChar w:fldCharType="separate"/>
      </w:r>
      <w:r>
        <w:t>131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Appeals</w:t>
      </w:r>
      <w:r>
        <w:tab/>
      </w:r>
      <w:r>
        <w:fldChar w:fldCharType="begin"/>
      </w:r>
      <w:r>
        <w:instrText xml:space="preserve"> PAGEREF _Toc100567355 \h </w:instrText>
      </w:r>
      <w:r>
        <w:fldChar w:fldCharType="separate"/>
      </w:r>
      <w:r>
        <w:t>131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Orders not to conflict with certain family orders</w:t>
      </w:r>
      <w:r>
        <w:tab/>
      </w:r>
      <w:r>
        <w:fldChar w:fldCharType="begin"/>
      </w:r>
      <w:r>
        <w:instrText xml:space="preserve"> PAGEREF _Toc100567356 \h </w:instrText>
      </w:r>
      <w:r>
        <w:fldChar w:fldCharType="separate"/>
      </w:r>
      <w:r>
        <w:t>133</w:t>
      </w:r>
      <w:r>
        <w:fldChar w:fldCharType="end"/>
      </w:r>
    </w:p>
    <w:p>
      <w:pPr>
        <w:pStyle w:val="TOC8"/>
        <w:rPr>
          <w:rFonts w:asciiTheme="minorHAnsi" w:eastAsiaTheme="minorEastAsia" w:hAnsiTheme="minorHAnsi" w:cstheme="minorBidi"/>
          <w:szCs w:val="22"/>
        </w:rPr>
      </w:pPr>
      <w:r>
        <w:t>66.</w:t>
      </w:r>
      <w:r>
        <w:tab/>
        <w:t>Information about family orders</w:t>
      </w:r>
      <w:r>
        <w:tab/>
      </w:r>
      <w:r>
        <w:fldChar w:fldCharType="begin"/>
      </w:r>
      <w:r>
        <w:instrText xml:space="preserve"> PAGEREF _Toc100567357 \h </w:instrText>
      </w:r>
      <w:r>
        <w:fldChar w:fldCharType="separate"/>
      </w:r>
      <w:r>
        <w:t>133</w:t>
      </w:r>
      <w:r>
        <w:fldChar w:fldCharType="end"/>
      </w:r>
    </w:p>
    <w:p>
      <w:pPr>
        <w:pStyle w:val="TOC8"/>
        <w:rPr>
          <w:rFonts w:asciiTheme="minorHAnsi" w:eastAsiaTheme="minorEastAsia" w:hAnsiTheme="minorHAnsi" w:cstheme="minorBidi"/>
          <w:szCs w:val="22"/>
        </w:rPr>
      </w:pPr>
      <w:r>
        <w:t>67.</w:t>
      </w:r>
      <w:r>
        <w:tab/>
        <w:t>Adjournments</w:t>
      </w:r>
      <w:r>
        <w:tab/>
      </w:r>
      <w:r>
        <w:fldChar w:fldCharType="begin"/>
      </w:r>
      <w:r>
        <w:instrText xml:space="preserve"> PAGEREF _Toc100567358 \h </w:instrText>
      </w:r>
      <w:r>
        <w:fldChar w:fldCharType="separate"/>
      </w:r>
      <w:r>
        <w:t>134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Orders may be extended to apply to other people</w:t>
      </w:r>
      <w:r>
        <w:tab/>
      </w:r>
      <w:r>
        <w:fldChar w:fldCharType="begin"/>
      </w:r>
      <w:r>
        <w:instrText xml:space="preserve"> PAGEREF _Toc100567359 \h </w:instrText>
      </w:r>
      <w:r>
        <w:fldChar w:fldCharType="separate"/>
      </w:r>
      <w:r>
        <w:t>135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w:t>
      </w:r>
      <w:r>
        <w:tab/>
      </w:r>
      <w:r>
        <w:fldChar w:fldCharType="begin"/>
      </w:r>
      <w:r>
        <w:instrText xml:space="preserve"> PAGEREF _Toc100567360 \h </w:instrText>
      </w:r>
      <w:r>
        <w:fldChar w:fldCharType="separate"/>
      </w:r>
      <w:r>
        <w:t>136</w:t>
      </w:r>
      <w:r>
        <w:fldChar w:fldCharType="end"/>
      </w:r>
    </w:p>
    <w:p>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_Toc100567361 \h </w:instrText>
      </w:r>
      <w:r>
        <w:fldChar w:fldCharType="separate"/>
      </w:r>
      <w:r>
        <w:t>136</w:t>
      </w:r>
      <w:r>
        <w:fldChar w:fldCharType="end"/>
      </w:r>
    </w:p>
    <w:p>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_Toc100567362 \h </w:instrText>
      </w:r>
      <w:r>
        <w:fldChar w:fldCharType="separate"/>
      </w:r>
      <w:r>
        <w:t>138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Notification when firearms order made</w:t>
      </w:r>
      <w:r>
        <w:tab/>
      </w:r>
      <w:r>
        <w:fldChar w:fldCharType="begin"/>
      </w:r>
      <w:r>
        <w:instrText xml:space="preserve"> PAGEREF _Toc100567363 \h </w:instrText>
      </w:r>
      <w:r>
        <w:fldChar w:fldCharType="separate"/>
      </w:r>
      <w:r>
        <w:t>139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Practice and procedure generally</w:t>
      </w:r>
      <w:r>
        <w:tab/>
      </w:r>
      <w:r>
        <w:fldChar w:fldCharType="begin"/>
      </w:r>
      <w:r>
        <w:instrText xml:space="preserve"> PAGEREF _Toc100567364 \h </w:instrText>
      </w:r>
      <w:r>
        <w:fldChar w:fldCharType="separate"/>
      </w:r>
      <w:r>
        <w:t>142</w:t>
      </w:r>
      <w:r>
        <w:fldChar w:fldCharType="end"/>
      </w:r>
    </w:p>
    <w:p>
      <w:pPr>
        <w:pStyle w:val="TOC8"/>
        <w:rPr>
          <w:rFonts w:asciiTheme="minorHAnsi" w:eastAsiaTheme="minorEastAsia" w:hAnsiTheme="minorHAnsi" w:cstheme="minorBidi"/>
          <w:szCs w:val="22"/>
        </w:rPr>
      </w:pPr>
      <w:r>
        <w:t>72A.</w:t>
      </w:r>
      <w:r>
        <w:tab/>
        <w:t>Forms</w:t>
      </w:r>
      <w:r>
        <w:tab/>
      </w:r>
      <w:r>
        <w:fldChar w:fldCharType="begin"/>
      </w:r>
      <w:r>
        <w:instrText xml:space="preserve"> PAGEREF _Toc100567365 \h </w:instrText>
      </w:r>
      <w:r>
        <w:fldChar w:fldCharType="separate"/>
      </w:r>
      <w:r>
        <w:t>142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 making power</w:t>
      </w:r>
      <w:r>
        <w:tab/>
      </w:r>
      <w:r>
        <w:fldChar w:fldCharType="begin"/>
      </w:r>
      <w:r>
        <w:instrText xml:space="preserve"> PAGEREF _Toc100567366 \h </w:instrText>
      </w:r>
      <w:r>
        <w:fldChar w:fldCharType="separate"/>
      </w:r>
      <w:r>
        <w:t>143</w:t>
      </w:r>
      <w:r>
        <w:fldChar w:fldCharType="end"/>
      </w:r>
    </w:p>
    <w:p>
      <w:pPr>
        <w:pStyle w:val="TOC8"/>
        <w:rPr>
          <w:rFonts w:asciiTheme="minorHAnsi" w:eastAsiaTheme="minorEastAsia" w:hAnsiTheme="minorHAnsi" w:cstheme="minorBidi"/>
          <w:szCs w:val="22"/>
        </w:rPr>
      </w:pPr>
      <w:r>
        <w:t>73A.</w:t>
      </w:r>
      <w:r>
        <w:tab/>
        <w:t>Review of certain amendments relating to FVROs</w:t>
      </w:r>
      <w:r>
        <w:tab/>
      </w:r>
      <w:r>
        <w:fldChar w:fldCharType="begin"/>
      </w:r>
      <w:r>
        <w:instrText xml:space="preserve"> PAGEREF _Toc100567367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7 — Interstate restraining orders</w:t>
      </w:r>
    </w:p>
    <w:p>
      <w:pPr>
        <w:pStyle w:val="TOC8"/>
        <w:rPr>
          <w:rFonts w:asciiTheme="minorHAnsi" w:eastAsiaTheme="minorEastAsia" w:hAnsiTheme="minorHAnsi" w:cstheme="minorBidi"/>
          <w:szCs w:val="22"/>
        </w:rPr>
      </w:pPr>
      <w:r>
        <w:t>74</w:t>
      </w:r>
      <w:r>
        <w:rPr>
          <w:snapToGrid w:val="0"/>
        </w:rPr>
        <w:t>.</w:t>
      </w:r>
      <w:r>
        <w:rPr>
          <w:snapToGrid w:val="0"/>
        </w:rPr>
        <w:tab/>
        <w:t>Terms used</w:t>
      </w:r>
      <w:r>
        <w:tab/>
      </w:r>
      <w:r>
        <w:fldChar w:fldCharType="begin"/>
      </w:r>
      <w:r>
        <w:instrText xml:space="preserve"> PAGEREF _Toc100567369 \h </w:instrText>
      </w:r>
      <w:r>
        <w:fldChar w:fldCharType="separate"/>
      </w:r>
      <w:r>
        <w:t>145</w:t>
      </w:r>
      <w:r>
        <w:fldChar w:fldCharType="end"/>
      </w:r>
    </w:p>
    <w:p>
      <w:pPr>
        <w:pStyle w:val="TOC8"/>
        <w:rPr>
          <w:rFonts w:asciiTheme="minorHAnsi" w:eastAsiaTheme="minorEastAsia" w:hAnsiTheme="minorHAnsi" w:cstheme="minorBidi"/>
          <w:szCs w:val="22"/>
        </w:rPr>
      </w:pPr>
      <w:r>
        <w:t>74A.</w:t>
      </w:r>
      <w:r>
        <w:tab/>
        <w:t xml:space="preserve">Interstate DVOs under </w:t>
      </w:r>
      <w:r>
        <w:rPr>
          <w:i/>
        </w:rPr>
        <w:t xml:space="preserve">Domestic Violence Orders (National Recognition) Act 2017 </w:t>
      </w:r>
      <w:r>
        <w:t>cannot be registered</w:t>
      </w:r>
      <w:r>
        <w:tab/>
      </w:r>
      <w:r>
        <w:fldChar w:fldCharType="begin"/>
      </w:r>
      <w:r>
        <w:instrText xml:space="preserve"> PAGEREF _Toc100567370 \h </w:instrText>
      </w:r>
      <w:r>
        <w:fldChar w:fldCharType="separate"/>
      </w:r>
      <w:r>
        <w:t>145</w:t>
      </w:r>
      <w:r>
        <w:fldChar w:fldCharType="end"/>
      </w:r>
    </w:p>
    <w:p>
      <w:pPr>
        <w:pStyle w:val="TOC8"/>
        <w:rPr>
          <w:rFonts w:asciiTheme="minorHAnsi" w:eastAsiaTheme="minorEastAsia" w:hAnsiTheme="minorHAnsi" w:cstheme="minorBidi"/>
          <w:szCs w:val="22"/>
        </w:rPr>
      </w:pPr>
      <w:r>
        <w:t>74B.</w:t>
      </w:r>
      <w:r>
        <w:tab/>
        <w:t xml:space="preserve">Interstate orders registered before commencement of </w:t>
      </w:r>
      <w:r>
        <w:rPr>
          <w:i/>
        </w:rPr>
        <w:t>Domestic Violence Orders (National Recognition) Act 2017</w:t>
      </w:r>
      <w:r>
        <w:tab/>
      </w:r>
      <w:r>
        <w:fldChar w:fldCharType="begin"/>
      </w:r>
      <w:r>
        <w:instrText xml:space="preserve"> PAGEREF _Toc100567371 \h </w:instrText>
      </w:r>
      <w:r>
        <w:fldChar w:fldCharType="separate"/>
      </w:r>
      <w:r>
        <w:t>145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registration of interstate order</w:t>
      </w:r>
      <w:r>
        <w:tab/>
      </w:r>
      <w:r>
        <w:fldChar w:fldCharType="begin"/>
      </w:r>
      <w:r>
        <w:instrText xml:space="preserve"> PAGEREF _Toc100567372 \h </w:instrText>
      </w:r>
      <w:r>
        <w:fldChar w:fldCharType="separate"/>
      </w:r>
      <w:r>
        <w:t>146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w:t>
      </w:r>
      <w:r>
        <w:tab/>
      </w:r>
      <w:r>
        <w:fldChar w:fldCharType="begin"/>
      </w:r>
      <w:r>
        <w:instrText xml:space="preserve"> PAGEREF _Toc100567373 \h </w:instrText>
      </w:r>
      <w:r>
        <w:fldChar w:fldCharType="separate"/>
      </w:r>
      <w:r>
        <w:t>147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registration</w:t>
      </w:r>
      <w:r>
        <w:tab/>
      </w:r>
      <w:r>
        <w:fldChar w:fldCharType="begin"/>
      </w:r>
      <w:r>
        <w:instrText xml:space="preserve"> PAGEREF _Toc100567374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78</w:t>
      </w:r>
      <w:r>
        <w:rPr>
          <w:snapToGrid w:val="0"/>
        </w:rPr>
        <w:t>.</w:t>
      </w:r>
      <w:r>
        <w:rPr>
          <w:snapToGrid w:val="0"/>
        </w:rPr>
        <w:tab/>
        <w:t>Variation or cancellation in another State or Territory</w:t>
      </w:r>
      <w:r>
        <w:tab/>
      </w:r>
      <w:r>
        <w:fldChar w:fldCharType="begin"/>
      </w:r>
      <w:r>
        <w:instrText xml:space="preserve"> PAGEREF _Toc100567375 \h </w:instrText>
      </w:r>
      <w:r>
        <w:fldChar w:fldCharType="separate"/>
      </w:r>
      <w:r>
        <w:t>148</w:t>
      </w:r>
      <w:r>
        <w:fldChar w:fldCharType="end"/>
      </w:r>
    </w:p>
    <w:p>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_Toc100567376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7A — Foreign restraining orders</w:t>
      </w:r>
    </w:p>
    <w:p>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_Toc100567378 \h </w:instrText>
      </w:r>
      <w:r>
        <w:fldChar w:fldCharType="separate"/>
      </w:r>
      <w:r>
        <w:t>151</w:t>
      </w:r>
      <w:r>
        <w:fldChar w:fldCharType="end"/>
      </w:r>
    </w:p>
    <w:p>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_Toc100567379 \h </w:instrText>
      </w:r>
      <w:r>
        <w:fldChar w:fldCharType="separate"/>
      </w:r>
      <w:r>
        <w:t>151</w:t>
      </w:r>
      <w:r>
        <w:fldChar w:fldCharType="end"/>
      </w:r>
    </w:p>
    <w:p>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_Toc100567380 \h </w:instrText>
      </w:r>
      <w:r>
        <w:fldChar w:fldCharType="separate"/>
      </w:r>
      <w:r>
        <w:t>152</w:t>
      </w:r>
      <w:r>
        <w:fldChar w:fldCharType="end"/>
      </w:r>
    </w:p>
    <w:p>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_Toc100567381 \h </w:instrText>
      </w:r>
      <w:r>
        <w:fldChar w:fldCharType="separate"/>
      </w:r>
      <w:r>
        <w:t>152</w:t>
      </w:r>
      <w:r>
        <w:fldChar w:fldCharType="end"/>
      </w:r>
    </w:p>
    <w:p>
      <w:pPr>
        <w:pStyle w:val="TOC8"/>
        <w:rPr>
          <w:rFonts w:asciiTheme="minorHAnsi" w:eastAsiaTheme="minorEastAsia" w:hAnsiTheme="minorHAnsi" w:cstheme="minorBidi"/>
          <w:szCs w:val="22"/>
        </w:rPr>
      </w:pPr>
      <w:r>
        <w:t>79E.</w:t>
      </w:r>
      <w:r>
        <w:tab/>
        <w:t>Variation or cancellation in foreign country</w:t>
      </w:r>
      <w:r>
        <w:tab/>
      </w:r>
      <w:r>
        <w:fldChar w:fldCharType="begin"/>
      </w:r>
      <w:r>
        <w:instrText xml:space="preserve"> PAGEREF _Toc100567382 \h </w:instrText>
      </w:r>
      <w:r>
        <w:fldChar w:fldCharType="separate"/>
      </w:r>
      <w:r>
        <w:t>153</w:t>
      </w:r>
      <w:r>
        <w:fldChar w:fldCharType="end"/>
      </w:r>
    </w:p>
    <w:p>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_Toc100567383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_Toc100567385 \h </w:instrText>
      </w:r>
      <w:r>
        <w:fldChar w:fldCharType="separate"/>
      </w:r>
      <w:r>
        <w:t>155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_Toc100567386 \h </w:instrText>
      </w:r>
      <w:r>
        <w:fldChar w:fldCharType="separate"/>
      </w:r>
      <w:r>
        <w:t>158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_Toc100567387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NameofActReg"/>
        <w:spacing w:before="1400" w:after="880"/>
      </w:pPr>
      <w:r>
        <w:lastRenderedPageBreak/>
        <w:t>Restraining Orders Act 1997</w:t>
      </w:r>
    </w:p>
    <w:p>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3" w:name="_Toc100328092"/>
      <w:bookmarkStart w:id="4" w:name="_Toc100328303"/>
      <w:bookmarkStart w:id="5" w:name="_Toc10056717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00567179"/>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7" w:name="_Toc100567180"/>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8" w:name="_Toc100567181"/>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lastRenderedPageBreak/>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explosives licence</w:t>
      </w:r>
      <w:r>
        <w:t xml:space="preserve"> means a licence, permit or authorisation to hold an explosive under the </w:t>
      </w:r>
      <w:r>
        <w:rPr>
          <w:i/>
        </w:rPr>
        <w:t>Dangerous Goods Safety Act 2004</w:t>
      </w:r>
      <w:r>
        <w:t>;</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lastRenderedPageBreak/>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lastRenderedPageBreak/>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lastRenderedPageBreak/>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pPr>
      <w:r>
        <w:tab/>
      </w:r>
      <w:r>
        <w:rPr>
          <w:rStyle w:val="CharDefText"/>
        </w:rPr>
        <w:t>VRO</w:t>
      </w:r>
      <w:r>
        <w:t xml:space="preserve"> for violence restraining order.</w:t>
      </w:r>
    </w:p>
    <w:p>
      <w:pPr>
        <w:pStyle w:val="Footnotesection"/>
      </w:pPr>
      <w:r>
        <w:lastRenderedPageBreak/>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 No. 30 of 2020 s. 52.]</w:t>
      </w:r>
    </w:p>
    <w:p>
      <w:pPr>
        <w:pStyle w:val="Heading5"/>
      </w:pPr>
      <w:bookmarkStart w:id="9" w:name="_Toc100567182"/>
      <w:r>
        <w:rPr>
          <w:rStyle w:val="CharSectno"/>
        </w:rPr>
        <w:t>4</w:t>
      </w:r>
      <w:r>
        <w:t>.</w:t>
      </w:r>
      <w:r>
        <w:tab/>
        <w:t>Terms used: family relationship and family member</w:t>
      </w:r>
      <w:bookmarkEnd w:id="9"/>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 or</w:t>
      </w:r>
    </w:p>
    <w:p>
      <w:pPr>
        <w:pStyle w:val="Defpara"/>
      </w:pPr>
      <w:r>
        <w:tab/>
        <w:t>(g)</w:t>
      </w:r>
      <w:r>
        <w:tab/>
        <w:t>one of whom is the former spouse or former de facto partner of the other person’s current spouse or current de facto partner.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lastRenderedPageBreak/>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 No. 30 of 2020 s. 53.]</w:t>
      </w:r>
    </w:p>
    <w:p>
      <w:pPr>
        <w:pStyle w:val="Heading5"/>
      </w:pPr>
      <w:bookmarkStart w:id="10" w:name="_Toc100567183"/>
      <w:r>
        <w:rPr>
          <w:rStyle w:val="CharSectno"/>
        </w:rPr>
        <w:t>5</w:t>
      </w:r>
      <w:r>
        <w:t>.</w:t>
      </w:r>
      <w:r>
        <w:tab/>
        <w:t>Term used: family order</w:t>
      </w:r>
      <w:bookmarkEnd w:id="10"/>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lastRenderedPageBreak/>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w:t>
      </w:r>
    </w:p>
    <w:p>
      <w:pPr>
        <w:pStyle w:val="Heading5"/>
      </w:pPr>
      <w:bookmarkStart w:id="11" w:name="_Toc100567184"/>
      <w:r>
        <w:rPr>
          <w:rStyle w:val="CharSectno"/>
        </w:rPr>
        <w:lastRenderedPageBreak/>
        <w:t>5A</w:t>
      </w:r>
      <w:r>
        <w:t>.</w:t>
      </w:r>
      <w:r>
        <w:tab/>
        <w:t>Term used: family violence</w:t>
      </w:r>
      <w:bookmarkEnd w:id="11"/>
    </w:p>
    <w:p>
      <w:pPr>
        <w:pStyle w:val="Subsection"/>
        <w:keepNext/>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keepNext/>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(ha)</w:t>
      </w:r>
      <w:r>
        <w:tab/>
        <w:t xml:space="preserve">coercing, threatening, or causing physical abuse, emotional or psychological abuse or financial abuse, in connection with demanding or receiving dowry, whether before or after any marriage; </w:t>
      </w:r>
    </w:p>
    <w:p>
      <w:pPr>
        <w:pStyle w:val="Indenta"/>
      </w:pPr>
      <w:r>
        <w:tab/>
        <w:t>(i)</w:t>
      </w:r>
      <w:r>
        <w:tab/>
        <w:t>preventing the family member from making or keeping connections with the member’s family, friends or culture;</w:t>
      </w:r>
    </w:p>
    <w:p>
      <w:pPr>
        <w:pStyle w:val="Defpara"/>
      </w:pPr>
      <w:r>
        <w:lastRenderedPageBreak/>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keepNext/>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 No. 30 of 2020 s. 54.]</w:t>
      </w:r>
    </w:p>
    <w:p>
      <w:pPr>
        <w:pStyle w:val="Heading5"/>
      </w:pPr>
      <w:bookmarkStart w:id="12" w:name="_Toc100567185"/>
      <w:r>
        <w:rPr>
          <w:rStyle w:val="CharSectno"/>
        </w:rPr>
        <w:t>6</w:t>
      </w:r>
      <w:r>
        <w:t>.</w:t>
      </w:r>
      <w:r>
        <w:tab/>
        <w:t>Term used: personal violence</w:t>
      </w:r>
      <w:bookmarkEnd w:id="12"/>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pPr>
      <w:r>
        <w:tab/>
        <w:t>(3)</w:t>
      </w:r>
      <w:r>
        <w:tab/>
        <w:t>For the purposes of this Act, a person who procures another person to commit personal violence is taken to have also committed the personal violence.</w:t>
      </w:r>
    </w:p>
    <w:p>
      <w:pPr>
        <w:pStyle w:val="Footnotesection"/>
      </w:pPr>
      <w:r>
        <w:lastRenderedPageBreak/>
        <w:tab/>
        <w:t>[Section 6 inserted: No. 38 of 2004 s. 7; amended: No. 5 of 2008 s. 91; No. 49 of 2016 s. 8.]</w:t>
      </w:r>
    </w:p>
    <w:p>
      <w:pPr>
        <w:pStyle w:val="Heading5"/>
      </w:pPr>
      <w:bookmarkStart w:id="13" w:name="_Toc100567186"/>
      <w:r>
        <w:rPr>
          <w:rStyle w:val="CharSectno"/>
        </w:rPr>
        <w:t>6A</w:t>
      </w:r>
      <w:r>
        <w:t>.</w:t>
      </w:r>
      <w:r>
        <w:tab/>
        <w:t>Term used: exposed</w:t>
      </w:r>
      <w:bookmarkEnd w:id="13"/>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14" w:name="_Toc100567187"/>
      <w:r>
        <w:rPr>
          <w:rStyle w:val="CharSectno"/>
        </w:rPr>
        <w:t>7</w:t>
      </w:r>
      <w:r>
        <w:t>.</w:t>
      </w:r>
      <w:r>
        <w:tab/>
        <w:t>Persons protected, and bound, by order to be natural persons</w:t>
      </w:r>
      <w:bookmarkEnd w:id="14"/>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15" w:name="_Toc100567188"/>
      <w:r>
        <w:rPr>
          <w:rStyle w:val="CharSectno"/>
        </w:rPr>
        <w:t>7A</w:t>
      </w:r>
      <w:r>
        <w:t>.</w:t>
      </w:r>
      <w:r>
        <w:tab/>
        <w:t>Orders under this Act imposing restraints</w:t>
      </w:r>
      <w:bookmarkEnd w:id="15"/>
    </w:p>
    <w:p>
      <w:pPr>
        <w:pStyle w:val="Subsection"/>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lastRenderedPageBreak/>
        <w:tab/>
        <w:t>(c)</w:t>
      </w:r>
      <w:r>
        <w:tab/>
        <w:t>an authorised magistrate hearing a telephone application; or</w:t>
      </w:r>
    </w:p>
    <w:p>
      <w:pPr>
        <w:pStyle w:val="Indenta"/>
      </w:pPr>
      <w:r>
        <w:tab/>
        <w:t>(d)</w:t>
      </w:r>
      <w:r>
        <w:tab/>
        <w:t>a court acting under section 63 or 63A; or</w:t>
      </w:r>
    </w:p>
    <w:p>
      <w:pPr>
        <w:pStyle w:val="Indenta"/>
      </w:pPr>
      <w:r>
        <w:tab/>
        <w:t>(e)</w:t>
      </w:r>
      <w:r>
        <w:tab/>
        <w:t xml:space="preserve">a police officer acting under Part 2 Division 3A; or </w:t>
      </w:r>
    </w:p>
    <w:p>
      <w:pPr>
        <w:pStyle w:val="Indenta"/>
      </w:pPr>
      <w:r>
        <w:tab/>
        <w:t>(f)</w:t>
      </w:r>
      <w:r>
        <w:tab/>
        <w:t>a registrar acting under Part 5A.</w:t>
      </w:r>
    </w:p>
    <w:p>
      <w:pPr>
        <w:pStyle w:val="Footnotesection"/>
      </w:pPr>
      <w:r>
        <w:tab/>
        <w:t>[Section 7A inserted: No. 38 of 2004 s. 8; amended: No. 59 of 2004 s. 124; No. 49 of 2016 s. 11; No. 30 of 2020 s. 55.]</w:t>
      </w:r>
    </w:p>
    <w:p>
      <w:pPr>
        <w:pStyle w:val="Heading5"/>
      </w:pPr>
      <w:bookmarkStart w:id="16" w:name="_Toc100567189"/>
      <w:r>
        <w:rPr>
          <w:rStyle w:val="CharSectno"/>
        </w:rPr>
        <w:t>8A</w:t>
      </w:r>
      <w:r>
        <w:t>.</w:t>
      </w:r>
      <w:r>
        <w:tab/>
      </w:r>
      <w:r>
        <w:rPr>
          <w:i/>
        </w:rPr>
        <w:t>Courts and Tribunals (Electronic Processes Facilitation) Act 2013</w:t>
      </w:r>
      <w:r>
        <w:t xml:space="preserve"> Part 2 applies</w:t>
      </w:r>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17" w:name="_Toc100328104"/>
      <w:bookmarkStart w:id="18" w:name="_Toc100328315"/>
      <w:bookmarkStart w:id="19" w:name="_Toc100567190"/>
      <w:r>
        <w:rPr>
          <w:rStyle w:val="CharPartNo"/>
        </w:rPr>
        <w:lastRenderedPageBreak/>
        <w:t>Part 1A</w:t>
      </w:r>
      <w:r>
        <w:rPr>
          <w:b w:val="0"/>
        </w:rPr>
        <w:t> </w:t>
      </w:r>
      <w:r>
        <w:t>—</w:t>
      </w:r>
      <w:r>
        <w:rPr>
          <w:b w:val="0"/>
        </w:rPr>
        <w:t> </w:t>
      </w:r>
      <w:r>
        <w:rPr>
          <w:rStyle w:val="CharPartText"/>
        </w:rPr>
        <w:t>Restraining orders generally</w:t>
      </w:r>
      <w:bookmarkEnd w:id="17"/>
      <w:bookmarkEnd w:id="18"/>
      <w:bookmarkEnd w:id="19"/>
    </w:p>
    <w:p>
      <w:pPr>
        <w:pStyle w:val="Footnoteheading"/>
        <w:tabs>
          <w:tab w:val="left" w:pos="851"/>
        </w:tabs>
      </w:pPr>
      <w:r>
        <w:tab/>
        <w:t>[Heading inserted: No. 38 of 2004 s. 9.]</w:t>
      </w:r>
    </w:p>
    <w:p>
      <w:pPr>
        <w:pStyle w:val="Heading5"/>
      </w:pPr>
      <w:bookmarkStart w:id="20" w:name="_Toc100567191"/>
      <w:r>
        <w:rPr>
          <w:rStyle w:val="CharSectno"/>
        </w:rPr>
        <w:t>8</w:t>
      </w:r>
      <w:r>
        <w:t>.</w:t>
      </w:r>
      <w:r>
        <w:tab/>
        <w:t>Explanation about orders to be given</w:t>
      </w:r>
      <w:bookmarkEnd w:id="20"/>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lastRenderedPageBreak/>
        <w:tab/>
        <w:t>(h)</w:t>
      </w:r>
      <w:r>
        <w:tab/>
        <w:t xml:space="preserve">if the order is an FVRO or VRO, the effects of sections 14, 14A and 62E relating to firearms and explosives; and </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18 years of age or older to give the explanation to the person in a way that the person can understand. </w:t>
      </w:r>
    </w:p>
    <w:p>
      <w:pPr>
        <w:pStyle w:val="Subsection"/>
      </w:pPr>
      <w:r>
        <w:tab/>
        <w:t>(2A)</w:t>
      </w:r>
      <w:r>
        <w:tab/>
        <w:t>However, a person giving an explanation under subsection (2) must not be a person of a class prescribed in the regulations.</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 No. 30 of 2020 s. 56.]</w:t>
      </w:r>
    </w:p>
    <w:p>
      <w:pPr>
        <w:pStyle w:val="Heading5"/>
      </w:pPr>
      <w:bookmarkStart w:id="21" w:name="_Toc100567192"/>
      <w:r>
        <w:rPr>
          <w:rStyle w:val="CharSectno"/>
        </w:rPr>
        <w:lastRenderedPageBreak/>
        <w:t>9</w:t>
      </w:r>
      <w:r>
        <w:t>.</w:t>
      </w:r>
      <w:r>
        <w:tab/>
        <w:t>Fixing a hearing</w:t>
      </w:r>
      <w:bookmarkEnd w:id="21"/>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22" w:name="_Toc100567193"/>
      <w:r>
        <w:rPr>
          <w:rStyle w:val="CharSectno"/>
        </w:rPr>
        <w:t>10</w:t>
      </w:r>
      <w:r>
        <w:rPr>
          <w:snapToGrid w:val="0"/>
        </w:rPr>
        <w:t>.</w:t>
      </w:r>
      <w:r>
        <w:rPr>
          <w:snapToGrid w:val="0"/>
        </w:rPr>
        <w:tab/>
        <w:t>Preparation and service of orders</w:t>
      </w:r>
      <w:bookmarkEnd w:id="22"/>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w:t>
      </w:r>
      <w:r>
        <w:lastRenderedPageBreak/>
        <w:t xml:space="preserve">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lastRenderedPageBreak/>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23" w:name="_Toc100328108"/>
      <w:bookmarkStart w:id="24" w:name="_Toc100328319"/>
      <w:bookmarkStart w:id="25" w:name="_Toc100567194"/>
      <w:r>
        <w:rPr>
          <w:rStyle w:val="CharPartNo"/>
        </w:rPr>
        <w:lastRenderedPageBreak/>
        <w:t>Part 1B</w:t>
      </w:r>
      <w:r>
        <w:rPr>
          <w:rStyle w:val="CharDivNo"/>
        </w:rPr>
        <w:t> </w:t>
      </w:r>
      <w:r>
        <w:t>—</w:t>
      </w:r>
      <w:r>
        <w:rPr>
          <w:rStyle w:val="CharDivText"/>
        </w:rPr>
        <w:t> </w:t>
      </w:r>
      <w:r>
        <w:rPr>
          <w:rStyle w:val="CharPartText"/>
        </w:rPr>
        <w:t>Family violence restraining order</w:t>
      </w:r>
      <w:bookmarkEnd w:id="23"/>
      <w:bookmarkEnd w:id="24"/>
      <w:bookmarkEnd w:id="25"/>
      <w:r>
        <w:t xml:space="preserve"> </w:t>
      </w:r>
    </w:p>
    <w:p>
      <w:pPr>
        <w:pStyle w:val="Footnoteheading"/>
      </w:pPr>
      <w:r>
        <w:tab/>
        <w:t>[Heading inserted: No. 49 of 2016 s. 14.]</w:t>
      </w:r>
    </w:p>
    <w:p>
      <w:pPr>
        <w:pStyle w:val="Heading5"/>
      </w:pPr>
      <w:bookmarkStart w:id="26" w:name="_Toc100567195"/>
      <w:r>
        <w:rPr>
          <w:rStyle w:val="CharSectno"/>
        </w:rPr>
        <w:t>10A</w:t>
      </w:r>
      <w:r>
        <w:t>.</w:t>
      </w:r>
      <w:r>
        <w:tab/>
        <w:t>Objects</w:t>
      </w:r>
      <w:bookmarkEnd w:id="26"/>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27" w:name="_Toc100567196"/>
      <w:r>
        <w:rPr>
          <w:rStyle w:val="CharSectno"/>
        </w:rPr>
        <w:t>10B</w:t>
      </w:r>
      <w:r>
        <w:t>.</w:t>
      </w:r>
      <w:r>
        <w:tab/>
        <w:t>Principles to be observed in performing functions in relation to FVROs</w:t>
      </w:r>
      <w:bookmarkEnd w:id="27"/>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lastRenderedPageBreak/>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lastRenderedPageBreak/>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28" w:name="_Toc100567197"/>
      <w:r>
        <w:rPr>
          <w:rStyle w:val="CharSectno"/>
        </w:rPr>
        <w:t>10C</w:t>
      </w:r>
      <w:r>
        <w:t>.</w:t>
      </w:r>
      <w:r>
        <w:tab/>
        <w:t>FVRO to specify names of person bound, and person protected, by order</w:t>
      </w:r>
      <w:bookmarkEnd w:id="28"/>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29" w:name="_Toc100567198"/>
      <w:r>
        <w:rPr>
          <w:rStyle w:val="CharSectno"/>
        </w:rPr>
        <w:t>10D</w:t>
      </w:r>
      <w:r>
        <w:t>.</w:t>
      </w:r>
      <w:r>
        <w:tab/>
        <w:t>When FVROs may be made</w:t>
      </w:r>
      <w:bookmarkEnd w:id="29"/>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30" w:name="_Toc100567199"/>
      <w:r>
        <w:rPr>
          <w:rStyle w:val="CharSectno"/>
        </w:rPr>
        <w:lastRenderedPageBreak/>
        <w:t>10E</w:t>
      </w:r>
      <w:r>
        <w:t>.</w:t>
      </w:r>
      <w:r>
        <w:tab/>
        <w:t>FVRO may be made for child in circumstances of family violence</w:t>
      </w:r>
      <w:bookmarkEnd w:id="30"/>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31" w:name="_Toc100567200"/>
      <w:r>
        <w:rPr>
          <w:rStyle w:val="CharSectno"/>
        </w:rPr>
        <w:t>10F</w:t>
      </w:r>
      <w:r>
        <w:t>.</w:t>
      </w:r>
      <w:r>
        <w:tab/>
        <w:t>Matters to be considered by court generally</w:t>
      </w:r>
      <w:bookmarkEnd w:id="31"/>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 xml:space="preserve">the need to ensure the wellbeing of children by protecting them from family violence, behaviour </w:t>
      </w:r>
      <w:r>
        <w:lastRenderedPageBreak/>
        <w:t>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 xml:space="preserve">The Commissioner of Police, is, where practicable, to provide to a court any information in the possession of the Police Force of </w:t>
      </w:r>
      <w:r>
        <w:lastRenderedPageBreak/>
        <w:t>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32" w:name="_Toc100567201"/>
      <w:r>
        <w:rPr>
          <w:rStyle w:val="CharSectno"/>
        </w:rPr>
        <w:t>10G</w:t>
      </w:r>
      <w:r>
        <w:t>.</w:t>
      </w:r>
      <w:r>
        <w:tab/>
        <w:t>Restraints on respondent</w:t>
      </w:r>
      <w:bookmarkEnd w:id="32"/>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lastRenderedPageBreak/>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lastRenderedPageBreak/>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33" w:name="_Toc100567202"/>
      <w:r>
        <w:rPr>
          <w:rStyle w:val="CharSectno"/>
        </w:rPr>
        <w:t>10H</w:t>
      </w:r>
      <w:r>
        <w:t>.</w:t>
      </w:r>
      <w:r>
        <w:tab/>
        <w:t>Conduct agreement</w:t>
      </w:r>
      <w:bookmarkEnd w:id="33"/>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34" w:name="_Toc100328117"/>
      <w:bookmarkStart w:id="35" w:name="_Toc100328328"/>
      <w:bookmarkStart w:id="36" w:name="_Toc100567203"/>
      <w:r>
        <w:rPr>
          <w:rStyle w:val="CharPartNo"/>
        </w:rPr>
        <w:lastRenderedPageBreak/>
        <w:t>Part 1C</w:t>
      </w:r>
      <w:r>
        <w:t> — </w:t>
      </w:r>
      <w:r>
        <w:rPr>
          <w:rStyle w:val="CharPartText"/>
        </w:rPr>
        <w:t>Behaviour management order</w:t>
      </w:r>
      <w:bookmarkEnd w:id="34"/>
      <w:bookmarkEnd w:id="35"/>
      <w:bookmarkEnd w:id="36"/>
    </w:p>
    <w:p>
      <w:pPr>
        <w:pStyle w:val="Footnoteheading"/>
      </w:pPr>
      <w:r>
        <w:tab/>
        <w:t>[Heading inserted: No. 49 of 2016 s. 14.]</w:t>
      </w:r>
    </w:p>
    <w:p>
      <w:pPr>
        <w:pStyle w:val="Heading3"/>
      </w:pPr>
      <w:bookmarkStart w:id="37" w:name="_Toc100328118"/>
      <w:bookmarkStart w:id="38" w:name="_Toc100328329"/>
      <w:bookmarkStart w:id="39" w:name="_Toc100567204"/>
      <w:r>
        <w:rPr>
          <w:rStyle w:val="CharDivNo"/>
        </w:rPr>
        <w:t>Division 1</w:t>
      </w:r>
      <w:r>
        <w:t> — </w:t>
      </w:r>
      <w:r>
        <w:rPr>
          <w:rStyle w:val="CharDivText"/>
        </w:rPr>
        <w:t>Preliminary</w:t>
      </w:r>
      <w:bookmarkEnd w:id="37"/>
      <w:bookmarkEnd w:id="38"/>
      <w:bookmarkEnd w:id="39"/>
    </w:p>
    <w:p>
      <w:pPr>
        <w:pStyle w:val="Footnoteheading"/>
      </w:pPr>
      <w:r>
        <w:tab/>
        <w:t>[Heading inserted: No. 49 of 2016 s. 14.]</w:t>
      </w:r>
    </w:p>
    <w:p>
      <w:pPr>
        <w:pStyle w:val="Heading5"/>
      </w:pPr>
      <w:bookmarkStart w:id="40" w:name="_Toc100567205"/>
      <w:r>
        <w:rPr>
          <w:rStyle w:val="CharSectno"/>
        </w:rPr>
        <w:t>10I</w:t>
      </w:r>
      <w:r>
        <w:t>.</w:t>
      </w:r>
      <w:r>
        <w:tab/>
        <w:t>Terms used</w:t>
      </w:r>
      <w:bookmarkEnd w:id="40"/>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41" w:name="_Toc100567206"/>
      <w:r>
        <w:rPr>
          <w:rStyle w:val="CharSectno"/>
        </w:rPr>
        <w:lastRenderedPageBreak/>
        <w:t>10J</w:t>
      </w:r>
      <w:r>
        <w:t>.</w:t>
      </w:r>
      <w:r>
        <w:tab/>
        <w:t>Objects</w:t>
      </w:r>
      <w:bookmarkEnd w:id="41"/>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42" w:name="_Toc100567207"/>
      <w:r>
        <w:rPr>
          <w:rStyle w:val="CharSectno"/>
        </w:rPr>
        <w:t>10K</w:t>
      </w:r>
      <w:r>
        <w:t>.</w:t>
      </w:r>
      <w:r>
        <w:tab/>
        <w:t>Application of Part</w:t>
      </w:r>
      <w:bookmarkEnd w:id="42"/>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43" w:name="_Toc100328122"/>
      <w:bookmarkStart w:id="44" w:name="_Toc100328333"/>
      <w:bookmarkStart w:id="45" w:name="_Toc100567208"/>
      <w:r>
        <w:rPr>
          <w:rStyle w:val="CharDivNo"/>
        </w:rPr>
        <w:t>Division 2</w:t>
      </w:r>
      <w:r>
        <w:t> — </w:t>
      </w:r>
      <w:r>
        <w:rPr>
          <w:rStyle w:val="CharDivText"/>
        </w:rPr>
        <w:t>Eligibility assessment order</w:t>
      </w:r>
      <w:bookmarkEnd w:id="43"/>
      <w:bookmarkEnd w:id="44"/>
      <w:bookmarkEnd w:id="45"/>
    </w:p>
    <w:p>
      <w:pPr>
        <w:pStyle w:val="Footnoteheading"/>
      </w:pPr>
      <w:r>
        <w:tab/>
        <w:t>[Heading inserted: No. 49 of 2016 s. 14.]</w:t>
      </w:r>
    </w:p>
    <w:p>
      <w:pPr>
        <w:pStyle w:val="Heading5"/>
      </w:pPr>
      <w:bookmarkStart w:id="46" w:name="_Toc100567209"/>
      <w:r>
        <w:rPr>
          <w:rStyle w:val="CharSectno"/>
        </w:rPr>
        <w:t>10L</w:t>
      </w:r>
      <w:r>
        <w:t>.</w:t>
      </w:r>
      <w:r>
        <w:tab/>
        <w:t>Making an eligibility assessment order</w:t>
      </w:r>
      <w:bookmarkEnd w:id="46"/>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lastRenderedPageBreak/>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lastRenderedPageBreak/>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47" w:name="_Toc100567210"/>
      <w:r>
        <w:rPr>
          <w:rStyle w:val="CharSectno"/>
        </w:rPr>
        <w:t>10M</w:t>
      </w:r>
      <w:r>
        <w:t>.</w:t>
      </w:r>
      <w:r>
        <w:tab/>
        <w:t>Order to attend behaviour change programme</w:t>
      </w:r>
      <w:bookmarkEnd w:id="47"/>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lastRenderedPageBreak/>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48" w:name="_Toc100567211"/>
      <w:r>
        <w:rPr>
          <w:rStyle w:val="CharSectno"/>
        </w:rPr>
        <w:t>10N</w:t>
      </w:r>
      <w:r>
        <w:t>.</w:t>
      </w:r>
      <w:r>
        <w:tab/>
        <w:t>Effect of appeal against final order</w:t>
      </w:r>
      <w:bookmarkEnd w:id="48"/>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49" w:name="_Toc100328126"/>
      <w:bookmarkStart w:id="50" w:name="_Toc100328337"/>
      <w:bookmarkStart w:id="51" w:name="_Toc100567212"/>
      <w:r>
        <w:rPr>
          <w:rStyle w:val="CharDivNo"/>
        </w:rPr>
        <w:lastRenderedPageBreak/>
        <w:t>Division 3</w:t>
      </w:r>
      <w:r>
        <w:t> — </w:t>
      </w:r>
      <w:r>
        <w:rPr>
          <w:rStyle w:val="CharDivText"/>
        </w:rPr>
        <w:t>Procedures relating to behaviour management order</w:t>
      </w:r>
      <w:bookmarkEnd w:id="49"/>
      <w:bookmarkEnd w:id="50"/>
      <w:bookmarkEnd w:id="51"/>
    </w:p>
    <w:p>
      <w:pPr>
        <w:pStyle w:val="Footnoteheading"/>
      </w:pPr>
      <w:r>
        <w:tab/>
        <w:t>[Heading inserted: No. 49 of 2016 s. 14.]</w:t>
      </w:r>
    </w:p>
    <w:p>
      <w:pPr>
        <w:pStyle w:val="Heading5"/>
      </w:pPr>
      <w:bookmarkStart w:id="52" w:name="_Toc100567213"/>
      <w:r>
        <w:rPr>
          <w:rStyle w:val="CharSectno"/>
        </w:rPr>
        <w:t>10O</w:t>
      </w:r>
      <w:r>
        <w:t>.</w:t>
      </w:r>
      <w:r>
        <w:tab/>
        <w:t>Notice of hearings</w:t>
      </w:r>
      <w:bookmarkEnd w:id="52"/>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53" w:name="_Toc100567214"/>
      <w:r>
        <w:rPr>
          <w:rStyle w:val="CharSectno"/>
        </w:rPr>
        <w:t>10P</w:t>
      </w:r>
      <w:r>
        <w:t>.</w:t>
      </w:r>
      <w:r>
        <w:tab/>
        <w:t>Approval of persons and of behaviour change programme</w:t>
      </w:r>
      <w:bookmarkEnd w:id="53"/>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lastRenderedPageBreak/>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54" w:name="_Toc100567215"/>
      <w:r>
        <w:rPr>
          <w:rStyle w:val="CharSectno"/>
        </w:rPr>
        <w:t>10Q</w:t>
      </w:r>
      <w:r>
        <w:t>.</w:t>
      </w:r>
      <w:r>
        <w:tab/>
        <w:t>Eligibility assessor may be required to attend hearing</w:t>
      </w:r>
      <w:bookmarkEnd w:id="54"/>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55" w:name="_Toc100567216"/>
      <w:r>
        <w:rPr>
          <w:rStyle w:val="CharSectno"/>
        </w:rPr>
        <w:t>10R</w:t>
      </w:r>
      <w:r>
        <w:t>.</w:t>
      </w:r>
      <w:r>
        <w:tab/>
        <w:t>Disputed eligibility assessment report</w:t>
      </w:r>
      <w:bookmarkEnd w:id="55"/>
    </w:p>
    <w:p>
      <w:pPr>
        <w:pStyle w:val="Subsection"/>
      </w:pPr>
      <w:r>
        <w:tab/>
        <w:t>(1)</w:t>
      </w:r>
      <w:r>
        <w:tab/>
        <w:t xml:space="preserve">If the respondent disputes any matter in an eligibility assessment report, the court must not take the disputed matter into </w:t>
      </w:r>
      <w:r>
        <w:lastRenderedPageBreak/>
        <w:t xml:space="preserve">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56" w:name="_Toc100567217"/>
      <w:r>
        <w:rPr>
          <w:rStyle w:val="CharSectno"/>
        </w:rPr>
        <w:t>10S</w:t>
      </w:r>
      <w:r>
        <w:t>.</w:t>
      </w:r>
      <w:r>
        <w:tab/>
        <w:t>Explanation of behaviour management orders</w:t>
      </w:r>
      <w:bookmarkEnd w:id="56"/>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57" w:name="_Toc100567218"/>
      <w:r>
        <w:rPr>
          <w:rStyle w:val="CharSectno"/>
        </w:rPr>
        <w:t>10T</w:t>
      </w:r>
      <w:r>
        <w:t>.</w:t>
      </w:r>
      <w:r>
        <w:tab/>
        <w:t>Variation or cancellation of behaviour management orders</w:t>
      </w:r>
      <w:bookmarkEnd w:id="57"/>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lastRenderedPageBreak/>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58" w:name="_Toc100567219"/>
      <w:r>
        <w:rPr>
          <w:rStyle w:val="CharSectno"/>
        </w:rPr>
        <w:t>10U</w:t>
      </w:r>
      <w:r>
        <w:t>.</w:t>
      </w:r>
      <w:r>
        <w:tab/>
        <w:t>Service of orders</w:t>
      </w:r>
      <w:bookmarkEnd w:id="58"/>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w:t>
      </w:r>
      <w:r>
        <w:lastRenderedPageBreak/>
        <w:t xml:space="preserve">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59" w:name="_Toc100328134"/>
      <w:bookmarkStart w:id="60" w:name="_Toc100328345"/>
      <w:bookmarkStart w:id="61" w:name="_Toc100567220"/>
      <w:r>
        <w:rPr>
          <w:rStyle w:val="CharDivNo"/>
        </w:rPr>
        <w:t>Division 4</w:t>
      </w:r>
      <w:r>
        <w:t> — </w:t>
      </w:r>
      <w:r>
        <w:rPr>
          <w:rStyle w:val="CharDivText"/>
        </w:rPr>
        <w:t>Other matters</w:t>
      </w:r>
      <w:bookmarkEnd w:id="59"/>
      <w:bookmarkEnd w:id="60"/>
      <w:bookmarkEnd w:id="61"/>
    </w:p>
    <w:p>
      <w:pPr>
        <w:pStyle w:val="Footnoteheading"/>
      </w:pPr>
      <w:r>
        <w:tab/>
        <w:t>[Heading inserted: No. 49 of 2016 s. 14.]</w:t>
      </w:r>
    </w:p>
    <w:p>
      <w:pPr>
        <w:pStyle w:val="Heading5"/>
      </w:pPr>
      <w:bookmarkStart w:id="62" w:name="_Toc100567221"/>
      <w:r>
        <w:rPr>
          <w:rStyle w:val="CharSectno"/>
        </w:rPr>
        <w:t>10V</w:t>
      </w:r>
      <w:r>
        <w:t>.</w:t>
      </w:r>
      <w:r>
        <w:tab/>
        <w:t>Respondent’s participation in behaviour change programme</w:t>
      </w:r>
      <w:bookmarkEnd w:id="62"/>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lastRenderedPageBreak/>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63" w:name="_Toc100567222"/>
      <w:r>
        <w:rPr>
          <w:rStyle w:val="CharSectno"/>
        </w:rPr>
        <w:t>10W</w:t>
      </w:r>
      <w:r>
        <w:t>.</w:t>
      </w:r>
      <w:r>
        <w:tab/>
        <w:t>Respondent’s contravention of behaviour management order</w:t>
      </w:r>
      <w:bookmarkEnd w:id="63"/>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64" w:name="_Toc100567223"/>
      <w:r>
        <w:rPr>
          <w:rStyle w:val="CharSectno"/>
        </w:rPr>
        <w:t>10X</w:t>
      </w:r>
      <w:r>
        <w:t>.</w:t>
      </w:r>
      <w:r>
        <w:tab/>
        <w:t>Confidentiality of interviews and reports</w:t>
      </w:r>
      <w:bookmarkEnd w:id="64"/>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lastRenderedPageBreak/>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65" w:name="_Toc100567224"/>
      <w:r>
        <w:rPr>
          <w:rStyle w:val="CharSectno"/>
        </w:rPr>
        <w:lastRenderedPageBreak/>
        <w:t>10Y</w:t>
      </w:r>
      <w:r>
        <w:t>.</w:t>
      </w:r>
      <w:r>
        <w:tab/>
        <w:t>Confidentiality of behaviour change programme</w:t>
      </w:r>
      <w:bookmarkEnd w:id="65"/>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66" w:name="_Toc100567225"/>
      <w:r>
        <w:rPr>
          <w:rStyle w:val="CharSectno"/>
        </w:rPr>
        <w:t>10Z</w:t>
      </w:r>
      <w:r>
        <w:t>.</w:t>
      </w:r>
      <w:r>
        <w:tab/>
        <w:t>Delegation</w:t>
      </w:r>
      <w:bookmarkEnd w:id="66"/>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67" w:name="_Toc100328140"/>
      <w:bookmarkStart w:id="68" w:name="_Toc100328351"/>
      <w:bookmarkStart w:id="69" w:name="_Toc100567226"/>
      <w:r>
        <w:rPr>
          <w:rStyle w:val="CharPartNo"/>
        </w:rPr>
        <w:lastRenderedPageBreak/>
        <w:t>Part 2</w:t>
      </w:r>
      <w:r>
        <w:rPr>
          <w:rStyle w:val="CharDivNo"/>
        </w:rPr>
        <w:t> </w:t>
      </w:r>
      <w:r>
        <w:t>—</w:t>
      </w:r>
      <w:r>
        <w:rPr>
          <w:rStyle w:val="CharDivText"/>
        </w:rPr>
        <w:t> </w:t>
      </w:r>
      <w:r>
        <w:rPr>
          <w:rStyle w:val="CharPartText"/>
        </w:rPr>
        <w:t>Violence restraining order</w:t>
      </w:r>
      <w:bookmarkEnd w:id="67"/>
      <w:bookmarkEnd w:id="68"/>
      <w:bookmarkEnd w:id="69"/>
      <w:r>
        <w:rPr>
          <w:rStyle w:val="CharPartText"/>
        </w:rPr>
        <w:t xml:space="preserve"> </w:t>
      </w:r>
    </w:p>
    <w:p>
      <w:pPr>
        <w:pStyle w:val="Ednotedivision"/>
      </w:pPr>
      <w:r>
        <w:tab/>
        <w:t>[Division heading deleted: No. 49 of 2016 s. 15.]</w:t>
      </w:r>
    </w:p>
    <w:p>
      <w:pPr>
        <w:pStyle w:val="Heading5"/>
      </w:pPr>
      <w:bookmarkStart w:id="70" w:name="_Toc100567227"/>
      <w:r>
        <w:rPr>
          <w:rStyle w:val="CharSectno"/>
        </w:rPr>
        <w:t>11</w:t>
      </w:r>
      <w:r>
        <w:t>.</w:t>
      </w:r>
      <w:r>
        <w:tab/>
        <w:t>VRO to specify names of person bound, and person protected, by order</w:t>
      </w:r>
      <w:bookmarkEnd w:id="70"/>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71" w:name="_Toc100567228"/>
      <w:r>
        <w:rPr>
          <w:rStyle w:val="CharSectno"/>
        </w:rPr>
        <w:t>11A</w:t>
      </w:r>
      <w:r>
        <w:t>.</w:t>
      </w:r>
      <w:r>
        <w:tab/>
        <w:t>When VROs may be made</w:t>
      </w:r>
      <w:bookmarkEnd w:id="71"/>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72" w:name="_Toc100567229"/>
      <w:r>
        <w:rPr>
          <w:rStyle w:val="CharSectno"/>
        </w:rPr>
        <w:lastRenderedPageBreak/>
        <w:t>12</w:t>
      </w:r>
      <w:r>
        <w:rPr>
          <w:snapToGrid w:val="0"/>
        </w:rPr>
        <w:t>.</w:t>
      </w:r>
      <w:r>
        <w:rPr>
          <w:snapToGrid w:val="0"/>
        </w:rPr>
        <w:tab/>
        <w:t>Matters to be considered by court generally</w:t>
      </w:r>
      <w:bookmarkEnd w:id="72"/>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lastRenderedPageBreak/>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73" w:name="_Toc100567230"/>
      <w:r>
        <w:rPr>
          <w:rStyle w:val="CharSectno"/>
        </w:rPr>
        <w:t>12A</w:t>
      </w:r>
      <w:r>
        <w:t>.</w:t>
      </w:r>
      <w:r>
        <w:tab/>
        <w:t>VROs not for persons in family relationship</w:t>
      </w:r>
      <w:bookmarkEnd w:id="73"/>
    </w:p>
    <w:p>
      <w:pPr>
        <w:pStyle w:val="Subsection"/>
      </w:pPr>
      <w:r>
        <w:tab/>
      </w:r>
      <w:r>
        <w:tab/>
        <w:t xml:space="preserve">A court is not to make a VRO unless it is satisfied that the person seeking to be protected by the order and the person </w:t>
      </w:r>
      <w:r>
        <w:lastRenderedPageBreak/>
        <w:t>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74" w:name="_Toc100567231"/>
      <w:r>
        <w:rPr>
          <w:rStyle w:val="CharSectno"/>
        </w:rPr>
        <w:t>13</w:t>
      </w:r>
      <w:r>
        <w:rPr>
          <w:snapToGrid w:val="0"/>
        </w:rPr>
        <w:t>.</w:t>
      </w:r>
      <w:r>
        <w:rPr>
          <w:snapToGrid w:val="0"/>
        </w:rPr>
        <w:tab/>
        <w:t>Restraints on respondent</w:t>
      </w:r>
      <w:bookmarkEnd w:id="74"/>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an personal violence against the person seeking to be protected; or</w:t>
      </w:r>
    </w:p>
    <w:p>
      <w:pPr>
        <w:pStyle w:val="Indenta"/>
      </w:pPr>
      <w:r>
        <w:tab/>
        <w:t>(aa)</w:t>
      </w:r>
      <w:r>
        <w:tab/>
        <w:t>if the person seeking to be protected by the order is a child, exposing a child to an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xml:space="preserve">, even if the </w:t>
      </w:r>
      <w:r>
        <w:rPr>
          <w:snapToGrid w:val="0"/>
        </w:rPr>
        <w:lastRenderedPageBreak/>
        <w:t>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75" w:name="_Toc100328146"/>
      <w:bookmarkStart w:id="76" w:name="_Toc100328357"/>
      <w:bookmarkStart w:id="77" w:name="_Toc100567232"/>
      <w:r>
        <w:rPr>
          <w:rStyle w:val="CharPartNo"/>
        </w:rPr>
        <w:lastRenderedPageBreak/>
        <w:t>Part 2A</w:t>
      </w:r>
      <w:r>
        <w:t> — </w:t>
      </w:r>
      <w:r>
        <w:rPr>
          <w:rStyle w:val="CharPartText"/>
        </w:rPr>
        <w:t>Provisions for FVRO and VRO</w:t>
      </w:r>
      <w:bookmarkEnd w:id="75"/>
      <w:bookmarkEnd w:id="76"/>
      <w:bookmarkEnd w:id="77"/>
    </w:p>
    <w:p>
      <w:pPr>
        <w:pStyle w:val="Footnoteheading"/>
      </w:pPr>
      <w:r>
        <w:tab/>
        <w:t>[Heading inserted: No. 49 of 2016 s. 22.]</w:t>
      </w:r>
    </w:p>
    <w:p>
      <w:pPr>
        <w:pStyle w:val="Heading3"/>
      </w:pPr>
      <w:bookmarkStart w:id="78" w:name="_Toc100328147"/>
      <w:bookmarkStart w:id="79" w:name="_Toc100328358"/>
      <w:bookmarkStart w:id="80" w:name="_Toc100567233"/>
      <w:r>
        <w:rPr>
          <w:rStyle w:val="CharDivNo"/>
        </w:rPr>
        <w:t>Division 1AA</w:t>
      </w:r>
      <w:r>
        <w:t> — </w:t>
      </w:r>
      <w:r>
        <w:rPr>
          <w:rStyle w:val="CharDivText"/>
        </w:rPr>
        <w:t>Additional circumstances where orders may be made</w:t>
      </w:r>
      <w:bookmarkEnd w:id="78"/>
      <w:bookmarkEnd w:id="79"/>
      <w:bookmarkEnd w:id="80"/>
    </w:p>
    <w:p>
      <w:pPr>
        <w:pStyle w:val="Footnoteheading"/>
      </w:pPr>
      <w:r>
        <w:tab/>
        <w:t>[Heading inserted: No. 30 of 2020 s. 57.]</w:t>
      </w:r>
    </w:p>
    <w:p>
      <w:pPr>
        <w:pStyle w:val="Heading5"/>
      </w:pPr>
      <w:bookmarkStart w:id="81" w:name="_Toc100567234"/>
      <w:r>
        <w:rPr>
          <w:rStyle w:val="CharSectno"/>
        </w:rPr>
        <w:t>13A</w:t>
      </w:r>
      <w:r>
        <w:t>.</w:t>
      </w:r>
      <w:r>
        <w:tab/>
        <w:t>Cases involving violent offences</w:t>
      </w:r>
      <w:bookmarkEnd w:id="81"/>
    </w:p>
    <w:p>
      <w:pPr>
        <w:pStyle w:val="Subsection"/>
      </w:pPr>
      <w:r>
        <w:tab/>
        <w:t>(1)</w:t>
      </w:r>
      <w:r>
        <w:tab/>
        <w:t>This section applies to an application for an FVRO or VRO if — </w:t>
      </w:r>
    </w:p>
    <w:p>
      <w:pPr>
        <w:pStyle w:val="Indenta"/>
      </w:pPr>
      <w:r>
        <w:tab/>
        <w:t>(a)</w:t>
      </w:r>
      <w:r>
        <w:tab/>
        <w:t>a person has been convicted of — </w:t>
      </w:r>
    </w:p>
    <w:p>
      <w:pPr>
        <w:pStyle w:val="Indenti"/>
      </w:pPr>
      <w:r>
        <w:tab/>
        <w:t>(i)</w:t>
      </w:r>
      <w:r>
        <w:tab/>
        <w:t xml:space="preserve">an offence referred to in section 63(4AA)(a) (in the case of an application for an FVRO); or </w:t>
      </w:r>
    </w:p>
    <w:p>
      <w:pPr>
        <w:pStyle w:val="Indenti"/>
      </w:pPr>
      <w:r>
        <w:tab/>
        <w:t>(ii)</w:t>
      </w:r>
      <w:r>
        <w:tab/>
        <w:t>a violent personal offence under section 63A(1A) (in the case of an application for either order);</w:t>
      </w:r>
    </w:p>
    <w:p>
      <w:pPr>
        <w:pStyle w:val="Indenta"/>
      </w:pPr>
      <w:r>
        <w:tab/>
      </w:r>
      <w:r>
        <w:tab/>
        <w:t>and</w:t>
      </w:r>
    </w:p>
    <w:p>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pPr>
        <w:pStyle w:val="Indenta"/>
      </w:pPr>
      <w:r>
        <w:tab/>
        <w:t>(c)</w:t>
      </w:r>
      <w:r>
        <w:tab/>
        <w:t>the application is being made against the convicted person by or on behalf of a victim of the offence.</w:t>
      </w:r>
    </w:p>
    <w:p>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pPr>
        <w:pStyle w:val="Subsection"/>
      </w:pPr>
      <w:r>
        <w:tab/>
        <w:t>(3)</w:t>
      </w:r>
      <w:r>
        <w:tab/>
        <w:t>In the case of an application where the person has been convicted of a violent personal offence under section 63A(1A), the court must make an FVRO or VRO, as is appropriate in the case, against the person.</w:t>
      </w:r>
    </w:p>
    <w:p>
      <w:pPr>
        <w:pStyle w:val="Subsection"/>
      </w:pPr>
      <w:r>
        <w:lastRenderedPageBreak/>
        <w:tab/>
        <w:t>(4)</w:t>
      </w:r>
      <w:r>
        <w:tab/>
        <w:t>An order under this section may be made on an ex parte application and in the absence of the person who is to be bound by the order.</w:t>
      </w:r>
    </w:p>
    <w:p>
      <w:pPr>
        <w:pStyle w:val="Subsection"/>
      </w:pPr>
      <w:r>
        <w:tab/>
        <w:t>(5)</w:t>
      </w:r>
      <w:r>
        <w:tab/>
        <w:t>Except as provided in subsection (6), an order will be made for a period specified by the court.</w:t>
      </w:r>
    </w:p>
    <w:p>
      <w:pPr>
        <w:pStyle w:val="Subsection"/>
      </w:pPr>
      <w:r>
        <w:tab/>
        <w:t>(6)</w:t>
      </w:r>
      <w:r>
        <w:tab/>
        <w:t>An order under subsection (3) is to be made for the period of the life of the person who committed the offence.</w:t>
      </w:r>
    </w:p>
    <w:p>
      <w:pPr>
        <w:pStyle w:val="Subsection"/>
      </w:pPr>
      <w:r>
        <w:tab/>
        <w:t>(7)</w:t>
      </w:r>
      <w:r>
        <w:tab/>
        <w:t xml:space="preserve">Despite a preceding subsection, if the relevant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pPr>
        <w:pStyle w:val="Subsection"/>
      </w:pPr>
      <w:r>
        <w:tab/>
        <w:t>(8)</w:t>
      </w:r>
      <w:r>
        <w:tab/>
        <w:t>The person bound by an order under this section may apply to vary or cancel the order on the ground that exceptional circumstances exist which justify the variation or cancellation (as the case may be).</w:t>
      </w:r>
    </w:p>
    <w:p>
      <w:pPr>
        <w:pStyle w:val="Footnotesection"/>
      </w:pPr>
      <w:r>
        <w:tab/>
        <w:t>[Section 13A inserted: No. 30 of 2020 s. 57.]</w:t>
      </w:r>
    </w:p>
    <w:p>
      <w:pPr>
        <w:pStyle w:val="Heading3"/>
      </w:pPr>
      <w:bookmarkStart w:id="82" w:name="_Toc100328149"/>
      <w:bookmarkStart w:id="83" w:name="_Toc100328360"/>
      <w:bookmarkStart w:id="84" w:name="_Toc100567235"/>
      <w:r>
        <w:rPr>
          <w:rStyle w:val="CharDivNo"/>
        </w:rPr>
        <w:t>Division 1</w:t>
      </w:r>
      <w:r>
        <w:t> — </w:t>
      </w:r>
      <w:r>
        <w:rPr>
          <w:rStyle w:val="CharDivText"/>
        </w:rPr>
        <w:t>Orders relating to firearms and explosives</w:t>
      </w:r>
      <w:bookmarkEnd w:id="82"/>
      <w:bookmarkEnd w:id="83"/>
      <w:bookmarkEnd w:id="84"/>
    </w:p>
    <w:p>
      <w:pPr>
        <w:pStyle w:val="Footnoteheading"/>
      </w:pPr>
      <w:r>
        <w:tab/>
        <w:t>[Heading inserted: No. 49 of 2016 s. 22; amended: No. 30 of 2020 s. 58.]</w:t>
      </w:r>
    </w:p>
    <w:p>
      <w:pPr>
        <w:pStyle w:val="Heading5"/>
        <w:spacing w:before="120"/>
        <w:rPr>
          <w:snapToGrid w:val="0"/>
        </w:rPr>
      </w:pPr>
      <w:bookmarkStart w:id="85" w:name="_Toc100567236"/>
      <w:r>
        <w:rPr>
          <w:rStyle w:val="CharSectno"/>
        </w:rPr>
        <w:t>14</w:t>
      </w:r>
      <w:r>
        <w:rPr>
          <w:snapToGrid w:val="0"/>
        </w:rPr>
        <w:t>.</w:t>
      </w:r>
      <w:r>
        <w:rPr>
          <w:snapToGrid w:val="0"/>
        </w:rPr>
        <w:tab/>
        <w:t>Firearms order</w:t>
      </w:r>
      <w:bookmarkEnd w:id="85"/>
      <w:r>
        <w:rPr>
          <w:snapToGrid w:val="0"/>
        </w:rPr>
        <w:t xml:space="preserve"> </w:t>
      </w:r>
    </w:p>
    <w:p>
      <w:pPr>
        <w:pStyle w:val="Subsection"/>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120"/>
        <w:rPr>
          <w:snapToGrid w:val="0"/>
        </w:rPr>
      </w:pPr>
      <w:r>
        <w:rPr>
          <w:snapToGrid w:val="0"/>
        </w:rPr>
        <w:lastRenderedPageBreak/>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firearms and firearms licences held by the person. </w:t>
      </w:r>
    </w:p>
    <w:p>
      <w:pPr>
        <w:pStyle w:val="Subsection"/>
        <w:spacing w:before="120"/>
        <w:rPr>
          <w:snapToGrid w:val="0"/>
        </w:rPr>
      </w:pPr>
      <w:r>
        <w:rPr>
          <w:snapToGrid w:val="0"/>
        </w:rPr>
        <w:tab/>
        <w:t>(3)</w:t>
      </w:r>
      <w:r>
        <w:rPr>
          <w:snapToGrid w:val="0"/>
        </w:rPr>
        <w:tab/>
        <w:t xml:space="preserve">A firearm or firearms licence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 xml:space="preserve">When making </w:t>
      </w:r>
      <w:r>
        <w:t xml:space="preserve">an FVRO or VRO </w:t>
      </w:r>
      <w:r>
        <w:rPr>
          <w:snapToGrid w:val="0"/>
        </w:rPr>
        <w:t>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lastRenderedPageBreak/>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within which the respondent must give up possession of firearms and firearms licences.</w:t>
      </w:r>
    </w:p>
    <w:p>
      <w:pPr>
        <w:pStyle w:val="Footnotesection"/>
        <w:spacing w:before="80"/>
        <w:ind w:left="890" w:hanging="890"/>
      </w:pPr>
      <w:r>
        <w:tab/>
        <w:t>[Section 14 amended: No. 38 of 2004 s. 55; No. 49 of 2016 s. 23.]</w:t>
      </w:r>
    </w:p>
    <w:p>
      <w:pPr>
        <w:pStyle w:val="Heading5"/>
      </w:pPr>
      <w:bookmarkStart w:id="86" w:name="_Toc100567237"/>
      <w:r>
        <w:rPr>
          <w:rStyle w:val="CharSectno"/>
        </w:rPr>
        <w:t>14A</w:t>
      </w:r>
      <w:r>
        <w:t>.</w:t>
      </w:r>
      <w:r>
        <w:tab/>
        <w:t>Explosives order</w:t>
      </w:r>
      <w:bookmarkEnd w:id="86"/>
      <w:r>
        <w:t xml:space="preserve"> </w:t>
      </w:r>
    </w:p>
    <w:p>
      <w:pPr>
        <w:pStyle w:val="Subsection"/>
      </w:pPr>
      <w:r>
        <w:tab/>
        <w:t>(1)</w:t>
      </w:r>
      <w:r>
        <w:tab/>
        <w:t>A court making an FVRO or VRO must consider whether it should include a restraint prohibiting the person who is bound by the order from — </w:t>
      </w:r>
    </w:p>
    <w:p>
      <w:pPr>
        <w:pStyle w:val="Indenta"/>
      </w:pPr>
      <w:r>
        <w:tab/>
        <w:t>(a)</w:t>
      </w:r>
      <w:r>
        <w:tab/>
        <w:t>being in possession of any explosives; or</w:t>
      </w:r>
    </w:p>
    <w:p>
      <w:pPr>
        <w:pStyle w:val="Indenta"/>
      </w:pPr>
      <w:r>
        <w:tab/>
        <w:t>(b)</w:t>
      </w:r>
      <w:r>
        <w:tab/>
        <w:t>obtaining, or being in possession of, an explosives licence.</w:t>
      </w:r>
    </w:p>
    <w:p>
      <w:pPr>
        <w:pStyle w:val="Subsection"/>
      </w:pPr>
      <w:r>
        <w:tab/>
        <w:t>(2)</w:t>
      </w:r>
      <w:r>
        <w:tab/>
        <w:t>A person who is bound by a restraint under subsection (1) must give up possession, to a person and in a manner prescribed by the regulations, of all explosives and explosives licences held by the person who is bound.</w:t>
      </w:r>
    </w:p>
    <w:p>
      <w:pPr>
        <w:pStyle w:val="Subsection"/>
      </w:pPr>
      <w:r>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p>
    <w:p>
      <w:pPr>
        <w:pStyle w:val="Subsection"/>
      </w:pPr>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p>
    <w:p>
      <w:pPr>
        <w:pStyle w:val="Footnotesection"/>
        <w:spacing w:before="80"/>
        <w:ind w:left="890" w:hanging="890"/>
      </w:pPr>
      <w:r>
        <w:tab/>
        <w:t>[Section 14A inserted: No. 30 of 2020 s. 59.]</w:t>
      </w:r>
    </w:p>
    <w:p>
      <w:pPr>
        <w:pStyle w:val="Heading3"/>
      </w:pPr>
      <w:bookmarkStart w:id="87" w:name="_Toc100328152"/>
      <w:bookmarkStart w:id="88" w:name="_Toc100328363"/>
      <w:bookmarkStart w:id="89" w:name="_Toc100567238"/>
      <w:r>
        <w:rPr>
          <w:rStyle w:val="CharDivNo"/>
        </w:rPr>
        <w:lastRenderedPageBreak/>
        <w:t>Division 1A</w:t>
      </w:r>
      <w:r>
        <w:t> — </w:t>
      </w:r>
      <w:r>
        <w:rPr>
          <w:rStyle w:val="CharDivText"/>
        </w:rPr>
        <w:t>Duration of orders</w:t>
      </w:r>
      <w:bookmarkEnd w:id="87"/>
      <w:bookmarkEnd w:id="88"/>
      <w:bookmarkEnd w:id="89"/>
    </w:p>
    <w:p>
      <w:pPr>
        <w:pStyle w:val="Footnoteheading"/>
        <w:keepNext/>
      </w:pPr>
      <w:r>
        <w:tab/>
        <w:t>[Heading inserted: No. 49 of 2016 s. 24.]</w:t>
      </w:r>
    </w:p>
    <w:p>
      <w:pPr>
        <w:pStyle w:val="Ednotesection"/>
        <w:keepNext/>
        <w:spacing w:before="200"/>
      </w:pPr>
      <w:r>
        <w:t>[</w:t>
      </w:r>
      <w:r>
        <w:rPr>
          <w:b/>
        </w:rPr>
        <w:t>15.</w:t>
      </w:r>
      <w:r>
        <w:tab/>
        <w:t>Deleted: No. 38 of 2004 s. 43(2).]</w:t>
      </w:r>
    </w:p>
    <w:p>
      <w:pPr>
        <w:pStyle w:val="Heading5"/>
        <w:spacing w:before="200"/>
        <w:rPr>
          <w:snapToGrid w:val="0"/>
        </w:rPr>
      </w:pPr>
      <w:bookmarkStart w:id="90" w:name="_Toc100567239"/>
      <w:r>
        <w:rPr>
          <w:rStyle w:val="CharSectno"/>
        </w:rPr>
        <w:t>16</w:t>
      </w:r>
      <w:r>
        <w:rPr>
          <w:snapToGrid w:val="0"/>
        </w:rPr>
        <w:t>.</w:t>
      </w:r>
      <w:r>
        <w:rPr>
          <w:snapToGrid w:val="0"/>
        </w:rPr>
        <w:tab/>
        <w:t>Duration of FVRO or VRO generally</w:t>
      </w:r>
      <w:bookmarkEnd w:id="90"/>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91" w:name="_Toc100567240"/>
      <w:r>
        <w:rPr>
          <w:rStyle w:val="CharSectno"/>
        </w:rPr>
        <w:lastRenderedPageBreak/>
        <w:t>16A</w:t>
      </w:r>
      <w:r>
        <w:t>.</w:t>
      </w:r>
      <w:r>
        <w:tab/>
        <w:t>Duration of FVRO</w:t>
      </w:r>
      <w:bookmarkEnd w:id="91"/>
    </w:p>
    <w:p>
      <w:pPr>
        <w:pStyle w:val="Subsection"/>
        <w:keepNext/>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pPr>
      <w:r>
        <w:tab/>
        <w:t>(2)</w:t>
      </w:r>
      <w:r>
        <w:tab/>
        <w:t>Unless varied or cancelled under Part 5, a final order that is an FVRO made against a respondent who is not a prisoner remains in force for — </w:t>
      </w:r>
    </w:p>
    <w:p>
      <w:pPr>
        <w:pStyle w:val="Indenta"/>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pPr>
        <w:pStyle w:val="Indenta"/>
      </w:pPr>
      <w:r>
        <w:tab/>
        <w:t>(a)</w:t>
      </w:r>
      <w:r>
        <w:tab/>
        <w:t xml:space="preserve">in the case of an order made at a final order hearing or under section 10H, or any interim order which becomes a final order under section 32 — 2 years, or such longer </w:t>
      </w:r>
      <w:r>
        <w:lastRenderedPageBreak/>
        <w:t>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Ednotesubsection"/>
      </w:pPr>
      <w:r>
        <w:tab/>
        <w:t>[(4)</w:t>
      </w:r>
      <w:r>
        <w:tab/>
        <w:t>deleted]</w:t>
      </w:r>
    </w:p>
    <w:p>
      <w:pPr>
        <w:pStyle w:val="Subsection"/>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pPr>
      <w:r>
        <w:tab/>
        <w:t>(7)</w:t>
      </w:r>
      <w:r>
        <w:tab/>
        <w:t>Nothing in this section affects the operation of section 50A.</w:t>
      </w:r>
    </w:p>
    <w:p>
      <w:pPr>
        <w:pStyle w:val="Footnotesection"/>
        <w:ind w:left="890" w:hanging="890"/>
      </w:pPr>
      <w:r>
        <w:tab/>
        <w:t>[Section 16A inserted: No. 49 of 2016 s. 26; amended: No. 30 of 2020 s. 60.]</w:t>
      </w:r>
    </w:p>
    <w:p>
      <w:pPr>
        <w:pStyle w:val="Heading5"/>
      </w:pPr>
      <w:bookmarkStart w:id="92" w:name="_Toc100567241"/>
      <w:r>
        <w:rPr>
          <w:rStyle w:val="CharSectno"/>
        </w:rPr>
        <w:t>16B</w:t>
      </w:r>
      <w:r>
        <w:t>.</w:t>
      </w:r>
      <w:r>
        <w:tab/>
        <w:t>Duration of VRO</w:t>
      </w:r>
      <w:bookmarkEnd w:id="92"/>
    </w:p>
    <w:p>
      <w:pPr>
        <w:pStyle w:val="Subsection"/>
      </w:pPr>
      <w:r>
        <w:tab/>
      </w:r>
      <w:r>
        <w:tab/>
        <w:t>Unless varied or cancelled under Part 5, a final order that is a VRO remains in force for — </w:t>
      </w:r>
    </w:p>
    <w:p>
      <w:pPr>
        <w:pStyle w:val="Indenta"/>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 xml:space="preserve">in the case of a telephone order which became a final order under section 32 — 3 months from when the </w:t>
      </w:r>
      <w:r>
        <w:lastRenderedPageBreak/>
        <w:t>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spacing w:before="260"/>
        <w:rPr>
          <w:snapToGrid w:val="0"/>
        </w:rPr>
      </w:pPr>
      <w:bookmarkStart w:id="93" w:name="_Toc100328156"/>
      <w:bookmarkStart w:id="94" w:name="_Toc100328367"/>
      <w:bookmarkStart w:id="95" w:name="_Toc100567242"/>
      <w:r>
        <w:rPr>
          <w:rStyle w:val="CharDivNo"/>
        </w:rPr>
        <w:t>Division 2</w:t>
      </w:r>
      <w:r>
        <w:rPr>
          <w:snapToGrid w:val="0"/>
        </w:rPr>
        <w:t> — </w:t>
      </w:r>
      <w:r>
        <w:rPr>
          <w:rStyle w:val="CharDivText"/>
        </w:rPr>
        <w:t>Telephone applications</w:t>
      </w:r>
      <w:bookmarkEnd w:id="93"/>
      <w:bookmarkEnd w:id="94"/>
      <w:bookmarkEnd w:id="95"/>
      <w:r>
        <w:rPr>
          <w:rStyle w:val="CharDivText"/>
        </w:rPr>
        <w:t xml:space="preserve"> </w:t>
      </w:r>
    </w:p>
    <w:p>
      <w:pPr>
        <w:pStyle w:val="Heading5"/>
        <w:rPr>
          <w:snapToGrid w:val="0"/>
        </w:rPr>
      </w:pPr>
      <w:bookmarkStart w:id="96" w:name="_Toc100567243"/>
      <w:r>
        <w:rPr>
          <w:rStyle w:val="CharSectno"/>
        </w:rPr>
        <w:t>17</w:t>
      </w:r>
      <w:r>
        <w:rPr>
          <w:snapToGrid w:val="0"/>
        </w:rPr>
        <w:t>.</w:t>
      </w:r>
      <w:r>
        <w:rPr>
          <w:snapToGrid w:val="0"/>
        </w:rPr>
        <w:tab/>
        <w:t>Authorised magistrates</w:t>
      </w:r>
      <w:bookmarkEnd w:id="96"/>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No. 59 of 2004 s. 124.]</w:t>
      </w:r>
    </w:p>
    <w:p>
      <w:pPr>
        <w:pStyle w:val="Heading5"/>
      </w:pPr>
      <w:bookmarkStart w:id="97" w:name="_Toc100567244"/>
      <w:r>
        <w:rPr>
          <w:rStyle w:val="CharSectno"/>
        </w:rPr>
        <w:t>18</w:t>
      </w:r>
      <w:r>
        <w:t>.</w:t>
      </w:r>
      <w:r>
        <w:tab/>
        <w:t>Who can apply</w:t>
      </w:r>
      <w:bookmarkEnd w:id="97"/>
    </w:p>
    <w:p>
      <w:pPr>
        <w:pStyle w:val="Subsection"/>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keepNext/>
      </w:pPr>
      <w:r>
        <w:lastRenderedPageBreak/>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98" w:name="_Toc100567245"/>
      <w:r>
        <w:rPr>
          <w:rStyle w:val="CharSectno"/>
        </w:rPr>
        <w:t>19</w:t>
      </w:r>
      <w:r>
        <w:rPr>
          <w:snapToGrid w:val="0"/>
        </w:rPr>
        <w:t>.</w:t>
      </w:r>
      <w:r>
        <w:rPr>
          <w:snapToGrid w:val="0"/>
        </w:rPr>
        <w:tab/>
        <w:t>How to make telephone application</w:t>
      </w:r>
      <w:bookmarkEnd w:id="98"/>
      <w:r>
        <w:rPr>
          <w:snapToGrid w:val="0"/>
        </w:rPr>
        <w:t xml:space="preserve"> </w:t>
      </w:r>
    </w:p>
    <w:p>
      <w:pPr>
        <w:pStyle w:val="Subsection"/>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99" w:name="_Toc100567246"/>
      <w:r>
        <w:rPr>
          <w:rStyle w:val="CharSectno"/>
        </w:rPr>
        <w:lastRenderedPageBreak/>
        <w:t>20</w:t>
      </w:r>
      <w:r>
        <w:rPr>
          <w:snapToGrid w:val="0"/>
        </w:rPr>
        <w:t>.</w:t>
      </w:r>
      <w:r>
        <w:rPr>
          <w:snapToGrid w:val="0"/>
        </w:rPr>
        <w:tab/>
        <w:t>When telephone application may be heard</w:t>
      </w:r>
      <w:bookmarkEnd w:id="99"/>
      <w:r>
        <w:rPr>
          <w:snapToGrid w:val="0"/>
        </w:rPr>
        <w:t xml:space="preserve"> </w:t>
      </w:r>
    </w:p>
    <w:p>
      <w:pPr>
        <w:pStyle w:val="Subsection"/>
        <w:keepNext/>
        <w:rPr>
          <w:snapToGrid w:val="0"/>
        </w:rPr>
      </w:pPr>
      <w:r>
        <w:rPr>
          <w:snapToGrid w:val="0"/>
        </w:rPr>
        <w:tab/>
        <w:t>(1)</w:t>
      </w:r>
      <w:r>
        <w:rPr>
          <w:snapToGrid w:val="0"/>
        </w:rPr>
        <w:tab/>
        <w:t>An authorised magistrate may hear a telephone application if the authorised magistrate is satisfied that — </w:t>
      </w:r>
    </w:p>
    <w:p>
      <w:pPr>
        <w:pStyle w:val="Indenta"/>
        <w:keepNext/>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100" w:name="_Toc100567247"/>
      <w:r>
        <w:rPr>
          <w:rStyle w:val="CharSectno"/>
        </w:rPr>
        <w:t>21</w:t>
      </w:r>
      <w:r>
        <w:rPr>
          <w:snapToGrid w:val="0"/>
        </w:rPr>
        <w:t>.</w:t>
      </w:r>
      <w:r>
        <w:rPr>
          <w:snapToGrid w:val="0"/>
        </w:rPr>
        <w:tab/>
        <w:t>How hearing to be conducted</w:t>
      </w:r>
      <w:bookmarkEnd w:id="100"/>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lastRenderedPageBreak/>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101" w:name="_Toc100567248"/>
      <w:r>
        <w:rPr>
          <w:rStyle w:val="CharSectno"/>
        </w:rPr>
        <w:t>23</w:t>
      </w:r>
      <w:r>
        <w:rPr>
          <w:snapToGrid w:val="0"/>
        </w:rPr>
        <w:t>.</w:t>
      </w:r>
      <w:r>
        <w:rPr>
          <w:snapToGrid w:val="0"/>
        </w:rPr>
        <w:tab/>
        <w:t>Orders at telephone hearing</w:t>
      </w:r>
      <w:bookmarkEnd w:id="101"/>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102" w:name="_Toc100567249"/>
      <w:r>
        <w:rPr>
          <w:rStyle w:val="CharSectno"/>
        </w:rPr>
        <w:lastRenderedPageBreak/>
        <w:t>24</w:t>
      </w:r>
      <w:r>
        <w:rPr>
          <w:snapToGrid w:val="0"/>
        </w:rPr>
        <w:t>.</w:t>
      </w:r>
      <w:r>
        <w:rPr>
          <w:snapToGrid w:val="0"/>
        </w:rPr>
        <w:tab/>
        <w:t>Telephone order to be prepared and served</w:t>
      </w:r>
      <w:bookmarkEnd w:id="102"/>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103" w:name="_Toc100328164"/>
      <w:bookmarkStart w:id="104" w:name="_Toc100328375"/>
      <w:bookmarkStart w:id="105" w:name="_Toc100567250"/>
      <w:r>
        <w:rPr>
          <w:rStyle w:val="CharDivNo"/>
        </w:rPr>
        <w:t>Division 3</w:t>
      </w:r>
      <w:r>
        <w:rPr>
          <w:snapToGrid w:val="0"/>
        </w:rPr>
        <w:t> — </w:t>
      </w:r>
      <w:r>
        <w:rPr>
          <w:rStyle w:val="CharDivText"/>
        </w:rPr>
        <w:t>Applications in person to a court</w:t>
      </w:r>
      <w:bookmarkEnd w:id="103"/>
      <w:bookmarkEnd w:id="104"/>
      <w:bookmarkEnd w:id="105"/>
    </w:p>
    <w:p>
      <w:pPr>
        <w:pStyle w:val="Footnoteheading"/>
        <w:tabs>
          <w:tab w:val="left" w:pos="851"/>
        </w:tabs>
      </w:pPr>
      <w:r>
        <w:tab/>
        <w:t>[Heading amended: No. 38 of 2004 s. 18(7).]</w:t>
      </w:r>
    </w:p>
    <w:p>
      <w:pPr>
        <w:pStyle w:val="Heading5"/>
      </w:pPr>
      <w:bookmarkStart w:id="106" w:name="_Toc100567251"/>
      <w:r>
        <w:rPr>
          <w:rStyle w:val="CharSectno"/>
        </w:rPr>
        <w:t>24A</w:t>
      </w:r>
      <w:r>
        <w:t>.</w:t>
      </w:r>
      <w:r>
        <w:tab/>
        <w:t>Application for FVRO</w:t>
      </w:r>
      <w:bookmarkEnd w:id="106"/>
    </w:p>
    <w:p>
      <w:pPr>
        <w:pStyle w:val="Subsection"/>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lastRenderedPageBreak/>
        <w:tab/>
        <w:t>(b)</w:t>
      </w:r>
      <w:r>
        <w:tab/>
        <w:t>a police officer on behalf of the person seeking to be protected, regardless of the age of the person.</w:t>
      </w:r>
    </w:p>
    <w:p>
      <w:pPr>
        <w:pStyle w:val="Subsection"/>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pPr>
        <w:pStyle w:val="Subsection"/>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lastRenderedPageBreak/>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107" w:name="_Toc100567252"/>
      <w:r>
        <w:rPr>
          <w:rStyle w:val="CharSectno"/>
        </w:rPr>
        <w:t>25</w:t>
      </w:r>
      <w:r>
        <w:t>.</w:t>
      </w:r>
      <w:r>
        <w:tab/>
        <w:t>Application for VRO</w:t>
      </w:r>
      <w:bookmarkEnd w:id="107"/>
    </w:p>
    <w:p>
      <w:pPr>
        <w:pStyle w:val="Subsection"/>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108" w:name="_Toc100567253"/>
      <w:r>
        <w:rPr>
          <w:rStyle w:val="CharSectno"/>
        </w:rPr>
        <w:lastRenderedPageBreak/>
        <w:t>26</w:t>
      </w:r>
      <w:r>
        <w:rPr>
          <w:snapToGrid w:val="0"/>
        </w:rPr>
        <w:t>.</w:t>
      </w:r>
      <w:r>
        <w:rPr>
          <w:snapToGrid w:val="0"/>
        </w:rPr>
        <w:tab/>
        <w:t>Applicant to choose whether to have hearing in absence of respondent</w:t>
      </w:r>
      <w:bookmarkEnd w:id="108"/>
      <w:r>
        <w:rPr>
          <w:snapToGrid w:val="0"/>
        </w:rPr>
        <w:t xml:space="preserve"> </w:t>
      </w:r>
    </w:p>
    <w:p>
      <w:pPr>
        <w:pStyle w:val="Subsection"/>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109" w:name="_Toc100567254"/>
      <w:r>
        <w:rPr>
          <w:rStyle w:val="CharSectno"/>
        </w:rPr>
        <w:t>27</w:t>
      </w:r>
      <w:r>
        <w:rPr>
          <w:snapToGrid w:val="0"/>
        </w:rPr>
        <w:t>.</w:t>
      </w:r>
      <w:r>
        <w:rPr>
          <w:snapToGrid w:val="0"/>
        </w:rPr>
        <w:tab/>
        <w:t>Attendance at hearing in absence of respondent</w:t>
      </w:r>
      <w:bookmarkEnd w:id="109"/>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Ednotesubsection"/>
        <w:tabs>
          <w:tab w:val="clear" w:pos="879"/>
          <w:tab w:val="left" w:pos="1134"/>
        </w:tabs>
        <w:ind w:left="1134" w:hanging="1134"/>
      </w:pPr>
      <w:r>
        <w:tab/>
        <w:t>[(4a), (5)</w:t>
      </w:r>
      <w:r>
        <w:tab/>
        <w:t>deleted]</w:t>
      </w:r>
    </w:p>
    <w:p>
      <w:pPr>
        <w:pStyle w:val="Footnotesection"/>
      </w:pPr>
      <w:r>
        <w:lastRenderedPageBreak/>
        <w:tab/>
        <w:t>[Section 27 amended: No. 38 of 2004 s. 15; No. 5 of 2008 s. 93; No. 30 of 2020 s. 61.]</w:t>
      </w:r>
    </w:p>
    <w:p>
      <w:pPr>
        <w:pStyle w:val="Heading5"/>
        <w:rPr>
          <w:snapToGrid w:val="0"/>
        </w:rPr>
      </w:pPr>
      <w:bookmarkStart w:id="110" w:name="_Toc100567255"/>
      <w:r>
        <w:rPr>
          <w:rStyle w:val="CharSectno"/>
        </w:rPr>
        <w:t>28</w:t>
      </w:r>
      <w:r>
        <w:rPr>
          <w:snapToGrid w:val="0"/>
        </w:rPr>
        <w:t>.</w:t>
      </w:r>
      <w:r>
        <w:rPr>
          <w:snapToGrid w:val="0"/>
        </w:rPr>
        <w:tab/>
        <w:t>Affidavit evidence</w:t>
      </w:r>
      <w:bookmarkEnd w:id="110"/>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111" w:name="_Toc100567256"/>
      <w:r>
        <w:rPr>
          <w:rStyle w:val="CharSectno"/>
        </w:rPr>
        <w:t>29</w:t>
      </w:r>
      <w:r>
        <w:rPr>
          <w:snapToGrid w:val="0"/>
        </w:rPr>
        <w:t>.</w:t>
      </w:r>
      <w:r>
        <w:rPr>
          <w:snapToGrid w:val="0"/>
        </w:rPr>
        <w:tab/>
        <w:t>Order at hearing in absence of respondent</w:t>
      </w:r>
      <w:bookmarkEnd w:id="111"/>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112" w:name="_Toc100567257"/>
      <w:r>
        <w:rPr>
          <w:rStyle w:val="CharSectno"/>
        </w:rPr>
        <w:lastRenderedPageBreak/>
        <w:t>30</w:t>
      </w:r>
      <w:r>
        <w:rPr>
          <w:snapToGrid w:val="0"/>
        </w:rPr>
        <w:t>.</w:t>
      </w:r>
      <w:r>
        <w:rPr>
          <w:snapToGrid w:val="0"/>
        </w:rPr>
        <w:tab/>
        <w:t>Order to be prepared and served</w:t>
      </w:r>
      <w:bookmarkEnd w:id="112"/>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113" w:name="_Toc100328172"/>
      <w:bookmarkStart w:id="114" w:name="_Toc100328383"/>
      <w:bookmarkStart w:id="115" w:name="_Toc100567258"/>
      <w:r>
        <w:rPr>
          <w:rStyle w:val="CharDivNo"/>
        </w:rPr>
        <w:t>Division 3A</w:t>
      </w:r>
      <w:r>
        <w:t> — </w:t>
      </w:r>
      <w:r>
        <w:rPr>
          <w:rStyle w:val="CharDivText"/>
        </w:rPr>
        <w:t>Police officers may make police orders where family violence</w:t>
      </w:r>
      <w:bookmarkEnd w:id="113"/>
      <w:bookmarkEnd w:id="114"/>
      <w:bookmarkEnd w:id="115"/>
    </w:p>
    <w:p>
      <w:pPr>
        <w:pStyle w:val="Footnoteheading"/>
        <w:keepNext/>
        <w:keepLines/>
        <w:tabs>
          <w:tab w:val="left" w:pos="851"/>
        </w:tabs>
      </w:pPr>
      <w:r>
        <w:tab/>
        <w:t>[Heading inserted: No. 38 of 2004 s. 18(1); amended: No. 49 of 2016 s. 34.]</w:t>
      </w:r>
    </w:p>
    <w:p>
      <w:pPr>
        <w:pStyle w:val="Heading5"/>
        <w:spacing w:before="180"/>
      </w:pPr>
      <w:bookmarkStart w:id="116" w:name="_Toc100567259"/>
      <w:r>
        <w:rPr>
          <w:rStyle w:val="CharSectno"/>
        </w:rPr>
        <w:t>30A</w:t>
      </w:r>
      <w:r>
        <w:t>.</w:t>
      </w:r>
      <w:r>
        <w:tab/>
        <w:t>When police order may be made</w:t>
      </w:r>
      <w:bookmarkEnd w:id="116"/>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Next/>
        <w:keepLines/>
      </w:pPr>
      <w:r>
        <w:tab/>
        <w:t>(i)</w:t>
      </w:r>
      <w:r>
        <w:tab/>
        <w:t>a person has committed family violence and is likely again to commit that violence; or</w:t>
      </w:r>
    </w:p>
    <w:p>
      <w:pPr>
        <w:pStyle w:val="Indenti"/>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lastRenderedPageBreak/>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117" w:name="_Toc100567260"/>
      <w:r>
        <w:rPr>
          <w:rStyle w:val="CharSectno"/>
        </w:rPr>
        <w:t>30B</w:t>
      </w:r>
      <w:r>
        <w:t>.</w:t>
      </w:r>
      <w:r>
        <w:tab/>
        <w:t>Matters to be considered by police officer generally</w:t>
      </w:r>
      <w:bookmarkEnd w:id="117"/>
    </w:p>
    <w:p>
      <w:pPr>
        <w:pStyle w:val="Subsection"/>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118" w:name="_Toc100567261"/>
      <w:r>
        <w:rPr>
          <w:rStyle w:val="CharSectno"/>
        </w:rPr>
        <w:lastRenderedPageBreak/>
        <w:t>30C</w:t>
      </w:r>
      <w:r>
        <w:t>.</w:t>
      </w:r>
      <w:r>
        <w:tab/>
        <w:t>Restraints that may be imposed</w:t>
      </w:r>
      <w:bookmarkEnd w:id="118"/>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119" w:name="_Toc100567262"/>
      <w:r>
        <w:rPr>
          <w:rStyle w:val="CharSectno"/>
        </w:rPr>
        <w:lastRenderedPageBreak/>
        <w:t>30D</w:t>
      </w:r>
      <w:r>
        <w:t>.</w:t>
      </w:r>
      <w:r>
        <w:tab/>
        <w:t>Police orders against children</w:t>
      </w:r>
      <w:bookmarkEnd w:id="119"/>
    </w:p>
    <w:p>
      <w:pPr>
        <w:pStyle w:val="Subsection"/>
      </w:pPr>
      <w:r>
        <w:tab/>
        <w:t>(1)</w:t>
      </w:r>
      <w:r>
        <w:tab/>
        <w:t>A police order cannot impose restraints on a child unless the child is in a family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120" w:name="_Toc100567263"/>
      <w:r>
        <w:rPr>
          <w:rStyle w:val="CharSectno"/>
        </w:rPr>
        <w:t>30E</w:t>
      </w:r>
      <w:r>
        <w:t>.</w:t>
      </w:r>
      <w:r>
        <w:tab/>
        <w:t>Police order to be served and explained</w:t>
      </w:r>
      <w:bookmarkEnd w:id="120"/>
    </w:p>
    <w:p>
      <w:pPr>
        <w:pStyle w:val="Subsection"/>
      </w:pPr>
      <w:r>
        <w:tab/>
        <w:t>(1)</w:t>
      </w:r>
      <w:r>
        <w:tab/>
        <w:t>Any police officer may serve a police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 xml:space="preserve">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w:t>
      </w:r>
      <w:r>
        <w:lastRenderedPageBreak/>
        <w:t>explanation to the person in a way that the person can understand.</w:t>
      </w:r>
    </w:p>
    <w:p>
      <w:pPr>
        <w:pStyle w:val="Subsection"/>
      </w:pPr>
      <w:r>
        <w:tab/>
        <w:t>(4A)</w:t>
      </w:r>
      <w:r>
        <w:tab/>
        <w:t>However, a person giving an explanation under subsection (4) must not be a person of a class prescribed in the regulations.</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 No. 30 of 2020 s. 62.]</w:t>
      </w:r>
    </w:p>
    <w:p>
      <w:pPr>
        <w:pStyle w:val="Heading5"/>
      </w:pPr>
      <w:bookmarkStart w:id="121" w:name="_Toc100567264"/>
      <w:r>
        <w:rPr>
          <w:rStyle w:val="CharSectno"/>
        </w:rPr>
        <w:t>30F</w:t>
      </w:r>
      <w:r>
        <w:t>.</w:t>
      </w:r>
      <w:r>
        <w:tab/>
        <w:t>Duration of police orders</w:t>
      </w:r>
      <w:bookmarkEnd w:id="121"/>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122" w:name="_Toc100567265"/>
      <w:r>
        <w:rPr>
          <w:rStyle w:val="CharSectno"/>
        </w:rPr>
        <w:t>30H</w:t>
      </w:r>
      <w:r>
        <w:t>.</w:t>
      </w:r>
      <w:r>
        <w:tab/>
        <w:t>Order not to be renewed by police officer</w:t>
      </w:r>
      <w:bookmarkEnd w:id="122"/>
    </w:p>
    <w:p>
      <w:pPr>
        <w:pStyle w:val="Subsection"/>
      </w:pPr>
      <w:r>
        <w:tab/>
      </w:r>
      <w:r>
        <w:tab/>
        <w:t>The duration of a police order cannot be extended or renewed and another police order cannot be made in relation to the same facts.</w:t>
      </w:r>
    </w:p>
    <w:p>
      <w:pPr>
        <w:pStyle w:val="Footnotesection"/>
        <w:spacing w:before="100"/>
      </w:pPr>
      <w:r>
        <w:lastRenderedPageBreak/>
        <w:tab/>
        <w:t>[Section 30H inserted: No. 38 of 2004 s. 18(1).]</w:t>
      </w:r>
    </w:p>
    <w:p>
      <w:pPr>
        <w:pStyle w:val="Heading5"/>
      </w:pPr>
      <w:bookmarkStart w:id="123" w:name="_Toc100567266"/>
      <w:r>
        <w:rPr>
          <w:rStyle w:val="CharSectno"/>
        </w:rPr>
        <w:t>30I</w:t>
      </w:r>
      <w:r>
        <w:t>.</w:t>
      </w:r>
      <w:r>
        <w:tab/>
        <w:t>Review of Division</w:t>
      </w:r>
      <w:bookmarkEnd w:id="123"/>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124" w:name="_Toc100328181"/>
      <w:bookmarkStart w:id="125" w:name="_Toc100328392"/>
      <w:bookmarkStart w:id="126" w:name="_Toc100567267"/>
      <w:r>
        <w:rPr>
          <w:rStyle w:val="CharDivNo"/>
        </w:rPr>
        <w:t>Division 4</w:t>
      </w:r>
      <w:r>
        <w:rPr>
          <w:snapToGrid w:val="0"/>
        </w:rPr>
        <w:t> — </w:t>
      </w:r>
      <w:r>
        <w:rPr>
          <w:rStyle w:val="CharDivText"/>
        </w:rPr>
        <w:t>Procedure when interim order made</w:t>
      </w:r>
      <w:bookmarkEnd w:id="124"/>
      <w:bookmarkEnd w:id="125"/>
      <w:bookmarkEnd w:id="126"/>
      <w:r>
        <w:rPr>
          <w:rStyle w:val="CharDivText"/>
        </w:rPr>
        <w:t xml:space="preserve"> </w:t>
      </w:r>
    </w:p>
    <w:p>
      <w:pPr>
        <w:pStyle w:val="Heading5"/>
      </w:pPr>
      <w:bookmarkStart w:id="127" w:name="_Toc100567268"/>
      <w:r>
        <w:rPr>
          <w:rStyle w:val="CharSectno"/>
        </w:rPr>
        <w:t>31A</w:t>
      </w:r>
      <w:r>
        <w:t>.</w:t>
      </w:r>
      <w:r>
        <w:tab/>
        <w:t>Term used: respondent</w:t>
      </w:r>
      <w:bookmarkEnd w:id="127"/>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128" w:name="_Toc100567269"/>
      <w:r>
        <w:rPr>
          <w:rStyle w:val="CharSectno"/>
        </w:rPr>
        <w:t>31</w:t>
      </w:r>
      <w:r>
        <w:rPr>
          <w:snapToGrid w:val="0"/>
        </w:rPr>
        <w:t>.</w:t>
      </w:r>
      <w:r>
        <w:rPr>
          <w:snapToGrid w:val="0"/>
        </w:rPr>
        <w:tab/>
        <w:t>21 days for respondent to object</w:t>
      </w:r>
      <w:bookmarkEnd w:id="128"/>
      <w:r>
        <w:rPr>
          <w:snapToGrid w:val="0"/>
        </w:rPr>
        <w:t xml:space="preserve"> </w:t>
      </w:r>
    </w:p>
    <w:p>
      <w:pPr>
        <w:pStyle w:val="Subsection"/>
        <w:keepNext/>
        <w:rPr>
          <w:snapToGrid w:val="0"/>
        </w:rPr>
      </w:pPr>
      <w:r>
        <w:rPr>
          <w:snapToGrid w:val="0"/>
        </w:rPr>
        <w:tab/>
      </w:r>
      <w:r>
        <w:rPr>
          <w:snapToGrid w:val="0"/>
        </w:rPr>
        <w:tab/>
        <w:t xml:space="preserve">Within 21 days of being served with an interim order a respondent must complete the respondent’s endorsement copy </w:t>
      </w:r>
      <w:r>
        <w:rPr>
          <w:snapToGrid w:val="0"/>
        </w:rPr>
        <w:lastRenderedPageBreak/>
        <w:t>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129" w:name="_Toc100567270"/>
      <w:r>
        <w:rPr>
          <w:rStyle w:val="CharSectno"/>
        </w:rPr>
        <w:t>32</w:t>
      </w:r>
      <w:r>
        <w:rPr>
          <w:snapToGrid w:val="0"/>
        </w:rPr>
        <w:t>.</w:t>
      </w:r>
      <w:r>
        <w:rPr>
          <w:snapToGrid w:val="0"/>
        </w:rPr>
        <w:tab/>
        <w:t>Respondent does not object to final order being made</w:t>
      </w:r>
      <w:bookmarkEnd w:id="129"/>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lastRenderedPageBreak/>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keepNext/>
      </w:pPr>
      <w:r>
        <w:lastRenderedPageBreak/>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No. 59 of 2004 s. 123; No. 32 of 2011 s. 12.] </w:t>
      </w:r>
    </w:p>
    <w:p>
      <w:pPr>
        <w:pStyle w:val="Heading5"/>
        <w:rPr>
          <w:snapToGrid w:val="0"/>
        </w:rPr>
      </w:pPr>
      <w:bookmarkStart w:id="130" w:name="_Toc100567271"/>
      <w:r>
        <w:rPr>
          <w:rStyle w:val="CharSectno"/>
        </w:rPr>
        <w:t>33</w:t>
      </w:r>
      <w:r>
        <w:rPr>
          <w:snapToGrid w:val="0"/>
        </w:rPr>
        <w:t>.</w:t>
      </w:r>
      <w:r>
        <w:rPr>
          <w:snapToGrid w:val="0"/>
        </w:rPr>
        <w:tab/>
        <w:t>Respondent objects to final order being made</w:t>
      </w:r>
      <w:bookmarkEnd w:id="130"/>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lastRenderedPageBreak/>
        <w:tab/>
        <w:t>(d)</w:t>
      </w:r>
      <w:r>
        <w:rPr>
          <w:snapToGrid w:val="0"/>
        </w:rPr>
        <w:tab/>
        <w:t xml:space="preserve">being in possession of a firearm that the respondent reasonably needs in order to carry on the respondent’s usual </w:t>
      </w:r>
      <w:r>
        <w:t>occupation; or</w:t>
      </w:r>
      <w:r>
        <w:rPr>
          <w:snapToGrid w:val="0"/>
        </w:rPr>
        <w:t xml:space="preserve"> </w:t>
      </w:r>
    </w:p>
    <w:p>
      <w:pPr>
        <w:pStyle w:val="Indenta"/>
      </w:pPr>
      <w:r>
        <w:tab/>
        <w:t>(e)</w:t>
      </w:r>
      <w:r>
        <w:tab/>
        <w:t>being in possession of explosives or an explosives licence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Subsection"/>
      </w:pPr>
      <w:r>
        <w:tab/>
        <w:t>(3)</w:t>
      </w:r>
      <w:r>
        <w:tab/>
        <w:t>Subsections (1) and (2) apply subject to the referral of the matter to a conference under Part 5A.</w:t>
      </w:r>
    </w:p>
    <w:p>
      <w:pPr>
        <w:pStyle w:val="Footnotesection"/>
      </w:pPr>
      <w:r>
        <w:tab/>
        <w:t xml:space="preserve">[Section 33 amended: No. 59 of 2004 s. 123; No. 30 of 2020 s. 63.] </w:t>
      </w:r>
    </w:p>
    <w:p>
      <w:pPr>
        <w:pStyle w:val="Heading2"/>
      </w:pPr>
      <w:bookmarkStart w:id="131" w:name="_Toc100328186"/>
      <w:bookmarkStart w:id="132" w:name="_Toc100328397"/>
      <w:bookmarkStart w:id="133" w:name="_Toc100567272"/>
      <w:r>
        <w:rPr>
          <w:rStyle w:val="CharPartNo"/>
        </w:rPr>
        <w:lastRenderedPageBreak/>
        <w:t>Part 3</w:t>
      </w:r>
      <w:r>
        <w:rPr>
          <w:rStyle w:val="CharDivNo"/>
        </w:rPr>
        <w:t> </w:t>
      </w:r>
      <w:r>
        <w:t>—</w:t>
      </w:r>
      <w:r>
        <w:rPr>
          <w:rStyle w:val="CharDivText"/>
        </w:rPr>
        <w:t> </w:t>
      </w:r>
      <w:r>
        <w:rPr>
          <w:rStyle w:val="CharPartText"/>
        </w:rPr>
        <w:t>Misconduct restraining order</w:t>
      </w:r>
      <w:bookmarkEnd w:id="131"/>
      <w:bookmarkEnd w:id="132"/>
      <w:bookmarkEnd w:id="133"/>
      <w:r>
        <w:rPr>
          <w:rStyle w:val="CharPartText"/>
        </w:rPr>
        <w:t xml:space="preserve"> </w:t>
      </w:r>
    </w:p>
    <w:p>
      <w:pPr>
        <w:pStyle w:val="Heading5"/>
        <w:rPr>
          <w:snapToGrid w:val="0"/>
        </w:rPr>
      </w:pPr>
      <w:bookmarkStart w:id="134" w:name="_Toc100567273"/>
      <w:r>
        <w:rPr>
          <w:rStyle w:val="CharSectno"/>
        </w:rPr>
        <w:t>34</w:t>
      </w:r>
      <w:r>
        <w:rPr>
          <w:snapToGrid w:val="0"/>
        </w:rPr>
        <w:t>.</w:t>
      </w:r>
      <w:r>
        <w:rPr>
          <w:snapToGrid w:val="0"/>
        </w:rPr>
        <w:tab/>
        <w:t>Grounds for misconduct restraining order</w:t>
      </w:r>
      <w:bookmarkEnd w:id="134"/>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w:t>
      </w:r>
    </w:p>
    <w:p>
      <w:pPr>
        <w:pStyle w:val="Heading5"/>
        <w:rPr>
          <w:snapToGrid w:val="0"/>
        </w:rPr>
      </w:pPr>
      <w:bookmarkStart w:id="135" w:name="_Toc100567274"/>
      <w:r>
        <w:rPr>
          <w:rStyle w:val="CharSectno"/>
        </w:rPr>
        <w:t>35</w:t>
      </w:r>
      <w:r>
        <w:rPr>
          <w:snapToGrid w:val="0"/>
        </w:rPr>
        <w:t>.</w:t>
      </w:r>
      <w:r>
        <w:rPr>
          <w:snapToGrid w:val="0"/>
        </w:rPr>
        <w:tab/>
        <w:t>Matters to be considered by court generally</w:t>
      </w:r>
      <w:bookmarkEnd w:id="135"/>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lastRenderedPageBreak/>
        <w:tab/>
        <w:t>(3)</w:t>
      </w:r>
      <w:r>
        <w:rPr>
          <w:snapToGrid w:val="0"/>
        </w:rPr>
        <w:tab/>
        <w:t>A court is to have regard to the matters set out in subsection (1)(a) and (b) or (2)(a) and (b) as being of primary importance.</w:t>
      </w:r>
    </w:p>
    <w:p>
      <w:pPr>
        <w:pStyle w:val="Footnotesection"/>
        <w:ind w:left="890" w:hanging="890"/>
      </w:pPr>
      <w:r>
        <w:tab/>
        <w:t>[Section 35 amended: No. 38 of 2004 s. 19, 54, 55, 56 and 57(5); No. 49 of 2016 s. 41.]</w:t>
      </w:r>
    </w:p>
    <w:p>
      <w:pPr>
        <w:pStyle w:val="Heading5"/>
      </w:pPr>
      <w:bookmarkStart w:id="136" w:name="_Toc100567275"/>
      <w:r>
        <w:rPr>
          <w:rStyle w:val="CharSectno"/>
        </w:rPr>
        <w:t>35A</w:t>
      </w:r>
      <w:r>
        <w:t>.</w:t>
      </w:r>
      <w:r>
        <w:tab/>
        <w:t>MROs not for persons in family relationship</w:t>
      </w:r>
      <w:bookmarkEnd w:id="136"/>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137" w:name="_Toc100567276"/>
      <w:r>
        <w:rPr>
          <w:rStyle w:val="CharSectno"/>
        </w:rPr>
        <w:t>36</w:t>
      </w:r>
      <w:r>
        <w:rPr>
          <w:snapToGrid w:val="0"/>
        </w:rPr>
        <w:t>.</w:t>
      </w:r>
      <w:r>
        <w:rPr>
          <w:snapToGrid w:val="0"/>
        </w:rPr>
        <w:tab/>
        <w:t>Restraints on respondent</w:t>
      </w:r>
      <w:bookmarkEnd w:id="137"/>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lastRenderedPageBreak/>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pPr>
      <w:r>
        <w:tab/>
        <w:t>(fa)</w:t>
      </w:r>
      <w:r>
        <w:tab/>
        <w:t xml:space="preserve">being in possession of any explosives or an explosives licence, or applying for an explosives licence; </w:t>
      </w:r>
    </w:p>
    <w:p>
      <w:pPr>
        <w:pStyle w:val="Indenta"/>
        <w:rPr>
          <w:snapToGrid w:val="0"/>
        </w:rPr>
      </w:pPr>
      <w:r>
        <w:rPr>
          <w:snapToGrid w:val="0"/>
        </w:rPr>
        <w:tab/>
        <w:t>(g)</w:t>
      </w:r>
      <w:r>
        <w:rPr>
          <w:snapToGrid w:val="0"/>
        </w:rPr>
        <w:tab/>
        <w:t xml:space="preserve">causing or allowing another person to engage in conduct of a type referred to in paragraphs (a) to </w:t>
      </w:r>
      <w:r>
        <w:t>(fa).</w:t>
      </w:r>
      <w:r>
        <w:rPr>
          <w:snapToGrid w:val="0"/>
        </w:rPr>
        <w:t xml:space="preserve"> </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w:t>
      </w:r>
      <w:r>
        <w:t>licence; or</w:t>
      </w:r>
      <w:r>
        <w:rPr>
          <w:snapToGrid w:val="0"/>
        </w:rPr>
        <w:t xml:space="preserve"> </w:t>
      </w:r>
    </w:p>
    <w:p>
      <w:pPr>
        <w:pStyle w:val="Indenta"/>
      </w:pPr>
      <w:r>
        <w:tab/>
        <w:t>(d)</w:t>
      </w:r>
      <w:r>
        <w:tab/>
        <w:t>being in possession of any explosives or an explosives licence, or applying for an explosives licence.</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lastRenderedPageBreak/>
        <w:tab/>
        <w:t>(6)</w:t>
      </w:r>
      <w:r>
        <w:rPr>
          <w:snapToGrid w:val="0"/>
        </w:rPr>
        <w:tab/>
        <w:t xml:space="preserve">If </w:t>
      </w:r>
      <w:r>
        <w:t>an MRO</w:t>
      </w:r>
      <w:r>
        <w:rPr>
          <w:snapToGrid w:val="0"/>
        </w:rPr>
        <w:t xml:space="preserve"> restrains the respondent from being in possession of a firearm or firearms licence, or applying for a firearms licence, sections 14 and 62E apply as if the </w:t>
      </w:r>
      <w:r>
        <w:t>MRO were a VRO (as those sections apply in relation to firearms and firearms licences).</w:t>
      </w:r>
    </w:p>
    <w:p>
      <w:pPr>
        <w:pStyle w:val="Subsection"/>
      </w:pPr>
      <w:r>
        <w:tab/>
        <w:t>(7)</w:t>
      </w:r>
      <w:r>
        <w:tab/>
        <w:t>If an MRO restrains the respondent from being in possession of any explosives or an explosives licence, or applying for an explosives licence, sections 14A and 62E apply as if the MRO were a VRO (as those sections apply in relation to explosives and explosives licences).</w:t>
      </w:r>
    </w:p>
    <w:p>
      <w:pPr>
        <w:pStyle w:val="Footnotesection"/>
        <w:ind w:left="890" w:hanging="890"/>
      </w:pPr>
      <w:r>
        <w:tab/>
        <w:t>[Section 36 amended: No. 38 of 2004 s. 21, 43(4), 54 and 56; No. 49 of 2016 s. 43; No. 30 of 2020 s. 64.]</w:t>
      </w:r>
    </w:p>
    <w:p>
      <w:pPr>
        <w:pStyle w:val="Heading5"/>
        <w:rPr>
          <w:snapToGrid w:val="0"/>
        </w:rPr>
      </w:pPr>
      <w:bookmarkStart w:id="138" w:name="_Toc100567277"/>
      <w:r>
        <w:rPr>
          <w:rStyle w:val="CharSectno"/>
        </w:rPr>
        <w:t>37</w:t>
      </w:r>
      <w:r>
        <w:rPr>
          <w:snapToGrid w:val="0"/>
        </w:rPr>
        <w:t>.</w:t>
      </w:r>
      <w:r>
        <w:rPr>
          <w:snapToGrid w:val="0"/>
        </w:rPr>
        <w:tab/>
        <w:t>Duration of MRO</w:t>
      </w:r>
      <w:bookmarkEnd w:id="138"/>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139" w:name="_Toc100567278"/>
      <w:r>
        <w:rPr>
          <w:rStyle w:val="CharSectno"/>
        </w:rPr>
        <w:t>38</w:t>
      </w:r>
      <w:r>
        <w:t>.</w:t>
      </w:r>
      <w:r>
        <w:tab/>
        <w:t>Application for MRO</w:t>
      </w:r>
      <w:bookmarkEnd w:id="139"/>
    </w:p>
    <w:p>
      <w:pPr>
        <w:pStyle w:val="Subsection"/>
      </w:pPr>
      <w:r>
        <w:tab/>
        <w:t>(1)</w:t>
      </w:r>
      <w:r>
        <w:tab/>
        <w:t>An application for an MRO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lastRenderedPageBreak/>
        <w:tab/>
        <w:t>(3)</w:t>
      </w:r>
      <w:r>
        <w:tab/>
        <w:t>If there is no particular person seeking to be protected an application for an MRO may be made by a police officer on behalf of the public generally.</w:t>
      </w:r>
    </w:p>
    <w:p>
      <w:pPr>
        <w:pStyle w:val="Subsection"/>
      </w:pPr>
      <w:r>
        <w:tab/>
        <w:t>(4)</w:t>
      </w:r>
      <w:r>
        <w:tab/>
        <w:t xml:space="preserve">An application for an MRO is to be made in accordance with the rules of court (using, if the regulations so require,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 No. 30 of 2020 s. 65.]</w:t>
      </w:r>
    </w:p>
    <w:p>
      <w:pPr>
        <w:pStyle w:val="Heading5"/>
        <w:rPr>
          <w:snapToGrid w:val="0"/>
        </w:rPr>
      </w:pPr>
      <w:bookmarkStart w:id="140" w:name="_Toc100567279"/>
      <w:r>
        <w:rPr>
          <w:rStyle w:val="CharSectno"/>
        </w:rPr>
        <w:t>39</w:t>
      </w:r>
      <w:r>
        <w:rPr>
          <w:snapToGrid w:val="0"/>
        </w:rPr>
        <w:t>.</w:t>
      </w:r>
      <w:r>
        <w:rPr>
          <w:snapToGrid w:val="0"/>
        </w:rPr>
        <w:tab/>
      </w:r>
      <w:r>
        <w:t xml:space="preserve">Registrar </w:t>
      </w:r>
      <w:r>
        <w:rPr>
          <w:snapToGrid w:val="0"/>
        </w:rPr>
        <w:t>to fix hearing and issue summons</w:t>
      </w:r>
      <w:bookmarkEnd w:id="140"/>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141" w:name="_Toc100328194"/>
      <w:bookmarkStart w:id="142" w:name="_Toc100328405"/>
      <w:bookmarkStart w:id="143" w:name="_Toc100567280"/>
      <w:r>
        <w:rPr>
          <w:rStyle w:val="CharPartNo"/>
        </w:rPr>
        <w:lastRenderedPageBreak/>
        <w:t>Part 4</w:t>
      </w:r>
      <w:r>
        <w:t> — </w:t>
      </w:r>
      <w:r>
        <w:rPr>
          <w:rStyle w:val="CharPartText"/>
        </w:rPr>
        <w:t>Hearings and evidence</w:t>
      </w:r>
      <w:bookmarkEnd w:id="141"/>
      <w:bookmarkEnd w:id="142"/>
      <w:bookmarkEnd w:id="143"/>
    </w:p>
    <w:p>
      <w:pPr>
        <w:pStyle w:val="Footnoteheading"/>
        <w:tabs>
          <w:tab w:val="left" w:pos="851"/>
        </w:tabs>
      </w:pPr>
      <w:r>
        <w:tab/>
        <w:t>[Heading amended: No. 38 of 2004 s. 22.]</w:t>
      </w:r>
    </w:p>
    <w:p>
      <w:pPr>
        <w:pStyle w:val="Heading3"/>
        <w:rPr>
          <w:snapToGrid w:val="0"/>
        </w:rPr>
      </w:pPr>
      <w:bookmarkStart w:id="144" w:name="_Toc100328195"/>
      <w:bookmarkStart w:id="145" w:name="_Toc100328406"/>
      <w:bookmarkStart w:id="146" w:name="_Toc100567281"/>
      <w:r>
        <w:rPr>
          <w:rStyle w:val="CharDivNo"/>
        </w:rPr>
        <w:t>Division 1</w:t>
      </w:r>
      <w:r>
        <w:rPr>
          <w:snapToGrid w:val="0"/>
        </w:rPr>
        <w:t> — </w:t>
      </w:r>
      <w:r>
        <w:rPr>
          <w:rStyle w:val="CharDivText"/>
        </w:rPr>
        <w:t>Mention hearings</w:t>
      </w:r>
      <w:bookmarkEnd w:id="144"/>
      <w:bookmarkEnd w:id="145"/>
      <w:bookmarkEnd w:id="146"/>
      <w:r>
        <w:rPr>
          <w:rStyle w:val="CharDivText"/>
        </w:rPr>
        <w:t xml:space="preserve"> </w:t>
      </w:r>
    </w:p>
    <w:p>
      <w:pPr>
        <w:pStyle w:val="Heading5"/>
        <w:spacing w:before="200"/>
        <w:rPr>
          <w:snapToGrid w:val="0"/>
        </w:rPr>
      </w:pPr>
      <w:bookmarkStart w:id="147" w:name="_Toc100567282"/>
      <w:r>
        <w:rPr>
          <w:rStyle w:val="CharSectno"/>
        </w:rPr>
        <w:t>40</w:t>
      </w:r>
      <w:r>
        <w:rPr>
          <w:snapToGrid w:val="0"/>
        </w:rPr>
        <w:t>.</w:t>
      </w:r>
      <w:r>
        <w:rPr>
          <w:snapToGrid w:val="0"/>
        </w:rPr>
        <w:tab/>
        <w:t>Attendance at hearing</w:t>
      </w:r>
      <w:bookmarkEnd w:id="147"/>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148" w:name="_Toc100567283"/>
      <w:r>
        <w:rPr>
          <w:rStyle w:val="CharSectno"/>
        </w:rPr>
        <w:t>41</w:t>
      </w:r>
      <w:r>
        <w:rPr>
          <w:snapToGrid w:val="0"/>
        </w:rPr>
        <w:t>.</w:t>
      </w:r>
      <w:r>
        <w:rPr>
          <w:snapToGrid w:val="0"/>
        </w:rPr>
        <w:tab/>
        <w:t>Consent order or final order hearing to be fixed</w:t>
      </w:r>
      <w:bookmarkEnd w:id="148"/>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w:t>
      </w:r>
      <w:r>
        <w:rPr>
          <w:snapToGrid w:val="0"/>
        </w:rPr>
        <w:lastRenderedPageBreak/>
        <w:t>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149" w:name="_Toc100328198"/>
      <w:bookmarkStart w:id="150" w:name="_Toc100328409"/>
      <w:bookmarkStart w:id="151" w:name="_Toc100567284"/>
      <w:r>
        <w:rPr>
          <w:rStyle w:val="CharDivNo"/>
        </w:rPr>
        <w:t>Division 2</w:t>
      </w:r>
      <w:r>
        <w:rPr>
          <w:snapToGrid w:val="0"/>
        </w:rPr>
        <w:t> — </w:t>
      </w:r>
      <w:r>
        <w:rPr>
          <w:rStyle w:val="CharDivText"/>
        </w:rPr>
        <w:t>Final order hearings</w:t>
      </w:r>
      <w:bookmarkEnd w:id="149"/>
      <w:bookmarkEnd w:id="150"/>
      <w:bookmarkEnd w:id="151"/>
      <w:r>
        <w:rPr>
          <w:rStyle w:val="CharDivText"/>
        </w:rPr>
        <w:t xml:space="preserve"> </w:t>
      </w:r>
    </w:p>
    <w:p>
      <w:pPr>
        <w:pStyle w:val="Heading5"/>
        <w:rPr>
          <w:snapToGrid w:val="0"/>
        </w:rPr>
      </w:pPr>
      <w:bookmarkStart w:id="152" w:name="_Toc100567285"/>
      <w:r>
        <w:rPr>
          <w:rStyle w:val="CharSectno"/>
        </w:rPr>
        <w:t>42</w:t>
      </w:r>
      <w:r>
        <w:rPr>
          <w:snapToGrid w:val="0"/>
        </w:rPr>
        <w:t>.</w:t>
      </w:r>
      <w:r>
        <w:rPr>
          <w:snapToGrid w:val="0"/>
        </w:rPr>
        <w:tab/>
        <w:t>Attendance at final order hearing</w:t>
      </w:r>
      <w:bookmarkEnd w:id="152"/>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lastRenderedPageBreak/>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153" w:name="_Toc100567286"/>
      <w:r>
        <w:rPr>
          <w:rStyle w:val="CharSectno"/>
        </w:rPr>
        <w:t>43</w:t>
      </w:r>
      <w:r>
        <w:rPr>
          <w:snapToGrid w:val="0"/>
        </w:rPr>
        <w:t>.</w:t>
      </w:r>
      <w:r>
        <w:rPr>
          <w:snapToGrid w:val="0"/>
        </w:rPr>
        <w:tab/>
        <w:t>Making final order</w:t>
      </w:r>
      <w:bookmarkEnd w:id="153"/>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lastRenderedPageBreak/>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154" w:name="_Toc100567287"/>
      <w:r>
        <w:rPr>
          <w:rStyle w:val="CharSectno"/>
        </w:rPr>
        <w:t>43A</w:t>
      </w:r>
      <w:r>
        <w:t>.</w:t>
      </w:r>
      <w:r>
        <w:tab/>
        <w:t>Decision under s. 42 in default of appearance may be set aside</w:t>
      </w:r>
      <w:bookmarkEnd w:id="154"/>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lastRenderedPageBreak/>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w:t>
      </w:r>
      <w:r>
        <w:rPr>
          <w:snapToGrid w:val="0"/>
        </w:rPr>
        <w:lastRenderedPageBreak/>
        <w:t xml:space="preserve">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155" w:name="_Toc100567288"/>
      <w:r>
        <w:rPr>
          <w:rStyle w:val="CharSectno"/>
        </w:rPr>
        <w:t>44</w:t>
      </w:r>
      <w:r>
        <w:rPr>
          <w:snapToGrid w:val="0"/>
        </w:rPr>
        <w:t>.</w:t>
      </w:r>
      <w:r>
        <w:rPr>
          <w:snapToGrid w:val="0"/>
        </w:rPr>
        <w:tab/>
        <w:t>Order to be prepared and served</w:t>
      </w:r>
      <w:bookmarkEnd w:id="155"/>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156" w:name="_Toc100328203"/>
      <w:bookmarkStart w:id="157" w:name="_Toc100328414"/>
      <w:bookmarkStart w:id="158" w:name="_Toc100567289"/>
      <w:r>
        <w:rPr>
          <w:rStyle w:val="CharDivNo"/>
        </w:rPr>
        <w:lastRenderedPageBreak/>
        <w:t>Division 3</w:t>
      </w:r>
      <w:r>
        <w:t> — </w:t>
      </w:r>
      <w:r>
        <w:rPr>
          <w:rStyle w:val="CharDivText"/>
        </w:rPr>
        <w:t>Evidence</w:t>
      </w:r>
      <w:bookmarkEnd w:id="156"/>
      <w:bookmarkEnd w:id="157"/>
      <w:bookmarkEnd w:id="158"/>
    </w:p>
    <w:p>
      <w:pPr>
        <w:pStyle w:val="Footnoteheading"/>
        <w:keepNext/>
        <w:keepLines/>
        <w:tabs>
          <w:tab w:val="left" w:pos="851"/>
        </w:tabs>
      </w:pPr>
      <w:r>
        <w:tab/>
        <w:t>[Heading inserted: No. 38 of 2004 s. 26.]</w:t>
      </w:r>
    </w:p>
    <w:p>
      <w:pPr>
        <w:pStyle w:val="Heading5"/>
      </w:pPr>
      <w:bookmarkStart w:id="159" w:name="_Toc100567290"/>
      <w:r>
        <w:rPr>
          <w:rStyle w:val="CharSectno"/>
        </w:rPr>
        <w:t>44A</w:t>
      </w:r>
      <w:r>
        <w:t>.</w:t>
      </w:r>
      <w:r>
        <w:tab/>
        <w:t>Rules of evidence not to apply in certain circumstances</w:t>
      </w:r>
      <w:bookmarkEnd w:id="159"/>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160" w:name="_Toc100567291"/>
      <w:r>
        <w:rPr>
          <w:rStyle w:val="CharSectno"/>
        </w:rPr>
        <w:lastRenderedPageBreak/>
        <w:t>44B</w:t>
      </w:r>
      <w:r>
        <w:t>.</w:t>
      </w:r>
      <w:r>
        <w:tab/>
        <w:t>Access to affidavit evidence</w:t>
      </w:r>
      <w:bookmarkEnd w:id="160"/>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161" w:name="_Toc100567292"/>
      <w:r>
        <w:rPr>
          <w:rStyle w:val="CharSectno"/>
        </w:rPr>
        <w:t>44C</w:t>
      </w:r>
      <w:r>
        <w:t>.</w:t>
      </w:r>
      <w:r>
        <w:tab/>
        <w:t>Cross</w:t>
      </w:r>
      <w:r>
        <w:noBreakHyphen/>
        <w:t>examination of certain persons</w:t>
      </w:r>
      <w:bookmarkEnd w:id="161"/>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lastRenderedPageBreak/>
        <w:tab/>
        <w:t>(b)</w:t>
      </w:r>
      <w:r>
        <w:tab/>
        <w:t>if the court is of the opinion that it is not just or desirable for such an order to be made.</w:t>
      </w:r>
    </w:p>
    <w:p>
      <w:pPr>
        <w:pStyle w:val="Subsection"/>
      </w:pPr>
      <w:r>
        <w:tab/>
        <w:t>(3)</w:t>
      </w:r>
      <w:r>
        <w:tab/>
        <w:t>This section does not derogate from the operation of section 44F.</w:t>
      </w:r>
    </w:p>
    <w:p>
      <w:pPr>
        <w:pStyle w:val="Footnotesection"/>
        <w:spacing w:before="100"/>
        <w:ind w:left="890" w:hanging="890"/>
      </w:pPr>
      <w:r>
        <w:tab/>
        <w:t>[Section 44C inserted: No. 38 of 2004 s. 26; amended: No. 49 of 2016 s. 50; No. 30 of 2020 s. 66.]</w:t>
      </w:r>
    </w:p>
    <w:p>
      <w:pPr>
        <w:pStyle w:val="Heading3"/>
      </w:pPr>
      <w:bookmarkStart w:id="162" w:name="_Toc100328207"/>
      <w:bookmarkStart w:id="163" w:name="_Toc100328418"/>
      <w:bookmarkStart w:id="164" w:name="_Toc100567293"/>
      <w:r>
        <w:rPr>
          <w:rStyle w:val="CharDivNo"/>
        </w:rPr>
        <w:t>Division 4</w:t>
      </w:r>
      <w:r>
        <w:t> — </w:t>
      </w:r>
      <w:r>
        <w:rPr>
          <w:rStyle w:val="CharDivText"/>
        </w:rPr>
        <w:t>Other provisions to protect applicants</w:t>
      </w:r>
      <w:bookmarkEnd w:id="162"/>
      <w:bookmarkEnd w:id="163"/>
      <w:bookmarkEnd w:id="164"/>
    </w:p>
    <w:p>
      <w:pPr>
        <w:pStyle w:val="Footnoteheading"/>
        <w:keepNext/>
        <w:keepLines/>
        <w:tabs>
          <w:tab w:val="left" w:pos="851"/>
        </w:tabs>
      </w:pPr>
      <w:r>
        <w:tab/>
        <w:t>[Heading inserted: No. 30 of 2020 s. 67.]</w:t>
      </w:r>
    </w:p>
    <w:p>
      <w:pPr>
        <w:pStyle w:val="Heading5"/>
      </w:pPr>
      <w:bookmarkStart w:id="165" w:name="_Toc100567294"/>
      <w:r>
        <w:rPr>
          <w:rStyle w:val="CharSectno"/>
        </w:rPr>
        <w:t>44D</w:t>
      </w:r>
      <w:r>
        <w:t>.</w:t>
      </w:r>
      <w:r>
        <w:tab/>
        <w:t>Support and other persons who may be present</w:t>
      </w:r>
      <w:bookmarkEnd w:id="165"/>
    </w:p>
    <w:p>
      <w:pPr>
        <w:pStyle w:val="Subsection"/>
      </w:pPr>
      <w:r>
        <w:tab/>
        <w:t>(1)</w:t>
      </w:r>
      <w:r>
        <w:tab/>
        <w:t>In any proceedings under this Act (including in relation to a hearing in closed court) —</w:t>
      </w:r>
    </w:p>
    <w:p>
      <w:pPr>
        <w:pStyle w:val="Indenta"/>
      </w:pPr>
      <w:r>
        <w:tab/>
        <w:t>(a)</w:t>
      </w:r>
      <w:r>
        <w:tab/>
        <w:t>the person seeking to be protected by an order (or on whose behalf an order is sought) is entitled to have 1 or more persons near to provide support; and</w:t>
      </w:r>
    </w:p>
    <w:p>
      <w:pPr>
        <w:pStyle w:val="Indenta"/>
      </w:pPr>
      <w:r>
        <w:tab/>
        <w:t>(b)</w:t>
      </w:r>
      <w:r>
        <w:tab/>
        <w:t>the court may permit any person who is not a party to the proceedings to be in court.</w:t>
      </w:r>
    </w:p>
    <w:p>
      <w:pPr>
        <w:pStyle w:val="Subsection"/>
      </w:pPr>
      <w:r>
        <w:tab/>
        <w:t>(2)</w:t>
      </w:r>
      <w:r>
        <w:tab/>
        <w:t>A person to provide support is to be approved by the court and is not to be a person who is a witness in, or a party to, the proceedings.</w:t>
      </w:r>
    </w:p>
    <w:p>
      <w:pPr>
        <w:pStyle w:val="Footnotesection"/>
      </w:pPr>
      <w:r>
        <w:tab/>
        <w:t>[Section 44D inserted: No. 30 of 2020 s. 67.]</w:t>
      </w:r>
    </w:p>
    <w:p>
      <w:pPr>
        <w:pStyle w:val="Heading5"/>
      </w:pPr>
      <w:bookmarkStart w:id="166" w:name="_Toc100567295"/>
      <w:r>
        <w:rPr>
          <w:rStyle w:val="CharSectno"/>
        </w:rPr>
        <w:t>44E</w:t>
      </w:r>
      <w:r>
        <w:t>.</w:t>
      </w:r>
      <w:r>
        <w:tab/>
        <w:t>Use of closed circuit television or screening arrangements</w:t>
      </w:r>
      <w:bookmarkEnd w:id="166"/>
    </w:p>
    <w:p>
      <w:pPr>
        <w:pStyle w:val="Subsection"/>
      </w:pPr>
      <w:r>
        <w:tab/>
        <w:t>(1)</w:t>
      </w:r>
      <w:r>
        <w:tab/>
        <w:t>A court may make arrangements under this section in any proceedings under this Act if it is of the opinion that, if those arrangements are not made, a party to the proceedings or a witness would be likely —</w:t>
      </w:r>
    </w:p>
    <w:p>
      <w:pPr>
        <w:pStyle w:val="Indenta"/>
      </w:pPr>
      <w:r>
        <w:tab/>
        <w:t>(a)</w:t>
      </w:r>
      <w:r>
        <w:tab/>
        <w:t>to be unable to give evidence, or to give evidence satisfactorily; or</w:t>
      </w:r>
    </w:p>
    <w:p>
      <w:pPr>
        <w:pStyle w:val="Indenta"/>
      </w:pPr>
      <w:r>
        <w:tab/>
        <w:t>(b)</w:t>
      </w:r>
      <w:r>
        <w:tab/>
        <w:t>to suffer severe emotional trauma or be unnecessarily intimidated or distressed.</w:t>
      </w:r>
    </w:p>
    <w:p>
      <w:pPr>
        <w:pStyle w:val="Subsection"/>
      </w:pPr>
      <w:r>
        <w:lastRenderedPageBreak/>
        <w:tab/>
        <w:t>(2)</w:t>
      </w:r>
      <w:r>
        <w:tab/>
        <w:t>In acting under this section, the court may make such arrangements as it thinks fit, including by using closed circuit television or screens, one</w:t>
      </w:r>
      <w:r>
        <w:noBreakHyphen/>
        <w:t>way glass or other suitable shielding devices.</w:t>
      </w:r>
    </w:p>
    <w:p>
      <w:pPr>
        <w:pStyle w:val="Subsection"/>
      </w:pPr>
      <w:r>
        <w:tab/>
        <w:t>(3)</w:t>
      </w:r>
      <w:r>
        <w:tab/>
        <w:t>When considering whether to make arrangements under this section in respect of a person, the court may have regard to —</w:t>
      </w:r>
    </w:p>
    <w:p>
      <w:pPr>
        <w:pStyle w:val="Indenta"/>
      </w:pPr>
      <w:r>
        <w:tab/>
        <w:t>(a)</w:t>
      </w:r>
      <w:r>
        <w:tab/>
        <w:t>the person’s age; and</w:t>
      </w:r>
    </w:p>
    <w:p>
      <w:pPr>
        <w:pStyle w:val="Indenta"/>
      </w:pPr>
      <w:r>
        <w:tab/>
        <w:t>(b)</w:t>
      </w:r>
      <w:r>
        <w:tab/>
        <w:t>the person’s cultural background; and</w:t>
      </w:r>
    </w:p>
    <w:p>
      <w:pPr>
        <w:pStyle w:val="Indenta"/>
      </w:pPr>
      <w:r>
        <w:tab/>
        <w:t>(c)</w:t>
      </w:r>
      <w:r>
        <w:tab/>
        <w:t xml:space="preserve">any physical disability or mental impairment (as defined in the </w:t>
      </w:r>
      <w:r>
        <w:rPr>
          <w:i/>
        </w:rPr>
        <w:t>Criminal Law (Mentally Impaired Accused) Act 1996</w:t>
      </w:r>
      <w:r>
        <w:t xml:space="preserve"> section 8) of the person; and</w:t>
      </w:r>
    </w:p>
    <w:p>
      <w:pPr>
        <w:pStyle w:val="Indenta"/>
      </w:pPr>
      <w:r>
        <w:tab/>
        <w:t>(d)</w:t>
      </w:r>
      <w:r>
        <w:tab/>
        <w:t>the relationship of the person to any other person involved in the proceedings; and</w:t>
      </w:r>
    </w:p>
    <w:p>
      <w:pPr>
        <w:pStyle w:val="Indenta"/>
      </w:pPr>
      <w:r>
        <w:tab/>
        <w:t>(e)</w:t>
      </w:r>
      <w:r>
        <w:tab/>
        <w:t>the effect on the person of the presence of another person; and</w:t>
      </w:r>
    </w:p>
    <w:p>
      <w:pPr>
        <w:pStyle w:val="Indenta"/>
      </w:pPr>
      <w:r>
        <w:tab/>
        <w:t>(f)</w:t>
      </w:r>
      <w:r>
        <w:tab/>
        <w:t>the nature of the subject</w:t>
      </w:r>
      <w:r>
        <w:noBreakHyphen/>
        <w:t>matter of the proceedings; and</w:t>
      </w:r>
    </w:p>
    <w:p>
      <w:pPr>
        <w:pStyle w:val="Indenta"/>
      </w:pPr>
      <w:r>
        <w:tab/>
        <w:t>(g)</w:t>
      </w:r>
      <w:r>
        <w:tab/>
        <w:t>the expressed views of the person; and</w:t>
      </w:r>
    </w:p>
    <w:p>
      <w:pPr>
        <w:pStyle w:val="Indenta"/>
      </w:pPr>
      <w:r>
        <w:tab/>
        <w:t>(h)</w:t>
      </w:r>
      <w:r>
        <w:tab/>
        <w:t>any other factor the court considers relevant.</w:t>
      </w:r>
    </w:p>
    <w:p>
      <w:pPr>
        <w:pStyle w:val="Subsection"/>
      </w:pPr>
      <w:r>
        <w:tab/>
        <w:t>(4)</w:t>
      </w:r>
      <w:r>
        <w:tab/>
        <w:t>When making arrangements under this section, the court must ensure that —</w:t>
      </w:r>
    </w:p>
    <w:p>
      <w:pPr>
        <w:pStyle w:val="Indenta"/>
      </w:pPr>
      <w:r>
        <w:tab/>
        <w:t>(a)</w:t>
      </w:r>
      <w:r>
        <w:tab/>
        <w:t>the judicial officer and all parties to the matter (or their counsel, if any) are able to see, hear and speak to each witness while the witness is giving evidence; and</w:t>
      </w:r>
    </w:p>
    <w:p>
      <w:pPr>
        <w:pStyle w:val="Indenta"/>
      </w:pPr>
      <w:r>
        <w:tab/>
        <w:t>(b)</w:t>
      </w:r>
      <w:r>
        <w:tab/>
        <w:t>each party to the matter has the means of communicating with their counsel at all times; and</w:t>
      </w:r>
    </w:p>
    <w:p>
      <w:pPr>
        <w:pStyle w:val="Indenta"/>
      </w:pPr>
      <w:r>
        <w:tab/>
        <w:t>(c)</w:t>
      </w:r>
      <w:r>
        <w:tab/>
        <w:t>if a person takes part in the proceedings from outside the court room, the person is able to see, hear and speak to the judicial officer at all times.</w:t>
      </w:r>
    </w:p>
    <w:p>
      <w:pPr>
        <w:pStyle w:val="Subsection"/>
      </w:pPr>
      <w:r>
        <w:tab/>
        <w:t>(5)</w:t>
      </w:r>
      <w:r>
        <w:tab/>
        <w:t>The court may make arrangements under this section —</w:t>
      </w:r>
    </w:p>
    <w:p>
      <w:pPr>
        <w:pStyle w:val="Indenta"/>
      </w:pPr>
      <w:r>
        <w:tab/>
        <w:t>(a)</w:t>
      </w:r>
      <w:r>
        <w:tab/>
        <w:t>on the application of a party to the proceedings, at the request of a witness, or of its own motion; and</w:t>
      </w:r>
    </w:p>
    <w:p>
      <w:pPr>
        <w:pStyle w:val="Indenta"/>
      </w:pPr>
      <w:r>
        <w:tab/>
        <w:t>(b)</w:t>
      </w:r>
      <w:r>
        <w:tab/>
        <w:t>at any stage of proceedings.</w:t>
      </w:r>
    </w:p>
    <w:p>
      <w:pPr>
        <w:pStyle w:val="Subsection"/>
      </w:pPr>
      <w:r>
        <w:lastRenderedPageBreak/>
        <w:tab/>
        <w:t>(6)</w:t>
      </w:r>
      <w:r>
        <w:tab/>
        <w:t>Whenever a matter relating to an FVRO or VRO comes before a court, the court must consider whether it ought to make arrangements under this section.</w:t>
      </w:r>
    </w:p>
    <w:p>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pPr>
        <w:pStyle w:val="Footnotesection"/>
      </w:pPr>
      <w:r>
        <w:tab/>
        <w:t>[Section 44E inserted: No. 30 of 2020 s. 67.]</w:t>
      </w:r>
    </w:p>
    <w:p>
      <w:pPr>
        <w:pStyle w:val="Heading5"/>
      </w:pPr>
      <w:bookmarkStart w:id="167" w:name="_Toc100567296"/>
      <w:r>
        <w:rPr>
          <w:rStyle w:val="CharSectno"/>
        </w:rPr>
        <w:t>44F</w:t>
      </w:r>
      <w:r>
        <w:t>.</w:t>
      </w:r>
      <w:r>
        <w:tab/>
        <w:t>Additional provisions relating to FVROs</w:t>
      </w:r>
      <w:bookmarkEnd w:id="167"/>
    </w:p>
    <w:p>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pPr>
        <w:pStyle w:val="Indenta"/>
      </w:pPr>
      <w:r>
        <w:tab/>
        <w:t>(a)</w:t>
      </w:r>
      <w:r>
        <w:tab/>
        <w:t>actively directing, controlling and managing the conduct of the proceedings; and</w:t>
      </w:r>
    </w:p>
    <w:p>
      <w:pPr>
        <w:pStyle w:val="Indenta"/>
      </w:pPr>
      <w:r>
        <w:tab/>
        <w:t>(b)</w:t>
      </w:r>
      <w:r>
        <w:tab/>
        <w:t>without limiting paragraph (a), limiting cross</w:t>
      </w:r>
      <w:r>
        <w:noBreakHyphen/>
        <w:t>examination of a person.</w:t>
      </w:r>
    </w:p>
    <w:p>
      <w:pPr>
        <w:pStyle w:val="Footnotesection"/>
      </w:pPr>
      <w:r>
        <w:tab/>
        <w:t>[Section 44F inserted: No. 30 of 2020 s. 67.]</w:t>
      </w:r>
    </w:p>
    <w:p>
      <w:pPr>
        <w:pStyle w:val="Heading2"/>
      </w:pPr>
      <w:bookmarkStart w:id="168" w:name="_Toc100328211"/>
      <w:bookmarkStart w:id="169" w:name="_Toc100328422"/>
      <w:bookmarkStart w:id="170" w:name="_Toc100567297"/>
      <w:r>
        <w:rPr>
          <w:rStyle w:val="CharPartNo"/>
        </w:rPr>
        <w:lastRenderedPageBreak/>
        <w:t>Part 5</w:t>
      </w:r>
      <w:r>
        <w:rPr>
          <w:rStyle w:val="CharDivNo"/>
        </w:rPr>
        <w:t> </w:t>
      </w:r>
      <w:r>
        <w:t>—</w:t>
      </w:r>
      <w:r>
        <w:rPr>
          <w:rStyle w:val="CharDivText"/>
        </w:rPr>
        <w:t> </w:t>
      </w:r>
      <w:r>
        <w:rPr>
          <w:rStyle w:val="CharPartText"/>
        </w:rPr>
        <w:t>Variation or cancellation</w:t>
      </w:r>
      <w:bookmarkEnd w:id="168"/>
      <w:bookmarkEnd w:id="169"/>
      <w:bookmarkEnd w:id="170"/>
    </w:p>
    <w:p>
      <w:pPr>
        <w:pStyle w:val="Heading5"/>
      </w:pPr>
      <w:bookmarkStart w:id="171" w:name="_Toc100567298"/>
      <w:r>
        <w:rPr>
          <w:rStyle w:val="CharSectno"/>
        </w:rPr>
        <w:t>45</w:t>
      </w:r>
      <w:r>
        <w:t>.</w:t>
      </w:r>
      <w:r>
        <w:tab/>
        <w:t>Application</w:t>
      </w:r>
      <w:bookmarkEnd w:id="171"/>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pPr>
      <w:r>
        <w:tab/>
        <w:t>(ba)</w:t>
      </w:r>
      <w:r>
        <w:tab/>
        <w:t>in the case of an application to a court exercising criminal jurisdiction, the person conducting the prosecution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pPr>
        <w:pStyle w:val="Indenta"/>
      </w:pPr>
      <w:r>
        <w:tab/>
        <w:t>(c)</w:t>
      </w:r>
      <w:r>
        <w:tab/>
        <w:t>in the case of an FVRO, by a person who is able to make an application for an order under section 24A(2).</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(3A)</w:t>
      </w:r>
      <w:r>
        <w:tab/>
        <w:t>An application to vary a restraining order may be an application to vary a VRO made before 1 July 2017 to an FVRO.</w:t>
      </w:r>
    </w:p>
    <w:p>
      <w:pPr>
        <w:pStyle w:val="Subsection"/>
      </w:pPr>
      <w:r>
        <w:lastRenderedPageBreak/>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pPr>
        <w:pStyle w:val="Subsection"/>
        <w:spacing w:before="200"/>
      </w:pPr>
      <w:r>
        <w:tab/>
        <w:t>(4)</w:t>
      </w:r>
      <w:r>
        <w:tab/>
        <w:t>Except as provided in subsection (7), an application to vary or cancel a restraining order is to be made in the prescribed form.</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pPr>
        <w:pStyle w:val="Subsection"/>
      </w:pPr>
      <w:r>
        <w:tab/>
        <w:t>(9)</w:t>
      </w:r>
      <w:r>
        <w:tab/>
        <w:t>Subsection (8) does not apply in the circumstances applying under section 63A.</w:t>
      </w:r>
    </w:p>
    <w:p>
      <w:pPr>
        <w:pStyle w:val="Footnotesection"/>
      </w:pPr>
      <w:r>
        <w:tab/>
        <w:t>[Section 45 inserted: No. 22 of 2000 s. 10(1); amended: No. 38 of 2004 s. 27; No. 32 of 2011 s. 13; No. 49 of 2016 s. 51; No. 30 of 2020 s. 68.]</w:t>
      </w:r>
    </w:p>
    <w:p>
      <w:pPr>
        <w:pStyle w:val="Heading5"/>
        <w:spacing w:before="240"/>
      </w:pPr>
      <w:bookmarkStart w:id="172" w:name="_Toc100567299"/>
      <w:r>
        <w:rPr>
          <w:rStyle w:val="CharSectno"/>
        </w:rPr>
        <w:lastRenderedPageBreak/>
        <w:t>45A</w:t>
      </w:r>
      <w:r>
        <w:t>.</w:t>
      </w:r>
      <w:r>
        <w:tab/>
        <w:t>Application by CEO (child welfare)</w:t>
      </w:r>
      <w:bookmarkEnd w:id="172"/>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173" w:name="_Toc100567300"/>
      <w:r>
        <w:rPr>
          <w:rStyle w:val="CharSectno"/>
        </w:rPr>
        <w:t>46</w:t>
      </w:r>
      <w:r>
        <w:rPr>
          <w:snapToGrid w:val="0"/>
        </w:rPr>
        <w:t>.</w:t>
      </w:r>
      <w:r>
        <w:rPr>
          <w:snapToGrid w:val="0"/>
        </w:rPr>
        <w:tab/>
        <w:t>Leave hearing</w:t>
      </w:r>
      <w:bookmarkEnd w:id="173"/>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lastRenderedPageBreak/>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Subsection"/>
      </w:pPr>
      <w:r>
        <w:tab/>
        <w:t>(5)</w:t>
      </w:r>
      <w:r>
        <w:tab/>
        <w:t>Subsection (4) operates subject to the operation of section 13A(8).</w:t>
      </w:r>
    </w:p>
    <w:p>
      <w:pPr>
        <w:pStyle w:val="Footnotesection"/>
      </w:pPr>
      <w:r>
        <w:tab/>
        <w:t>[Section 46 amended: No. 22 of 2000 s. 10(2); No. 38 of 2004 s. 29; No. 59 of 2004 s. 123; No. 30 of 2020 s. 69.]</w:t>
      </w:r>
    </w:p>
    <w:p>
      <w:pPr>
        <w:pStyle w:val="Heading5"/>
        <w:rPr>
          <w:snapToGrid w:val="0"/>
        </w:rPr>
      </w:pPr>
      <w:bookmarkStart w:id="174" w:name="_Toc100567301"/>
      <w:r>
        <w:rPr>
          <w:rStyle w:val="CharSectno"/>
        </w:rPr>
        <w:t>47</w:t>
      </w:r>
      <w:r>
        <w:rPr>
          <w:snapToGrid w:val="0"/>
        </w:rPr>
        <w:t>.</w:t>
      </w:r>
      <w:r>
        <w:rPr>
          <w:snapToGrid w:val="0"/>
        </w:rPr>
        <w:tab/>
      </w:r>
      <w:r>
        <w:t xml:space="preserve">Registrar </w:t>
      </w:r>
      <w:r>
        <w:rPr>
          <w:snapToGrid w:val="0"/>
        </w:rPr>
        <w:t>to issue summons</w:t>
      </w:r>
      <w:bookmarkEnd w:id="174"/>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lastRenderedPageBreak/>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175" w:name="_Toc100567302"/>
      <w:r>
        <w:rPr>
          <w:rStyle w:val="CharSectno"/>
        </w:rPr>
        <w:t>48</w:t>
      </w:r>
      <w:r>
        <w:rPr>
          <w:snapToGrid w:val="0"/>
        </w:rPr>
        <w:t>.</w:t>
      </w:r>
      <w:r>
        <w:rPr>
          <w:snapToGrid w:val="0"/>
        </w:rPr>
        <w:tab/>
        <w:t>Attendance at hearing</w:t>
      </w:r>
      <w:bookmarkEnd w:id="175"/>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 xml:space="preserve">if it is satisfied the summonsed person was served with the summons, or that the Commissioner of Police was notified of the hearing, is to hear the matter in the </w:t>
      </w:r>
      <w:r>
        <w:rPr>
          <w:snapToGrid w:val="0"/>
        </w:rPr>
        <w:lastRenderedPageBreak/>
        <w:t>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176" w:name="_Toc100567303"/>
      <w:r>
        <w:rPr>
          <w:rStyle w:val="CharSectno"/>
        </w:rPr>
        <w:t>48A</w:t>
      </w:r>
      <w:r>
        <w:t>.</w:t>
      </w:r>
      <w:r>
        <w:tab/>
        <w:t>Ex parte application to cancel order by person protected by order</w:t>
      </w:r>
      <w:bookmarkEnd w:id="176"/>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lastRenderedPageBreak/>
        <w:tab/>
        <w:t>[Section 48A inserted: No. 38 of 2004 s. 32; amended: No. 59 of 2004 s. 123.]</w:t>
      </w:r>
    </w:p>
    <w:p>
      <w:pPr>
        <w:pStyle w:val="Heading5"/>
        <w:rPr>
          <w:snapToGrid w:val="0"/>
        </w:rPr>
      </w:pPr>
      <w:bookmarkStart w:id="177" w:name="_Toc100567304"/>
      <w:r>
        <w:rPr>
          <w:rStyle w:val="CharSectno"/>
        </w:rPr>
        <w:t>49</w:t>
      </w:r>
      <w:r>
        <w:rPr>
          <w:snapToGrid w:val="0"/>
        </w:rPr>
        <w:t>.</w:t>
      </w:r>
      <w:r>
        <w:rPr>
          <w:snapToGrid w:val="0"/>
        </w:rPr>
        <w:tab/>
        <w:t>Variation or cancellation</w:t>
      </w:r>
      <w:bookmarkEnd w:id="177"/>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w:t>
      </w:r>
    </w:p>
    <w:p>
      <w:pPr>
        <w:pStyle w:val="Ednotesubpara"/>
      </w:pPr>
      <w:r>
        <w:tab/>
        <w:t>[(ii)</w:t>
      </w:r>
      <w:r>
        <w:tab/>
        <w:t>deleted]</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lastRenderedPageBreak/>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 No. 30 of 2020 s. 70.]</w:t>
      </w:r>
    </w:p>
    <w:p>
      <w:pPr>
        <w:pStyle w:val="Heading5"/>
      </w:pPr>
      <w:bookmarkStart w:id="178" w:name="_Toc100567305"/>
      <w:r>
        <w:rPr>
          <w:rStyle w:val="CharSectno"/>
        </w:rPr>
        <w:t>49A</w:t>
      </w:r>
      <w:r>
        <w:t>.</w:t>
      </w:r>
      <w:r>
        <w:tab/>
        <w:t>Correcting minor errors in restraining orders</w:t>
      </w:r>
      <w:bookmarkEnd w:id="178"/>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179" w:name="_Toc100567306"/>
      <w:r>
        <w:rPr>
          <w:rStyle w:val="CharSectno"/>
        </w:rPr>
        <w:t>49B</w:t>
      </w:r>
      <w:r>
        <w:t>.</w:t>
      </w:r>
      <w:r>
        <w:tab/>
        <w:t>Matters to be considered by court generally</w:t>
      </w:r>
      <w:bookmarkEnd w:id="179"/>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 xml:space="preserve">if the application for the variation or cancellation is made by the person protected, whether or not it is </w:t>
      </w:r>
      <w:r>
        <w:lastRenderedPageBreak/>
        <w:t>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5"/>
      </w:pPr>
      <w:bookmarkStart w:id="180" w:name="_Toc100567307"/>
      <w:r>
        <w:rPr>
          <w:rStyle w:val="CharSectno"/>
        </w:rPr>
        <w:t>49C</w:t>
      </w:r>
      <w:r>
        <w:t>.</w:t>
      </w:r>
      <w:r>
        <w:tab/>
        <w:t>Variation of application to allow a different order to be sought</w:t>
      </w:r>
      <w:bookmarkEnd w:id="180"/>
    </w:p>
    <w:p>
      <w:pPr>
        <w:pStyle w:val="Subsection"/>
      </w:pPr>
      <w:r>
        <w:tab/>
      </w:r>
      <w:r>
        <w:tab/>
        <w:t xml:space="preserve">The court may, if it is satisfied that an applicant has made a mistake as to the nature of their relationship with the respondent for the purposes of this Act, permit an applicant — </w:t>
      </w:r>
    </w:p>
    <w:p>
      <w:pPr>
        <w:pStyle w:val="Indenta"/>
      </w:pPr>
      <w:r>
        <w:tab/>
        <w:t>(a)</w:t>
      </w:r>
      <w:r>
        <w:tab/>
        <w:t>to vary an application for a VRO to an application for an FVRO; or</w:t>
      </w:r>
    </w:p>
    <w:p>
      <w:pPr>
        <w:pStyle w:val="Indenta"/>
      </w:pPr>
      <w:r>
        <w:tab/>
        <w:t>(b)</w:t>
      </w:r>
      <w:r>
        <w:tab/>
        <w:t>to vary an application for an FVRO to an application for a VRO.</w:t>
      </w:r>
    </w:p>
    <w:p>
      <w:pPr>
        <w:pStyle w:val="Footnotesection"/>
      </w:pPr>
      <w:r>
        <w:tab/>
        <w:t>[Section 49C inserted: No. 30 of 2020 s. 71.]</w:t>
      </w:r>
    </w:p>
    <w:p>
      <w:pPr>
        <w:pStyle w:val="Heading2"/>
      </w:pPr>
      <w:bookmarkStart w:id="181" w:name="_Toc100328222"/>
      <w:bookmarkStart w:id="182" w:name="_Toc100328433"/>
      <w:bookmarkStart w:id="183" w:name="_Toc100567308"/>
      <w:r>
        <w:rPr>
          <w:rStyle w:val="CharPartNo"/>
        </w:rPr>
        <w:lastRenderedPageBreak/>
        <w:t>Part 5A</w:t>
      </w:r>
      <w:r>
        <w:rPr>
          <w:rStyle w:val="CharDivNo"/>
        </w:rPr>
        <w:t> </w:t>
      </w:r>
      <w:r>
        <w:t>—</w:t>
      </w:r>
      <w:r>
        <w:rPr>
          <w:rStyle w:val="CharDivText"/>
        </w:rPr>
        <w:t> </w:t>
      </w:r>
      <w:r>
        <w:rPr>
          <w:rStyle w:val="CharPartText"/>
        </w:rPr>
        <w:t>Conferences</w:t>
      </w:r>
      <w:bookmarkEnd w:id="181"/>
      <w:bookmarkEnd w:id="182"/>
      <w:bookmarkEnd w:id="183"/>
    </w:p>
    <w:p>
      <w:pPr>
        <w:pStyle w:val="Footnoteheading"/>
        <w:tabs>
          <w:tab w:val="left" w:pos="851"/>
        </w:tabs>
        <w:spacing w:before="100"/>
      </w:pPr>
      <w:r>
        <w:tab/>
        <w:t>[Heading inserted: No. 30 of 2020 s. 72.]</w:t>
      </w:r>
    </w:p>
    <w:p>
      <w:pPr>
        <w:pStyle w:val="Heading5"/>
      </w:pPr>
      <w:bookmarkStart w:id="184" w:name="_Toc100567309"/>
      <w:r>
        <w:rPr>
          <w:rStyle w:val="CharSectno"/>
        </w:rPr>
        <w:t>49D</w:t>
      </w:r>
      <w:r>
        <w:t>.</w:t>
      </w:r>
      <w:r>
        <w:tab/>
        <w:t>Special conference procedures</w:t>
      </w:r>
      <w:bookmarkEnd w:id="184"/>
    </w:p>
    <w:p>
      <w:pPr>
        <w:pStyle w:val="Subsection"/>
      </w:pPr>
      <w:r>
        <w:tab/>
        <w:t>(1)</w:t>
      </w:r>
      <w:r>
        <w:tab/>
        <w:t>A registrar may convene a conference under this section at the request of the court, or on the registrar’s own initiative —</w:t>
      </w:r>
    </w:p>
    <w:p>
      <w:pPr>
        <w:pStyle w:val="Indenta"/>
      </w:pPr>
      <w:r>
        <w:tab/>
        <w:t>(a)</w:t>
      </w:r>
      <w:r>
        <w:tab/>
        <w:t xml:space="preserve">in relation to an application for an FVRO, if — </w:t>
      </w:r>
    </w:p>
    <w:p>
      <w:pPr>
        <w:pStyle w:val="Indenti"/>
      </w:pPr>
      <w:r>
        <w:tab/>
        <w:t>(i)</w:t>
      </w:r>
      <w:r>
        <w:tab/>
        <w:t>the applicant has indicated a wish to proceed to a defended hearing under section 26(1)(b); or</w:t>
      </w:r>
    </w:p>
    <w:p>
      <w:pPr>
        <w:pStyle w:val="Indenti"/>
      </w:pPr>
      <w:r>
        <w:tab/>
        <w:t>(ii)</w:t>
      </w:r>
      <w:r>
        <w:tab/>
        <w:t>the court has made an FVRO under section 29(1)(a) which is an interim order under section 29(3) and the respondent has indicated an objection to the interim order becoming final; or</w:t>
      </w:r>
    </w:p>
    <w:p>
      <w:pPr>
        <w:pStyle w:val="Indenti"/>
      </w:pPr>
      <w:r>
        <w:tab/>
        <w:t>(iii)</w:t>
      </w:r>
      <w:r>
        <w:tab/>
        <w:t>the matter has been adjourned under section 29(1)(c);</w:t>
      </w:r>
    </w:p>
    <w:p>
      <w:pPr>
        <w:pStyle w:val="Indenta"/>
      </w:pPr>
      <w:r>
        <w:tab/>
      </w:r>
      <w:r>
        <w:tab/>
        <w:t>or</w:t>
      </w:r>
    </w:p>
    <w:p>
      <w:pPr>
        <w:pStyle w:val="Indenta"/>
      </w:pPr>
      <w:r>
        <w:tab/>
        <w:t>(b)</w:t>
      </w:r>
      <w:r>
        <w:tab/>
        <w:t>in relation to an application to vary or cancel an FVRO.</w:t>
      </w:r>
    </w:p>
    <w:p>
      <w:pPr>
        <w:pStyle w:val="Subsection"/>
      </w:pPr>
      <w:r>
        <w:tab/>
        <w:t>(2)</w:t>
      </w:r>
      <w:r>
        <w:tab/>
        <w:t>However, a conference will not be convened if a party objects to participating in a conference under this section.</w:t>
      </w:r>
    </w:p>
    <w:p>
      <w:pPr>
        <w:pStyle w:val="Subsection"/>
      </w:pPr>
      <w:r>
        <w:tab/>
        <w:t>(3)</w:t>
      </w:r>
      <w:r>
        <w:tab/>
        <w:t xml:space="preserve">If a conference is to be convened, the registrar is to fix a day, time and place for the conference. </w:t>
      </w:r>
    </w:p>
    <w:p>
      <w:pPr>
        <w:pStyle w:val="Subsection"/>
      </w:pPr>
      <w:r>
        <w:tab/>
        <w:t>(4)</w:t>
      </w:r>
      <w:r>
        <w:tab/>
        <w:t>The purpose of a conference is to provide a procedure through which an appropriate outcome to the proceedings, including by the making of orders, may be achieved without the parties being together during the conduct of the conference.</w:t>
      </w:r>
    </w:p>
    <w:p>
      <w:pPr>
        <w:pStyle w:val="Subsection"/>
      </w:pPr>
      <w:r>
        <w:tab/>
        <w:t>(5)</w:t>
      </w:r>
      <w:r>
        <w:tab/>
        <w:t>In particular —</w:t>
      </w:r>
    </w:p>
    <w:p>
      <w:pPr>
        <w:pStyle w:val="Indenta"/>
      </w:pPr>
      <w:r>
        <w:tab/>
        <w:t>(a)</w:t>
      </w:r>
      <w:r>
        <w:tab/>
        <w:t>a conference will be conducted by a registrar of the court; and</w:t>
      </w:r>
    </w:p>
    <w:p>
      <w:pPr>
        <w:pStyle w:val="Indenta"/>
      </w:pPr>
      <w:r>
        <w:tab/>
        <w:t>(b)</w:t>
      </w:r>
      <w:r>
        <w:tab/>
        <w:t xml:space="preserve">the registrar must ensure that the applicant and the respondent remain in separate rooms during a conference; and </w:t>
      </w:r>
    </w:p>
    <w:p>
      <w:pPr>
        <w:pStyle w:val="Indenta"/>
      </w:pPr>
      <w:r>
        <w:lastRenderedPageBreak/>
        <w:tab/>
        <w:t>(c)</w:t>
      </w:r>
      <w:r>
        <w:tab/>
        <w:t xml:space="preserve">the applicant and the respondent may each be represented by a legal practitioner, and have 1 or more other persons present or available to provide support; and </w:t>
      </w:r>
    </w:p>
    <w:p>
      <w:pPr>
        <w:pStyle w:val="Indenta"/>
      </w:pPr>
      <w:r>
        <w:tab/>
        <w:t>(d)</w:t>
      </w:r>
      <w:r>
        <w:tab/>
        <w:t xml:space="preserve">the registrar conducting a conference may — </w:t>
      </w:r>
    </w:p>
    <w:p>
      <w:pPr>
        <w:pStyle w:val="Indenti"/>
      </w:pPr>
      <w:r>
        <w:tab/>
        <w:t>(i)</w:t>
      </w:r>
      <w:r>
        <w:tab/>
        <w:t>require a party to furnish such information as the registrar thinks fit; and</w:t>
      </w:r>
    </w:p>
    <w:p>
      <w:pPr>
        <w:pStyle w:val="Indenti"/>
      </w:pPr>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p>
    <w:p>
      <w:pPr>
        <w:pStyle w:val="Indenti"/>
      </w:pPr>
      <w:r>
        <w:tab/>
        <w:t>(iii)</w:t>
      </w:r>
      <w:r>
        <w:tab/>
        <w:t>close the conference at any time if, in the registrar’s opinion, an agreement (or an appropriate agreement) cannot be reached; and</w:t>
      </w:r>
    </w:p>
    <w:p>
      <w:pPr>
        <w:pStyle w:val="Indenti"/>
      </w:pPr>
      <w:r>
        <w:tab/>
        <w:t>(iv)</w:t>
      </w:r>
      <w:r>
        <w:tab/>
        <w:t>refer the matter back to the court for the purposes of any proceedings, including by taking steps to list the matter for hearing; and</w:t>
      </w:r>
    </w:p>
    <w:p>
      <w:pPr>
        <w:pStyle w:val="Indenti"/>
      </w:pPr>
      <w:r>
        <w:tab/>
        <w:t>(v)</w:t>
      </w:r>
      <w:r>
        <w:tab/>
        <w:t>otherwise conduct the conference as the registrar thinks fit.</w:t>
      </w:r>
    </w:p>
    <w:p>
      <w:pPr>
        <w:pStyle w:val="Subsection"/>
      </w:pPr>
      <w:r>
        <w:tab/>
        <w:t>(6)</w:t>
      </w:r>
      <w:r>
        <w:tab/>
        <w:t>An agreement reached at a conference may include an unenforceable undertaking by a party to attend a behaviour change programme approved by the Minister as envisaged by section 10P, subject to the following qualifications —</w:t>
      </w:r>
    </w:p>
    <w:p>
      <w:pPr>
        <w:pStyle w:val="Indenta"/>
      </w:pPr>
      <w:r>
        <w:tab/>
        <w:t>(a)</w:t>
      </w:r>
      <w:r>
        <w:tab/>
        <w:t>the undertaking will be unenforceable even if the agreement is incorporated into a determination or order of the court;</w:t>
      </w:r>
    </w:p>
    <w:p>
      <w:pPr>
        <w:pStyle w:val="Indenta"/>
      </w:pPr>
      <w:r>
        <w:tab/>
        <w:t>(b)</w:t>
      </w:r>
      <w:r>
        <w:tab/>
        <w:t>Part 1C will not apply in relation to the undertaking even though the party has agreed to attend a behaviour change programme.</w:t>
      </w:r>
    </w:p>
    <w:p>
      <w:pPr>
        <w:pStyle w:val="Subsection"/>
      </w:pPr>
      <w:r>
        <w:tab/>
        <w:t>(7)</w:t>
      </w:r>
      <w:r>
        <w:tab/>
        <w:t xml:space="preserve">The registrar conducting a conference must, before making an order that gives effect to an agreement proposed or reached at </w:t>
      </w:r>
      <w:r>
        <w:lastRenderedPageBreak/>
        <w:t>the conference, have regard to the matters set out in section 10F and may decline to accept or give effect to an agreement if the registrar considers that the agreement is inappropriate in the circumstances.</w:t>
      </w:r>
    </w:p>
    <w:p>
      <w:pPr>
        <w:pStyle w:val="Subsection"/>
      </w:pPr>
      <w:r>
        <w:tab/>
        <w:t>(8)</w:t>
      </w:r>
      <w:r>
        <w:tab/>
        <w:t>If a party does not attend a conference, the registrar may, if satisfied that the party was notified of the conference —</w:t>
      </w:r>
    </w:p>
    <w:p>
      <w:pPr>
        <w:pStyle w:val="Indenta"/>
      </w:pPr>
      <w:r>
        <w:tab/>
        <w:t>(a)</w:t>
      </w:r>
      <w:r>
        <w:tab/>
        <w:t>adjourn the conference to another day and time; or</w:t>
      </w:r>
    </w:p>
    <w:p>
      <w:pPr>
        <w:pStyle w:val="Indenta"/>
      </w:pPr>
      <w:r>
        <w:tab/>
        <w:t>(b)</w:t>
      </w:r>
      <w:r>
        <w:tab/>
        <w:t xml:space="preserve">if the party is the applicant, dismiss the application; or </w:t>
      </w:r>
    </w:p>
    <w:p>
      <w:pPr>
        <w:pStyle w:val="Indenta"/>
      </w:pPr>
      <w:r>
        <w:tab/>
        <w:t>(c)</w:t>
      </w:r>
      <w:r>
        <w:tab/>
        <w:t>if the party is the respondent, proceed to hear the applicant and, if the registrar thinks fit, make an order on behalf of the court (including a final FVRO); or</w:t>
      </w:r>
    </w:p>
    <w:p>
      <w:pPr>
        <w:pStyle w:val="Indenta"/>
      </w:pPr>
      <w:r>
        <w:tab/>
        <w:t>(d)</w:t>
      </w:r>
      <w:r>
        <w:tab/>
        <w:t>refer the matter back to the court.</w:t>
      </w:r>
    </w:p>
    <w:p>
      <w:pPr>
        <w:pStyle w:val="Subsection"/>
      </w:pPr>
      <w:r>
        <w:tab/>
        <w:t>(9)</w:t>
      </w:r>
      <w:r>
        <w:tab/>
        <w:t>A person to provide support under subsection (5)(c) is to be approved by the registrar and is not to be a person who is a witness in, or a party to, the proceedings.</w:t>
      </w:r>
    </w:p>
    <w:p>
      <w:pPr>
        <w:pStyle w:val="Subsection"/>
      </w:pPr>
      <w:r>
        <w:tab/>
        <w:t>(10)</w:t>
      </w:r>
      <w:r>
        <w:tab/>
        <w:t>Evidence of anything said or done in the course of a conference is inadmissible in civil proceedings before a court except by consent of all parties to the proceedings.</w:t>
      </w:r>
    </w:p>
    <w:p>
      <w:pPr>
        <w:pStyle w:val="Footnotesection"/>
      </w:pPr>
      <w:r>
        <w:tab/>
        <w:t>[Section 49D inserted: No. 30 of 2020 s. 72.]</w:t>
      </w:r>
    </w:p>
    <w:p>
      <w:pPr>
        <w:pStyle w:val="Heading2"/>
      </w:pPr>
      <w:bookmarkStart w:id="185" w:name="_Toc100328224"/>
      <w:bookmarkStart w:id="186" w:name="_Toc100328435"/>
      <w:bookmarkStart w:id="187" w:name="_Toc100567310"/>
      <w:r>
        <w:rPr>
          <w:rStyle w:val="CharPartNo"/>
        </w:rPr>
        <w:lastRenderedPageBreak/>
        <w:t>Part 6</w:t>
      </w:r>
      <w:r>
        <w:t> — </w:t>
      </w:r>
      <w:r>
        <w:rPr>
          <w:rStyle w:val="CharPartText"/>
        </w:rPr>
        <w:t>General</w:t>
      </w:r>
      <w:bookmarkEnd w:id="185"/>
      <w:bookmarkEnd w:id="186"/>
      <w:bookmarkEnd w:id="187"/>
      <w:r>
        <w:rPr>
          <w:rStyle w:val="CharPartText"/>
        </w:rPr>
        <w:t xml:space="preserve"> </w:t>
      </w:r>
    </w:p>
    <w:p>
      <w:pPr>
        <w:pStyle w:val="Heading3"/>
      </w:pPr>
      <w:bookmarkStart w:id="188" w:name="_Toc100328225"/>
      <w:bookmarkStart w:id="189" w:name="_Toc100328436"/>
      <w:bookmarkStart w:id="190" w:name="_Toc100567311"/>
      <w:r>
        <w:rPr>
          <w:rStyle w:val="CharDivNo"/>
        </w:rPr>
        <w:t>Division 1</w:t>
      </w:r>
      <w:r>
        <w:t> — </w:t>
      </w:r>
      <w:r>
        <w:rPr>
          <w:rStyle w:val="CharDivText"/>
        </w:rPr>
        <w:t>Children</w:t>
      </w:r>
      <w:bookmarkEnd w:id="188"/>
      <w:bookmarkEnd w:id="189"/>
      <w:bookmarkEnd w:id="190"/>
    </w:p>
    <w:p>
      <w:pPr>
        <w:pStyle w:val="Footnoteheading"/>
        <w:tabs>
          <w:tab w:val="left" w:pos="851"/>
        </w:tabs>
        <w:spacing w:before="100"/>
      </w:pPr>
      <w:r>
        <w:tab/>
        <w:t>[Heading inserted: No. 38 of 2004 s. 35.]</w:t>
      </w:r>
    </w:p>
    <w:p>
      <w:pPr>
        <w:pStyle w:val="Heading5"/>
        <w:rPr>
          <w:snapToGrid w:val="0"/>
        </w:rPr>
      </w:pPr>
      <w:bookmarkStart w:id="191" w:name="_Toc100567312"/>
      <w:r>
        <w:rPr>
          <w:rStyle w:val="CharSectno"/>
        </w:rPr>
        <w:t>50</w:t>
      </w:r>
      <w:r>
        <w:rPr>
          <w:snapToGrid w:val="0"/>
        </w:rPr>
        <w:t>.</w:t>
      </w:r>
      <w:r>
        <w:rPr>
          <w:snapToGrid w:val="0"/>
        </w:rPr>
        <w:tab/>
        <w:t>No restraining orders against children under 10</w:t>
      </w:r>
      <w:bookmarkEnd w:id="191"/>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192" w:name="_Toc100567313"/>
      <w:r>
        <w:rPr>
          <w:rStyle w:val="CharSectno"/>
        </w:rPr>
        <w:t>50A</w:t>
      </w:r>
      <w:r>
        <w:t>.</w:t>
      </w:r>
      <w:r>
        <w:tab/>
        <w:t>Restraining order against child not to exceed 6 months</w:t>
      </w:r>
      <w:bookmarkEnd w:id="192"/>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193" w:name="_Toc100567314"/>
      <w:r>
        <w:rPr>
          <w:rStyle w:val="CharSectno"/>
        </w:rPr>
        <w:t>50B</w:t>
      </w:r>
      <w:r>
        <w:t>.</w:t>
      </w:r>
      <w:r>
        <w:tab/>
        <w:t>Child welfare laws not affected</w:t>
      </w:r>
      <w:bookmarkEnd w:id="193"/>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lastRenderedPageBreak/>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194" w:name="_Toc100567315"/>
      <w:r>
        <w:rPr>
          <w:rStyle w:val="CharSectno"/>
        </w:rPr>
        <w:t>50C</w:t>
      </w:r>
      <w:r>
        <w:t>.</w:t>
      </w:r>
      <w:r>
        <w:tab/>
        <w:t>CEO (child welfare) to be notified before certain FVROs or VROs are made</w:t>
      </w:r>
      <w:bookmarkEnd w:id="194"/>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195" w:name="_Toc100567316"/>
      <w:r>
        <w:rPr>
          <w:rStyle w:val="CharSectno"/>
        </w:rPr>
        <w:lastRenderedPageBreak/>
        <w:t>50D</w:t>
      </w:r>
      <w:r>
        <w:t>.</w:t>
      </w:r>
      <w:r>
        <w:tab/>
        <w:t>Intervention by CEO (child welfare)</w:t>
      </w:r>
      <w:bookmarkEnd w:id="195"/>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196" w:name="_Toc100567317"/>
      <w:r>
        <w:rPr>
          <w:rStyle w:val="CharSectno"/>
        </w:rPr>
        <w:t>51</w:t>
      </w:r>
      <w:r>
        <w:rPr>
          <w:snapToGrid w:val="0"/>
        </w:rPr>
        <w:t>.</w:t>
      </w:r>
      <w:r>
        <w:rPr>
          <w:snapToGrid w:val="0"/>
        </w:rPr>
        <w:tab/>
        <w:t>Responsible adult to attend</w:t>
      </w:r>
      <w:bookmarkEnd w:id="196"/>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197" w:name="_Toc100567318"/>
      <w:r>
        <w:rPr>
          <w:rStyle w:val="CharSectno"/>
        </w:rPr>
        <w:t>52</w:t>
      </w:r>
      <w:r>
        <w:rPr>
          <w:snapToGrid w:val="0"/>
        </w:rPr>
        <w:t>.</w:t>
      </w:r>
      <w:r>
        <w:rPr>
          <w:snapToGrid w:val="0"/>
        </w:rPr>
        <w:tab/>
        <w:t>Transfer between courts</w:t>
      </w:r>
      <w:bookmarkEnd w:id="197"/>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lastRenderedPageBreak/>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198" w:name="_Toc100567319"/>
      <w:r>
        <w:rPr>
          <w:rStyle w:val="CharSectno"/>
        </w:rPr>
        <w:t>53</w:t>
      </w:r>
      <w:r>
        <w:rPr>
          <w:snapToGrid w:val="0"/>
        </w:rPr>
        <w:t>.</w:t>
      </w:r>
      <w:r>
        <w:rPr>
          <w:snapToGrid w:val="0"/>
        </w:rPr>
        <w:tab/>
        <w:t>Telephone order made against child</w:t>
      </w:r>
      <w:bookmarkEnd w:id="198"/>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199" w:name="_Toc100567320"/>
      <w:r>
        <w:rPr>
          <w:rStyle w:val="CharSectno"/>
        </w:rPr>
        <w:lastRenderedPageBreak/>
        <w:t>53A</w:t>
      </w:r>
      <w:r>
        <w:t>.</w:t>
      </w:r>
      <w:r>
        <w:tab/>
        <w:t>Children not to give oral evidence without leave of court, other than in Children’s Court</w:t>
      </w:r>
      <w:bookmarkEnd w:id="199"/>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200" w:name="_Toc100567321"/>
      <w:r>
        <w:rPr>
          <w:rStyle w:val="CharSectno"/>
        </w:rPr>
        <w:t>53B</w:t>
      </w:r>
      <w:r>
        <w:t>.</w:t>
      </w:r>
      <w:r>
        <w:tab/>
        <w:t>Evidence of children</w:t>
      </w:r>
      <w:bookmarkEnd w:id="200"/>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201" w:name="_Toc100567322"/>
      <w:r>
        <w:rPr>
          <w:rStyle w:val="CharSectno"/>
        </w:rPr>
        <w:lastRenderedPageBreak/>
        <w:t>53C</w:t>
      </w:r>
      <w:r>
        <w:t>.</w:t>
      </w:r>
      <w:r>
        <w:tab/>
        <w:t>Child who gives evidence entitled to support</w:t>
      </w:r>
      <w:bookmarkEnd w:id="201"/>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202" w:name="_Toc100567323"/>
      <w:r>
        <w:rPr>
          <w:rStyle w:val="CharSectno"/>
        </w:rPr>
        <w:t>53D</w:t>
      </w:r>
      <w:r>
        <w:t>.</w:t>
      </w:r>
      <w:r>
        <w:tab/>
        <w:t>Cross</w:t>
      </w:r>
      <w:r>
        <w:noBreakHyphen/>
        <w:t>examination of child by unrepresented person</w:t>
      </w:r>
      <w:bookmarkEnd w:id="202"/>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203" w:name="_Toc100567324"/>
      <w:r>
        <w:rPr>
          <w:rStyle w:val="CharSectno"/>
        </w:rPr>
        <w:t>53E</w:t>
      </w:r>
      <w:r>
        <w:t>.</w:t>
      </w:r>
      <w:r>
        <w:tab/>
        <w:t>Admissibility of evidence of representations made by children</w:t>
      </w:r>
      <w:bookmarkEnd w:id="203"/>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lastRenderedPageBreak/>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204" w:name="_Toc100567325"/>
      <w:r>
        <w:rPr>
          <w:rStyle w:val="CharSectno"/>
        </w:rPr>
        <w:t>53F</w:t>
      </w:r>
      <w:r>
        <w:t>.</w:t>
      </w:r>
      <w:r>
        <w:tab/>
        <w:t>Summonsing of children</w:t>
      </w:r>
      <w:bookmarkEnd w:id="204"/>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205" w:name="_Toc100567326"/>
      <w:r>
        <w:rPr>
          <w:rStyle w:val="CharSectno"/>
        </w:rPr>
        <w:t>53G</w:t>
      </w:r>
      <w:r>
        <w:t>.</w:t>
      </w:r>
      <w:r>
        <w:tab/>
        <w:t>Arrangements for care and wellbeing of children bound by restraining orders</w:t>
      </w:r>
      <w:bookmarkEnd w:id="205"/>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206" w:name="_Toc100328241"/>
      <w:bookmarkStart w:id="207" w:name="_Toc100328452"/>
      <w:bookmarkStart w:id="208" w:name="_Toc100567327"/>
      <w:r>
        <w:rPr>
          <w:rStyle w:val="CharDivNo"/>
        </w:rPr>
        <w:lastRenderedPageBreak/>
        <w:t>Division 2</w:t>
      </w:r>
      <w:r>
        <w:rPr>
          <w:snapToGrid w:val="0"/>
        </w:rPr>
        <w:t> — </w:t>
      </w:r>
      <w:r>
        <w:rPr>
          <w:rStyle w:val="CharDivText"/>
        </w:rPr>
        <w:t>Service</w:t>
      </w:r>
      <w:bookmarkEnd w:id="206"/>
      <w:bookmarkEnd w:id="207"/>
      <w:bookmarkEnd w:id="208"/>
      <w:r>
        <w:rPr>
          <w:rStyle w:val="CharDivText"/>
        </w:rPr>
        <w:t xml:space="preserve"> </w:t>
      </w:r>
    </w:p>
    <w:p>
      <w:pPr>
        <w:pStyle w:val="Heading5"/>
        <w:rPr>
          <w:snapToGrid w:val="0"/>
        </w:rPr>
      </w:pPr>
      <w:bookmarkStart w:id="209" w:name="_Toc100567328"/>
      <w:r>
        <w:rPr>
          <w:rStyle w:val="CharSectno"/>
        </w:rPr>
        <w:t>54</w:t>
      </w:r>
      <w:r>
        <w:rPr>
          <w:snapToGrid w:val="0"/>
        </w:rPr>
        <w:t>.</w:t>
      </w:r>
      <w:r>
        <w:rPr>
          <w:snapToGrid w:val="0"/>
        </w:rPr>
        <w:tab/>
        <w:t>Service of summons</w:t>
      </w:r>
      <w:bookmarkEnd w:id="209"/>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210" w:name="_Toc100567329"/>
      <w:r>
        <w:rPr>
          <w:rStyle w:val="CharSectno"/>
        </w:rPr>
        <w:t>55</w:t>
      </w:r>
      <w:r>
        <w:rPr>
          <w:snapToGrid w:val="0"/>
        </w:rPr>
        <w:t>.</w:t>
      </w:r>
      <w:r>
        <w:rPr>
          <w:snapToGrid w:val="0"/>
        </w:rPr>
        <w:tab/>
        <w:t>Service of restraining order</w:t>
      </w:r>
      <w:bookmarkEnd w:id="210"/>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keepNext/>
        <w:rPr>
          <w:snapToGrid w:val="0"/>
        </w:rPr>
      </w:pPr>
      <w:r>
        <w:lastRenderedPageBreak/>
        <w:tab/>
        <w:t>(c)</w:t>
      </w:r>
      <w:r>
        <w:tab/>
        <w:t>a conduct agreement order or a consent order; and</w:t>
      </w:r>
    </w:p>
    <w:p>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pPr>
        <w:pStyle w:val="Subsection"/>
      </w:pPr>
      <w:r>
        <w:tab/>
        <w:t>(5B)</w:t>
      </w:r>
      <w:r>
        <w:tab/>
        <w:t>However, a person giving an explanation under subsection (5A) must not be a person of a class prescribed in the regulations.</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rPr>
          <w:snapToGrid w:val="0"/>
        </w:rPr>
      </w:pPr>
      <w:r>
        <w:lastRenderedPageBreak/>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 No. 30 of 2020 s. 73.]</w:t>
      </w:r>
    </w:p>
    <w:p>
      <w:pPr>
        <w:pStyle w:val="Heading5"/>
        <w:rPr>
          <w:snapToGrid w:val="0"/>
        </w:rPr>
      </w:pPr>
      <w:bookmarkStart w:id="211" w:name="_Toc100567330"/>
      <w:r>
        <w:rPr>
          <w:rStyle w:val="CharSectno"/>
        </w:rPr>
        <w:t>56</w:t>
      </w:r>
      <w:r>
        <w:rPr>
          <w:snapToGrid w:val="0"/>
        </w:rPr>
        <w:t>.</w:t>
      </w:r>
      <w:r>
        <w:rPr>
          <w:snapToGrid w:val="0"/>
        </w:rPr>
        <w:tab/>
        <w:t>Delivery or notification</w:t>
      </w:r>
      <w:bookmarkEnd w:id="211"/>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212" w:name="_Toc100567331"/>
      <w:r>
        <w:rPr>
          <w:rStyle w:val="CharSectno"/>
        </w:rPr>
        <w:t>57</w:t>
      </w:r>
      <w:r>
        <w:rPr>
          <w:snapToGrid w:val="0"/>
        </w:rPr>
        <w:t>.</w:t>
      </w:r>
      <w:r>
        <w:rPr>
          <w:snapToGrid w:val="0"/>
        </w:rPr>
        <w:tab/>
        <w:t>Copy of document sufficient for service</w:t>
      </w:r>
      <w:bookmarkEnd w:id="212"/>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213" w:name="_Toc100567332"/>
      <w:r>
        <w:rPr>
          <w:rStyle w:val="CharSectno"/>
        </w:rPr>
        <w:lastRenderedPageBreak/>
        <w:t>58</w:t>
      </w:r>
      <w:r>
        <w:rPr>
          <w:snapToGrid w:val="0"/>
        </w:rPr>
        <w:t>.</w:t>
      </w:r>
      <w:r>
        <w:rPr>
          <w:snapToGrid w:val="0"/>
        </w:rPr>
        <w:tab/>
        <w:t>Proof of service</w:t>
      </w:r>
      <w:bookmarkEnd w:id="213"/>
      <w:r>
        <w:rPr>
          <w:snapToGrid w:val="0"/>
        </w:rPr>
        <w:t xml:space="preserve"> </w:t>
      </w:r>
    </w:p>
    <w:p>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214" w:name="_Toc100567333"/>
      <w:r>
        <w:rPr>
          <w:rStyle w:val="CharSectno"/>
        </w:rPr>
        <w:lastRenderedPageBreak/>
        <w:t>59</w:t>
      </w:r>
      <w:r>
        <w:t>.</w:t>
      </w:r>
      <w:r>
        <w:tab/>
        <w:t>Service of restraining order, certain people to be notified of</w:t>
      </w:r>
      <w:bookmarkEnd w:id="214"/>
    </w:p>
    <w:p>
      <w:pPr>
        <w:pStyle w:val="Subsection"/>
        <w:keepNext/>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215" w:name="_Toc100567334"/>
      <w:r>
        <w:rPr>
          <w:rStyle w:val="CharSectno"/>
        </w:rPr>
        <w:t>60</w:t>
      </w:r>
      <w:r>
        <w:rPr>
          <w:snapToGrid w:val="0"/>
        </w:rPr>
        <w:t>.</w:t>
      </w:r>
      <w:r>
        <w:rPr>
          <w:snapToGrid w:val="0"/>
        </w:rPr>
        <w:tab/>
        <w:t>Substituted service</w:t>
      </w:r>
      <w:bookmarkEnd w:id="215"/>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lastRenderedPageBreak/>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keepLines/>
        <w:rPr>
          <w:snapToGrid w:val="0"/>
        </w:rPr>
      </w:pPr>
      <w:bookmarkStart w:id="216" w:name="_Toc100328249"/>
      <w:bookmarkStart w:id="217" w:name="_Toc100328460"/>
      <w:bookmarkStart w:id="218" w:name="_Toc100567335"/>
      <w:r>
        <w:rPr>
          <w:rStyle w:val="CharDivNo"/>
        </w:rPr>
        <w:lastRenderedPageBreak/>
        <w:t>Division 3</w:t>
      </w:r>
      <w:r>
        <w:rPr>
          <w:snapToGrid w:val="0"/>
        </w:rPr>
        <w:t> — </w:t>
      </w:r>
      <w:r>
        <w:rPr>
          <w:rStyle w:val="CharDivText"/>
        </w:rPr>
        <w:t>Breach of restraining order or police order</w:t>
      </w:r>
      <w:bookmarkEnd w:id="216"/>
      <w:bookmarkEnd w:id="217"/>
      <w:bookmarkEnd w:id="218"/>
      <w:r>
        <w:rPr>
          <w:rStyle w:val="CharDivText"/>
        </w:rPr>
        <w:t xml:space="preserve"> </w:t>
      </w:r>
    </w:p>
    <w:p>
      <w:pPr>
        <w:pStyle w:val="Footnoteheading"/>
        <w:keepNext/>
        <w:keepLines/>
        <w:tabs>
          <w:tab w:val="left" w:pos="851"/>
        </w:tabs>
      </w:pPr>
      <w:r>
        <w:tab/>
        <w:t>[Heading amended: No. 38 of 2004 s. 40.]</w:t>
      </w:r>
    </w:p>
    <w:p>
      <w:pPr>
        <w:pStyle w:val="Heading5"/>
        <w:rPr>
          <w:snapToGrid w:val="0"/>
        </w:rPr>
      </w:pPr>
      <w:bookmarkStart w:id="219" w:name="_Toc100567336"/>
      <w:r>
        <w:rPr>
          <w:rStyle w:val="CharSectno"/>
        </w:rPr>
        <w:t>61</w:t>
      </w:r>
      <w:r>
        <w:rPr>
          <w:snapToGrid w:val="0"/>
        </w:rPr>
        <w:t>.</w:t>
      </w:r>
      <w:r>
        <w:rPr>
          <w:snapToGrid w:val="0"/>
        </w:rPr>
        <w:tab/>
        <w:t>Breach of restraining order</w:t>
      </w:r>
      <w:bookmarkEnd w:id="219"/>
      <w:r>
        <w:rPr>
          <w:snapToGrid w:val="0"/>
        </w:rPr>
        <w:t xml:space="preserve"> </w:t>
      </w:r>
    </w:p>
    <w:p>
      <w:pPr>
        <w:pStyle w:val="Subsection"/>
        <w:keepNext/>
        <w:keepLines/>
      </w:pPr>
      <w:r>
        <w:tab/>
        <w:t>(1)</w:t>
      </w:r>
      <w:r>
        <w:tab/>
        <w:t>A person who is bound by an FVRO and who breaches that order commits an offence.</w:t>
      </w:r>
    </w:p>
    <w:p>
      <w:pPr>
        <w:pStyle w:val="Penstart"/>
        <w:keepNext/>
        <w:keepLines/>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keepNext/>
        <w:spacing w:before="140"/>
      </w:pPr>
      <w:r>
        <w:lastRenderedPageBreak/>
        <w:tab/>
        <w:t>(5)</w:t>
      </w:r>
      <w:r>
        <w:tab/>
        <w:t>For the avoidance of doubt, subsection (4) does not affect the discretion of a court to decide whether or not any factor is an aggravating factor for the purposes of any offence.</w:t>
      </w:r>
    </w:p>
    <w:p>
      <w:pPr>
        <w:pStyle w:val="Subsection"/>
      </w:pPr>
      <w:r>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220" w:name="_Toc100567337"/>
      <w:r>
        <w:rPr>
          <w:rStyle w:val="CharSectno"/>
        </w:rPr>
        <w:t>61A</w:t>
      </w:r>
      <w:r>
        <w:t>.</w:t>
      </w:r>
      <w:r>
        <w:tab/>
        <w:t>Penalty for repeated breach of restraining order</w:t>
      </w:r>
      <w:bookmarkEnd w:id="220"/>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Defstart"/>
      </w:pPr>
      <w:r>
        <w:tab/>
      </w:r>
      <w:r>
        <w:rPr>
          <w:rStyle w:val="CharDefText"/>
        </w:rPr>
        <w:t>relevant offence</w:t>
      </w:r>
      <w:r>
        <w:t> means —</w:t>
      </w:r>
    </w:p>
    <w:p>
      <w:pPr>
        <w:pStyle w:val="Defpara"/>
      </w:pPr>
      <w:r>
        <w:tab/>
        <w:t>(a)</w:t>
      </w:r>
      <w:r>
        <w:tab/>
        <w:t xml:space="preserve">an offence under section 61(1), (1A) or (2a); or </w:t>
      </w:r>
    </w:p>
    <w:p>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pPr>
        <w:pStyle w:val="Subsection"/>
        <w:keepNext/>
        <w:spacing w:before="140"/>
      </w:pPr>
      <w:r>
        <w:tab/>
        <w:t>(2)</w:t>
      </w:r>
      <w:r>
        <w:tab/>
        <w:t>This section applies if a person —</w:t>
      </w:r>
    </w:p>
    <w:p>
      <w:pPr>
        <w:pStyle w:val="Indenta"/>
      </w:pPr>
      <w:r>
        <w:tab/>
        <w:t>(a)</w:t>
      </w:r>
      <w:r>
        <w:tab/>
        <w:t xml:space="preserve">is convicted of a relevant offence (the </w:t>
      </w:r>
      <w:r>
        <w:rPr>
          <w:rStyle w:val="CharDefText"/>
        </w:rPr>
        <w:t>qualifying relevant offence</w:t>
      </w:r>
      <w:r>
        <w:t>); and</w:t>
      </w:r>
    </w:p>
    <w:p>
      <w:pPr>
        <w:pStyle w:val="Indenta"/>
      </w:pPr>
      <w:r>
        <w:tab/>
        <w:t>(b)</w:t>
      </w:r>
      <w:r>
        <w:tab/>
        <w:t xml:space="preserve">has committed, and been convicted of, at least 2 offences that are also relevant offences (the </w:t>
      </w:r>
      <w:r>
        <w:rPr>
          <w:rStyle w:val="CharDefText"/>
        </w:rPr>
        <w:t>previous relevant offences</w:t>
      </w:r>
      <w:r>
        <w:t xml:space="preserve">) within the period of 2 years before </w:t>
      </w:r>
      <w:r>
        <w:lastRenderedPageBreak/>
        <w:t>the person’s conviction of the qualifying relevant offence.</w:t>
      </w:r>
    </w:p>
    <w:p>
      <w:pPr>
        <w:pStyle w:val="Subsection"/>
      </w:pPr>
      <w:r>
        <w:tab/>
        <w:t>(2A)</w:t>
      </w:r>
      <w:r>
        <w:tab/>
        <w:t xml:space="preserve">For the purposes of subsection (2)(b) each of the previous </w:t>
      </w:r>
      <w:r>
        <w:rPr>
          <w:szCs w:val="24"/>
        </w:rPr>
        <w:t xml:space="preserve">relevant </w:t>
      </w:r>
      <w:r>
        <w:t>offences is to be counted, regardless of whether the convictions for them —</w:t>
      </w:r>
    </w:p>
    <w:p>
      <w:pPr>
        <w:pStyle w:val="Indenta"/>
      </w:pPr>
      <w:r>
        <w:tab/>
        <w:t>(a)</w:t>
      </w:r>
      <w:r>
        <w:tab/>
        <w:t>were recorded before or after the date on which the qualifying relevant offence, or any of the previous relevant offences, was committed; or</w:t>
      </w:r>
    </w:p>
    <w:p>
      <w:pPr>
        <w:pStyle w:val="Indenta"/>
      </w:pPr>
      <w:r>
        <w:tab/>
        <w:t>(b)</w:t>
      </w:r>
      <w:r>
        <w:tab/>
        <w:t>have been counted in sentencing under this section for a different relevant offence.</w:t>
      </w:r>
    </w:p>
    <w:p>
      <w:pPr>
        <w:pStyle w:val="Subsection"/>
      </w:pPr>
      <w:r>
        <w:tab/>
        <w:t>(2B)</w:t>
      </w:r>
      <w:r>
        <w:tab/>
        <w:t>For the purposes of subsection (2)(b), convictions for 2 or more previous relevant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qualifying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qualifying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lastRenderedPageBreak/>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 No. 30 of 2020 s. 74.]</w:t>
      </w:r>
    </w:p>
    <w:p>
      <w:pPr>
        <w:pStyle w:val="Heading5"/>
        <w:keepNext w:val="0"/>
        <w:keepLines w:val="0"/>
      </w:pPr>
      <w:bookmarkStart w:id="221" w:name="_Toc100567338"/>
      <w:r>
        <w:rPr>
          <w:rStyle w:val="CharSectno"/>
        </w:rPr>
        <w:t>61B</w:t>
      </w:r>
      <w:r>
        <w:t>.</w:t>
      </w:r>
      <w:r>
        <w:tab/>
        <w:t>Protected person aiding breach of restraining order or police order</w:t>
      </w:r>
      <w:bookmarkEnd w:id="221"/>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pPr>
        <w:pStyle w:val="Subsection"/>
      </w:pPr>
      <w:r>
        <w:lastRenderedPageBreak/>
        <w:tab/>
        <w:t>(2A)</w:t>
      </w:r>
      <w:r>
        <w:tab/>
        <w:t>However, subsection (2) does not apply if —</w:t>
      </w:r>
    </w:p>
    <w:p>
      <w:pPr>
        <w:pStyle w:val="Indenta"/>
      </w:pPr>
      <w:r>
        <w:tab/>
        <w:t>(a)</w:t>
      </w:r>
      <w:r>
        <w:tab/>
        <w:t>the protected person, without any influence on the part of the bound person (including any influence attributable to family violence), initiated the breach of the order; and</w:t>
      </w:r>
    </w:p>
    <w:p>
      <w:pPr>
        <w:pStyle w:val="Indenta"/>
      </w:pPr>
      <w:r>
        <w:tab/>
        <w:t>(b)</w:t>
      </w:r>
      <w:r>
        <w:tab/>
        <w:t>at the time of the commission of the offence, no conduct of the bound person (whether or not constituting part of the offence) constituted family violence).</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 amended: No. 30 of 2020 s. 75.]</w:t>
      </w:r>
    </w:p>
    <w:p>
      <w:pPr>
        <w:pStyle w:val="Heading5"/>
      </w:pPr>
      <w:bookmarkStart w:id="222" w:name="_Toc100567339"/>
      <w:r>
        <w:rPr>
          <w:rStyle w:val="CharSectno"/>
        </w:rPr>
        <w:t>61C</w:t>
      </w:r>
      <w:r>
        <w:t>.</w:t>
      </w:r>
      <w:r>
        <w:tab/>
        <w:t>Report under s. 10V to be considered in sentencing for breach of FVRO</w:t>
      </w:r>
      <w:bookmarkEnd w:id="222"/>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223" w:name="_Toc100567340"/>
      <w:r>
        <w:rPr>
          <w:rStyle w:val="CharSectno"/>
        </w:rPr>
        <w:t>62</w:t>
      </w:r>
      <w:r>
        <w:t>.</w:t>
      </w:r>
      <w:r>
        <w:tab/>
        <w:t>Defence</w:t>
      </w:r>
      <w:bookmarkEnd w:id="223"/>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lastRenderedPageBreak/>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224" w:name="_Toc100328255"/>
      <w:bookmarkStart w:id="225" w:name="_Toc100328466"/>
      <w:bookmarkStart w:id="226" w:name="_Toc100567341"/>
      <w:r>
        <w:rPr>
          <w:rStyle w:val="CharDivNo"/>
        </w:rPr>
        <w:t>Division 3A</w:t>
      </w:r>
      <w:r>
        <w:t> — </w:t>
      </w:r>
      <w:r>
        <w:rPr>
          <w:rStyle w:val="CharDivText"/>
        </w:rPr>
        <w:t>Police functions</w:t>
      </w:r>
      <w:bookmarkEnd w:id="224"/>
      <w:bookmarkEnd w:id="225"/>
      <w:bookmarkEnd w:id="226"/>
    </w:p>
    <w:p>
      <w:pPr>
        <w:pStyle w:val="Footnoteheading"/>
        <w:tabs>
          <w:tab w:val="left" w:pos="851"/>
        </w:tabs>
      </w:pPr>
      <w:r>
        <w:tab/>
        <w:t>[Heading inserted: No. 38 of 2004 s. 43(1).]</w:t>
      </w:r>
    </w:p>
    <w:p>
      <w:pPr>
        <w:pStyle w:val="Heading5"/>
      </w:pPr>
      <w:bookmarkStart w:id="227" w:name="_Toc100567342"/>
      <w:r>
        <w:rPr>
          <w:rStyle w:val="CharSectno"/>
        </w:rPr>
        <w:t>62A</w:t>
      </w:r>
      <w:r>
        <w:t>.</w:t>
      </w:r>
      <w:r>
        <w:tab/>
        <w:t>Investigation of suspected family violence</w:t>
      </w:r>
      <w:bookmarkEnd w:id="227"/>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228" w:name="_Toc100567343"/>
      <w:r>
        <w:rPr>
          <w:rStyle w:val="CharSectno"/>
        </w:rPr>
        <w:lastRenderedPageBreak/>
        <w:t>62B</w:t>
      </w:r>
      <w:r>
        <w:t>.</w:t>
      </w:r>
      <w:r>
        <w:tab/>
        <w:t>Entry and search of premises if family violence suspected</w:t>
      </w:r>
      <w:bookmarkEnd w:id="228"/>
    </w:p>
    <w:p>
      <w:pPr>
        <w:pStyle w:val="Subsection"/>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lastRenderedPageBreak/>
        <w:tab/>
        <w:t>(ii)</w:t>
      </w:r>
      <w:r>
        <w:tab/>
        <w:t>is in possession of a weapon;</w:t>
      </w:r>
    </w:p>
    <w:p>
      <w:pPr>
        <w:pStyle w:val="Indenta"/>
      </w:pPr>
      <w:r>
        <w:tab/>
      </w:r>
      <w:r>
        <w:tab/>
        <w:t>and</w:t>
      </w:r>
    </w:p>
    <w:p>
      <w:pPr>
        <w:pStyle w:val="Indenta"/>
        <w:keepNext/>
      </w:pPr>
      <w:r>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229" w:name="_Toc100567344"/>
      <w:r>
        <w:rPr>
          <w:rStyle w:val="CharSectno"/>
        </w:rPr>
        <w:t>62C</w:t>
      </w:r>
      <w:r>
        <w:t>.</w:t>
      </w:r>
      <w:r>
        <w:tab/>
        <w:t>Action to be taken by police officer after investigating suspected family violence</w:t>
      </w:r>
      <w:bookmarkEnd w:id="229"/>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lastRenderedPageBreak/>
        <w:tab/>
        <w:t>(b)</w:t>
      </w:r>
      <w:r>
        <w:tab/>
        <w:t>a police order; or</w:t>
      </w:r>
    </w:p>
    <w:p>
      <w:pPr>
        <w:pStyle w:val="Indenta"/>
        <w:keepNext/>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230" w:name="_Toc100567345"/>
      <w:r>
        <w:rPr>
          <w:rStyle w:val="CharSectno"/>
        </w:rPr>
        <w:t>62D</w:t>
      </w:r>
      <w:r>
        <w:t>.</w:t>
      </w:r>
      <w:r>
        <w:tab/>
        <w:t>Approval of senior officer</w:t>
      </w:r>
      <w:bookmarkEnd w:id="230"/>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lastRenderedPageBreak/>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231" w:name="_Toc100567346"/>
      <w:r>
        <w:rPr>
          <w:rStyle w:val="CharSectno"/>
        </w:rPr>
        <w:t>62E</w:t>
      </w:r>
      <w:r>
        <w:t>.</w:t>
      </w:r>
      <w:r>
        <w:tab/>
        <w:t>Seizure of firearms and explosives</w:t>
      </w:r>
      <w:bookmarkEnd w:id="231"/>
    </w:p>
    <w:p>
      <w:pPr>
        <w:pStyle w:val="Subsection"/>
      </w:pPr>
      <w:r>
        <w:tab/>
        <w:t>(1)</w:t>
      </w:r>
      <w:r>
        <w:tab/>
        <w:t xml:space="preserve">If a person who is bound by an FVRO or VRO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(1AA)</w:t>
      </w:r>
      <w:r>
        <w:tab/>
        <w:t xml:space="preserve">If a person who is bound by a restraint under section 14A in relation to an FVRO or VRO does not give up possession of any explosives or an explosives licence in accordance with that section, a police officer may, without a warrant — </w:t>
      </w:r>
    </w:p>
    <w:p>
      <w:pPr>
        <w:pStyle w:val="Indenta"/>
      </w:pPr>
      <w:r>
        <w:tab/>
        <w:t>(a)</w:t>
      </w:r>
      <w:r>
        <w:tab/>
        <w:t xml:space="preserve">enter a place where any explosives that are, or are reasonably suspected to be, in the possession of the person are reasonably suspected to be, and search for and seize the explosives; or </w:t>
      </w:r>
    </w:p>
    <w:p>
      <w:pPr>
        <w:pStyle w:val="Indenta"/>
      </w:pPr>
      <w:r>
        <w:lastRenderedPageBreak/>
        <w:tab/>
        <w:t>(b)</w:t>
      </w:r>
      <w:r>
        <w:tab/>
        <w:t>enter a place where an explosives licence held by the person is reasonably suspected to be, and search for and seize the licence.</w:t>
      </w:r>
    </w:p>
    <w:p>
      <w:pPr>
        <w:pStyle w:val="Subsection"/>
      </w:pPr>
      <w:r>
        <w:tab/>
        <w:t>(1a)</w:t>
      </w:r>
      <w:r>
        <w:tab/>
        <w:t>In order to exercise a power under subsection (1) or (1AA), a police officer may use any force against any person or thing that it is reasonably necessary to use in the circumstances.</w:t>
      </w:r>
    </w:p>
    <w:p>
      <w:pPr>
        <w:pStyle w:val="Subsection"/>
      </w:pPr>
      <w:r>
        <w:tab/>
        <w:t>(1B)</w:t>
      </w:r>
      <w:r>
        <w:tab/>
        <w:t xml:space="preserve">In the exercise of a power under subsection (1AA), a police officer may be accompanied and assisted by a dangerous goods officer under the </w:t>
      </w:r>
      <w:r>
        <w:rPr>
          <w:i/>
          <w:iCs/>
        </w:rPr>
        <w:t>Dangerous Goods Safety Act 2004</w:t>
      </w:r>
      <w:r>
        <w:rPr>
          <w:iCs/>
        </w:rPr>
        <w:t>.</w:t>
      </w:r>
    </w:p>
    <w:p>
      <w:pPr>
        <w:pStyle w:val="Subsection"/>
      </w:pPr>
      <w:r>
        <w:tab/>
        <w:t>(2)</w:t>
      </w:r>
      <w:r>
        <w:tab/>
        <w:t>A firearm or firearms licence seized under subsection (1), or any explosives or an explosives licence seized under subsection (1AA), are to be delivered to the Commissioner of Police, and dealt with, in the manner prescribed in the regulations.</w:t>
      </w:r>
    </w:p>
    <w:p>
      <w:pPr>
        <w:pStyle w:val="Footnotesection"/>
      </w:pPr>
      <w:r>
        <w:tab/>
        <w:t>[Section 62E inserted: No. 38 of 2004 s. 43(1); amended: No. 5 of 2008 s. 102; No. 49 of 2016 s. 67; No. 30 of 2020 s. 76.]</w:t>
      </w:r>
    </w:p>
    <w:p>
      <w:pPr>
        <w:pStyle w:val="Footnotesection"/>
      </w:pPr>
      <w:r>
        <w:tab/>
        <w:t>[Section 62E. Modifications to be applied in order to give effect to Cross-border Justice Act 2008: section altered 1 Nov 2009. See endnote 1M.]</w:t>
      </w:r>
    </w:p>
    <w:p>
      <w:pPr>
        <w:pStyle w:val="Heading5"/>
      </w:pPr>
      <w:bookmarkStart w:id="232" w:name="_Toc100567347"/>
      <w:r>
        <w:rPr>
          <w:rStyle w:val="CharSectno"/>
        </w:rPr>
        <w:t>62F</w:t>
      </w:r>
      <w:r>
        <w:t>.</w:t>
      </w:r>
      <w:r>
        <w:tab/>
        <w:t>Detention of respondent during telephone hearing or while police order is being made</w:t>
      </w:r>
      <w:bookmarkEnd w:id="232"/>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order that person to remain in a place designated by the police officer, or accompany the police officer to a police station or some other place and wait at that place, while — </w:t>
      </w:r>
    </w:p>
    <w:p>
      <w:pPr>
        <w:pStyle w:val="Indenti"/>
      </w:pPr>
      <w:r>
        <w:lastRenderedPageBreak/>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233" w:name="_Toc100567348"/>
      <w:r>
        <w:rPr>
          <w:rStyle w:val="CharSectno"/>
        </w:rPr>
        <w:lastRenderedPageBreak/>
        <w:t>62G</w:t>
      </w:r>
      <w:r>
        <w:t>.</w:t>
      </w:r>
      <w:r>
        <w:tab/>
        <w:t>Police officer may conduct hearing for applicant</w:t>
      </w:r>
      <w:bookmarkEnd w:id="233"/>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234" w:name="_Toc100328263"/>
      <w:bookmarkStart w:id="235" w:name="_Toc100328474"/>
      <w:bookmarkStart w:id="236" w:name="_Toc100567349"/>
      <w:r>
        <w:rPr>
          <w:rStyle w:val="CharDivNo"/>
        </w:rPr>
        <w:t>Division 4</w:t>
      </w:r>
      <w:r>
        <w:rPr>
          <w:snapToGrid w:val="0"/>
        </w:rPr>
        <w:t> — </w:t>
      </w:r>
      <w:r>
        <w:rPr>
          <w:rStyle w:val="CharDivText"/>
        </w:rPr>
        <w:t>General</w:t>
      </w:r>
      <w:bookmarkEnd w:id="234"/>
      <w:bookmarkEnd w:id="235"/>
      <w:bookmarkEnd w:id="236"/>
      <w:r>
        <w:rPr>
          <w:rStyle w:val="CharDivText"/>
        </w:rPr>
        <w:t xml:space="preserve"> </w:t>
      </w:r>
    </w:p>
    <w:p>
      <w:pPr>
        <w:pStyle w:val="Heading5"/>
        <w:rPr>
          <w:snapToGrid w:val="0"/>
        </w:rPr>
      </w:pPr>
      <w:bookmarkStart w:id="237" w:name="_Toc100567350"/>
      <w:r>
        <w:rPr>
          <w:rStyle w:val="CharSectno"/>
        </w:rPr>
        <w:t>63</w:t>
      </w:r>
      <w:r>
        <w:rPr>
          <w:snapToGrid w:val="0"/>
        </w:rPr>
        <w:t>.</w:t>
      </w:r>
      <w:r>
        <w:rPr>
          <w:snapToGrid w:val="0"/>
        </w:rPr>
        <w:tab/>
        <w:t>Making restraining orders during other proceedings</w:t>
      </w:r>
      <w:bookmarkEnd w:id="237"/>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lastRenderedPageBreak/>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298, 300, 301, 304(1), 313, 317, 317A, 323, 324, 333, 338A, 338B, 338C or 338E; or</w:t>
      </w:r>
    </w:p>
    <w:p>
      <w:pPr>
        <w:pStyle w:val="Indenti"/>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lastRenderedPageBreak/>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pPr>
      <w:r>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lastRenderedPageBreak/>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keepNext/>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pPr>
        <w:pStyle w:val="Heading5"/>
      </w:pPr>
      <w:bookmarkStart w:id="238" w:name="_Toc100567351"/>
      <w:r>
        <w:rPr>
          <w:rStyle w:val="CharSectno"/>
        </w:rPr>
        <w:lastRenderedPageBreak/>
        <w:t>63A</w:t>
      </w:r>
      <w:r>
        <w:t>.</w:t>
      </w:r>
      <w:r>
        <w:tab/>
        <w:t>FVRO or VRO made if certain violent personal offences committed</w:t>
      </w:r>
      <w:bookmarkEnd w:id="238"/>
    </w:p>
    <w:p>
      <w:pPr>
        <w:pStyle w:val="Subsection"/>
        <w:keepNext/>
      </w:pPr>
      <w:r>
        <w:tab/>
        <w:t>(1A)</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292, 293, 294, 297, 304(2), 320, 321, 321A, 325, 326, 327, 328, 329 or 332; or</w:t>
      </w:r>
    </w:p>
    <w:p>
      <w:pPr>
        <w:pStyle w:val="Defpara"/>
      </w:pPr>
      <w:r>
        <w:tab/>
        <w:t>(b)</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Except as provided in subsection (2A), an order made, or varied, under subsection (1) is to be made for the period of the life of the person who committed the offence.</w:t>
      </w:r>
    </w:p>
    <w:p>
      <w:pPr>
        <w:pStyle w:val="Subsection"/>
      </w:pPr>
      <w:r>
        <w:tab/>
        <w:t>(2A)</w:t>
      </w:r>
      <w:r>
        <w:tab/>
        <w:t xml:space="preserve">If the violent personal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not for the period of the life of the person who committed the offence).</w:t>
      </w:r>
    </w:p>
    <w:p>
      <w:pPr>
        <w:pStyle w:val="Subsection"/>
      </w:pPr>
      <w:r>
        <w:tab/>
        <w:t>(3)</w:t>
      </w:r>
      <w:r>
        <w:tab/>
        <w:t>A restraining order made under this section is a final order.</w:t>
      </w:r>
    </w:p>
    <w:p>
      <w:pPr>
        <w:pStyle w:val="Subsection"/>
        <w:keepNext/>
      </w:pPr>
      <w:r>
        <w:lastRenderedPageBreak/>
        <w:tab/>
        <w:t>(4)</w:t>
      </w:r>
      <w:r>
        <w:tab/>
        <w:t xml:space="preserve">A court must not make an order under this section if a request not to make the order is made by — </w:t>
      </w:r>
    </w:p>
    <w:p>
      <w:pPr>
        <w:pStyle w:val="Indenta"/>
      </w:pPr>
      <w:r>
        <w:tab/>
        <w:t>(a)</w:t>
      </w:r>
      <w:r>
        <w:tab/>
        <w:t>the victim of the offence for whose benefit the order would be made; or</w:t>
      </w:r>
    </w:p>
    <w:p>
      <w:pPr>
        <w:pStyle w:val="Indenta"/>
      </w:pPr>
      <w:r>
        <w:tab/>
        <w:t>(b)</w:t>
      </w:r>
      <w:r>
        <w:tab/>
        <w:t>a parent or guardian acting on behalf of a child who is the victim of the offence for whose benefit the order would be made.</w:t>
      </w:r>
    </w:p>
    <w:p>
      <w:pPr>
        <w:pStyle w:val="Subsection"/>
      </w:pPr>
      <w:r>
        <w:tab/>
        <w:t>(5)</w:t>
      </w:r>
      <w:r>
        <w:tab/>
        <w:t>The person who committed the offence cannot act on behalf of a child under subsection (4)(b).</w:t>
      </w:r>
    </w:p>
    <w:p>
      <w:pPr>
        <w:pStyle w:val="Footnotesection"/>
      </w:pPr>
      <w:r>
        <w:tab/>
        <w:t>[Section 63A inserted: No. 38 of 2004 s. 45; amended: No. 49 of 2016 s. 70; No. 30 of 2020 s. 78.]</w:t>
      </w:r>
    </w:p>
    <w:p>
      <w:pPr>
        <w:pStyle w:val="Heading5"/>
      </w:pPr>
      <w:bookmarkStart w:id="239" w:name="_Toc100567352"/>
      <w:r>
        <w:rPr>
          <w:rStyle w:val="CharSectno"/>
        </w:rPr>
        <w:t>63B</w:t>
      </w:r>
      <w:r>
        <w:t>.</w:t>
      </w:r>
      <w:r>
        <w:tab/>
        <w:t>Circumstances to be taken into account when sentencing for certain offences</w:t>
      </w:r>
      <w:bookmarkEnd w:id="239"/>
    </w:p>
    <w:p>
      <w:pPr>
        <w:pStyle w:val="Subsection"/>
        <w:keepNext/>
      </w:pPr>
      <w:r>
        <w:tab/>
        <w:t>(1)</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or 332.</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lastRenderedPageBreak/>
        <w:tab/>
        <w:t>[Section 63B inserted: No. 49 of 2016 s. 71; amended: No. 30 of 2020 s. 79.]</w:t>
      </w:r>
    </w:p>
    <w:p>
      <w:pPr>
        <w:pStyle w:val="Heading5"/>
      </w:pPr>
      <w:bookmarkStart w:id="240" w:name="_Toc100567353"/>
      <w:r>
        <w:rPr>
          <w:rStyle w:val="CharSectno"/>
        </w:rPr>
        <w:t>63C</w:t>
      </w:r>
      <w:r>
        <w:t>.</w:t>
      </w:r>
      <w:r>
        <w:tab/>
        <w:t>Criminal and civil liability not affected by restraining orders</w:t>
      </w:r>
      <w:bookmarkEnd w:id="240"/>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241" w:name="_Toc100567354"/>
      <w:r>
        <w:rPr>
          <w:rStyle w:val="CharSectno"/>
        </w:rPr>
        <w:t>63D</w:t>
      </w:r>
      <w:r>
        <w:t>.</w:t>
      </w:r>
      <w:r>
        <w:tab/>
        <w:t>Court to give reasons for certain decisions</w:t>
      </w:r>
      <w:bookmarkEnd w:id="241"/>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242" w:name="_Toc100567355"/>
      <w:r>
        <w:rPr>
          <w:rStyle w:val="CharSectno"/>
        </w:rPr>
        <w:t>64</w:t>
      </w:r>
      <w:r>
        <w:rPr>
          <w:snapToGrid w:val="0"/>
        </w:rPr>
        <w:t>.</w:t>
      </w:r>
      <w:r>
        <w:rPr>
          <w:snapToGrid w:val="0"/>
        </w:rPr>
        <w:tab/>
        <w:t>Appeals</w:t>
      </w:r>
      <w:bookmarkEnd w:id="242"/>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lastRenderedPageBreak/>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keepNext/>
        <w:spacing w:before="140"/>
      </w:pPr>
      <w:r>
        <w:lastRenderedPageBreak/>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243" w:name="_Toc100567356"/>
      <w:r>
        <w:rPr>
          <w:rStyle w:val="CharSectno"/>
        </w:rPr>
        <w:t>65</w:t>
      </w:r>
      <w:r>
        <w:rPr>
          <w:snapToGrid w:val="0"/>
        </w:rPr>
        <w:t>.</w:t>
      </w:r>
      <w:r>
        <w:rPr>
          <w:snapToGrid w:val="0"/>
        </w:rPr>
        <w:tab/>
        <w:t>Orders not to conflict with certain family orders</w:t>
      </w:r>
      <w:bookmarkEnd w:id="243"/>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pPr>
      <w:bookmarkStart w:id="244" w:name="_Toc100567357"/>
      <w:r>
        <w:rPr>
          <w:rStyle w:val="CharSectno"/>
        </w:rPr>
        <w:t>66</w:t>
      </w:r>
      <w:r>
        <w:t>.</w:t>
      </w:r>
      <w:r>
        <w:tab/>
        <w:t>Information about family orders</w:t>
      </w:r>
      <w:bookmarkEnd w:id="244"/>
    </w:p>
    <w:p>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pPr>
        <w:pStyle w:val="Indenta"/>
      </w:pPr>
      <w:r>
        <w:tab/>
        <w:t>(a)</w:t>
      </w:r>
      <w:r>
        <w:tab/>
        <w:t>about the existence of —</w:t>
      </w:r>
    </w:p>
    <w:p>
      <w:pPr>
        <w:pStyle w:val="Indenti"/>
      </w:pPr>
      <w:r>
        <w:tab/>
        <w:t>(i)</w:t>
      </w:r>
      <w:r>
        <w:tab/>
        <w:t>unless subparagraph (ii) applies, any family order to which the applicant is a party; or</w:t>
      </w:r>
    </w:p>
    <w:p>
      <w:pPr>
        <w:pStyle w:val="Indenti"/>
      </w:pPr>
      <w:r>
        <w:tab/>
        <w:t>(ii)</w:t>
      </w:r>
      <w:r>
        <w:tab/>
        <w:t>if the application is being made on behalf of another person, any family order to which the person for whose benefit the order would be made is a party;</w:t>
      </w:r>
    </w:p>
    <w:p>
      <w:pPr>
        <w:pStyle w:val="Indenta"/>
      </w:pPr>
      <w:r>
        <w:tab/>
      </w:r>
      <w:r>
        <w:tab/>
        <w:t>and</w:t>
      </w:r>
    </w:p>
    <w:p>
      <w:pPr>
        <w:pStyle w:val="Indenta"/>
      </w:pPr>
      <w:r>
        <w:lastRenderedPageBreak/>
        <w:tab/>
        <w:t>(b)</w:t>
      </w:r>
      <w:r>
        <w:tab/>
        <w:t>about the existence of —</w:t>
      </w:r>
    </w:p>
    <w:p>
      <w:pPr>
        <w:pStyle w:val="Indenti"/>
      </w:pPr>
      <w:r>
        <w:tab/>
        <w:t>(i)</w:t>
      </w:r>
      <w:r>
        <w:tab/>
        <w:t>unless subparagraph (ii) applies, any pending application for a family order in which the applicant is a party to the family court proceedings; or</w:t>
      </w:r>
    </w:p>
    <w:p>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pPr>
        <w:pStyle w:val="Subsection"/>
      </w:pPr>
      <w:r>
        <w:tab/>
        <w:t>(2)</w:t>
      </w:r>
      <w:r>
        <w:tab/>
        <w:t>If a court, on making a request under subsection (1), or in any other circumstances, becomes aware of an existing family order, or proceedings for a family order, the court must — </w:t>
      </w:r>
    </w:p>
    <w:p>
      <w:pPr>
        <w:pStyle w:val="Indenta"/>
      </w:pPr>
      <w:r>
        <w:tab/>
        <w:t>(a)</w:t>
      </w:r>
      <w:r>
        <w:tab/>
        <w:t>take steps to obtain a copy of any family order or, if that is not reasonably practicable in the circumstances, information about the terms of any family order; and</w:t>
      </w:r>
    </w:p>
    <w:p>
      <w:pPr>
        <w:pStyle w:val="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pPr>
        <w:pStyle w:val="Subsection"/>
      </w:pPr>
      <w:r>
        <w:tab/>
        <w:t>(3)</w:t>
      </w:r>
      <w:r>
        <w:tab/>
        <w:t xml:space="preserve">A restraining order is not invalid merely because of any failure to comply with this section. </w:t>
      </w:r>
    </w:p>
    <w:p>
      <w:pPr>
        <w:pStyle w:val="Footnotesection"/>
      </w:pPr>
      <w:r>
        <w:tab/>
        <w:t>[Section 66 inserted: No. 30 of 2020 s. 80.]</w:t>
      </w:r>
    </w:p>
    <w:p>
      <w:pPr>
        <w:pStyle w:val="Heading5"/>
        <w:spacing w:before="180"/>
      </w:pPr>
      <w:bookmarkStart w:id="245" w:name="_Toc100567358"/>
      <w:r>
        <w:rPr>
          <w:rStyle w:val="CharSectno"/>
        </w:rPr>
        <w:t>67</w:t>
      </w:r>
      <w:r>
        <w:t>.</w:t>
      </w:r>
      <w:r>
        <w:tab/>
        <w:t>Adjournments</w:t>
      </w:r>
      <w:bookmarkEnd w:id="245"/>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lastRenderedPageBreak/>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246" w:name="_Toc100567359"/>
      <w:r>
        <w:rPr>
          <w:rStyle w:val="CharSectno"/>
        </w:rPr>
        <w:t>68</w:t>
      </w:r>
      <w:r>
        <w:rPr>
          <w:snapToGrid w:val="0"/>
        </w:rPr>
        <w:t>.</w:t>
      </w:r>
      <w:r>
        <w:rPr>
          <w:snapToGrid w:val="0"/>
        </w:rPr>
        <w:tab/>
        <w:t>Orders may be extended to apply to other people</w:t>
      </w:r>
      <w:bookmarkEnd w:id="246"/>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247" w:name="_Toc100567360"/>
      <w:r>
        <w:rPr>
          <w:rStyle w:val="CharSectno"/>
        </w:rPr>
        <w:lastRenderedPageBreak/>
        <w:t>69</w:t>
      </w:r>
      <w:r>
        <w:rPr>
          <w:snapToGrid w:val="0"/>
        </w:rPr>
        <w:t>.</w:t>
      </w:r>
      <w:r>
        <w:rPr>
          <w:snapToGrid w:val="0"/>
        </w:rPr>
        <w:tab/>
        <w:t>Costs</w:t>
      </w:r>
      <w:bookmarkEnd w:id="247"/>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248" w:name="_Toc100567361"/>
      <w:r>
        <w:rPr>
          <w:rStyle w:val="CharSectno"/>
        </w:rPr>
        <w:t>70</w:t>
      </w:r>
      <w:r>
        <w:t>.</w:t>
      </w:r>
      <w:r>
        <w:tab/>
        <w:t>Information on identity of certain person restricted</w:t>
      </w:r>
      <w:bookmarkEnd w:id="248"/>
    </w:p>
    <w:p>
      <w:pPr>
        <w:pStyle w:val="Subsection"/>
      </w:pPr>
      <w:r>
        <w:tab/>
        <w:t>(1)</w:t>
      </w:r>
      <w:r>
        <w:tab/>
        <w:t xml:space="preserve">Subject to subsection (1A), (3) or (3A),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keepNext/>
      </w:pPr>
      <w:r>
        <w:lastRenderedPageBreak/>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lastRenderedPageBreak/>
        <w:tab/>
        <w:t>(3A)</w:t>
      </w:r>
      <w:r>
        <w:tab/>
        <w:t xml:space="preserve">This section does not prevent — </w:t>
      </w:r>
    </w:p>
    <w:p>
      <w:pPr>
        <w:pStyle w:val="Indenta"/>
      </w:pPr>
      <w:r>
        <w:tab/>
        <w:t>(a)</w:t>
      </w:r>
      <w:r>
        <w:tab/>
        <w:t xml:space="preserve">the matter number of any proceedings (whether under this Act or otherwise) being displayed by a court in the precincts of the court; or </w:t>
      </w:r>
    </w:p>
    <w:p>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 No. 30 of 2020 s. 81.]</w:t>
      </w:r>
    </w:p>
    <w:p>
      <w:pPr>
        <w:pStyle w:val="Heading5"/>
      </w:pPr>
      <w:bookmarkStart w:id="249" w:name="_Toc100567362"/>
      <w:r>
        <w:rPr>
          <w:rStyle w:val="CharSectno"/>
        </w:rPr>
        <w:t>70A</w:t>
      </w:r>
      <w:r>
        <w:t>.</w:t>
      </w:r>
      <w:r>
        <w:tab/>
        <w:t>Exchange of information</w:t>
      </w:r>
      <w:bookmarkEnd w:id="249"/>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w:t>
      </w:r>
      <w:r>
        <w:rPr>
          <w:snapToGrid w:val="0"/>
        </w:rPr>
        <w:lastRenderedPageBreak/>
        <w:t xml:space="preserve">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250" w:name="_Toc100567363"/>
      <w:r>
        <w:rPr>
          <w:rStyle w:val="CharSectno"/>
        </w:rPr>
        <w:t>71</w:t>
      </w:r>
      <w:r>
        <w:rPr>
          <w:snapToGrid w:val="0"/>
        </w:rPr>
        <w:t>.</w:t>
      </w:r>
      <w:r>
        <w:rPr>
          <w:snapToGrid w:val="0"/>
        </w:rPr>
        <w:tab/>
        <w:t>Notification when firearms order made</w:t>
      </w:r>
      <w:bookmarkEnd w:id="25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w:t>
      </w:r>
    </w:p>
    <w:p>
      <w:pPr>
        <w:pStyle w:val="Defstart"/>
        <w:keepNex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w:t>
      </w:r>
      <w:r>
        <w:lastRenderedPageBreak/>
        <w:t>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lastRenderedPageBreak/>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 xml:space="preserve">licensee notified under subsection (4) or (5) who allows the restrained person to use or </w:t>
      </w:r>
      <w:r>
        <w:rPr>
          <w:snapToGrid w:val="0"/>
        </w:rPr>
        <w:lastRenderedPageBreak/>
        <w:t>have access to a firearm, except as permitted under the firearms order, commits an offence.</w:t>
      </w:r>
    </w:p>
    <w:p>
      <w:pPr>
        <w:pStyle w:val="Penstart"/>
      </w:pPr>
      <w:r>
        <w:tab/>
        <w:t xml:space="preserve">Penalty for this subsection: </w:t>
      </w:r>
    </w:p>
    <w:p>
      <w:pPr>
        <w:pStyle w:val="Penpara"/>
      </w:pPr>
      <w:r>
        <w:tab/>
        <w:t>(a)</w:t>
      </w:r>
      <w:r>
        <w:tab/>
        <w:t>in the case of a responsible person — a fine of $4 000;</w:t>
      </w:r>
    </w:p>
    <w:p>
      <w:pPr>
        <w:pStyle w:val="Penpara"/>
        <w:rPr>
          <w:snapToGrid w:val="0"/>
        </w:rPr>
      </w:pPr>
      <w:r>
        <w:tab/>
        <w:t>(b)</w:t>
      </w:r>
      <w:r>
        <w:tab/>
        <w:t>in the case of a co</w:t>
      </w:r>
      <w:r>
        <w:noBreakHyphen/>
        <w:t>licensee — a fine of $4 000 or imprisonment for 12 months.</w:t>
      </w:r>
    </w:p>
    <w:p>
      <w:pPr>
        <w:pStyle w:val="Footnotesection"/>
      </w:pPr>
      <w:r>
        <w:tab/>
        <w:t>[Section 71 amended: No. 50 of 2003 s. 90(3); No. 49 of 2016 s. 78.]</w:t>
      </w:r>
    </w:p>
    <w:p>
      <w:pPr>
        <w:pStyle w:val="Heading5"/>
        <w:rPr>
          <w:snapToGrid w:val="0"/>
        </w:rPr>
      </w:pPr>
      <w:bookmarkStart w:id="251" w:name="_Toc100567364"/>
      <w:r>
        <w:rPr>
          <w:rStyle w:val="CharSectno"/>
        </w:rPr>
        <w:t>72</w:t>
      </w:r>
      <w:r>
        <w:rPr>
          <w:snapToGrid w:val="0"/>
        </w:rPr>
        <w:t>.</w:t>
      </w:r>
      <w:r>
        <w:rPr>
          <w:snapToGrid w:val="0"/>
        </w:rPr>
        <w:tab/>
        <w:t>Practice and procedure generally</w:t>
      </w:r>
      <w:bookmarkEnd w:id="251"/>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No. 59 of 2004 s. 124.] </w:t>
      </w:r>
    </w:p>
    <w:p>
      <w:pPr>
        <w:pStyle w:val="Heading5"/>
      </w:pPr>
      <w:bookmarkStart w:id="252" w:name="_Toc100567365"/>
      <w:r>
        <w:rPr>
          <w:rStyle w:val="CharSectno"/>
        </w:rPr>
        <w:t>72A</w:t>
      </w:r>
      <w:r>
        <w:t>.</w:t>
      </w:r>
      <w:r>
        <w:tab/>
        <w:t>Forms</w:t>
      </w:r>
      <w:bookmarkEnd w:id="252"/>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253" w:name="_Toc100567366"/>
      <w:r>
        <w:rPr>
          <w:rStyle w:val="CharSectno"/>
        </w:rPr>
        <w:lastRenderedPageBreak/>
        <w:t>73</w:t>
      </w:r>
      <w:r>
        <w:rPr>
          <w:snapToGrid w:val="0"/>
        </w:rPr>
        <w:t>.</w:t>
      </w:r>
      <w:r>
        <w:rPr>
          <w:snapToGrid w:val="0"/>
        </w:rPr>
        <w:tab/>
        <w:t>Regulation making power</w:t>
      </w:r>
      <w:bookmarkEnd w:id="253"/>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keepNext/>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 xml:space="preserve">the manner in which firearms and firearms </w:t>
      </w:r>
      <w:r>
        <w:t xml:space="preserve">licenses, and explosives and explosives licences, </w:t>
      </w:r>
      <w:r>
        <w:rPr>
          <w:snapToGrid w:val="0"/>
        </w:rPr>
        <w:t>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facilitating the effective operation of restraining orders which prohibit or restrict a person from being in possession of a </w:t>
      </w:r>
      <w:r>
        <w:t>firearm or any explosives;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Footnotesection"/>
      </w:pPr>
      <w:r>
        <w:tab/>
        <w:t>[Section 73 amended: No. 38 of 2004 s. 49; No. 49 of 2016 s. 80; No. 30 of 2020 s. 82.]</w:t>
      </w:r>
    </w:p>
    <w:p>
      <w:pPr>
        <w:pStyle w:val="Heading5"/>
      </w:pPr>
      <w:bookmarkStart w:id="254" w:name="_Toc100567367"/>
      <w:r>
        <w:rPr>
          <w:rStyle w:val="CharSectno"/>
        </w:rPr>
        <w:t>73A</w:t>
      </w:r>
      <w:r>
        <w:t>.</w:t>
      </w:r>
      <w:r>
        <w:tab/>
        <w:t>Review of certain amendments relating to FVROs</w:t>
      </w:r>
      <w:bookmarkEnd w:id="254"/>
    </w:p>
    <w:p>
      <w:pPr>
        <w:pStyle w:val="Subsection"/>
        <w:keepNext/>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w:t>
      </w:r>
      <w:r>
        <w:lastRenderedPageBreak/>
        <w:t xml:space="preserve">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255" w:name="_Toc100328282"/>
      <w:bookmarkStart w:id="256" w:name="_Toc100328493"/>
      <w:bookmarkStart w:id="257" w:name="_Toc100567368"/>
      <w:r>
        <w:rPr>
          <w:rStyle w:val="CharPartNo"/>
        </w:rPr>
        <w:lastRenderedPageBreak/>
        <w:t>Part 7</w:t>
      </w:r>
      <w:r>
        <w:rPr>
          <w:rStyle w:val="CharDivNo"/>
        </w:rPr>
        <w:t> </w:t>
      </w:r>
      <w:r>
        <w:t>—</w:t>
      </w:r>
      <w:r>
        <w:rPr>
          <w:rStyle w:val="CharDivText"/>
        </w:rPr>
        <w:t> </w:t>
      </w:r>
      <w:r>
        <w:rPr>
          <w:rStyle w:val="CharPartText"/>
        </w:rPr>
        <w:t>Interstate restraining orders</w:t>
      </w:r>
      <w:bookmarkEnd w:id="255"/>
      <w:bookmarkEnd w:id="256"/>
      <w:bookmarkEnd w:id="257"/>
      <w:r>
        <w:rPr>
          <w:rStyle w:val="CharPartText"/>
        </w:rPr>
        <w:t xml:space="preserve"> </w:t>
      </w:r>
    </w:p>
    <w:p>
      <w:pPr>
        <w:pStyle w:val="Heading5"/>
        <w:rPr>
          <w:snapToGrid w:val="0"/>
        </w:rPr>
      </w:pPr>
      <w:bookmarkStart w:id="258" w:name="_Toc100567369"/>
      <w:r>
        <w:rPr>
          <w:rStyle w:val="CharSectno"/>
        </w:rPr>
        <w:t>74</w:t>
      </w:r>
      <w:r>
        <w:rPr>
          <w:snapToGrid w:val="0"/>
        </w:rPr>
        <w:t>.</w:t>
      </w:r>
      <w:r>
        <w:rPr>
          <w:snapToGrid w:val="0"/>
        </w:rPr>
        <w:tab/>
        <w:t>Terms used</w:t>
      </w:r>
      <w:bookmarkEnd w:id="25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259" w:name="_Toc100567370"/>
      <w:r>
        <w:rPr>
          <w:rStyle w:val="CharSectno"/>
        </w:rPr>
        <w:t>74A</w:t>
      </w:r>
      <w:r>
        <w:t>.</w:t>
      </w:r>
      <w:r>
        <w:tab/>
        <w:t xml:space="preserve">Interstate DVOs under </w:t>
      </w:r>
      <w:r>
        <w:rPr>
          <w:i/>
        </w:rPr>
        <w:t xml:space="preserve">Domestic Violence Orders (National Recognition) Act 2017 </w:t>
      </w:r>
      <w:r>
        <w:t>cannot be registered</w:t>
      </w:r>
      <w:bookmarkEnd w:id="259"/>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260" w:name="_Toc100567371"/>
      <w:r>
        <w:rPr>
          <w:rStyle w:val="CharSectno"/>
        </w:rPr>
        <w:t>74B</w:t>
      </w:r>
      <w:r>
        <w:t>.</w:t>
      </w:r>
      <w:r>
        <w:tab/>
        <w:t xml:space="preserve">Interstate orders registered before commencement of </w:t>
      </w:r>
      <w:r>
        <w:rPr>
          <w:i/>
        </w:rPr>
        <w:t>Domestic Violence Orders (National Recognition) Act 2017</w:t>
      </w:r>
      <w:bookmarkEnd w:id="260"/>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lastRenderedPageBreak/>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261" w:name="_Toc100567372"/>
      <w:r>
        <w:rPr>
          <w:rStyle w:val="CharSectno"/>
        </w:rPr>
        <w:t>75</w:t>
      </w:r>
      <w:r>
        <w:rPr>
          <w:snapToGrid w:val="0"/>
        </w:rPr>
        <w:t>.</w:t>
      </w:r>
      <w:r>
        <w:rPr>
          <w:snapToGrid w:val="0"/>
        </w:rPr>
        <w:tab/>
        <w:t>Application for registration of interstate order</w:t>
      </w:r>
      <w:bookmarkEnd w:id="261"/>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lastRenderedPageBreak/>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262" w:name="_Toc100567373"/>
      <w:r>
        <w:rPr>
          <w:rStyle w:val="CharSectno"/>
        </w:rPr>
        <w:t>76</w:t>
      </w:r>
      <w:r>
        <w:rPr>
          <w:snapToGrid w:val="0"/>
        </w:rPr>
        <w:t>.</w:t>
      </w:r>
      <w:r>
        <w:rPr>
          <w:snapToGrid w:val="0"/>
        </w:rPr>
        <w:tab/>
        <w:t>Registration</w:t>
      </w:r>
      <w:bookmarkEnd w:id="262"/>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263" w:name="_Toc100567374"/>
      <w:r>
        <w:rPr>
          <w:rStyle w:val="CharSectno"/>
        </w:rPr>
        <w:lastRenderedPageBreak/>
        <w:t>77</w:t>
      </w:r>
      <w:r>
        <w:rPr>
          <w:snapToGrid w:val="0"/>
        </w:rPr>
        <w:t>.</w:t>
      </w:r>
      <w:r>
        <w:rPr>
          <w:snapToGrid w:val="0"/>
        </w:rPr>
        <w:tab/>
        <w:t>Effect of registration</w:t>
      </w:r>
      <w:bookmarkEnd w:id="263"/>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264" w:name="_Toc100567375"/>
      <w:r>
        <w:rPr>
          <w:rStyle w:val="CharSectno"/>
        </w:rPr>
        <w:t>78</w:t>
      </w:r>
      <w:r>
        <w:rPr>
          <w:snapToGrid w:val="0"/>
        </w:rPr>
        <w:t>.</w:t>
      </w:r>
      <w:r>
        <w:rPr>
          <w:snapToGrid w:val="0"/>
        </w:rPr>
        <w:tab/>
        <w:t>Variation or cancellation in another State or Territory</w:t>
      </w:r>
      <w:bookmarkEnd w:id="26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lastRenderedPageBreak/>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265" w:name="_Toc100567376"/>
      <w:r>
        <w:rPr>
          <w:rStyle w:val="CharSectno"/>
        </w:rPr>
        <w:t>79</w:t>
      </w:r>
      <w:r>
        <w:t>.</w:t>
      </w:r>
      <w:r>
        <w:tab/>
        <w:t>Variation or cancellation in this State</w:t>
      </w:r>
      <w:bookmarkEnd w:id="265"/>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lastRenderedPageBreak/>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66" w:name="_Toc100328291"/>
      <w:bookmarkStart w:id="267" w:name="_Toc100328502"/>
      <w:bookmarkStart w:id="268" w:name="_Toc100567377"/>
      <w:r>
        <w:rPr>
          <w:rStyle w:val="CharPartNo"/>
        </w:rPr>
        <w:lastRenderedPageBreak/>
        <w:t>Part 7A</w:t>
      </w:r>
      <w:r>
        <w:rPr>
          <w:rStyle w:val="CharDivNo"/>
        </w:rPr>
        <w:t xml:space="preserve"> </w:t>
      </w:r>
      <w:r>
        <w:t>—</w:t>
      </w:r>
      <w:r>
        <w:rPr>
          <w:rStyle w:val="CharDivText"/>
        </w:rPr>
        <w:t xml:space="preserve"> </w:t>
      </w:r>
      <w:r>
        <w:rPr>
          <w:rStyle w:val="CharPartText"/>
        </w:rPr>
        <w:t>Foreign restraining orders</w:t>
      </w:r>
      <w:bookmarkEnd w:id="266"/>
      <w:bookmarkEnd w:id="267"/>
      <w:bookmarkEnd w:id="268"/>
    </w:p>
    <w:p>
      <w:pPr>
        <w:pStyle w:val="Footnoteheading"/>
      </w:pPr>
      <w:r>
        <w:tab/>
        <w:t>[Heading inserted: No. 11 of 1999 s. 7.]</w:t>
      </w:r>
    </w:p>
    <w:p>
      <w:pPr>
        <w:pStyle w:val="Heading5"/>
        <w:spacing w:before="120"/>
      </w:pPr>
      <w:bookmarkStart w:id="269" w:name="_Toc100567378"/>
      <w:r>
        <w:rPr>
          <w:rStyle w:val="CharSectno"/>
        </w:rPr>
        <w:t>79A</w:t>
      </w:r>
      <w:r>
        <w:t>.</w:t>
      </w:r>
      <w:r>
        <w:tab/>
        <w:t>Recognition of foreign restraining orders</w:t>
      </w:r>
      <w:bookmarkEnd w:id="269"/>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270" w:name="_Toc100567379"/>
      <w:r>
        <w:rPr>
          <w:rStyle w:val="CharSectno"/>
        </w:rPr>
        <w:t>79B</w:t>
      </w:r>
      <w:r>
        <w:t>.</w:t>
      </w:r>
      <w:r>
        <w:tab/>
        <w:t>Applying for registration of foreign restraining orders</w:t>
      </w:r>
      <w:bookmarkEnd w:id="270"/>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271" w:name="_Toc100567380"/>
      <w:r>
        <w:rPr>
          <w:rStyle w:val="CharSectno"/>
        </w:rPr>
        <w:lastRenderedPageBreak/>
        <w:t>79C</w:t>
      </w:r>
      <w:r>
        <w:t>.</w:t>
      </w:r>
      <w:r>
        <w:tab/>
        <w:t>Registration of foreign restraining orders</w:t>
      </w:r>
      <w:bookmarkEnd w:id="271"/>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272" w:name="_Toc100567381"/>
      <w:r>
        <w:rPr>
          <w:rStyle w:val="CharSectno"/>
        </w:rPr>
        <w:t>79D</w:t>
      </w:r>
      <w:r>
        <w:t>.</w:t>
      </w:r>
      <w:r>
        <w:tab/>
        <w:t>Effect of registration</w:t>
      </w:r>
      <w:bookmarkEnd w:id="272"/>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lastRenderedPageBreak/>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273" w:name="_Toc100567382"/>
      <w:r>
        <w:rPr>
          <w:rStyle w:val="CharSectno"/>
        </w:rPr>
        <w:t>79E</w:t>
      </w:r>
      <w:r>
        <w:t>.</w:t>
      </w:r>
      <w:r>
        <w:tab/>
        <w:t>Variation or cancellation in foreign country</w:t>
      </w:r>
      <w:bookmarkEnd w:id="273"/>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lastRenderedPageBreak/>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274" w:name="_Toc100567383"/>
      <w:r>
        <w:rPr>
          <w:rStyle w:val="CharSectno"/>
        </w:rPr>
        <w:t>79F</w:t>
      </w:r>
      <w:r>
        <w:t>.</w:t>
      </w:r>
      <w:r>
        <w:tab/>
        <w:t>Variation or cancellation in this State</w:t>
      </w:r>
      <w:bookmarkEnd w:id="274"/>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75" w:name="_Toc100328298"/>
      <w:bookmarkStart w:id="276" w:name="_Toc100328509"/>
      <w:bookmarkStart w:id="277" w:name="_Toc100567384"/>
      <w:r>
        <w:lastRenderedPageBreak/>
        <w:t>Notes</w:t>
      </w:r>
      <w:bookmarkEnd w:id="275"/>
      <w:bookmarkEnd w:id="276"/>
      <w:bookmarkEnd w:id="277"/>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78" w:name="_Toc100567385"/>
      <w:r>
        <w:t>Compilation table</w:t>
      </w:r>
      <w:bookmarkEnd w:id="278"/>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lastRenderedPageBreak/>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lastRenderedPageBreak/>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pPr>
              <w:pStyle w:val="nTable"/>
              <w:spacing w:after="40"/>
            </w:pPr>
            <w:r>
              <w:t>13 of 2020</w:t>
            </w:r>
          </w:p>
        </w:tc>
        <w:tc>
          <w:tcPr>
            <w:tcW w:w="1134" w:type="dxa"/>
            <w:tcBorders>
              <w:top w:val="nil"/>
              <w:bottom w:val="nil"/>
            </w:tcBorders>
            <w:shd w:val="clear" w:color="auto" w:fill="auto"/>
          </w:tcPr>
          <w:p>
            <w:pPr>
              <w:pStyle w:val="nTable"/>
              <w:spacing w:after="40"/>
            </w:pPr>
            <w:r>
              <w:t>6 Apr 2020</w:t>
            </w:r>
          </w:p>
        </w:tc>
        <w:tc>
          <w:tcPr>
            <w:tcW w:w="2552" w:type="dxa"/>
            <w:tcBorders>
              <w:top w:val="nil"/>
              <w:bottom w:val="nil"/>
              <w:right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pPr>
              <w:pStyle w:val="nTable"/>
              <w:spacing w:after="40"/>
              <w:rPr>
                <w:i/>
              </w:rPr>
            </w:pPr>
            <w:r>
              <w:rPr>
                <w:i/>
              </w:rPr>
              <w:t>Family Violence Legislation Reform Act 2020</w:t>
            </w:r>
            <w:r>
              <w:t xml:space="preserve"> Pt. 6</w:t>
            </w:r>
          </w:p>
        </w:tc>
        <w:tc>
          <w:tcPr>
            <w:tcW w:w="1134" w:type="dxa"/>
            <w:tcBorders>
              <w:top w:val="nil"/>
              <w:bottom w:val="single" w:sz="4" w:space="0" w:color="auto"/>
            </w:tcBorders>
            <w:shd w:val="clear" w:color="auto" w:fill="auto"/>
          </w:tcPr>
          <w:p>
            <w:pPr>
              <w:pStyle w:val="nTable"/>
              <w:spacing w:after="40"/>
            </w:pPr>
            <w:r>
              <w:t>30 of 2020</w:t>
            </w:r>
          </w:p>
        </w:tc>
        <w:tc>
          <w:tcPr>
            <w:tcW w:w="1134" w:type="dxa"/>
            <w:tcBorders>
              <w:top w:val="nil"/>
              <w:bottom w:val="single" w:sz="4" w:space="0" w:color="auto"/>
            </w:tcBorders>
            <w:shd w:val="clear" w:color="auto" w:fill="auto"/>
          </w:tcPr>
          <w:p>
            <w:pPr>
              <w:pStyle w:val="nTable"/>
              <w:spacing w:after="40"/>
            </w:pPr>
            <w:r>
              <w:t>9 Jul 2020</w:t>
            </w:r>
          </w:p>
        </w:tc>
        <w:tc>
          <w:tcPr>
            <w:tcW w:w="2552" w:type="dxa"/>
            <w:tcBorders>
              <w:top w:val="nil"/>
              <w:bottom w:val="single" w:sz="4" w:space="0" w:color="auto"/>
              <w:right w:val="nil"/>
            </w:tcBorders>
            <w:shd w:val="clear" w:color="auto" w:fill="auto"/>
          </w:tcPr>
          <w:p>
            <w:pPr>
              <w:pStyle w:val="nTable"/>
              <w:spacing w:after="40"/>
            </w:pPr>
            <w:r>
              <w:t>Pt. 6 (other than s. 52, 55, 56, 58, 59, 63, 64, 72, 76, 77 and 82): 6 Aug 2020 (see s. 2(1)(c) and SL 2020/125 cl. 2(a)(iv));</w:t>
            </w:r>
            <w:r>
              <w:br/>
            </w:r>
            <w:r>
              <w:rPr>
                <w:snapToGrid w:val="0"/>
              </w:rPr>
              <w:t>s. 77: 1 Oct 2020 (see s. 2(1)(c) and SL 2020/125 cl. 2(b)(i));</w:t>
            </w:r>
            <w:r>
              <w:rPr>
                <w:snapToGrid w:val="0"/>
              </w:rPr>
              <w:br/>
            </w:r>
            <w:r>
              <w:t>s. 52, 55, 56, 58, 59, 63, 64, 72, 76 and 82: 1 Jan 2021 (see s. 2(1)(c) and SL 2020/125 cl. 2(c)(iii))</w:t>
            </w:r>
          </w:p>
        </w:tc>
      </w:tr>
    </w:tbl>
    <w:p>
      <w:pPr>
        <w:pStyle w:val="nHeading3"/>
      </w:pPr>
      <w:bookmarkStart w:id="279" w:name="_Toc100567386"/>
      <w:r>
        <w:lastRenderedPageBreak/>
        <w:t>Uncommenced provisions table</w:t>
      </w:r>
      <w:bookmarkEnd w:id="279"/>
    </w:p>
    <w:p>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1113"/>
        <w:gridCol w:w="1177"/>
        <w:gridCol w:w="2557"/>
      </w:tblGrid>
      <w:tr>
        <w:trPr>
          <w:cantSplit/>
          <w:tblHeader/>
        </w:trPr>
        <w:tc>
          <w:tcPr>
            <w:tcW w:w="2272" w:type="dxa"/>
            <w:tcBorders>
              <w:top w:val="single" w:sz="4" w:space="0" w:color="auto"/>
              <w:bottom w:val="single" w:sz="4" w:space="0" w:color="auto"/>
            </w:tcBorders>
          </w:tcPr>
          <w:p>
            <w:pPr>
              <w:pStyle w:val="nStatement"/>
              <w:keepNext/>
              <w:spacing w:after="240"/>
            </w:pPr>
            <w:r>
              <w:rPr>
                <w:b/>
              </w:rPr>
              <w:t>Short</w:t>
            </w:r>
            <w:r>
              <w:rPr>
                <w:b/>
                <w:snapToGrid w:val="0"/>
              </w:rPr>
              <w:t xml:space="preserve"> title</w:t>
            </w:r>
          </w:p>
        </w:tc>
        <w:tc>
          <w:tcPr>
            <w:tcW w:w="1116" w:type="dxa"/>
            <w:tcBorders>
              <w:top w:val="single" w:sz="4" w:space="0" w:color="auto"/>
              <w:bottom w:val="single" w:sz="4" w:space="0" w:color="auto"/>
            </w:tcBorders>
          </w:tcPr>
          <w:p>
            <w:pPr>
              <w:pStyle w:val="nStatement"/>
              <w:keepNext/>
              <w:spacing w:after="240"/>
            </w:pPr>
            <w:r>
              <w:rPr>
                <w:b/>
                <w:snapToGrid w:val="0"/>
              </w:rPr>
              <w:t>Number and year</w:t>
            </w:r>
          </w:p>
        </w:tc>
        <w:tc>
          <w:tcPr>
            <w:tcW w:w="1132" w:type="dxa"/>
            <w:tcBorders>
              <w:top w:val="single" w:sz="4" w:space="0" w:color="auto"/>
              <w:bottom w:val="single" w:sz="4" w:space="0" w:color="auto"/>
            </w:tcBorders>
          </w:tcPr>
          <w:p>
            <w:pPr>
              <w:pStyle w:val="nStatement"/>
              <w:keepNext/>
              <w:spacing w:after="240"/>
            </w:pPr>
            <w:r>
              <w:rPr>
                <w:b/>
                <w:snapToGrid w:val="0"/>
              </w:rPr>
              <w:t>Assent</w:t>
            </w:r>
          </w:p>
        </w:tc>
        <w:tc>
          <w:tcPr>
            <w:tcW w:w="2577" w:type="dxa"/>
            <w:tcBorders>
              <w:top w:val="single" w:sz="4" w:space="0" w:color="auto"/>
              <w:bottom w:val="single" w:sz="4" w:space="0" w:color="auto"/>
            </w:tcBorders>
          </w:tcPr>
          <w:p>
            <w:pPr>
              <w:pStyle w:val="nStatement"/>
              <w:keepNext/>
              <w:spacing w:after="240"/>
            </w:pPr>
            <w:r>
              <w:rPr>
                <w:b/>
                <w:snapToGrid w:val="0"/>
              </w:rPr>
              <w:t>Commencement</w:t>
            </w:r>
          </w:p>
        </w:tc>
      </w:tr>
      <w:tr>
        <w:trPr>
          <w:cantSplit/>
        </w:trPr>
        <w:tc>
          <w:tcPr>
            <w:tcW w:w="2272" w:type="dxa"/>
            <w:tcBorders>
              <w:top w:val="single" w:sz="4" w:space="0" w:color="auto"/>
              <w:bottom w:val="nil"/>
            </w:tcBorders>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16" w:type="dxa"/>
            <w:tcBorders>
              <w:top w:val="single" w:sz="4" w:space="0" w:color="auto"/>
              <w:bottom w:val="nil"/>
            </w:tcBorders>
          </w:tcPr>
          <w:p>
            <w:pPr>
              <w:pStyle w:val="nTable"/>
              <w:spacing w:after="40"/>
            </w:pPr>
            <w:r>
              <w:t>20 of 2013</w:t>
            </w:r>
          </w:p>
        </w:tc>
        <w:tc>
          <w:tcPr>
            <w:tcW w:w="1132" w:type="dxa"/>
            <w:tcBorders>
              <w:top w:val="single" w:sz="4" w:space="0" w:color="auto"/>
              <w:bottom w:val="nil"/>
            </w:tcBorders>
          </w:tcPr>
          <w:p>
            <w:pPr>
              <w:pStyle w:val="nTable"/>
              <w:spacing w:after="40"/>
            </w:pPr>
            <w:r>
              <w:t>4 Nov 2013</w:t>
            </w:r>
          </w:p>
        </w:tc>
        <w:tc>
          <w:tcPr>
            <w:tcW w:w="2577" w:type="dxa"/>
            <w:tcBorders>
              <w:top w:val="single" w:sz="4" w:space="0" w:color="auto"/>
              <w:bottom w:val="nil"/>
            </w:tcBorders>
          </w:tcPr>
          <w:p>
            <w:pPr>
              <w:pStyle w:val="nTable"/>
              <w:spacing w:after="40"/>
              <w:rPr>
                <w:snapToGrid w:val="0"/>
              </w:rPr>
            </w:pPr>
            <w:r>
              <w:rPr>
                <w:snapToGrid w:val="0"/>
              </w:rPr>
              <w:t>To be proclaimed (see s. 2(b))</w:t>
            </w:r>
          </w:p>
        </w:tc>
      </w:tr>
      <w:tr>
        <w:trPr>
          <w:cantSplit/>
        </w:trPr>
        <w:tc>
          <w:tcPr>
            <w:tcW w:w="2272" w:type="dxa"/>
            <w:tcBorders>
              <w:top w:val="nil"/>
              <w:bottom w:val="single" w:sz="4" w:space="0" w:color="auto"/>
            </w:tcBorders>
          </w:tcPr>
          <w:p>
            <w:pPr>
              <w:pStyle w:val="nTable"/>
              <w:spacing w:after="40"/>
              <w:rPr>
                <w:i/>
              </w:rPr>
            </w:pPr>
            <w:r>
              <w:rPr>
                <w:i/>
              </w:rPr>
              <w:t>Legal Profession Uniform Law Application Act 2022</w:t>
            </w:r>
            <w:r>
              <w:t xml:space="preserve"> s. 424</w:t>
            </w:r>
          </w:p>
        </w:tc>
        <w:tc>
          <w:tcPr>
            <w:tcW w:w="1116" w:type="dxa"/>
            <w:tcBorders>
              <w:top w:val="nil"/>
              <w:bottom w:val="single" w:sz="4" w:space="0" w:color="auto"/>
            </w:tcBorders>
          </w:tcPr>
          <w:p>
            <w:pPr>
              <w:pStyle w:val="nTable"/>
              <w:spacing w:after="40"/>
            </w:pPr>
            <w:r>
              <w:t>9 of 2022</w:t>
            </w:r>
          </w:p>
        </w:tc>
        <w:tc>
          <w:tcPr>
            <w:tcW w:w="1132" w:type="dxa"/>
            <w:tcBorders>
              <w:top w:val="nil"/>
              <w:bottom w:val="single" w:sz="4" w:space="0" w:color="auto"/>
            </w:tcBorders>
          </w:tcPr>
          <w:p>
            <w:pPr>
              <w:pStyle w:val="nTable"/>
              <w:spacing w:after="40"/>
            </w:pPr>
            <w:r>
              <w:t>14 Apr 2022</w:t>
            </w:r>
          </w:p>
        </w:tc>
        <w:tc>
          <w:tcPr>
            <w:tcW w:w="2577" w:type="dxa"/>
            <w:tcBorders>
              <w:top w:val="nil"/>
              <w:bottom w:val="single" w:sz="4" w:space="0" w:color="auto"/>
            </w:tcBorders>
          </w:tcPr>
          <w:p>
            <w:pPr>
              <w:pStyle w:val="nTable"/>
              <w:spacing w:after="40"/>
              <w:rPr>
                <w:snapToGrid w:val="0"/>
              </w:rPr>
            </w:pPr>
            <w:r>
              <w:t>To be proclaimed (see s. 2(c))</w:t>
            </w:r>
          </w:p>
        </w:tc>
      </w:tr>
    </w:tbl>
    <w:p>
      <w:pPr>
        <w:pStyle w:val="nHeading3"/>
      </w:pPr>
      <w:bookmarkStart w:id="280" w:name="_Toc100567387"/>
      <w:r>
        <w:t>Other notes</w:t>
      </w:r>
      <w:bookmarkEnd w:id="280"/>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282" w:name="_Toc100328302"/>
      <w:bookmarkStart w:id="283" w:name="_Toc100328513"/>
      <w:bookmarkStart w:id="284" w:name="_Toc100567388"/>
      <w:r>
        <w:rPr>
          <w:sz w:val="28"/>
        </w:rPr>
        <w:lastRenderedPageBreak/>
        <w:t>Defined terms</w:t>
      </w:r>
      <w:bookmarkEnd w:id="282"/>
      <w:bookmarkEnd w:id="283"/>
      <w:bookmarkEnd w:id="2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affidavit</w:t>
      </w:r>
      <w:r>
        <w:tab/>
        <w:t>3(1)</w:t>
      </w:r>
    </w:p>
    <w:p>
      <w:pPr>
        <w:pStyle w:val="DefinedTerms"/>
      </w:pPr>
      <w:r>
        <w:t>aid</w:t>
      </w:r>
      <w:r>
        <w:tab/>
        <w:t>61B(1)</w:t>
      </w:r>
    </w:p>
    <w:p>
      <w:pPr>
        <w:pStyle w:val="DefinedTerms"/>
      </w:pPr>
      <w:r>
        <w:t>application</w:t>
      </w:r>
      <w:r>
        <w:tab/>
        <w:t>3(1)</w:t>
      </w:r>
    </w:p>
    <w:p>
      <w:pPr>
        <w:pStyle w:val="DefinedTerms"/>
      </w:pPr>
      <w:r>
        <w:t>assault</w:t>
      </w:r>
      <w:r>
        <w:tab/>
        <w:t>3(1)</w:t>
      </w:r>
    </w:p>
    <w:p>
      <w:pPr>
        <w:pStyle w:val="DefinedTerms"/>
      </w:pPr>
      <w:r>
        <w:t>authorised magistrate</w:t>
      </w:r>
      <w:r>
        <w:tab/>
        <w:t>3(1)</w:t>
      </w:r>
    </w:p>
    <w:p>
      <w:pPr>
        <w:pStyle w:val="DefinedTerms"/>
      </w:pPr>
      <w:r>
        <w:t>authorised person</w:t>
      </w:r>
      <w:r>
        <w:tab/>
        <w:t>3(1)</w:t>
      </w:r>
    </w:p>
    <w:p>
      <w:pPr>
        <w:pStyle w:val="DefinedTerms"/>
      </w:pPr>
      <w:r>
        <w:t>behaviour change order</w:t>
      </w:r>
      <w:r>
        <w:tab/>
        <w:t>10I, 10M(1)</w:t>
      </w:r>
    </w:p>
    <w:p>
      <w:pPr>
        <w:pStyle w:val="DefinedTerms"/>
      </w:pPr>
      <w:r>
        <w:t>behaviour change programme</w:t>
      </w:r>
      <w:r>
        <w:tab/>
        <w:t>10I, 10P(2)</w:t>
      </w:r>
    </w:p>
    <w:p>
      <w:pPr>
        <w:pStyle w:val="DefinedTerms"/>
      </w:pPr>
      <w:r>
        <w:t>behaviour change programme provider</w:t>
      </w:r>
      <w:r>
        <w:tab/>
        <w:t>10I, 10P(3)</w:t>
      </w:r>
    </w:p>
    <w:p>
      <w:pPr>
        <w:pStyle w:val="DefinedTerms"/>
      </w:pPr>
      <w:r>
        <w:t>behaviour management order</w:t>
      </w:r>
      <w:r>
        <w:tab/>
        <w:t>10I</w:t>
      </w:r>
    </w:p>
    <w:p>
      <w:pPr>
        <w:pStyle w:val="DefinedTerms"/>
      </w:pPr>
      <w:r>
        <w:t>bound person</w:t>
      </w:r>
      <w:r>
        <w:tab/>
        <w:t>61B(1)</w:t>
      </w:r>
    </w:p>
    <w:p>
      <w:pPr>
        <w:pStyle w:val="DefinedTerms"/>
      </w:pPr>
      <w:r>
        <w:t>CEO (child welfare)</w:t>
      </w:r>
      <w:r>
        <w:tab/>
        <w:t>3(1)</w:t>
      </w:r>
    </w:p>
    <w:p>
      <w:pPr>
        <w:pStyle w:val="DefinedTerms"/>
      </w:pPr>
      <w:r>
        <w:t>child</w:t>
      </w:r>
      <w:r>
        <w:tab/>
        <w:t>3(1)</w:t>
      </w:r>
    </w:p>
    <w:p>
      <w:pPr>
        <w:pStyle w:val="DefinedTerms"/>
      </w:pPr>
      <w:r>
        <w:t>child welfare law</w:t>
      </w:r>
      <w:r>
        <w:tab/>
        <w:t>50B(4)</w:t>
      </w:r>
    </w:p>
    <w:p>
      <w:pPr>
        <w:pStyle w:val="DefinedTerms"/>
      </w:pPr>
      <w:r>
        <w:t>child welfare officer</w:t>
      </w:r>
      <w:r>
        <w:tab/>
        <w:t>3(1)</w:t>
      </w:r>
    </w:p>
    <w:p>
      <w:pPr>
        <w:pStyle w:val="DefinedTerms"/>
      </w:pPr>
      <w:r>
        <w:t>co</w:t>
      </w:r>
      <w:r>
        <w:noBreakHyphen/>
        <w:t>licensee</w:t>
      </w:r>
      <w:r>
        <w:tab/>
        <w:t>71(2)</w:t>
      </w:r>
    </w:p>
    <w:p>
      <w:pPr>
        <w:pStyle w:val="DefinedTerms"/>
      </w:pPr>
      <w:r>
        <w:t>Commissioner of Police</w:t>
      </w:r>
      <w:r>
        <w:tab/>
        <w:t>3(1)</w:t>
      </w:r>
    </w:p>
    <w:p>
      <w:pPr>
        <w:pStyle w:val="DefinedTerms"/>
      </w:pPr>
      <w:r>
        <w:t>conduct agreement</w:t>
      </w:r>
      <w:r>
        <w:tab/>
        <w:t>10H(1)</w:t>
      </w:r>
    </w:p>
    <w:p>
      <w:pPr>
        <w:pStyle w:val="DefinedTerms"/>
      </w:pPr>
      <w:r>
        <w:t>conduct agreement order</w:t>
      </w:r>
      <w:r>
        <w:tab/>
        <w:t>3(1), 10H(1)</w:t>
      </w:r>
    </w:p>
    <w:p>
      <w:pPr>
        <w:pStyle w:val="DefinedTerms"/>
      </w:pPr>
      <w:r>
        <w:t>consent order</w:t>
      </w:r>
      <w:r>
        <w:tab/>
        <w:t>3(1)</w:t>
      </w:r>
    </w:p>
    <w:p>
      <w:pPr>
        <w:pStyle w:val="DefinedTerms"/>
      </w:pPr>
      <w:r>
        <w:t>conviction</w:t>
      </w:r>
      <w:r>
        <w:tab/>
        <w:t>61A(1)</w:t>
      </w:r>
    </w:p>
    <w:p>
      <w:pPr>
        <w:pStyle w:val="DefinedTerms"/>
      </w:pPr>
      <w:r>
        <w:t>corresponding law</w:t>
      </w:r>
      <w:r>
        <w:tab/>
        <w:t>3(1)</w:t>
      </w:r>
    </w:p>
    <w:p>
      <w:pPr>
        <w:pStyle w:val="DefinedTerms"/>
      </w:pPr>
      <w:r>
        <w:t>court</w:t>
      </w:r>
      <w:r>
        <w:tab/>
        <w:t>3(1), 10I</w:t>
      </w:r>
    </w:p>
    <w:p>
      <w:pPr>
        <w:pStyle w:val="DefinedTerms"/>
      </w:pPr>
      <w:r>
        <w:t>cyber</w:t>
      </w:r>
      <w:r>
        <w:noBreakHyphen/>
        <w:t>stalking</w:t>
      </w:r>
      <w:r>
        <w:tab/>
        <w:t>3(1)</w:t>
      </w:r>
    </w:p>
    <w:p>
      <w:pPr>
        <w:pStyle w:val="DefinedTerms"/>
      </w:pPr>
      <w:r>
        <w:t>distributes</w:t>
      </w:r>
      <w:r>
        <w:tab/>
        <w:t>3(1)</w:t>
      </w:r>
    </w:p>
    <w:p>
      <w:pPr>
        <w:pStyle w:val="DefinedTerms"/>
      </w:pPr>
      <w:r>
        <w:t>earlier order</w:t>
      </w:r>
      <w:r>
        <w:tab/>
        <w:t>32(5)</w:t>
      </w:r>
    </w:p>
    <w:p>
      <w:pPr>
        <w:pStyle w:val="DefinedTerms"/>
      </w:pPr>
      <w:r>
        <w:t>eligibility assessment interview</w:t>
      </w:r>
      <w:r>
        <w:tab/>
        <w:t>10I, 10L(1)</w:t>
      </w:r>
    </w:p>
    <w:p>
      <w:pPr>
        <w:pStyle w:val="DefinedTerms"/>
      </w:pPr>
      <w:r>
        <w:t>eligibility assessment order</w:t>
      </w:r>
      <w:r>
        <w:tab/>
        <w:t>10I</w:t>
      </w:r>
    </w:p>
    <w:p>
      <w:pPr>
        <w:pStyle w:val="DefinedTerms"/>
      </w:pPr>
      <w:r>
        <w:t>eligibility assessment report</w:t>
      </w:r>
      <w:r>
        <w:tab/>
        <w:t>10I, 10L(1)</w:t>
      </w:r>
    </w:p>
    <w:p>
      <w:pPr>
        <w:pStyle w:val="DefinedTerms"/>
      </w:pPr>
      <w:r>
        <w:t>eligibility assessor</w:t>
      </w:r>
      <w:r>
        <w:tab/>
        <w:t>10I, 10P(1)</w:t>
      </w:r>
    </w:p>
    <w:p>
      <w:pPr>
        <w:pStyle w:val="DefinedTerms"/>
      </w:pPr>
      <w:r>
        <w:t>explosive</w:t>
      </w:r>
      <w:r>
        <w:tab/>
        <w:t>3(1)</w:t>
      </w:r>
    </w:p>
    <w:p>
      <w:pPr>
        <w:pStyle w:val="DefinedTerms"/>
      </w:pPr>
      <w:r>
        <w:t>explosives licence</w:t>
      </w:r>
      <w:r>
        <w:tab/>
        <w:t>3(1)</w:t>
      </w:r>
    </w:p>
    <w:p>
      <w:pPr>
        <w:pStyle w:val="DefinedTerms"/>
      </w:pPr>
      <w:r>
        <w:t>exposed</w:t>
      </w:r>
      <w:r>
        <w:tab/>
        <w:t>3(1), 6A(1)</w:t>
      </w:r>
    </w:p>
    <w:p>
      <w:pPr>
        <w:pStyle w:val="DefinedTerms"/>
      </w:pPr>
      <w:r>
        <w:t>family court proceedings</w:t>
      </w:r>
      <w:r>
        <w:tab/>
        <w:t>3(1)</w:t>
      </w:r>
    </w:p>
    <w:p>
      <w:pPr>
        <w:pStyle w:val="DefinedTerms"/>
      </w:pPr>
      <w:r>
        <w:t>family member</w:t>
      </w:r>
      <w:r>
        <w:tab/>
        <w:t>3(1), 4(3)</w:t>
      </w:r>
    </w:p>
    <w:p>
      <w:pPr>
        <w:pStyle w:val="DefinedTerms"/>
      </w:pPr>
      <w:r>
        <w:t>family order</w:t>
      </w:r>
      <w:r>
        <w:tab/>
        <w:t>3(1), 5(1)</w:t>
      </w:r>
    </w:p>
    <w:p>
      <w:pPr>
        <w:pStyle w:val="DefinedTerms"/>
      </w:pPr>
      <w:r>
        <w:t>family relationship</w:t>
      </w:r>
      <w:r>
        <w:tab/>
        <w:t>4(1)</w:t>
      </w:r>
    </w:p>
    <w:p>
      <w:pPr>
        <w:pStyle w:val="DefinedTerms"/>
      </w:pPr>
      <w:r>
        <w:t>family violence</w:t>
      </w:r>
      <w:r>
        <w:tab/>
        <w:t>3(1), 5A(1)</w:t>
      </w:r>
    </w:p>
    <w:p>
      <w:pPr>
        <w:pStyle w:val="DefinedTerms"/>
      </w:pPr>
      <w:r>
        <w:t>family violence restraining order</w:t>
      </w:r>
      <w:r>
        <w:tab/>
        <w:t>3(1)</w:t>
      </w:r>
    </w:p>
    <w:p>
      <w:pPr>
        <w:pStyle w:val="DefinedTerms"/>
      </w:pPr>
      <w:r>
        <w:t>final order</w:t>
      </w:r>
      <w:r>
        <w:tab/>
        <w:t>3(1)</w:t>
      </w:r>
    </w:p>
    <w:p>
      <w:pPr>
        <w:pStyle w:val="DefinedTerms"/>
      </w:pPr>
      <w:r>
        <w:lastRenderedPageBreak/>
        <w:t>final order hearing</w:t>
      </w:r>
      <w:r>
        <w:tab/>
        <w:t>3(1)</w:t>
      </w:r>
    </w:p>
    <w:p>
      <w:pPr>
        <w:pStyle w:val="DefinedTerms"/>
      </w:pPr>
      <w:r>
        <w:t>firearm</w:t>
      </w:r>
      <w:r>
        <w:tab/>
        <w:t>3(1)</w:t>
      </w:r>
    </w:p>
    <w:p>
      <w:pPr>
        <w:pStyle w:val="DefinedTerms"/>
      </w:pPr>
      <w:r>
        <w:t>firearms licence</w:t>
      </w:r>
      <w:r>
        <w:tab/>
        <w:t>3(1)</w:t>
      </w:r>
    </w:p>
    <w:p>
      <w:pPr>
        <w:pStyle w:val="DefinedTerms"/>
      </w:pPr>
      <w:r>
        <w:t>firearms order</w:t>
      </w:r>
      <w:r>
        <w:tab/>
        <w:t>71(1)</w:t>
      </w:r>
    </w:p>
    <w:p>
      <w:pPr>
        <w:pStyle w:val="DefinedTerms"/>
      </w:pPr>
      <w:r>
        <w:t>fix a hearing</w:t>
      </w:r>
      <w:r>
        <w:tab/>
        <w:t>3(1)</w:t>
      </w:r>
    </w:p>
    <w:p>
      <w:pPr>
        <w:pStyle w:val="DefinedTerms"/>
      </w:pPr>
      <w:r>
        <w:t>foreign restraining order</w:t>
      </w:r>
      <w:r>
        <w:tab/>
        <w:t>3(1)</w:t>
      </w:r>
    </w:p>
    <w:p>
      <w:pPr>
        <w:pStyle w:val="DefinedTerms"/>
      </w:pPr>
      <w:r>
        <w:t>FVRO</w:t>
      </w:r>
      <w:r>
        <w:tab/>
        <w:t>3(2)</w:t>
      </w:r>
    </w:p>
    <w:p>
      <w:pPr>
        <w:pStyle w:val="DefinedTerms"/>
      </w:pPr>
      <w:r>
        <w:t>imagined personal relationship</w:t>
      </w:r>
      <w:r>
        <w:tab/>
        <w:t>3(1)</w:t>
      </w:r>
    </w:p>
    <w:p>
      <w:pPr>
        <w:pStyle w:val="DefinedTerms"/>
      </w:pPr>
      <w:r>
        <w:t>interested party</w:t>
      </w:r>
      <w:r>
        <w:tab/>
        <w:t>70A(1)</w:t>
      </w:r>
    </w:p>
    <w:p>
      <w:pPr>
        <w:pStyle w:val="DefinedTerms"/>
      </w:pPr>
      <w:r>
        <w:t>interim order</w:t>
      </w:r>
      <w:r>
        <w:tab/>
        <w:t>3(1)</w:t>
      </w:r>
    </w:p>
    <w:p>
      <w:pPr>
        <w:pStyle w:val="DefinedTerms"/>
      </w:pPr>
      <w:r>
        <w:t>interstate order</w:t>
      </w:r>
      <w:r>
        <w:tab/>
        <w:t>74</w:t>
      </w:r>
    </w:p>
    <w:p>
      <w:pPr>
        <w:pStyle w:val="DefinedTerms"/>
      </w:pPr>
      <w:r>
        <w:t>intimate image</w:t>
      </w:r>
      <w:r>
        <w:tab/>
        <w:t>3(1)</w:t>
      </w:r>
    </w:p>
    <w:p>
      <w:pPr>
        <w:pStyle w:val="DefinedTerms"/>
      </w:pPr>
      <w:r>
        <w:t>kidnapping, or depriving the liberty of</w:t>
      </w:r>
      <w:r>
        <w:tab/>
        <w:t>3(1)</w:t>
      </w:r>
    </w:p>
    <w:p>
      <w:pPr>
        <w:pStyle w:val="DefinedTerms"/>
      </w:pPr>
      <w:r>
        <w:t>legal practitioner</w:t>
      </w:r>
      <w:r>
        <w:tab/>
        <w:t>3(1)</w:t>
      </w:r>
    </w:p>
    <w:p>
      <w:pPr>
        <w:pStyle w:val="DefinedTerms"/>
      </w:pPr>
      <w:r>
        <w:t>mention hearing</w:t>
      </w:r>
      <w:r>
        <w:tab/>
        <w:t>3(1)</w:t>
      </w:r>
    </w:p>
    <w:p>
      <w:pPr>
        <w:pStyle w:val="DefinedTerms"/>
      </w:pPr>
      <w:r>
        <w:t>misconduct restraining order</w:t>
      </w:r>
      <w:r>
        <w:tab/>
        <w:t>3(1)</w:t>
      </w:r>
    </w:p>
    <w:p>
      <w:pPr>
        <w:pStyle w:val="DefinedTerms"/>
      </w:pPr>
      <w:r>
        <w:t>MRO</w:t>
      </w:r>
      <w:r>
        <w:tab/>
        <w:t>3(2)</w:t>
      </w:r>
    </w:p>
    <w:p>
      <w:pPr>
        <w:pStyle w:val="DefinedTerms"/>
      </w:pPr>
      <w:r>
        <w:t>order</w:t>
      </w:r>
      <w:r>
        <w:tab/>
        <w:t>61B(1)</w:t>
      </w:r>
    </w:p>
    <w:p>
      <w:pPr>
        <w:pStyle w:val="DefinedTerms"/>
      </w:pPr>
      <w:r>
        <w:t>other personal relationship</w:t>
      </w:r>
      <w:r>
        <w:tab/>
        <w:t>4(2)</w:t>
      </w:r>
    </w:p>
    <w:p>
      <w:pPr>
        <w:pStyle w:val="DefinedTerms"/>
      </w:pPr>
      <w:r>
        <w:t>person protected</w:t>
      </w:r>
      <w:r>
        <w:tab/>
        <w:t>3(1)</w:t>
      </w:r>
    </w:p>
    <w:p>
      <w:pPr>
        <w:pStyle w:val="DefinedTerms"/>
      </w:pPr>
      <w:r>
        <w:t>person seeking to be protected</w:t>
      </w:r>
      <w:r>
        <w:tab/>
        <w:t>3(1)</w:t>
      </w:r>
    </w:p>
    <w:p>
      <w:pPr>
        <w:pStyle w:val="DefinedTerms"/>
      </w:pPr>
      <w:r>
        <w:t>person who is bound</w:t>
      </w:r>
      <w:r>
        <w:tab/>
        <w:t>3(1)</w:t>
      </w:r>
    </w:p>
    <w:p>
      <w:pPr>
        <w:pStyle w:val="DefinedTerms"/>
      </w:pPr>
      <w:r>
        <w:t>personal violence</w:t>
      </w:r>
      <w:r>
        <w:tab/>
        <w:t>3(1), 6(2)</w:t>
      </w:r>
    </w:p>
    <w:p>
      <w:pPr>
        <w:pStyle w:val="DefinedTerms"/>
      </w:pPr>
      <w:r>
        <w:t>police order</w:t>
      </w:r>
      <w:r>
        <w:tab/>
        <w:t>3(1)</w:t>
      </w:r>
    </w:p>
    <w:p>
      <w:pPr>
        <w:pStyle w:val="DefinedTerms"/>
      </w:pPr>
      <w:r>
        <w:t>prepare and serve</w:t>
      </w:r>
      <w:r>
        <w:tab/>
        <w:t>3(1)</w:t>
      </w:r>
    </w:p>
    <w:p>
      <w:pPr>
        <w:pStyle w:val="DefinedTerms"/>
      </w:pPr>
      <w:r>
        <w:t>prescribed form</w:t>
      </w:r>
      <w:r>
        <w:tab/>
        <w:t>3(1)</w:t>
      </w:r>
    </w:p>
    <w:p>
      <w:pPr>
        <w:pStyle w:val="DefinedTerms"/>
      </w:pPr>
      <w:r>
        <w:t>prescribed information</w:t>
      </w:r>
      <w:r>
        <w:tab/>
        <w:t>70A(1)</w:t>
      </w:r>
    </w:p>
    <w:p>
      <w:pPr>
        <w:pStyle w:val="DefinedTerms"/>
      </w:pPr>
      <w:r>
        <w:t>previous relevant offences</w:t>
      </w:r>
      <w:r>
        <w:tab/>
        <w:t>61A(2)</w:t>
      </w:r>
    </w:p>
    <w:p>
      <w:pPr>
        <w:pStyle w:val="DefinedTerms"/>
      </w:pPr>
      <w:r>
        <w:t>prisoner</w:t>
      </w:r>
      <w:r>
        <w:tab/>
        <w:t>16A(1)</w:t>
      </w:r>
    </w:p>
    <w:p>
      <w:pPr>
        <w:pStyle w:val="DefinedTerms"/>
      </w:pPr>
      <w:r>
        <w:t>proceeding</w:t>
      </w:r>
      <w:r>
        <w:tab/>
        <w:t>10I</w:t>
      </w:r>
    </w:p>
    <w:p>
      <w:pPr>
        <w:pStyle w:val="DefinedTerms"/>
      </w:pPr>
      <w:r>
        <w:t>proceedings under this Act</w:t>
      </w:r>
      <w:r>
        <w:tab/>
        <w:t>3(1)</w:t>
      </w:r>
    </w:p>
    <w:p>
      <w:pPr>
        <w:pStyle w:val="DefinedTerms"/>
      </w:pPr>
      <w:r>
        <w:t>property</w:t>
      </w:r>
      <w:r>
        <w:tab/>
        <w:t>3(1)</w:t>
      </w:r>
    </w:p>
    <w:p>
      <w:pPr>
        <w:pStyle w:val="DefinedTerms"/>
      </w:pPr>
      <w:r>
        <w:t>protected person</w:t>
      </w:r>
      <w:r>
        <w:tab/>
        <w:t>61B(1)</w:t>
      </w:r>
    </w:p>
    <w:p>
      <w:pPr>
        <w:pStyle w:val="DefinedTerms"/>
      </w:pPr>
      <w:r>
        <w:t>Public Advocate</w:t>
      </w:r>
      <w:r>
        <w:tab/>
        <w:t>3(1)</w:t>
      </w:r>
    </w:p>
    <w:p>
      <w:pPr>
        <w:pStyle w:val="DefinedTerms"/>
      </w:pPr>
      <w:r>
        <w:t>qualifying relevant offence</w:t>
      </w:r>
      <w:r>
        <w:tab/>
        <w:t>61A(2)</w:t>
      </w:r>
    </w:p>
    <w:p>
      <w:pPr>
        <w:pStyle w:val="DefinedTerms"/>
      </w:pPr>
      <w:r>
        <w:t>registered</w:t>
      </w:r>
      <w:r>
        <w:tab/>
        <w:t>3(1)</w:t>
      </w:r>
    </w:p>
    <w:p>
      <w:pPr>
        <w:pStyle w:val="DefinedTerms"/>
      </w:pPr>
      <w:r>
        <w:t>registered order</w:t>
      </w:r>
      <w:r>
        <w:tab/>
        <w:t>74</w:t>
      </w:r>
    </w:p>
    <w:p>
      <w:pPr>
        <w:pStyle w:val="DefinedTerms"/>
      </w:pPr>
      <w:r>
        <w:t>registrar</w:t>
      </w:r>
      <w:r>
        <w:tab/>
        <w:t>3(1), 74</w:t>
      </w:r>
    </w:p>
    <w:p>
      <w:pPr>
        <w:pStyle w:val="DefinedTerms"/>
      </w:pPr>
      <w:r>
        <w:t>related</w:t>
      </w:r>
      <w:r>
        <w:tab/>
        <w:t>4(2)</w:t>
      </w:r>
    </w:p>
    <w:p>
      <w:pPr>
        <w:pStyle w:val="DefinedTerms"/>
      </w:pPr>
      <w:r>
        <w:t>relevant offence</w:t>
      </w:r>
      <w:r>
        <w:tab/>
        <w:t>61A(1)</w:t>
      </w:r>
    </w:p>
    <w:p>
      <w:pPr>
        <w:pStyle w:val="DefinedTerms"/>
      </w:pPr>
      <w:r>
        <w:t>remote communication</w:t>
      </w:r>
      <w:r>
        <w:tab/>
        <w:t>62D(8)</w:t>
      </w:r>
    </w:p>
    <w:p>
      <w:pPr>
        <w:pStyle w:val="DefinedTerms"/>
      </w:pPr>
      <w:r>
        <w:t>representation</w:t>
      </w:r>
      <w:r>
        <w:tab/>
        <w:t>44A(3), 53E(4)</w:t>
      </w:r>
    </w:p>
    <w:p>
      <w:pPr>
        <w:pStyle w:val="DefinedTerms"/>
      </w:pPr>
      <w:r>
        <w:t>respondent</w:t>
      </w:r>
      <w:r>
        <w:tab/>
        <w:t>3(1), 31A, 43A(1)</w:t>
      </w:r>
    </w:p>
    <w:p>
      <w:pPr>
        <w:pStyle w:val="DefinedTerms"/>
      </w:pPr>
      <w:r>
        <w:t>responsible person</w:t>
      </w:r>
      <w:r>
        <w:tab/>
        <w:t>71(1)</w:t>
      </w:r>
    </w:p>
    <w:p>
      <w:pPr>
        <w:pStyle w:val="DefinedTerms"/>
      </w:pPr>
      <w:r>
        <w:t>restrained person</w:t>
      </w:r>
      <w:r>
        <w:tab/>
        <w:t>71(1)</w:t>
      </w:r>
    </w:p>
    <w:p>
      <w:pPr>
        <w:pStyle w:val="DefinedTerms"/>
      </w:pPr>
      <w:r>
        <w:lastRenderedPageBreak/>
        <w:t>restraining order</w:t>
      </w:r>
      <w:r>
        <w:tab/>
        <w:t>3(1)</w:t>
      </w:r>
    </w:p>
    <w:p>
      <w:pPr>
        <w:pStyle w:val="DefinedTerms"/>
      </w:pPr>
      <w:r>
        <w:t>review date</w:t>
      </w:r>
      <w:r>
        <w:tab/>
        <w:t>73A(1)</w:t>
      </w:r>
    </w:p>
    <w:p>
      <w:pPr>
        <w:pStyle w:val="DefinedTerms"/>
      </w:pPr>
      <w:r>
        <w:t>satisfied</w:t>
      </w:r>
      <w:r>
        <w:tab/>
        <w:t>3(1)</w:t>
      </w:r>
    </w:p>
    <w:p>
      <w:pPr>
        <w:pStyle w:val="DefinedTerms"/>
      </w:pPr>
      <w:r>
        <w:t>senior officer</w:t>
      </w:r>
      <w:r>
        <w:tab/>
        <w:t>62D(8)</w:t>
      </w:r>
    </w:p>
    <w:p>
      <w:pPr>
        <w:pStyle w:val="DefinedTerms"/>
      </w:pPr>
      <w:r>
        <w:t>sexual assault</w:t>
      </w:r>
      <w:r>
        <w:tab/>
        <w:t>3(1)</w:t>
      </w:r>
    </w:p>
    <w:p>
      <w:pPr>
        <w:pStyle w:val="DefinedTerms"/>
      </w:pPr>
      <w:r>
        <w:t>specified</w:t>
      </w:r>
      <w:r>
        <w:tab/>
        <w:t>3(1)</w:t>
      </w:r>
    </w:p>
    <w:p>
      <w:pPr>
        <w:pStyle w:val="DefinedTerms"/>
      </w:pPr>
      <w:r>
        <w:t>stalking</w:t>
      </w:r>
      <w:r>
        <w:tab/>
        <w:t>3(1)</w:t>
      </w:r>
    </w:p>
    <w:p>
      <w:pPr>
        <w:pStyle w:val="DefinedTerms"/>
      </w:pPr>
      <w:r>
        <w:t>telephone application</w:t>
      </w:r>
      <w:r>
        <w:tab/>
        <w:t>3(1)</w:t>
      </w:r>
    </w:p>
    <w:p>
      <w:pPr>
        <w:pStyle w:val="DefinedTerms"/>
      </w:pPr>
      <w:r>
        <w:t>telephone order</w:t>
      </w:r>
      <w:r>
        <w:tab/>
        <w:t>3(1)</w:t>
      </w:r>
    </w:p>
    <w:p>
      <w:pPr>
        <w:pStyle w:val="DefinedTerms"/>
      </w:pPr>
      <w:r>
        <w:t>third party</w:t>
      </w:r>
      <w:r>
        <w:tab/>
        <w:t>68(1)</w:t>
      </w:r>
    </w:p>
    <w:p>
      <w:pPr>
        <w:pStyle w:val="DefinedTerms"/>
      </w:pPr>
      <w:r>
        <w:t>under this Act</w:t>
      </w:r>
      <w:r>
        <w:tab/>
        <w:t>70(4)</w:t>
      </w:r>
    </w:p>
    <w:p>
      <w:pPr>
        <w:pStyle w:val="DefinedTerms"/>
      </w:pPr>
      <w:r>
        <w:t>variation or cancellation order</w:t>
      </w:r>
      <w:r>
        <w:tab/>
        <w:t>10I, 10T(1)</w:t>
      </w:r>
    </w:p>
    <w:p>
      <w:pPr>
        <w:pStyle w:val="DefinedTerms"/>
      </w:pPr>
      <w:r>
        <w:t>victim</w:t>
      </w:r>
      <w:r>
        <w:tab/>
        <w:t>10V(2)</w:t>
      </w:r>
    </w:p>
    <w:p>
      <w:pPr>
        <w:pStyle w:val="DefinedTerms"/>
      </w:pPr>
      <w:r>
        <w:t>video link</w:t>
      </w:r>
      <w:r>
        <w:tab/>
        <w:t>53B(4)</w:t>
      </w:r>
    </w:p>
    <w:p>
      <w:pPr>
        <w:pStyle w:val="DefinedTerms"/>
      </w:pPr>
      <w:r>
        <w:t>violence restraining order</w:t>
      </w:r>
      <w:r>
        <w:tab/>
        <w:t>3(1)</w:t>
      </w:r>
    </w:p>
    <w:p>
      <w:pPr>
        <w:pStyle w:val="DefinedTerms"/>
      </w:pPr>
      <w:r>
        <w:t>violent personal offence</w:t>
      </w:r>
      <w:r>
        <w:tab/>
        <w:t>63A(1A), 63B(1)</w:t>
      </w:r>
    </w:p>
    <w:p>
      <w:pPr>
        <w:pStyle w:val="DefinedTerms"/>
      </w:pPr>
      <w:r>
        <w:t>VRO</w:t>
      </w:r>
      <w:r>
        <w:tab/>
        <w:t>3(2)</w:t>
      </w:r>
    </w:p>
    <w:p>
      <w:pPr>
        <w:pStyle w:val="DefinedTerms"/>
      </w:pPr>
      <w:r>
        <w:t>wellbeing</w:t>
      </w:r>
      <w:r>
        <w:tab/>
        <w:t>3(1)</w:t>
      </w:r>
    </w:p>
    <w:p>
      <w:pPr>
        <w:pStyle w:val="DefinedTerms"/>
      </w:pPr>
      <w:r>
        <w:t>written reasons</w:t>
      </w:r>
      <w:r>
        <w:tab/>
        <w:t>61A(8), 67(3A)</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1" w:name="Compilation"/>
    <w:bookmarkEnd w:id="2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5" w:name="DefinedTerms"/>
    <w:bookmarkEnd w:id="28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6" w:name="Coversheet"/>
    <w:bookmarkEnd w:id="2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85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44134"/>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 w:name="WAFER_2020112611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0944_GUID" w:val="30f6aa7f-debb-4c89-a76c-91c86725983a"/>
    <w:docVar w:name="WAFER_2022040814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34_GUID" w:val="721aa1f9-a418-41bc-b463-6260379c85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B6E12-5BA8-4C87-9914-69BD7A87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42303</Words>
  <Characters>195866</Characters>
  <Application>Microsoft Office Word</Application>
  <DocSecurity>0</DocSecurity>
  <Lines>5293</Lines>
  <Paragraphs>3175</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234994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1997 - 05-i0-00</dc:title>
  <dc:subject/>
  <dc:creator/>
  <cp:keywords/>
  <dc:description/>
  <cp:lastModifiedBy>Master Repository Process</cp:lastModifiedBy>
  <cp:revision>4</cp:revision>
  <cp:lastPrinted>2019-02-27T04:33:00Z</cp:lastPrinted>
  <dcterms:created xsi:type="dcterms:W3CDTF">2022-04-14T10:21:00Z</dcterms:created>
  <dcterms:modified xsi:type="dcterms:W3CDTF">2022-04-14T10:21:00Z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14 Apr 2022</vt:lpwstr>
  </property>
  <property fmtid="{D5CDD505-2E9C-101B-9397-08002B2CF9AE}" pid="8" name="Suffix">
    <vt:lpwstr>05-i0-00</vt:lpwstr>
  </property>
  <property fmtid="{D5CDD505-2E9C-101B-9397-08002B2CF9AE}" pid="9" name="CommencementDate">
    <vt:lpwstr>20220414</vt:lpwstr>
  </property>
</Properties>
</file>