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_Toc101362400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_Toc101362401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_Toc101362402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_Toc101362405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_Toc101362407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_Toc101362408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_Toc101362410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_Toc101362411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_Toc101362412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3A — Manifests</w:t>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_Toc101362414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_Toc101362415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_Toc101362417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_Toc101362418 \h </w:instrText>
      </w:r>
      <w:r>
        <w:fldChar w:fldCharType="separate"/>
      </w:r>
      <w:r>
        <w:t>9</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_Toc101362419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_Toc101362420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Extra charges</w:t>
      </w:r>
      <w:r>
        <w:tab/>
      </w:r>
      <w:r>
        <w:fldChar w:fldCharType="begin"/>
      </w:r>
      <w:r>
        <w:instrText xml:space="preserve"> PAGEREF _Toc101362421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_Toc101362423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_Toc101362424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_Toc101362425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_Toc101362426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_Toc101362427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_Toc101362428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_Toc101362429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_Toc101362430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_Toc101362431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_Toc101362432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_Toc101362434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_Toc101362435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_Toc101362436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_Toc101362437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_Toc101362438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_Toc101362439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_Toc101362441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_Toc101362442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_Toc101362443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_Toc101362444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_Toc101362445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_Toc101362446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_Toc101362448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_Toc101362449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_Toc101362450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_Toc101362451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_Toc101362453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_Toc101362454 \h </w:instrText>
      </w:r>
      <w:r>
        <w:fldChar w:fldCharType="separate"/>
      </w:r>
      <w:r>
        <w:t>20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_Toc101362455 \h </w:instrText>
      </w:r>
      <w:r>
        <w:fldChar w:fldCharType="separate"/>
      </w:r>
      <w:r>
        <w:t>21</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_Toc101362456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_Toc101362457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_Toc101362458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_Toc101362459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_Toc101362461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_Toc101362462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_Toc101362463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_Toc101362464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_Toc101362465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_Toc101362466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_Toc101362467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_Toc101362468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_Toc101362469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_Toc101362470 \h </w:instrText>
      </w:r>
      <w:r>
        <w:fldChar w:fldCharType="separate"/>
      </w:r>
      <w:r>
        <w:t>26</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_Toc101362471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_Toc101362472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_Toc101362473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_Toc101362474 \h </w:instrText>
      </w:r>
      <w:r>
        <w:fldChar w:fldCharType="separate"/>
      </w:r>
      <w:r>
        <w:t>27</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_Toc101362475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_Toc101362476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_Toc101362477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_Toc101362478 \h </w:instrText>
      </w:r>
      <w:r>
        <w:fldChar w:fldCharType="separate"/>
      </w:r>
      <w:r>
        <w:t>36</w:t>
      </w:r>
      <w:r>
        <w:fldChar w:fldCharType="end"/>
      </w:r>
    </w:p>
    <w:p>
      <w:pPr>
        <w:pStyle w:val="TOC8"/>
        <w:rPr>
          <w:rFonts w:asciiTheme="minorHAnsi" w:eastAsiaTheme="minorEastAsia" w:hAnsiTheme="minorHAnsi" w:cstheme="minorBidi"/>
          <w:szCs w:val="22"/>
        </w:rPr>
      </w:pPr>
      <w:r>
        <w:t>67DC.</w:t>
      </w:r>
      <w:r>
        <w:tab/>
        <w:t>Controlling short term access to service jetty</w:t>
      </w:r>
      <w:r>
        <w:tab/>
      </w:r>
      <w:r>
        <w:fldChar w:fldCharType="begin"/>
      </w:r>
      <w:r>
        <w:instrText xml:space="preserve"> PAGEREF _Toc101362479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11 — Burswood Jetty</w:t>
      </w:r>
    </w:p>
    <w:p>
      <w:pPr>
        <w:pStyle w:val="TOC8"/>
        <w:rPr>
          <w:rFonts w:asciiTheme="minorHAnsi" w:eastAsiaTheme="minorEastAsia" w:hAnsiTheme="minorHAnsi" w:cstheme="minorBidi"/>
          <w:szCs w:val="22"/>
        </w:rPr>
      </w:pPr>
      <w:r>
        <w:t>67DD.</w:t>
      </w:r>
      <w:r>
        <w:tab/>
        <w:t>Terms used</w:t>
      </w:r>
      <w:r>
        <w:tab/>
      </w:r>
      <w:r>
        <w:fldChar w:fldCharType="begin"/>
      </w:r>
      <w:r>
        <w:instrText xml:space="preserve"> PAGEREF _Toc101362481 \h </w:instrText>
      </w:r>
      <w:r>
        <w:fldChar w:fldCharType="separate"/>
      </w:r>
      <w:r>
        <w:t>37</w:t>
      </w:r>
      <w:r>
        <w:fldChar w:fldCharType="end"/>
      </w:r>
    </w:p>
    <w:p>
      <w:pPr>
        <w:pStyle w:val="TOC8"/>
        <w:rPr>
          <w:rFonts w:asciiTheme="minorHAnsi" w:eastAsiaTheme="minorEastAsia" w:hAnsiTheme="minorHAnsi" w:cstheme="minorBidi"/>
          <w:szCs w:val="22"/>
        </w:rPr>
      </w:pPr>
      <w:r>
        <w:t>67DE.</w:t>
      </w:r>
      <w:r>
        <w:tab/>
        <w:t>Application</w:t>
      </w:r>
      <w:r>
        <w:tab/>
      </w:r>
      <w:r>
        <w:fldChar w:fldCharType="begin"/>
      </w:r>
      <w:r>
        <w:instrText xml:space="preserve"> PAGEREF _Toc101362482 \h </w:instrText>
      </w:r>
      <w:r>
        <w:fldChar w:fldCharType="separate"/>
      </w:r>
      <w:r>
        <w:t>37</w:t>
      </w:r>
      <w:r>
        <w:fldChar w:fldCharType="end"/>
      </w:r>
    </w:p>
    <w:p>
      <w:pPr>
        <w:pStyle w:val="TOC8"/>
        <w:rPr>
          <w:rFonts w:asciiTheme="minorHAnsi" w:eastAsiaTheme="minorEastAsia" w:hAnsiTheme="minorHAnsi" w:cstheme="minorBidi"/>
          <w:szCs w:val="22"/>
        </w:rPr>
      </w:pPr>
      <w:r>
        <w:t>67DF.</w:t>
      </w:r>
      <w:r>
        <w:tab/>
        <w:t>Permit may be granted for exclusive use of Berth 1 at certain times</w:t>
      </w:r>
      <w:r>
        <w:tab/>
      </w:r>
      <w:r>
        <w:fldChar w:fldCharType="begin"/>
      </w:r>
      <w:r>
        <w:instrText xml:space="preserve"> PAGEREF _Toc101362483 \h </w:instrText>
      </w:r>
      <w:r>
        <w:fldChar w:fldCharType="separate"/>
      </w:r>
      <w:r>
        <w:t>38</w:t>
      </w:r>
      <w:r>
        <w:fldChar w:fldCharType="end"/>
      </w:r>
    </w:p>
    <w:p>
      <w:pPr>
        <w:pStyle w:val="TOC8"/>
        <w:rPr>
          <w:rFonts w:asciiTheme="minorHAnsi" w:eastAsiaTheme="minorEastAsia" w:hAnsiTheme="minorHAnsi" w:cstheme="minorBidi"/>
          <w:szCs w:val="22"/>
        </w:rPr>
      </w:pPr>
      <w:r>
        <w:t>67DG.</w:t>
      </w:r>
      <w:r>
        <w:tab/>
        <w:t>Duration and conditions of, and payment for, Berth 1 permit</w:t>
      </w:r>
      <w:r>
        <w:tab/>
      </w:r>
      <w:r>
        <w:fldChar w:fldCharType="begin"/>
      </w:r>
      <w:r>
        <w:instrText xml:space="preserve"> PAGEREF _Toc101362484 \h </w:instrText>
      </w:r>
      <w:r>
        <w:fldChar w:fldCharType="separate"/>
      </w:r>
      <w:r>
        <w:t>38</w:t>
      </w:r>
      <w:r>
        <w:fldChar w:fldCharType="end"/>
      </w:r>
    </w:p>
    <w:p>
      <w:pPr>
        <w:pStyle w:val="TOC8"/>
        <w:rPr>
          <w:rFonts w:asciiTheme="minorHAnsi" w:eastAsiaTheme="minorEastAsia" w:hAnsiTheme="minorHAnsi" w:cstheme="minorBidi"/>
          <w:szCs w:val="22"/>
        </w:rPr>
      </w:pPr>
      <w:r>
        <w:t>67DH.</w:t>
      </w:r>
      <w:r>
        <w:tab/>
        <w:t>Cancellation of Berth 1 permit</w:t>
      </w:r>
      <w:r>
        <w:tab/>
      </w:r>
      <w:r>
        <w:fldChar w:fldCharType="begin"/>
      </w:r>
      <w:r>
        <w:instrText xml:space="preserve"> PAGEREF _Toc101362485 \h </w:instrText>
      </w:r>
      <w:r>
        <w:fldChar w:fldCharType="separate"/>
      </w:r>
      <w:r>
        <w:t>39</w:t>
      </w:r>
      <w:r>
        <w:fldChar w:fldCharType="end"/>
      </w:r>
    </w:p>
    <w:p>
      <w:pPr>
        <w:pStyle w:val="TOC8"/>
        <w:rPr>
          <w:rFonts w:asciiTheme="minorHAnsi" w:eastAsiaTheme="minorEastAsia" w:hAnsiTheme="minorHAnsi" w:cstheme="minorBidi"/>
          <w:szCs w:val="22"/>
        </w:rPr>
      </w:pPr>
      <w:r>
        <w:lastRenderedPageBreak/>
        <w:t>67DI.</w:t>
      </w:r>
      <w:r>
        <w:tab/>
        <w:t>Use of Berth 1 otherwise than under Berth 1 permit</w:t>
      </w:r>
      <w:r>
        <w:tab/>
      </w:r>
      <w:r>
        <w:fldChar w:fldCharType="begin"/>
      </w:r>
      <w:r>
        <w:instrText xml:space="preserve"> PAGEREF _Toc101362486 \h </w:instrText>
      </w:r>
      <w:r>
        <w:fldChar w:fldCharType="separate"/>
      </w:r>
      <w:r>
        <w:t>39</w:t>
      </w:r>
      <w:r>
        <w:fldChar w:fldCharType="end"/>
      </w:r>
    </w:p>
    <w:p>
      <w:pPr>
        <w:pStyle w:val="TOC8"/>
        <w:rPr>
          <w:rFonts w:asciiTheme="minorHAnsi" w:eastAsiaTheme="minorEastAsia" w:hAnsiTheme="minorHAnsi" w:cstheme="minorBidi"/>
          <w:szCs w:val="22"/>
        </w:rPr>
      </w:pPr>
      <w:r>
        <w:t>67DJ.</w:t>
      </w:r>
      <w:r>
        <w:tab/>
        <w:t>Use of Berth 2 and Berth 3</w:t>
      </w:r>
      <w:r>
        <w:tab/>
      </w:r>
      <w:r>
        <w:fldChar w:fldCharType="begin"/>
      </w:r>
      <w:r>
        <w:instrText xml:space="preserve"> PAGEREF _Toc101362487 \h </w:instrText>
      </w:r>
      <w:r>
        <w:fldChar w:fldCharType="separate"/>
      </w:r>
      <w:r>
        <w:t>40</w:t>
      </w:r>
      <w:r>
        <w:fldChar w:fldCharType="end"/>
      </w:r>
    </w:p>
    <w:p>
      <w:pPr>
        <w:pStyle w:val="TOC8"/>
        <w:rPr>
          <w:rFonts w:asciiTheme="minorHAnsi" w:eastAsiaTheme="minorEastAsia" w:hAnsiTheme="minorHAnsi" w:cstheme="minorBidi"/>
          <w:szCs w:val="22"/>
        </w:rPr>
      </w:pPr>
      <w:r>
        <w:t>67DK.</w:t>
      </w:r>
      <w:r>
        <w:tab/>
        <w:t>Temporary closure of Burswood Jetty or berth</w:t>
      </w:r>
      <w:r>
        <w:tab/>
      </w:r>
      <w:r>
        <w:fldChar w:fldCharType="begin"/>
      </w:r>
      <w:r>
        <w:instrText xml:space="preserve"> PAGEREF _Toc101362488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_Toc101362491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_Toc101362493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_Toc101362494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_Toc101362495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_Toc101362497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_Toc101362498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_Toc101362499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_Toc101362500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_Toc101362501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_Toc101362502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_Toc101362503 \h </w:instrText>
      </w:r>
      <w:r>
        <w:fldChar w:fldCharType="separate"/>
      </w:r>
      <w:r>
        <w:t>47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_Toc101362504 \h </w:instrText>
      </w:r>
      <w:r>
        <w:fldChar w:fldCharType="separate"/>
      </w:r>
      <w:r>
        <w:t>47</w:t>
      </w:r>
      <w:r>
        <w:fldChar w:fldCharType="end"/>
      </w:r>
    </w:p>
    <w:p>
      <w:pPr>
        <w:pStyle w:val="TOC8"/>
        <w:rPr>
          <w:rFonts w:asciiTheme="minorHAnsi" w:eastAsiaTheme="minorEastAsia" w:hAnsiTheme="minorHAnsi" w:cstheme="minorBidi"/>
          <w:szCs w:val="22"/>
        </w:rPr>
      </w:pPr>
      <w:r>
        <w:t>78A.</w:t>
      </w:r>
      <w:r>
        <w:tab/>
        <w:t>Charges for sullage removal</w:t>
      </w:r>
      <w:r>
        <w:tab/>
      </w:r>
      <w:r>
        <w:fldChar w:fldCharType="begin"/>
      </w:r>
      <w:r>
        <w:instrText xml:space="preserve"> PAGEREF _Toc101362505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_Toc101362507 \h </w:instrText>
      </w:r>
      <w:r>
        <w:fldChar w:fldCharType="separate"/>
      </w:r>
      <w:r>
        <w:t>47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_Toc101362508 \h </w:instrText>
      </w:r>
      <w:r>
        <w:fldChar w:fldCharType="separate"/>
      </w:r>
      <w:r>
        <w:t>48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_Toc101362509 \h </w:instrText>
      </w:r>
      <w:r>
        <w:fldChar w:fldCharType="separate"/>
      </w:r>
      <w:r>
        <w:t>48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_Toc101362510 \h </w:instrText>
      </w:r>
      <w:r>
        <w:fldChar w:fldCharType="separate"/>
      </w:r>
      <w:r>
        <w:t>49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_Toc101362511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_Toc101362513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_Toc101362515 \h </w:instrText>
      </w:r>
      <w:r>
        <w:fldChar w:fldCharType="separate"/>
      </w:r>
      <w:r>
        <w:t>50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_Toc101362516 \h </w:instrText>
      </w:r>
      <w:r>
        <w:fldChar w:fldCharType="separate"/>
      </w:r>
      <w:r>
        <w:t>50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_Toc101362517 \h </w:instrText>
      </w:r>
      <w:r>
        <w:fldChar w:fldCharType="separate"/>
      </w:r>
      <w:r>
        <w:t>50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_Toc101362518 \h </w:instrText>
      </w:r>
      <w:r>
        <w:fldChar w:fldCharType="separate"/>
      </w:r>
      <w:r>
        <w:t>50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_Toc101362519 \h </w:instrText>
      </w:r>
      <w:r>
        <w:fldChar w:fldCharType="separate"/>
      </w:r>
      <w:r>
        <w:t>51</w:t>
      </w:r>
      <w:r>
        <w:fldChar w:fldCharType="end"/>
      </w:r>
    </w:p>
    <w:p>
      <w:pPr>
        <w:pStyle w:val="TOC8"/>
        <w:rPr>
          <w:rFonts w:asciiTheme="minorHAnsi" w:eastAsiaTheme="minorEastAsia" w:hAnsiTheme="minorHAnsi" w:cstheme="minorBidi"/>
          <w:szCs w:val="22"/>
        </w:rPr>
      </w:pPr>
      <w:r>
        <w:lastRenderedPageBreak/>
        <w:t>91</w:t>
      </w:r>
      <w:r>
        <w:rPr>
          <w:snapToGrid w:val="0"/>
        </w:rPr>
        <w:t>.</w:t>
      </w:r>
      <w:r>
        <w:rPr>
          <w:snapToGrid w:val="0"/>
        </w:rPr>
        <w:tab/>
        <w:t>Interference with jetties or approaches</w:t>
      </w:r>
      <w:r>
        <w:tab/>
      </w:r>
      <w:r>
        <w:fldChar w:fldCharType="begin"/>
      </w:r>
      <w:r>
        <w:instrText xml:space="preserve"> PAGEREF _Toc101362520 \h </w:instrText>
      </w:r>
      <w:r>
        <w:fldChar w:fldCharType="separate"/>
      </w:r>
      <w:r>
        <w:t>51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_Toc101362521 \h </w:instrText>
      </w:r>
      <w:r>
        <w:fldChar w:fldCharType="separate"/>
      </w:r>
      <w:r>
        <w:t>51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_Toc101362522 \h </w:instrText>
      </w:r>
      <w:r>
        <w:fldChar w:fldCharType="separate"/>
      </w:r>
      <w:r>
        <w:t>51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_Toc101362523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_Toc101362526 \h </w:instrText>
      </w:r>
      <w:r>
        <w:fldChar w:fldCharType="separate"/>
      </w:r>
      <w:r>
        <w:t>53</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_Toc101362527 \h </w:instrText>
      </w:r>
      <w:r>
        <w:fldChar w:fldCharType="separate"/>
      </w:r>
      <w:r>
        <w:t>53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_Toc101362528 \h </w:instrText>
      </w:r>
      <w:r>
        <w:fldChar w:fldCharType="separate"/>
      </w:r>
      <w:r>
        <w:t>53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_Toc101362529 \h </w:instrText>
      </w:r>
      <w:r>
        <w:fldChar w:fldCharType="separate"/>
      </w:r>
      <w:r>
        <w:t>54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_Toc101362530 \h </w:instrText>
      </w:r>
      <w:r>
        <w:fldChar w:fldCharType="separate"/>
      </w:r>
      <w:r>
        <w:t>54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_Toc101362531 \h </w:instrText>
      </w:r>
      <w:r>
        <w:fldChar w:fldCharType="separate"/>
      </w:r>
      <w:r>
        <w:t>54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_Toc101362532 \h </w:instrText>
      </w:r>
      <w:r>
        <w:fldChar w:fldCharType="separate"/>
      </w:r>
      <w:r>
        <w:t>55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_Toc101362533 \h </w:instrText>
      </w:r>
      <w:r>
        <w:fldChar w:fldCharType="separate"/>
      </w:r>
      <w:r>
        <w:t>55</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_Toc101362534 \h </w:instrText>
      </w:r>
      <w:r>
        <w:fldChar w:fldCharType="separate"/>
      </w:r>
      <w:r>
        <w:t>55</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_Toc101362535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_Toc101362537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Licence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105J.</w:t>
      </w:r>
      <w:r>
        <w:tab/>
        <w:t>Terms used</w:t>
      </w:r>
      <w:r>
        <w:tab/>
      </w:r>
      <w:r>
        <w:fldChar w:fldCharType="begin"/>
      </w:r>
      <w:r>
        <w:instrText xml:space="preserve"> PAGEREF _Toc101362540 \h </w:instrText>
      </w:r>
      <w:r>
        <w:fldChar w:fldCharType="separate"/>
      </w:r>
      <w:r>
        <w:t>57</w:t>
      </w:r>
      <w:r>
        <w:fldChar w:fldCharType="end"/>
      </w:r>
    </w:p>
    <w:p>
      <w:pPr>
        <w:pStyle w:val="TOC8"/>
        <w:rPr>
          <w:rFonts w:asciiTheme="minorHAnsi" w:eastAsiaTheme="minorEastAsia" w:hAnsiTheme="minorHAnsi" w:cstheme="minorBidi"/>
          <w:szCs w:val="22"/>
        </w:rPr>
      </w:pPr>
      <w:r>
        <w:t>105K.</w:t>
      </w:r>
      <w:r>
        <w:tab/>
        <w:t>Obligation to pay licence fees</w:t>
      </w:r>
      <w:r>
        <w:tab/>
      </w:r>
      <w:r>
        <w:fldChar w:fldCharType="begin"/>
      </w:r>
      <w:r>
        <w:instrText xml:space="preserve"> PAGEREF _Toc101362541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Prescribed licence fees</w:t>
      </w:r>
    </w:p>
    <w:p>
      <w:pPr>
        <w:pStyle w:val="TOC8"/>
        <w:rPr>
          <w:rFonts w:asciiTheme="minorHAnsi" w:eastAsiaTheme="minorEastAsia" w:hAnsiTheme="minorHAnsi" w:cstheme="minorBidi"/>
          <w:szCs w:val="22"/>
        </w:rPr>
      </w:pPr>
      <w:r>
        <w:t>105L.</w:t>
      </w:r>
      <w:r>
        <w:tab/>
        <w:t>Private licence for certain type of ramp on freehold land</w:t>
      </w:r>
      <w:r>
        <w:tab/>
      </w:r>
      <w:r>
        <w:fldChar w:fldCharType="begin"/>
      </w:r>
      <w:r>
        <w:instrText xml:space="preserve"> PAGEREF _Toc101362543 \h </w:instrText>
      </w:r>
      <w:r>
        <w:fldChar w:fldCharType="separate"/>
      </w:r>
      <w:r>
        <w:t>60</w:t>
      </w:r>
      <w:r>
        <w:fldChar w:fldCharType="end"/>
      </w:r>
    </w:p>
    <w:p>
      <w:pPr>
        <w:pStyle w:val="TOC8"/>
        <w:rPr>
          <w:rFonts w:asciiTheme="minorHAnsi" w:eastAsiaTheme="minorEastAsia" w:hAnsiTheme="minorHAnsi" w:cstheme="minorBidi"/>
          <w:szCs w:val="22"/>
        </w:rPr>
      </w:pPr>
      <w:r>
        <w:t>105M.</w:t>
      </w:r>
      <w:r>
        <w:tab/>
        <w:t>Private licence for jetty not used for business purposes</w:t>
      </w:r>
      <w:r>
        <w:tab/>
      </w:r>
      <w:r>
        <w:fldChar w:fldCharType="begin"/>
      </w:r>
      <w:r>
        <w:instrText xml:space="preserve"> PAGEREF _Toc101362544 \h </w:instrText>
      </w:r>
      <w:r>
        <w:fldChar w:fldCharType="separate"/>
      </w:r>
      <w:r>
        <w:t>60</w:t>
      </w:r>
      <w:r>
        <w:fldChar w:fldCharType="end"/>
      </w:r>
    </w:p>
    <w:p>
      <w:pPr>
        <w:pStyle w:val="TOC8"/>
        <w:rPr>
          <w:rFonts w:asciiTheme="minorHAnsi" w:eastAsiaTheme="minorEastAsia" w:hAnsiTheme="minorHAnsi" w:cstheme="minorBidi"/>
          <w:szCs w:val="22"/>
        </w:rPr>
      </w:pPr>
      <w:r>
        <w:t>105N.</w:t>
      </w:r>
      <w:r>
        <w:tab/>
        <w:t>Private licence for jetty used for business purposes</w:t>
      </w:r>
      <w:r>
        <w:tab/>
      </w:r>
      <w:r>
        <w:fldChar w:fldCharType="begin"/>
      </w:r>
      <w:r>
        <w:instrText xml:space="preserve"> PAGEREF _Toc101362545 \h </w:instrText>
      </w:r>
      <w:r>
        <w:fldChar w:fldCharType="separate"/>
      </w:r>
      <w:r>
        <w:t>61</w:t>
      </w:r>
      <w:r>
        <w:fldChar w:fldCharType="end"/>
      </w:r>
    </w:p>
    <w:p>
      <w:pPr>
        <w:pStyle w:val="TOC8"/>
        <w:rPr>
          <w:rFonts w:asciiTheme="minorHAnsi" w:eastAsiaTheme="minorEastAsia" w:hAnsiTheme="minorHAnsi" w:cstheme="minorBidi"/>
          <w:szCs w:val="22"/>
        </w:rPr>
      </w:pPr>
      <w:r>
        <w:t>105O.</w:t>
      </w:r>
      <w:r>
        <w:tab/>
        <w:t>Fuel pipeline licence</w:t>
      </w:r>
      <w:r>
        <w:tab/>
      </w:r>
      <w:r>
        <w:fldChar w:fldCharType="begin"/>
      </w:r>
      <w:r>
        <w:instrText xml:space="preserve"> PAGEREF _Toc101362546 \h </w:instrText>
      </w:r>
      <w:r>
        <w:fldChar w:fldCharType="separate"/>
      </w:r>
      <w:r>
        <w:t>62</w:t>
      </w:r>
      <w:r>
        <w:fldChar w:fldCharType="end"/>
      </w:r>
    </w:p>
    <w:p>
      <w:pPr>
        <w:pStyle w:val="TOC8"/>
        <w:rPr>
          <w:rFonts w:asciiTheme="minorHAnsi" w:eastAsiaTheme="minorEastAsia" w:hAnsiTheme="minorHAnsi" w:cstheme="minorBidi"/>
          <w:szCs w:val="22"/>
        </w:rPr>
      </w:pPr>
      <w:r>
        <w:t>105P.</w:t>
      </w:r>
      <w:r>
        <w:tab/>
        <w:t>Local government public licence</w:t>
      </w:r>
      <w:r>
        <w:tab/>
      </w:r>
      <w:r>
        <w:fldChar w:fldCharType="begin"/>
      </w:r>
      <w:r>
        <w:instrText xml:space="preserve"> PAGEREF _Toc101362547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_Toc101362549 \h </w:instrText>
      </w:r>
      <w:r>
        <w:fldChar w:fldCharType="separate"/>
      </w:r>
      <w:r>
        <w:t>64</w:t>
      </w:r>
      <w:r>
        <w:fldChar w:fldCharType="end"/>
      </w:r>
    </w:p>
    <w:p>
      <w:pPr>
        <w:pStyle w:val="TOC8"/>
        <w:rPr>
          <w:rFonts w:asciiTheme="minorHAnsi" w:eastAsiaTheme="minorEastAsia" w:hAnsiTheme="minorHAnsi" w:cstheme="minorBidi"/>
          <w:szCs w:val="22"/>
        </w:rPr>
      </w:pPr>
      <w:r>
        <w:lastRenderedPageBreak/>
        <w:t>107</w:t>
      </w:r>
      <w:r>
        <w:rPr>
          <w:snapToGrid w:val="0"/>
        </w:rPr>
        <w:t>.</w:t>
      </w:r>
      <w:r>
        <w:rPr>
          <w:snapToGrid w:val="0"/>
        </w:rPr>
        <w:tab/>
        <w:t>Recovery of expenses incurred by breaches of regulations</w:t>
      </w:r>
      <w:r>
        <w:tab/>
      </w:r>
      <w:r>
        <w:fldChar w:fldCharType="begin"/>
      </w:r>
      <w:r>
        <w:instrText xml:space="preserve"> PAGEREF _Toc101362550 \h </w:instrText>
      </w:r>
      <w:r>
        <w:fldChar w:fldCharType="separate"/>
      </w:r>
      <w:r>
        <w:t>64</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_Toc101362551 \h </w:instrText>
      </w:r>
      <w:r>
        <w:fldChar w:fldCharType="separate"/>
      </w:r>
      <w:r>
        <w:t>64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_Toc101362552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Waiver and refund of fees</w:t>
      </w:r>
    </w:p>
    <w:p>
      <w:pPr>
        <w:pStyle w:val="TOC8"/>
        <w:rPr>
          <w:rFonts w:asciiTheme="minorHAnsi" w:eastAsiaTheme="minorEastAsia" w:hAnsiTheme="minorHAnsi" w:cstheme="minorBidi"/>
          <w:szCs w:val="22"/>
        </w:rPr>
      </w:pPr>
      <w:r>
        <w:t>109.</w:t>
      </w:r>
      <w:r>
        <w:tab/>
        <w:t>Terms used</w:t>
      </w:r>
      <w:r>
        <w:tab/>
      </w:r>
      <w:r>
        <w:fldChar w:fldCharType="begin"/>
      </w:r>
      <w:r>
        <w:instrText xml:space="preserve"> PAGEREF _Toc101362554 \h </w:instrText>
      </w:r>
      <w:r>
        <w:fldChar w:fldCharType="separate"/>
      </w:r>
      <w:r>
        <w:t>66</w:t>
      </w:r>
      <w:r>
        <w:fldChar w:fldCharType="end"/>
      </w:r>
    </w:p>
    <w:p>
      <w:pPr>
        <w:pStyle w:val="TOC8"/>
        <w:rPr>
          <w:rFonts w:asciiTheme="minorHAnsi" w:eastAsiaTheme="minorEastAsia" w:hAnsiTheme="minorHAnsi" w:cstheme="minorBidi"/>
          <w:szCs w:val="22"/>
        </w:rPr>
      </w:pPr>
      <w:r>
        <w:t>110.</w:t>
      </w:r>
      <w:r>
        <w:tab/>
        <w:t>Authorised fee officers</w:t>
      </w:r>
      <w:r>
        <w:tab/>
      </w:r>
      <w:r>
        <w:fldChar w:fldCharType="begin"/>
      </w:r>
      <w:r>
        <w:instrText xml:space="preserve"> PAGEREF _Toc101362555 \h </w:instrText>
      </w:r>
      <w:r>
        <w:fldChar w:fldCharType="separate"/>
      </w:r>
      <w:r>
        <w:t>66</w:t>
      </w:r>
      <w:r>
        <w:fldChar w:fldCharType="end"/>
      </w:r>
    </w:p>
    <w:p>
      <w:pPr>
        <w:pStyle w:val="TOC8"/>
        <w:rPr>
          <w:rFonts w:asciiTheme="minorHAnsi" w:eastAsiaTheme="minorEastAsia" w:hAnsiTheme="minorHAnsi" w:cstheme="minorBidi"/>
          <w:szCs w:val="22"/>
        </w:rPr>
      </w:pPr>
      <w:r>
        <w:t>111.</w:t>
      </w:r>
      <w:r>
        <w:tab/>
        <w:t>Waiver of fees</w:t>
      </w:r>
      <w:r>
        <w:tab/>
      </w:r>
      <w:r>
        <w:fldChar w:fldCharType="begin"/>
      </w:r>
      <w:r>
        <w:instrText xml:space="preserve"> PAGEREF _Toc101362556 \h </w:instrText>
      </w:r>
      <w:r>
        <w:fldChar w:fldCharType="separate"/>
      </w:r>
      <w:r>
        <w:t>67</w:t>
      </w:r>
      <w:r>
        <w:fldChar w:fldCharType="end"/>
      </w:r>
    </w:p>
    <w:p>
      <w:pPr>
        <w:pStyle w:val="TOC8"/>
        <w:rPr>
          <w:rFonts w:asciiTheme="minorHAnsi" w:eastAsiaTheme="minorEastAsia" w:hAnsiTheme="minorHAnsi" w:cstheme="minorBidi"/>
          <w:szCs w:val="22"/>
        </w:rPr>
      </w:pPr>
      <w:r>
        <w:t>112.</w:t>
      </w:r>
      <w:r>
        <w:tab/>
        <w:t>Details of waivers to be accessible on website</w:t>
      </w:r>
      <w:r>
        <w:tab/>
      </w:r>
      <w:r>
        <w:fldChar w:fldCharType="begin"/>
      </w:r>
      <w:r>
        <w:instrText xml:space="preserve"> PAGEREF _Toc101362557 \h </w:instrText>
      </w:r>
      <w:r>
        <w:fldChar w:fldCharType="separate"/>
      </w:r>
      <w:r>
        <w:t>67</w:t>
      </w:r>
      <w:r>
        <w:fldChar w:fldCharType="end"/>
      </w:r>
    </w:p>
    <w:p>
      <w:pPr>
        <w:pStyle w:val="TOC8"/>
        <w:rPr>
          <w:rFonts w:asciiTheme="minorHAnsi" w:eastAsiaTheme="minorEastAsia" w:hAnsiTheme="minorHAnsi" w:cstheme="minorBidi"/>
          <w:szCs w:val="22"/>
        </w:rPr>
      </w:pPr>
      <w:r>
        <w:t>113.</w:t>
      </w:r>
      <w:r>
        <w:tab/>
        <w:t>Emergency waivers</w:t>
      </w:r>
      <w:r>
        <w:tab/>
      </w:r>
      <w:r>
        <w:fldChar w:fldCharType="begin"/>
      </w:r>
      <w:r>
        <w:instrText xml:space="preserve"> PAGEREF _Toc101362558 \h </w:instrText>
      </w:r>
      <w:r>
        <w:fldChar w:fldCharType="separate"/>
      </w:r>
      <w:r>
        <w:t>68</w:t>
      </w:r>
      <w:r>
        <w:fldChar w:fldCharType="end"/>
      </w:r>
    </w:p>
    <w:p>
      <w:pPr>
        <w:pStyle w:val="TOC8"/>
        <w:rPr>
          <w:rFonts w:asciiTheme="minorHAnsi" w:eastAsiaTheme="minorEastAsia" w:hAnsiTheme="minorHAnsi" w:cstheme="minorBidi"/>
          <w:szCs w:val="22"/>
        </w:rPr>
      </w:pPr>
      <w:r>
        <w:t>114.</w:t>
      </w:r>
      <w:r>
        <w:tab/>
        <w:t>Effect of waiver</w:t>
      </w:r>
      <w:r>
        <w:tab/>
      </w:r>
      <w:r>
        <w:fldChar w:fldCharType="begin"/>
      </w:r>
      <w:r>
        <w:instrText xml:space="preserve"> PAGEREF _Toc101362559 \h </w:instrText>
      </w:r>
      <w:r>
        <w:fldChar w:fldCharType="separate"/>
      </w:r>
      <w:r>
        <w:t>68</w:t>
      </w:r>
      <w:r>
        <w:fldChar w:fldCharType="end"/>
      </w:r>
    </w:p>
    <w:p>
      <w:pPr>
        <w:pStyle w:val="TOC8"/>
        <w:rPr>
          <w:rFonts w:asciiTheme="minorHAnsi" w:eastAsiaTheme="minorEastAsia" w:hAnsiTheme="minorHAnsi" w:cstheme="minorBidi"/>
          <w:szCs w:val="22"/>
        </w:rPr>
      </w:pPr>
      <w:r>
        <w:t>115.</w:t>
      </w:r>
      <w:r>
        <w:tab/>
        <w:t>Refund of fees</w:t>
      </w:r>
      <w:r>
        <w:tab/>
      </w:r>
      <w:r>
        <w:fldChar w:fldCharType="begin"/>
      </w:r>
      <w:r>
        <w:instrText xml:space="preserve"> PAGEREF _Toc101362560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_Toc101362563 \h </w:instrText>
      </w:r>
      <w:r>
        <w:fldChar w:fldCharType="separate"/>
      </w:r>
      <w:r>
        <w:t>70</w:t>
      </w:r>
      <w:r>
        <w:fldChar w:fldCharType="end"/>
      </w:r>
    </w:p>
    <w:p>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_Toc101362564 \h </w:instrText>
      </w:r>
      <w:r>
        <w:fldChar w:fldCharType="separate"/>
      </w:r>
      <w:r>
        <w:t>70</w:t>
      </w:r>
      <w:r>
        <w:fldChar w:fldCharType="end"/>
      </w:r>
    </w:p>
    <w:p>
      <w:pPr>
        <w:pStyle w:val="TOC8"/>
        <w:rPr>
          <w:rFonts w:asciiTheme="minorHAnsi" w:eastAsiaTheme="minorEastAsia" w:hAnsiTheme="minorHAnsi" w:cstheme="minorBidi"/>
          <w:szCs w:val="22"/>
        </w:rPr>
      </w:pPr>
      <w:r>
        <w:t>3.</w:t>
      </w:r>
      <w:r>
        <w:tab/>
        <w:t>Service jetty entitlements</w:t>
      </w:r>
      <w:r>
        <w:tab/>
      </w:r>
      <w:r>
        <w:fldChar w:fldCharType="begin"/>
      </w:r>
      <w:r>
        <w:instrText xml:space="preserve"> PAGEREF _Toc101362565 \h </w:instrText>
      </w:r>
      <w:r>
        <w:fldChar w:fldCharType="separate"/>
      </w:r>
      <w:r>
        <w:t>71</w:t>
      </w:r>
      <w:r>
        <w:fldChar w:fldCharType="end"/>
      </w:r>
    </w:p>
    <w:p>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_Toc101362566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Dues and charges for specified places</w:t>
      </w:r>
    </w:p>
    <w:p>
      <w:pPr>
        <w:pStyle w:val="TOC8"/>
        <w:rPr>
          <w:rFonts w:asciiTheme="minorHAnsi" w:eastAsiaTheme="minorEastAsia" w:hAnsiTheme="minorHAnsi" w:cstheme="minorBidi"/>
          <w:szCs w:val="22"/>
        </w:rPr>
      </w:pPr>
      <w:r>
        <w:t>5.</w:t>
      </w:r>
      <w:r>
        <w:tab/>
        <w:t>Albany, Albany Waterfront Marina</w:t>
      </w:r>
      <w:r>
        <w:tab/>
      </w:r>
      <w:r>
        <w:fldChar w:fldCharType="begin"/>
      </w:r>
      <w:r>
        <w:instrText xml:space="preserve"> PAGEREF _Toc101362568 \h </w:instrText>
      </w:r>
      <w:r>
        <w:fldChar w:fldCharType="separate"/>
      </w:r>
      <w:r>
        <w:t>71</w:t>
      </w:r>
      <w:r>
        <w:fldChar w:fldCharType="end"/>
      </w:r>
    </w:p>
    <w:p>
      <w:pPr>
        <w:pStyle w:val="TOC8"/>
        <w:rPr>
          <w:rFonts w:asciiTheme="minorHAnsi" w:eastAsiaTheme="minorEastAsia" w:hAnsiTheme="minorHAnsi" w:cstheme="minorBidi"/>
          <w:szCs w:val="22"/>
        </w:rPr>
      </w:pPr>
      <w:r>
        <w:t>6.</w:t>
      </w:r>
      <w:r>
        <w:tab/>
        <w:t>Albany, Emu Point Boat Harbour</w:t>
      </w:r>
      <w:r>
        <w:tab/>
      </w:r>
      <w:r>
        <w:fldChar w:fldCharType="begin"/>
      </w:r>
      <w:r>
        <w:instrText xml:space="preserve"> PAGEREF _Toc101362569 \h </w:instrText>
      </w:r>
      <w:r>
        <w:fldChar w:fldCharType="separate"/>
      </w:r>
      <w:r>
        <w:t>72</w:t>
      </w:r>
      <w:r>
        <w:fldChar w:fldCharType="end"/>
      </w:r>
    </w:p>
    <w:p>
      <w:pPr>
        <w:pStyle w:val="TOC8"/>
        <w:rPr>
          <w:rFonts w:asciiTheme="minorHAnsi" w:eastAsiaTheme="minorEastAsia" w:hAnsiTheme="minorHAnsi" w:cstheme="minorBidi"/>
          <w:szCs w:val="22"/>
        </w:rPr>
      </w:pPr>
      <w:r>
        <w:t>7.</w:t>
      </w:r>
      <w:r>
        <w:tab/>
        <w:t>Augusta Boat Harbour</w:t>
      </w:r>
      <w:r>
        <w:tab/>
      </w:r>
      <w:r>
        <w:fldChar w:fldCharType="begin"/>
      </w:r>
      <w:r>
        <w:instrText xml:space="preserve"> PAGEREF _Toc101362570 \h </w:instrText>
      </w:r>
      <w:r>
        <w:fldChar w:fldCharType="separate"/>
      </w:r>
      <w:r>
        <w:t>73</w:t>
      </w:r>
      <w:r>
        <w:fldChar w:fldCharType="end"/>
      </w:r>
    </w:p>
    <w:p>
      <w:pPr>
        <w:pStyle w:val="TOC8"/>
        <w:rPr>
          <w:rFonts w:asciiTheme="minorHAnsi" w:eastAsiaTheme="minorEastAsia" w:hAnsiTheme="minorHAnsi" w:cstheme="minorBidi"/>
          <w:szCs w:val="22"/>
        </w:rPr>
      </w:pPr>
      <w:r>
        <w:t>9.</w:t>
      </w:r>
      <w:r>
        <w:tab/>
        <w:t>Bremer Bay</w:t>
      </w:r>
      <w:r>
        <w:tab/>
      </w:r>
      <w:r>
        <w:fldChar w:fldCharType="begin"/>
      </w:r>
      <w:r>
        <w:instrText xml:space="preserve"> PAGEREF _Toc101362571 \h </w:instrText>
      </w:r>
      <w:r>
        <w:fldChar w:fldCharType="separate"/>
      </w:r>
      <w:r>
        <w:t>74</w:t>
      </w:r>
      <w:r>
        <w:fldChar w:fldCharType="end"/>
      </w:r>
    </w:p>
    <w:p>
      <w:pPr>
        <w:pStyle w:val="TOC8"/>
        <w:rPr>
          <w:rFonts w:asciiTheme="minorHAnsi" w:eastAsiaTheme="minorEastAsia" w:hAnsiTheme="minorHAnsi" w:cstheme="minorBidi"/>
          <w:szCs w:val="22"/>
        </w:rPr>
      </w:pPr>
      <w:r>
        <w:t>10.</w:t>
      </w:r>
      <w:r>
        <w:tab/>
        <w:t>Bunbury, Casuarina Boat Harbour</w:t>
      </w:r>
      <w:r>
        <w:tab/>
      </w:r>
      <w:r>
        <w:fldChar w:fldCharType="begin"/>
      </w:r>
      <w:r>
        <w:instrText xml:space="preserve"> PAGEREF _Toc101362572 \h </w:instrText>
      </w:r>
      <w:r>
        <w:fldChar w:fldCharType="separate"/>
      </w:r>
      <w:r>
        <w:t>75</w:t>
      </w:r>
      <w:r>
        <w:fldChar w:fldCharType="end"/>
      </w:r>
    </w:p>
    <w:p>
      <w:pPr>
        <w:pStyle w:val="TOC8"/>
        <w:rPr>
          <w:rFonts w:asciiTheme="minorHAnsi" w:eastAsiaTheme="minorEastAsia" w:hAnsiTheme="minorHAnsi" w:cstheme="minorBidi"/>
          <w:szCs w:val="22"/>
        </w:rPr>
      </w:pPr>
      <w:r>
        <w:t>10A.</w:t>
      </w:r>
      <w:r>
        <w:tab/>
        <w:t>Burswood Jetty</w:t>
      </w:r>
      <w:r>
        <w:tab/>
      </w:r>
      <w:r>
        <w:fldChar w:fldCharType="begin"/>
      </w:r>
      <w:r>
        <w:instrText xml:space="preserve"> PAGEREF _Toc101362573 \h </w:instrText>
      </w:r>
      <w:r>
        <w:fldChar w:fldCharType="separate"/>
      </w:r>
      <w:r>
        <w:t>75</w:t>
      </w:r>
      <w:r>
        <w:fldChar w:fldCharType="end"/>
      </w:r>
    </w:p>
    <w:p>
      <w:pPr>
        <w:pStyle w:val="TOC8"/>
        <w:rPr>
          <w:rFonts w:asciiTheme="minorHAnsi" w:eastAsiaTheme="minorEastAsia" w:hAnsiTheme="minorHAnsi" w:cstheme="minorBidi"/>
          <w:szCs w:val="22"/>
        </w:rPr>
      </w:pPr>
      <w:r>
        <w:t>11.</w:t>
      </w:r>
      <w:r>
        <w:tab/>
        <w:t>Carnarvon Boat Harbour</w:t>
      </w:r>
      <w:r>
        <w:tab/>
      </w:r>
      <w:r>
        <w:fldChar w:fldCharType="begin"/>
      </w:r>
      <w:r>
        <w:instrText xml:space="preserve"> PAGEREF _Toc101362574 \h </w:instrText>
      </w:r>
      <w:r>
        <w:fldChar w:fldCharType="separate"/>
      </w:r>
      <w:r>
        <w:t>76</w:t>
      </w:r>
      <w:r>
        <w:fldChar w:fldCharType="end"/>
      </w:r>
    </w:p>
    <w:p>
      <w:pPr>
        <w:pStyle w:val="TOC8"/>
        <w:rPr>
          <w:rFonts w:asciiTheme="minorHAnsi" w:eastAsiaTheme="minorEastAsia" w:hAnsiTheme="minorHAnsi" w:cstheme="minorBidi"/>
          <w:szCs w:val="22"/>
        </w:rPr>
      </w:pPr>
      <w:r>
        <w:t>12.</w:t>
      </w:r>
      <w:r>
        <w:tab/>
        <w:t>Cervantes</w:t>
      </w:r>
      <w:r>
        <w:tab/>
      </w:r>
      <w:r>
        <w:fldChar w:fldCharType="begin"/>
      </w:r>
      <w:r>
        <w:instrText xml:space="preserve"> PAGEREF _Toc101362575 \h </w:instrText>
      </w:r>
      <w:r>
        <w:fldChar w:fldCharType="separate"/>
      </w:r>
      <w:r>
        <w:t>77</w:t>
      </w:r>
      <w:r>
        <w:fldChar w:fldCharType="end"/>
      </w:r>
    </w:p>
    <w:p>
      <w:pPr>
        <w:pStyle w:val="TOC8"/>
        <w:rPr>
          <w:rFonts w:asciiTheme="minorHAnsi" w:eastAsiaTheme="minorEastAsia" w:hAnsiTheme="minorHAnsi" w:cstheme="minorBidi"/>
          <w:szCs w:val="22"/>
        </w:rPr>
      </w:pPr>
      <w:r>
        <w:t>13.</w:t>
      </w:r>
      <w:r>
        <w:tab/>
        <w:t>Coral Bay Maritime Facility</w:t>
      </w:r>
      <w:r>
        <w:tab/>
      </w:r>
      <w:r>
        <w:fldChar w:fldCharType="begin"/>
      </w:r>
      <w:r>
        <w:instrText xml:space="preserve"> PAGEREF _Toc101362576 \h </w:instrText>
      </w:r>
      <w:r>
        <w:fldChar w:fldCharType="separate"/>
      </w:r>
      <w:r>
        <w:t>78</w:t>
      </w:r>
      <w:r>
        <w:fldChar w:fldCharType="end"/>
      </w:r>
    </w:p>
    <w:p>
      <w:pPr>
        <w:pStyle w:val="TOC8"/>
        <w:rPr>
          <w:rFonts w:asciiTheme="minorHAnsi" w:eastAsiaTheme="minorEastAsia" w:hAnsiTheme="minorHAnsi" w:cstheme="minorBidi"/>
          <w:szCs w:val="22"/>
        </w:rPr>
      </w:pPr>
      <w:r>
        <w:t>14.</w:t>
      </w:r>
      <w:r>
        <w:tab/>
        <w:t>Denham Maritime Facility</w:t>
      </w:r>
      <w:r>
        <w:tab/>
      </w:r>
      <w:r>
        <w:fldChar w:fldCharType="begin"/>
      </w:r>
      <w:r>
        <w:instrText xml:space="preserve"> PAGEREF _Toc101362577 \h </w:instrText>
      </w:r>
      <w:r>
        <w:fldChar w:fldCharType="separate"/>
      </w:r>
      <w:r>
        <w:t>78</w:t>
      </w:r>
      <w:r>
        <w:fldChar w:fldCharType="end"/>
      </w:r>
    </w:p>
    <w:p>
      <w:pPr>
        <w:pStyle w:val="TOC8"/>
        <w:rPr>
          <w:rFonts w:asciiTheme="minorHAnsi" w:eastAsiaTheme="minorEastAsia" w:hAnsiTheme="minorHAnsi" w:cstheme="minorBidi"/>
          <w:szCs w:val="22"/>
        </w:rPr>
      </w:pPr>
      <w:r>
        <w:t>15.</w:t>
      </w:r>
      <w:r>
        <w:tab/>
        <w:t>Esperance, Bandy Creek Boat Harbour</w:t>
      </w:r>
      <w:r>
        <w:tab/>
      </w:r>
      <w:r>
        <w:fldChar w:fldCharType="begin"/>
      </w:r>
      <w:r>
        <w:instrText xml:space="preserve"> PAGEREF _Toc101362578 \h </w:instrText>
      </w:r>
      <w:r>
        <w:fldChar w:fldCharType="separate"/>
      </w:r>
      <w:r>
        <w:t>79</w:t>
      </w:r>
      <w:r>
        <w:fldChar w:fldCharType="end"/>
      </w:r>
    </w:p>
    <w:p>
      <w:pPr>
        <w:pStyle w:val="TOC8"/>
        <w:rPr>
          <w:rFonts w:asciiTheme="minorHAnsi" w:eastAsiaTheme="minorEastAsia" w:hAnsiTheme="minorHAnsi" w:cstheme="minorBidi"/>
          <w:szCs w:val="22"/>
        </w:rPr>
      </w:pPr>
      <w:r>
        <w:t>16.</w:t>
      </w:r>
      <w:r>
        <w:tab/>
        <w:t>Exmouth</w:t>
      </w:r>
      <w:r>
        <w:tab/>
      </w:r>
      <w:r>
        <w:fldChar w:fldCharType="begin"/>
      </w:r>
      <w:r>
        <w:instrText xml:space="preserve"> PAGEREF _Toc101362579 \h </w:instrText>
      </w:r>
      <w:r>
        <w:fldChar w:fldCharType="separate"/>
      </w:r>
      <w:r>
        <w:t>80</w:t>
      </w:r>
      <w:r>
        <w:fldChar w:fldCharType="end"/>
      </w:r>
    </w:p>
    <w:p>
      <w:pPr>
        <w:pStyle w:val="TOC8"/>
        <w:rPr>
          <w:rFonts w:asciiTheme="minorHAnsi" w:eastAsiaTheme="minorEastAsia" w:hAnsiTheme="minorHAnsi" w:cstheme="minorBidi"/>
          <w:szCs w:val="22"/>
        </w:rPr>
      </w:pPr>
      <w:r>
        <w:t>17.</w:t>
      </w:r>
      <w:r>
        <w:tab/>
        <w:t>Fremantle Fishing Boat Harbour</w:t>
      </w:r>
      <w:r>
        <w:tab/>
      </w:r>
      <w:r>
        <w:fldChar w:fldCharType="begin"/>
      </w:r>
      <w:r>
        <w:instrText xml:space="preserve"> PAGEREF _Toc101362580 \h </w:instrText>
      </w:r>
      <w:r>
        <w:fldChar w:fldCharType="separate"/>
      </w:r>
      <w:r>
        <w:t>82</w:t>
      </w:r>
      <w:r>
        <w:fldChar w:fldCharType="end"/>
      </w:r>
    </w:p>
    <w:p>
      <w:pPr>
        <w:pStyle w:val="TOC8"/>
        <w:rPr>
          <w:rFonts w:asciiTheme="minorHAnsi" w:eastAsiaTheme="minorEastAsia" w:hAnsiTheme="minorHAnsi" w:cstheme="minorBidi"/>
          <w:szCs w:val="22"/>
        </w:rPr>
      </w:pPr>
      <w:r>
        <w:t>18.</w:t>
      </w:r>
      <w:r>
        <w:tab/>
        <w:t>Geraldton, Batavia Coast Boat Harbour</w:t>
      </w:r>
      <w:r>
        <w:tab/>
      </w:r>
      <w:r>
        <w:fldChar w:fldCharType="begin"/>
      </w:r>
      <w:r>
        <w:instrText xml:space="preserve"> PAGEREF _Toc101362581 \h </w:instrText>
      </w:r>
      <w:r>
        <w:fldChar w:fldCharType="separate"/>
      </w:r>
      <w:r>
        <w:t>83</w:t>
      </w:r>
      <w:r>
        <w:fldChar w:fldCharType="end"/>
      </w:r>
    </w:p>
    <w:p>
      <w:pPr>
        <w:pStyle w:val="TOC8"/>
        <w:rPr>
          <w:rFonts w:asciiTheme="minorHAnsi" w:eastAsiaTheme="minorEastAsia" w:hAnsiTheme="minorHAnsi" w:cstheme="minorBidi"/>
          <w:szCs w:val="22"/>
        </w:rPr>
      </w:pPr>
      <w:r>
        <w:t>19.</w:t>
      </w:r>
      <w:r>
        <w:tab/>
        <w:t>Green Head</w:t>
      </w:r>
      <w:r>
        <w:tab/>
      </w:r>
      <w:r>
        <w:fldChar w:fldCharType="begin"/>
      </w:r>
      <w:r>
        <w:instrText xml:space="preserve"> PAGEREF _Toc101362582 \h </w:instrText>
      </w:r>
      <w:r>
        <w:fldChar w:fldCharType="separate"/>
      </w:r>
      <w:r>
        <w:t>84</w:t>
      </w:r>
      <w:r>
        <w:fldChar w:fldCharType="end"/>
      </w:r>
    </w:p>
    <w:p>
      <w:pPr>
        <w:pStyle w:val="TOC8"/>
        <w:rPr>
          <w:rFonts w:asciiTheme="minorHAnsi" w:eastAsiaTheme="minorEastAsia" w:hAnsiTheme="minorHAnsi" w:cstheme="minorBidi"/>
          <w:szCs w:val="22"/>
        </w:rPr>
      </w:pPr>
      <w:r>
        <w:t>20.</w:t>
      </w:r>
      <w:r>
        <w:tab/>
        <w:t>Hopetoun</w:t>
      </w:r>
      <w:r>
        <w:tab/>
      </w:r>
      <w:r>
        <w:fldChar w:fldCharType="begin"/>
      </w:r>
      <w:r>
        <w:instrText xml:space="preserve"> PAGEREF _Toc101362583 \h </w:instrText>
      </w:r>
      <w:r>
        <w:fldChar w:fldCharType="separate"/>
      </w:r>
      <w:r>
        <w:t>84</w:t>
      </w:r>
      <w:r>
        <w:fldChar w:fldCharType="end"/>
      </w:r>
    </w:p>
    <w:p>
      <w:pPr>
        <w:pStyle w:val="TOC8"/>
        <w:rPr>
          <w:rFonts w:asciiTheme="minorHAnsi" w:eastAsiaTheme="minorEastAsia" w:hAnsiTheme="minorHAnsi" w:cstheme="minorBidi"/>
          <w:szCs w:val="22"/>
        </w:rPr>
      </w:pPr>
      <w:r>
        <w:lastRenderedPageBreak/>
        <w:t>21.</w:t>
      </w:r>
      <w:r>
        <w:tab/>
        <w:t>Jurien Boat Harbour</w:t>
      </w:r>
      <w:r>
        <w:tab/>
      </w:r>
      <w:r>
        <w:fldChar w:fldCharType="begin"/>
      </w:r>
      <w:r>
        <w:instrText xml:space="preserve"> PAGEREF _Toc101362584 \h </w:instrText>
      </w:r>
      <w:r>
        <w:fldChar w:fldCharType="separate"/>
      </w:r>
      <w:r>
        <w:t>85</w:t>
      </w:r>
      <w:r>
        <w:fldChar w:fldCharType="end"/>
      </w:r>
    </w:p>
    <w:p>
      <w:pPr>
        <w:pStyle w:val="TOC8"/>
        <w:rPr>
          <w:rFonts w:asciiTheme="minorHAnsi" w:eastAsiaTheme="minorEastAsia" w:hAnsiTheme="minorHAnsi" w:cstheme="minorBidi"/>
          <w:szCs w:val="22"/>
        </w:rPr>
      </w:pPr>
      <w:r>
        <w:t>22.</w:t>
      </w:r>
      <w:r>
        <w:tab/>
        <w:t>Kalbarri Boat Harbour</w:t>
      </w:r>
      <w:r>
        <w:tab/>
      </w:r>
      <w:r>
        <w:fldChar w:fldCharType="begin"/>
      </w:r>
      <w:r>
        <w:instrText xml:space="preserve"> PAGEREF _Toc101362585 \h </w:instrText>
      </w:r>
      <w:r>
        <w:fldChar w:fldCharType="separate"/>
      </w:r>
      <w:r>
        <w:t>86</w:t>
      </w:r>
      <w:r>
        <w:fldChar w:fldCharType="end"/>
      </w:r>
    </w:p>
    <w:p>
      <w:pPr>
        <w:pStyle w:val="TOC8"/>
        <w:rPr>
          <w:rFonts w:asciiTheme="minorHAnsi" w:eastAsiaTheme="minorEastAsia" w:hAnsiTheme="minorHAnsi" w:cstheme="minorBidi"/>
          <w:szCs w:val="22"/>
        </w:rPr>
      </w:pPr>
      <w:r>
        <w:t>23.</w:t>
      </w:r>
      <w:r>
        <w:tab/>
        <w:t>Lancelin</w:t>
      </w:r>
      <w:r>
        <w:tab/>
      </w:r>
      <w:r>
        <w:fldChar w:fldCharType="begin"/>
      </w:r>
      <w:r>
        <w:instrText xml:space="preserve"> PAGEREF _Toc101362586 \h </w:instrText>
      </w:r>
      <w:r>
        <w:fldChar w:fldCharType="separate"/>
      </w:r>
      <w:r>
        <w:t>86</w:t>
      </w:r>
      <w:r>
        <w:fldChar w:fldCharType="end"/>
      </w:r>
    </w:p>
    <w:p>
      <w:pPr>
        <w:pStyle w:val="TOC8"/>
        <w:rPr>
          <w:rFonts w:asciiTheme="minorHAnsi" w:eastAsiaTheme="minorEastAsia" w:hAnsiTheme="minorHAnsi" w:cstheme="minorBidi"/>
          <w:szCs w:val="22"/>
        </w:rPr>
      </w:pPr>
      <w:r>
        <w:t>24.</w:t>
      </w:r>
      <w:r>
        <w:tab/>
        <w:t>Leeman</w:t>
      </w:r>
      <w:r>
        <w:tab/>
      </w:r>
      <w:r>
        <w:fldChar w:fldCharType="begin"/>
      </w:r>
      <w:r>
        <w:instrText xml:space="preserve"> PAGEREF _Toc101362587 \h </w:instrText>
      </w:r>
      <w:r>
        <w:fldChar w:fldCharType="separate"/>
      </w:r>
      <w:r>
        <w:t>87</w:t>
      </w:r>
      <w:r>
        <w:fldChar w:fldCharType="end"/>
      </w:r>
    </w:p>
    <w:p>
      <w:pPr>
        <w:pStyle w:val="TOC8"/>
        <w:rPr>
          <w:rFonts w:asciiTheme="minorHAnsi" w:eastAsiaTheme="minorEastAsia" w:hAnsiTheme="minorHAnsi" w:cstheme="minorBidi"/>
          <w:szCs w:val="22"/>
        </w:rPr>
      </w:pPr>
      <w:r>
        <w:t>25.</w:t>
      </w:r>
      <w:r>
        <w:tab/>
        <w:t>Onslow, Beadon Creek Boat Harbour</w:t>
      </w:r>
      <w:r>
        <w:tab/>
      </w:r>
      <w:r>
        <w:fldChar w:fldCharType="begin"/>
      </w:r>
      <w:r>
        <w:instrText xml:space="preserve"> PAGEREF _Toc101362588 \h </w:instrText>
      </w:r>
      <w:r>
        <w:fldChar w:fldCharType="separate"/>
      </w:r>
      <w:r>
        <w:t>87</w:t>
      </w:r>
      <w:r>
        <w:fldChar w:fldCharType="end"/>
      </w:r>
    </w:p>
    <w:p>
      <w:pPr>
        <w:pStyle w:val="TOC8"/>
        <w:rPr>
          <w:rFonts w:asciiTheme="minorHAnsi" w:eastAsiaTheme="minorEastAsia" w:hAnsiTheme="minorHAnsi" w:cstheme="minorBidi"/>
          <w:szCs w:val="22"/>
        </w:rPr>
      </w:pPr>
      <w:r>
        <w:t>26.</w:t>
      </w:r>
      <w:r>
        <w:tab/>
        <w:t>Point Samson, Johns Creek Boat Harbour</w:t>
      </w:r>
      <w:r>
        <w:tab/>
      </w:r>
      <w:r>
        <w:fldChar w:fldCharType="begin"/>
      </w:r>
      <w:r>
        <w:instrText xml:space="preserve"> PAGEREF _Toc101362589 \h </w:instrText>
      </w:r>
      <w:r>
        <w:fldChar w:fldCharType="separate"/>
      </w:r>
      <w:r>
        <w:t>89</w:t>
      </w:r>
      <w:r>
        <w:fldChar w:fldCharType="end"/>
      </w:r>
    </w:p>
    <w:p>
      <w:pPr>
        <w:pStyle w:val="TOC8"/>
        <w:rPr>
          <w:rFonts w:asciiTheme="minorHAnsi" w:eastAsiaTheme="minorEastAsia" w:hAnsiTheme="minorHAnsi" w:cstheme="minorBidi"/>
          <w:szCs w:val="22"/>
        </w:rPr>
      </w:pPr>
      <w:r>
        <w:t>27.</w:t>
      </w:r>
      <w:r>
        <w:tab/>
        <w:t>Port Denison</w:t>
      </w:r>
      <w:r>
        <w:tab/>
      </w:r>
      <w:r>
        <w:fldChar w:fldCharType="begin"/>
      </w:r>
      <w:r>
        <w:instrText xml:space="preserve"> PAGEREF _Toc101362590 \h </w:instrText>
      </w:r>
      <w:r>
        <w:fldChar w:fldCharType="separate"/>
      </w:r>
      <w:r>
        <w:t>90</w:t>
      </w:r>
      <w:r>
        <w:fldChar w:fldCharType="end"/>
      </w:r>
    </w:p>
    <w:p>
      <w:pPr>
        <w:pStyle w:val="TOC8"/>
        <w:rPr>
          <w:rFonts w:asciiTheme="minorHAnsi" w:eastAsiaTheme="minorEastAsia" w:hAnsiTheme="minorHAnsi" w:cstheme="minorBidi"/>
          <w:szCs w:val="22"/>
        </w:rPr>
      </w:pPr>
      <w:r>
        <w:t>28.</w:t>
      </w:r>
      <w:r>
        <w:tab/>
        <w:t>Port Gregory</w:t>
      </w:r>
      <w:r>
        <w:tab/>
      </w:r>
      <w:r>
        <w:fldChar w:fldCharType="begin"/>
      </w:r>
      <w:r>
        <w:instrText xml:space="preserve"> PAGEREF _Toc101362591 \h </w:instrText>
      </w:r>
      <w:r>
        <w:fldChar w:fldCharType="separate"/>
      </w:r>
      <w:r>
        <w:t>91</w:t>
      </w:r>
      <w:r>
        <w:fldChar w:fldCharType="end"/>
      </w:r>
    </w:p>
    <w:p>
      <w:pPr>
        <w:pStyle w:val="TOC8"/>
        <w:rPr>
          <w:rFonts w:asciiTheme="minorHAnsi" w:eastAsiaTheme="minorEastAsia" w:hAnsiTheme="minorHAnsi" w:cstheme="minorBidi"/>
          <w:szCs w:val="22"/>
        </w:rPr>
      </w:pPr>
      <w:r>
        <w:t>29.</w:t>
      </w:r>
      <w:r>
        <w:tab/>
        <w:t>Two Rocks Marina</w:t>
      </w:r>
      <w:r>
        <w:tab/>
      </w:r>
      <w:r>
        <w:fldChar w:fldCharType="begin"/>
      </w:r>
      <w:r>
        <w:instrText xml:space="preserve"> PAGEREF _Toc101362592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State</w:t>
      </w:r>
      <w:r>
        <w:noBreakHyphen/>
        <w:t>wide charges</w:t>
      </w:r>
    </w:p>
    <w:p>
      <w:pPr>
        <w:pStyle w:val="TOC8"/>
        <w:rPr>
          <w:rFonts w:asciiTheme="minorHAnsi" w:eastAsiaTheme="minorEastAsia" w:hAnsiTheme="minorHAnsi" w:cstheme="minorBidi"/>
          <w:szCs w:val="22"/>
        </w:rPr>
      </w:pPr>
      <w:r>
        <w:t>31.</w:t>
      </w:r>
      <w:r>
        <w:tab/>
        <w:t>Living on vessel</w:t>
      </w:r>
      <w:r>
        <w:tab/>
      </w:r>
      <w:r>
        <w:fldChar w:fldCharType="begin"/>
      </w:r>
      <w:r>
        <w:instrText xml:space="preserve"> PAGEREF _Toc101362594 \h </w:instrText>
      </w:r>
      <w:r>
        <w:fldChar w:fldCharType="separate"/>
      </w:r>
      <w:r>
        <w:t>93</w:t>
      </w:r>
      <w:r>
        <w:fldChar w:fldCharType="end"/>
      </w:r>
    </w:p>
    <w:p>
      <w:pPr>
        <w:pStyle w:val="TOC8"/>
        <w:rPr>
          <w:rFonts w:asciiTheme="minorHAnsi" w:eastAsiaTheme="minorEastAsia" w:hAnsiTheme="minorHAnsi" w:cstheme="minorBidi"/>
          <w:szCs w:val="22"/>
        </w:rPr>
      </w:pPr>
      <w:r>
        <w:t>32.</w:t>
      </w:r>
      <w:r>
        <w:tab/>
        <w:t>Electricity supply</w:t>
      </w:r>
      <w:r>
        <w:tab/>
      </w:r>
      <w:r>
        <w:fldChar w:fldCharType="begin"/>
      </w:r>
      <w:r>
        <w:instrText xml:space="preserve"> PAGEREF _Toc101362595 \h </w:instrText>
      </w:r>
      <w:r>
        <w:fldChar w:fldCharType="separate"/>
      </w:r>
      <w:r>
        <w:t>93</w:t>
      </w:r>
      <w:r>
        <w:fldChar w:fldCharType="end"/>
      </w:r>
    </w:p>
    <w:p>
      <w:pPr>
        <w:pStyle w:val="TOC8"/>
        <w:rPr>
          <w:rFonts w:asciiTheme="minorHAnsi" w:eastAsiaTheme="minorEastAsia" w:hAnsiTheme="minorHAnsi" w:cstheme="minorBidi"/>
          <w:szCs w:val="22"/>
        </w:rPr>
      </w:pPr>
      <w:r>
        <w:t>33.</w:t>
      </w:r>
      <w:r>
        <w:tab/>
        <w:t>Water supply</w:t>
      </w:r>
      <w:r>
        <w:tab/>
      </w:r>
      <w:r>
        <w:fldChar w:fldCharType="begin"/>
      </w:r>
      <w:r>
        <w:instrText xml:space="preserve"> PAGEREF _Toc101362596 \h </w:instrText>
      </w:r>
      <w:r>
        <w:fldChar w:fldCharType="separate"/>
      </w:r>
      <w:r>
        <w:t>94</w:t>
      </w:r>
      <w:r>
        <w:fldChar w:fldCharType="end"/>
      </w:r>
    </w:p>
    <w:p>
      <w:pPr>
        <w:pStyle w:val="TOC8"/>
        <w:rPr>
          <w:rFonts w:asciiTheme="minorHAnsi" w:eastAsiaTheme="minorEastAsia" w:hAnsiTheme="minorHAnsi" w:cstheme="minorBidi"/>
          <w:szCs w:val="22"/>
        </w:rPr>
      </w:pPr>
      <w:r>
        <w:t>34.</w:t>
      </w:r>
      <w:r>
        <w:tab/>
        <w:t>Rubbish removal</w:t>
      </w:r>
      <w:r>
        <w:tab/>
      </w:r>
      <w:r>
        <w:fldChar w:fldCharType="begin"/>
      </w:r>
      <w:r>
        <w:instrText xml:space="preserve"> PAGEREF _Toc101362597 \h </w:instrText>
      </w:r>
      <w:r>
        <w:fldChar w:fldCharType="separate"/>
      </w:r>
      <w:r>
        <w:t>94</w:t>
      </w:r>
      <w:r>
        <w:fldChar w:fldCharType="end"/>
      </w:r>
    </w:p>
    <w:p>
      <w:pPr>
        <w:pStyle w:val="TOC8"/>
        <w:rPr>
          <w:rFonts w:asciiTheme="minorHAnsi" w:eastAsiaTheme="minorEastAsia" w:hAnsiTheme="minorHAnsi" w:cstheme="minorBidi"/>
          <w:szCs w:val="22"/>
        </w:rPr>
      </w:pPr>
      <w:r>
        <w:t>35.</w:t>
      </w:r>
      <w:r>
        <w:tab/>
        <w:t>Passengers and cargo</w:t>
      </w:r>
      <w:r>
        <w:tab/>
      </w:r>
      <w:r>
        <w:fldChar w:fldCharType="begin"/>
      </w:r>
      <w:r>
        <w:instrText xml:space="preserve"> PAGEREF _Toc101362598 \h </w:instrText>
      </w:r>
      <w:r>
        <w:fldChar w:fldCharType="separate"/>
      </w:r>
      <w:r>
        <w:t>94</w:t>
      </w:r>
      <w:r>
        <w:fldChar w:fldCharType="end"/>
      </w:r>
    </w:p>
    <w:p>
      <w:pPr>
        <w:pStyle w:val="TOC8"/>
        <w:rPr>
          <w:rFonts w:asciiTheme="minorHAnsi" w:eastAsiaTheme="minorEastAsia" w:hAnsiTheme="minorHAnsi" w:cstheme="minorBidi"/>
          <w:szCs w:val="22"/>
        </w:rPr>
      </w:pPr>
      <w:r>
        <w:t>36.</w:t>
      </w:r>
      <w:r>
        <w:tab/>
        <w:t>Floating dinghy pens</w:t>
      </w:r>
      <w:r>
        <w:tab/>
      </w:r>
      <w:r>
        <w:fldChar w:fldCharType="begin"/>
      </w:r>
      <w:r>
        <w:instrText xml:space="preserve"> PAGEREF _Toc101362599 \h </w:instrText>
      </w:r>
      <w:r>
        <w:fldChar w:fldCharType="separate"/>
      </w:r>
      <w:r>
        <w:t>95</w:t>
      </w:r>
      <w:r>
        <w:fldChar w:fldCharType="end"/>
      </w:r>
    </w:p>
    <w:p>
      <w:pPr>
        <w:pStyle w:val="TOC8"/>
        <w:rPr>
          <w:rFonts w:asciiTheme="minorHAnsi" w:eastAsiaTheme="minorEastAsia" w:hAnsiTheme="minorHAnsi" w:cstheme="minorBidi"/>
          <w:szCs w:val="22"/>
        </w:rPr>
      </w:pPr>
      <w:r>
        <w:t>37.</w:t>
      </w:r>
      <w:r>
        <w:tab/>
        <w:t>Use of jetty hardstand or appurtenant area</w:t>
      </w:r>
      <w:r>
        <w:tab/>
      </w:r>
      <w:r>
        <w:fldChar w:fldCharType="begin"/>
      </w:r>
      <w:r>
        <w:instrText xml:space="preserve"> PAGEREF _Toc101362600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2 — Fuel oil wharfage</w:t>
      </w:r>
    </w:p>
    <w:p>
      <w:pPr>
        <w:pStyle w:val="TOC8"/>
        <w:rPr>
          <w:rFonts w:asciiTheme="minorHAnsi" w:eastAsiaTheme="minorEastAsia" w:hAnsiTheme="minorHAnsi" w:cstheme="minorBidi"/>
          <w:szCs w:val="22"/>
        </w:rPr>
      </w:pPr>
      <w:r>
        <w:t>1.</w:t>
      </w:r>
      <w:r>
        <w:tab/>
        <w:t>Wharfage for fuel oil</w:t>
      </w:r>
      <w:r>
        <w:tab/>
      </w:r>
      <w:r>
        <w:fldChar w:fldCharType="begin"/>
      </w:r>
      <w:r>
        <w:instrText xml:space="preserve"> PAGEREF _Toc101362602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3 — Port of Perth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_Toc101362605 \h </w:instrText>
      </w:r>
      <w:r>
        <w:fldChar w:fldCharType="separate"/>
      </w:r>
      <w:r>
        <w:t>98</w:t>
      </w:r>
      <w:r>
        <w:fldChar w:fldCharType="end"/>
      </w:r>
    </w:p>
    <w:p>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_Toc101362606 \h </w:instrText>
      </w:r>
      <w:r>
        <w:fldChar w:fldCharType="separate"/>
      </w:r>
      <w:r>
        <w:t>98</w:t>
      </w:r>
      <w:r>
        <w:fldChar w:fldCharType="end"/>
      </w:r>
    </w:p>
    <w:p>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_Toc101362607 \h </w:instrText>
      </w:r>
      <w:r>
        <w:fldChar w:fldCharType="separate"/>
      </w:r>
      <w:r>
        <w:t>98</w:t>
      </w:r>
      <w:r>
        <w:fldChar w:fldCharType="end"/>
      </w:r>
    </w:p>
    <w:p>
      <w:pPr>
        <w:pStyle w:val="TOC8"/>
        <w:rPr>
          <w:rFonts w:asciiTheme="minorHAnsi" w:eastAsiaTheme="minorEastAsia" w:hAnsiTheme="minorHAnsi" w:cstheme="minorBidi"/>
          <w:szCs w:val="22"/>
        </w:rPr>
      </w:pPr>
      <w:r>
        <w:t>4.</w:t>
      </w:r>
      <w:r>
        <w:tab/>
        <w:t>Service jetty entitlements</w:t>
      </w:r>
      <w:r>
        <w:tab/>
      </w:r>
      <w:r>
        <w:fldChar w:fldCharType="begin"/>
      </w:r>
      <w:r>
        <w:instrText xml:space="preserve"> PAGEREF _Toc101362608 \h </w:instrText>
      </w:r>
      <w:r>
        <w:fldChar w:fldCharType="separate"/>
      </w:r>
      <w:r>
        <w:t>99</w:t>
      </w:r>
      <w:r>
        <w:fldChar w:fldCharType="end"/>
      </w:r>
    </w:p>
    <w:p>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_Toc101362609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Charges for jetties on Swan and Canning Rivers</w:t>
      </w:r>
    </w:p>
    <w:p>
      <w:pPr>
        <w:pStyle w:val="TOC8"/>
        <w:rPr>
          <w:rFonts w:asciiTheme="minorHAnsi" w:eastAsiaTheme="minorEastAsia" w:hAnsiTheme="minorHAnsi" w:cstheme="minorBidi"/>
          <w:szCs w:val="22"/>
        </w:rPr>
      </w:pPr>
      <w:r>
        <w:t>6.</w:t>
      </w:r>
      <w:r>
        <w:tab/>
        <w:t>Barrack Street and Mends Street jetties</w:t>
      </w:r>
      <w:r>
        <w:tab/>
      </w:r>
      <w:r>
        <w:fldChar w:fldCharType="begin"/>
      </w:r>
      <w:r>
        <w:instrText xml:space="preserve"> PAGEREF _Toc101362611 \h </w:instrText>
      </w:r>
      <w:r>
        <w:fldChar w:fldCharType="separate"/>
      </w:r>
      <w:r>
        <w:t>100</w:t>
      </w:r>
      <w:r>
        <w:fldChar w:fldCharType="end"/>
      </w:r>
    </w:p>
    <w:p>
      <w:pPr>
        <w:pStyle w:val="TOC8"/>
        <w:rPr>
          <w:rFonts w:asciiTheme="minorHAnsi" w:eastAsiaTheme="minorEastAsia" w:hAnsiTheme="minorHAnsi" w:cstheme="minorBidi"/>
          <w:szCs w:val="22"/>
        </w:rPr>
      </w:pPr>
      <w:r>
        <w:t>7.</w:t>
      </w:r>
      <w:r>
        <w:tab/>
        <w:t>Other jetties on Swan and Canning Rivers</w:t>
      </w:r>
      <w:r>
        <w:tab/>
      </w:r>
      <w:r>
        <w:fldChar w:fldCharType="begin"/>
      </w:r>
      <w:r>
        <w:instrText xml:space="preserve"> PAGEREF _Toc101362612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Charges for other places</w:t>
      </w:r>
    </w:p>
    <w:p>
      <w:pPr>
        <w:pStyle w:val="TOC8"/>
        <w:rPr>
          <w:rFonts w:asciiTheme="minorHAnsi" w:eastAsiaTheme="minorEastAsia" w:hAnsiTheme="minorHAnsi" w:cstheme="minorBidi"/>
          <w:szCs w:val="22"/>
        </w:rPr>
      </w:pPr>
      <w:r>
        <w:t>8.</w:t>
      </w:r>
      <w:r>
        <w:tab/>
        <w:t>Fremantle, Challenger Boat Harbour</w:t>
      </w:r>
      <w:r>
        <w:tab/>
      </w:r>
      <w:r>
        <w:fldChar w:fldCharType="begin"/>
      </w:r>
      <w:r>
        <w:instrText xml:space="preserve"> PAGEREF _Toc101362614 \h </w:instrText>
      </w:r>
      <w:r>
        <w:fldChar w:fldCharType="separate"/>
      </w:r>
      <w:r>
        <w:t>101</w:t>
      </w:r>
      <w:r>
        <w:fldChar w:fldCharType="end"/>
      </w:r>
    </w:p>
    <w:p>
      <w:pPr>
        <w:pStyle w:val="TOC8"/>
        <w:rPr>
          <w:rFonts w:asciiTheme="minorHAnsi" w:eastAsiaTheme="minorEastAsia" w:hAnsiTheme="minorHAnsi" w:cstheme="minorBidi"/>
          <w:szCs w:val="22"/>
        </w:rPr>
      </w:pPr>
      <w:r>
        <w:t>9.</w:t>
      </w:r>
      <w:r>
        <w:tab/>
        <w:t>Hillarys Boat Harbour</w:t>
      </w:r>
      <w:r>
        <w:tab/>
      </w:r>
      <w:r>
        <w:fldChar w:fldCharType="begin"/>
      </w:r>
      <w:r>
        <w:instrText xml:space="preserve"> PAGEREF _Toc101362615 \h </w:instrText>
      </w:r>
      <w:r>
        <w:fldChar w:fldCharType="separate"/>
      </w:r>
      <w:r>
        <w:t>102</w:t>
      </w:r>
      <w:r>
        <w:fldChar w:fldCharType="end"/>
      </w:r>
    </w:p>
    <w:p>
      <w:pPr>
        <w:pStyle w:val="TOC8"/>
        <w:rPr>
          <w:rFonts w:asciiTheme="minorHAnsi" w:eastAsiaTheme="minorEastAsia" w:hAnsiTheme="minorHAnsi" w:cstheme="minorBidi"/>
          <w:szCs w:val="22"/>
        </w:rPr>
      </w:pPr>
      <w:r>
        <w:t>10.</w:t>
      </w:r>
      <w:r>
        <w:tab/>
        <w:t>Jervoise Bay</w:t>
      </w:r>
      <w:r>
        <w:tab/>
      </w:r>
      <w:r>
        <w:fldChar w:fldCharType="begin"/>
      </w:r>
      <w:r>
        <w:instrText xml:space="preserve"> PAGEREF _Toc101362616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_Toc101362619 \h </w:instrText>
      </w:r>
      <w:r>
        <w:fldChar w:fldCharType="separate"/>
      </w:r>
      <w:r>
        <w:t>106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_Toc101362620 \h </w:instrText>
      </w:r>
      <w:r>
        <w:fldChar w:fldCharType="separate"/>
      </w:r>
      <w:r>
        <w:t>114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_Toc101362621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3" w:name="_Toc101351001"/>
      <w:bookmarkStart w:id="4" w:name="_Toc101351318"/>
      <w:bookmarkStart w:id="5" w:name="_Toc101362399"/>
      <w:r>
        <w:rPr>
          <w:rStyle w:val="CharPartNo"/>
        </w:rPr>
        <w:t>Part 1A</w:t>
      </w:r>
      <w:r>
        <w:rPr>
          <w:b w:val="0"/>
        </w:rPr>
        <w:t> </w:t>
      </w:r>
      <w:r>
        <w:t>—</w:t>
      </w:r>
      <w:r>
        <w:rPr>
          <w:b w:val="0"/>
        </w:rPr>
        <w:t> </w:t>
      </w:r>
      <w:r>
        <w:rPr>
          <w:rStyle w:val="CharPartText"/>
        </w:rPr>
        <w:t>Preliminary</w:t>
      </w:r>
      <w:bookmarkEnd w:id="3"/>
      <w:bookmarkEnd w:id="4"/>
      <w:bookmarkEnd w:id="5"/>
    </w:p>
    <w:p>
      <w:pPr>
        <w:pStyle w:val="Footnoteheading"/>
      </w:pPr>
      <w:r>
        <w:tab/>
        <w:t>[Heading inserted: Gazette 25 May 2018 p. 1669.]</w:t>
      </w:r>
    </w:p>
    <w:p>
      <w:pPr>
        <w:pStyle w:val="Heading5"/>
        <w:rPr>
          <w:snapToGrid w:val="0"/>
        </w:rPr>
      </w:pPr>
      <w:bookmarkStart w:id="6" w:name="_Toc101362400"/>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7" w:name="_Toc101362401"/>
      <w:r>
        <w:rPr>
          <w:rStyle w:val="CharSectno"/>
        </w:rPr>
        <w:t>2</w:t>
      </w:r>
      <w:r>
        <w:t>.</w:t>
      </w:r>
      <w:r>
        <w:tab/>
        <w:t>Liability for dues and charges</w:t>
      </w:r>
      <w:bookmarkEnd w:id="7"/>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snapToGrid w:val="0"/>
        </w:rPr>
      </w:pPr>
      <w:bookmarkStart w:id="8" w:name="_Toc101362402"/>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lastRenderedPageBreak/>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length of a pen is — </w:t>
      </w:r>
    </w:p>
    <w:p>
      <w:pPr>
        <w:pStyle w:val="Indenti"/>
      </w:pPr>
      <w:r>
        <w:tab/>
        <w:t>(i)</w:t>
      </w:r>
      <w:r>
        <w:tab/>
        <w:t>unless subparagraph (ii) applies, its length as determined by the Department and set out on its website at the time the charge is calculated; or</w:t>
      </w:r>
    </w:p>
    <w:p>
      <w:pPr>
        <w:pStyle w:val="Indenti"/>
      </w:pPr>
      <w:r>
        <w:tab/>
        <w:t>(ii)</w:t>
      </w:r>
      <w:r>
        <w:tab/>
        <w:t>if a vessel is allocated a pen that is longer than it needs to be due to the unavailability of a suitable</w:t>
      </w:r>
      <w:r>
        <w:noBreakHyphen/>
        <w:t>sized pen for the vessel at the place where the vessel is berthed — the length of a suitable</w:t>
      </w:r>
      <w:r>
        <w:noBreakHyphen/>
        <w:t>sized pen.</w:t>
      </w:r>
    </w:p>
    <w:p>
      <w:pPr>
        <w:pStyle w:val="Subsection"/>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lastRenderedPageBreak/>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w:t>
      </w:r>
    </w:p>
    <w:p>
      <w:pPr>
        <w:pStyle w:val="Heading2"/>
      </w:pPr>
      <w:bookmarkStart w:id="9" w:name="_Toc101351005"/>
      <w:bookmarkStart w:id="10" w:name="_Toc101351322"/>
      <w:bookmarkStart w:id="11" w:name="_Toc101362403"/>
      <w:r>
        <w:rPr>
          <w:rStyle w:val="CharPartNo"/>
        </w:rPr>
        <w:lastRenderedPageBreak/>
        <w:t>Part 1</w:t>
      </w:r>
      <w:r>
        <w:t> — </w:t>
      </w:r>
      <w:r>
        <w:rPr>
          <w:rStyle w:val="CharPartText"/>
        </w:rPr>
        <w:t>Regulations applying to jetties controlled by the Department</w:t>
      </w:r>
      <w:bookmarkEnd w:id="9"/>
      <w:bookmarkEnd w:id="10"/>
      <w:bookmarkEnd w:id="11"/>
      <w:r>
        <w:rPr>
          <w:rStyle w:val="CharPartText"/>
        </w:rPr>
        <w:t xml:space="preserve"> </w:t>
      </w:r>
    </w:p>
    <w:p>
      <w:pPr>
        <w:pStyle w:val="Footnoteheading"/>
      </w:pPr>
      <w:r>
        <w:tab/>
        <w:t xml:space="preserve">[Heading inserted: Gazette 19 May 1989 p. 1494.] </w:t>
      </w:r>
    </w:p>
    <w:p>
      <w:pPr>
        <w:pStyle w:val="Heading3"/>
        <w:rPr>
          <w:snapToGrid w:val="0"/>
        </w:rPr>
      </w:pPr>
      <w:bookmarkStart w:id="12" w:name="_Toc101351006"/>
      <w:bookmarkStart w:id="13" w:name="_Toc101351323"/>
      <w:bookmarkStart w:id="14" w:name="_Toc101362404"/>
      <w:r>
        <w:rPr>
          <w:rStyle w:val="CharDivNo"/>
        </w:rPr>
        <w:t>Division 1</w:t>
      </w:r>
      <w:r>
        <w:rPr>
          <w:snapToGrid w:val="0"/>
        </w:rPr>
        <w:t> — </w:t>
      </w:r>
      <w:r>
        <w:rPr>
          <w:rStyle w:val="CharDivText"/>
        </w:rPr>
        <w:t>Application of this Part</w:t>
      </w:r>
      <w:bookmarkEnd w:id="12"/>
      <w:bookmarkEnd w:id="13"/>
      <w:bookmarkEnd w:id="14"/>
      <w:r>
        <w:rPr>
          <w:rStyle w:val="CharDivText"/>
        </w:rPr>
        <w:t xml:space="preserve"> </w:t>
      </w:r>
    </w:p>
    <w:p>
      <w:pPr>
        <w:pStyle w:val="Footnoteheading"/>
      </w:pPr>
      <w:r>
        <w:tab/>
        <w:t xml:space="preserve">[Heading inserted: Gazette 19 May 1989 p. 1494.] </w:t>
      </w:r>
    </w:p>
    <w:p>
      <w:pPr>
        <w:pStyle w:val="Heading5"/>
        <w:rPr>
          <w:snapToGrid w:val="0"/>
        </w:rPr>
      </w:pPr>
      <w:bookmarkStart w:id="15" w:name="_Toc101362405"/>
      <w:r>
        <w:rPr>
          <w:rStyle w:val="CharSectno"/>
        </w:rPr>
        <w:t>3A</w:t>
      </w:r>
      <w:r>
        <w:rPr>
          <w:snapToGrid w:val="0"/>
        </w:rPr>
        <w:t>.</w:t>
      </w:r>
      <w:r>
        <w:rPr>
          <w:snapToGrid w:val="0"/>
        </w:rPr>
        <w:tab/>
        <w:t>Application</w:t>
      </w:r>
      <w:bookmarkEnd w:id="15"/>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16" w:name="_Toc101351008"/>
      <w:bookmarkStart w:id="17" w:name="_Toc101351325"/>
      <w:bookmarkStart w:id="18" w:name="_Toc101362406"/>
      <w:r>
        <w:rPr>
          <w:rStyle w:val="CharDivNo"/>
        </w:rPr>
        <w:t>Division 2</w:t>
      </w:r>
      <w:r>
        <w:rPr>
          <w:snapToGrid w:val="0"/>
        </w:rPr>
        <w:t> — </w:t>
      </w:r>
      <w:r>
        <w:rPr>
          <w:rStyle w:val="CharDivText"/>
        </w:rPr>
        <w:t>Arrival and movement of vessels</w:t>
      </w:r>
      <w:bookmarkEnd w:id="16"/>
      <w:bookmarkEnd w:id="17"/>
      <w:bookmarkEnd w:id="18"/>
      <w:r>
        <w:rPr>
          <w:rStyle w:val="CharDivText"/>
        </w:rPr>
        <w:t xml:space="preserve"> </w:t>
      </w:r>
    </w:p>
    <w:p>
      <w:pPr>
        <w:pStyle w:val="Footnoteheading"/>
      </w:pPr>
      <w:r>
        <w:tab/>
        <w:t xml:space="preserve">[Heading inserted: Gazette 19 May 1989 p. 1494.] </w:t>
      </w:r>
    </w:p>
    <w:p>
      <w:pPr>
        <w:pStyle w:val="Heading5"/>
        <w:rPr>
          <w:snapToGrid w:val="0"/>
        </w:rPr>
      </w:pPr>
      <w:bookmarkStart w:id="19" w:name="_Toc101362407"/>
      <w:r>
        <w:rPr>
          <w:rStyle w:val="CharSectno"/>
        </w:rPr>
        <w:t>4</w:t>
      </w:r>
      <w:r>
        <w:rPr>
          <w:snapToGrid w:val="0"/>
        </w:rPr>
        <w:t>.</w:t>
      </w:r>
      <w:r>
        <w:rPr>
          <w:snapToGrid w:val="0"/>
        </w:rPr>
        <w:tab/>
        <w:t>Master or agent to report arrival</w:t>
      </w:r>
      <w:bookmarkEnd w:id="19"/>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20" w:name="_Toc101362408"/>
      <w:r>
        <w:rPr>
          <w:rStyle w:val="CharSectno"/>
        </w:rPr>
        <w:t>5</w:t>
      </w:r>
      <w:r>
        <w:rPr>
          <w:snapToGrid w:val="0"/>
        </w:rPr>
        <w:t>.</w:t>
      </w:r>
      <w:r>
        <w:rPr>
          <w:snapToGrid w:val="0"/>
        </w:rPr>
        <w:tab/>
        <w:t>Vessels to change berths</w:t>
      </w:r>
      <w:bookmarkEnd w:id="20"/>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21" w:name="_Toc101351011"/>
      <w:bookmarkStart w:id="22" w:name="_Toc101351328"/>
      <w:bookmarkStart w:id="23" w:name="_Toc101362409"/>
      <w:r>
        <w:rPr>
          <w:rStyle w:val="CharDivNo"/>
        </w:rPr>
        <w:lastRenderedPageBreak/>
        <w:t>Division 3</w:t>
      </w:r>
      <w:r>
        <w:rPr>
          <w:snapToGrid w:val="0"/>
        </w:rPr>
        <w:t> — </w:t>
      </w:r>
      <w:r>
        <w:rPr>
          <w:rStyle w:val="CharDivText"/>
        </w:rPr>
        <w:t>Berthing dues</w:t>
      </w:r>
      <w:bookmarkEnd w:id="21"/>
      <w:bookmarkEnd w:id="22"/>
      <w:bookmarkEnd w:id="23"/>
      <w:r>
        <w:rPr>
          <w:rStyle w:val="CharDivText"/>
        </w:rPr>
        <w:t xml:space="preserve"> </w:t>
      </w:r>
    </w:p>
    <w:p>
      <w:pPr>
        <w:pStyle w:val="Footnoteheading"/>
        <w:keepNext/>
        <w:keepLines/>
      </w:pPr>
      <w:r>
        <w:tab/>
        <w:t xml:space="preserve">[Heading inserted: Gazette 19 May 1989 p. 1494.] </w:t>
      </w:r>
    </w:p>
    <w:p>
      <w:pPr>
        <w:pStyle w:val="Heading5"/>
      </w:pPr>
      <w:bookmarkStart w:id="24" w:name="_Toc101362410"/>
      <w:r>
        <w:rPr>
          <w:rStyle w:val="CharSectno"/>
        </w:rPr>
        <w:t>6</w:t>
      </w:r>
      <w:r>
        <w:t>.</w:t>
      </w:r>
      <w:r>
        <w:tab/>
        <w:t>Berthing dues</w:t>
      </w:r>
      <w:bookmarkEnd w:id="24"/>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(ii)</w:t>
      </w:r>
      <w:r>
        <w:tab/>
        <w:t>by a recreational vessel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lastRenderedPageBreak/>
        <w:tab/>
        <w:t>[Regulation 6 inserted: Gazette 25 Jul 2014 p. 2610-11; amended: Gazette 22 Jul 2015 p. 2952; 25 May 2018 p. 1670; 31 May 2019 p. 1756.]</w:t>
      </w:r>
    </w:p>
    <w:p>
      <w:pPr>
        <w:pStyle w:val="Heading5"/>
        <w:spacing w:before="240"/>
      </w:pPr>
      <w:bookmarkStart w:id="25" w:name="_Toc101362411"/>
      <w:r>
        <w:rPr>
          <w:rStyle w:val="CharSectno"/>
        </w:rPr>
        <w:t>6A</w:t>
      </w:r>
      <w:r>
        <w:t>.</w:t>
      </w:r>
      <w:r>
        <w:tab/>
        <w:t>Requirement to pay berthing dues</w:t>
      </w:r>
      <w:bookmarkEnd w:id="25"/>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26" w:name="_Toc101362412"/>
      <w:r>
        <w:rPr>
          <w:rStyle w:val="CharSectno"/>
        </w:rPr>
        <w:t>7</w:t>
      </w:r>
      <w:r>
        <w:rPr>
          <w:snapToGrid w:val="0"/>
        </w:rPr>
        <w:t>.</w:t>
      </w:r>
      <w:r>
        <w:rPr>
          <w:snapToGrid w:val="0"/>
        </w:rPr>
        <w:tab/>
        <w:t>Computation of berthing dues</w:t>
      </w:r>
      <w:bookmarkEnd w:id="26"/>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27" w:name="_Toc101351015"/>
      <w:bookmarkStart w:id="28" w:name="_Toc101351332"/>
      <w:bookmarkStart w:id="29" w:name="_Toc101362413"/>
      <w:r>
        <w:rPr>
          <w:rStyle w:val="CharDivNo"/>
        </w:rPr>
        <w:lastRenderedPageBreak/>
        <w:t>Division 3A</w:t>
      </w:r>
      <w:r>
        <w:t> — </w:t>
      </w:r>
      <w:r>
        <w:rPr>
          <w:rStyle w:val="CharDivText"/>
        </w:rPr>
        <w:t>Manifests</w:t>
      </w:r>
      <w:bookmarkEnd w:id="27"/>
      <w:bookmarkEnd w:id="28"/>
      <w:bookmarkEnd w:id="29"/>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30" w:name="_Toc101362414"/>
      <w:r>
        <w:rPr>
          <w:rStyle w:val="CharSectno"/>
        </w:rPr>
        <w:t>8</w:t>
      </w:r>
      <w:r>
        <w:rPr>
          <w:snapToGrid w:val="0"/>
        </w:rPr>
        <w:t>.</w:t>
      </w:r>
      <w:r>
        <w:rPr>
          <w:snapToGrid w:val="0"/>
        </w:rPr>
        <w:tab/>
        <w:t>Inwards manifests</w:t>
      </w:r>
      <w:bookmarkEnd w:id="30"/>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31" w:name="_Toc101362415"/>
      <w:r>
        <w:rPr>
          <w:rStyle w:val="CharSectno"/>
        </w:rPr>
        <w:t>9</w:t>
      </w:r>
      <w:r>
        <w:rPr>
          <w:snapToGrid w:val="0"/>
        </w:rPr>
        <w:t>.</w:t>
      </w:r>
      <w:r>
        <w:rPr>
          <w:snapToGrid w:val="0"/>
        </w:rPr>
        <w:tab/>
        <w:t>Outwards manifests</w:t>
      </w:r>
      <w:bookmarkEnd w:id="31"/>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32" w:name="_Toc101351018"/>
      <w:bookmarkStart w:id="33" w:name="_Toc101351335"/>
      <w:bookmarkStart w:id="34" w:name="_Toc101362416"/>
      <w:r>
        <w:rPr>
          <w:rStyle w:val="CharDivNo"/>
        </w:rPr>
        <w:t>Division 4</w:t>
      </w:r>
      <w:r>
        <w:rPr>
          <w:snapToGrid w:val="0"/>
        </w:rPr>
        <w:t> — </w:t>
      </w:r>
      <w:r>
        <w:rPr>
          <w:rStyle w:val="CharDivText"/>
        </w:rPr>
        <w:t>Wharfage dues, handling and haulage charges</w:t>
      </w:r>
      <w:bookmarkEnd w:id="32"/>
      <w:bookmarkEnd w:id="33"/>
      <w:bookmarkEnd w:id="34"/>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35" w:name="_Toc101362417"/>
      <w:r>
        <w:rPr>
          <w:rStyle w:val="CharSectno"/>
        </w:rPr>
        <w:t>10A</w:t>
      </w:r>
      <w:r>
        <w:rPr>
          <w:snapToGrid w:val="0"/>
        </w:rPr>
        <w:t>.</w:t>
      </w:r>
      <w:r>
        <w:rPr>
          <w:snapToGrid w:val="0"/>
        </w:rPr>
        <w:tab/>
        <w:t>Payment of dues and charges</w:t>
      </w:r>
      <w:bookmarkEnd w:id="35"/>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 xml:space="preserve">shall, unless otherwise </w:t>
      </w:r>
      <w:r>
        <w:rPr>
          <w:snapToGrid w:val="0"/>
        </w:rPr>
        <w:lastRenderedPageBreak/>
        <w:t>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36" w:name="_Toc101362418"/>
      <w:r>
        <w:rPr>
          <w:rStyle w:val="CharSectno"/>
        </w:rPr>
        <w:t>11</w:t>
      </w:r>
      <w:r>
        <w:rPr>
          <w:snapToGrid w:val="0"/>
        </w:rPr>
        <w:t>.</w:t>
      </w:r>
      <w:r>
        <w:rPr>
          <w:snapToGrid w:val="0"/>
        </w:rPr>
        <w:tab/>
        <w:t>Charges for transhipment cargo</w:t>
      </w:r>
      <w:bookmarkEnd w:id="36"/>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37" w:name="_Toc101362419"/>
      <w:r>
        <w:rPr>
          <w:rStyle w:val="CharSectno"/>
        </w:rPr>
        <w:t>11B</w:t>
      </w:r>
      <w:r>
        <w:rPr>
          <w:snapToGrid w:val="0"/>
        </w:rPr>
        <w:t>.</w:t>
      </w:r>
      <w:r>
        <w:rPr>
          <w:snapToGrid w:val="0"/>
        </w:rPr>
        <w:tab/>
        <w:t>Charges on vessels’ stores, including fuel oil</w:t>
      </w:r>
      <w:bookmarkEnd w:id="37"/>
      <w:r>
        <w:rPr>
          <w:snapToGrid w:val="0"/>
        </w:rPr>
        <w:t xml:space="preserve"> </w:t>
      </w:r>
    </w:p>
    <w:p>
      <w:pPr>
        <w:pStyle w:val="Subsection"/>
        <w:rPr>
          <w:snapToGrid w:val="0"/>
        </w:rPr>
      </w:pPr>
      <w:r>
        <w:rPr>
          <w:snapToGrid w:val="0"/>
        </w:rPr>
        <w:tab/>
        <w:t>(1)</w:t>
      </w:r>
      <w:r>
        <w:rPr>
          <w:snapToGrid w:val="0"/>
        </w:rPr>
        <w:tab/>
        <w:t xml:space="preserve">Material and equipment passing over jetties and to be used for the repair and refitting of a vessel, its machinery or equipment whilst it is in the port, and all consumable stores loaded into a vessel for the vessel’s own use, excepting fuel oil on which an </w:t>
      </w:r>
      <w:r>
        <w:rPr>
          <w:snapToGrid w:val="0"/>
        </w:rPr>
        <w:lastRenderedPageBreak/>
        <w:t>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38" w:name="_Toc101362420"/>
      <w:r>
        <w:rPr>
          <w:rStyle w:val="CharSectno"/>
        </w:rPr>
        <w:t>12</w:t>
      </w:r>
      <w:r>
        <w:rPr>
          <w:snapToGrid w:val="0"/>
        </w:rPr>
        <w:t>.</w:t>
      </w:r>
      <w:r>
        <w:rPr>
          <w:snapToGrid w:val="0"/>
        </w:rPr>
        <w:tab/>
        <w:t>Charges to be paid before delivery of cargo</w:t>
      </w:r>
      <w:bookmarkEnd w:id="38"/>
      <w:r>
        <w:rPr>
          <w:snapToGrid w:val="0"/>
        </w:rPr>
        <w:t xml:space="preserve"> </w:t>
      </w:r>
    </w:p>
    <w:p>
      <w:pPr>
        <w:pStyle w:val="Subsection"/>
        <w:rPr>
          <w:snapToGrid w:val="0"/>
        </w:rPr>
      </w:pPr>
      <w:r>
        <w:rPr>
          <w:snapToGrid w:val="0"/>
        </w:rPr>
        <w:tab/>
      </w:r>
      <w:r>
        <w:rPr>
          <w:snapToGrid w:val="0"/>
        </w:rPr>
        <w:tab/>
        <w:t xml:space="preserve">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w:t>
      </w:r>
      <w:r>
        <w:rPr>
          <w:snapToGrid w:val="0"/>
        </w:rPr>
        <w:lastRenderedPageBreak/>
        <w:t>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39" w:name="_Toc101362421"/>
      <w:r>
        <w:rPr>
          <w:rStyle w:val="CharSectno"/>
        </w:rPr>
        <w:t>13</w:t>
      </w:r>
      <w:r>
        <w:rPr>
          <w:snapToGrid w:val="0"/>
        </w:rPr>
        <w:t>.</w:t>
      </w:r>
      <w:r>
        <w:rPr>
          <w:snapToGrid w:val="0"/>
        </w:rPr>
        <w:tab/>
        <w:t>Extra charges</w:t>
      </w:r>
      <w:bookmarkEnd w:id="39"/>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40" w:name="_Toc101351024"/>
      <w:bookmarkStart w:id="41" w:name="_Toc101351341"/>
      <w:bookmarkStart w:id="42" w:name="_Toc101362422"/>
      <w:r>
        <w:rPr>
          <w:rStyle w:val="CharDivNo"/>
        </w:rPr>
        <w:t>Division 5</w:t>
      </w:r>
      <w:r>
        <w:rPr>
          <w:snapToGrid w:val="0"/>
        </w:rPr>
        <w:t> — </w:t>
      </w:r>
      <w:r>
        <w:rPr>
          <w:rStyle w:val="CharDivText"/>
        </w:rPr>
        <w:t>Handling of cargo</w:t>
      </w:r>
      <w:bookmarkEnd w:id="40"/>
      <w:bookmarkEnd w:id="41"/>
      <w:bookmarkEnd w:id="42"/>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43" w:name="_Toc101362423"/>
      <w:r>
        <w:rPr>
          <w:rStyle w:val="CharSectno"/>
        </w:rPr>
        <w:t>14</w:t>
      </w:r>
      <w:r>
        <w:rPr>
          <w:snapToGrid w:val="0"/>
        </w:rPr>
        <w:t>.</w:t>
      </w:r>
      <w:r>
        <w:rPr>
          <w:snapToGrid w:val="0"/>
        </w:rPr>
        <w:tab/>
        <w:t>Cargo not to be placed on jetties or premises without authority</w:t>
      </w:r>
      <w:bookmarkEnd w:id="43"/>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44" w:name="_Toc101362424"/>
      <w:r>
        <w:rPr>
          <w:rStyle w:val="CharSectno"/>
        </w:rPr>
        <w:t>15</w:t>
      </w:r>
      <w:r>
        <w:rPr>
          <w:snapToGrid w:val="0"/>
        </w:rPr>
        <w:t>.</w:t>
      </w:r>
      <w:r>
        <w:rPr>
          <w:snapToGrid w:val="0"/>
        </w:rPr>
        <w:tab/>
        <w:t>Discharging of cargo may be stopped</w:t>
      </w:r>
      <w:bookmarkEnd w:id="44"/>
      <w:r>
        <w:rPr>
          <w:snapToGrid w:val="0"/>
        </w:rPr>
        <w:t xml:space="preserve"> </w:t>
      </w:r>
    </w:p>
    <w:p>
      <w:pPr>
        <w:pStyle w:val="Subsection"/>
        <w:rPr>
          <w:snapToGrid w:val="0"/>
        </w:rPr>
      </w:pPr>
      <w:r>
        <w:rPr>
          <w:snapToGrid w:val="0"/>
        </w:rPr>
        <w:tab/>
      </w:r>
      <w:r>
        <w:rPr>
          <w:snapToGrid w:val="0"/>
        </w:rPr>
        <w:tab/>
        <w:t xml:space="preserve">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w:t>
      </w:r>
      <w:r>
        <w:rPr>
          <w:snapToGrid w:val="0"/>
        </w:rPr>
        <w:lastRenderedPageBreak/>
        <w:t>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45" w:name="_Toc101362425"/>
      <w:r>
        <w:rPr>
          <w:rStyle w:val="CharSectno"/>
        </w:rPr>
        <w:t>16</w:t>
      </w:r>
      <w:r>
        <w:rPr>
          <w:snapToGrid w:val="0"/>
        </w:rPr>
        <w:t>.</w:t>
      </w:r>
      <w:r>
        <w:rPr>
          <w:snapToGrid w:val="0"/>
        </w:rPr>
        <w:tab/>
        <w:t>Goods not to be shifted without authority</w:t>
      </w:r>
      <w:bookmarkEnd w:id="45"/>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46" w:name="_Toc101362426"/>
      <w:r>
        <w:rPr>
          <w:rStyle w:val="CharSectno"/>
        </w:rPr>
        <w:t>17</w:t>
      </w:r>
      <w:r>
        <w:rPr>
          <w:snapToGrid w:val="0"/>
        </w:rPr>
        <w:t>.</w:t>
      </w:r>
      <w:r>
        <w:rPr>
          <w:snapToGrid w:val="0"/>
        </w:rPr>
        <w:tab/>
        <w:t>Bulk cargo not to be deposited without authority</w:t>
      </w:r>
      <w:bookmarkEnd w:id="46"/>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47" w:name="_Toc101362427"/>
      <w:r>
        <w:rPr>
          <w:rStyle w:val="CharSectno"/>
        </w:rPr>
        <w:t>18</w:t>
      </w:r>
      <w:r>
        <w:rPr>
          <w:snapToGrid w:val="0"/>
        </w:rPr>
        <w:t>.</w:t>
      </w:r>
      <w:r>
        <w:rPr>
          <w:snapToGrid w:val="0"/>
        </w:rPr>
        <w:tab/>
        <w:t>Outward cargo advice notes</w:t>
      </w:r>
      <w:bookmarkEnd w:id="4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48" w:name="_Toc101362428"/>
      <w:r>
        <w:rPr>
          <w:rStyle w:val="CharSectno"/>
        </w:rPr>
        <w:t>19</w:t>
      </w:r>
      <w:r>
        <w:rPr>
          <w:snapToGrid w:val="0"/>
        </w:rPr>
        <w:t>.</w:t>
      </w:r>
      <w:r>
        <w:rPr>
          <w:snapToGrid w:val="0"/>
        </w:rPr>
        <w:tab/>
        <w:t>Outward cargo</w:t>
      </w:r>
      <w:bookmarkEnd w:id="48"/>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49" w:name="_Toc101362429"/>
      <w:r>
        <w:rPr>
          <w:rStyle w:val="CharSectno"/>
        </w:rPr>
        <w:t>20</w:t>
      </w:r>
      <w:r>
        <w:rPr>
          <w:snapToGrid w:val="0"/>
        </w:rPr>
        <w:t>.</w:t>
      </w:r>
      <w:r>
        <w:rPr>
          <w:snapToGrid w:val="0"/>
        </w:rPr>
        <w:tab/>
        <w:t>Dangerous cargo not to be shipped without permission</w:t>
      </w:r>
      <w:bookmarkEnd w:id="49"/>
      <w:r>
        <w:rPr>
          <w:snapToGrid w:val="0"/>
        </w:rPr>
        <w:t xml:space="preserve"> </w:t>
      </w:r>
    </w:p>
    <w:p>
      <w:pPr>
        <w:pStyle w:val="Subsection"/>
        <w:rPr>
          <w:snapToGrid w:val="0"/>
        </w:rPr>
      </w:pPr>
      <w:r>
        <w:rPr>
          <w:snapToGrid w:val="0"/>
        </w:rPr>
        <w:tab/>
      </w:r>
      <w:r>
        <w:rPr>
          <w:snapToGrid w:val="0"/>
        </w:rPr>
        <w:tab/>
        <w:t xml:space="preserve">No person shall carry, send or deposit, or attempt to carry, send, or deposit, or permit to be sent, carried, or deposited on any jetty or premises of the Department, any loaded firearm or </w:t>
      </w:r>
      <w:r>
        <w:rPr>
          <w:snapToGrid w:val="0"/>
        </w:rPr>
        <w:lastRenderedPageBreak/>
        <w:t>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50" w:name="_Toc101362430"/>
      <w:r>
        <w:rPr>
          <w:rStyle w:val="CharSectno"/>
        </w:rPr>
        <w:t>21</w:t>
      </w:r>
      <w:r>
        <w:rPr>
          <w:snapToGrid w:val="0"/>
        </w:rPr>
        <w:t>.</w:t>
      </w:r>
      <w:r>
        <w:rPr>
          <w:snapToGrid w:val="0"/>
        </w:rPr>
        <w:tab/>
        <w:t>Dangerous cargo may be refused or examined</w:t>
      </w:r>
      <w:bookmarkEnd w:id="50"/>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51" w:name="_Toc101362431"/>
      <w:r>
        <w:rPr>
          <w:rStyle w:val="CharSectno"/>
        </w:rPr>
        <w:t>22</w:t>
      </w:r>
      <w:r>
        <w:rPr>
          <w:snapToGrid w:val="0"/>
        </w:rPr>
        <w:t>.</w:t>
      </w:r>
      <w:r>
        <w:rPr>
          <w:snapToGrid w:val="0"/>
        </w:rPr>
        <w:tab/>
        <w:t>Marking of heavy packages</w:t>
      </w:r>
      <w:bookmarkEnd w:id="51"/>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 xml:space="preserve">in the case of articles such as logs, baulks of timber, or other articles, which by reason of their nature or place of </w:t>
      </w:r>
      <w:r>
        <w:rPr>
          <w:snapToGrid w:val="0"/>
        </w:rPr>
        <w:lastRenderedPageBreak/>
        <w:t>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52" w:name="_Toc101362432"/>
      <w:r>
        <w:rPr>
          <w:rStyle w:val="CharSectno"/>
        </w:rPr>
        <w:t>23</w:t>
      </w:r>
      <w:r>
        <w:rPr>
          <w:snapToGrid w:val="0"/>
        </w:rPr>
        <w:t>.</w:t>
      </w:r>
      <w:r>
        <w:rPr>
          <w:snapToGrid w:val="0"/>
        </w:rPr>
        <w:tab/>
        <w:t>False statements</w:t>
      </w:r>
      <w:bookmarkEnd w:id="52"/>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53" w:name="_Toc101351035"/>
      <w:bookmarkStart w:id="54" w:name="_Toc101351352"/>
      <w:bookmarkStart w:id="55" w:name="_Toc101362433"/>
      <w:r>
        <w:rPr>
          <w:rStyle w:val="CharDivNo"/>
        </w:rPr>
        <w:lastRenderedPageBreak/>
        <w:t>Division 6</w:t>
      </w:r>
      <w:r>
        <w:rPr>
          <w:snapToGrid w:val="0"/>
        </w:rPr>
        <w:t> — </w:t>
      </w:r>
      <w:r>
        <w:rPr>
          <w:rStyle w:val="CharDivText"/>
        </w:rPr>
        <w:t>Receipt, delivery and storage of cargo</w:t>
      </w:r>
      <w:bookmarkEnd w:id="53"/>
      <w:bookmarkEnd w:id="54"/>
      <w:bookmarkEnd w:id="55"/>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56" w:name="_Toc101362434"/>
      <w:r>
        <w:rPr>
          <w:rStyle w:val="CharSectno"/>
        </w:rPr>
        <w:t>25</w:t>
      </w:r>
      <w:r>
        <w:rPr>
          <w:snapToGrid w:val="0"/>
        </w:rPr>
        <w:t>.</w:t>
      </w:r>
      <w:r>
        <w:rPr>
          <w:snapToGrid w:val="0"/>
        </w:rPr>
        <w:tab/>
        <w:t>Storage charges</w:t>
      </w:r>
      <w:bookmarkEnd w:id="56"/>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lastRenderedPageBreak/>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57" w:name="_Toc101362435"/>
      <w:r>
        <w:rPr>
          <w:rStyle w:val="CharSectno"/>
        </w:rPr>
        <w:t>26</w:t>
      </w:r>
      <w:r>
        <w:rPr>
          <w:snapToGrid w:val="0"/>
        </w:rPr>
        <w:t>.</w:t>
      </w:r>
      <w:r>
        <w:rPr>
          <w:snapToGrid w:val="0"/>
        </w:rPr>
        <w:tab/>
        <w:t>Department not bound to find storage accommodation</w:t>
      </w:r>
      <w:bookmarkEnd w:id="57"/>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58" w:name="_Toc101362436"/>
      <w:r>
        <w:rPr>
          <w:rStyle w:val="CharSectno"/>
        </w:rPr>
        <w:t>27</w:t>
      </w:r>
      <w:r>
        <w:rPr>
          <w:snapToGrid w:val="0"/>
        </w:rPr>
        <w:t>.</w:t>
      </w:r>
      <w:r>
        <w:rPr>
          <w:snapToGrid w:val="0"/>
        </w:rPr>
        <w:tab/>
        <w:t>Goods may be disposed of</w:t>
      </w:r>
      <w:bookmarkEnd w:id="58"/>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59" w:name="_Toc101362437"/>
      <w:r>
        <w:rPr>
          <w:rStyle w:val="CharSectno"/>
        </w:rPr>
        <w:lastRenderedPageBreak/>
        <w:t>28</w:t>
      </w:r>
      <w:r>
        <w:rPr>
          <w:snapToGrid w:val="0"/>
        </w:rPr>
        <w:t>.</w:t>
      </w:r>
      <w:r>
        <w:rPr>
          <w:snapToGrid w:val="0"/>
        </w:rPr>
        <w:tab/>
        <w:t>Goods to be checked before delivery</w:t>
      </w:r>
      <w:bookmarkEnd w:id="59"/>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60" w:name="_Toc101362438"/>
      <w:r>
        <w:rPr>
          <w:rStyle w:val="CharSectno"/>
        </w:rPr>
        <w:t>29</w:t>
      </w:r>
      <w:r>
        <w:rPr>
          <w:snapToGrid w:val="0"/>
        </w:rPr>
        <w:t>.</w:t>
      </w:r>
      <w:r>
        <w:rPr>
          <w:snapToGrid w:val="0"/>
        </w:rPr>
        <w:tab/>
        <w:t>Delay in delivery</w:t>
      </w:r>
      <w:bookmarkEnd w:id="60"/>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61" w:name="_Toc101362439"/>
      <w:r>
        <w:rPr>
          <w:rStyle w:val="CharSectno"/>
        </w:rPr>
        <w:t>30</w:t>
      </w:r>
      <w:r>
        <w:rPr>
          <w:snapToGrid w:val="0"/>
        </w:rPr>
        <w:t>.</w:t>
      </w:r>
      <w:r>
        <w:rPr>
          <w:snapToGrid w:val="0"/>
        </w:rPr>
        <w:tab/>
        <w:t>Wrong delivery</w:t>
      </w:r>
      <w:bookmarkEnd w:id="61"/>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62" w:name="_Toc101351042"/>
      <w:bookmarkStart w:id="63" w:name="_Toc101351359"/>
      <w:bookmarkStart w:id="64" w:name="_Toc101362440"/>
      <w:r>
        <w:rPr>
          <w:rStyle w:val="CharDivNo"/>
        </w:rPr>
        <w:t>Division 7</w:t>
      </w:r>
      <w:r>
        <w:rPr>
          <w:snapToGrid w:val="0"/>
        </w:rPr>
        <w:t> — </w:t>
      </w:r>
      <w:r>
        <w:rPr>
          <w:rStyle w:val="CharDivText"/>
        </w:rPr>
        <w:t>Responsibility of Department</w:t>
      </w:r>
      <w:bookmarkEnd w:id="62"/>
      <w:bookmarkEnd w:id="63"/>
      <w:bookmarkEnd w:id="64"/>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65" w:name="_Toc101362441"/>
      <w:r>
        <w:rPr>
          <w:rStyle w:val="CharSectno"/>
        </w:rPr>
        <w:t>31</w:t>
      </w:r>
      <w:r>
        <w:rPr>
          <w:snapToGrid w:val="0"/>
        </w:rPr>
        <w:t>.</w:t>
      </w:r>
      <w:r>
        <w:rPr>
          <w:snapToGrid w:val="0"/>
        </w:rPr>
        <w:tab/>
        <w:t>Custody of cargo</w:t>
      </w:r>
      <w:bookmarkEnd w:id="65"/>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66" w:name="_Toc101362442"/>
      <w:r>
        <w:rPr>
          <w:rStyle w:val="CharSectno"/>
        </w:rPr>
        <w:lastRenderedPageBreak/>
        <w:t>32</w:t>
      </w:r>
      <w:r>
        <w:rPr>
          <w:snapToGrid w:val="0"/>
        </w:rPr>
        <w:t>.</w:t>
      </w:r>
      <w:r>
        <w:rPr>
          <w:snapToGrid w:val="0"/>
        </w:rPr>
        <w:tab/>
        <w:t>Goods without receipts</w:t>
      </w:r>
      <w:bookmarkEnd w:id="66"/>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67" w:name="_Toc101362443"/>
      <w:r>
        <w:rPr>
          <w:rStyle w:val="CharSectno"/>
        </w:rPr>
        <w:t>33</w:t>
      </w:r>
      <w:r>
        <w:rPr>
          <w:snapToGrid w:val="0"/>
        </w:rPr>
        <w:t>.</w:t>
      </w:r>
      <w:r>
        <w:rPr>
          <w:snapToGrid w:val="0"/>
        </w:rPr>
        <w:tab/>
        <w:t>Goods stacked on jetties</w:t>
      </w:r>
      <w:bookmarkEnd w:id="67"/>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68" w:name="_Toc101362444"/>
      <w:r>
        <w:rPr>
          <w:rStyle w:val="CharSectno"/>
        </w:rPr>
        <w:t>34</w:t>
      </w:r>
      <w:r>
        <w:rPr>
          <w:snapToGrid w:val="0"/>
        </w:rPr>
        <w:t>.</w:t>
      </w:r>
      <w:r>
        <w:rPr>
          <w:snapToGrid w:val="0"/>
        </w:rPr>
        <w:tab/>
        <w:t>Cargo damaged by fire etc.</w:t>
      </w:r>
      <w:bookmarkEnd w:id="68"/>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69" w:name="_Toc101362445"/>
      <w:r>
        <w:rPr>
          <w:rStyle w:val="CharSectno"/>
        </w:rPr>
        <w:t>35</w:t>
      </w:r>
      <w:r>
        <w:rPr>
          <w:snapToGrid w:val="0"/>
        </w:rPr>
        <w:t>.</w:t>
      </w:r>
      <w:r>
        <w:rPr>
          <w:snapToGrid w:val="0"/>
        </w:rPr>
        <w:tab/>
        <w:t>Goods insufficiently packed</w:t>
      </w:r>
      <w:bookmarkEnd w:id="69"/>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70" w:name="_Toc101362446"/>
      <w:r>
        <w:rPr>
          <w:rStyle w:val="CharSectno"/>
        </w:rPr>
        <w:lastRenderedPageBreak/>
        <w:t>36</w:t>
      </w:r>
      <w:r>
        <w:rPr>
          <w:snapToGrid w:val="0"/>
        </w:rPr>
        <w:t>.</w:t>
      </w:r>
      <w:r>
        <w:rPr>
          <w:snapToGrid w:val="0"/>
        </w:rPr>
        <w:tab/>
        <w:t>Claims in respect of cargo</w:t>
      </w:r>
      <w:bookmarkEnd w:id="70"/>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71" w:name="_Toc101351049"/>
      <w:bookmarkStart w:id="72" w:name="_Toc101351366"/>
      <w:bookmarkStart w:id="73" w:name="_Toc101362447"/>
      <w:r>
        <w:rPr>
          <w:rStyle w:val="CharDivNo"/>
        </w:rPr>
        <w:t>Division 8</w:t>
      </w:r>
      <w:r>
        <w:rPr>
          <w:snapToGrid w:val="0"/>
        </w:rPr>
        <w:t> — </w:t>
      </w:r>
      <w:r>
        <w:rPr>
          <w:rStyle w:val="CharDivText"/>
        </w:rPr>
        <w:t>Working hours</w:t>
      </w:r>
      <w:bookmarkEnd w:id="71"/>
      <w:bookmarkEnd w:id="72"/>
      <w:bookmarkEnd w:id="73"/>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74" w:name="_Toc101362448"/>
      <w:r>
        <w:rPr>
          <w:rStyle w:val="CharSectno"/>
        </w:rPr>
        <w:t>37</w:t>
      </w:r>
      <w:r>
        <w:rPr>
          <w:snapToGrid w:val="0"/>
        </w:rPr>
        <w:t>.</w:t>
      </w:r>
      <w:r>
        <w:rPr>
          <w:snapToGrid w:val="0"/>
        </w:rPr>
        <w:tab/>
        <w:t>Ordinary time</w:t>
      </w:r>
      <w:bookmarkEnd w:id="74"/>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75" w:name="_Toc101362449"/>
      <w:r>
        <w:rPr>
          <w:rStyle w:val="CharSectno"/>
        </w:rPr>
        <w:t>38</w:t>
      </w:r>
      <w:r>
        <w:rPr>
          <w:snapToGrid w:val="0"/>
        </w:rPr>
        <w:t>.</w:t>
      </w:r>
      <w:r>
        <w:rPr>
          <w:snapToGrid w:val="0"/>
        </w:rPr>
        <w:tab/>
        <w:t>Overtime</w:t>
      </w:r>
      <w:bookmarkEnd w:id="75"/>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76" w:name="_Toc101362450"/>
      <w:r>
        <w:rPr>
          <w:rStyle w:val="CharSectno"/>
        </w:rPr>
        <w:lastRenderedPageBreak/>
        <w:t>38A</w:t>
      </w:r>
      <w:r>
        <w:rPr>
          <w:snapToGrid w:val="0"/>
        </w:rPr>
        <w:t>.</w:t>
      </w:r>
      <w:r>
        <w:rPr>
          <w:snapToGrid w:val="0"/>
        </w:rPr>
        <w:tab/>
        <w:t>Wages incurred through ships’ delays to be paid for</w:t>
      </w:r>
      <w:bookmarkEnd w:id="76"/>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77" w:name="_Toc101362451"/>
      <w:r>
        <w:rPr>
          <w:rStyle w:val="CharSectno"/>
        </w:rPr>
        <w:t>39</w:t>
      </w:r>
      <w:r>
        <w:rPr>
          <w:snapToGrid w:val="0"/>
        </w:rPr>
        <w:t>.</w:t>
      </w:r>
      <w:r>
        <w:rPr>
          <w:snapToGrid w:val="0"/>
        </w:rPr>
        <w:tab/>
        <w:t>Master to give notice of desire to work</w:t>
      </w:r>
      <w:bookmarkEnd w:id="77"/>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78" w:name="_Toc101351054"/>
      <w:bookmarkStart w:id="79" w:name="_Toc101351371"/>
      <w:bookmarkStart w:id="80" w:name="_Toc101362452"/>
      <w:r>
        <w:rPr>
          <w:rStyle w:val="CharDivNo"/>
        </w:rPr>
        <w:t>Division 9</w:t>
      </w:r>
      <w:r>
        <w:rPr>
          <w:snapToGrid w:val="0"/>
        </w:rPr>
        <w:t> — </w:t>
      </w:r>
      <w:r>
        <w:rPr>
          <w:rStyle w:val="CharDivText"/>
        </w:rPr>
        <w:t>Livestock or vehicles on jetties or premises</w:t>
      </w:r>
      <w:bookmarkEnd w:id="78"/>
      <w:bookmarkEnd w:id="79"/>
      <w:bookmarkEnd w:id="80"/>
      <w:r>
        <w:rPr>
          <w:rStyle w:val="CharDivText"/>
        </w:rPr>
        <w:t xml:space="preserve"> </w:t>
      </w:r>
    </w:p>
    <w:p>
      <w:pPr>
        <w:pStyle w:val="Footnoteheading"/>
      </w:pPr>
      <w:r>
        <w:tab/>
        <w:t xml:space="preserve">[Heading inserted: Gazette 19 May 1989 p. 1494.] </w:t>
      </w:r>
    </w:p>
    <w:p>
      <w:pPr>
        <w:pStyle w:val="Heading5"/>
        <w:rPr>
          <w:snapToGrid w:val="0"/>
        </w:rPr>
      </w:pPr>
      <w:bookmarkStart w:id="81" w:name="_Toc101362453"/>
      <w:r>
        <w:rPr>
          <w:rStyle w:val="CharSectno"/>
        </w:rPr>
        <w:t>40</w:t>
      </w:r>
      <w:r>
        <w:rPr>
          <w:snapToGrid w:val="0"/>
        </w:rPr>
        <w:t>.</w:t>
      </w:r>
      <w:r>
        <w:rPr>
          <w:snapToGrid w:val="0"/>
        </w:rPr>
        <w:tab/>
        <w:t>Livestock on jetties or premises</w:t>
      </w:r>
      <w:bookmarkEnd w:id="81"/>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82" w:name="_Toc101362454"/>
      <w:r>
        <w:rPr>
          <w:rStyle w:val="CharSectno"/>
        </w:rPr>
        <w:t>41</w:t>
      </w:r>
      <w:r>
        <w:rPr>
          <w:snapToGrid w:val="0"/>
        </w:rPr>
        <w:t>.</w:t>
      </w:r>
      <w:r>
        <w:rPr>
          <w:snapToGrid w:val="0"/>
        </w:rPr>
        <w:tab/>
        <w:t>Riding vehicles etc. on jetties or premises</w:t>
      </w:r>
      <w:bookmarkEnd w:id="82"/>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lastRenderedPageBreak/>
        <w:tab/>
        <w:t xml:space="preserve">[Regulation 41 amended: Gazette 17 Mar 1960 p. 779; 19 May 1989 p. 1495.] </w:t>
      </w:r>
    </w:p>
    <w:p>
      <w:pPr>
        <w:pStyle w:val="Heading5"/>
        <w:rPr>
          <w:snapToGrid w:val="0"/>
        </w:rPr>
      </w:pPr>
      <w:bookmarkStart w:id="83" w:name="_Toc101362455"/>
      <w:r>
        <w:rPr>
          <w:rStyle w:val="CharSectno"/>
        </w:rPr>
        <w:t>41A</w:t>
      </w:r>
      <w:r>
        <w:rPr>
          <w:snapToGrid w:val="0"/>
        </w:rPr>
        <w:t>.</w:t>
      </w:r>
      <w:r>
        <w:rPr>
          <w:snapToGrid w:val="0"/>
        </w:rPr>
        <w:tab/>
        <w:t>Vehicles not to be parked on jetties</w:t>
      </w:r>
      <w:bookmarkEnd w:id="83"/>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84" w:name="_Toc101362456"/>
      <w:r>
        <w:rPr>
          <w:rStyle w:val="CharSectno"/>
        </w:rPr>
        <w:t>41B</w:t>
      </w:r>
      <w:r>
        <w:rPr>
          <w:snapToGrid w:val="0"/>
        </w:rPr>
        <w:t>.</w:t>
      </w:r>
      <w:r>
        <w:rPr>
          <w:snapToGrid w:val="0"/>
        </w:rPr>
        <w:tab/>
        <w:t>Department not responsible for vehicles on jetties</w:t>
      </w:r>
      <w:bookmarkEnd w:id="84"/>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85" w:name="_Toc101362457"/>
      <w:r>
        <w:rPr>
          <w:rStyle w:val="CharSectno"/>
        </w:rPr>
        <w:t>42</w:t>
      </w:r>
      <w:r>
        <w:rPr>
          <w:snapToGrid w:val="0"/>
        </w:rPr>
        <w:t>.</w:t>
      </w:r>
      <w:r>
        <w:rPr>
          <w:snapToGrid w:val="0"/>
        </w:rPr>
        <w:tab/>
        <w:t>Drivers of vehicles to obey instructions</w:t>
      </w:r>
      <w:bookmarkEnd w:id="85"/>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86" w:name="_Toc101362458"/>
      <w:r>
        <w:rPr>
          <w:rStyle w:val="CharSectno"/>
        </w:rPr>
        <w:t>42A</w:t>
      </w:r>
      <w:r>
        <w:t>.</w:t>
      </w:r>
      <w:r>
        <w:tab/>
        <w:t>Charges for vehicular use of jetty</w:t>
      </w:r>
      <w:bookmarkEnd w:id="86"/>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87" w:name="_Toc101362459"/>
      <w:r>
        <w:rPr>
          <w:rStyle w:val="CharSectno"/>
        </w:rPr>
        <w:lastRenderedPageBreak/>
        <w:t>43</w:t>
      </w:r>
      <w:r>
        <w:rPr>
          <w:snapToGrid w:val="0"/>
        </w:rPr>
        <w:t>.</w:t>
      </w:r>
      <w:r>
        <w:rPr>
          <w:snapToGrid w:val="0"/>
        </w:rPr>
        <w:tab/>
        <w:t>Persons not to be on jetties when livestock is being handled</w:t>
      </w:r>
      <w:bookmarkEnd w:id="87"/>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rPr>
          <w:snapToGrid w:val="0"/>
        </w:rPr>
      </w:pPr>
      <w:bookmarkStart w:id="88" w:name="_Toc101351062"/>
      <w:bookmarkStart w:id="89" w:name="_Toc101351379"/>
      <w:bookmarkStart w:id="90" w:name="_Toc101362460"/>
      <w:r>
        <w:rPr>
          <w:rStyle w:val="CharDivNo"/>
        </w:rPr>
        <w:t>Division 10</w:t>
      </w:r>
      <w:r>
        <w:rPr>
          <w:snapToGrid w:val="0"/>
        </w:rPr>
        <w:t> — </w:t>
      </w:r>
      <w:r>
        <w:rPr>
          <w:rStyle w:val="CharDivText"/>
        </w:rPr>
        <w:t>Miscellaneous</w:t>
      </w:r>
      <w:bookmarkEnd w:id="88"/>
      <w:bookmarkEnd w:id="89"/>
      <w:bookmarkEnd w:id="90"/>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91" w:name="_Toc101362461"/>
      <w:r>
        <w:rPr>
          <w:rStyle w:val="CharSectno"/>
        </w:rPr>
        <w:t>44</w:t>
      </w:r>
      <w:r>
        <w:rPr>
          <w:snapToGrid w:val="0"/>
        </w:rPr>
        <w:t>.</w:t>
      </w:r>
      <w:r>
        <w:rPr>
          <w:snapToGrid w:val="0"/>
        </w:rPr>
        <w:tab/>
        <w:t>Bill posting, defacement and obscenity</w:t>
      </w:r>
      <w:bookmarkEnd w:id="91"/>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92" w:name="_Toc101362462"/>
      <w:r>
        <w:rPr>
          <w:rStyle w:val="CharSectno"/>
        </w:rPr>
        <w:t>45</w:t>
      </w:r>
      <w:r>
        <w:rPr>
          <w:snapToGrid w:val="0"/>
        </w:rPr>
        <w:t>.</w:t>
      </w:r>
      <w:r>
        <w:rPr>
          <w:snapToGrid w:val="0"/>
        </w:rPr>
        <w:tab/>
        <w:t>Disorderly persons</w:t>
      </w:r>
      <w:bookmarkEnd w:id="92"/>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lastRenderedPageBreak/>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93" w:name="_Toc101362463"/>
      <w:r>
        <w:rPr>
          <w:rStyle w:val="CharSectno"/>
        </w:rPr>
        <w:t>46</w:t>
      </w:r>
      <w:r>
        <w:rPr>
          <w:snapToGrid w:val="0"/>
        </w:rPr>
        <w:t>.</w:t>
      </w:r>
      <w:r>
        <w:rPr>
          <w:snapToGrid w:val="0"/>
        </w:rPr>
        <w:tab/>
        <w:t>Fires not to be lit</w:t>
      </w:r>
      <w:bookmarkEnd w:id="93"/>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94" w:name="_Toc101362464"/>
      <w:r>
        <w:rPr>
          <w:rStyle w:val="CharSectno"/>
        </w:rPr>
        <w:t>47</w:t>
      </w:r>
      <w:r>
        <w:rPr>
          <w:snapToGrid w:val="0"/>
        </w:rPr>
        <w:t>.</w:t>
      </w:r>
      <w:r>
        <w:rPr>
          <w:snapToGrid w:val="0"/>
        </w:rPr>
        <w:tab/>
        <w:t>Gates to be shut</w:t>
      </w:r>
      <w:bookmarkEnd w:id="94"/>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95" w:name="_Toc101362465"/>
      <w:r>
        <w:rPr>
          <w:rStyle w:val="CharSectno"/>
        </w:rPr>
        <w:t>48</w:t>
      </w:r>
      <w:r>
        <w:rPr>
          <w:snapToGrid w:val="0"/>
        </w:rPr>
        <w:t>.</w:t>
      </w:r>
      <w:r>
        <w:rPr>
          <w:snapToGrid w:val="0"/>
        </w:rPr>
        <w:tab/>
        <w:t>Interference with lights</w:t>
      </w:r>
      <w:bookmarkEnd w:id="95"/>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96" w:name="_Toc101362466"/>
      <w:r>
        <w:rPr>
          <w:rStyle w:val="CharSectno"/>
        </w:rPr>
        <w:lastRenderedPageBreak/>
        <w:t>49</w:t>
      </w:r>
      <w:r>
        <w:rPr>
          <w:snapToGrid w:val="0"/>
        </w:rPr>
        <w:t>.</w:t>
      </w:r>
      <w:r>
        <w:rPr>
          <w:snapToGrid w:val="0"/>
        </w:rPr>
        <w:tab/>
        <w:t>Interference with or damaging property</w:t>
      </w:r>
      <w:bookmarkEnd w:id="9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97" w:name="_Toc101362467"/>
      <w:r>
        <w:rPr>
          <w:rStyle w:val="CharSectno"/>
        </w:rPr>
        <w:t>50</w:t>
      </w:r>
      <w:r>
        <w:rPr>
          <w:snapToGrid w:val="0"/>
        </w:rPr>
        <w:t>.</w:t>
      </w:r>
      <w:r>
        <w:rPr>
          <w:snapToGrid w:val="0"/>
        </w:rPr>
        <w:tab/>
        <w:t>Lost property</w:t>
      </w:r>
      <w:bookmarkEnd w:id="97"/>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98" w:name="_Toc101362468"/>
      <w:r>
        <w:rPr>
          <w:rStyle w:val="CharSectno"/>
        </w:rPr>
        <w:lastRenderedPageBreak/>
        <w:t>51</w:t>
      </w:r>
      <w:r>
        <w:rPr>
          <w:snapToGrid w:val="0"/>
        </w:rPr>
        <w:t>.</w:t>
      </w:r>
      <w:r>
        <w:rPr>
          <w:snapToGrid w:val="0"/>
        </w:rPr>
        <w:tab/>
        <w:t>Obstruction of officers, or premises</w:t>
      </w:r>
      <w:bookmarkEnd w:id="98"/>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99" w:name="_Toc101362469"/>
      <w:r>
        <w:rPr>
          <w:rStyle w:val="CharSectno"/>
        </w:rPr>
        <w:t>52</w:t>
      </w:r>
      <w:r>
        <w:rPr>
          <w:snapToGrid w:val="0"/>
        </w:rPr>
        <w:t>.</w:t>
      </w:r>
      <w:r>
        <w:rPr>
          <w:snapToGrid w:val="0"/>
        </w:rPr>
        <w:tab/>
        <w:t>Obstruction of or damage to jetties or premises</w:t>
      </w:r>
      <w:bookmarkEnd w:id="99"/>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lastRenderedPageBreak/>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100" w:name="_Toc101362470"/>
      <w:r>
        <w:rPr>
          <w:rStyle w:val="CharSectno"/>
        </w:rPr>
        <w:t>53</w:t>
      </w:r>
      <w:r>
        <w:rPr>
          <w:snapToGrid w:val="0"/>
        </w:rPr>
        <w:t>.</w:t>
      </w:r>
      <w:r>
        <w:rPr>
          <w:snapToGrid w:val="0"/>
        </w:rPr>
        <w:tab/>
        <w:t>Rubbish etc. not to be thrown</w:t>
      </w:r>
      <w:bookmarkEnd w:id="100"/>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101" w:name="_Toc101362471"/>
      <w:r>
        <w:rPr>
          <w:rStyle w:val="CharSectno"/>
        </w:rPr>
        <w:t>53A</w:t>
      </w:r>
      <w:r>
        <w:t>.</w:t>
      </w:r>
      <w:r>
        <w:tab/>
        <w:t>Charges for rubbish removal</w:t>
      </w:r>
      <w:bookmarkEnd w:id="101"/>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102" w:name="_Toc101362472"/>
      <w:r>
        <w:rPr>
          <w:rStyle w:val="CharSectno"/>
        </w:rPr>
        <w:t>54</w:t>
      </w:r>
      <w:r>
        <w:rPr>
          <w:snapToGrid w:val="0"/>
        </w:rPr>
        <w:t>.</w:t>
      </w:r>
      <w:r>
        <w:rPr>
          <w:snapToGrid w:val="0"/>
        </w:rPr>
        <w:tab/>
        <w:t>Sale of articles prohibited</w:t>
      </w:r>
      <w:bookmarkEnd w:id="102"/>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103" w:name="_Toc101362473"/>
      <w:r>
        <w:rPr>
          <w:rStyle w:val="CharSectno"/>
        </w:rPr>
        <w:t>55</w:t>
      </w:r>
      <w:r>
        <w:rPr>
          <w:snapToGrid w:val="0"/>
        </w:rPr>
        <w:t>.</w:t>
      </w:r>
      <w:r>
        <w:rPr>
          <w:snapToGrid w:val="0"/>
        </w:rPr>
        <w:tab/>
        <w:t>Smoking and loitering</w:t>
      </w:r>
      <w:bookmarkEnd w:id="103"/>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104" w:name="_Toc101362474"/>
      <w:r>
        <w:rPr>
          <w:rStyle w:val="CharSectno"/>
        </w:rPr>
        <w:lastRenderedPageBreak/>
        <w:t>56</w:t>
      </w:r>
      <w:r>
        <w:rPr>
          <w:snapToGrid w:val="0"/>
        </w:rPr>
        <w:t>.</w:t>
      </w:r>
      <w:r>
        <w:rPr>
          <w:snapToGrid w:val="0"/>
        </w:rPr>
        <w:tab/>
        <w:t>Trespassing</w:t>
      </w:r>
      <w:bookmarkEnd w:id="104"/>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105" w:name="_Toc101362475"/>
      <w:r>
        <w:rPr>
          <w:rStyle w:val="CharSectno"/>
        </w:rPr>
        <w:t>67A</w:t>
      </w:r>
      <w:r>
        <w:rPr>
          <w:snapToGrid w:val="0"/>
        </w:rPr>
        <w:t>.</w:t>
      </w:r>
      <w:r>
        <w:rPr>
          <w:snapToGrid w:val="0"/>
        </w:rPr>
        <w:tab/>
        <w:t>Conditions for construction and installation of pipelines</w:t>
      </w:r>
      <w:bookmarkEnd w:id="105"/>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 xml:space="preserve">When an existing pipeline is to be relaid or renewed, or any major repairs are to be effected, such pipeline or </w:t>
      </w:r>
      <w:r>
        <w:rPr>
          <w:snapToGrid w:val="0"/>
        </w:rPr>
        <w:lastRenderedPageBreak/>
        <w:t>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 xml:space="preserve">return valve at the seaward end of the pipeline may be dispensed with, if the distance from </w:t>
      </w:r>
      <w:r>
        <w:rPr>
          <w:snapToGrid w:val="0"/>
        </w:rPr>
        <w:lastRenderedPageBreak/>
        <w:t>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lastRenderedPageBreak/>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106" w:name="_Toc101362476"/>
      <w:r>
        <w:rPr>
          <w:rStyle w:val="CharSectno"/>
        </w:rPr>
        <w:t>67B</w:t>
      </w:r>
      <w:r>
        <w:rPr>
          <w:snapToGrid w:val="0"/>
        </w:rPr>
        <w:t>.</w:t>
      </w:r>
      <w:r>
        <w:rPr>
          <w:snapToGrid w:val="0"/>
        </w:rPr>
        <w:tab/>
        <w:t>Maintenance and operation of pipelines</w:t>
      </w:r>
      <w:bookmarkEnd w:id="106"/>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 xml:space="preserve">Underground pipelines between the wharf and the storage tanks shall be examined by the owner at </w:t>
      </w:r>
      <w:r>
        <w:rPr>
          <w:snapToGrid w:val="0"/>
        </w:rPr>
        <w:lastRenderedPageBreak/>
        <w:t>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 xml:space="preserve">Flexible hoses used in connection with the pumping of liquids derived from inflammable liquid, liquids derived from petroleum, coal or shale and liquids having a flash point less than 61°C to or from a vessel shall be tested under working conditions at intervals of not more than </w:t>
      </w:r>
      <w:r>
        <w:rPr>
          <w:snapToGrid w:val="0"/>
        </w:rPr>
        <w:lastRenderedPageBreak/>
        <w:t>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 xml:space="preserve">At the commencement of pumping of inflammable liquids having a flash point less than 61°C, and after each change of grade of liquid at which water clearance </w:t>
      </w:r>
      <w:r>
        <w:rPr>
          <w:snapToGrid w:val="0"/>
        </w:rPr>
        <w:lastRenderedPageBreak/>
        <w:t>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lastRenderedPageBreak/>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 xml:space="preserve">On completion of pumping operations pipelines outside storage installations and used for the transmission of </w:t>
      </w:r>
      <w:r>
        <w:rPr>
          <w:snapToGrid w:val="0"/>
        </w:rPr>
        <w:lastRenderedPageBreak/>
        <w:t>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lastRenderedPageBreak/>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107" w:name="_Toc101362477"/>
      <w:r>
        <w:rPr>
          <w:rStyle w:val="CharSectno"/>
        </w:rPr>
        <w:t>67D</w:t>
      </w:r>
      <w:r>
        <w:rPr>
          <w:snapToGrid w:val="0"/>
        </w:rPr>
        <w:t>.</w:t>
      </w:r>
      <w:r>
        <w:rPr>
          <w:snapToGrid w:val="0"/>
        </w:rPr>
        <w:tab/>
        <w:t>Penalty for failure to remove or amend pipeline</w:t>
      </w:r>
      <w:bookmarkEnd w:id="107"/>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108" w:name="_Toc101362478"/>
      <w:r>
        <w:rPr>
          <w:rStyle w:val="CharSectno"/>
        </w:rPr>
        <w:t>67DA</w:t>
      </w:r>
      <w:r>
        <w:t>.</w:t>
      </w:r>
      <w:r>
        <w:tab/>
        <w:t>Fuelling vessels at service jetties limited</w:t>
      </w:r>
      <w:bookmarkEnd w:id="108"/>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109" w:name="_Toc101362479"/>
      <w:r>
        <w:rPr>
          <w:rStyle w:val="CharSectno"/>
        </w:rPr>
        <w:lastRenderedPageBreak/>
        <w:t>67DC</w:t>
      </w:r>
      <w:r>
        <w:t>.</w:t>
      </w:r>
      <w:r>
        <w:tab/>
        <w:t>Controlling short term access to service jetty</w:t>
      </w:r>
      <w:bookmarkEnd w:id="109"/>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110" w:name="_Toc101351082"/>
      <w:bookmarkStart w:id="111" w:name="_Toc101351399"/>
      <w:bookmarkStart w:id="112" w:name="_Toc101362480"/>
      <w:r>
        <w:rPr>
          <w:rStyle w:val="CharDivNo"/>
        </w:rPr>
        <w:t>Division 11</w:t>
      </w:r>
      <w:r>
        <w:t> — </w:t>
      </w:r>
      <w:r>
        <w:rPr>
          <w:rStyle w:val="CharDivText"/>
        </w:rPr>
        <w:t>Burswood Jetty</w:t>
      </w:r>
      <w:bookmarkEnd w:id="110"/>
      <w:bookmarkEnd w:id="111"/>
      <w:bookmarkEnd w:id="112"/>
    </w:p>
    <w:p>
      <w:pPr>
        <w:pStyle w:val="Footnoteheading"/>
      </w:pPr>
      <w:r>
        <w:tab/>
        <w:t>[Heading inserted: SL 2020/128 r. 6.]</w:t>
      </w:r>
    </w:p>
    <w:p>
      <w:pPr>
        <w:pStyle w:val="Heading5"/>
      </w:pPr>
      <w:bookmarkStart w:id="113" w:name="_Toc101362481"/>
      <w:r>
        <w:rPr>
          <w:rStyle w:val="CharSectno"/>
        </w:rPr>
        <w:t>67DD</w:t>
      </w:r>
      <w:r>
        <w:t>.</w:t>
      </w:r>
      <w:r>
        <w:tab/>
        <w:t>Terms used</w:t>
      </w:r>
      <w:bookmarkEnd w:id="113"/>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tab/>
      </w:r>
      <w:r>
        <w:rPr>
          <w:rStyle w:val="CharDefText"/>
        </w:rPr>
        <w:t>item 1</w:t>
      </w:r>
      <w:r>
        <w:t xml:space="preserve">, </w:t>
      </w:r>
      <w:r>
        <w:rPr>
          <w:rStyle w:val="CharDefText"/>
        </w:rPr>
        <w:t>item 2</w:t>
      </w:r>
      <w:r>
        <w:t xml:space="preserve"> or </w:t>
      </w:r>
      <w:r>
        <w:rPr>
          <w:rStyle w:val="CharDefText"/>
        </w:rPr>
        <w:t>item 3</w:t>
      </w:r>
      <w:r>
        <w:t xml:space="preserve"> means the item with that designation in the Table to Schedule 1 clause 10A(2).</w:t>
      </w:r>
    </w:p>
    <w:p>
      <w:pPr>
        <w:pStyle w:val="Footnotesection"/>
      </w:pPr>
      <w:r>
        <w:tab/>
        <w:t>[Regulation 67DD inserted: SL 2020/128 r. 6.]</w:t>
      </w:r>
    </w:p>
    <w:p>
      <w:pPr>
        <w:pStyle w:val="Heading5"/>
      </w:pPr>
      <w:bookmarkStart w:id="114" w:name="_Toc101362482"/>
      <w:r>
        <w:rPr>
          <w:rStyle w:val="CharSectno"/>
        </w:rPr>
        <w:t>67DE</w:t>
      </w:r>
      <w:r>
        <w:t>.</w:t>
      </w:r>
      <w:r>
        <w:tab/>
        <w:t>Application</w:t>
      </w:r>
      <w:bookmarkEnd w:id="114"/>
    </w:p>
    <w:p>
      <w:pPr>
        <w:pStyle w:val="Subsection"/>
      </w:pPr>
      <w:r>
        <w:tab/>
      </w:r>
      <w:r>
        <w:tab/>
        <w:t>This Division applies to Burswood Jetty.</w:t>
      </w:r>
    </w:p>
    <w:p>
      <w:pPr>
        <w:pStyle w:val="Footnotesection"/>
      </w:pPr>
      <w:r>
        <w:tab/>
        <w:t>[Regulation 67DE inserted: SL 2020/128 r. 6.]</w:t>
      </w:r>
    </w:p>
    <w:p>
      <w:pPr>
        <w:pStyle w:val="Heading5"/>
      </w:pPr>
      <w:bookmarkStart w:id="115" w:name="_Toc101362483"/>
      <w:r>
        <w:rPr>
          <w:rStyle w:val="CharSectno"/>
        </w:rPr>
        <w:lastRenderedPageBreak/>
        <w:t>67DF</w:t>
      </w:r>
      <w:r>
        <w:t>.</w:t>
      </w:r>
      <w:r>
        <w:tab/>
        <w:t>Permit may be granted for exclusive use of Berth 1 at certain times</w:t>
      </w:r>
      <w:bookmarkEnd w:id="115"/>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116" w:name="_Toc101362484"/>
      <w:r>
        <w:rPr>
          <w:rStyle w:val="CharSectno"/>
        </w:rPr>
        <w:t>67DG</w:t>
      </w:r>
      <w:r>
        <w:t>.</w:t>
      </w:r>
      <w:r>
        <w:tab/>
        <w:t>Duration and conditions of, and payment for, Berth 1 permit</w:t>
      </w:r>
      <w:bookmarkEnd w:id="116"/>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annual payment under item 1 for a Berth 1 permit must be made in advance, unless the chief executive officer approves, in a particular case, quarterly payments in advance.</w:t>
      </w:r>
    </w:p>
    <w:p>
      <w:pPr>
        <w:pStyle w:val="Subsection"/>
      </w:pPr>
      <w:r>
        <w:lastRenderedPageBreak/>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pPr>
      <w:r>
        <w:tab/>
        <w:t>(5)</w:t>
      </w:r>
      <w:r>
        <w:tab/>
        <w:t>A person must not contravene a condition specified in a Berth 1 permit.</w:t>
      </w:r>
    </w:p>
    <w:p>
      <w:pPr>
        <w:pStyle w:val="Footnotesection"/>
      </w:pPr>
      <w:r>
        <w:tab/>
        <w:t>[Regulation 67DG inserted: SL 2020/128 r. 6.]</w:t>
      </w:r>
    </w:p>
    <w:p>
      <w:pPr>
        <w:pStyle w:val="Heading5"/>
      </w:pPr>
      <w:bookmarkStart w:id="117" w:name="_Toc101362485"/>
      <w:r>
        <w:rPr>
          <w:rStyle w:val="CharSectno"/>
        </w:rPr>
        <w:t>67DH</w:t>
      </w:r>
      <w:r>
        <w:t>.</w:t>
      </w:r>
      <w:r>
        <w:tab/>
        <w:t>Cancellation of Berth 1 permit</w:t>
      </w:r>
      <w:bookmarkEnd w:id="117"/>
    </w:p>
    <w:p>
      <w:pPr>
        <w:pStyle w:val="Subsection"/>
      </w:pPr>
      <w:r>
        <w:tab/>
      </w:r>
      <w:r>
        <w:tab/>
        <w:t xml:space="preserve">The Department may cancel a Berth 1 permit if — </w:t>
      </w:r>
    </w:p>
    <w:p>
      <w:pPr>
        <w:pStyle w:val="Indenta"/>
      </w:pPr>
      <w:r>
        <w:tab/>
        <w:t>(a)</w:t>
      </w:r>
      <w:r>
        <w:tab/>
        <w:t>a payment referred to in regulation 67DG(2) is not made in advance; or</w:t>
      </w:r>
    </w:p>
    <w:p>
      <w:pPr>
        <w:pStyle w:val="Indenta"/>
      </w:pPr>
      <w:r>
        <w:tab/>
        <w:t>(b)</w:t>
      </w:r>
      <w:r>
        <w:tab/>
        <w:t>the chief executive officer is satisfied that the exclusive operator no longer requires the exclusive use of Berth 1; or</w:t>
      </w:r>
    </w:p>
    <w:p>
      <w:pPr>
        <w:pStyle w:val="Indenta"/>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pPr>
      <w:r>
        <w:tab/>
        <w:t>(ii)</w:t>
      </w:r>
      <w:r>
        <w:tab/>
        <w:t>any of these regulations relating to the maintenance of good order or safety on or about a public jetty.</w:t>
      </w:r>
    </w:p>
    <w:p>
      <w:pPr>
        <w:pStyle w:val="Footnotesection"/>
      </w:pPr>
      <w:r>
        <w:tab/>
        <w:t>[Regulation 67DH inserted: SL 2020/128 r. 6.]</w:t>
      </w:r>
    </w:p>
    <w:p>
      <w:pPr>
        <w:pStyle w:val="Heading5"/>
      </w:pPr>
      <w:bookmarkStart w:id="118" w:name="_Toc101362486"/>
      <w:r>
        <w:rPr>
          <w:rStyle w:val="CharSectno"/>
        </w:rPr>
        <w:t>67DI</w:t>
      </w:r>
      <w:r>
        <w:t>.</w:t>
      </w:r>
      <w:r>
        <w:tab/>
        <w:t>Use of Berth 1 otherwise than under Berth 1 permit</w:t>
      </w:r>
      <w:bookmarkEnd w:id="118"/>
    </w:p>
    <w:p>
      <w:pPr>
        <w:pStyle w:val="Subsection"/>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pPr>
      <w:r>
        <w:lastRenderedPageBreak/>
        <w:tab/>
        <w:t>(2)</w:t>
      </w:r>
      <w:r>
        <w:tab/>
        <w:t xml:space="preserve">Subject to the payment of the relevant amount payable under item 2 or 3, a relevant vessel is authorised to use Berth 1 — </w:t>
      </w:r>
    </w:p>
    <w:p>
      <w:pPr>
        <w:pStyle w:val="Indenta"/>
      </w:pPr>
      <w:r>
        <w:tab/>
        <w:t>(a)</w:t>
      </w:r>
      <w:r>
        <w:tab/>
        <w:t xml:space="preserve">at any time other than — </w:t>
      </w:r>
    </w:p>
    <w:p>
      <w:pPr>
        <w:pStyle w:val="Indenti"/>
      </w:pPr>
      <w:r>
        <w:tab/>
        <w:t>(i)</w:t>
      </w:r>
      <w:r>
        <w:tab/>
        <w:t>during the authorised period; or</w:t>
      </w:r>
    </w:p>
    <w:p>
      <w:pPr>
        <w:pStyle w:val="Indenti"/>
      </w:pPr>
      <w:r>
        <w:tab/>
        <w:t>(ii)</w:t>
      </w:r>
      <w:r>
        <w:tab/>
        <w:t>at a time when the use of Berth 1 is required by the exclusive operator under regulation 67DF(2)(b);</w:t>
      </w:r>
    </w:p>
    <w:p>
      <w:pPr>
        <w:pStyle w:val="Indenta"/>
      </w:pPr>
      <w:r>
        <w:tab/>
      </w:r>
      <w:r>
        <w:tab/>
        <w:t>and</w:t>
      </w:r>
    </w:p>
    <w:p>
      <w:pPr>
        <w:pStyle w:val="Indenta"/>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119" w:name="_Toc101362487"/>
      <w:r>
        <w:rPr>
          <w:rStyle w:val="CharSectno"/>
        </w:rPr>
        <w:t>67DJ</w:t>
      </w:r>
      <w:r>
        <w:t>.</w:t>
      </w:r>
      <w:r>
        <w:tab/>
        <w:t>Use of Berth 2 and Berth 3</w:t>
      </w:r>
      <w:bookmarkEnd w:id="119"/>
    </w:p>
    <w:p>
      <w:pPr>
        <w:pStyle w:val="Subsection"/>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lastRenderedPageBreak/>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120" w:name="_Toc101362488"/>
      <w:r>
        <w:rPr>
          <w:rStyle w:val="CharSectno"/>
        </w:rPr>
        <w:t>67DK</w:t>
      </w:r>
      <w:r>
        <w:t>.</w:t>
      </w:r>
      <w:r>
        <w:tab/>
        <w:t>Temporary closure of Burswood Jetty or berth</w:t>
      </w:r>
      <w:bookmarkEnd w:id="120"/>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pPr>
      <w:r>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121" w:name="_Toc101351091"/>
      <w:bookmarkStart w:id="122" w:name="_Toc101351408"/>
      <w:bookmarkStart w:id="123" w:name="_Toc101362489"/>
      <w:r>
        <w:rPr>
          <w:rStyle w:val="CharPartNo"/>
        </w:rPr>
        <w:lastRenderedPageBreak/>
        <w:t>Part 2</w:t>
      </w:r>
      <w:r>
        <w:t> — </w:t>
      </w:r>
      <w:r>
        <w:rPr>
          <w:rStyle w:val="CharPartText"/>
        </w:rPr>
        <w:t>Regulations applying to jetties within the Port of Perth</w:t>
      </w:r>
      <w:bookmarkEnd w:id="121"/>
      <w:bookmarkEnd w:id="122"/>
      <w:bookmarkEnd w:id="123"/>
      <w:r>
        <w:rPr>
          <w:rStyle w:val="CharPartText"/>
        </w:rPr>
        <w:t xml:space="preserve"> </w:t>
      </w:r>
    </w:p>
    <w:p>
      <w:pPr>
        <w:pStyle w:val="Footnoteheading"/>
      </w:pPr>
      <w:r>
        <w:tab/>
        <w:t xml:space="preserve">[Heading inserted: Gazette 19 May 1989 p. 1494.] </w:t>
      </w:r>
    </w:p>
    <w:p>
      <w:pPr>
        <w:pStyle w:val="Heading3"/>
        <w:rPr>
          <w:snapToGrid w:val="0"/>
        </w:rPr>
      </w:pPr>
      <w:bookmarkStart w:id="124" w:name="_Toc101351092"/>
      <w:bookmarkStart w:id="125" w:name="_Toc101351409"/>
      <w:bookmarkStart w:id="126" w:name="_Toc101362490"/>
      <w:r>
        <w:rPr>
          <w:rStyle w:val="CharDivNo"/>
        </w:rPr>
        <w:t>Division 1</w:t>
      </w:r>
      <w:r>
        <w:rPr>
          <w:snapToGrid w:val="0"/>
        </w:rPr>
        <w:t> — </w:t>
      </w:r>
      <w:r>
        <w:rPr>
          <w:rStyle w:val="CharDivText"/>
        </w:rPr>
        <w:t>Application of this Part</w:t>
      </w:r>
      <w:bookmarkEnd w:id="124"/>
      <w:bookmarkEnd w:id="125"/>
      <w:bookmarkEnd w:id="126"/>
      <w:r>
        <w:rPr>
          <w:rStyle w:val="CharDivText"/>
        </w:rPr>
        <w:t xml:space="preserve"> </w:t>
      </w:r>
    </w:p>
    <w:p>
      <w:pPr>
        <w:pStyle w:val="Footnoteheading"/>
      </w:pPr>
      <w:r>
        <w:tab/>
        <w:t xml:space="preserve">[Heading inserted: Gazette 19 May 1989 p. 1494.] </w:t>
      </w:r>
    </w:p>
    <w:p>
      <w:pPr>
        <w:pStyle w:val="Heading5"/>
        <w:rPr>
          <w:snapToGrid w:val="0"/>
        </w:rPr>
      </w:pPr>
      <w:bookmarkStart w:id="127" w:name="_Toc101362491"/>
      <w:r>
        <w:rPr>
          <w:rStyle w:val="CharSectno"/>
        </w:rPr>
        <w:t>67E</w:t>
      </w:r>
      <w:r>
        <w:rPr>
          <w:snapToGrid w:val="0"/>
        </w:rPr>
        <w:t>.</w:t>
      </w:r>
      <w:r>
        <w:rPr>
          <w:snapToGrid w:val="0"/>
        </w:rPr>
        <w:tab/>
        <w:t>Application</w:t>
      </w:r>
      <w:bookmarkEnd w:id="127"/>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128" w:name="_Toc101351094"/>
      <w:bookmarkStart w:id="129" w:name="_Toc101351411"/>
      <w:bookmarkStart w:id="130" w:name="_Toc101362492"/>
      <w:r>
        <w:rPr>
          <w:rStyle w:val="CharDivNo"/>
        </w:rPr>
        <w:t>Division 2</w:t>
      </w:r>
      <w:r>
        <w:rPr>
          <w:snapToGrid w:val="0"/>
        </w:rPr>
        <w:t> — </w:t>
      </w:r>
      <w:r>
        <w:rPr>
          <w:rStyle w:val="CharDivText"/>
        </w:rPr>
        <w:t>Management and use of jetties</w:t>
      </w:r>
      <w:bookmarkEnd w:id="128"/>
      <w:bookmarkEnd w:id="129"/>
      <w:bookmarkEnd w:id="130"/>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131" w:name="_Toc101362493"/>
      <w:r>
        <w:rPr>
          <w:rStyle w:val="CharSectno"/>
        </w:rPr>
        <w:t>68</w:t>
      </w:r>
      <w:r>
        <w:rPr>
          <w:snapToGrid w:val="0"/>
        </w:rPr>
        <w:t>.</w:t>
      </w:r>
      <w:r>
        <w:rPr>
          <w:snapToGrid w:val="0"/>
        </w:rPr>
        <w:tab/>
        <w:t>Control of jetties</w:t>
      </w:r>
      <w:bookmarkEnd w:id="131"/>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132" w:name="_Toc101362494"/>
      <w:r>
        <w:rPr>
          <w:rStyle w:val="CharSectno"/>
        </w:rPr>
        <w:t>69</w:t>
      </w:r>
      <w:r>
        <w:rPr>
          <w:snapToGrid w:val="0"/>
        </w:rPr>
        <w:t>.</w:t>
      </w:r>
      <w:r>
        <w:rPr>
          <w:snapToGrid w:val="0"/>
        </w:rPr>
        <w:tab/>
        <w:t>Use of jetties</w:t>
      </w:r>
      <w:bookmarkEnd w:id="132"/>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133" w:name="_Toc101362495"/>
      <w:r>
        <w:rPr>
          <w:rStyle w:val="CharSectno"/>
        </w:rPr>
        <w:lastRenderedPageBreak/>
        <w:t>70</w:t>
      </w:r>
      <w:r>
        <w:rPr>
          <w:snapToGrid w:val="0"/>
        </w:rPr>
        <w:t>.</w:t>
      </w:r>
      <w:r>
        <w:rPr>
          <w:snapToGrid w:val="0"/>
        </w:rPr>
        <w:tab/>
        <w:t>Jetties may be closed</w:t>
      </w:r>
      <w:bookmarkEnd w:id="133"/>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134" w:name="_Toc101351098"/>
      <w:bookmarkStart w:id="135" w:name="_Toc101351415"/>
      <w:bookmarkStart w:id="136" w:name="_Toc101362496"/>
      <w:r>
        <w:rPr>
          <w:rStyle w:val="CharDivNo"/>
        </w:rPr>
        <w:t>Division 3</w:t>
      </w:r>
      <w:r>
        <w:rPr>
          <w:snapToGrid w:val="0"/>
        </w:rPr>
        <w:t> — </w:t>
      </w:r>
      <w:r>
        <w:rPr>
          <w:rStyle w:val="CharDivText"/>
        </w:rPr>
        <w:t>Mooring and berthing of vessels</w:t>
      </w:r>
      <w:bookmarkEnd w:id="134"/>
      <w:bookmarkEnd w:id="135"/>
      <w:bookmarkEnd w:id="136"/>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137" w:name="_Toc101362497"/>
      <w:r>
        <w:rPr>
          <w:rStyle w:val="CharSectno"/>
        </w:rPr>
        <w:t>71</w:t>
      </w:r>
      <w:r>
        <w:rPr>
          <w:snapToGrid w:val="0"/>
        </w:rPr>
        <w:t>.</w:t>
      </w:r>
      <w:r>
        <w:rPr>
          <w:snapToGrid w:val="0"/>
        </w:rPr>
        <w:tab/>
        <w:t>Permit required to moor etc. alongside jetty or buoy</w:t>
      </w:r>
      <w:bookmarkEnd w:id="137"/>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138" w:name="_Toc101362498"/>
      <w:r>
        <w:rPr>
          <w:rStyle w:val="CharSectno"/>
        </w:rPr>
        <w:t>72</w:t>
      </w:r>
      <w:r>
        <w:rPr>
          <w:snapToGrid w:val="0"/>
        </w:rPr>
        <w:t>.</w:t>
      </w:r>
      <w:r>
        <w:rPr>
          <w:snapToGrid w:val="0"/>
        </w:rPr>
        <w:tab/>
        <w:t>Duration of, and charges for, permits</w:t>
      </w:r>
      <w:bookmarkEnd w:id="138"/>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lastRenderedPageBreak/>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(ii)</w:t>
      </w:r>
      <w:r>
        <w:tab/>
        <w:t>by a recreational vessel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lastRenderedPageBreak/>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pPr>
        <w:pStyle w:val="Heading5"/>
        <w:rPr>
          <w:snapToGrid w:val="0"/>
        </w:rPr>
      </w:pPr>
      <w:bookmarkStart w:id="139" w:name="_Toc101362499"/>
      <w:r>
        <w:rPr>
          <w:rStyle w:val="CharSectno"/>
        </w:rPr>
        <w:t>73</w:t>
      </w:r>
      <w:r>
        <w:rPr>
          <w:snapToGrid w:val="0"/>
        </w:rPr>
        <w:t>.</w:t>
      </w:r>
      <w:r>
        <w:rPr>
          <w:snapToGrid w:val="0"/>
        </w:rPr>
        <w:tab/>
        <w:t>Permit for exclusive use of berth</w:t>
      </w:r>
      <w:bookmarkEnd w:id="139"/>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 xml:space="preserve">Any of the conditions specified in a permit issued under this regulation may be amended or varied by notice in writing served on the person in charge of the vessel subject to the permit or </w:t>
      </w:r>
      <w:r>
        <w:rPr>
          <w:snapToGrid w:val="0"/>
        </w:rPr>
        <w:lastRenderedPageBreak/>
        <w:t>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140" w:name="_Toc101362500"/>
      <w:r>
        <w:rPr>
          <w:rStyle w:val="CharSectno"/>
        </w:rPr>
        <w:t>74</w:t>
      </w:r>
      <w:r>
        <w:rPr>
          <w:snapToGrid w:val="0"/>
        </w:rPr>
        <w:t>.</w:t>
      </w:r>
      <w:r>
        <w:rPr>
          <w:snapToGrid w:val="0"/>
        </w:rPr>
        <w:tab/>
        <w:t>Manner of mooring vessels</w:t>
      </w:r>
      <w:bookmarkEnd w:id="140"/>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141" w:name="_Toc101362501"/>
      <w:r>
        <w:rPr>
          <w:rStyle w:val="CharSectno"/>
        </w:rPr>
        <w:t>75</w:t>
      </w:r>
      <w:r>
        <w:rPr>
          <w:snapToGrid w:val="0"/>
        </w:rPr>
        <w:t>.</w:t>
      </w:r>
      <w:r>
        <w:rPr>
          <w:snapToGrid w:val="0"/>
        </w:rPr>
        <w:tab/>
        <w:t>Vessels not to remain at jetties longer than necessary</w:t>
      </w:r>
      <w:bookmarkEnd w:id="141"/>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142" w:name="_Toc101362502"/>
      <w:r>
        <w:rPr>
          <w:rStyle w:val="CharSectno"/>
        </w:rPr>
        <w:t>76</w:t>
      </w:r>
      <w:r>
        <w:rPr>
          <w:snapToGrid w:val="0"/>
        </w:rPr>
        <w:t>.</w:t>
      </w:r>
      <w:r>
        <w:rPr>
          <w:snapToGrid w:val="0"/>
        </w:rPr>
        <w:tab/>
        <w:t>Mooring of rafts and boathouses</w:t>
      </w:r>
      <w:bookmarkEnd w:id="142"/>
      <w:r>
        <w:rPr>
          <w:snapToGrid w:val="0"/>
        </w:rPr>
        <w:t xml:space="preserve"> </w:t>
      </w:r>
    </w:p>
    <w:p>
      <w:pPr>
        <w:pStyle w:val="Subsection"/>
        <w:rPr>
          <w:snapToGrid w:val="0"/>
        </w:rPr>
      </w:pPr>
      <w:r>
        <w:rPr>
          <w:snapToGrid w:val="0"/>
        </w:rPr>
        <w:tab/>
      </w:r>
      <w:r>
        <w:rPr>
          <w:snapToGrid w:val="0"/>
        </w:rPr>
        <w:tab/>
        <w:t xml:space="preserve">No raft or boathouse shall be moored within 91 m of any public jetty overnight; nor shall any raft or boathouse be moored in the </w:t>
      </w:r>
      <w:r>
        <w:rPr>
          <w:snapToGrid w:val="0"/>
        </w:rPr>
        <w:lastRenderedPageBreak/>
        <w:t>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143" w:name="_Toc101362503"/>
      <w:r>
        <w:rPr>
          <w:rStyle w:val="CharSectno"/>
        </w:rPr>
        <w:t>77</w:t>
      </w:r>
      <w:r>
        <w:rPr>
          <w:snapToGrid w:val="0"/>
        </w:rPr>
        <w:t>.</w:t>
      </w:r>
      <w:r>
        <w:rPr>
          <w:snapToGrid w:val="0"/>
        </w:rPr>
        <w:tab/>
        <w:t>Vessels to be in charge of competent person</w:t>
      </w:r>
      <w:bookmarkEnd w:id="143"/>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144" w:name="_Toc101362504"/>
      <w:r>
        <w:rPr>
          <w:rStyle w:val="CharSectno"/>
        </w:rPr>
        <w:t>78</w:t>
      </w:r>
      <w:r>
        <w:rPr>
          <w:snapToGrid w:val="0"/>
        </w:rPr>
        <w:t>.</w:t>
      </w:r>
      <w:r>
        <w:rPr>
          <w:snapToGrid w:val="0"/>
        </w:rPr>
        <w:tab/>
        <w:t>Approaching jetties after sunset</w:t>
      </w:r>
      <w:bookmarkEnd w:id="144"/>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145" w:name="_Toc101362505"/>
      <w:r>
        <w:rPr>
          <w:rStyle w:val="CharSectno"/>
        </w:rPr>
        <w:t>78A</w:t>
      </w:r>
      <w:r>
        <w:t>.</w:t>
      </w:r>
      <w:r>
        <w:tab/>
        <w:t>Charges for sullage removal</w:t>
      </w:r>
      <w:bookmarkEnd w:id="145"/>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146" w:name="_Toc101351108"/>
      <w:bookmarkStart w:id="147" w:name="_Toc101351425"/>
      <w:bookmarkStart w:id="148" w:name="_Toc101362506"/>
      <w:r>
        <w:rPr>
          <w:rStyle w:val="CharDivNo"/>
        </w:rPr>
        <w:t>Division 4</w:t>
      </w:r>
      <w:r>
        <w:rPr>
          <w:snapToGrid w:val="0"/>
        </w:rPr>
        <w:t> — </w:t>
      </w:r>
      <w:r>
        <w:rPr>
          <w:rStyle w:val="CharDivText"/>
        </w:rPr>
        <w:t>Loading or discharging cargo</w:t>
      </w:r>
      <w:bookmarkEnd w:id="146"/>
      <w:bookmarkEnd w:id="147"/>
      <w:bookmarkEnd w:id="148"/>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149" w:name="_Toc101362507"/>
      <w:r>
        <w:rPr>
          <w:rStyle w:val="CharSectno"/>
        </w:rPr>
        <w:t>80</w:t>
      </w:r>
      <w:r>
        <w:rPr>
          <w:snapToGrid w:val="0"/>
        </w:rPr>
        <w:t>.</w:t>
      </w:r>
      <w:r>
        <w:rPr>
          <w:snapToGrid w:val="0"/>
        </w:rPr>
        <w:tab/>
        <w:t>Vessels loading or discharging</w:t>
      </w:r>
      <w:bookmarkEnd w:id="149"/>
      <w:r>
        <w:rPr>
          <w:snapToGrid w:val="0"/>
        </w:rPr>
        <w:t xml:space="preserve"> </w:t>
      </w:r>
    </w:p>
    <w:p>
      <w:pPr>
        <w:pStyle w:val="Subsection"/>
        <w:rPr>
          <w:snapToGrid w:val="0"/>
        </w:rPr>
      </w:pPr>
      <w:r>
        <w:rPr>
          <w:snapToGrid w:val="0"/>
        </w:rPr>
        <w:tab/>
      </w:r>
      <w:r>
        <w:rPr>
          <w:snapToGrid w:val="0"/>
        </w:rPr>
        <w:tab/>
        <w:t xml:space="preserve">No vessel loading or discharging cargo shall come alongside any public jetty until the cargo is ready to be loaded or vehicles are ready to receive delivery, in the case of a vessel discharging, and no vessel shall occupy a berth at any public jetty while </w:t>
      </w:r>
      <w:r>
        <w:rPr>
          <w:snapToGrid w:val="0"/>
        </w:rPr>
        <w:lastRenderedPageBreak/>
        <w:t>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150" w:name="_Toc101362508"/>
      <w:r>
        <w:rPr>
          <w:rStyle w:val="CharSectno"/>
        </w:rPr>
        <w:t>81</w:t>
      </w:r>
      <w:r>
        <w:rPr>
          <w:snapToGrid w:val="0"/>
        </w:rPr>
        <w:t>.</w:t>
      </w:r>
      <w:r>
        <w:rPr>
          <w:snapToGrid w:val="0"/>
        </w:rPr>
        <w:tab/>
        <w:t>Cargo to be removed</w:t>
      </w:r>
      <w:bookmarkEnd w:id="150"/>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151" w:name="_Toc101362509"/>
      <w:r>
        <w:rPr>
          <w:rStyle w:val="CharSectno"/>
        </w:rPr>
        <w:t>82</w:t>
      </w:r>
      <w:r>
        <w:rPr>
          <w:snapToGrid w:val="0"/>
        </w:rPr>
        <w:t>.</w:t>
      </w:r>
      <w:r>
        <w:rPr>
          <w:snapToGrid w:val="0"/>
        </w:rPr>
        <w:tab/>
        <w:t>Cargo not to remain on jetties overnight</w:t>
      </w:r>
      <w:bookmarkEnd w:id="151"/>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152" w:name="_Toc101362510"/>
      <w:r>
        <w:rPr>
          <w:rStyle w:val="CharSectno"/>
        </w:rPr>
        <w:lastRenderedPageBreak/>
        <w:t>83</w:t>
      </w:r>
      <w:r>
        <w:rPr>
          <w:snapToGrid w:val="0"/>
        </w:rPr>
        <w:t>.</w:t>
      </w:r>
      <w:r>
        <w:rPr>
          <w:snapToGrid w:val="0"/>
        </w:rPr>
        <w:tab/>
        <w:t>Explosives not to be handled without permission</w:t>
      </w:r>
      <w:bookmarkEnd w:id="152"/>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153" w:name="_Toc101362511"/>
      <w:r>
        <w:rPr>
          <w:rStyle w:val="CharSectno"/>
        </w:rPr>
        <w:t>84</w:t>
      </w:r>
      <w:r>
        <w:rPr>
          <w:snapToGrid w:val="0"/>
        </w:rPr>
        <w:t>.</w:t>
      </w:r>
      <w:r>
        <w:rPr>
          <w:snapToGrid w:val="0"/>
        </w:rPr>
        <w:tab/>
        <w:t>Manner of handling cargo</w:t>
      </w:r>
      <w:bookmarkEnd w:id="153"/>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154" w:name="_Toc101351114"/>
      <w:bookmarkStart w:id="155" w:name="_Toc101351431"/>
      <w:bookmarkStart w:id="156" w:name="_Toc101362512"/>
      <w:r>
        <w:rPr>
          <w:rStyle w:val="CharDivNo"/>
        </w:rPr>
        <w:t>Division 5</w:t>
      </w:r>
      <w:r>
        <w:rPr>
          <w:snapToGrid w:val="0"/>
        </w:rPr>
        <w:t> — </w:t>
      </w:r>
      <w:r>
        <w:rPr>
          <w:rStyle w:val="CharDivText"/>
        </w:rPr>
        <w:t>Navigation of vessels</w:t>
      </w:r>
      <w:bookmarkEnd w:id="154"/>
      <w:bookmarkEnd w:id="155"/>
      <w:bookmarkEnd w:id="156"/>
      <w:r>
        <w:rPr>
          <w:rStyle w:val="CharDivText"/>
        </w:rPr>
        <w:t xml:space="preserve"> </w:t>
      </w:r>
    </w:p>
    <w:p>
      <w:pPr>
        <w:pStyle w:val="Footnoteheading"/>
      </w:pPr>
      <w:r>
        <w:tab/>
        <w:t xml:space="preserve">[Heading inserted: Gazette 19 May 1989 p. 1494.] </w:t>
      </w:r>
    </w:p>
    <w:p>
      <w:pPr>
        <w:pStyle w:val="Heading5"/>
        <w:rPr>
          <w:snapToGrid w:val="0"/>
        </w:rPr>
      </w:pPr>
      <w:bookmarkStart w:id="157" w:name="_Toc101362513"/>
      <w:r>
        <w:rPr>
          <w:rStyle w:val="CharSectno"/>
        </w:rPr>
        <w:t>85</w:t>
      </w:r>
      <w:r>
        <w:rPr>
          <w:snapToGrid w:val="0"/>
        </w:rPr>
        <w:t>.</w:t>
      </w:r>
      <w:r>
        <w:rPr>
          <w:snapToGrid w:val="0"/>
        </w:rPr>
        <w:tab/>
        <w:t>Power vessels approaching jetties</w:t>
      </w:r>
      <w:bookmarkEnd w:id="157"/>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158" w:name="_Toc101351116"/>
      <w:bookmarkStart w:id="159" w:name="_Toc101351433"/>
      <w:bookmarkStart w:id="160" w:name="_Toc101362514"/>
      <w:r>
        <w:rPr>
          <w:rStyle w:val="CharDivNo"/>
        </w:rPr>
        <w:lastRenderedPageBreak/>
        <w:t>Division 6</w:t>
      </w:r>
      <w:r>
        <w:rPr>
          <w:snapToGrid w:val="0"/>
        </w:rPr>
        <w:t> — </w:t>
      </w:r>
      <w:r>
        <w:rPr>
          <w:rStyle w:val="CharDivText"/>
        </w:rPr>
        <w:t>Miscellaneous</w:t>
      </w:r>
      <w:bookmarkEnd w:id="158"/>
      <w:bookmarkEnd w:id="159"/>
      <w:bookmarkEnd w:id="160"/>
      <w:r>
        <w:rPr>
          <w:rStyle w:val="CharDivText"/>
        </w:rPr>
        <w:t xml:space="preserve"> </w:t>
      </w:r>
    </w:p>
    <w:p>
      <w:pPr>
        <w:pStyle w:val="Footnoteheading"/>
        <w:keepNext/>
      </w:pPr>
      <w:r>
        <w:tab/>
        <w:t xml:space="preserve">[Heading inserted: Gazette 19 May 1989 p. 1494.] </w:t>
      </w:r>
    </w:p>
    <w:p>
      <w:pPr>
        <w:pStyle w:val="Heading5"/>
        <w:rPr>
          <w:snapToGrid w:val="0"/>
        </w:rPr>
      </w:pPr>
      <w:bookmarkStart w:id="161" w:name="_Toc101362515"/>
      <w:r>
        <w:rPr>
          <w:rStyle w:val="CharSectno"/>
        </w:rPr>
        <w:t>86</w:t>
      </w:r>
      <w:r>
        <w:rPr>
          <w:snapToGrid w:val="0"/>
        </w:rPr>
        <w:t>.</w:t>
      </w:r>
      <w:r>
        <w:rPr>
          <w:snapToGrid w:val="0"/>
        </w:rPr>
        <w:tab/>
        <w:t>Bathing from jetties</w:t>
      </w:r>
      <w:bookmarkEnd w:id="161"/>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162" w:name="_Toc101362516"/>
      <w:r>
        <w:rPr>
          <w:rStyle w:val="CharSectno"/>
        </w:rPr>
        <w:t>87</w:t>
      </w:r>
      <w:r>
        <w:rPr>
          <w:snapToGrid w:val="0"/>
        </w:rPr>
        <w:t>.</w:t>
      </w:r>
      <w:r>
        <w:rPr>
          <w:snapToGrid w:val="0"/>
        </w:rPr>
        <w:tab/>
        <w:t>Damage to jetties</w:t>
      </w:r>
      <w:bookmarkEnd w:id="162"/>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163" w:name="_Toc101362517"/>
      <w:r>
        <w:rPr>
          <w:rStyle w:val="CharSectno"/>
        </w:rPr>
        <w:t>88</w:t>
      </w:r>
      <w:r>
        <w:rPr>
          <w:snapToGrid w:val="0"/>
        </w:rPr>
        <w:t>.</w:t>
      </w:r>
      <w:r>
        <w:rPr>
          <w:snapToGrid w:val="0"/>
        </w:rPr>
        <w:tab/>
        <w:t>Fishing from certain places prohibited</w:t>
      </w:r>
      <w:bookmarkEnd w:id="163"/>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164" w:name="_Toc101362518"/>
      <w:r>
        <w:rPr>
          <w:rStyle w:val="CharSectno"/>
        </w:rPr>
        <w:t>89</w:t>
      </w:r>
      <w:r>
        <w:rPr>
          <w:snapToGrid w:val="0"/>
        </w:rPr>
        <w:t>.</w:t>
      </w:r>
      <w:r>
        <w:rPr>
          <w:snapToGrid w:val="0"/>
        </w:rPr>
        <w:tab/>
        <w:t>Fishing nets on jetties</w:t>
      </w:r>
      <w:bookmarkEnd w:id="164"/>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165" w:name="_Toc101362519"/>
      <w:r>
        <w:rPr>
          <w:rStyle w:val="CharSectno"/>
        </w:rPr>
        <w:lastRenderedPageBreak/>
        <w:t>90</w:t>
      </w:r>
      <w:r>
        <w:rPr>
          <w:snapToGrid w:val="0"/>
        </w:rPr>
        <w:t>.</w:t>
      </w:r>
      <w:r>
        <w:rPr>
          <w:snapToGrid w:val="0"/>
        </w:rPr>
        <w:tab/>
        <w:t>Gangways to be provided</w:t>
      </w:r>
      <w:bookmarkEnd w:id="16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166" w:name="_Toc101362520"/>
      <w:r>
        <w:rPr>
          <w:rStyle w:val="CharSectno"/>
        </w:rPr>
        <w:t>91</w:t>
      </w:r>
      <w:r>
        <w:rPr>
          <w:snapToGrid w:val="0"/>
        </w:rPr>
        <w:t>.</w:t>
      </w:r>
      <w:r>
        <w:rPr>
          <w:snapToGrid w:val="0"/>
        </w:rPr>
        <w:tab/>
        <w:t>Interference with jetties or approaches</w:t>
      </w:r>
      <w:bookmarkEnd w:id="16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167" w:name="_Toc101362521"/>
      <w:r>
        <w:rPr>
          <w:rStyle w:val="CharSectno"/>
        </w:rPr>
        <w:t>92</w:t>
      </w:r>
      <w:r>
        <w:rPr>
          <w:snapToGrid w:val="0"/>
        </w:rPr>
        <w:t>.</w:t>
      </w:r>
      <w:r>
        <w:rPr>
          <w:snapToGrid w:val="0"/>
        </w:rPr>
        <w:tab/>
        <w:t>Lifebuoys on jetties</w:t>
      </w:r>
      <w:bookmarkEnd w:id="167"/>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168" w:name="_Toc101362522"/>
      <w:r>
        <w:rPr>
          <w:rStyle w:val="CharSectno"/>
        </w:rPr>
        <w:t>93</w:t>
      </w:r>
      <w:r>
        <w:rPr>
          <w:snapToGrid w:val="0"/>
        </w:rPr>
        <w:t>.</w:t>
      </w:r>
      <w:r>
        <w:rPr>
          <w:snapToGrid w:val="0"/>
        </w:rPr>
        <w:tab/>
        <w:t>Obstruction of jetties or officers</w:t>
      </w:r>
      <w:bookmarkEnd w:id="168"/>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169" w:name="_Toc101362523"/>
      <w:r>
        <w:rPr>
          <w:rStyle w:val="CharSectno"/>
        </w:rPr>
        <w:lastRenderedPageBreak/>
        <w:t>94</w:t>
      </w:r>
      <w:r>
        <w:rPr>
          <w:snapToGrid w:val="0"/>
        </w:rPr>
        <w:t>.</w:t>
      </w:r>
      <w:r>
        <w:rPr>
          <w:snapToGrid w:val="0"/>
        </w:rPr>
        <w:tab/>
        <w:t>Rubbish not to be thrown in river etc.</w:t>
      </w:r>
      <w:bookmarkEnd w:id="169"/>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170" w:name="_Toc101351126"/>
      <w:bookmarkStart w:id="171" w:name="_Toc101351443"/>
      <w:bookmarkStart w:id="172" w:name="_Toc101362524"/>
      <w:r>
        <w:rPr>
          <w:rStyle w:val="CharPartNo"/>
        </w:rPr>
        <w:lastRenderedPageBreak/>
        <w:t>Part 3</w:t>
      </w:r>
      <w:r>
        <w:t> — </w:t>
      </w:r>
      <w:r>
        <w:rPr>
          <w:rStyle w:val="CharPartText"/>
        </w:rPr>
        <w:t>Special provisions applying at particular ports</w:t>
      </w:r>
      <w:bookmarkEnd w:id="170"/>
      <w:bookmarkEnd w:id="171"/>
      <w:bookmarkEnd w:id="172"/>
      <w:r>
        <w:rPr>
          <w:rStyle w:val="CharPartText"/>
        </w:rPr>
        <w:t xml:space="preserve"> </w:t>
      </w:r>
    </w:p>
    <w:p>
      <w:pPr>
        <w:pStyle w:val="Footnoteheading"/>
      </w:pPr>
      <w:r>
        <w:tab/>
        <w:t xml:space="preserve">[Heading inserted: Gazette 19 May 1989 p. 1494.] </w:t>
      </w:r>
    </w:p>
    <w:p>
      <w:pPr>
        <w:pStyle w:val="Heading3"/>
        <w:rPr>
          <w:snapToGrid w:val="0"/>
        </w:rPr>
      </w:pPr>
      <w:bookmarkStart w:id="173" w:name="_Toc101351127"/>
      <w:bookmarkStart w:id="174" w:name="_Toc101351444"/>
      <w:bookmarkStart w:id="175" w:name="_Toc101362525"/>
      <w:r>
        <w:rPr>
          <w:rStyle w:val="CharDivNo"/>
        </w:rPr>
        <w:t>Division 1</w:t>
      </w:r>
      <w:r>
        <w:rPr>
          <w:snapToGrid w:val="0"/>
        </w:rPr>
        <w:t> — </w:t>
      </w:r>
      <w:r>
        <w:rPr>
          <w:rStyle w:val="CharDivText"/>
        </w:rPr>
        <w:t>Use of slipways</w:t>
      </w:r>
      <w:bookmarkEnd w:id="173"/>
      <w:bookmarkEnd w:id="174"/>
      <w:bookmarkEnd w:id="175"/>
      <w:r>
        <w:rPr>
          <w:rStyle w:val="CharDivText"/>
        </w:rPr>
        <w:t xml:space="preserve"> </w:t>
      </w:r>
    </w:p>
    <w:p>
      <w:pPr>
        <w:pStyle w:val="Footnoteheading"/>
      </w:pPr>
      <w:r>
        <w:tab/>
        <w:t xml:space="preserve">[Heading inserted: Gazette 19 May 1989 p. 1494.] </w:t>
      </w:r>
    </w:p>
    <w:p>
      <w:pPr>
        <w:pStyle w:val="Heading5"/>
      </w:pPr>
      <w:bookmarkStart w:id="176" w:name="_Toc101362526"/>
      <w:r>
        <w:rPr>
          <w:rStyle w:val="CharSectno"/>
        </w:rPr>
        <w:t>95</w:t>
      </w:r>
      <w:r>
        <w:t>.</w:t>
      </w:r>
      <w:r>
        <w:tab/>
        <w:t>Management and control of departmental slipways</w:t>
      </w:r>
      <w:bookmarkEnd w:id="176"/>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177" w:name="_Toc101362527"/>
      <w:r>
        <w:rPr>
          <w:rStyle w:val="CharSectno"/>
        </w:rPr>
        <w:t>95A</w:t>
      </w:r>
      <w:r>
        <w:t>.</w:t>
      </w:r>
      <w:r>
        <w:tab/>
        <w:t>Use of slipway</w:t>
      </w:r>
      <w:bookmarkEnd w:id="177"/>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178" w:name="_Toc101362528"/>
      <w:r>
        <w:rPr>
          <w:rStyle w:val="CharSectno"/>
        </w:rPr>
        <w:t>96</w:t>
      </w:r>
      <w:r>
        <w:rPr>
          <w:snapToGrid w:val="0"/>
        </w:rPr>
        <w:t>.</w:t>
      </w:r>
      <w:r>
        <w:rPr>
          <w:snapToGrid w:val="0"/>
        </w:rPr>
        <w:tab/>
        <w:t>Charges for use of slipway</w:t>
      </w:r>
      <w:bookmarkEnd w:id="178"/>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w:t>
      </w:r>
      <w:r>
        <w:lastRenderedPageBreak/>
        <w:t xml:space="preserve">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79" w:name="_Toc101362529"/>
      <w:r>
        <w:rPr>
          <w:rStyle w:val="CharSectno"/>
        </w:rPr>
        <w:t>97</w:t>
      </w:r>
      <w:r>
        <w:rPr>
          <w:snapToGrid w:val="0"/>
        </w:rPr>
        <w:t>.</w:t>
      </w:r>
      <w:r>
        <w:rPr>
          <w:snapToGrid w:val="0"/>
        </w:rPr>
        <w:tab/>
        <w:t>Government vessels may take precedence</w:t>
      </w:r>
      <w:bookmarkEnd w:id="179"/>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180" w:name="_Toc101362530"/>
      <w:r>
        <w:rPr>
          <w:rStyle w:val="CharSectno"/>
        </w:rPr>
        <w:t>98</w:t>
      </w:r>
      <w:r>
        <w:rPr>
          <w:snapToGrid w:val="0"/>
        </w:rPr>
        <w:t>.</w:t>
      </w:r>
      <w:r>
        <w:rPr>
          <w:snapToGrid w:val="0"/>
        </w:rPr>
        <w:tab/>
        <w:t>Vessels may forfeit their turn</w:t>
      </w:r>
      <w:bookmarkEnd w:id="180"/>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181" w:name="_Toc101362531"/>
      <w:r>
        <w:rPr>
          <w:rStyle w:val="CharSectno"/>
        </w:rPr>
        <w:t>99</w:t>
      </w:r>
      <w:r>
        <w:rPr>
          <w:snapToGrid w:val="0"/>
        </w:rPr>
        <w:t>.</w:t>
      </w:r>
      <w:r>
        <w:rPr>
          <w:snapToGrid w:val="0"/>
        </w:rPr>
        <w:tab/>
        <w:t>Department will not undertake repairs etc.</w:t>
      </w:r>
      <w:bookmarkEnd w:id="181"/>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182" w:name="_Toc101362532"/>
      <w:r>
        <w:rPr>
          <w:rStyle w:val="CharSectno"/>
        </w:rPr>
        <w:lastRenderedPageBreak/>
        <w:t>100</w:t>
      </w:r>
      <w:r>
        <w:rPr>
          <w:snapToGrid w:val="0"/>
        </w:rPr>
        <w:t>.</w:t>
      </w:r>
      <w:r>
        <w:rPr>
          <w:snapToGrid w:val="0"/>
        </w:rPr>
        <w:tab/>
        <w:t>Department not responsible for damage to vessel when in use of slip</w:t>
      </w:r>
      <w:bookmarkEnd w:id="182"/>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183" w:name="_Toc101362533"/>
      <w:r>
        <w:rPr>
          <w:rStyle w:val="CharSectno"/>
        </w:rPr>
        <w:t>101</w:t>
      </w:r>
      <w:r>
        <w:rPr>
          <w:snapToGrid w:val="0"/>
        </w:rPr>
        <w:t>.</w:t>
      </w:r>
      <w:r>
        <w:rPr>
          <w:snapToGrid w:val="0"/>
        </w:rPr>
        <w:tab/>
        <w:t>Duties of owner or master using slipway</w:t>
      </w:r>
      <w:bookmarkEnd w:id="183"/>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184" w:name="_Toc101362534"/>
      <w:r>
        <w:rPr>
          <w:rStyle w:val="CharSectno"/>
        </w:rPr>
        <w:t>101A</w:t>
      </w:r>
      <w:r>
        <w:rPr>
          <w:snapToGrid w:val="0"/>
        </w:rPr>
        <w:t>.</w:t>
      </w:r>
      <w:r>
        <w:rPr>
          <w:snapToGrid w:val="0"/>
        </w:rPr>
        <w:tab/>
        <w:t>Slipping of more than one vessel at a time</w:t>
      </w:r>
      <w:bookmarkEnd w:id="184"/>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185" w:name="_Toc101362535"/>
      <w:r>
        <w:rPr>
          <w:rStyle w:val="CharSectno"/>
        </w:rPr>
        <w:t>101B</w:t>
      </w:r>
      <w:r>
        <w:rPr>
          <w:snapToGrid w:val="0"/>
        </w:rPr>
        <w:t>.</w:t>
      </w:r>
      <w:r>
        <w:rPr>
          <w:snapToGrid w:val="0"/>
        </w:rPr>
        <w:tab/>
        <w:t>Dispute procedure</w:t>
      </w:r>
      <w:bookmarkEnd w:id="185"/>
      <w:r>
        <w:rPr>
          <w:snapToGrid w:val="0"/>
        </w:rPr>
        <w:t xml:space="preserve"> </w:t>
      </w:r>
    </w:p>
    <w:p>
      <w:pPr>
        <w:pStyle w:val="Subsection"/>
        <w:spacing w:before="120"/>
        <w:rPr>
          <w:snapToGrid w:val="0"/>
        </w:rPr>
      </w:pPr>
      <w:r>
        <w:rPr>
          <w:snapToGrid w:val="0"/>
        </w:rPr>
        <w:tab/>
      </w:r>
      <w:r>
        <w:rPr>
          <w:snapToGrid w:val="0"/>
        </w:rPr>
        <w:tab/>
        <w:t xml:space="preserve">If any dispute shall arise between the owner or master and the Department, such dispute shall be referred to and be determined </w:t>
      </w:r>
      <w:r>
        <w:rPr>
          <w:snapToGrid w:val="0"/>
        </w:rPr>
        <w:lastRenderedPageBreak/>
        <w:t>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186" w:name="_Toc101351138"/>
      <w:bookmarkStart w:id="187" w:name="_Toc101351455"/>
      <w:bookmarkStart w:id="188" w:name="_Toc101362536"/>
      <w:r>
        <w:rPr>
          <w:rStyle w:val="CharDivNo"/>
        </w:rPr>
        <w:t>Division 2</w:t>
      </w:r>
      <w:r>
        <w:rPr>
          <w:snapToGrid w:val="0"/>
        </w:rPr>
        <w:t> — </w:t>
      </w:r>
      <w:r>
        <w:rPr>
          <w:rStyle w:val="CharDivText"/>
        </w:rPr>
        <w:t>Use of mooring springs</w:t>
      </w:r>
      <w:bookmarkEnd w:id="186"/>
      <w:bookmarkEnd w:id="187"/>
      <w:bookmarkEnd w:id="188"/>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189" w:name="_Toc101362537"/>
      <w:r>
        <w:rPr>
          <w:rStyle w:val="CharSectno"/>
        </w:rPr>
        <w:t>105F</w:t>
      </w:r>
      <w:r>
        <w:rPr>
          <w:snapToGrid w:val="0"/>
        </w:rPr>
        <w:t>.</w:t>
      </w:r>
      <w:r>
        <w:rPr>
          <w:snapToGrid w:val="0"/>
        </w:rPr>
        <w:tab/>
        <w:t>Approaching bollard or jetty to which mooring spring or rope fastened</w:t>
      </w:r>
      <w:bookmarkEnd w:id="189"/>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190" w:name="_Toc101351140"/>
      <w:bookmarkStart w:id="191" w:name="_Toc101351457"/>
      <w:bookmarkStart w:id="192" w:name="_Toc101362538"/>
      <w:r>
        <w:rPr>
          <w:rStyle w:val="CharPartNo"/>
        </w:rPr>
        <w:lastRenderedPageBreak/>
        <w:t>Part 3A</w:t>
      </w:r>
      <w:r>
        <w:rPr>
          <w:b w:val="0"/>
        </w:rPr>
        <w:t> </w:t>
      </w:r>
      <w:r>
        <w:t>—</w:t>
      </w:r>
      <w:r>
        <w:rPr>
          <w:b w:val="0"/>
        </w:rPr>
        <w:t> </w:t>
      </w:r>
      <w:r>
        <w:rPr>
          <w:rStyle w:val="CharPartText"/>
        </w:rPr>
        <w:t>Licence fees</w:t>
      </w:r>
      <w:bookmarkEnd w:id="190"/>
      <w:bookmarkEnd w:id="191"/>
      <w:bookmarkEnd w:id="192"/>
    </w:p>
    <w:p>
      <w:pPr>
        <w:pStyle w:val="Footnoteheading"/>
      </w:pPr>
      <w:r>
        <w:tab/>
        <w:t>[Heading inserted: SL 2020/96 r. 5.]</w:t>
      </w:r>
    </w:p>
    <w:p>
      <w:pPr>
        <w:pStyle w:val="Heading3"/>
      </w:pPr>
      <w:bookmarkStart w:id="193" w:name="_Toc101351141"/>
      <w:bookmarkStart w:id="194" w:name="_Toc101351458"/>
      <w:bookmarkStart w:id="195" w:name="_Toc101362539"/>
      <w:r>
        <w:rPr>
          <w:rStyle w:val="CharDivNo"/>
        </w:rPr>
        <w:t>Division 1</w:t>
      </w:r>
      <w:r>
        <w:t> — </w:t>
      </w:r>
      <w:r>
        <w:rPr>
          <w:rStyle w:val="CharDivText"/>
        </w:rPr>
        <w:t>Preliminary</w:t>
      </w:r>
      <w:bookmarkEnd w:id="193"/>
      <w:bookmarkEnd w:id="194"/>
      <w:bookmarkEnd w:id="195"/>
    </w:p>
    <w:p>
      <w:pPr>
        <w:pStyle w:val="Footnoteheading"/>
      </w:pPr>
      <w:r>
        <w:tab/>
        <w:t>[Heading inserted: SL 2020/96 r. 5.]</w:t>
      </w:r>
    </w:p>
    <w:p>
      <w:pPr>
        <w:pStyle w:val="Heading5"/>
      </w:pPr>
      <w:bookmarkStart w:id="196" w:name="_Toc101362540"/>
      <w:r>
        <w:rPr>
          <w:rStyle w:val="CharSectno"/>
        </w:rPr>
        <w:t>105J</w:t>
      </w:r>
      <w:r>
        <w:t>.</w:t>
      </w:r>
      <w:r>
        <w:tab/>
        <w:t>Terms used</w:t>
      </w:r>
      <w:bookmarkEnd w:id="196"/>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lastRenderedPageBreak/>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197" w:name="_Toc101362541"/>
      <w:r>
        <w:rPr>
          <w:rStyle w:val="CharSectno"/>
        </w:rPr>
        <w:t>105K</w:t>
      </w:r>
      <w:r>
        <w:t>.</w:t>
      </w:r>
      <w:r>
        <w:tab/>
        <w:t>Obligation to pay licence fees</w:t>
      </w:r>
      <w:bookmarkEnd w:id="197"/>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lastRenderedPageBreak/>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 xml:space="preserve">A licensee must pay any fee prescribed for their licence to the chief executive officer at the time the fee is payable in </w:t>
      </w:r>
      <w:r>
        <w:lastRenderedPageBreak/>
        <w:t>accordance with subregulation (3), (4), (5) or (6) (as the case requires).</w:t>
      </w:r>
    </w:p>
    <w:p>
      <w:pPr>
        <w:pStyle w:val="Footnotesection"/>
      </w:pPr>
      <w:r>
        <w:tab/>
        <w:t>[Regulation 105K inserted: SL 2020/96 r. 5.]</w:t>
      </w:r>
    </w:p>
    <w:p>
      <w:pPr>
        <w:pStyle w:val="Heading3"/>
      </w:pPr>
      <w:bookmarkStart w:id="198" w:name="_Toc101351144"/>
      <w:bookmarkStart w:id="199" w:name="_Toc101351461"/>
      <w:bookmarkStart w:id="200" w:name="_Toc101362542"/>
      <w:r>
        <w:rPr>
          <w:rStyle w:val="CharDivNo"/>
        </w:rPr>
        <w:t>Division 2</w:t>
      </w:r>
      <w:r>
        <w:t> — </w:t>
      </w:r>
      <w:r>
        <w:rPr>
          <w:rStyle w:val="CharDivText"/>
        </w:rPr>
        <w:t>Prescribed licence fees</w:t>
      </w:r>
      <w:bookmarkEnd w:id="198"/>
      <w:bookmarkEnd w:id="199"/>
      <w:bookmarkEnd w:id="200"/>
    </w:p>
    <w:p>
      <w:pPr>
        <w:pStyle w:val="Footnoteheading"/>
      </w:pPr>
      <w:r>
        <w:tab/>
        <w:t>[Heading inserted: SL 2020/96 r. 5.]</w:t>
      </w:r>
    </w:p>
    <w:p>
      <w:pPr>
        <w:pStyle w:val="Heading5"/>
      </w:pPr>
      <w:bookmarkStart w:id="201" w:name="_Toc101362543"/>
      <w:r>
        <w:rPr>
          <w:rStyle w:val="CharSectno"/>
        </w:rPr>
        <w:t>105L</w:t>
      </w:r>
      <w:r>
        <w:t>.</w:t>
      </w:r>
      <w:r>
        <w:tab/>
        <w:t>Private licence for certain type of ramp on freehold land</w:t>
      </w:r>
      <w:bookmarkEnd w:id="201"/>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pPr>
      <w:r>
        <w:tab/>
        <w:t>(2)</w:t>
      </w:r>
      <w:r>
        <w:tab/>
        <w:t xml:space="preserve">The following fees are prescribed for a private licence to which this regulation applies — </w:t>
      </w:r>
    </w:p>
    <w:p>
      <w:pPr>
        <w:pStyle w:val="Indenta"/>
      </w:pPr>
      <w:r>
        <w:tab/>
        <w:t>(a)</w:t>
      </w:r>
      <w:r>
        <w:tab/>
        <w:t>a new licence fee of $143.40;</w:t>
      </w:r>
    </w:p>
    <w:p>
      <w:pPr>
        <w:pStyle w:val="Indenta"/>
      </w:pPr>
      <w:r>
        <w:tab/>
        <w:t>(b)</w:t>
      </w:r>
      <w:r>
        <w:tab/>
        <w:t>a replacement licence fee of $143.40;</w:t>
      </w:r>
    </w:p>
    <w:p>
      <w:pPr>
        <w:pStyle w:val="Indenta"/>
      </w:pPr>
      <w:r>
        <w:tab/>
        <w:t>(c)</w:t>
      </w:r>
      <w:r>
        <w:tab/>
        <w:t>an amended licence fee of $139.20;</w:t>
      </w:r>
    </w:p>
    <w:p>
      <w:pPr>
        <w:pStyle w:val="Indenta"/>
      </w:pPr>
      <w:r>
        <w:tab/>
        <w:t>(d)</w:t>
      </w:r>
      <w:r>
        <w:tab/>
        <w:t>an annual licence fee of $48.45.</w:t>
      </w:r>
    </w:p>
    <w:p>
      <w:pPr>
        <w:pStyle w:val="Footnotesection"/>
      </w:pPr>
      <w:r>
        <w:tab/>
        <w:t>[Regulation 105L inserted: SL 2020/96 r. 5; amended: SL 2021/68 r. 8.]</w:t>
      </w:r>
    </w:p>
    <w:p>
      <w:pPr>
        <w:pStyle w:val="Heading5"/>
      </w:pPr>
      <w:bookmarkStart w:id="202" w:name="_Toc101362544"/>
      <w:r>
        <w:rPr>
          <w:rStyle w:val="CharSectno"/>
        </w:rPr>
        <w:t>105M</w:t>
      </w:r>
      <w:r>
        <w:t>.</w:t>
      </w:r>
      <w:r>
        <w:tab/>
        <w:t>Private licence for jetty not used for business purposes</w:t>
      </w:r>
      <w:bookmarkEnd w:id="202"/>
    </w:p>
    <w:p>
      <w:pPr>
        <w:pStyle w:val="Subsection"/>
      </w:pPr>
      <w:r>
        <w:tab/>
        <w:t>(1)</w:t>
      </w:r>
      <w:r>
        <w:tab/>
        <w:t xml:space="preserve">This regulation applies to a private licence if — </w:t>
      </w:r>
    </w:p>
    <w:p>
      <w:pPr>
        <w:pStyle w:val="Indenta"/>
      </w:pPr>
      <w:r>
        <w:tab/>
        <w:t>(a)</w:t>
      </w:r>
      <w:r>
        <w:tab/>
        <w:t xml:space="preserve">the licence is none of the following — </w:t>
      </w:r>
    </w:p>
    <w:p>
      <w:pPr>
        <w:pStyle w:val="Indenti"/>
      </w:pPr>
      <w:r>
        <w:tab/>
        <w:t>(i)</w:t>
      </w:r>
      <w:r>
        <w:tab/>
        <w:t>a business licence;</w:t>
      </w:r>
    </w:p>
    <w:p>
      <w:pPr>
        <w:pStyle w:val="Indenti"/>
      </w:pPr>
      <w:r>
        <w:lastRenderedPageBreak/>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pPr>
      <w:r>
        <w:tab/>
        <w:t>(2)</w:t>
      </w:r>
      <w:r>
        <w:tab/>
        <w:t xml:space="preserve">Subject to subregulations (3) and (4), the following fees are prescribed for a private licence to which this regulation applies — </w:t>
      </w:r>
    </w:p>
    <w:p>
      <w:pPr>
        <w:pStyle w:val="Indenta"/>
      </w:pPr>
      <w:r>
        <w:tab/>
        <w:t>(a)</w:t>
      </w:r>
      <w:r>
        <w:tab/>
        <w:t>a new licence fee of $646.10;</w:t>
      </w:r>
    </w:p>
    <w:p>
      <w:pPr>
        <w:pStyle w:val="Indenta"/>
      </w:pPr>
      <w:r>
        <w:tab/>
        <w:t>(b)</w:t>
      </w:r>
      <w:r>
        <w:tab/>
        <w:t>a replacement licence fee of $417.60;</w:t>
      </w:r>
    </w:p>
    <w:p>
      <w:pPr>
        <w:pStyle w:val="Indenta"/>
      </w:pPr>
      <w:r>
        <w:tab/>
        <w:t>(c)</w:t>
      </w:r>
      <w:r>
        <w:tab/>
        <w:t>an amended licence fee of $139.20;</w:t>
      </w:r>
    </w:p>
    <w:p>
      <w:pPr>
        <w:pStyle w:val="Indenta"/>
      </w:pPr>
      <w:r>
        <w:tab/>
        <w:t>(d)</w:t>
      </w:r>
      <w:r>
        <w:tab/>
        <w:t>an annual licence fee of $147.55.</w:t>
      </w:r>
    </w:p>
    <w:p>
      <w:pPr>
        <w:pStyle w:val="Subsection"/>
      </w:pPr>
      <w:r>
        <w:tab/>
        <w:t>(3)</w:t>
      </w:r>
      <w:r>
        <w:tab/>
        <w:t>Subregulation (4) applies if 2 separate private licences to which this regulation applies are, or will be, in force concurrently in relation to the same jetty.</w:t>
      </w:r>
    </w:p>
    <w:p>
      <w:pPr>
        <w:pStyle w:val="Subsection"/>
      </w:pPr>
      <w:r>
        <w:tab/>
        <w:t>(4)</w:t>
      </w:r>
      <w:r>
        <w:tab/>
        <w:t xml:space="preserve">The following fees are prescribed for each private licence — </w:t>
      </w:r>
    </w:p>
    <w:p>
      <w:pPr>
        <w:pStyle w:val="Indenta"/>
      </w:pPr>
      <w:r>
        <w:tab/>
        <w:t>(a)</w:t>
      </w:r>
      <w:r>
        <w:tab/>
        <w:t>a new licence fee of $574.90;</w:t>
      </w:r>
    </w:p>
    <w:p>
      <w:pPr>
        <w:pStyle w:val="Indenta"/>
      </w:pPr>
      <w:r>
        <w:tab/>
        <w:t>(b)</w:t>
      </w:r>
      <w:r>
        <w:tab/>
        <w:t>a replacement licence fee of $417.60;</w:t>
      </w:r>
    </w:p>
    <w:p>
      <w:pPr>
        <w:pStyle w:val="Indenta"/>
      </w:pPr>
      <w:r>
        <w:tab/>
        <w:t>(c)</w:t>
      </w:r>
      <w:r>
        <w:tab/>
        <w:t>an amended licence fee of $139.20;</w:t>
      </w:r>
    </w:p>
    <w:p>
      <w:pPr>
        <w:pStyle w:val="Indenta"/>
      </w:pPr>
      <w:r>
        <w:tab/>
        <w:t>(d)</w:t>
      </w:r>
      <w:r>
        <w:tab/>
        <w:t>an annual licence fee of $73.90.</w:t>
      </w:r>
    </w:p>
    <w:p>
      <w:pPr>
        <w:pStyle w:val="Footnotesection"/>
      </w:pPr>
      <w:r>
        <w:tab/>
        <w:t>[Regulation 105M inserted: SL 2020/96 r. 5; amended: SL 2021/68 r. 8.]</w:t>
      </w:r>
    </w:p>
    <w:p>
      <w:pPr>
        <w:pStyle w:val="Heading5"/>
      </w:pPr>
      <w:bookmarkStart w:id="203" w:name="_Toc101362545"/>
      <w:r>
        <w:rPr>
          <w:rStyle w:val="CharSectno"/>
        </w:rPr>
        <w:t>105N</w:t>
      </w:r>
      <w:r>
        <w:t>.</w:t>
      </w:r>
      <w:r>
        <w:tab/>
        <w:t>Private licence for jetty used for business purposes</w:t>
      </w:r>
      <w:bookmarkEnd w:id="203"/>
    </w:p>
    <w:p>
      <w:pPr>
        <w:pStyle w:val="Subsection"/>
      </w:pPr>
      <w:r>
        <w:tab/>
        <w:t>(1)</w:t>
      </w:r>
      <w:r>
        <w:tab/>
        <w:t>This regulation applies to a private licence that is a business licence but is not a local government public licence.</w:t>
      </w:r>
    </w:p>
    <w:p>
      <w:pPr>
        <w:pStyle w:val="Subsection"/>
      </w:pPr>
      <w:r>
        <w:tab/>
        <w:t>(2)</w:t>
      </w:r>
      <w:r>
        <w:tab/>
        <w:t xml:space="preserve">Subject to subregulations (3) to (5), the following fees are prescribed for a private licence to which this regulation applies — </w:t>
      </w:r>
    </w:p>
    <w:p>
      <w:pPr>
        <w:pStyle w:val="Indenta"/>
      </w:pPr>
      <w:r>
        <w:tab/>
        <w:t>(a)</w:t>
      </w:r>
      <w:r>
        <w:tab/>
        <w:t>a new licence fee of $1 362.75;</w:t>
      </w:r>
    </w:p>
    <w:p>
      <w:pPr>
        <w:pStyle w:val="Indenta"/>
      </w:pPr>
      <w:r>
        <w:tab/>
        <w:t>(b)</w:t>
      </w:r>
      <w:r>
        <w:tab/>
        <w:t>a replacement licence fee of $1 018.40;</w:t>
      </w:r>
    </w:p>
    <w:p>
      <w:pPr>
        <w:pStyle w:val="Indenta"/>
      </w:pPr>
      <w:r>
        <w:tab/>
        <w:t>(c)</w:t>
      </w:r>
      <w:r>
        <w:tab/>
        <w:t>an amended licence fee of $139.20;</w:t>
      </w:r>
    </w:p>
    <w:p>
      <w:pPr>
        <w:pStyle w:val="Indenta"/>
      </w:pPr>
      <w:r>
        <w:lastRenderedPageBreak/>
        <w:tab/>
        <w:t>(d)</w:t>
      </w:r>
      <w:r>
        <w:tab/>
        <w:t>an annual licence fee of $747.85.</w:t>
      </w:r>
    </w:p>
    <w:p>
      <w:pPr>
        <w:pStyle w:val="Subsection"/>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pPr>
      <w:r>
        <w:tab/>
        <w:t>(4)</w:t>
      </w:r>
      <w:r>
        <w:tab/>
        <w:t xml:space="preserve">If the private licence authorises more than 10 berths, but no more than 20 berths, the following fees are prescribed for the licence — </w:t>
      </w:r>
    </w:p>
    <w:p>
      <w:pPr>
        <w:pStyle w:val="Indenta"/>
      </w:pPr>
      <w:r>
        <w:tab/>
        <w:t>(a)</w:t>
      </w:r>
      <w:r>
        <w:tab/>
        <w:t>a new licence fee of $1 997.15;</w:t>
      </w:r>
    </w:p>
    <w:p>
      <w:pPr>
        <w:pStyle w:val="Indenta"/>
      </w:pPr>
      <w:r>
        <w:tab/>
        <w:t>(b)</w:t>
      </w:r>
      <w:r>
        <w:tab/>
        <w:t>a replacement licence fee of $1 018.40;</w:t>
      </w:r>
    </w:p>
    <w:p>
      <w:pPr>
        <w:pStyle w:val="Indenta"/>
      </w:pPr>
      <w:r>
        <w:tab/>
        <w:t>(c)</w:t>
      </w:r>
      <w:r>
        <w:tab/>
        <w:t>an amended licence fee of $139.20;</w:t>
      </w:r>
    </w:p>
    <w:p>
      <w:pPr>
        <w:pStyle w:val="Indenta"/>
      </w:pPr>
      <w:r>
        <w:tab/>
        <w:t>(d)</w:t>
      </w:r>
      <w:r>
        <w:tab/>
        <w:t>an annual licence fee of $1 121.20.</w:t>
      </w:r>
    </w:p>
    <w:p>
      <w:pPr>
        <w:pStyle w:val="Subsection"/>
      </w:pPr>
      <w:r>
        <w:tab/>
        <w:t>(5)</w:t>
      </w:r>
      <w:r>
        <w:tab/>
        <w:t xml:space="preserve">If the private licence authorises more than 20 berths, the following fees are prescribed for the licence — </w:t>
      </w:r>
    </w:p>
    <w:p>
      <w:pPr>
        <w:pStyle w:val="Indenta"/>
      </w:pPr>
      <w:r>
        <w:tab/>
        <w:t>(a)</w:t>
      </w:r>
      <w:r>
        <w:tab/>
        <w:t>a new licence fee of $2 633.80;</w:t>
      </w:r>
    </w:p>
    <w:p>
      <w:pPr>
        <w:pStyle w:val="Indenta"/>
      </w:pPr>
      <w:r>
        <w:tab/>
        <w:t>(b)</w:t>
      </w:r>
      <w:r>
        <w:tab/>
        <w:t>a replacement licence fee of $1 018.40;</w:t>
      </w:r>
    </w:p>
    <w:p>
      <w:pPr>
        <w:pStyle w:val="Indenta"/>
      </w:pPr>
      <w:r>
        <w:tab/>
        <w:t>(c)</w:t>
      </w:r>
      <w:r>
        <w:tab/>
        <w:t>an amended licence fee of $139.20;</w:t>
      </w:r>
    </w:p>
    <w:p>
      <w:pPr>
        <w:pStyle w:val="Indenta"/>
      </w:pPr>
      <w:r>
        <w:tab/>
        <w:t>(d)</w:t>
      </w:r>
      <w:r>
        <w:tab/>
        <w:t>an annual licence fee of $1 494.90.</w:t>
      </w:r>
    </w:p>
    <w:p>
      <w:pPr>
        <w:pStyle w:val="Footnotesection"/>
      </w:pPr>
      <w:r>
        <w:tab/>
        <w:t>[Regulation 105N inserted: SL 2020/96 r. 5; amended: SL 2021/68 r. 8.]</w:t>
      </w:r>
    </w:p>
    <w:p>
      <w:pPr>
        <w:pStyle w:val="Heading5"/>
      </w:pPr>
      <w:bookmarkStart w:id="204" w:name="_Toc101362546"/>
      <w:r>
        <w:rPr>
          <w:rStyle w:val="CharSectno"/>
        </w:rPr>
        <w:t>105O</w:t>
      </w:r>
      <w:r>
        <w:t>.</w:t>
      </w:r>
      <w:r>
        <w:tab/>
        <w:t>Fuel pipeline licence</w:t>
      </w:r>
      <w:bookmarkEnd w:id="204"/>
    </w:p>
    <w:p>
      <w:pPr>
        <w:pStyle w:val="Subsection"/>
      </w:pPr>
      <w:r>
        <w:tab/>
      </w:r>
      <w:r>
        <w:tab/>
        <w:t xml:space="preserve">The following fees are prescribed for a fuel pipeline licence — </w:t>
      </w:r>
    </w:p>
    <w:p>
      <w:pPr>
        <w:pStyle w:val="Indenta"/>
      </w:pPr>
      <w:r>
        <w:tab/>
        <w:t>(a)</w:t>
      </w:r>
      <w:r>
        <w:tab/>
        <w:t>a new licence fee of $1 497.55;</w:t>
      </w:r>
    </w:p>
    <w:p>
      <w:pPr>
        <w:pStyle w:val="Indenta"/>
      </w:pPr>
      <w:r>
        <w:tab/>
        <w:t>(b)</w:t>
      </w:r>
      <w:r>
        <w:tab/>
        <w:t>a replacement licence fee of $1 119.25;</w:t>
      </w:r>
    </w:p>
    <w:p>
      <w:pPr>
        <w:pStyle w:val="Indenta"/>
      </w:pPr>
      <w:r>
        <w:tab/>
        <w:t>(c)</w:t>
      </w:r>
      <w:r>
        <w:tab/>
        <w:t>an amended licence fee of $153.10;</w:t>
      </w:r>
    </w:p>
    <w:p>
      <w:pPr>
        <w:pStyle w:val="Indenta"/>
        <w:keepNext/>
      </w:pPr>
      <w:r>
        <w:lastRenderedPageBreak/>
        <w:tab/>
        <w:t>(d)</w:t>
      </w:r>
      <w:r>
        <w:tab/>
        <w:t>an annual licence fee of $822.60.</w:t>
      </w:r>
    </w:p>
    <w:p>
      <w:pPr>
        <w:pStyle w:val="Footnotesection"/>
      </w:pPr>
      <w:r>
        <w:tab/>
        <w:t>[Regulation 105O inserted: SL 2020/96 r. 5; amended: SL 2021/68 r. 8.]</w:t>
      </w:r>
    </w:p>
    <w:p>
      <w:pPr>
        <w:pStyle w:val="Heading5"/>
      </w:pPr>
      <w:bookmarkStart w:id="205" w:name="_Toc101362547"/>
      <w:r>
        <w:rPr>
          <w:rStyle w:val="CharSectno"/>
        </w:rPr>
        <w:t>105P</w:t>
      </w:r>
      <w:r>
        <w:t>.</w:t>
      </w:r>
      <w:r>
        <w:tab/>
        <w:t>Local government public licence</w:t>
      </w:r>
      <w:bookmarkEnd w:id="205"/>
    </w:p>
    <w:p>
      <w:pPr>
        <w:pStyle w:val="Subsection"/>
      </w:pPr>
      <w:r>
        <w:tab/>
      </w:r>
      <w:r>
        <w:tab/>
        <w:t xml:space="preserve">The following fees are prescribed for a local government public licence — </w:t>
      </w:r>
    </w:p>
    <w:p>
      <w:pPr>
        <w:pStyle w:val="Indenta"/>
      </w:pPr>
      <w:r>
        <w:tab/>
        <w:t>(a)</w:t>
      </w:r>
      <w:r>
        <w:tab/>
        <w:t>a new licence fee of $96.75;</w:t>
      </w:r>
    </w:p>
    <w:p>
      <w:pPr>
        <w:pStyle w:val="Indenta"/>
      </w:pPr>
      <w:r>
        <w:tab/>
        <w:t>(b)</w:t>
      </w:r>
      <w:r>
        <w:tab/>
        <w:t>a replacement licence fee of $96.75;</w:t>
      </w:r>
    </w:p>
    <w:p>
      <w:pPr>
        <w:pStyle w:val="Indenta"/>
      </w:pPr>
      <w:r>
        <w:tab/>
        <w:t>(c)</w:t>
      </w:r>
      <w:r>
        <w:tab/>
        <w:t>an amended licence fee of $139.20;</w:t>
      </w:r>
    </w:p>
    <w:p>
      <w:pPr>
        <w:pStyle w:val="Indenta"/>
      </w:pPr>
      <w:r>
        <w:tab/>
        <w:t>(d)</w:t>
      </w:r>
      <w:r>
        <w:tab/>
        <w:t>an annual licence fee of $42.95.</w:t>
      </w:r>
    </w:p>
    <w:p>
      <w:pPr>
        <w:pStyle w:val="Footnotesection"/>
      </w:pPr>
      <w:r>
        <w:tab/>
        <w:t>[Regulation 105P inserted: SL 2020/96 r. 5; amended: SL 2021/68 r. 8.]</w:t>
      </w:r>
    </w:p>
    <w:p>
      <w:pPr>
        <w:pStyle w:val="Heading2"/>
      </w:pPr>
      <w:bookmarkStart w:id="206" w:name="_Toc101351150"/>
      <w:bookmarkStart w:id="207" w:name="_Toc101351467"/>
      <w:bookmarkStart w:id="208" w:name="_Toc101362548"/>
      <w:r>
        <w:rPr>
          <w:rStyle w:val="CharPartNo"/>
        </w:rPr>
        <w:lastRenderedPageBreak/>
        <w:t>Part 4</w:t>
      </w:r>
      <w:r>
        <w:rPr>
          <w:rStyle w:val="CharDivNo"/>
        </w:rPr>
        <w:t> </w:t>
      </w:r>
      <w:r>
        <w:t>—</w:t>
      </w:r>
      <w:r>
        <w:rPr>
          <w:rStyle w:val="CharDivText"/>
        </w:rPr>
        <w:t> </w:t>
      </w:r>
      <w:r>
        <w:rPr>
          <w:rStyle w:val="CharPartText"/>
        </w:rPr>
        <w:t>Breach of regulations and penalties</w:t>
      </w:r>
      <w:bookmarkEnd w:id="206"/>
      <w:bookmarkEnd w:id="207"/>
      <w:bookmarkEnd w:id="208"/>
    </w:p>
    <w:p>
      <w:pPr>
        <w:pStyle w:val="Footnoteheading"/>
      </w:pPr>
      <w:r>
        <w:tab/>
        <w:t xml:space="preserve">[Heading inserted: Gazette 19 May 1989 p. 1494.] </w:t>
      </w:r>
    </w:p>
    <w:p>
      <w:pPr>
        <w:pStyle w:val="Heading5"/>
        <w:rPr>
          <w:snapToGrid w:val="0"/>
        </w:rPr>
      </w:pPr>
      <w:bookmarkStart w:id="209" w:name="_Toc101362549"/>
      <w:r>
        <w:rPr>
          <w:rStyle w:val="CharSectno"/>
        </w:rPr>
        <w:t>106</w:t>
      </w:r>
      <w:r>
        <w:rPr>
          <w:snapToGrid w:val="0"/>
        </w:rPr>
        <w:t>.</w:t>
      </w:r>
      <w:r>
        <w:rPr>
          <w:snapToGrid w:val="0"/>
        </w:rPr>
        <w:tab/>
        <w:t>Powers of officer of Department</w:t>
      </w:r>
      <w:bookmarkEnd w:id="209"/>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210" w:name="_Toc101362550"/>
      <w:r>
        <w:rPr>
          <w:rStyle w:val="CharSectno"/>
        </w:rPr>
        <w:t>107</w:t>
      </w:r>
      <w:r>
        <w:rPr>
          <w:snapToGrid w:val="0"/>
        </w:rPr>
        <w:t>.</w:t>
      </w:r>
      <w:r>
        <w:rPr>
          <w:snapToGrid w:val="0"/>
        </w:rPr>
        <w:tab/>
        <w:t>Recovery of expenses incurred by breaches of regulations</w:t>
      </w:r>
      <w:bookmarkEnd w:id="210"/>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211" w:name="_Toc101362551"/>
      <w:r>
        <w:rPr>
          <w:rStyle w:val="CharSectno"/>
        </w:rPr>
        <w:t>107A</w:t>
      </w:r>
      <w:r>
        <w:rPr>
          <w:snapToGrid w:val="0"/>
        </w:rPr>
        <w:t>.</w:t>
      </w:r>
      <w:r>
        <w:rPr>
          <w:snapToGrid w:val="0"/>
        </w:rPr>
        <w:tab/>
        <w:t>Police have authority to enforce regulations</w:t>
      </w:r>
      <w:bookmarkEnd w:id="211"/>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212" w:name="_Toc101362552"/>
      <w:r>
        <w:rPr>
          <w:rStyle w:val="CharSectno"/>
        </w:rPr>
        <w:lastRenderedPageBreak/>
        <w:t>108</w:t>
      </w:r>
      <w:r>
        <w:rPr>
          <w:snapToGrid w:val="0"/>
        </w:rPr>
        <w:t>.</w:t>
      </w:r>
      <w:r>
        <w:rPr>
          <w:snapToGrid w:val="0"/>
        </w:rPr>
        <w:tab/>
        <w:t>Penalty for offences</w:t>
      </w:r>
      <w:bookmarkEnd w:id="212"/>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Heading2"/>
      </w:pPr>
      <w:bookmarkStart w:id="213" w:name="_Toc101351155"/>
      <w:bookmarkStart w:id="214" w:name="_Toc101351472"/>
      <w:bookmarkStart w:id="215" w:name="_Toc101362553"/>
      <w:r>
        <w:rPr>
          <w:rStyle w:val="CharPartNo"/>
        </w:rPr>
        <w:lastRenderedPageBreak/>
        <w:t>Part 5</w:t>
      </w:r>
      <w:r>
        <w:rPr>
          <w:rStyle w:val="CharDivNo"/>
        </w:rPr>
        <w:t> </w:t>
      </w:r>
      <w:r>
        <w:t>—</w:t>
      </w:r>
      <w:r>
        <w:rPr>
          <w:rStyle w:val="CharDivText"/>
        </w:rPr>
        <w:t> </w:t>
      </w:r>
      <w:r>
        <w:rPr>
          <w:rStyle w:val="CharPartText"/>
        </w:rPr>
        <w:t>Waiver and refund of fees</w:t>
      </w:r>
      <w:bookmarkEnd w:id="213"/>
      <w:bookmarkEnd w:id="214"/>
      <w:bookmarkEnd w:id="215"/>
    </w:p>
    <w:p>
      <w:pPr>
        <w:pStyle w:val="Footnoteheading"/>
        <w:rPr>
          <w:snapToGrid w:val="0"/>
        </w:rPr>
      </w:pPr>
      <w:r>
        <w:rPr>
          <w:snapToGrid w:val="0"/>
        </w:rPr>
        <w:tab/>
        <w:t>[Heading inserted: SL 2022/47 r. 5.]</w:t>
      </w:r>
    </w:p>
    <w:p>
      <w:pPr>
        <w:pStyle w:val="Heading5"/>
      </w:pPr>
      <w:bookmarkStart w:id="216" w:name="_Toc101362554"/>
      <w:r>
        <w:rPr>
          <w:rStyle w:val="CharSectno"/>
        </w:rPr>
        <w:t>109</w:t>
      </w:r>
      <w:r>
        <w:t>.</w:t>
      </w:r>
      <w:r>
        <w:tab/>
        <w:t>Terms used</w:t>
      </w:r>
      <w:bookmarkEnd w:id="216"/>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r>
        <w:tab/>
        <w:t>[Regulation 109 inserted: SL 2022/47 r. 5.]</w:t>
      </w:r>
    </w:p>
    <w:p>
      <w:pPr>
        <w:pStyle w:val="Heading5"/>
      </w:pPr>
      <w:bookmarkStart w:id="217" w:name="_Toc101362555"/>
      <w:r>
        <w:rPr>
          <w:rStyle w:val="CharSectno"/>
        </w:rPr>
        <w:t>110</w:t>
      </w:r>
      <w:r>
        <w:t>.</w:t>
      </w:r>
      <w:r>
        <w:tab/>
        <w:t>Authorised fee officers</w:t>
      </w:r>
      <w:bookmarkEnd w:id="217"/>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r>
        <w:tab/>
        <w:t xml:space="preserve">[Regulation 110 inserted: SL 2022/47 r. 5.] </w:t>
      </w:r>
    </w:p>
    <w:p>
      <w:pPr>
        <w:pStyle w:val="Heading5"/>
      </w:pPr>
      <w:bookmarkStart w:id="218" w:name="_Toc101362556"/>
      <w:r>
        <w:rPr>
          <w:rStyle w:val="CharSectno"/>
        </w:rPr>
        <w:lastRenderedPageBreak/>
        <w:t>111</w:t>
      </w:r>
      <w:r>
        <w:t>.</w:t>
      </w:r>
      <w:r>
        <w:tab/>
        <w:t>Waiver of fees</w:t>
      </w:r>
      <w:bookmarkEnd w:id="218"/>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111 inserted: SL 2022/47 r. 5.]</w:t>
      </w:r>
    </w:p>
    <w:p>
      <w:pPr>
        <w:pStyle w:val="Heading5"/>
      </w:pPr>
      <w:bookmarkStart w:id="219" w:name="_Toc101362557"/>
      <w:r>
        <w:rPr>
          <w:rStyle w:val="CharSectno"/>
        </w:rPr>
        <w:t>112</w:t>
      </w:r>
      <w:r>
        <w:t>.</w:t>
      </w:r>
      <w:r>
        <w:tab/>
        <w:t>Details of waivers to be accessible on website</w:t>
      </w:r>
      <w:bookmarkEnd w:id="219"/>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112 inserted: SL 2022/47 r. 5.]</w:t>
      </w:r>
    </w:p>
    <w:p>
      <w:pPr>
        <w:pStyle w:val="Heading5"/>
      </w:pPr>
      <w:bookmarkStart w:id="220" w:name="_Toc101362558"/>
      <w:r>
        <w:rPr>
          <w:rStyle w:val="CharSectno"/>
        </w:rPr>
        <w:t>113</w:t>
      </w:r>
      <w:r>
        <w:t>.</w:t>
      </w:r>
      <w:r>
        <w:tab/>
        <w:t>Emergency waivers</w:t>
      </w:r>
      <w:bookmarkEnd w:id="220"/>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113 inserted: SL 2022/47 r. 5.]</w:t>
      </w:r>
    </w:p>
    <w:p>
      <w:pPr>
        <w:pStyle w:val="Heading5"/>
      </w:pPr>
      <w:bookmarkStart w:id="221" w:name="_Toc101362559"/>
      <w:r>
        <w:rPr>
          <w:rStyle w:val="CharSectno"/>
        </w:rPr>
        <w:t>114</w:t>
      </w:r>
      <w:r>
        <w:t>.</w:t>
      </w:r>
      <w:r>
        <w:tab/>
        <w:t>Effect of waiver</w:t>
      </w:r>
      <w:bookmarkEnd w:id="221"/>
    </w:p>
    <w:p>
      <w:pPr>
        <w:pStyle w:val="Subsection"/>
      </w:pPr>
      <w:r>
        <w:tab/>
      </w:r>
      <w:r>
        <w:tab/>
        <w:t xml:space="preserve">Despite any other provision of these regulations, if a fee that would otherwise be payable is waived under regulation 111 or 113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114 inserted: SL 2022/47 r. 5.]</w:t>
      </w:r>
    </w:p>
    <w:p>
      <w:pPr>
        <w:pStyle w:val="Heading5"/>
      </w:pPr>
      <w:bookmarkStart w:id="222" w:name="_Toc101362560"/>
      <w:r>
        <w:rPr>
          <w:rStyle w:val="CharSectno"/>
        </w:rPr>
        <w:t>115</w:t>
      </w:r>
      <w:r>
        <w:t>.</w:t>
      </w:r>
      <w:r>
        <w:tab/>
        <w:t>Refund of fees</w:t>
      </w:r>
      <w:bookmarkEnd w:id="222"/>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tab/>
        <w:t>(a)</w:t>
      </w:r>
      <w:r>
        <w:tab/>
        <w:t>are as specified by the chief executive officer or authorised fee officer on making the refund; and</w:t>
      </w:r>
    </w:p>
    <w:p>
      <w:pPr>
        <w:pStyle w:val="Indenta"/>
      </w:pPr>
      <w:r>
        <w:lastRenderedPageBreak/>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380" w:gutter="0"/>
          <w:cols w:space="720"/>
          <w:noEndnote/>
          <w:docGrid w:linePitch="326"/>
        </w:sectPr>
      </w:pPr>
    </w:p>
    <w:p>
      <w:pPr>
        <w:pStyle w:val="yScheduleHeading"/>
      </w:pPr>
      <w:bookmarkStart w:id="223" w:name="_Toc101351163"/>
      <w:bookmarkStart w:id="224" w:name="_Toc101351480"/>
      <w:bookmarkStart w:id="225" w:name="_Toc101362561"/>
      <w:r>
        <w:rPr>
          <w:rStyle w:val="CharSchNo"/>
        </w:rPr>
        <w:lastRenderedPageBreak/>
        <w:t>Schedule 1</w:t>
      </w:r>
      <w:r>
        <w:t> — </w:t>
      </w:r>
      <w:r>
        <w:rPr>
          <w:rStyle w:val="CharSchText"/>
        </w:rPr>
        <w:t>Dues and charges generally</w:t>
      </w:r>
      <w:bookmarkEnd w:id="223"/>
      <w:bookmarkEnd w:id="224"/>
      <w:bookmarkEnd w:id="225"/>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226" w:name="_Toc101351164"/>
      <w:bookmarkStart w:id="227" w:name="_Toc101351481"/>
      <w:bookmarkStart w:id="228" w:name="_Toc101362562"/>
      <w:r>
        <w:rPr>
          <w:rStyle w:val="CharSDivNo"/>
        </w:rPr>
        <w:t>Division 1</w:t>
      </w:r>
      <w:r>
        <w:t> — </w:t>
      </w:r>
      <w:r>
        <w:rPr>
          <w:rStyle w:val="CharSDivText"/>
        </w:rPr>
        <w:t>Preliminary matters</w:t>
      </w:r>
      <w:bookmarkEnd w:id="226"/>
      <w:bookmarkEnd w:id="227"/>
      <w:bookmarkEnd w:id="228"/>
    </w:p>
    <w:p>
      <w:pPr>
        <w:pStyle w:val="yFootnoteheading"/>
        <w:rPr>
          <w:snapToGrid w:val="0"/>
        </w:rPr>
      </w:pPr>
      <w:r>
        <w:rPr>
          <w:snapToGrid w:val="0"/>
        </w:rPr>
        <w:tab/>
        <w:t>[Heading inserted: SL 2021/68 r. 4.]</w:t>
      </w:r>
    </w:p>
    <w:p>
      <w:pPr>
        <w:pStyle w:val="yHeading5"/>
      </w:pPr>
      <w:bookmarkStart w:id="229" w:name="_Toc101362563"/>
      <w:r>
        <w:rPr>
          <w:rStyle w:val="CharSClsNo"/>
        </w:rPr>
        <w:t>1</w:t>
      </w:r>
      <w:r>
        <w:t>.</w:t>
      </w:r>
      <w:r>
        <w:tab/>
        <w:t>Standard rates for this Schedule</w:t>
      </w:r>
      <w:bookmarkEnd w:id="229"/>
    </w:p>
    <w:p>
      <w:pPr>
        <w:pStyle w:val="ySubsection"/>
      </w:pPr>
      <w:r>
        <w:tab/>
      </w:r>
      <w:r>
        <w:tab/>
        <w:t xml:space="preserve">In this Schedule, the following rates are standard rates — </w:t>
      </w:r>
    </w:p>
    <w:p>
      <w:pPr>
        <w:pStyle w:val="ySubsection"/>
        <w:rPr>
          <w:b/>
        </w:rPr>
      </w:pPr>
      <w:r>
        <w:rPr>
          <w:b/>
        </w:rPr>
        <w:tab/>
      </w:r>
      <w:r>
        <w:rPr>
          <w:b/>
        </w:rPr>
        <w:tab/>
        <w:t>Rate 1: a casual daily rate of $7.90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rPr>
      </w:pPr>
      <w:r>
        <w:rPr>
          <w:b/>
        </w:rPr>
        <w:tab/>
      </w:r>
      <w:r>
        <w:rPr>
          <w:b/>
        </w:rPr>
        <w:tab/>
        <w:t xml:space="preserve">Rate 2: a casual daily rate of $56.00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rPr>
        <w:tab/>
      </w:r>
      <w:r>
        <w:rPr>
          <w:b/>
        </w:rPr>
        <w:tab/>
        <w:t>Rate 3: an annual rate of $89.90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2021/68 r. 4.]</w:t>
      </w:r>
    </w:p>
    <w:p>
      <w:pPr>
        <w:pStyle w:val="yHeading5"/>
      </w:pPr>
      <w:bookmarkStart w:id="230" w:name="_Toc101362564"/>
      <w:r>
        <w:rPr>
          <w:rStyle w:val="CharSClsNo"/>
        </w:rPr>
        <w:t>2</w:t>
      </w:r>
      <w:r>
        <w:t>.</w:t>
      </w:r>
      <w:r>
        <w:tab/>
        <w:t>Transferability of annual payments</w:t>
      </w:r>
      <w:bookmarkEnd w:id="230"/>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w:t>
      </w:r>
      <w:r>
        <w:lastRenderedPageBreak/>
        <w:t>a day at any other place specified in this Schedule or at a place specified in Schedule 3.</w:t>
      </w:r>
    </w:p>
    <w:p>
      <w:pPr>
        <w:pStyle w:val="ySubsection"/>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pPr>
      <w:r>
        <w:tab/>
        <w:t>(b)</w:t>
      </w:r>
      <w:r>
        <w:tab/>
        <w:t>a series of discrete periods, each not exceeding 15 minutes, that do not together exceed 1 hour in any period of 24 hours.</w:t>
      </w:r>
    </w:p>
    <w:p>
      <w:pPr>
        <w:pStyle w:val="yFootnotesection"/>
      </w:pPr>
      <w:r>
        <w:tab/>
        <w:t>[Clause 2 inserted: SL 2021/68 r. 4.]</w:t>
      </w:r>
    </w:p>
    <w:p>
      <w:pPr>
        <w:pStyle w:val="yHeading5"/>
      </w:pPr>
      <w:bookmarkStart w:id="231" w:name="_Toc101362565"/>
      <w:r>
        <w:rPr>
          <w:rStyle w:val="CharSClsNo"/>
        </w:rPr>
        <w:t>3</w:t>
      </w:r>
      <w:r>
        <w:t>.</w:t>
      </w:r>
      <w:r>
        <w:tab/>
        <w:t>Service jetty entitlements</w:t>
      </w:r>
      <w:bookmarkEnd w:id="231"/>
    </w:p>
    <w:p>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w:t>
      </w:r>
    </w:p>
    <w:p>
      <w:pPr>
        <w:pStyle w:val="yHeading5"/>
      </w:pPr>
      <w:bookmarkStart w:id="232" w:name="_Toc101362566"/>
      <w:r>
        <w:rPr>
          <w:rStyle w:val="CharSClsNo"/>
        </w:rPr>
        <w:t>4</w:t>
      </w:r>
      <w:r>
        <w:t>.</w:t>
      </w:r>
      <w:r>
        <w:tab/>
        <w:t>Active loading and unloading</w:t>
      </w:r>
      <w:bookmarkEnd w:id="232"/>
    </w:p>
    <w:p>
      <w:pPr>
        <w:pStyle w:val="ySubsection"/>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233" w:name="_Toc101351169"/>
      <w:bookmarkStart w:id="234" w:name="_Toc101351486"/>
      <w:bookmarkStart w:id="235" w:name="_Toc101362567"/>
      <w:r>
        <w:rPr>
          <w:rStyle w:val="CharSDivNo"/>
        </w:rPr>
        <w:t>Division 2</w:t>
      </w:r>
      <w:r>
        <w:t> — </w:t>
      </w:r>
      <w:r>
        <w:rPr>
          <w:rStyle w:val="CharSDivText"/>
        </w:rPr>
        <w:t>Dues and charges for specified places</w:t>
      </w:r>
      <w:bookmarkEnd w:id="233"/>
      <w:bookmarkEnd w:id="234"/>
      <w:bookmarkEnd w:id="235"/>
    </w:p>
    <w:p>
      <w:pPr>
        <w:pStyle w:val="yFootnoteheading"/>
        <w:rPr>
          <w:snapToGrid w:val="0"/>
        </w:rPr>
      </w:pPr>
      <w:r>
        <w:rPr>
          <w:snapToGrid w:val="0"/>
        </w:rPr>
        <w:tab/>
        <w:t xml:space="preserve">[Heading inserted: Gazette </w:t>
      </w:r>
      <w:r>
        <w:t>31 May 2019 p. 1761</w:t>
      </w:r>
      <w:r>
        <w:rPr>
          <w:snapToGrid w:val="0"/>
        </w:rPr>
        <w:t>.]</w:t>
      </w:r>
    </w:p>
    <w:p>
      <w:pPr>
        <w:pStyle w:val="yHeading5"/>
      </w:pPr>
      <w:bookmarkStart w:id="236" w:name="_Toc101362568"/>
      <w:r>
        <w:rPr>
          <w:rStyle w:val="CharSClsNo"/>
        </w:rPr>
        <w:t>5</w:t>
      </w:r>
      <w:r>
        <w:t>.</w:t>
      </w:r>
      <w:r>
        <w:tab/>
        <w:t>Albany, Albany Waterfront Marina</w:t>
      </w:r>
      <w:bookmarkEnd w:id="236"/>
    </w:p>
    <w:p>
      <w:pPr>
        <w:pStyle w:val="ySubsection"/>
      </w:pPr>
      <w:r>
        <w:tab/>
        <w:t>(1)</w:t>
      </w:r>
      <w:r>
        <w:tab/>
        <w:t>This clause applies to the Albany Waterfront Marina at Albany.</w:t>
      </w:r>
    </w:p>
    <w:p>
      <w:pPr>
        <w:pStyle w:val="ySubsection"/>
      </w:pPr>
      <w:r>
        <w:lastRenderedPageBreak/>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pPr>
              <w:pStyle w:val="yTableNAm"/>
              <w:jc w:val="center"/>
            </w:pPr>
            <w:r>
              <w:rPr>
                <w:szCs w:val="22"/>
              </w:rPr>
              <w:t>595.40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2"/>
              </w:rPr>
              <w:t>476.00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rPr>
                <w:szCs w:val="22"/>
              </w:rPr>
              <w:t>595.40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5 inserted: Gazette 31 May 2019 p. 1761; amended: SL 2021/68 r. 8.]</w:t>
      </w:r>
    </w:p>
    <w:p>
      <w:pPr>
        <w:pStyle w:val="yHeading5"/>
      </w:pPr>
      <w:bookmarkStart w:id="237" w:name="_Toc101362569"/>
      <w:r>
        <w:rPr>
          <w:rStyle w:val="CharSClsNo"/>
        </w:rPr>
        <w:t>6</w:t>
      </w:r>
      <w:r>
        <w:t>.</w:t>
      </w:r>
      <w:r>
        <w:tab/>
        <w:t>Albany, Emu Point Boat Harbour</w:t>
      </w:r>
      <w:bookmarkEnd w:id="237"/>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311.80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375.50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6 inserted: Gazette 31 May 2019 p. 1762; amended: SL 2021/68 r. 8.]</w:t>
      </w:r>
    </w:p>
    <w:p>
      <w:pPr>
        <w:pStyle w:val="yHeading5"/>
      </w:pPr>
      <w:bookmarkStart w:id="238" w:name="_Toc101362570"/>
      <w:r>
        <w:rPr>
          <w:rStyle w:val="CharSClsNo"/>
        </w:rPr>
        <w:t>7</w:t>
      </w:r>
      <w:r>
        <w:t>.</w:t>
      </w:r>
      <w:r>
        <w:tab/>
        <w:t>Augusta Boat Harbour</w:t>
      </w:r>
      <w:bookmarkEnd w:id="238"/>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rPr>
                <w:szCs w:val="24"/>
              </w:rPr>
              <w:t>595.40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rPr>
                <w:szCs w:val="24"/>
              </w:rPr>
              <w:t>595.40</w:t>
            </w:r>
          </w:p>
        </w:tc>
      </w:tr>
      <w:tr>
        <w:trPr>
          <w:cantSplit/>
        </w:trPr>
        <w:tc>
          <w:tcPr>
            <w:tcW w:w="709" w:type="dxa"/>
          </w:tcPr>
          <w:p>
            <w:pPr>
              <w:pStyle w:val="yTableNAm"/>
              <w:jc w:val="center"/>
            </w:pPr>
            <w:r>
              <w:lastRenderedPageBreak/>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7 inserted: Gazette 31 May 2019 p. 1762</w:t>
      </w:r>
      <w:r>
        <w:noBreakHyphen/>
        <w:t>3; amended: SL 2021/68 r. 8.]</w:t>
      </w:r>
    </w:p>
    <w:p>
      <w:pPr>
        <w:pStyle w:val="yEdnotesection"/>
      </w:pPr>
      <w:r>
        <w:t>[</w:t>
      </w:r>
      <w:r>
        <w:rPr>
          <w:b/>
        </w:rPr>
        <w:t>8.</w:t>
      </w:r>
      <w:r>
        <w:tab/>
        <w:t>Deleted: SL 2021/68 r. 5.]</w:t>
      </w:r>
    </w:p>
    <w:p>
      <w:pPr>
        <w:pStyle w:val="yHeading5"/>
      </w:pPr>
      <w:bookmarkStart w:id="239" w:name="_Toc101362571"/>
      <w:r>
        <w:rPr>
          <w:rStyle w:val="CharSClsNo"/>
        </w:rPr>
        <w:t>9</w:t>
      </w:r>
      <w:r>
        <w:t>.</w:t>
      </w:r>
      <w:r>
        <w:tab/>
        <w:t>Bremer Bay</w:t>
      </w:r>
      <w:bookmarkEnd w:id="239"/>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by a vessel for which a swing mooring fee has not been paid, an amount calculated using standard Rate 3</w:t>
            </w:r>
          </w:p>
        </w:tc>
      </w:tr>
    </w:tbl>
    <w:p>
      <w:pPr>
        <w:pStyle w:val="yFootnotesection"/>
      </w:pPr>
      <w:r>
        <w:tab/>
        <w:t>[Clause 9 inserted: Gazette 31 May 2019 p. 1764.]</w:t>
      </w:r>
    </w:p>
    <w:p>
      <w:pPr>
        <w:pStyle w:val="yHeading5"/>
      </w:pPr>
      <w:bookmarkStart w:id="240" w:name="_Toc101362572"/>
      <w:r>
        <w:rPr>
          <w:rStyle w:val="CharSClsNo"/>
        </w:rPr>
        <w:lastRenderedPageBreak/>
        <w:t>10</w:t>
      </w:r>
      <w:r>
        <w:t>.</w:t>
      </w:r>
      <w:r>
        <w:tab/>
        <w:t>Bunbury, Casuarina Boat Harbour</w:t>
      </w:r>
      <w:bookmarkEnd w:id="240"/>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485.70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485.70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10 inserted: Gazette 31 May 2019 p. 1764</w:t>
      </w:r>
      <w:r>
        <w:noBreakHyphen/>
        <w:t>5; amended: SL 2021/68 r. 8.]</w:t>
      </w:r>
    </w:p>
    <w:p>
      <w:pPr>
        <w:pStyle w:val="yHeading5"/>
      </w:pPr>
      <w:bookmarkStart w:id="241" w:name="_Toc101362573"/>
      <w:r>
        <w:rPr>
          <w:rStyle w:val="CharSClsNo"/>
        </w:rPr>
        <w:t>10A</w:t>
      </w:r>
      <w:r>
        <w:t>.</w:t>
      </w:r>
      <w:r>
        <w:tab/>
        <w:t>Burswood Jetty</w:t>
      </w:r>
      <w:bookmarkEnd w:id="241"/>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noWrap/>
          </w:tcPr>
          <w:p>
            <w:pPr>
              <w:pStyle w:val="yTableNAm"/>
              <w:jc w:val="center"/>
              <w:rPr>
                <w:b/>
              </w:rPr>
            </w:pPr>
            <w:r>
              <w:rPr>
                <w:b/>
              </w:rPr>
              <w:t>Item</w:t>
            </w:r>
          </w:p>
        </w:tc>
        <w:tc>
          <w:tcPr>
            <w:tcW w:w="4202"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0" w:type="dxa"/>
            <w:tcBorders>
              <w:top w:val="single" w:sz="4" w:space="0" w:color="auto"/>
            </w:tcBorders>
            <w:noWrap/>
          </w:tcPr>
          <w:p>
            <w:pPr>
              <w:pStyle w:val="yTableNAm"/>
            </w:pPr>
            <w:r>
              <w:t>1.</w:t>
            </w:r>
          </w:p>
        </w:tc>
        <w:tc>
          <w:tcPr>
            <w:tcW w:w="4202"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tcPr>
          <w:p>
            <w:pPr>
              <w:pStyle w:val="yTableNAm"/>
              <w:jc w:val="center"/>
            </w:pPr>
            <w:r>
              <w:br/>
            </w:r>
            <w:r>
              <w:rPr>
                <w:szCs w:val="24"/>
              </w:rPr>
              <w:t>15 837.35</w:t>
            </w:r>
          </w:p>
        </w:tc>
      </w:tr>
      <w:tr>
        <w:trPr>
          <w:cantSplit/>
        </w:trPr>
        <w:tc>
          <w:tcPr>
            <w:tcW w:w="700" w:type="dxa"/>
            <w:noWrap/>
          </w:tcPr>
          <w:p>
            <w:pPr>
              <w:pStyle w:val="yTableNAm"/>
            </w:pPr>
            <w:r>
              <w:lastRenderedPageBreak/>
              <w:t>2.</w:t>
            </w:r>
          </w:p>
        </w:tc>
        <w:tc>
          <w:tcPr>
            <w:tcW w:w="4202" w:type="dxa"/>
            <w:noWrap/>
          </w:tcPr>
          <w:p>
            <w:pPr>
              <w:pStyle w:val="yTableNAm"/>
            </w:pPr>
            <w:r>
              <w:t xml:space="preserve">For the casual daily use of — </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2 by a commercial vessel, an amount calculated using standard Rate 1</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3 by a recreational vessel, an amount calculated using standard Rate 2</w:t>
            </w:r>
          </w:p>
        </w:tc>
        <w:tc>
          <w:tcPr>
            <w:tcW w:w="1276" w:type="dxa"/>
            <w:noWrap/>
          </w:tcPr>
          <w:p>
            <w:pPr>
              <w:pStyle w:val="yTableNAm"/>
              <w:jc w:val="center"/>
            </w:pPr>
          </w:p>
        </w:tc>
      </w:tr>
      <w:tr>
        <w:trPr>
          <w:cantSplit/>
        </w:trPr>
        <w:tc>
          <w:tcPr>
            <w:tcW w:w="700" w:type="dxa"/>
            <w:noWrap/>
          </w:tcPr>
          <w:p>
            <w:pPr>
              <w:pStyle w:val="yTableNAm"/>
            </w:pPr>
            <w:r>
              <w:t>3.</w:t>
            </w:r>
          </w:p>
        </w:tc>
        <w:tc>
          <w:tcPr>
            <w:tcW w:w="4202" w:type="dxa"/>
            <w:noWrap/>
          </w:tcPr>
          <w:p>
            <w:pPr>
              <w:pStyle w:val="yTableNAm"/>
            </w:pPr>
            <w:r>
              <w:t xml:space="preserve">For the casual annual use of — </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2 by a commercial vessel, an amount calculated using standard Rate 3</w:t>
            </w:r>
          </w:p>
        </w:tc>
        <w:tc>
          <w:tcPr>
            <w:tcW w:w="1276" w:type="dxa"/>
            <w:noWrap/>
          </w:tcPr>
          <w:p>
            <w:pPr>
              <w:pStyle w:val="yTableNAm"/>
              <w:jc w:val="center"/>
            </w:pPr>
          </w:p>
        </w:tc>
      </w:tr>
      <w:tr>
        <w:trPr>
          <w:cantSplit/>
        </w:trPr>
        <w:tc>
          <w:tcPr>
            <w:tcW w:w="700" w:type="dxa"/>
            <w:tcBorders>
              <w:bottom w:val="single" w:sz="4" w:space="0" w:color="auto"/>
            </w:tcBorders>
            <w:noWrap/>
          </w:tcPr>
          <w:p>
            <w:pPr>
              <w:pStyle w:val="yTableNAm"/>
            </w:pPr>
          </w:p>
        </w:tc>
        <w:tc>
          <w:tcPr>
            <w:tcW w:w="4202" w:type="dxa"/>
            <w:tcBorders>
              <w:bottom w:val="single" w:sz="4" w:space="0" w:color="auto"/>
            </w:tcBorders>
            <w:noWrap/>
          </w:tcPr>
          <w:p>
            <w:pPr>
              <w:pStyle w:val="yTableNAm"/>
              <w:tabs>
                <w:tab w:val="clear" w:pos="567"/>
              </w:tabs>
              <w:ind w:left="255" w:hanging="255"/>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jc w:val="center"/>
            </w:pPr>
          </w:p>
        </w:tc>
      </w:tr>
    </w:tbl>
    <w:p>
      <w:pPr>
        <w:pStyle w:val="yFootnotesection"/>
      </w:pPr>
      <w:r>
        <w:tab/>
        <w:t>[Clause 10A inserted: SL 2020/128 r. 9; amended: SL 2021/68 r. 8.]</w:t>
      </w:r>
    </w:p>
    <w:p>
      <w:pPr>
        <w:pStyle w:val="yHeading5"/>
      </w:pPr>
      <w:bookmarkStart w:id="242" w:name="_Toc101362574"/>
      <w:r>
        <w:rPr>
          <w:rStyle w:val="CharSClsNo"/>
        </w:rPr>
        <w:t>11</w:t>
      </w:r>
      <w:r>
        <w:t>.</w:t>
      </w:r>
      <w:r>
        <w:tab/>
        <w:t>Carnarvon Boat Harbour</w:t>
      </w:r>
      <w:bookmarkEnd w:id="242"/>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359.10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328.30</w:t>
            </w:r>
          </w:p>
        </w:tc>
      </w:tr>
      <w:tr>
        <w:trPr>
          <w:cantSplit/>
        </w:trPr>
        <w:tc>
          <w:tcPr>
            <w:tcW w:w="709" w:type="dxa"/>
          </w:tcPr>
          <w:p>
            <w:pPr>
              <w:pStyle w:val="yTableNAm"/>
              <w:jc w:val="center"/>
            </w:pPr>
            <w:r>
              <w:lastRenderedPageBreak/>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430.70</w:t>
            </w:r>
          </w:p>
        </w:tc>
      </w:tr>
      <w:tr>
        <w:trPr>
          <w:cantSplit/>
        </w:trPr>
        <w:tc>
          <w:tcPr>
            <w:tcW w:w="709" w:type="dxa"/>
          </w:tcPr>
          <w:p>
            <w:pPr>
              <w:pStyle w:val="yTableNAm"/>
              <w:jc w:val="center"/>
            </w:pPr>
            <w:r>
              <w:t>4.</w:t>
            </w:r>
          </w:p>
        </w:tc>
        <w:tc>
          <w:tcPr>
            <w:tcW w:w="4819" w:type="dxa"/>
          </w:tcPr>
          <w:p>
            <w:pPr>
              <w:pStyle w:val="yTableNAm"/>
            </w:pPr>
            <w:r>
              <w:t>For the use, other than casual daily use, of a pile mooring, an amount calculated per metre of the vessel’s length using the annual rate of</w:t>
            </w:r>
          </w:p>
        </w:tc>
        <w:tc>
          <w:tcPr>
            <w:tcW w:w="1276" w:type="dxa"/>
            <w:vAlign w:val="bottom"/>
          </w:tcPr>
          <w:p>
            <w:pPr>
              <w:pStyle w:val="yTableNAm"/>
              <w:jc w:val="center"/>
            </w:pPr>
            <w:r>
              <w:rPr>
                <w:szCs w:val="24"/>
              </w:rPr>
              <w:t>201.70</w:t>
            </w:r>
          </w:p>
        </w:tc>
      </w:tr>
      <w:tr>
        <w:trPr>
          <w:cantSplit/>
        </w:trPr>
        <w:tc>
          <w:tcPr>
            <w:tcW w:w="709" w:type="dxa"/>
          </w:tcPr>
          <w:p>
            <w:pPr>
              <w:pStyle w:val="yTableNAm"/>
              <w:jc w:val="center"/>
            </w:pPr>
            <w:r>
              <w:t>5.</w:t>
            </w:r>
          </w:p>
        </w:tc>
        <w:tc>
          <w:tcPr>
            <w:tcW w:w="4819" w:type="dxa"/>
          </w:tcPr>
          <w:p>
            <w:pPr>
              <w:pStyle w:val="yTableNAm"/>
            </w:pPr>
            <w:r>
              <w:t>For the casual daily use of a pen, alongside berth or pile mooring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6.</w:t>
            </w:r>
          </w:p>
        </w:tc>
        <w:tc>
          <w:tcPr>
            <w:tcW w:w="4819" w:type="dxa"/>
          </w:tcPr>
          <w:p>
            <w:pPr>
              <w:pStyle w:val="yTableNAm"/>
            </w:pPr>
            <w:r>
              <w:t>For the casual daily use of a pen, alongside berth or pile mooring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11 inserted: Gazette 31 May 2019 p. 1765</w:t>
      </w:r>
      <w:r>
        <w:noBreakHyphen/>
        <w:t>6; amended: SL 2021/68 r. 8.]</w:t>
      </w:r>
    </w:p>
    <w:p>
      <w:pPr>
        <w:pStyle w:val="yHeading5"/>
      </w:pPr>
      <w:bookmarkStart w:id="243" w:name="_Toc101362575"/>
      <w:r>
        <w:rPr>
          <w:rStyle w:val="CharSClsNo"/>
        </w:rPr>
        <w:t>12</w:t>
      </w:r>
      <w:r>
        <w:t>.</w:t>
      </w:r>
      <w:r>
        <w:tab/>
        <w:t>Cervantes</w:t>
      </w:r>
      <w:bookmarkEnd w:id="243"/>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095" w:type="dxa"/>
            <w:tcBorders>
              <w:top w:val="single" w:sz="4" w:space="0" w:color="auto"/>
              <w:bottom w:val="single" w:sz="4" w:space="0" w:color="auto"/>
            </w:tcBorders>
          </w:tcPr>
          <w:p>
            <w:pPr>
              <w:pStyle w:val="yTableNAm"/>
              <w:keepNext/>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lastRenderedPageBreak/>
        <w:tab/>
        <w:t>[Clause 12 inserted: Gazette 31 May 2019 p. 1766.]</w:t>
      </w:r>
    </w:p>
    <w:p>
      <w:pPr>
        <w:pStyle w:val="yHeading5"/>
      </w:pPr>
      <w:bookmarkStart w:id="244" w:name="_Toc101362576"/>
      <w:r>
        <w:rPr>
          <w:rStyle w:val="CharSClsNo"/>
        </w:rPr>
        <w:t>13</w:t>
      </w:r>
      <w:r>
        <w:t>.</w:t>
      </w:r>
      <w:r>
        <w:tab/>
        <w:t>Coral Bay Maritime Facility</w:t>
      </w:r>
      <w:bookmarkEnd w:id="244"/>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for short term use by any vessel, an amount calculated using standard Rate 3</w:t>
            </w:r>
          </w:p>
        </w:tc>
      </w:tr>
      <w:tr>
        <w:trPr>
          <w:cantSplit/>
        </w:trPr>
        <w:tc>
          <w:tcPr>
            <w:tcW w:w="709" w:type="dxa"/>
          </w:tcPr>
          <w:p>
            <w:pPr>
              <w:pStyle w:val="yTableNAm"/>
              <w:jc w:val="center"/>
            </w:pPr>
          </w:p>
        </w:tc>
        <w:tc>
          <w:tcPr>
            <w:tcW w:w="6095" w:type="dxa"/>
          </w:tcPr>
          <w:p>
            <w:pPr>
              <w:pStyle w:val="yTableNAm"/>
              <w:ind w:left="567" w:hanging="567"/>
            </w:pPr>
            <w:r>
              <w:t>•</w:t>
            </w:r>
            <w:r>
              <w:tab/>
              <w:t>for casual daily use by a commercial vessel, an amount calculated using standard Rate 1</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casual daily use of a pen or alongside berth by a recreational vessel, an amount calculated using standard Rate 2</w:t>
            </w:r>
          </w:p>
        </w:tc>
      </w:tr>
    </w:tbl>
    <w:p>
      <w:pPr>
        <w:pStyle w:val="yFootnotesection"/>
      </w:pPr>
      <w:r>
        <w:tab/>
        <w:t>[Clause 13 inserted: Gazette 31 May 2019 p. 1766</w:t>
      </w:r>
      <w:r>
        <w:noBreakHyphen/>
        <w:t>7.]</w:t>
      </w:r>
    </w:p>
    <w:p>
      <w:pPr>
        <w:pStyle w:val="yHeading5"/>
      </w:pPr>
      <w:bookmarkStart w:id="245" w:name="_Toc101362577"/>
      <w:r>
        <w:rPr>
          <w:rStyle w:val="CharSClsNo"/>
        </w:rPr>
        <w:t>14</w:t>
      </w:r>
      <w:r>
        <w:t>.</w:t>
      </w:r>
      <w:r>
        <w:tab/>
        <w:t>Denham Maritime Facility</w:t>
      </w:r>
      <w:bookmarkEnd w:id="245"/>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406.80</w:t>
            </w:r>
          </w:p>
        </w:tc>
      </w:tr>
      <w:tr>
        <w:trPr>
          <w:cantSplit/>
        </w:trPr>
        <w:tc>
          <w:tcPr>
            <w:tcW w:w="709" w:type="dxa"/>
          </w:tcPr>
          <w:p>
            <w:pPr>
              <w:pStyle w:val="yTableNAm"/>
              <w:jc w:val="center"/>
            </w:pPr>
            <w:r>
              <w:t>2.</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14 inserted: Gazette 31 May 2019 p. 1767; amended: SL 2021/68 r. 8.]</w:t>
      </w:r>
    </w:p>
    <w:p>
      <w:pPr>
        <w:pStyle w:val="yHeading5"/>
      </w:pPr>
      <w:bookmarkStart w:id="246" w:name="_Toc101362578"/>
      <w:r>
        <w:rPr>
          <w:rStyle w:val="CharSClsNo"/>
        </w:rPr>
        <w:t>15</w:t>
      </w:r>
      <w:r>
        <w:t>.</w:t>
      </w:r>
      <w:r>
        <w:tab/>
        <w:t>Esperance, Bandy Creek Boat Harbour</w:t>
      </w:r>
      <w:bookmarkEnd w:id="246"/>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5528" w:type="dxa"/>
            <w:gridSpan w:val="2"/>
          </w:tcPr>
          <w:p>
            <w:pPr>
              <w:pStyle w:val="yEdnoteitem"/>
              <w:tabs>
                <w:tab w:val="left" w:pos="645"/>
              </w:tabs>
            </w:pPr>
            <w:r>
              <w:t>[1.</w:t>
            </w:r>
            <w:r>
              <w:tab/>
              <w:t>deleted]</w:t>
            </w:r>
          </w:p>
        </w:tc>
        <w:tc>
          <w:tcPr>
            <w:tcW w:w="1276" w:type="dxa"/>
            <w:vAlign w:val="bottom"/>
          </w:tcPr>
          <w:p>
            <w:pPr>
              <w:pStyle w:val="yTableNAm"/>
              <w:jc w:val="center"/>
            </w:pP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304.60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438.00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15 inserted: Gazette 31 May 2019 p. 1767</w:t>
      </w:r>
      <w:r>
        <w:noBreakHyphen/>
        <w:t>8; amended: SL 2021/68 r. 5(b) and 8.]</w:t>
      </w:r>
    </w:p>
    <w:p>
      <w:pPr>
        <w:pStyle w:val="yHeading5"/>
      </w:pPr>
      <w:bookmarkStart w:id="247" w:name="_Toc101362579"/>
      <w:r>
        <w:rPr>
          <w:rStyle w:val="CharSClsNo"/>
        </w:rPr>
        <w:lastRenderedPageBreak/>
        <w:t>16</w:t>
      </w:r>
      <w:r>
        <w:t>.</w:t>
      </w:r>
      <w:r>
        <w:tab/>
        <w:t>Exmouth</w:t>
      </w:r>
      <w:bookmarkEnd w:id="247"/>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pPr>
              <w:pStyle w:val="yTableNAm"/>
              <w:keepNext/>
              <w:jc w:val="center"/>
            </w:pPr>
            <w:r>
              <w:rPr>
                <w:szCs w:val="24"/>
              </w:rPr>
              <w:t>619.20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 a walkway by a service vessel, an amount calculated per metre of the pen’s length using the annual rate of</w:t>
            </w:r>
          </w:p>
        </w:tc>
        <w:tc>
          <w:tcPr>
            <w:tcW w:w="1276" w:type="dxa"/>
            <w:vAlign w:val="bottom"/>
          </w:tcPr>
          <w:p>
            <w:pPr>
              <w:pStyle w:val="yTableNAm"/>
              <w:jc w:val="center"/>
            </w:pPr>
            <w:r>
              <w:rPr>
                <w:szCs w:val="24"/>
              </w:rPr>
              <w:t>821.60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rPr>
                <w:szCs w:val="24"/>
              </w:rPr>
              <w:t>619.20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by a service vessel, an amount calculated per metre of the vessel’s length using the annual rate of</w:t>
            </w:r>
          </w:p>
        </w:tc>
        <w:tc>
          <w:tcPr>
            <w:tcW w:w="1276" w:type="dxa"/>
            <w:vAlign w:val="bottom"/>
          </w:tcPr>
          <w:p>
            <w:pPr>
              <w:pStyle w:val="yTableNAm"/>
              <w:jc w:val="center"/>
            </w:pPr>
            <w:r>
              <w:rPr>
                <w:szCs w:val="24"/>
              </w:rPr>
              <w:t>821.60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pPr>
              <w:pStyle w:val="yTableNAm"/>
              <w:jc w:val="center"/>
            </w:pPr>
            <w:r>
              <w:rPr>
                <w:szCs w:val="24"/>
              </w:rPr>
              <w:t>826.00</w:t>
            </w:r>
          </w:p>
        </w:tc>
      </w:tr>
      <w:tr>
        <w:trPr>
          <w:cantSplit/>
        </w:trPr>
        <w:tc>
          <w:tcPr>
            <w:tcW w:w="709" w:type="dxa"/>
          </w:tcPr>
          <w:p>
            <w:pPr>
              <w:pStyle w:val="yTableNAm"/>
              <w:jc w:val="center"/>
            </w:pPr>
            <w:r>
              <w:lastRenderedPageBreak/>
              <w:t>6.</w:t>
            </w:r>
          </w:p>
        </w:tc>
        <w:tc>
          <w:tcPr>
            <w:tcW w:w="4819" w:type="dxa"/>
          </w:tcPr>
          <w:p>
            <w:pPr>
              <w:pStyle w:val="yTableNAm"/>
            </w:pPr>
            <w:r>
              <w:t>For the use, other than casual daily use, of a floating pen with a walkway by a service vessel, an amount calculated per metre of the pen’s length using the annual rate of</w:t>
            </w:r>
          </w:p>
        </w:tc>
        <w:tc>
          <w:tcPr>
            <w:tcW w:w="1276" w:type="dxa"/>
            <w:vAlign w:val="bottom"/>
          </w:tcPr>
          <w:p>
            <w:pPr>
              <w:pStyle w:val="yTableNAm"/>
              <w:jc w:val="center"/>
            </w:pPr>
            <w:r>
              <w:rPr>
                <w:szCs w:val="24"/>
              </w:rPr>
              <w:t>1 073.80</w:t>
            </w:r>
          </w:p>
        </w:tc>
      </w:tr>
      <w:tr>
        <w:trPr>
          <w:cantSplit/>
        </w:trPr>
        <w:tc>
          <w:tcPr>
            <w:tcW w:w="709" w:type="dxa"/>
          </w:tcPr>
          <w:p>
            <w:pPr>
              <w:pStyle w:val="yTableNAm"/>
              <w:jc w:val="center"/>
            </w:pPr>
            <w:r>
              <w:t>7.</w:t>
            </w:r>
          </w:p>
        </w:tc>
        <w:tc>
          <w:tcPr>
            <w:tcW w:w="4819" w:type="dxa"/>
          </w:tcPr>
          <w:p>
            <w:pPr>
              <w:pStyle w:val="yTableNAm"/>
            </w:pPr>
            <w:r>
              <w:t>For the use, other than casual daily use, of a 25 m pen with a walkway by a vessel, an amount calculated per metre of the pen’s length using the annual rate of</w:t>
            </w:r>
          </w:p>
        </w:tc>
        <w:tc>
          <w:tcPr>
            <w:tcW w:w="1276" w:type="dxa"/>
            <w:vAlign w:val="bottom"/>
          </w:tcPr>
          <w:p>
            <w:pPr>
              <w:pStyle w:val="yTableNAm"/>
              <w:jc w:val="center"/>
            </w:pPr>
            <w:r>
              <w:t>1 321.60</w:t>
            </w:r>
          </w:p>
        </w:tc>
      </w:tr>
      <w:tr>
        <w:trPr>
          <w:cantSplit/>
        </w:trPr>
        <w:tc>
          <w:tcPr>
            <w:tcW w:w="709" w:type="dxa"/>
          </w:tcPr>
          <w:p>
            <w:pPr>
              <w:pStyle w:val="yTableNAm"/>
              <w:jc w:val="center"/>
            </w:pPr>
            <w:r>
              <w:t>8.</w:t>
            </w:r>
          </w:p>
        </w:tc>
        <w:tc>
          <w:tcPr>
            <w:tcW w:w="4819" w:type="dxa"/>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rPr>
                <w:szCs w:val="24"/>
              </w:rPr>
              <w:t>826.00</w:t>
            </w:r>
          </w:p>
        </w:tc>
      </w:tr>
      <w:tr>
        <w:trPr>
          <w:cantSplit/>
        </w:trPr>
        <w:tc>
          <w:tcPr>
            <w:tcW w:w="709" w:type="dxa"/>
          </w:tcPr>
          <w:p>
            <w:pPr>
              <w:pStyle w:val="yTableNAm"/>
              <w:jc w:val="center"/>
            </w:pPr>
            <w:r>
              <w:t>9.</w:t>
            </w:r>
          </w:p>
        </w:tc>
        <w:tc>
          <w:tcPr>
            <w:tcW w:w="4819" w:type="dxa"/>
          </w:tcPr>
          <w:p>
            <w:pPr>
              <w:pStyle w:val="yTableNAm"/>
            </w:pPr>
            <w:r>
              <w:t>For the use, other than casual daily use, of a floating alongside berth by a service vessel, an amount calculated per metre of the vessel’s length using the annual rate of</w:t>
            </w:r>
          </w:p>
        </w:tc>
        <w:tc>
          <w:tcPr>
            <w:tcW w:w="1276" w:type="dxa"/>
            <w:vAlign w:val="bottom"/>
          </w:tcPr>
          <w:p>
            <w:pPr>
              <w:pStyle w:val="yTableNAm"/>
              <w:jc w:val="center"/>
            </w:pPr>
            <w:r>
              <w:rPr>
                <w:szCs w:val="24"/>
              </w:rPr>
              <w:t>1 073.80</w:t>
            </w:r>
          </w:p>
        </w:tc>
      </w:tr>
      <w:tr>
        <w:trPr>
          <w:cantSplit/>
        </w:trPr>
        <w:tc>
          <w:tcPr>
            <w:tcW w:w="709" w:type="dxa"/>
          </w:tcPr>
          <w:p>
            <w:pPr>
              <w:pStyle w:val="yTableNAm"/>
              <w:keepNext/>
              <w:jc w:val="center"/>
            </w:pPr>
            <w:r>
              <w:t>10.</w:t>
            </w:r>
          </w:p>
        </w:tc>
        <w:tc>
          <w:tcPr>
            <w:tcW w:w="4819" w:type="dxa"/>
          </w:tcPr>
          <w:p>
            <w:pPr>
              <w:pStyle w:val="yTableNAm"/>
              <w:keepNext/>
              <w:keepLines/>
            </w:pPr>
            <w:r>
              <w:t xml:space="preserve">For the casual daily use of a pen or alongside berth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11.</w:t>
            </w:r>
          </w:p>
        </w:tc>
        <w:tc>
          <w:tcPr>
            <w:tcW w:w="4819" w:type="dxa"/>
          </w:tcPr>
          <w:p>
            <w:pPr>
              <w:pStyle w:val="yTableNAm"/>
            </w:pPr>
            <w:r>
              <w:t>For the short term use of an alongside berth on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12.</w:t>
            </w:r>
          </w:p>
        </w:tc>
        <w:tc>
          <w:tcPr>
            <w:tcW w:w="4819" w:type="dxa"/>
          </w:tcPr>
          <w:p>
            <w:pPr>
              <w:pStyle w:val="yTableNAm"/>
            </w:pPr>
            <w:r>
              <w:t>For the casual daily use of a pen or alongside berth, other than on a service jetty, by a service vessel, an amount calculated per metre of the vessel’s length using the daily rate of</w:t>
            </w:r>
          </w:p>
        </w:tc>
        <w:tc>
          <w:tcPr>
            <w:tcW w:w="1276" w:type="dxa"/>
            <w:vAlign w:val="bottom"/>
          </w:tcPr>
          <w:p>
            <w:pPr>
              <w:pStyle w:val="yTableNAm"/>
              <w:jc w:val="center"/>
            </w:pPr>
            <w:r>
              <w:rPr>
                <w:szCs w:val="24"/>
              </w:rPr>
              <w:t>12.15</w:t>
            </w:r>
          </w:p>
        </w:tc>
      </w:tr>
      <w:tr>
        <w:trPr>
          <w:cantSplit/>
        </w:trPr>
        <w:tc>
          <w:tcPr>
            <w:tcW w:w="709" w:type="dxa"/>
            <w:tcBorders>
              <w:bottom w:val="single" w:sz="4" w:space="0" w:color="auto"/>
            </w:tcBorders>
          </w:tcPr>
          <w:p>
            <w:pPr>
              <w:pStyle w:val="yTableNAm"/>
              <w:jc w:val="center"/>
            </w:pPr>
            <w:r>
              <w:lastRenderedPageBreak/>
              <w:t>13.</w:t>
            </w:r>
          </w:p>
        </w:tc>
        <w:tc>
          <w:tcPr>
            <w:tcW w:w="4819" w:type="dxa"/>
            <w:tcBorders>
              <w:bottom w:val="single" w:sz="4" w:space="0" w:color="auto"/>
            </w:tcBorders>
          </w:tcPr>
          <w:p>
            <w:pPr>
              <w:pStyle w:val="y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pPr>
              <w:pStyle w:val="yTableNAm"/>
              <w:jc w:val="center"/>
            </w:pPr>
            <w:r>
              <w:rPr>
                <w:szCs w:val="24"/>
              </w:rPr>
              <w:t>18.70</w:t>
            </w:r>
          </w:p>
        </w:tc>
      </w:tr>
    </w:tbl>
    <w:p>
      <w:pPr>
        <w:pStyle w:val="yFootnotesection"/>
      </w:pPr>
      <w:r>
        <w:tab/>
        <w:t>[Clause 16 inserted: Gazette 31 May 2019 p. 1768</w:t>
      </w:r>
      <w:r>
        <w:noBreakHyphen/>
        <w:t>70; amended: SL 2020/96 r. 6(2); SL 2021/68 r. 8.]</w:t>
      </w:r>
    </w:p>
    <w:p>
      <w:pPr>
        <w:pStyle w:val="yHeading5"/>
      </w:pPr>
      <w:bookmarkStart w:id="248" w:name="_Toc101362580"/>
      <w:r>
        <w:rPr>
          <w:rStyle w:val="CharSClsNo"/>
        </w:rPr>
        <w:t>17</w:t>
      </w:r>
      <w:r>
        <w:t>.</w:t>
      </w:r>
      <w:r>
        <w:tab/>
        <w:t>Fremantle Fishing Boat Harbour</w:t>
      </w:r>
      <w:bookmarkEnd w:id="248"/>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other than casual daily use, of a fixed pen without a walkway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pen’s length using the annual rate of</w:t>
            </w:r>
          </w:p>
        </w:tc>
        <w:tc>
          <w:tcPr>
            <w:tcW w:w="1276" w:type="dxa"/>
            <w:vAlign w:val="bottom"/>
          </w:tcPr>
          <w:p>
            <w:pPr>
              <w:pStyle w:val="yTableNAm"/>
              <w:jc w:val="center"/>
            </w:pPr>
            <w:r>
              <w:rPr>
                <w:szCs w:val="24"/>
              </w:rPr>
              <w:t>454.50</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pen’s length using the annual rate of</w:t>
            </w:r>
          </w:p>
        </w:tc>
        <w:tc>
          <w:tcPr>
            <w:tcW w:w="1276" w:type="dxa"/>
            <w:vAlign w:val="bottom"/>
          </w:tcPr>
          <w:p>
            <w:pPr>
              <w:pStyle w:val="yTableNAm"/>
              <w:jc w:val="center"/>
            </w:pPr>
            <w:r>
              <w:rPr>
                <w:szCs w:val="24"/>
              </w:rPr>
              <w:t>578.20</w:t>
            </w:r>
          </w:p>
        </w:tc>
      </w:tr>
      <w:tr>
        <w:trPr>
          <w:cantSplit/>
        </w:trPr>
        <w:tc>
          <w:tcPr>
            <w:tcW w:w="709" w:type="dxa"/>
          </w:tcPr>
          <w:p>
            <w:pPr>
              <w:pStyle w:val="yTableNAm"/>
              <w:jc w:val="center"/>
            </w:pPr>
            <w:r>
              <w:t>2.</w:t>
            </w:r>
          </w:p>
        </w:tc>
        <w:tc>
          <w:tcPr>
            <w:tcW w:w="4819" w:type="dxa"/>
          </w:tcPr>
          <w:p>
            <w:pPr>
              <w:pStyle w:val="yTableNAm"/>
            </w:pPr>
            <w:r>
              <w:t xml:space="preserve">For the use, other than casual daily use, of a fixed alongside berth — </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vessel’s length using the annual rate of</w:t>
            </w:r>
          </w:p>
        </w:tc>
        <w:tc>
          <w:tcPr>
            <w:tcW w:w="1276" w:type="dxa"/>
            <w:vAlign w:val="bottom"/>
          </w:tcPr>
          <w:p>
            <w:pPr>
              <w:pStyle w:val="yTableNAm"/>
              <w:jc w:val="center"/>
            </w:pPr>
            <w:r>
              <w:rPr>
                <w:szCs w:val="24"/>
              </w:rPr>
              <w:t>493.00</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vessel’s length using the annual rate of</w:t>
            </w:r>
          </w:p>
        </w:tc>
        <w:tc>
          <w:tcPr>
            <w:tcW w:w="1276" w:type="dxa"/>
            <w:vAlign w:val="bottom"/>
          </w:tcPr>
          <w:p>
            <w:pPr>
              <w:pStyle w:val="yTableNAm"/>
              <w:jc w:val="center"/>
            </w:pPr>
            <w:r>
              <w:rPr>
                <w:szCs w:val="24"/>
              </w:rPr>
              <w:t>657.30</w:t>
            </w:r>
          </w:p>
        </w:tc>
      </w:tr>
      <w:tr>
        <w:trPr>
          <w:cantSplit/>
        </w:trPr>
        <w:tc>
          <w:tcPr>
            <w:tcW w:w="709" w:type="dxa"/>
          </w:tcPr>
          <w:p>
            <w:pPr>
              <w:pStyle w:val="yTableNAm"/>
              <w:jc w:val="center"/>
            </w:pPr>
            <w:r>
              <w:lastRenderedPageBreak/>
              <w:t>3.</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826.00</w:t>
            </w:r>
          </w:p>
        </w:tc>
      </w:tr>
      <w:tr>
        <w:trPr>
          <w:cantSplit/>
        </w:trPr>
        <w:tc>
          <w:tcPr>
            <w:tcW w:w="709" w:type="dxa"/>
          </w:tcPr>
          <w:p>
            <w:pPr>
              <w:pStyle w:val="yTableNAm"/>
              <w:jc w:val="center"/>
            </w:pPr>
            <w:r>
              <w:t>4.</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826.00</w:t>
            </w:r>
          </w:p>
        </w:tc>
      </w:tr>
      <w:tr>
        <w:trPr>
          <w:cantSplit/>
        </w:trPr>
        <w:tc>
          <w:tcPr>
            <w:tcW w:w="709" w:type="dxa"/>
          </w:tcPr>
          <w:p>
            <w:pPr>
              <w:pStyle w:val="yTableNAm"/>
              <w:keepNext/>
              <w:jc w:val="center"/>
            </w:pPr>
            <w:r>
              <w:t>5.</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17 inserted: Gazette 31 May 2019 p. 1771</w:t>
      </w:r>
      <w:r>
        <w:noBreakHyphen/>
        <w:t>2; amended: SL 2021/68 r. 8.]</w:t>
      </w:r>
    </w:p>
    <w:p>
      <w:pPr>
        <w:pStyle w:val="yHeading5"/>
      </w:pPr>
      <w:bookmarkStart w:id="249" w:name="_Toc101362581"/>
      <w:r>
        <w:rPr>
          <w:rStyle w:val="CharSClsNo"/>
        </w:rPr>
        <w:t>18</w:t>
      </w:r>
      <w:r>
        <w:t>.</w:t>
      </w:r>
      <w:r>
        <w:tab/>
        <w:t>Geraldton, Batavia Coast Boat Harbour</w:t>
      </w:r>
      <w:bookmarkEnd w:id="249"/>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rPr>
                <w:szCs w:val="24"/>
              </w:rPr>
              <w:t>788.90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rPr>
                <w:szCs w:val="24"/>
              </w:rPr>
              <w:t>788.90</w:t>
            </w:r>
          </w:p>
        </w:tc>
      </w:tr>
      <w:tr>
        <w:trPr>
          <w:cantSplit/>
        </w:trPr>
        <w:tc>
          <w:tcPr>
            <w:tcW w:w="709" w:type="dxa"/>
          </w:tcPr>
          <w:p>
            <w:pPr>
              <w:pStyle w:val="yTableNAm"/>
              <w:jc w:val="center"/>
            </w:pPr>
            <w:r>
              <w:lastRenderedPageBreak/>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18 inserted: Gazette 31 May 2019 p. 1772</w:t>
      </w:r>
      <w:r>
        <w:noBreakHyphen/>
        <w:t>3; amended: SL 2021/68 r. 8.]</w:t>
      </w:r>
    </w:p>
    <w:p>
      <w:pPr>
        <w:pStyle w:val="yHeading5"/>
      </w:pPr>
      <w:bookmarkStart w:id="250" w:name="_Toc101362582"/>
      <w:r>
        <w:rPr>
          <w:rStyle w:val="CharSClsNo"/>
        </w:rPr>
        <w:t>19</w:t>
      </w:r>
      <w:r>
        <w:t>.</w:t>
      </w:r>
      <w:r>
        <w:tab/>
        <w:t>Green Head</w:t>
      </w:r>
      <w:bookmarkEnd w:id="250"/>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19 inserted: Gazette 31 May 2019 p. 1773.]</w:t>
      </w:r>
    </w:p>
    <w:p>
      <w:pPr>
        <w:pStyle w:val="yHeading5"/>
      </w:pPr>
      <w:bookmarkStart w:id="251" w:name="_Toc101362583"/>
      <w:r>
        <w:rPr>
          <w:rStyle w:val="CharSClsNo"/>
        </w:rPr>
        <w:t>20</w:t>
      </w:r>
      <w:r>
        <w:t>.</w:t>
      </w:r>
      <w:r>
        <w:tab/>
        <w:t>Hopetoun</w:t>
      </w:r>
      <w:bookmarkEnd w:id="251"/>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20 inserted: Gazette 31 May 2019 p. 1773</w:t>
      </w:r>
      <w:r>
        <w:noBreakHyphen/>
        <w:t>4.]</w:t>
      </w:r>
    </w:p>
    <w:p>
      <w:pPr>
        <w:pStyle w:val="yHeading5"/>
      </w:pPr>
      <w:bookmarkStart w:id="252" w:name="_Toc101362584"/>
      <w:r>
        <w:rPr>
          <w:rStyle w:val="CharSClsNo"/>
        </w:rPr>
        <w:t>21</w:t>
      </w:r>
      <w:r>
        <w:t>.</w:t>
      </w:r>
      <w:r>
        <w:tab/>
        <w:t>Jurien Boat Harbour</w:t>
      </w:r>
      <w:bookmarkEnd w:id="252"/>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578.20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626.80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lastRenderedPageBreak/>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21 inserted: Gazette 31 May 2019 p. 1774; amended: SL 2021/68 r. 8.]</w:t>
      </w:r>
    </w:p>
    <w:p>
      <w:pPr>
        <w:pStyle w:val="yHeading5"/>
      </w:pPr>
      <w:bookmarkStart w:id="253" w:name="_Toc101362585"/>
      <w:r>
        <w:rPr>
          <w:rStyle w:val="CharSClsNo"/>
        </w:rPr>
        <w:t>22</w:t>
      </w:r>
      <w:r>
        <w:t>.</w:t>
      </w:r>
      <w:r>
        <w:tab/>
        <w:t>Kalbarri Boat Harbour</w:t>
      </w:r>
      <w:bookmarkEnd w:id="253"/>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399.50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399.50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22 inserted: Gazette 31 May 2019 p. 1774</w:t>
      </w:r>
      <w:r>
        <w:noBreakHyphen/>
        <w:t>5; amended: SL 2021/68 r. 8.]</w:t>
      </w:r>
    </w:p>
    <w:p>
      <w:pPr>
        <w:pStyle w:val="yHeading5"/>
      </w:pPr>
      <w:bookmarkStart w:id="254" w:name="_Toc101362586"/>
      <w:r>
        <w:rPr>
          <w:rStyle w:val="CharSClsNo"/>
        </w:rPr>
        <w:t>23</w:t>
      </w:r>
      <w:r>
        <w:t>.</w:t>
      </w:r>
      <w:r>
        <w:tab/>
        <w:t>Lancelin</w:t>
      </w:r>
      <w:bookmarkEnd w:id="254"/>
    </w:p>
    <w:p>
      <w:pPr>
        <w:pStyle w:val="ySubsection"/>
      </w:pPr>
      <w:r>
        <w:tab/>
        <w:t>(1)</w:t>
      </w:r>
      <w:r>
        <w:tab/>
        <w:t>This clause applies to Lancelin.</w:t>
      </w:r>
    </w:p>
    <w:p>
      <w:pPr>
        <w:pStyle w:val="ySubsection"/>
      </w:pPr>
      <w:r>
        <w:lastRenderedPageBreak/>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23 inserted: Gazette 31 May 2019 p. 1775.]</w:t>
      </w:r>
    </w:p>
    <w:p>
      <w:pPr>
        <w:pStyle w:val="yHeading5"/>
      </w:pPr>
      <w:bookmarkStart w:id="255" w:name="_Toc101362587"/>
      <w:r>
        <w:rPr>
          <w:rStyle w:val="CharSClsNo"/>
        </w:rPr>
        <w:t>24</w:t>
      </w:r>
      <w:r>
        <w:t>.</w:t>
      </w:r>
      <w:r>
        <w:tab/>
        <w:t>Leeman</w:t>
      </w:r>
      <w:bookmarkEnd w:id="255"/>
    </w:p>
    <w:p>
      <w:pPr>
        <w:pStyle w:val="ySubsection"/>
        <w:keepNext/>
      </w:pPr>
      <w:r>
        <w:tab/>
        <w:t>(1)</w:t>
      </w:r>
      <w:r>
        <w:tab/>
        <w:t>This clause applies to Leeman.</w:t>
      </w:r>
    </w:p>
    <w:p>
      <w:pPr>
        <w:pStyle w:val="ySubsection"/>
        <w:keepNext/>
      </w:pPr>
      <w:r>
        <w:tab/>
        <w:t>(2)</w:t>
      </w:r>
      <w:r>
        <w:tab/>
        <w:t xml:space="preserve">The berthing dues payable are set out in the Table. </w:t>
      </w:r>
    </w:p>
    <w:p>
      <w:pPr>
        <w:pStyle w:val="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520" w:type="dxa"/>
            <w:tcBorders>
              <w:top w:val="single" w:sz="4" w:space="0" w:color="auto"/>
              <w:bottom w:val="single" w:sz="4" w:space="0" w:color="auto"/>
            </w:tcBorders>
          </w:tcPr>
          <w:p>
            <w:pPr>
              <w:pStyle w:val="yTableNAm"/>
              <w:keepNext/>
              <w:ind w:right="84"/>
              <w:jc w:val="center"/>
              <w:rPr>
                <w:b/>
              </w:rPr>
            </w:pPr>
            <w:r>
              <w:rPr>
                <w:b/>
              </w:rPr>
              <w:t>Type of use</w:t>
            </w:r>
          </w:p>
        </w:tc>
      </w:tr>
      <w:tr>
        <w:trPr>
          <w:cantSplit/>
        </w:trPr>
        <w:tc>
          <w:tcPr>
            <w:tcW w:w="709" w:type="dxa"/>
          </w:tcPr>
          <w:p>
            <w:pPr>
              <w:pStyle w:val="yTableNAm"/>
              <w:keepNext/>
              <w:jc w:val="center"/>
            </w:pPr>
            <w:r>
              <w:t>1.</w:t>
            </w:r>
          </w:p>
        </w:tc>
        <w:tc>
          <w:tcPr>
            <w:tcW w:w="6520" w:type="dxa"/>
          </w:tcPr>
          <w:p>
            <w:pPr>
              <w:pStyle w:val="yTableNAm"/>
              <w:keepNext/>
              <w:ind w:right="84"/>
            </w:pPr>
            <w:r>
              <w:t xml:space="preserve">For the casual daily use of an alongside berth — </w:t>
            </w:r>
          </w:p>
        </w:tc>
      </w:tr>
      <w:tr>
        <w:trPr>
          <w:cantSplit/>
        </w:trPr>
        <w:tc>
          <w:tcPr>
            <w:tcW w:w="709" w:type="dxa"/>
          </w:tcPr>
          <w:p>
            <w:pPr>
              <w:pStyle w:val="yTableNAm"/>
              <w:keepNext/>
              <w:jc w:val="center"/>
            </w:pPr>
          </w:p>
        </w:tc>
        <w:tc>
          <w:tcPr>
            <w:tcW w:w="6520" w:type="dxa"/>
          </w:tcPr>
          <w:p>
            <w:pPr>
              <w:pStyle w:val="yTableNAm"/>
              <w:keepNext/>
              <w:ind w:left="567" w:right="84" w:hanging="567"/>
            </w:pPr>
            <w:r>
              <w:t>•</w:t>
            </w:r>
            <w:r>
              <w:tab/>
              <w:t>by a commercial vessel, an amount calculated using standard Rate 1</w:t>
            </w:r>
          </w:p>
        </w:tc>
      </w:tr>
      <w:tr>
        <w:trPr>
          <w:cantSplit/>
        </w:trPr>
        <w:tc>
          <w:tcPr>
            <w:tcW w:w="709" w:type="dxa"/>
          </w:tcPr>
          <w:p>
            <w:pPr>
              <w:pStyle w:val="yTableNAm"/>
              <w:jc w:val="center"/>
            </w:pPr>
          </w:p>
        </w:tc>
        <w:tc>
          <w:tcPr>
            <w:tcW w:w="6520" w:type="dxa"/>
          </w:tcPr>
          <w:p>
            <w:pPr>
              <w:pStyle w:val="yTableNAm"/>
              <w:ind w:left="567" w:right="84"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520" w:type="dxa"/>
            <w:tcBorders>
              <w:bottom w:val="single" w:sz="4" w:space="0" w:color="auto"/>
            </w:tcBorders>
          </w:tcPr>
          <w:p>
            <w:pPr>
              <w:pStyle w:val="yTableNAm"/>
              <w:ind w:right="84"/>
            </w:pPr>
            <w:r>
              <w:t>For the short term use of a service jetty, an amount calculated using standard Rate 3</w:t>
            </w:r>
          </w:p>
        </w:tc>
      </w:tr>
    </w:tbl>
    <w:p>
      <w:pPr>
        <w:pStyle w:val="yFootnotesection"/>
      </w:pPr>
      <w:r>
        <w:tab/>
        <w:t>[Clause 24 inserted: Gazette 31 May 2019 p. 1776.]</w:t>
      </w:r>
    </w:p>
    <w:p>
      <w:pPr>
        <w:pStyle w:val="yHeading5"/>
      </w:pPr>
      <w:bookmarkStart w:id="256" w:name="_Toc101362588"/>
      <w:r>
        <w:rPr>
          <w:rStyle w:val="CharSClsNo"/>
        </w:rPr>
        <w:t>25</w:t>
      </w:r>
      <w:r>
        <w:t>.</w:t>
      </w:r>
      <w:r>
        <w:tab/>
        <w:t>Onslow, Beadon Creek Boat Harbour</w:t>
      </w:r>
      <w:bookmarkEnd w:id="256"/>
    </w:p>
    <w:p>
      <w:pPr>
        <w:pStyle w:val="ySubsection"/>
      </w:pPr>
      <w:r>
        <w:tab/>
        <w:t>(1)</w:t>
      </w:r>
      <w:r>
        <w:tab/>
        <w:t>This clause applies to the Beadon Creek Boat Harbour at Onslow.</w:t>
      </w:r>
    </w:p>
    <w:p>
      <w:pPr>
        <w:pStyle w:val="ySubsection"/>
      </w:pPr>
      <w:r>
        <w:lastRenderedPageBreak/>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pPr>
              <w:pStyle w:val="yTableNAm"/>
              <w:jc w:val="center"/>
            </w:pPr>
            <w:r>
              <w:t>330.40</w:t>
            </w:r>
          </w:p>
        </w:tc>
      </w:tr>
      <w:tr>
        <w:trPr>
          <w:cantSplit/>
        </w:trPr>
        <w:tc>
          <w:tcPr>
            <w:tcW w:w="709" w:type="dxa"/>
          </w:tcPr>
          <w:p>
            <w:pPr>
              <w:pStyle w:val="yTableNAm"/>
              <w:jc w:val="center"/>
            </w:pPr>
            <w:r>
              <w:t>2.</w:t>
            </w:r>
          </w:p>
        </w:tc>
        <w:tc>
          <w:tcPr>
            <w:tcW w:w="4819" w:type="dxa"/>
          </w:tcPr>
          <w:p>
            <w:pPr>
              <w:pStyle w:val="yTableNAm"/>
            </w:pPr>
            <w:r>
              <w:t>For the use, other than casual daily use, of a pile mooring by a service vessel, an amount calculated per metre of the vessel’s length using the annual rate of</w:t>
            </w:r>
          </w:p>
        </w:tc>
        <w:tc>
          <w:tcPr>
            <w:tcW w:w="1276" w:type="dxa"/>
            <w:vAlign w:val="bottom"/>
          </w:tcPr>
          <w:p>
            <w:pPr>
              <w:pStyle w:val="yTableNAm"/>
              <w:jc w:val="center"/>
            </w:pPr>
            <w:r>
              <w:rPr>
                <w:szCs w:val="24"/>
              </w:rPr>
              <w:t>516.30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an alongside berth or pile mooring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short term use of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casual daily use of a pile mooring by a service vessel, an amount calculated per metre of the vessel’s length using the daily rate of</w:t>
            </w:r>
          </w:p>
        </w:tc>
        <w:tc>
          <w:tcPr>
            <w:tcW w:w="1276" w:type="dxa"/>
            <w:vAlign w:val="bottom"/>
          </w:tcPr>
          <w:p>
            <w:pPr>
              <w:pStyle w:val="yTableNAm"/>
              <w:jc w:val="center"/>
            </w:pPr>
            <w:r>
              <w:rPr>
                <w:szCs w:val="24"/>
              </w:rPr>
              <w:t>10.85</w:t>
            </w:r>
          </w:p>
        </w:tc>
      </w:tr>
      <w:tr>
        <w:trPr>
          <w:cantSplit/>
        </w:trPr>
        <w:tc>
          <w:tcPr>
            <w:tcW w:w="709" w:type="dxa"/>
          </w:tcPr>
          <w:p>
            <w:pPr>
              <w:pStyle w:val="yTableNAm"/>
              <w:jc w:val="center"/>
            </w:pPr>
            <w:r>
              <w:t>6.</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pPr>
              <w:pStyle w:val="yTableNAm"/>
              <w:jc w:val="center"/>
            </w:pPr>
            <w:r>
              <w:rPr>
                <w:szCs w:val="24"/>
              </w:rPr>
              <w:t>97.95</w:t>
            </w:r>
          </w:p>
        </w:tc>
      </w:tr>
      <w:tr>
        <w:trPr>
          <w:cantSplit/>
        </w:trPr>
        <w:tc>
          <w:tcPr>
            <w:tcW w:w="709" w:type="dxa"/>
          </w:tcPr>
          <w:p>
            <w:pPr>
              <w:pStyle w:val="yTableNAm"/>
              <w:jc w:val="center"/>
            </w:pPr>
            <w:r>
              <w:lastRenderedPageBreak/>
              <w:t>7.</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pPr>
              <w:pStyle w:val="yTableNAm"/>
              <w:jc w:val="center"/>
            </w:pPr>
            <w:r>
              <w:rPr>
                <w:szCs w:val="24"/>
              </w:rPr>
              <w:t>29.40</w:t>
            </w:r>
          </w:p>
        </w:tc>
      </w:tr>
      <w:tr>
        <w:trPr>
          <w:cantSplit/>
        </w:trPr>
        <w:tc>
          <w:tcPr>
            <w:tcW w:w="709" w:type="dxa"/>
            <w:tcBorders>
              <w:bottom w:val="single" w:sz="4" w:space="0" w:color="auto"/>
            </w:tcBorders>
          </w:tcPr>
          <w:p>
            <w:pPr>
              <w:pStyle w:val="yTableNAm"/>
              <w:jc w:val="center"/>
            </w:pPr>
            <w:r>
              <w:t>8.</w:t>
            </w:r>
          </w:p>
        </w:tc>
        <w:tc>
          <w:tcPr>
            <w:tcW w:w="4819" w:type="dxa"/>
            <w:tcBorders>
              <w:bottom w:val="single" w:sz="4" w:space="0" w:color="auto"/>
            </w:tcBorders>
          </w:tcPr>
          <w:p>
            <w:pPr>
              <w:pStyle w:val="y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4"/>
              </w:rPr>
              <w:t>9.35</w:t>
            </w:r>
          </w:p>
        </w:tc>
      </w:tr>
    </w:tbl>
    <w:p>
      <w:pPr>
        <w:pStyle w:val="yFootnotesection"/>
      </w:pPr>
      <w:r>
        <w:tab/>
        <w:t>[Clause 25 inserted: Gazette 31 May 2019 p. 1776</w:t>
      </w:r>
      <w:r>
        <w:noBreakHyphen/>
        <w:t>7; amended: SL 2020/96 r. 6(3); SL 2021/68 r. 8.]</w:t>
      </w:r>
    </w:p>
    <w:p>
      <w:pPr>
        <w:pStyle w:val="yHeading5"/>
      </w:pPr>
      <w:bookmarkStart w:id="257" w:name="_Toc101362589"/>
      <w:r>
        <w:rPr>
          <w:rStyle w:val="CharSClsNo"/>
        </w:rPr>
        <w:t>26</w:t>
      </w:r>
      <w:r>
        <w:t>.</w:t>
      </w:r>
      <w:r>
        <w:tab/>
        <w:t>Point Samson, Johns Creek Boat Harbour</w:t>
      </w:r>
      <w:bookmarkEnd w:id="257"/>
    </w:p>
    <w:p>
      <w:pPr>
        <w:pStyle w:val="ySubsection"/>
        <w:keepNext/>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pPr>
              <w:pStyle w:val="yTableNAm"/>
              <w:jc w:val="center"/>
            </w:pPr>
            <w:r>
              <w:rPr>
                <w:szCs w:val="24"/>
              </w:rPr>
              <w:t>660.80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at a service jetty by a service vessel, an amount calculated per metre of the vessel’s length using the annual rate of</w:t>
            </w:r>
          </w:p>
        </w:tc>
        <w:tc>
          <w:tcPr>
            <w:tcW w:w="1276" w:type="dxa"/>
            <w:vAlign w:val="bottom"/>
          </w:tcPr>
          <w:p>
            <w:pPr>
              <w:pStyle w:val="yTableNAm"/>
              <w:jc w:val="center"/>
            </w:pPr>
            <w:r>
              <w:t>908.60</w:t>
            </w:r>
          </w:p>
        </w:tc>
      </w:tr>
      <w:tr>
        <w:trPr>
          <w:cantSplit/>
        </w:trPr>
        <w:tc>
          <w:tcPr>
            <w:tcW w:w="709" w:type="dxa"/>
          </w:tcPr>
          <w:p>
            <w:pPr>
              <w:pStyle w:val="yTableNAm"/>
              <w:jc w:val="center"/>
            </w:pPr>
            <w:r>
              <w:t>3.</w:t>
            </w:r>
          </w:p>
        </w:tc>
        <w:tc>
          <w:tcPr>
            <w:tcW w:w="4819" w:type="dxa"/>
          </w:tcPr>
          <w:p>
            <w:pPr>
              <w:pStyle w:val="yTableNAm"/>
            </w:pPr>
            <w:r>
              <w:t>For the casual daily use of a berth at a service jetty 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r>
              <w:lastRenderedPageBreak/>
              <w:t>4.</w:t>
            </w:r>
          </w:p>
        </w:tc>
        <w:tc>
          <w:tcPr>
            <w:tcW w:w="4819" w:type="dxa"/>
          </w:tcPr>
          <w:p>
            <w:pPr>
              <w:pStyle w:val="yTableNAm"/>
            </w:pPr>
            <w:r>
              <w:t>For the casual daily use of a service jetty 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short term use of a berth at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4"/>
              </w:rPr>
              <w:t>9.35</w:t>
            </w:r>
          </w:p>
        </w:tc>
      </w:tr>
    </w:tbl>
    <w:p>
      <w:pPr>
        <w:pStyle w:val="ySubsection"/>
        <w:keepNext/>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of a careening pad by a vessel, an amount per day of — </w:t>
            </w:r>
          </w:p>
        </w:tc>
        <w:tc>
          <w:tcPr>
            <w:tcW w:w="1276" w:type="dxa"/>
            <w:vAlign w:val="bottom"/>
          </w:tcPr>
          <w:p>
            <w:pPr>
              <w:pStyle w:val="yTableNAm"/>
              <w:keepNext/>
              <w:jc w:val="right"/>
            </w:pPr>
          </w:p>
        </w:tc>
      </w:tr>
      <w:tr>
        <w:trPr>
          <w:cantSplit/>
        </w:trPr>
        <w:tc>
          <w:tcPr>
            <w:tcW w:w="709" w:type="dxa"/>
          </w:tcPr>
          <w:p>
            <w:pPr>
              <w:pStyle w:val="yTableNAm"/>
              <w:keepNext/>
              <w:jc w:val="center"/>
            </w:pPr>
          </w:p>
        </w:tc>
        <w:tc>
          <w:tcPr>
            <w:tcW w:w="4819" w:type="dxa"/>
          </w:tcPr>
          <w:p>
            <w:pPr>
              <w:pStyle w:val="yTableNAm"/>
              <w:keepNext/>
            </w:pPr>
            <w:r>
              <w:t>•</w:t>
            </w:r>
            <w:r>
              <w:tab/>
              <w:t>if the vessel is 15 m or less in length</w:t>
            </w:r>
          </w:p>
        </w:tc>
        <w:tc>
          <w:tcPr>
            <w:tcW w:w="1276" w:type="dxa"/>
            <w:vAlign w:val="bottom"/>
          </w:tcPr>
          <w:p>
            <w:pPr>
              <w:pStyle w:val="yTableNAm"/>
              <w:keepNext/>
              <w:jc w:val="center"/>
            </w:pPr>
            <w:r>
              <w:rPr>
                <w:szCs w:val="24"/>
              </w:rPr>
              <w:t>223.45</w:t>
            </w:r>
          </w:p>
        </w:tc>
      </w:tr>
      <w:tr>
        <w:trPr>
          <w:cantSplit/>
        </w:trPr>
        <w:tc>
          <w:tcPr>
            <w:tcW w:w="709" w:type="dxa"/>
            <w:tcBorders>
              <w:bottom w:val="single" w:sz="4" w:space="0" w:color="auto"/>
            </w:tcBorders>
          </w:tcPr>
          <w:p>
            <w:pPr>
              <w:pStyle w:val="yTableNAm"/>
              <w:jc w:val="center"/>
            </w:pPr>
          </w:p>
        </w:tc>
        <w:tc>
          <w:tcPr>
            <w:tcW w:w="4819" w:type="dxa"/>
            <w:tcBorders>
              <w:bottom w:val="single" w:sz="4" w:space="0" w:color="auto"/>
            </w:tcBorders>
          </w:tcPr>
          <w:p>
            <w:pPr>
              <w:pStyle w:val="yTableNAm"/>
            </w:pPr>
            <w:r>
              <w:t>•</w:t>
            </w:r>
            <w:r>
              <w:tab/>
              <w:t>if the vessel is over 15 m in length</w:t>
            </w:r>
          </w:p>
        </w:tc>
        <w:tc>
          <w:tcPr>
            <w:tcW w:w="1276" w:type="dxa"/>
            <w:tcBorders>
              <w:bottom w:val="single" w:sz="4" w:space="0" w:color="auto"/>
            </w:tcBorders>
            <w:vAlign w:val="bottom"/>
          </w:tcPr>
          <w:p>
            <w:pPr>
              <w:pStyle w:val="yTableNAm"/>
              <w:jc w:val="center"/>
            </w:pPr>
            <w:r>
              <w:rPr>
                <w:szCs w:val="24"/>
              </w:rPr>
              <w:t>326.20</w:t>
            </w:r>
          </w:p>
        </w:tc>
      </w:tr>
    </w:tbl>
    <w:p>
      <w:pPr>
        <w:pStyle w:val="yFootnotesection"/>
      </w:pPr>
      <w:r>
        <w:tab/>
        <w:t>[Clause 26 inserted: Gazette 31 May 2019 p. 1778</w:t>
      </w:r>
      <w:r>
        <w:noBreakHyphen/>
        <w:t>9; amended: SL 2020/96 r. 6(4) and (5); SL 2021/68 r. 8.]</w:t>
      </w:r>
    </w:p>
    <w:p>
      <w:pPr>
        <w:pStyle w:val="yHeading5"/>
      </w:pPr>
      <w:bookmarkStart w:id="258" w:name="_Toc101362590"/>
      <w:r>
        <w:rPr>
          <w:rStyle w:val="CharSClsNo"/>
        </w:rPr>
        <w:t>27</w:t>
      </w:r>
      <w:r>
        <w:t>.</w:t>
      </w:r>
      <w:r>
        <w:tab/>
        <w:t>Port Denison</w:t>
      </w:r>
      <w:bookmarkEnd w:id="258"/>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412.00</w:t>
            </w:r>
          </w:p>
        </w:tc>
      </w:tr>
      <w:tr>
        <w:trPr>
          <w:cantSplit/>
        </w:trPr>
        <w:tc>
          <w:tcPr>
            <w:tcW w:w="709" w:type="dxa"/>
          </w:tcPr>
          <w:p>
            <w:pPr>
              <w:pStyle w:val="yTableNAm"/>
              <w:jc w:val="center"/>
            </w:pPr>
            <w:r>
              <w:lastRenderedPageBreak/>
              <w:t>2.</w:t>
            </w:r>
          </w:p>
        </w:tc>
        <w:tc>
          <w:tcPr>
            <w:tcW w:w="4819" w:type="dxa"/>
          </w:tcPr>
          <w:p>
            <w:pPr>
              <w:pStyle w:val="yTableNAm"/>
            </w:pPr>
            <w:r>
              <w:t>For the casual daily use of an alongside berth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3.</w:t>
            </w:r>
          </w:p>
        </w:tc>
        <w:tc>
          <w:tcPr>
            <w:tcW w:w="4819" w:type="dxa"/>
          </w:tcPr>
          <w:p>
            <w:pPr>
              <w:pStyle w:val="yTableNAm"/>
            </w:pPr>
            <w:r>
              <w:t>For the casual daily use of a pen or alongside berth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27 inserted: Gazette 31 May 2019 p. 1779; amended: SL 2021/68 r. 8.]</w:t>
      </w:r>
    </w:p>
    <w:p>
      <w:pPr>
        <w:pStyle w:val="yHeading5"/>
      </w:pPr>
      <w:bookmarkStart w:id="259" w:name="_Toc101362591"/>
      <w:r>
        <w:rPr>
          <w:rStyle w:val="CharSClsNo"/>
        </w:rPr>
        <w:t>28</w:t>
      </w:r>
      <w:r>
        <w:t>.</w:t>
      </w:r>
      <w:r>
        <w:tab/>
        <w:t>Port Gregory</w:t>
      </w:r>
      <w:bookmarkEnd w:id="259"/>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28 inserted: Gazette 31 May 2019 p. 1779</w:t>
      </w:r>
      <w:r>
        <w:noBreakHyphen/>
        <w:t>80.]</w:t>
      </w:r>
    </w:p>
    <w:p>
      <w:pPr>
        <w:pStyle w:val="yHeading5"/>
      </w:pPr>
      <w:bookmarkStart w:id="260" w:name="_Toc101362592"/>
      <w:r>
        <w:rPr>
          <w:rStyle w:val="CharSClsNo"/>
        </w:rPr>
        <w:t>29</w:t>
      </w:r>
      <w:r>
        <w:t>.</w:t>
      </w:r>
      <w:r>
        <w:tab/>
        <w:t>Two Rocks Marina</w:t>
      </w:r>
      <w:bookmarkEnd w:id="260"/>
    </w:p>
    <w:p>
      <w:pPr>
        <w:pStyle w:val="ySubsection"/>
      </w:pPr>
      <w:r>
        <w:tab/>
        <w:t>(1)</w:t>
      </w:r>
      <w:r>
        <w:tab/>
        <w:t>This clause applies to the Two Rocks Marina.</w:t>
      </w:r>
    </w:p>
    <w:p>
      <w:pPr>
        <w:pStyle w:val="ySubsection"/>
      </w:pPr>
      <w:r>
        <w:lastRenderedPageBreak/>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595.40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578.20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rPr>
                <w:szCs w:val="24"/>
              </w:rPr>
              <w:t>781.60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595.40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rPr>
                <w:szCs w:val="24"/>
              </w:rPr>
              <w:t>781.60</w:t>
            </w:r>
          </w:p>
        </w:tc>
      </w:tr>
      <w:tr>
        <w:trPr>
          <w:cantSplit/>
        </w:trPr>
        <w:tc>
          <w:tcPr>
            <w:tcW w:w="709" w:type="dxa"/>
          </w:tcPr>
          <w:p>
            <w:pPr>
              <w:pStyle w:val="yTableNAm"/>
              <w:jc w:val="center"/>
            </w:pPr>
            <w:r>
              <w:t>6.</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29 inserted: Gazette 31 May 2019 p. 1780</w:t>
      </w:r>
      <w:r>
        <w:noBreakHyphen/>
        <w:t>1; amended: SL 2021/68 r. 8.]</w:t>
      </w:r>
    </w:p>
    <w:p>
      <w:pPr>
        <w:pStyle w:val="yEdnotesection"/>
      </w:pPr>
      <w:r>
        <w:t>[</w:t>
      </w:r>
      <w:r>
        <w:rPr>
          <w:b/>
        </w:rPr>
        <w:t>30.</w:t>
      </w:r>
      <w:r>
        <w:tab/>
        <w:t>Deleted: SL 2021/51 r. 6(3).]</w:t>
      </w:r>
    </w:p>
    <w:p>
      <w:pPr>
        <w:pStyle w:val="yHeading3"/>
      </w:pPr>
      <w:bookmarkStart w:id="261" w:name="_Toc101351195"/>
      <w:bookmarkStart w:id="262" w:name="_Toc101351512"/>
      <w:bookmarkStart w:id="263" w:name="_Toc101362593"/>
      <w:r>
        <w:rPr>
          <w:rStyle w:val="CharSDivNo"/>
        </w:rPr>
        <w:lastRenderedPageBreak/>
        <w:t>Division 3</w:t>
      </w:r>
      <w:r>
        <w:t> — </w:t>
      </w:r>
      <w:r>
        <w:rPr>
          <w:rStyle w:val="CharSDivText"/>
        </w:rPr>
        <w:t>State</w:t>
      </w:r>
      <w:r>
        <w:rPr>
          <w:rStyle w:val="CharSDivText"/>
        </w:rPr>
        <w:noBreakHyphen/>
        <w:t>wide charges</w:t>
      </w:r>
      <w:bookmarkEnd w:id="261"/>
      <w:bookmarkEnd w:id="262"/>
      <w:bookmarkEnd w:id="263"/>
    </w:p>
    <w:p>
      <w:pPr>
        <w:pStyle w:val="yFootnoteheading"/>
        <w:rPr>
          <w:snapToGrid w:val="0"/>
        </w:rPr>
      </w:pPr>
      <w:r>
        <w:rPr>
          <w:snapToGrid w:val="0"/>
        </w:rPr>
        <w:tab/>
        <w:t>[Heading inserted: SL 2021/68 r. 6.]</w:t>
      </w:r>
    </w:p>
    <w:p>
      <w:pPr>
        <w:pStyle w:val="yHeading5"/>
      </w:pPr>
      <w:bookmarkStart w:id="264" w:name="_Toc101362594"/>
      <w:r>
        <w:rPr>
          <w:rStyle w:val="CharSClsNo"/>
        </w:rPr>
        <w:t>31</w:t>
      </w:r>
      <w:r>
        <w:t>.</w:t>
      </w:r>
      <w:r>
        <w:tab/>
        <w:t>Living on vessel</w:t>
      </w:r>
      <w:bookmarkEnd w:id="264"/>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place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living on a vessel — </w:t>
            </w:r>
          </w:p>
        </w:tc>
        <w:tc>
          <w:tcPr>
            <w:tcW w:w="1134" w:type="dxa"/>
            <w:noWrap/>
            <w:vAlign w:val="bottom"/>
          </w:tcPr>
          <w:p>
            <w:pPr>
              <w:pStyle w:val="yTableNAm"/>
              <w:keepNext/>
              <w:jc w:val="center"/>
            </w:pPr>
          </w:p>
        </w:tc>
      </w:tr>
      <w:tr>
        <w:trPr>
          <w:cantSplit/>
        </w:trPr>
        <w:tc>
          <w:tcPr>
            <w:tcW w:w="709" w:type="dxa"/>
            <w:noWrap/>
          </w:tcPr>
          <w:p>
            <w:pPr>
              <w:pStyle w:val="yTableNAm"/>
              <w:jc w:val="center"/>
            </w:pPr>
          </w:p>
        </w:tc>
        <w:tc>
          <w:tcPr>
            <w:tcW w:w="4961" w:type="dxa"/>
            <w:noWrap/>
          </w:tcPr>
          <w:p>
            <w:pPr>
              <w:pStyle w:val="yTableNAm"/>
              <w:ind w:left="227" w:hanging="227"/>
            </w:pPr>
            <w:r>
              <w:t>•</w:t>
            </w:r>
            <w:r>
              <w:tab/>
              <w:t>without enhanced facilities, an amount calculated using the monthly rate per vessel of</w:t>
            </w:r>
          </w:p>
        </w:tc>
        <w:tc>
          <w:tcPr>
            <w:tcW w:w="1134" w:type="dxa"/>
            <w:noWrap/>
            <w:vAlign w:val="bottom"/>
          </w:tcPr>
          <w:p>
            <w:pPr>
              <w:pStyle w:val="yTableNAm"/>
              <w:tabs>
                <w:tab w:val="clear" w:pos="567"/>
              </w:tabs>
              <w:jc w:val="center"/>
            </w:pPr>
            <w:r>
              <w:rPr>
                <w:szCs w:val="22"/>
              </w:rPr>
              <w:t>50.70</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227" w:hanging="227"/>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jc w:val="center"/>
            </w:pPr>
            <w:r>
              <w:rPr>
                <w:szCs w:val="22"/>
              </w:rPr>
              <w:t>154.50</w:t>
            </w:r>
          </w:p>
        </w:tc>
      </w:tr>
    </w:tbl>
    <w:p>
      <w:pPr>
        <w:pStyle w:val="yFootnotesection"/>
      </w:pPr>
      <w:r>
        <w:tab/>
        <w:t>[Clause 31 inserted: SL 2021/68 r. 6.]</w:t>
      </w:r>
    </w:p>
    <w:p>
      <w:pPr>
        <w:pStyle w:val="yHeading5"/>
      </w:pPr>
      <w:bookmarkStart w:id="265" w:name="_Toc101362595"/>
      <w:r>
        <w:rPr>
          <w:rStyle w:val="CharSClsNo"/>
        </w:rPr>
        <w:t>32</w:t>
      </w:r>
      <w:r>
        <w:t>.</w:t>
      </w:r>
      <w:r>
        <w:tab/>
        <w:t>Electricity supply</w:t>
      </w:r>
      <w:bookmarkEnd w:id="265"/>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electricity supply that is — </w:t>
            </w:r>
          </w:p>
        </w:tc>
        <w:tc>
          <w:tcPr>
            <w:tcW w:w="1134" w:type="dxa"/>
            <w:noWrap/>
            <w:vAlign w:val="bottom"/>
          </w:tcPr>
          <w:p>
            <w:pPr>
              <w:pStyle w:val="yTableNAm"/>
              <w:keepNext/>
              <w:tabs>
                <w:tab w:val="clear" w:pos="567"/>
              </w:tabs>
              <w:jc w:val="center"/>
            </w:pPr>
          </w:p>
        </w:tc>
      </w:tr>
      <w:tr>
        <w:trPr>
          <w:cantSplit/>
        </w:trPr>
        <w:tc>
          <w:tcPr>
            <w:tcW w:w="709" w:type="dxa"/>
            <w:noWrap/>
          </w:tcPr>
          <w:p>
            <w:pPr>
              <w:pStyle w:val="yTableNAm"/>
              <w:keepNext/>
              <w:jc w:val="center"/>
            </w:pPr>
          </w:p>
        </w:tc>
        <w:tc>
          <w:tcPr>
            <w:tcW w:w="4961" w:type="dxa"/>
            <w:noWrap/>
          </w:tcPr>
          <w:p>
            <w:pPr>
              <w:pStyle w:val="yTableNAm"/>
              <w:keepNext/>
              <w:ind w:left="227" w:hanging="227"/>
            </w:pPr>
            <w:r>
              <w:t>•</w:t>
            </w:r>
            <w:r>
              <w:tab/>
              <w:t>single phase (metered)</w:t>
            </w:r>
          </w:p>
        </w:tc>
        <w:tc>
          <w:tcPr>
            <w:tcW w:w="1134" w:type="dxa"/>
            <w:noWrap/>
            <w:vAlign w:val="bottom"/>
          </w:tcPr>
          <w:p>
            <w:pPr>
              <w:pStyle w:val="yTableNAm"/>
              <w:keepNext/>
              <w:tabs>
                <w:tab w:val="clear" w:pos="567"/>
              </w:tabs>
              <w:jc w:val="center"/>
            </w:pPr>
            <w:r>
              <w:t>Cost</w:t>
            </w:r>
          </w:p>
        </w:tc>
      </w:tr>
      <w:tr>
        <w:trPr>
          <w:cantSplit/>
        </w:trPr>
        <w:tc>
          <w:tcPr>
            <w:tcW w:w="709" w:type="dxa"/>
            <w:tcBorders>
              <w:bottom w:val="single" w:sz="4" w:space="0" w:color="auto"/>
            </w:tcBorders>
            <w:noWrap/>
          </w:tcPr>
          <w:p>
            <w:pPr>
              <w:pStyle w:val="yTableNAm"/>
              <w:keepNext/>
              <w:ind w:left="227" w:hanging="227"/>
              <w:jc w:val="center"/>
            </w:pPr>
          </w:p>
        </w:tc>
        <w:tc>
          <w:tcPr>
            <w:tcW w:w="4961" w:type="dxa"/>
            <w:tcBorders>
              <w:bottom w:val="single" w:sz="4" w:space="0" w:color="auto"/>
            </w:tcBorders>
            <w:noWrap/>
          </w:tcPr>
          <w:p>
            <w:pPr>
              <w:pStyle w:val="yTableNAm"/>
              <w:keepNext/>
              <w:ind w:left="227" w:hanging="227"/>
            </w:pPr>
            <w:r>
              <w:t>•</w:t>
            </w:r>
            <w:r>
              <w:tab/>
              <w:t>3</w:t>
            </w:r>
            <w:r>
              <w:noBreakHyphen/>
              <w:t>phase (whether metered or unmetered)</w:t>
            </w:r>
          </w:p>
        </w:tc>
        <w:tc>
          <w:tcPr>
            <w:tcW w:w="1134" w:type="dxa"/>
            <w:tcBorders>
              <w:bottom w:val="single" w:sz="4" w:space="0" w:color="auto"/>
            </w:tcBorders>
            <w:noWrap/>
            <w:vAlign w:val="bottom"/>
          </w:tcPr>
          <w:p>
            <w:pPr>
              <w:pStyle w:val="yTableNAm"/>
              <w:keepNext/>
              <w:tabs>
                <w:tab w:val="clear" w:pos="567"/>
              </w:tabs>
              <w:jc w:val="center"/>
            </w:pPr>
            <w:r>
              <w:t>Cost</w:t>
            </w:r>
          </w:p>
        </w:tc>
      </w:tr>
    </w:tbl>
    <w:p>
      <w:pPr>
        <w:pStyle w:val="yFootnotesection"/>
      </w:pPr>
      <w:r>
        <w:tab/>
        <w:t>[Clause 32 inserted: SL 2021/68 r. 6.]</w:t>
      </w:r>
    </w:p>
    <w:p>
      <w:pPr>
        <w:pStyle w:val="yHeading5"/>
      </w:pPr>
      <w:bookmarkStart w:id="266" w:name="_Toc101362596"/>
      <w:r>
        <w:rPr>
          <w:rStyle w:val="CharSClsNo"/>
        </w:rPr>
        <w:lastRenderedPageBreak/>
        <w:t>33</w:t>
      </w:r>
      <w:r>
        <w:t>.</w:t>
      </w:r>
      <w:r>
        <w:tab/>
        <w:t>Water supply</w:t>
      </w:r>
      <w:bookmarkEnd w:id="266"/>
    </w:p>
    <w:p>
      <w:pPr>
        <w:pStyle w:val="ySubsection"/>
      </w:pPr>
      <w:r>
        <w:tab/>
      </w:r>
      <w:r>
        <w:tab/>
        <w:t xml:space="preserve">The charge for water supply to a vessel in a place is set out in the Table. </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jc w:val="center"/>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keepNext/>
              <w:jc w:val="center"/>
            </w:pPr>
            <w:r>
              <w:t>Cost</w:t>
            </w:r>
          </w:p>
        </w:tc>
      </w:tr>
    </w:tbl>
    <w:p>
      <w:pPr>
        <w:pStyle w:val="yFootnotesection"/>
      </w:pPr>
      <w:r>
        <w:tab/>
        <w:t>[Clause 33 inserted: SL 2021/68 r. 6.]</w:t>
      </w:r>
    </w:p>
    <w:p>
      <w:pPr>
        <w:pStyle w:val="yHeading5"/>
      </w:pPr>
      <w:bookmarkStart w:id="267" w:name="_Toc101362597"/>
      <w:r>
        <w:rPr>
          <w:rStyle w:val="CharSClsNo"/>
        </w:rPr>
        <w:t>34</w:t>
      </w:r>
      <w:r>
        <w:t>.</w:t>
      </w:r>
      <w:r>
        <w:tab/>
        <w:t>Rubbish removal</w:t>
      </w:r>
      <w:bookmarkEnd w:id="267"/>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jc w:val="center"/>
            </w:pP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from vessels in excess of 150 L</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drum or other container not removed by owner, per drum or container</w:t>
            </w:r>
          </w:p>
        </w:tc>
        <w:tc>
          <w:tcPr>
            <w:tcW w:w="1134" w:type="dxa"/>
            <w:noWrap/>
            <w:vAlign w:val="bottom"/>
          </w:tcPr>
          <w:p>
            <w:pPr>
              <w:pStyle w:val="yTableNAm"/>
              <w:keepNext/>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248"/>
              </w:tabs>
              <w:ind w:left="248" w:hanging="248"/>
            </w:pPr>
            <w:r>
              <w:t>•</w:t>
            </w:r>
            <w:r>
              <w:tab/>
              <w:t>rubbish not put in supplied bins</w:t>
            </w:r>
          </w:p>
        </w:tc>
        <w:tc>
          <w:tcPr>
            <w:tcW w:w="1134" w:type="dxa"/>
            <w:tcBorders>
              <w:bottom w:val="single" w:sz="4" w:space="0" w:color="auto"/>
            </w:tcBorders>
            <w:noWrap/>
            <w:vAlign w:val="bottom"/>
          </w:tcPr>
          <w:p>
            <w:pPr>
              <w:pStyle w:val="yTableNAm"/>
              <w:keepNext/>
              <w:jc w:val="center"/>
            </w:pPr>
            <w:r>
              <w:t>Cost</w:t>
            </w:r>
          </w:p>
        </w:tc>
      </w:tr>
    </w:tbl>
    <w:p>
      <w:pPr>
        <w:pStyle w:val="yFootnotesection"/>
      </w:pPr>
      <w:r>
        <w:tab/>
        <w:t>[Clause 34 inserted: SL 2021/68 r. 6.]</w:t>
      </w:r>
    </w:p>
    <w:p>
      <w:pPr>
        <w:pStyle w:val="yHeading5"/>
      </w:pPr>
      <w:bookmarkStart w:id="268" w:name="_Toc101362598"/>
      <w:r>
        <w:rPr>
          <w:rStyle w:val="CharSClsNo"/>
        </w:rPr>
        <w:t>35</w:t>
      </w:r>
      <w:r>
        <w:t>.</w:t>
      </w:r>
      <w:r>
        <w:tab/>
        <w:t>Passengers and cargo</w:t>
      </w:r>
      <w:bookmarkEnd w:id="268"/>
    </w:p>
    <w:p>
      <w:pPr>
        <w:pStyle w:val="ySubsection"/>
      </w:pPr>
      <w:r>
        <w:tab/>
      </w:r>
      <w:r>
        <w:tab/>
        <w:t>The charges payable for the loading and unloading of passengers and cargo are set out in the Table.</w:t>
      </w:r>
    </w:p>
    <w:p>
      <w:pPr>
        <w:pStyle w:val="yTHeadingNAm"/>
      </w:pPr>
      <w:r>
        <w:lastRenderedPageBreak/>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tabs>
                <w:tab w:val="clear" w:pos="567"/>
                <w:tab w:val="left" w:pos="248"/>
              </w:tabs>
              <w:ind w:left="248" w:hanging="248"/>
            </w:pPr>
            <w:r>
              <w:t>1.</w:t>
            </w:r>
          </w:p>
        </w:tc>
        <w:tc>
          <w:tcPr>
            <w:tcW w:w="4961" w:type="dxa"/>
            <w:noWrap/>
          </w:tcPr>
          <w:p>
            <w:pPr>
              <w:pStyle w:val="yTableNAm"/>
              <w:tabs>
                <w:tab w:val="clear" w:pos="567"/>
                <w:tab w:val="left" w:pos="341"/>
              </w:tabs>
            </w:pPr>
            <w:r>
              <w:t xml:space="preserve">For the use of a pen, berth or service jetty by a cruise liner transfer vessel to load or unload passengers — </w:t>
            </w:r>
          </w:p>
        </w:tc>
        <w:tc>
          <w:tcPr>
            <w:tcW w:w="1134" w:type="dxa"/>
            <w:noWrap/>
            <w:vAlign w:val="bottom"/>
          </w:tcPr>
          <w:p>
            <w:pPr>
              <w:pStyle w:val="yTableNAm"/>
              <w:tabs>
                <w:tab w:val="clear" w:pos="567"/>
                <w:tab w:val="left" w:pos="248"/>
              </w:tabs>
              <w:ind w:left="248" w:hanging="248"/>
              <w:jc w:val="center"/>
            </w:pP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ind w:left="341" w:hanging="341"/>
            </w:pPr>
            <w:r>
              <w:t>•</w:t>
            </w:r>
            <w:r>
              <w:tab/>
              <w:t>an amount calculated per metre of the vessel’s length using the daily rate of</w:t>
            </w:r>
          </w:p>
        </w:tc>
        <w:tc>
          <w:tcPr>
            <w:tcW w:w="1134" w:type="dxa"/>
            <w:noWrap/>
            <w:vAlign w:val="bottom"/>
          </w:tcPr>
          <w:p>
            <w:pPr>
              <w:pStyle w:val="yTableNAm"/>
              <w:tabs>
                <w:tab w:val="clear" w:pos="567"/>
              </w:tabs>
              <w:jc w:val="center"/>
            </w:pPr>
            <w:r>
              <w:t>11.40</w:t>
            </w: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pPr>
            <w:r>
              <w:t>•</w:t>
            </w:r>
            <w:r>
              <w:tab/>
              <w:t>plus a charge per passenger of</w:t>
            </w:r>
          </w:p>
        </w:tc>
        <w:tc>
          <w:tcPr>
            <w:tcW w:w="1134" w:type="dxa"/>
            <w:noWrap/>
            <w:vAlign w:val="bottom"/>
          </w:tcPr>
          <w:p>
            <w:pPr>
              <w:pStyle w:val="yTableNAm"/>
              <w:tabs>
                <w:tab w:val="clear" w:pos="567"/>
              </w:tabs>
              <w:jc w:val="center"/>
            </w:pPr>
            <w:r>
              <w:t>4.75</w:t>
            </w:r>
          </w:p>
        </w:tc>
      </w:tr>
      <w:tr>
        <w:trPr>
          <w:cantSplit/>
        </w:trPr>
        <w:tc>
          <w:tcPr>
            <w:tcW w:w="709" w:type="dxa"/>
            <w:noWrap/>
          </w:tcPr>
          <w:p>
            <w:pPr>
              <w:pStyle w:val="yTableNAm"/>
              <w:tabs>
                <w:tab w:val="clear" w:pos="567"/>
                <w:tab w:val="left" w:pos="248"/>
              </w:tabs>
              <w:ind w:left="248" w:hanging="248"/>
            </w:pPr>
            <w:r>
              <w:t>2.</w:t>
            </w:r>
          </w:p>
        </w:tc>
        <w:tc>
          <w:tcPr>
            <w:tcW w:w="4961" w:type="dxa"/>
            <w:noWrap/>
          </w:tcPr>
          <w:p>
            <w:pPr>
              <w:pStyle w:val="y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jc w:val="center"/>
            </w:pPr>
            <w:r>
              <w:t>7.50</w:t>
            </w:r>
          </w:p>
        </w:tc>
      </w:tr>
      <w:tr>
        <w:trPr>
          <w:cantSplit/>
        </w:trPr>
        <w:tc>
          <w:tcPr>
            <w:tcW w:w="709" w:type="dxa"/>
            <w:tcBorders>
              <w:bottom w:val="single" w:sz="4" w:space="0" w:color="auto"/>
            </w:tcBorders>
            <w:noWrap/>
          </w:tcPr>
          <w:p>
            <w:pPr>
              <w:pStyle w:val="yTableNAm"/>
              <w:tabs>
                <w:tab w:val="clear" w:pos="567"/>
                <w:tab w:val="left" w:pos="248"/>
              </w:tabs>
              <w:ind w:left="248" w:hanging="248"/>
            </w:pPr>
            <w:r>
              <w:t>3.</w:t>
            </w:r>
          </w:p>
        </w:tc>
        <w:tc>
          <w:tcPr>
            <w:tcW w:w="4961" w:type="dxa"/>
            <w:tcBorders>
              <w:bottom w:val="single" w:sz="4" w:space="0" w:color="auto"/>
            </w:tcBorders>
            <w:noWrap/>
          </w:tcPr>
          <w:p>
            <w:pPr>
              <w:pStyle w:val="y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jc w:val="center"/>
            </w:pPr>
            <w:r>
              <w:t>16.60</w:t>
            </w:r>
          </w:p>
        </w:tc>
      </w:tr>
    </w:tbl>
    <w:p>
      <w:pPr>
        <w:pStyle w:val="yFootnotesection"/>
      </w:pPr>
      <w:r>
        <w:tab/>
        <w:t>[Clause 35 inserted: SL 2021/68 r. 6.]</w:t>
      </w:r>
    </w:p>
    <w:p>
      <w:pPr>
        <w:pStyle w:val="yHeading5"/>
      </w:pPr>
      <w:bookmarkStart w:id="269" w:name="_Toc101362599"/>
      <w:r>
        <w:rPr>
          <w:rStyle w:val="CharSClsNo"/>
        </w:rPr>
        <w:t>36</w:t>
      </w:r>
      <w:r>
        <w:t>.</w:t>
      </w:r>
      <w:r>
        <w:tab/>
        <w:t>Floating dinghy pens</w:t>
      </w:r>
      <w:bookmarkEnd w:id="269"/>
    </w:p>
    <w:p>
      <w:pPr>
        <w:pStyle w:val="ySubsection"/>
      </w:pPr>
      <w:r>
        <w:tab/>
      </w:r>
      <w:r>
        <w:tab/>
        <w:t>The charge payable for the use of a floating dinghy pen at a place is $369.70 per vessel per year.</w:t>
      </w:r>
    </w:p>
    <w:p>
      <w:pPr>
        <w:pStyle w:val="yFootnotesection"/>
      </w:pPr>
      <w:r>
        <w:tab/>
        <w:t>[Clause 36 inserted: SL 2021/68 r. 6.]</w:t>
      </w:r>
    </w:p>
    <w:p>
      <w:pPr>
        <w:pStyle w:val="yHeading5"/>
      </w:pPr>
      <w:bookmarkStart w:id="270" w:name="_Toc101362600"/>
      <w:r>
        <w:rPr>
          <w:rStyle w:val="CharSClsNo"/>
        </w:rPr>
        <w:t>37</w:t>
      </w:r>
      <w:r>
        <w:t>.</w:t>
      </w:r>
      <w:r>
        <w:tab/>
        <w:t>Use of jetty hardstand or appurtenant area</w:t>
      </w:r>
      <w:bookmarkEnd w:id="270"/>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$1.95.</w:t>
      </w:r>
    </w:p>
    <w:p>
      <w:pPr>
        <w:pStyle w:val="yFootnotesection"/>
      </w:pPr>
      <w:r>
        <w:tab/>
        <w:t>[Clause 37 inserted: SL 2021/68 r. 6.]</w:t>
      </w:r>
    </w:p>
    <w:p>
      <w:pPr>
        <w:pStyle w:val="yScheduleHeading"/>
      </w:pPr>
      <w:bookmarkStart w:id="271" w:name="_Toc101351203"/>
      <w:bookmarkStart w:id="272" w:name="_Toc101351520"/>
      <w:bookmarkStart w:id="273" w:name="_Toc101362601"/>
      <w:r>
        <w:rPr>
          <w:rStyle w:val="CharSchNo"/>
        </w:rPr>
        <w:lastRenderedPageBreak/>
        <w:t>Schedule 2</w:t>
      </w:r>
      <w:r>
        <w:rPr>
          <w:rStyle w:val="CharSDivNo"/>
        </w:rPr>
        <w:t> </w:t>
      </w:r>
      <w:r>
        <w:t>—</w:t>
      </w:r>
      <w:r>
        <w:rPr>
          <w:rStyle w:val="CharSDivText"/>
        </w:rPr>
        <w:t> </w:t>
      </w:r>
      <w:r>
        <w:rPr>
          <w:rStyle w:val="CharSchText"/>
        </w:rPr>
        <w:t>Fuel oil wharfage</w:t>
      </w:r>
      <w:bookmarkEnd w:id="271"/>
      <w:bookmarkEnd w:id="272"/>
      <w:bookmarkEnd w:id="273"/>
    </w:p>
    <w:p>
      <w:pPr>
        <w:pStyle w:val="yShoulderClause"/>
      </w:pPr>
      <w:r>
        <w:t>[r. 11B(2)]</w:t>
      </w:r>
    </w:p>
    <w:p>
      <w:pPr>
        <w:pStyle w:val="yFootnoteheading"/>
      </w:pPr>
      <w:r>
        <w:tab/>
        <w:t>[Heading inserted: SL 2021/68 r. 7.]</w:t>
      </w:r>
    </w:p>
    <w:p>
      <w:pPr>
        <w:pStyle w:val="yHeading5"/>
      </w:pPr>
      <w:bookmarkStart w:id="274" w:name="_Toc101362602"/>
      <w:r>
        <w:rPr>
          <w:rStyle w:val="CharSClsNo"/>
        </w:rPr>
        <w:t>1</w:t>
      </w:r>
      <w:r>
        <w:t>.</w:t>
      </w:r>
      <w:r>
        <w:tab/>
        <w:t>Wharfage for fuel oil</w:t>
      </w:r>
      <w:bookmarkEnd w:id="274"/>
      <w:r>
        <w:t xml:space="preserve"> </w:t>
      </w:r>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tabs>
                <w:tab w:val="clear" w:pos="567"/>
                <w:tab w:val="center" w:pos="510"/>
              </w:tabs>
              <w:ind w:left="85" w:right="85"/>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lastRenderedPageBreak/>
              <w:t>17.</w:t>
            </w:r>
          </w:p>
        </w:tc>
        <w:tc>
          <w:tcPr>
            <w:tcW w:w="4961" w:type="dxa"/>
            <w:noWrap/>
          </w:tcPr>
          <w:p>
            <w:pPr>
              <w:pStyle w:val="yTableNAm"/>
            </w:pPr>
            <w:r>
              <w:t>Kalbarri</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tabs>
                <w:tab w:val="clear" w:pos="567"/>
                <w:tab w:val="center" w:pos="510"/>
              </w:tabs>
              <w:ind w:left="85" w:right="85"/>
              <w:jc w:val="center"/>
            </w:pPr>
            <w:r>
              <w:rPr>
                <w:szCs w:val="22"/>
              </w:rPr>
              <w:t>0.061</w:t>
            </w:r>
          </w:p>
        </w:tc>
      </w:tr>
    </w:tbl>
    <w:p>
      <w:pPr>
        <w:pStyle w:val="yFootnotesection"/>
      </w:pPr>
      <w:r>
        <w:tab/>
        <w:t>[Schedule 2 inserted: SL 2021/68 r. 7.]</w:t>
      </w:r>
    </w:p>
    <w:p>
      <w:pPr>
        <w:pStyle w:val="yScheduleHeading"/>
      </w:pPr>
      <w:bookmarkStart w:id="275" w:name="_Toc101351205"/>
      <w:bookmarkStart w:id="276" w:name="_Toc101351522"/>
      <w:bookmarkStart w:id="277" w:name="_Toc101362603"/>
      <w:r>
        <w:rPr>
          <w:rStyle w:val="CharSchNo"/>
        </w:rPr>
        <w:lastRenderedPageBreak/>
        <w:t>Schedule 3</w:t>
      </w:r>
      <w:r>
        <w:t> — </w:t>
      </w:r>
      <w:r>
        <w:rPr>
          <w:rStyle w:val="CharSchText"/>
        </w:rPr>
        <w:t>Port of Perth charges</w:t>
      </w:r>
      <w:bookmarkEnd w:id="275"/>
      <w:bookmarkEnd w:id="276"/>
      <w:bookmarkEnd w:id="277"/>
    </w:p>
    <w:p>
      <w:pPr>
        <w:pStyle w:val="yShoulderClause"/>
      </w:pPr>
      <w:r>
        <w:t>[r. 72(3) and 78A]</w:t>
      </w:r>
    </w:p>
    <w:p>
      <w:pPr>
        <w:pStyle w:val="yFootnoteheading"/>
      </w:pPr>
      <w:r>
        <w:tab/>
        <w:t>[Heading inserted: SL 2021/68 r. 7.]</w:t>
      </w:r>
    </w:p>
    <w:p>
      <w:pPr>
        <w:pStyle w:val="yHeading3"/>
      </w:pPr>
      <w:bookmarkStart w:id="278" w:name="_Toc101351206"/>
      <w:bookmarkStart w:id="279" w:name="_Toc101351523"/>
      <w:bookmarkStart w:id="280" w:name="_Toc101362604"/>
      <w:r>
        <w:rPr>
          <w:rStyle w:val="CharSDivNo"/>
        </w:rPr>
        <w:t>Division 1</w:t>
      </w:r>
      <w:r>
        <w:t> — </w:t>
      </w:r>
      <w:r>
        <w:rPr>
          <w:rStyle w:val="CharSDivText"/>
        </w:rPr>
        <w:t>Preliminary matters</w:t>
      </w:r>
      <w:bookmarkEnd w:id="278"/>
      <w:bookmarkEnd w:id="279"/>
      <w:bookmarkEnd w:id="280"/>
    </w:p>
    <w:p>
      <w:pPr>
        <w:pStyle w:val="yFootnoteheading"/>
      </w:pPr>
      <w:r>
        <w:tab/>
        <w:t>[Heading inserted: SL 2021/68 r. 7.]</w:t>
      </w:r>
    </w:p>
    <w:p>
      <w:pPr>
        <w:pStyle w:val="yHeading5"/>
      </w:pPr>
      <w:bookmarkStart w:id="281" w:name="_Toc101362605"/>
      <w:r>
        <w:rPr>
          <w:rStyle w:val="CharSClsNo"/>
        </w:rPr>
        <w:t>1</w:t>
      </w:r>
      <w:r>
        <w:t>.</w:t>
      </w:r>
      <w:r>
        <w:tab/>
        <w:t>Application of this Schedule</w:t>
      </w:r>
      <w:bookmarkEnd w:id="281"/>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282" w:name="_Toc101362606"/>
      <w:r>
        <w:rPr>
          <w:rStyle w:val="CharSClsNo"/>
        </w:rPr>
        <w:t>2</w:t>
      </w:r>
      <w:r>
        <w:t>.</w:t>
      </w:r>
      <w:r>
        <w:tab/>
        <w:t>Standard rates for this Schedule</w:t>
      </w:r>
      <w:bookmarkEnd w:id="282"/>
    </w:p>
    <w:p>
      <w:pPr>
        <w:pStyle w:val="ySubsection"/>
      </w:pPr>
      <w:r>
        <w:tab/>
      </w:r>
      <w:r>
        <w:tab/>
        <w:t xml:space="preserve">In this Schedule, the following rates are standard rates — </w:t>
      </w:r>
    </w:p>
    <w:p>
      <w:pPr>
        <w:pStyle w:val="ySubsection"/>
        <w:rPr>
          <w:bCs/>
        </w:rPr>
      </w:pPr>
      <w:r>
        <w:rPr>
          <w:bCs/>
        </w:rPr>
        <w:tab/>
      </w:r>
      <w:r>
        <w:rPr>
          <w:bCs/>
        </w:rPr>
        <w:tab/>
      </w:r>
      <w:r>
        <w:rPr>
          <w:b/>
        </w:rPr>
        <w:t>Rate 1: a casual daily rate of $7.90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Cs/>
        </w:rPr>
      </w:pPr>
      <w:r>
        <w:rPr>
          <w:bCs/>
        </w:rPr>
        <w:tab/>
      </w:r>
      <w:r>
        <w:rPr>
          <w:bCs/>
        </w:rPr>
        <w:tab/>
      </w:r>
      <w:r>
        <w:rPr>
          <w:b/>
        </w:rPr>
        <w:t>Rate 2: a casual daily rate of $56.00</w:t>
      </w:r>
      <w:r>
        <w:rPr>
          <w:bCs/>
        </w:rPr>
        <w:t xml:space="preserve">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Cs/>
        </w:rPr>
        <w:tab/>
      </w:r>
      <w:r>
        <w:rPr>
          <w:bCs/>
        </w:rPr>
        <w:tab/>
      </w:r>
      <w:r>
        <w:rPr>
          <w:b/>
        </w:rPr>
        <w:t>Rate 3: an annual rate of $89.90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2021/68 r. 7.]</w:t>
      </w:r>
    </w:p>
    <w:p>
      <w:pPr>
        <w:pStyle w:val="yHeading5"/>
      </w:pPr>
      <w:bookmarkStart w:id="283" w:name="_Toc101362607"/>
      <w:r>
        <w:rPr>
          <w:rStyle w:val="CharSClsNo"/>
        </w:rPr>
        <w:t>3</w:t>
      </w:r>
      <w:r>
        <w:t>.</w:t>
      </w:r>
      <w:r>
        <w:tab/>
        <w:t>Transferability of annual payments</w:t>
      </w:r>
      <w:bookmarkEnd w:id="283"/>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w:t>
      </w:r>
      <w:r>
        <w:lastRenderedPageBreak/>
        <w:t xml:space="preserve">other place specified in this Schedule or at a place specified in Schedule 1.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pPr>
      <w:r>
        <w:tab/>
        <w:t>(b)</w:t>
      </w:r>
      <w:r>
        <w:tab/>
        <w:t>a series of discrete periods, each not exceeding 15 minutes, that do not together exceed 1 hour in any period of 24 hours.</w:t>
      </w:r>
    </w:p>
    <w:p>
      <w:pPr>
        <w:pStyle w:val="yFootnotesection"/>
      </w:pPr>
      <w:r>
        <w:tab/>
        <w:t>[Clause 3 inserted: SL 2021/68 r. 7.]</w:t>
      </w:r>
    </w:p>
    <w:p>
      <w:pPr>
        <w:pStyle w:val="yHeading5"/>
      </w:pPr>
      <w:bookmarkStart w:id="284" w:name="_Toc101362608"/>
      <w:r>
        <w:rPr>
          <w:rStyle w:val="CharSClsNo"/>
        </w:rPr>
        <w:t>4</w:t>
      </w:r>
      <w:r>
        <w:t>.</w:t>
      </w:r>
      <w:r>
        <w:tab/>
        <w:t>Service jetty entitlements</w:t>
      </w:r>
      <w:bookmarkEnd w:id="284"/>
    </w:p>
    <w:p>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w:t>
      </w:r>
    </w:p>
    <w:p>
      <w:pPr>
        <w:pStyle w:val="yHeading5"/>
      </w:pPr>
      <w:bookmarkStart w:id="285" w:name="_Toc101362609"/>
      <w:r>
        <w:rPr>
          <w:rStyle w:val="CharSClsNo"/>
        </w:rPr>
        <w:t>5</w:t>
      </w:r>
      <w:r>
        <w:t>.</w:t>
      </w:r>
      <w:r>
        <w:tab/>
        <w:t>Active loading and unloading</w:t>
      </w:r>
      <w:bookmarkEnd w:id="285"/>
    </w:p>
    <w:p>
      <w:pPr>
        <w:pStyle w:val="ySubsection"/>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286" w:name="_Toc101351212"/>
      <w:bookmarkStart w:id="287" w:name="_Toc101351529"/>
      <w:bookmarkStart w:id="288" w:name="_Toc101362610"/>
      <w:r>
        <w:rPr>
          <w:rStyle w:val="CharSDivNo"/>
        </w:rPr>
        <w:lastRenderedPageBreak/>
        <w:t>Division 2</w:t>
      </w:r>
      <w:r>
        <w:t> — </w:t>
      </w:r>
      <w:r>
        <w:rPr>
          <w:rStyle w:val="CharSDivText"/>
        </w:rPr>
        <w:t>Charges for jetties on Swan and Canning Rivers</w:t>
      </w:r>
      <w:bookmarkEnd w:id="286"/>
      <w:bookmarkEnd w:id="287"/>
      <w:bookmarkEnd w:id="288"/>
    </w:p>
    <w:p>
      <w:pPr>
        <w:pStyle w:val="yFootnoteheading"/>
      </w:pPr>
      <w:r>
        <w:tab/>
        <w:t>[Heading inserted: SL 2021/68 r. 7.]</w:t>
      </w:r>
    </w:p>
    <w:p>
      <w:pPr>
        <w:pStyle w:val="yHeading5"/>
      </w:pPr>
      <w:bookmarkStart w:id="289" w:name="_Toc101362611"/>
      <w:r>
        <w:rPr>
          <w:rStyle w:val="CharSClsNo"/>
        </w:rPr>
        <w:t>6</w:t>
      </w:r>
      <w:r>
        <w:t>.</w:t>
      </w:r>
      <w:r>
        <w:tab/>
        <w:t>Barrack Street and Mends Street jetties</w:t>
      </w:r>
      <w:bookmarkEnd w:id="289"/>
    </w:p>
    <w:p>
      <w:pPr>
        <w:pStyle w:val="ySubsection"/>
      </w:pPr>
      <w:r>
        <w:tab/>
        <w:t>(1)</w:t>
      </w:r>
      <w:r>
        <w:tab/>
        <w:t>This clause applies to jetties at Barrack Street and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tabs>
                <w:tab w:val="clear" w:pos="567"/>
                <w:tab w:val="left" w:pos="362"/>
              </w:tabs>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tabs>
                <w:tab w:val="clear" w:pos="567"/>
                <w:tab w:val="left" w:pos="362"/>
              </w:tabs>
            </w:pPr>
            <w:r>
              <w:t xml:space="preserve">For a vessel for 12 months — the higher of </w:t>
            </w:r>
            <w:r>
              <w:rPr>
                <w:szCs w:val="22"/>
              </w:rPr>
              <w:t>$4 771.25</w:t>
            </w:r>
            <w:r>
              <w:t xml:space="preserve"> and the result of the following calculation —</w:t>
            </w:r>
          </w:p>
        </w:tc>
      </w:tr>
      <w:tr>
        <w:trPr>
          <w:cantSplit/>
        </w:trPr>
        <w:tc>
          <w:tcPr>
            <w:tcW w:w="709" w:type="dxa"/>
            <w:noWrap/>
          </w:tcPr>
          <w:p>
            <w:pPr>
              <w:pStyle w:val="yTableNAm"/>
              <w:jc w:val="center"/>
            </w:pPr>
          </w:p>
        </w:tc>
        <w:tc>
          <w:tcPr>
            <w:tcW w:w="6095" w:type="dxa"/>
            <w:noWrap/>
          </w:tcPr>
          <w:p>
            <w:pPr>
              <w:pStyle w:val="yTableNAm"/>
              <w:tabs>
                <w:tab w:val="clear" w:pos="567"/>
                <w:tab w:val="left" w:pos="362"/>
              </w:tabs>
              <w:ind w:left="362" w:hanging="362"/>
            </w:pPr>
            <w:r>
              <w:t>•</w:t>
            </w:r>
            <w:r>
              <w:tab/>
            </w:r>
            <w:r>
              <w:rPr>
                <w:szCs w:val="22"/>
              </w:rPr>
              <w:t>$66.70</w:t>
            </w:r>
            <w:r>
              <w:t xml:space="preserve"> per passenger calculated on the vessel’s passenger carrying capacity under its highest class of survey</w:t>
            </w:r>
          </w:p>
        </w:tc>
      </w:tr>
      <w:tr>
        <w:trPr>
          <w:cantSplit/>
        </w:trPr>
        <w:tc>
          <w:tcPr>
            <w:tcW w:w="709" w:type="dxa"/>
            <w:noWrap/>
          </w:tcPr>
          <w:p>
            <w:pPr>
              <w:pStyle w:val="yTableNAm"/>
              <w:keepNext/>
              <w:jc w:val="center"/>
            </w:pPr>
          </w:p>
        </w:tc>
        <w:tc>
          <w:tcPr>
            <w:tcW w:w="6095" w:type="dxa"/>
            <w:noWrap/>
          </w:tcPr>
          <w:p>
            <w:pPr>
              <w:pStyle w:val="yTableNAm"/>
              <w:keepNext/>
              <w:tabs>
                <w:tab w:val="clear" w:pos="567"/>
                <w:tab w:val="left" w:pos="362"/>
              </w:tabs>
            </w:pPr>
            <w:r>
              <w:tab/>
              <w:t>plus —</w:t>
            </w:r>
          </w:p>
        </w:tc>
      </w:tr>
      <w:tr>
        <w:trPr>
          <w:cantSplit/>
        </w:trPr>
        <w:tc>
          <w:tcPr>
            <w:tcW w:w="709" w:type="dxa"/>
            <w:noWrap/>
          </w:tcPr>
          <w:p>
            <w:pPr>
              <w:pStyle w:val="yTableNAm"/>
              <w:jc w:val="center"/>
            </w:pPr>
          </w:p>
        </w:tc>
        <w:tc>
          <w:tcPr>
            <w:tcW w:w="6095" w:type="dxa"/>
            <w:noWrap/>
          </w:tcPr>
          <w:p>
            <w:pPr>
              <w:pStyle w:val="yTableNAm"/>
              <w:tabs>
                <w:tab w:val="clear" w:pos="567"/>
                <w:tab w:val="left" w:pos="883"/>
              </w:tabs>
              <w:ind w:left="883" w:hanging="238"/>
            </w:pPr>
            <w:r>
              <w:t>◦</w:t>
            </w:r>
            <w:r>
              <w:tab/>
              <w:t xml:space="preserve">for a vessel less than 35 m long, the higher of </w:t>
            </w:r>
            <w:r>
              <w:rPr>
                <w:szCs w:val="22"/>
              </w:rPr>
              <w:t>$8 587.40</w:t>
            </w:r>
            <w:r>
              <w:t xml:space="preserve"> and </w:t>
            </w:r>
            <w:r>
              <w:rPr>
                <w:szCs w:val="22"/>
              </w:rPr>
              <w:t>$477.05</w:t>
            </w:r>
            <w:r>
              <w:t xml:space="preserve"> per metre of the vessel’s length; or</w:t>
            </w:r>
          </w:p>
        </w:tc>
      </w:tr>
      <w:tr>
        <w:trPr>
          <w:cantSplit/>
        </w:trPr>
        <w:tc>
          <w:tcPr>
            <w:tcW w:w="709" w:type="dxa"/>
            <w:noWrap/>
          </w:tcPr>
          <w:p>
            <w:pPr>
              <w:pStyle w:val="yTableNAm"/>
              <w:jc w:val="center"/>
            </w:pPr>
          </w:p>
        </w:tc>
        <w:tc>
          <w:tcPr>
            <w:tcW w:w="6095" w:type="dxa"/>
            <w:noWrap/>
          </w:tcPr>
          <w:p>
            <w:pPr>
              <w:pStyle w:val="yTableNAm"/>
              <w:tabs>
                <w:tab w:val="clear" w:pos="567"/>
                <w:tab w:val="left" w:pos="883"/>
              </w:tabs>
              <w:ind w:left="883" w:hanging="238"/>
            </w:pPr>
            <w:r>
              <w:t>◦</w:t>
            </w:r>
            <w:r>
              <w:tab/>
              <w:t xml:space="preserve">for a vessel 35 m </w:t>
            </w:r>
            <w:r>
              <w:rPr>
                <w:szCs w:val="22"/>
              </w:rPr>
              <w:t>long</w:t>
            </w:r>
            <w:r>
              <w:t xml:space="preserve"> or over, </w:t>
            </w:r>
            <w:r>
              <w:rPr>
                <w:szCs w:val="22"/>
              </w:rPr>
              <w:t>$763.40</w:t>
            </w:r>
            <w:r>
              <w:t xml:space="preserve"> per metre of the vessel’s length</w:t>
            </w:r>
          </w:p>
        </w:tc>
      </w:tr>
      <w:tr>
        <w:trPr>
          <w:cantSplit/>
        </w:trPr>
        <w:tc>
          <w:tcPr>
            <w:tcW w:w="709" w:type="dxa"/>
            <w:noWrap/>
          </w:tcPr>
          <w:p>
            <w:pPr>
              <w:pStyle w:val="yTableNAm"/>
              <w:jc w:val="center"/>
            </w:pPr>
          </w:p>
        </w:tc>
        <w:tc>
          <w:tcPr>
            <w:tcW w:w="6095" w:type="dxa"/>
            <w:noWrap/>
          </w:tcPr>
          <w:p>
            <w:pPr>
              <w:pStyle w:val="yTableNAm"/>
              <w:tabs>
                <w:tab w:val="clear" w:pos="567"/>
                <w:tab w:val="left" w:pos="362"/>
              </w:tabs>
            </w:pPr>
            <w:r>
              <w:tab/>
              <w:t>minus —</w:t>
            </w:r>
          </w:p>
        </w:tc>
      </w:tr>
      <w:tr>
        <w:trPr>
          <w:cantSplit/>
        </w:trPr>
        <w:tc>
          <w:tcPr>
            <w:tcW w:w="709" w:type="dxa"/>
            <w:tcBorders>
              <w:bottom w:val="single" w:sz="4" w:space="0" w:color="auto"/>
            </w:tcBorders>
            <w:noWrap/>
          </w:tcPr>
          <w:p>
            <w:pPr>
              <w:pStyle w:val="yTableNAm"/>
              <w:jc w:val="center"/>
            </w:pPr>
          </w:p>
        </w:tc>
        <w:tc>
          <w:tcPr>
            <w:tcW w:w="6095" w:type="dxa"/>
            <w:tcBorders>
              <w:bottom w:val="single" w:sz="4" w:space="0" w:color="auto"/>
            </w:tcBorders>
            <w:noWrap/>
          </w:tcPr>
          <w:p>
            <w:pPr>
              <w:pStyle w:val="yTableNAm"/>
              <w:tabs>
                <w:tab w:val="clear" w:pos="567"/>
                <w:tab w:val="left" w:pos="883"/>
              </w:tabs>
              <w:ind w:left="883" w:hanging="238"/>
            </w:pPr>
            <w:r>
              <w:t>◦</w:t>
            </w:r>
            <w:r>
              <w:tab/>
            </w:r>
            <w:r>
              <w:rPr>
                <w:szCs w:val="22"/>
              </w:rPr>
              <w:t>$6 </w:t>
            </w:r>
            <w:r>
              <w:t>679</w:t>
            </w:r>
            <w:r>
              <w:rPr>
                <w:szCs w:val="22"/>
              </w:rPr>
              <w:t>.10</w:t>
            </w:r>
          </w:p>
        </w:tc>
      </w:tr>
    </w:tbl>
    <w:p>
      <w:pPr>
        <w:pStyle w:val="ySubsection"/>
      </w:pPr>
      <w:r>
        <w:tab/>
        <w:t>(3)</w:t>
      </w:r>
      <w:r>
        <w:tab/>
        <w:t>The charge payable under regulation 78A for the removal of sullage from a vessel is set out in the Table.</w:t>
      </w:r>
    </w:p>
    <w:p>
      <w:pPr>
        <w:pStyle w:val="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Service</w:t>
            </w:r>
          </w:p>
        </w:tc>
        <w:tc>
          <w:tcPr>
            <w:tcW w:w="992" w:type="dxa"/>
            <w:tcBorders>
              <w:top w:val="single" w:sz="4" w:space="0" w:color="auto"/>
              <w:bottom w:val="single" w:sz="4" w:space="0" w:color="auto"/>
            </w:tcBorders>
            <w:noWrap/>
          </w:tcPr>
          <w:p>
            <w:pPr>
              <w:pStyle w:val="yTableNAm"/>
              <w:jc w:val="center"/>
              <w:rPr>
                <w:b/>
              </w:rPr>
            </w:pPr>
            <w:r>
              <w:rPr>
                <w:b/>
              </w:rPr>
              <w:t>$</w:t>
            </w:r>
          </w:p>
        </w:tc>
      </w:tr>
      <w:tr>
        <w:trPr>
          <w:cantSplit/>
          <w:tblHeader/>
        </w:trPr>
        <w:tc>
          <w:tcPr>
            <w:tcW w:w="709" w:type="dxa"/>
            <w:tcBorders>
              <w:top w:val="single" w:sz="4" w:space="0" w:color="auto"/>
              <w:bottom w:val="single" w:sz="4" w:space="0" w:color="auto"/>
            </w:tcBorders>
            <w:noWrap/>
          </w:tcPr>
          <w:p>
            <w:pPr>
              <w:pStyle w:val="yTableNAm"/>
              <w:jc w:val="center"/>
            </w:pPr>
            <w:r>
              <w:t>1.</w:t>
            </w:r>
          </w:p>
        </w:tc>
        <w:tc>
          <w:tcPr>
            <w:tcW w:w="5103" w:type="dxa"/>
            <w:tcBorders>
              <w:top w:val="single" w:sz="4" w:space="0" w:color="auto"/>
              <w:bottom w:val="single" w:sz="4" w:space="0" w:color="auto"/>
            </w:tcBorders>
            <w:noWrap/>
          </w:tcPr>
          <w:p>
            <w:pPr>
              <w:pStyle w:val="yTableNAm"/>
            </w:pPr>
            <w:r>
              <w:t>For removal of sullage (per pump out)</w:t>
            </w:r>
          </w:p>
        </w:tc>
        <w:tc>
          <w:tcPr>
            <w:tcW w:w="992" w:type="dxa"/>
            <w:tcBorders>
              <w:top w:val="single" w:sz="4" w:space="0" w:color="auto"/>
              <w:bottom w:val="single" w:sz="4" w:space="0" w:color="auto"/>
            </w:tcBorders>
            <w:noWrap/>
          </w:tcPr>
          <w:p>
            <w:pPr>
              <w:pStyle w:val="yTableNAm"/>
              <w:jc w:val="center"/>
            </w:pPr>
            <w:r>
              <w:t>97.25</w:t>
            </w:r>
          </w:p>
        </w:tc>
      </w:tr>
    </w:tbl>
    <w:p>
      <w:pPr>
        <w:pStyle w:val="ySubsection"/>
      </w:pPr>
      <w:r>
        <w:tab/>
        <w:t>(4)</w:t>
      </w:r>
      <w:r>
        <w:tab/>
        <w:t>Subclause (3) does not apply if the charge referred to in subclause (2) has been paid in respect of the vessel.</w:t>
      </w:r>
    </w:p>
    <w:p>
      <w:pPr>
        <w:pStyle w:val="yFootnotesection"/>
      </w:pPr>
      <w:r>
        <w:tab/>
        <w:t>[Clause 6 inserted: SL 2021/68 r. 7.]</w:t>
      </w:r>
    </w:p>
    <w:p>
      <w:pPr>
        <w:pStyle w:val="yHeading5"/>
      </w:pPr>
      <w:bookmarkStart w:id="290" w:name="_Toc101362612"/>
      <w:r>
        <w:rPr>
          <w:rStyle w:val="CharSClsNo"/>
        </w:rPr>
        <w:lastRenderedPageBreak/>
        <w:t>7</w:t>
      </w:r>
      <w:r>
        <w:t>.</w:t>
      </w:r>
      <w:r>
        <w:tab/>
        <w:t>Other jetties on Swan and Canning Rivers</w:t>
      </w:r>
      <w:bookmarkEnd w:id="290"/>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2021/68 r. 7.]</w:t>
      </w:r>
    </w:p>
    <w:p>
      <w:pPr>
        <w:pStyle w:val="yHeading3"/>
      </w:pPr>
      <w:bookmarkStart w:id="291" w:name="_Toc101351215"/>
      <w:bookmarkStart w:id="292" w:name="_Toc101351532"/>
      <w:bookmarkStart w:id="293" w:name="_Toc101362613"/>
      <w:r>
        <w:rPr>
          <w:rStyle w:val="CharSDivNo"/>
        </w:rPr>
        <w:t>Division 3</w:t>
      </w:r>
      <w:r>
        <w:t> — </w:t>
      </w:r>
      <w:r>
        <w:rPr>
          <w:rStyle w:val="CharSDivText"/>
        </w:rPr>
        <w:t>Charges for other places</w:t>
      </w:r>
      <w:bookmarkEnd w:id="291"/>
      <w:bookmarkEnd w:id="292"/>
      <w:bookmarkEnd w:id="293"/>
    </w:p>
    <w:p>
      <w:pPr>
        <w:pStyle w:val="yFootnoteheading"/>
      </w:pPr>
      <w:r>
        <w:tab/>
        <w:t>[Heading inserted: SL 2021/68 r. 7.]</w:t>
      </w:r>
    </w:p>
    <w:p>
      <w:pPr>
        <w:pStyle w:val="yHeading5"/>
      </w:pPr>
      <w:bookmarkStart w:id="294" w:name="_Toc101362614"/>
      <w:r>
        <w:rPr>
          <w:rStyle w:val="CharSClsNo"/>
        </w:rPr>
        <w:t>8</w:t>
      </w:r>
      <w:r>
        <w:t>.</w:t>
      </w:r>
      <w:r>
        <w:tab/>
        <w:t>Fremantle, Challenger Boat Harbour</w:t>
      </w:r>
      <w:bookmarkEnd w:id="294"/>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jc w:val="center"/>
            </w:pPr>
            <w:r>
              <w:rPr>
                <w:szCs w:val="22"/>
              </w:rPr>
              <w:t>660.80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jc w:val="center"/>
            </w:pPr>
            <w:r>
              <w:rPr>
                <w:szCs w:val="22"/>
              </w:rPr>
              <w:t>578.20</w:t>
            </w:r>
          </w:p>
        </w:tc>
      </w:tr>
      <w:tr>
        <w:tc>
          <w:tcPr>
            <w:tcW w:w="709" w:type="dxa"/>
            <w:noWrap/>
          </w:tcPr>
          <w:p>
            <w:pPr>
              <w:pStyle w:val="yTableNAm"/>
              <w:jc w:val="center"/>
            </w:pPr>
            <w:r>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jc w:val="center"/>
            </w:pPr>
            <w:r>
              <w:rPr>
                <w:szCs w:val="22"/>
              </w:rPr>
              <w:t>660.80</w:t>
            </w:r>
          </w:p>
        </w:tc>
      </w:tr>
      <w:tr>
        <w:tc>
          <w:tcPr>
            <w:tcW w:w="709" w:type="dxa"/>
            <w:tcBorders>
              <w:bottom w:val="single" w:sz="4" w:space="0" w:color="auto"/>
            </w:tcBorders>
            <w:noWrap/>
          </w:tcPr>
          <w:p>
            <w:pPr>
              <w:pStyle w:val="yTableNAm"/>
              <w:jc w:val="center"/>
            </w:pPr>
            <w:r>
              <w:lastRenderedPageBreak/>
              <w:t>4.</w:t>
            </w:r>
          </w:p>
        </w:tc>
        <w:tc>
          <w:tcPr>
            <w:tcW w:w="5103" w:type="dxa"/>
            <w:tcBorders>
              <w:bottom w:val="single" w:sz="4" w:space="0" w:color="auto"/>
            </w:tcBorders>
            <w:noWrap/>
          </w:tcPr>
          <w:p>
            <w:pPr>
              <w:pStyle w:val="yTableNAm"/>
            </w:pPr>
            <w:r>
              <w:t>For the casual daily use of a pen or alongside berth by a recreational vessel, an amount calculated using standard Rate 2</w:t>
            </w:r>
          </w:p>
        </w:tc>
        <w:tc>
          <w:tcPr>
            <w:tcW w:w="992" w:type="dxa"/>
            <w:tcBorders>
              <w:bottom w:val="single" w:sz="4" w:space="0" w:color="auto"/>
            </w:tcBorders>
            <w:noWrap/>
            <w:vAlign w:val="bottom"/>
          </w:tcPr>
          <w:p>
            <w:pPr>
              <w:pStyle w:val="yTableNAm"/>
              <w:jc w:val="center"/>
            </w:pPr>
          </w:p>
        </w:tc>
      </w:tr>
    </w:tbl>
    <w:p>
      <w:pPr>
        <w:pStyle w:val="yFootnotesection"/>
      </w:pPr>
      <w:r>
        <w:tab/>
        <w:t>[Clause 8 inserted: SL 2021/68 r. 7.]</w:t>
      </w:r>
    </w:p>
    <w:p>
      <w:pPr>
        <w:pStyle w:val="yHeading5"/>
      </w:pPr>
      <w:bookmarkStart w:id="295" w:name="_Toc101362615"/>
      <w:r>
        <w:rPr>
          <w:rStyle w:val="CharSClsNo"/>
        </w:rPr>
        <w:t>9</w:t>
      </w:r>
      <w:r>
        <w:t>.</w:t>
      </w:r>
      <w:r>
        <w:tab/>
        <w:t>Hillarys Boat Harbour</w:t>
      </w:r>
      <w:bookmarkEnd w:id="295"/>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tcBorders>
              <w:top w:val="single" w:sz="4" w:space="0" w:color="auto"/>
            </w:tcBorders>
            <w:noWrap/>
          </w:tcPr>
          <w:p>
            <w:pPr>
              <w:pStyle w:val="yTableNAm"/>
              <w:jc w:val="center"/>
            </w:pPr>
            <w:r>
              <w:t>1.</w:t>
            </w:r>
          </w:p>
        </w:tc>
        <w:tc>
          <w:tcPr>
            <w:tcW w:w="5103" w:type="dxa"/>
            <w:tcBorders>
              <w:top w:val="single" w:sz="4" w:space="0" w:color="auto"/>
            </w:tcBorders>
            <w:noWrap/>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noWrap/>
            <w:vAlign w:val="bottom"/>
          </w:tcPr>
          <w:p>
            <w:pPr>
              <w:pStyle w:val="yTableNAm"/>
              <w:jc w:val="center"/>
            </w:pPr>
            <w:r>
              <w:rPr>
                <w:szCs w:val="22"/>
              </w:rPr>
              <w:t>660.80</w:t>
            </w:r>
          </w:p>
        </w:tc>
      </w:tr>
      <w:tr>
        <w:tc>
          <w:tcPr>
            <w:tcW w:w="709" w:type="dxa"/>
            <w:noWrap/>
          </w:tcPr>
          <w:p>
            <w:pPr>
              <w:pStyle w:val="yTableNAm"/>
              <w:jc w:val="center"/>
            </w:pPr>
            <w:r>
              <w:t>2</w:t>
            </w:r>
          </w:p>
        </w:tc>
        <w:tc>
          <w:tcPr>
            <w:tcW w:w="5103" w:type="dxa"/>
            <w:noWrap/>
          </w:tcPr>
          <w:p>
            <w:pPr>
              <w:pStyle w:val="yTableNAm"/>
            </w:pPr>
            <w:r>
              <w:t>For the use, other than casual daily use, of a floating pen with a walkway, an amount calculated per metre of the pen’s length using the annual rate of</w:t>
            </w:r>
          </w:p>
        </w:tc>
        <w:tc>
          <w:tcPr>
            <w:tcW w:w="992" w:type="dxa"/>
            <w:noWrap/>
            <w:vAlign w:val="bottom"/>
          </w:tcPr>
          <w:p>
            <w:pPr>
              <w:pStyle w:val="yTableNAm"/>
              <w:jc w:val="center"/>
            </w:pPr>
            <w:r>
              <w:t>781.60</w:t>
            </w:r>
          </w:p>
        </w:tc>
      </w:tr>
      <w:tr>
        <w:tc>
          <w:tcPr>
            <w:tcW w:w="709" w:type="dxa"/>
            <w:noWrap/>
          </w:tcPr>
          <w:p>
            <w:pPr>
              <w:pStyle w:val="yTableNAm"/>
              <w:jc w:val="center"/>
            </w:pPr>
            <w:r>
              <w:t>3.</w:t>
            </w:r>
          </w:p>
        </w:tc>
        <w:tc>
          <w:tcPr>
            <w:tcW w:w="5103" w:type="dxa"/>
            <w:noWrap/>
          </w:tcPr>
          <w:p>
            <w:pPr>
              <w:pStyle w:val="yTableNAm"/>
            </w:pPr>
            <w:r>
              <w:t>For the use, other than casual daily use, of a floating alongside berth, an amount calculated per metre of the vessel’s length using the annual rate of</w:t>
            </w:r>
          </w:p>
        </w:tc>
        <w:tc>
          <w:tcPr>
            <w:tcW w:w="992" w:type="dxa"/>
            <w:noWrap/>
            <w:vAlign w:val="bottom"/>
          </w:tcPr>
          <w:p>
            <w:pPr>
              <w:pStyle w:val="yTableNAm"/>
              <w:jc w:val="center"/>
            </w:pPr>
            <w:r>
              <w:rPr>
                <w:szCs w:val="22"/>
              </w:rPr>
              <w:t>781.60</w:t>
            </w:r>
          </w:p>
        </w:tc>
      </w:tr>
      <w:tr>
        <w:tc>
          <w:tcPr>
            <w:tcW w:w="709" w:type="dxa"/>
            <w:noWrap/>
          </w:tcPr>
          <w:p>
            <w:pPr>
              <w:pStyle w:val="yTableNAm"/>
              <w:jc w:val="center"/>
            </w:pPr>
            <w:r>
              <w:t>4.</w:t>
            </w:r>
          </w:p>
        </w:tc>
        <w:tc>
          <w:tcPr>
            <w:tcW w:w="5103" w:type="dxa"/>
            <w:noWrap/>
          </w:tcPr>
          <w:p>
            <w:pPr>
              <w:pStyle w:val="yTableNAm"/>
            </w:pPr>
            <w:r>
              <w:t xml:space="preserve">For the casual daily use of a pen or an alongside berth — </w:t>
            </w:r>
          </w:p>
        </w:tc>
        <w:tc>
          <w:tcPr>
            <w:tcW w:w="992" w:type="dxa"/>
            <w:noWrap/>
            <w:vAlign w:val="bottom"/>
          </w:tcPr>
          <w:p>
            <w:pPr>
              <w:pStyle w:val="yTableNAm"/>
              <w:jc w:val="center"/>
            </w:pPr>
          </w:p>
        </w:tc>
      </w:tr>
      <w:tr>
        <w:tc>
          <w:tcPr>
            <w:tcW w:w="709" w:type="dxa"/>
            <w:noWrap/>
          </w:tcPr>
          <w:p>
            <w:pPr>
              <w:pStyle w:val="yTableNAm"/>
              <w:jc w:val="center"/>
            </w:pPr>
          </w:p>
        </w:tc>
        <w:tc>
          <w:tcPr>
            <w:tcW w:w="5103" w:type="dxa"/>
            <w:noWrap/>
          </w:tcPr>
          <w:p>
            <w:pPr>
              <w:pStyle w:val="yTableNAm"/>
              <w:tabs>
                <w:tab w:val="clear" w:pos="567"/>
                <w:tab w:val="left" w:pos="311"/>
              </w:tabs>
              <w:ind w:left="311" w:hanging="311"/>
            </w:pPr>
            <w:r>
              <w:t>•</w:t>
            </w:r>
            <w:r>
              <w:tab/>
              <w:t>by a commercial vessel, an amount calculated using standard Rate 1</w:t>
            </w:r>
          </w:p>
        </w:tc>
        <w:tc>
          <w:tcPr>
            <w:tcW w:w="992" w:type="dxa"/>
            <w:noWrap/>
            <w:vAlign w:val="bottom"/>
          </w:tcPr>
          <w:p>
            <w:pPr>
              <w:pStyle w:val="yTableNAm"/>
              <w:jc w:val="center"/>
            </w:pPr>
          </w:p>
        </w:tc>
      </w:tr>
      <w:tr>
        <w:tc>
          <w:tcPr>
            <w:tcW w:w="709" w:type="dxa"/>
            <w:noWrap/>
          </w:tcPr>
          <w:p>
            <w:pPr>
              <w:pStyle w:val="yTableNAm"/>
              <w:jc w:val="center"/>
            </w:pPr>
          </w:p>
        </w:tc>
        <w:tc>
          <w:tcPr>
            <w:tcW w:w="5103" w:type="dxa"/>
            <w:noWrap/>
          </w:tcPr>
          <w:p>
            <w:pPr>
              <w:pStyle w:val="yTableNAm"/>
              <w:tabs>
                <w:tab w:val="clear" w:pos="567"/>
                <w:tab w:val="left" w:pos="311"/>
              </w:tabs>
              <w:ind w:left="311" w:hanging="311"/>
            </w:pPr>
            <w:r>
              <w:t>•</w:t>
            </w:r>
            <w:r>
              <w:tab/>
              <w:t>by a recreational vessel, an amount calculated using standard Rate 2</w:t>
            </w:r>
          </w:p>
        </w:tc>
        <w:tc>
          <w:tcPr>
            <w:tcW w:w="992" w:type="dxa"/>
            <w:noWrap/>
            <w:vAlign w:val="bottom"/>
          </w:tcPr>
          <w:p>
            <w:pPr>
              <w:pStyle w:val="yTableNAm"/>
              <w:jc w:val="center"/>
            </w:pPr>
          </w:p>
        </w:tc>
      </w:tr>
      <w:tr>
        <w:tc>
          <w:tcPr>
            <w:tcW w:w="709" w:type="dxa"/>
            <w:tcBorders>
              <w:bottom w:val="single" w:sz="4" w:space="0" w:color="auto"/>
            </w:tcBorders>
            <w:noWrap/>
          </w:tcPr>
          <w:p>
            <w:pPr>
              <w:pStyle w:val="yTableNAm"/>
              <w:jc w:val="center"/>
            </w:pPr>
            <w:r>
              <w:t>5.</w:t>
            </w:r>
          </w:p>
        </w:tc>
        <w:tc>
          <w:tcPr>
            <w:tcW w:w="5103" w:type="dxa"/>
            <w:tcBorders>
              <w:bottom w:val="single" w:sz="4" w:space="0" w:color="auto"/>
            </w:tcBorders>
            <w:noWrap/>
          </w:tcPr>
          <w:p>
            <w:pPr>
              <w:pStyle w:val="yTableNAm"/>
            </w:pPr>
            <w:r>
              <w:t>For the short term use of a service jetty, an amount calculated using standard Rate 3</w:t>
            </w:r>
          </w:p>
        </w:tc>
        <w:tc>
          <w:tcPr>
            <w:tcW w:w="992" w:type="dxa"/>
            <w:tcBorders>
              <w:bottom w:val="single" w:sz="4" w:space="0" w:color="auto"/>
            </w:tcBorders>
            <w:noWrap/>
            <w:vAlign w:val="bottom"/>
          </w:tcPr>
          <w:p>
            <w:pPr>
              <w:pStyle w:val="yTableNAm"/>
              <w:jc w:val="center"/>
            </w:pPr>
          </w:p>
        </w:tc>
      </w:tr>
    </w:tbl>
    <w:p>
      <w:pPr>
        <w:pStyle w:val="yFootnotesection"/>
      </w:pPr>
      <w:r>
        <w:tab/>
        <w:t>[Clause 9 inserted: SL 2021/68 r. 7.]</w:t>
      </w:r>
    </w:p>
    <w:p>
      <w:pPr>
        <w:pStyle w:val="yHeading5"/>
      </w:pPr>
      <w:bookmarkStart w:id="296" w:name="_Toc101362616"/>
      <w:r>
        <w:rPr>
          <w:rStyle w:val="CharSClsNo"/>
        </w:rPr>
        <w:lastRenderedPageBreak/>
        <w:t>10</w:t>
      </w:r>
      <w:r>
        <w:t>.</w:t>
      </w:r>
      <w:r>
        <w:tab/>
        <w:t>Jervoise Bay</w:t>
      </w:r>
      <w:bookmarkEnd w:id="296"/>
    </w:p>
    <w:p>
      <w:pPr>
        <w:pStyle w:val="ySubsection"/>
      </w:pPr>
      <w:r>
        <w:tab/>
        <w:t>(1)</w:t>
      </w:r>
      <w:r>
        <w:tab/>
        <w:t>This clause applies to Jervoise Bay.</w:t>
      </w:r>
    </w:p>
    <w:p>
      <w:pPr>
        <w:pStyle w:val="ySubsection"/>
      </w:pPr>
      <w:r>
        <w:tab/>
        <w:t>(2)</w:t>
      </w:r>
      <w:r>
        <w:tab/>
        <w:t xml:space="preserve">The charges payable under regulation 72 for a permit to use a pile mooring are set out in the Table. </w:t>
      </w:r>
    </w:p>
    <w:p>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rPr>
          <w:cantSplit/>
        </w:trPr>
        <w:tc>
          <w:tcPr>
            <w:tcW w:w="709" w:type="dxa"/>
            <w:noWrap/>
          </w:tcPr>
          <w:p>
            <w:pPr>
              <w:pStyle w:val="yTableNAm"/>
              <w:jc w:val="center"/>
            </w:pPr>
            <w:r>
              <w:t>1.</w:t>
            </w:r>
          </w:p>
        </w:tc>
        <w:tc>
          <w:tcPr>
            <w:tcW w:w="5103" w:type="dxa"/>
            <w:noWrap/>
          </w:tcPr>
          <w:p>
            <w:pPr>
              <w:pStyle w:val="yTableNAm"/>
            </w:pPr>
            <w:r>
              <w:t>For the use, other than casual daily use, of a pile mooring, an amount calculated per metre of the vessel’s length using the annual rate of</w:t>
            </w:r>
          </w:p>
        </w:tc>
        <w:tc>
          <w:tcPr>
            <w:tcW w:w="992" w:type="dxa"/>
            <w:noWrap/>
            <w:vAlign w:val="bottom"/>
          </w:tcPr>
          <w:p>
            <w:pPr>
              <w:pStyle w:val="yTableNAm"/>
              <w:jc w:val="center"/>
              <w:rPr>
                <w:szCs w:val="22"/>
              </w:rPr>
            </w:pPr>
            <w:r>
              <w:rPr>
                <w:szCs w:val="22"/>
              </w:rPr>
              <w:t>239.70</w:t>
            </w:r>
          </w:p>
        </w:tc>
      </w:tr>
      <w:tr>
        <w:trPr>
          <w:cantSplit/>
        </w:trPr>
        <w:tc>
          <w:tcPr>
            <w:tcW w:w="709" w:type="dxa"/>
            <w:noWrap/>
          </w:tcPr>
          <w:p>
            <w:pPr>
              <w:pStyle w:val="yTableNAm"/>
              <w:keepNext/>
              <w:jc w:val="center"/>
            </w:pPr>
            <w:r>
              <w:t>2.</w:t>
            </w:r>
          </w:p>
        </w:tc>
        <w:tc>
          <w:tcPr>
            <w:tcW w:w="5103" w:type="dxa"/>
            <w:noWrap/>
          </w:tcPr>
          <w:p>
            <w:pPr>
              <w:pStyle w:val="yTableNAm"/>
              <w:keepNext/>
            </w:pPr>
            <w:r>
              <w:t xml:space="preserve">For the casual daily use of a pile mooring — </w:t>
            </w:r>
          </w:p>
        </w:tc>
        <w:tc>
          <w:tcPr>
            <w:tcW w:w="992" w:type="dxa"/>
            <w:noWrap/>
            <w:vAlign w:val="bottom"/>
          </w:tcPr>
          <w:p>
            <w:pPr>
              <w:pStyle w:val="yTableNAm"/>
              <w:keepNext/>
              <w:jc w:val="center"/>
              <w:rPr>
                <w:szCs w:val="22"/>
              </w:rPr>
            </w:pPr>
          </w:p>
        </w:tc>
      </w:tr>
      <w:tr>
        <w:trPr>
          <w:cantSplit/>
        </w:trPr>
        <w:tc>
          <w:tcPr>
            <w:tcW w:w="709" w:type="dxa"/>
            <w:noWrap/>
          </w:tcPr>
          <w:p>
            <w:pPr>
              <w:pStyle w:val="yTableNAm"/>
              <w:jc w:val="center"/>
            </w:pPr>
          </w:p>
        </w:tc>
        <w:tc>
          <w:tcPr>
            <w:tcW w:w="5103" w:type="dxa"/>
            <w:noWrap/>
          </w:tcPr>
          <w:p>
            <w:pPr>
              <w:pStyle w:val="yTableNAm"/>
              <w:tabs>
                <w:tab w:val="clear" w:pos="567"/>
                <w:tab w:val="left" w:pos="311"/>
              </w:tabs>
              <w:ind w:left="311" w:hanging="311"/>
            </w:pPr>
            <w:r>
              <w:t>•</w:t>
            </w:r>
            <w:r>
              <w:tab/>
              <w:t>by a commercial vessel, an amount calculated using standard Rate 1</w:t>
            </w:r>
          </w:p>
        </w:tc>
        <w:tc>
          <w:tcPr>
            <w:tcW w:w="992" w:type="dxa"/>
            <w:noWrap/>
            <w:vAlign w:val="bottom"/>
          </w:tcPr>
          <w:p>
            <w:pPr>
              <w:pStyle w:val="yTableNAm"/>
              <w:jc w:val="center"/>
              <w:rPr>
                <w:szCs w:val="22"/>
              </w:rPr>
            </w:pPr>
          </w:p>
        </w:tc>
      </w:tr>
      <w:tr>
        <w:trPr>
          <w:cantSplit/>
        </w:trPr>
        <w:tc>
          <w:tcPr>
            <w:tcW w:w="709" w:type="dxa"/>
            <w:tcBorders>
              <w:bottom w:val="single" w:sz="4" w:space="0" w:color="auto"/>
            </w:tcBorders>
            <w:noWrap/>
          </w:tcPr>
          <w:p>
            <w:pPr>
              <w:pStyle w:val="yTableNAm"/>
              <w:jc w:val="center"/>
            </w:pPr>
          </w:p>
        </w:tc>
        <w:tc>
          <w:tcPr>
            <w:tcW w:w="5103" w:type="dxa"/>
            <w:tcBorders>
              <w:bottom w:val="single" w:sz="4" w:space="0" w:color="auto"/>
            </w:tcBorders>
            <w:noWrap/>
          </w:tcPr>
          <w:p>
            <w:pPr>
              <w:pStyle w:val="yTableNAm"/>
              <w:tabs>
                <w:tab w:val="clear" w:pos="567"/>
                <w:tab w:val="left" w:pos="311"/>
              </w:tabs>
              <w:ind w:left="311" w:hanging="311"/>
            </w:pPr>
            <w:r>
              <w:t>•</w:t>
            </w:r>
            <w:r>
              <w:tab/>
              <w:t>by a recreational vessel, an amount calculated using standard Rate 2</w:t>
            </w:r>
          </w:p>
        </w:tc>
        <w:tc>
          <w:tcPr>
            <w:tcW w:w="992" w:type="dxa"/>
            <w:tcBorders>
              <w:bottom w:val="single" w:sz="4" w:space="0" w:color="auto"/>
            </w:tcBorders>
            <w:noWrap/>
            <w:vAlign w:val="bottom"/>
          </w:tcPr>
          <w:p>
            <w:pPr>
              <w:pStyle w:val="yTableNAm"/>
              <w:jc w:val="center"/>
              <w:rPr>
                <w:szCs w:val="22"/>
              </w:rPr>
            </w:pPr>
          </w:p>
        </w:tc>
      </w:tr>
    </w:tbl>
    <w:p>
      <w:pPr>
        <w:pStyle w:val="yFootnotesection"/>
      </w:pPr>
      <w:r>
        <w:tab/>
        <w:t>[Clause 10 inserted: SL 2021/68 r. 7.]</w:t>
      </w:r>
    </w:p>
    <w:p>
      <w:pPr>
        <w:sectPr>
          <w:headerReference w:type="even" r:id="rId26"/>
          <w:headerReference w:type="default" r:id="rId27"/>
          <w:type w:val="continuous"/>
          <w:pgSz w:w="11907" w:h="16840" w:code="9"/>
          <w:pgMar w:top="2376" w:right="2405" w:bottom="3542" w:left="2405" w:header="706" w:footer="3380" w:gutter="0"/>
          <w:cols w:space="720"/>
          <w:noEndnote/>
          <w:docGrid w:linePitch="326"/>
        </w:sectPr>
      </w:pPr>
    </w:p>
    <w:p>
      <w:pPr>
        <w:pStyle w:val="yScheduleHeading"/>
      </w:pPr>
      <w:bookmarkStart w:id="297" w:name="_Toc101351219"/>
      <w:bookmarkStart w:id="298" w:name="_Toc101351536"/>
      <w:bookmarkStart w:id="299" w:name="_Toc101362617"/>
      <w:r>
        <w:rPr>
          <w:rStyle w:val="CharSchNo"/>
        </w:rPr>
        <w:lastRenderedPageBreak/>
        <w:t>Schedule 4</w:t>
      </w:r>
      <w:r>
        <w:rPr>
          <w:rStyle w:val="CharSDivNo"/>
        </w:rPr>
        <w:t> </w:t>
      </w:r>
      <w:r>
        <w:t>—</w:t>
      </w:r>
      <w:r>
        <w:rPr>
          <w:rStyle w:val="CharSDivText"/>
        </w:rPr>
        <w:t> </w:t>
      </w:r>
      <w:r>
        <w:rPr>
          <w:rStyle w:val="CharSchText"/>
        </w:rPr>
        <w:t>Forms</w:t>
      </w:r>
      <w:bookmarkEnd w:id="297"/>
      <w:bookmarkEnd w:id="298"/>
      <w:bookmarkEnd w:id="299"/>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b/>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lastRenderedPageBreak/>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300" w:name="_Toc101351220"/>
      <w:bookmarkStart w:id="301" w:name="_Toc101351537"/>
      <w:bookmarkStart w:id="302" w:name="_Toc101362618"/>
      <w:r>
        <w:lastRenderedPageBreak/>
        <w:t>Notes</w:t>
      </w:r>
      <w:bookmarkEnd w:id="300"/>
      <w:bookmarkEnd w:id="301"/>
      <w:bookmarkEnd w:id="302"/>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03" w:name="_Toc101362619"/>
      <w:r>
        <w:t>Compilation table</w:t>
      </w:r>
      <w:bookmarkEnd w:id="30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lastRenderedPageBreak/>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lastRenderedPageBreak/>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lastRenderedPageBreak/>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lastRenderedPageBreak/>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lastRenderedPageBreak/>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keepNext/>
              <w:spacing w:after="40"/>
              <w:rPr>
                <w:i/>
              </w:rPr>
            </w:pPr>
            <w:r>
              <w:rPr>
                <w:i/>
              </w:rPr>
              <w:t>Jetties Amendment Regulations (No. 2) 2019</w:t>
            </w:r>
          </w:p>
        </w:tc>
        <w:tc>
          <w:tcPr>
            <w:tcW w:w="1276" w:type="dxa"/>
            <w:tcBorders>
              <w:top w:val="nil"/>
              <w:bottom w:val="nil"/>
            </w:tcBorders>
          </w:tcPr>
          <w:p>
            <w:pPr>
              <w:pStyle w:val="nTable"/>
              <w:keepNext/>
              <w:spacing w:after="40"/>
            </w:pPr>
            <w:r>
              <w:t>31 May 2019 p. 1755</w:t>
            </w:r>
            <w:r>
              <w:noBreakHyphen/>
              <w:t>94</w:t>
            </w:r>
          </w:p>
        </w:tc>
        <w:tc>
          <w:tcPr>
            <w:tcW w:w="2722" w:type="dxa"/>
            <w:tcBorders>
              <w:top w:val="nil"/>
              <w:bottom w:val="nil"/>
            </w:tcBorders>
          </w:tcPr>
          <w:p>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keepNext/>
              <w:spacing w:after="40"/>
              <w:rPr>
                <w:i/>
              </w:rPr>
            </w:pPr>
            <w:r>
              <w:rPr>
                <w:i/>
              </w:rPr>
              <w:t>Jetties Amendment Regulations (No. 2) 2020</w:t>
            </w:r>
          </w:p>
        </w:tc>
        <w:tc>
          <w:tcPr>
            <w:tcW w:w="1276" w:type="dxa"/>
            <w:tcBorders>
              <w:top w:val="nil"/>
              <w:bottom w:val="nil"/>
            </w:tcBorders>
          </w:tcPr>
          <w:p>
            <w:pPr>
              <w:pStyle w:val="nTable"/>
              <w:keepNext/>
              <w:spacing w:after="40"/>
            </w:pPr>
            <w:r>
              <w:t>SL 2020/96 26 Jun 2020</w:t>
            </w:r>
          </w:p>
        </w:tc>
        <w:tc>
          <w:tcPr>
            <w:tcW w:w="2722" w:type="dxa"/>
            <w:tcBorders>
              <w:top w:val="nil"/>
              <w:bottom w:val="nil"/>
            </w:tcBorders>
          </w:tcPr>
          <w:p>
            <w:pPr>
              <w:pStyle w:val="nTable"/>
              <w:keepNext/>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keepNext/>
              <w:spacing w:after="40"/>
              <w:rPr>
                <w:i/>
              </w:rPr>
            </w:pPr>
            <w:r>
              <w:rPr>
                <w:i/>
              </w:rPr>
              <w:t>Jetties Amendment Regulations 2020</w:t>
            </w:r>
          </w:p>
        </w:tc>
        <w:tc>
          <w:tcPr>
            <w:tcW w:w="1276" w:type="dxa"/>
            <w:tcBorders>
              <w:top w:val="nil"/>
              <w:bottom w:val="nil"/>
            </w:tcBorders>
          </w:tcPr>
          <w:p>
            <w:pPr>
              <w:pStyle w:val="nTable"/>
              <w:keepNext/>
              <w:spacing w:after="40"/>
            </w:pPr>
            <w:r>
              <w:t>SL 2020/128 31 Jul 2020</w:t>
            </w:r>
          </w:p>
        </w:tc>
        <w:tc>
          <w:tcPr>
            <w:tcW w:w="2722" w:type="dxa"/>
            <w:tcBorders>
              <w:top w:val="nil"/>
              <w:bottom w:val="nil"/>
            </w:tcBorders>
          </w:tcPr>
          <w:p>
            <w:pPr>
              <w:pStyle w:val="nTable"/>
              <w:keepNext/>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keepNext/>
              <w:spacing w:after="40"/>
              <w:rPr>
                <w:i/>
              </w:rPr>
            </w:pPr>
            <w:r>
              <w:rPr>
                <w:i/>
              </w:rPr>
              <w:t>Jetties Amendment Regulations (No. 4) 2020</w:t>
            </w:r>
          </w:p>
        </w:tc>
        <w:tc>
          <w:tcPr>
            <w:tcW w:w="1276" w:type="dxa"/>
            <w:tcBorders>
              <w:top w:val="nil"/>
              <w:bottom w:val="nil"/>
            </w:tcBorders>
          </w:tcPr>
          <w:p>
            <w:pPr>
              <w:pStyle w:val="nTable"/>
              <w:keepNext/>
              <w:spacing w:after="40"/>
            </w:pPr>
            <w:r>
              <w:t>SL 2020/238 4 Dec 2020</w:t>
            </w:r>
          </w:p>
        </w:tc>
        <w:tc>
          <w:tcPr>
            <w:tcW w:w="2722" w:type="dxa"/>
            <w:tcBorders>
              <w:top w:val="nil"/>
              <w:bottom w:val="nil"/>
            </w:tcBorders>
          </w:tcPr>
          <w:p>
            <w:pPr>
              <w:pStyle w:val="nTable"/>
              <w:keepNext/>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keepNext/>
              <w:spacing w:after="40"/>
              <w:rPr>
                <w:i/>
              </w:rPr>
            </w:pPr>
            <w:r>
              <w:rPr>
                <w:i/>
              </w:rPr>
              <w:t>Transport Regulations Amendment (Ports) Regulations 2021</w:t>
            </w:r>
            <w:r>
              <w:t xml:space="preserve"> Pt. 2</w:t>
            </w:r>
          </w:p>
        </w:tc>
        <w:tc>
          <w:tcPr>
            <w:tcW w:w="1276" w:type="dxa"/>
            <w:tcBorders>
              <w:top w:val="nil"/>
              <w:bottom w:val="nil"/>
            </w:tcBorders>
          </w:tcPr>
          <w:p>
            <w:pPr>
              <w:pStyle w:val="nTable"/>
              <w:keepNext/>
              <w:spacing w:after="40"/>
            </w:pPr>
            <w:r>
              <w:t>SL 2021/51 7 May 2021</w:t>
            </w:r>
          </w:p>
        </w:tc>
        <w:tc>
          <w:tcPr>
            <w:tcW w:w="2722" w:type="dxa"/>
            <w:tcBorders>
              <w:top w:val="nil"/>
              <w:bottom w:val="nil"/>
            </w:tcBorders>
          </w:tcPr>
          <w:p>
            <w:pPr>
              <w:pStyle w:val="nTable"/>
              <w:keepNext/>
              <w:spacing w:after="40"/>
              <w:rPr>
                <w:bCs/>
                <w:snapToGrid w:val="0"/>
              </w:rPr>
            </w:pPr>
            <w:r>
              <w:t>1 Jul 2021 (see r. 2(b) and SL 2021/50 cl. 2)</w:t>
            </w:r>
          </w:p>
        </w:tc>
      </w:tr>
      <w:tr>
        <w:trPr>
          <w:cantSplit/>
        </w:trPr>
        <w:tc>
          <w:tcPr>
            <w:tcW w:w="3090" w:type="dxa"/>
            <w:tcBorders>
              <w:top w:val="nil"/>
              <w:bottom w:val="nil"/>
            </w:tcBorders>
          </w:tcPr>
          <w:p>
            <w:pPr>
              <w:pStyle w:val="nTable"/>
              <w:keepNext/>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keepNext/>
              <w:spacing w:after="40"/>
            </w:pPr>
            <w:r>
              <w:t>SL 2021/68 4 Jun 2021</w:t>
            </w:r>
          </w:p>
        </w:tc>
        <w:tc>
          <w:tcPr>
            <w:tcW w:w="2722" w:type="dxa"/>
            <w:tcBorders>
              <w:top w:val="nil"/>
              <w:bottom w:val="nil"/>
            </w:tcBorders>
          </w:tcPr>
          <w:p>
            <w:pPr>
              <w:pStyle w:val="nTable"/>
              <w:keepNext/>
              <w:spacing w:after="40"/>
            </w:pPr>
            <w:r>
              <w:t>1 Jul 2021 (see r. 2(b), SL 2021/51 r. 2(b) and SL 2021/50 cl. 2)</w:t>
            </w:r>
          </w:p>
        </w:tc>
      </w:tr>
      <w:tr>
        <w:trPr>
          <w:cantSplit/>
        </w:trPr>
        <w:tc>
          <w:tcPr>
            <w:tcW w:w="3090" w:type="dxa"/>
            <w:tcBorders>
              <w:top w:val="nil"/>
              <w:bottom w:val="single" w:sz="4" w:space="0" w:color="auto"/>
            </w:tcBorders>
          </w:tcPr>
          <w:p>
            <w:pPr>
              <w:pStyle w:val="nTable"/>
              <w:keepNext/>
              <w:spacing w:after="40"/>
              <w:rPr>
                <w:i/>
              </w:rPr>
            </w:pPr>
            <w:r>
              <w:rPr>
                <w:i/>
              </w:rPr>
              <w:t>Transport Regulations Amendment (Waiver and Refund) Regulations 2022</w:t>
            </w:r>
            <w:r>
              <w:t xml:space="preserve"> Pt. 2</w:t>
            </w:r>
          </w:p>
        </w:tc>
        <w:tc>
          <w:tcPr>
            <w:tcW w:w="1276" w:type="dxa"/>
            <w:tcBorders>
              <w:top w:val="nil"/>
              <w:bottom w:val="single" w:sz="4" w:space="0" w:color="auto"/>
            </w:tcBorders>
          </w:tcPr>
          <w:p>
            <w:pPr>
              <w:pStyle w:val="nTable"/>
              <w:keepNext/>
              <w:spacing w:after="40"/>
            </w:pPr>
            <w:r>
              <w:t>SL 2022/47 8 April 2022</w:t>
            </w:r>
          </w:p>
        </w:tc>
        <w:tc>
          <w:tcPr>
            <w:tcW w:w="2722" w:type="dxa"/>
            <w:tcBorders>
              <w:top w:val="nil"/>
              <w:bottom w:val="single" w:sz="4" w:space="0" w:color="auto"/>
            </w:tcBorders>
          </w:tcPr>
          <w:p>
            <w:pPr>
              <w:pStyle w:val="nTable"/>
              <w:keepNext/>
              <w:spacing w:after="40"/>
            </w:pPr>
            <w:r>
              <w:t>9 April 2022</w:t>
            </w:r>
            <w:r>
              <w:rPr>
                <w:bCs/>
                <w:snapToGrid w:val="0"/>
              </w:rPr>
              <w:t xml:space="preserve"> (see r. 2(b))</w:t>
            </w:r>
          </w:p>
        </w:tc>
      </w:tr>
    </w:tbl>
    <w:p>
      <w:pPr>
        <w:pStyle w:val="nHeading3"/>
      </w:pPr>
      <w:bookmarkStart w:id="304" w:name="_Toc101362620"/>
      <w:r>
        <w:t>Uncommenced provisions table</w:t>
      </w:r>
      <w:bookmarkEnd w:id="30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Jetties Amendment Regulations (No. 2) 2022</w:t>
            </w:r>
            <w:r>
              <w:t xml:space="preserve"> r. 3</w:t>
            </w:r>
            <w:r>
              <w:noBreakHyphen/>
              <w:t>15</w:t>
            </w:r>
          </w:p>
        </w:tc>
        <w:tc>
          <w:tcPr>
            <w:tcW w:w="1276" w:type="dxa"/>
          </w:tcPr>
          <w:p>
            <w:pPr>
              <w:pStyle w:val="nTable"/>
              <w:spacing w:after="40"/>
            </w:pPr>
            <w:r>
              <w:t>SL 2022/48 22 Apr 2022</w:t>
            </w:r>
          </w:p>
        </w:tc>
        <w:tc>
          <w:tcPr>
            <w:tcW w:w="2693" w:type="dxa"/>
          </w:tcPr>
          <w:p>
            <w:pPr>
              <w:pStyle w:val="nTable"/>
              <w:spacing w:after="40"/>
            </w:pPr>
            <w:r>
              <w:t>1 Jul 2022 (see r. 2(b))</w:t>
            </w:r>
          </w:p>
        </w:tc>
      </w:tr>
    </w:tbl>
    <w:p>
      <w:pPr>
        <w:pStyle w:val="nHeading3"/>
      </w:pPr>
      <w:bookmarkStart w:id="305" w:name="_Toc101362621"/>
      <w:r>
        <w:t>Other notes</w:t>
      </w:r>
      <w:bookmarkEnd w:id="305"/>
    </w:p>
    <w:p>
      <w:pPr>
        <w:pStyle w:val="nNote"/>
        <w:spacing w:before="160"/>
      </w:pPr>
      <w:r>
        <w:rPr>
          <w:vertAlign w:val="superscript"/>
        </w:rPr>
        <w:t>1</w:t>
      </w:r>
      <w:r>
        <w:tab/>
        <w:t>Footnote no longer applicable.</w:t>
      </w:r>
    </w:p>
    <w:p>
      <w:pPr>
        <w:pStyle w:val="nNote"/>
        <w:spacing w:before="160"/>
      </w:pPr>
      <w:r>
        <w:rPr>
          <w:vertAlign w:val="superscript"/>
        </w:rPr>
        <w:lastRenderedPageBreak/>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307" w:name="_Toc101351223"/>
      <w:bookmarkStart w:id="308" w:name="_Toc101351541"/>
      <w:bookmarkStart w:id="309" w:name="_Toc101362622"/>
      <w:r>
        <w:rPr>
          <w:sz w:val="28"/>
        </w:rPr>
        <w:lastRenderedPageBreak/>
        <w:t>Defined terms</w:t>
      </w:r>
      <w:bookmarkEnd w:id="307"/>
      <w:bookmarkEnd w:id="308"/>
      <w:bookmarkEnd w:id="3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 licence fee</w:t>
      </w:r>
      <w:r>
        <w:tab/>
        <w:t>105J, 105K(5)</w:t>
      </w:r>
    </w:p>
    <w:p>
      <w:pPr>
        <w:pStyle w:val="DefinedTerms"/>
      </w:pPr>
      <w:r>
        <w:t>amending instrument</w:t>
      </w:r>
      <w:r>
        <w:tab/>
        <w:t>111(2)</w:t>
      </w:r>
    </w:p>
    <w:p>
      <w:pPr>
        <w:pStyle w:val="DefinedTerms"/>
      </w:pPr>
      <w:r>
        <w:t>annual licence fee</w:t>
      </w:r>
      <w:r>
        <w:tab/>
        <w:t>105J, 105K(6)</w:t>
      </w:r>
    </w:p>
    <w:p>
      <w:pPr>
        <w:pStyle w:val="DefinedTerms"/>
      </w:pPr>
      <w:r>
        <w:t>authorised fee officer</w:t>
      </w:r>
      <w:r>
        <w:tab/>
        <w:t>109</w:t>
      </w:r>
    </w:p>
    <w:p>
      <w:pPr>
        <w:pStyle w:val="DefinedTerms"/>
      </w:pPr>
      <w:r>
        <w:t>authorised period</w:t>
      </w:r>
      <w:r>
        <w:tab/>
        <w:t>67DD</w:t>
      </w:r>
    </w:p>
    <w:p>
      <w:pPr>
        <w:pStyle w:val="DefinedTerms"/>
      </w:pPr>
      <w:r>
        <w:t>Berth 1</w:t>
      </w:r>
      <w:r>
        <w:tab/>
        <w:t>67DD</w:t>
      </w:r>
    </w:p>
    <w:p>
      <w:pPr>
        <w:pStyle w:val="DefinedTerms"/>
      </w:pPr>
      <w:r>
        <w:t>Berth 1 permit</w:t>
      </w:r>
      <w:r>
        <w:tab/>
        <w:t>67DD</w:t>
      </w:r>
    </w:p>
    <w:p>
      <w:pPr>
        <w:pStyle w:val="DefinedTerms"/>
      </w:pPr>
      <w:r>
        <w:t>Berth 2</w:t>
      </w:r>
      <w:r>
        <w:tab/>
        <w:t>67DD</w:t>
      </w:r>
    </w:p>
    <w:p>
      <w:pPr>
        <w:pStyle w:val="DefinedTerms"/>
      </w:pPr>
      <w:r>
        <w:t>Berth 3</w:t>
      </w:r>
      <w:r>
        <w:tab/>
        <w:t>67DD</w:t>
      </w:r>
    </w:p>
    <w:p>
      <w:pPr>
        <w:pStyle w:val="DefinedTerms"/>
      </w:pPr>
      <w:r>
        <w:t>Burswood Jetty</w:t>
      </w:r>
      <w:r>
        <w:tab/>
        <w:t>3(1)</w:t>
      </w:r>
    </w:p>
    <w:p>
      <w:pPr>
        <w:pStyle w:val="DefinedTerms"/>
      </w:pPr>
      <w:r>
        <w:t>business</w:t>
      </w:r>
      <w:r>
        <w:tab/>
        <w:t>105J</w:t>
      </w:r>
    </w:p>
    <w:p>
      <w:pPr>
        <w:pStyle w:val="DefinedTerms"/>
      </w:pPr>
      <w:r>
        <w:t>business licence</w:t>
      </w:r>
      <w:r>
        <w:tab/>
        <w:t>105J</w:t>
      </w:r>
    </w:p>
    <w:p>
      <w:pPr>
        <w:pStyle w:val="DefinedTerms"/>
      </w:pPr>
      <w:r>
        <w:t>commercial passenger vessel</w:t>
      </w:r>
      <w:r>
        <w:tab/>
        <w:t>67DD</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31(1)</w:t>
      </w:r>
    </w:p>
    <w:p>
      <w:pPr>
        <w:pStyle w:val="DefinedTerms"/>
      </w:pPr>
      <w:r>
        <w:t>exclusive operator</w:t>
      </w:r>
      <w:r>
        <w:tab/>
        <w:t>67DD, 67DF(2)</w:t>
      </w:r>
    </w:p>
    <w:p>
      <w:pPr>
        <w:pStyle w:val="DefinedTerms"/>
      </w:pPr>
      <w:r>
        <w:t>fee</w:t>
      </w:r>
      <w:r>
        <w:tab/>
        <w:t>109</w:t>
      </w:r>
    </w:p>
    <w:p>
      <w:pPr>
        <w:pStyle w:val="DefinedTerms"/>
      </w:pPr>
      <w:r>
        <w:t>fishing vessel</w:t>
      </w:r>
      <w:r>
        <w:tab/>
        <w:t>3(1)</w:t>
      </w:r>
    </w:p>
    <w:p>
      <w:pPr>
        <w:pStyle w:val="DefinedTerms"/>
      </w:pPr>
      <w:r>
        <w:t>fuel pipeline</w:t>
      </w:r>
      <w:r>
        <w:tab/>
        <w:t>105J</w:t>
      </w:r>
    </w:p>
    <w:p>
      <w:pPr>
        <w:pStyle w:val="DefinedTerms"/>
      </w:pPr>
      <w:r>
        <w:t>fuel pipeline licence</w:t>
      </w:r>
      <w:r>
        <w:tab/>
        <w:t>105J</w:t>
      </w:r>
    </w:p>
    <w:p>
      <w:pPr>
        <w:pStyle w:val="DefinedTerms"/>
      </w:pPr>
      <w:r>
        <w:t>item 1</w:t>
      </w:r>
      <w:r>
        <w:tab/>
        <w:t>67DD</w:t>
      </w:r>
    </w:p>
    <w:p>
      <w:pPr>
        <w:pStyle w:val="DefinedTerms"/>
      </w:pPr>
      <w:r>
        <w:t>item 2</w:t>
      </w:r>
      <w:r>
        <w:tab/>
        <w:t>67DD</w:t>
      </w:r>
    </w:p>
    <w:p>
      <w:pPr>
        <w:pStyle w:val="DefinedTerms"/>
      </w:pPr>
      <w:r>
        <w:t>item 3</w:t>
      </w:r>
      <w:r>
        <w:tab/>
        <w:t>67DD</w:t>
      </w:r>
    </w:p>
    <w:p>
      <w:pPr>
        <w:pStyle w:val="DefinedTerms"/>
      </w:pPr>
      <w:r>
        <w:t>jetty</w:t>
      </w:r>
      <w:r>
        <w:tab/>
        <w:t>3(1), 105J</w:t>
      </w:r>
    </w:p>
    <w:p>
      <w:pPr>
        <w:pStyle w:val="DefinedTerms"/>
      </w:pPr>
      <w:r>
        <w:t>licence</w:t>
      </w:r>
      <w:r>
        <w:tab/>
        <w:t>105J</w:t>
      </w:r>
    </w:p>
    <w:p>
      <w:pPr>
        <w:pStyle w:val="DefinedTerms"/>
      </w:pPr>
      <w:r>
        <w:t>local government public licence</w:t>
      </w:r>
      <w:r>
        <w:tab/>
        <w:t>105J</w:t>
      </w:r>
    </w:p>
    <w:p>
      <w:pPr>
        <w:pStyle w:val="DefinedTerms"/>
      </w:pPr>
      <w:r>
        <w:t>master</w:t>
      </w:r>
      <w:r>
        <w:tab/>
        <w:t>3(1)</w:t>
      </w:r>
    </w:p>
    <w:p>
      <w:pPr>
        <w:pStyle w:val="DefinedTerms"/>
      </w:pPr>
      <w:r>
        <w:t>new licence fee</w:t>
      </w:r>
      <w:r>
        <w:tab/>
        <w:t>105J, 105K(3)</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private licence</w:t>
      </w:r>
      <w:r>
        <w:tab/>
        <w:t>105J</w:t>
      </w:r>
    </w:p>
    <w:p>
      <w:pPr>
        <w:pStyle w:val="DefinedTerms"/>
      </w:pPr>
      <w:r>
        <w:t>public jetty</w:t>
      </w:r>
      <w:r>
        <w:tab/>
        <w:t>3(1)</w:t>
      </w:r>
    </w:p>
    <w:p>
      <w:pPr>
        <w:pStyle w:val="DefinedTerms"/>
      </w:pPr>
      <w:r>
        <w:t>ramp</w:t>
      </w:r>
      <w:r>
        <w:tab/>
        <w:t>105J</w:t>
      </w:r>
    </w:p>
    <w:p>
      <w:pPr>
        <w:pStyle w:val="DefinedTerms"/>
      </w:pPr>
      <w:r>
        <w:t>recreational vessel</w:t>
      </w:r>
      <w:r>
        <w:tab/>
        <w:t>3(1)</w:t>
      </w:r>
    </w:p>
    <w:p>
      <w:pPr>
        <w:pStyle w:val="DefinedTerms"/>
      </w:pPr>
      <w:r>
        <w:t>relevant vessel</w:t>
      </w:r>
      <w:r>
        <w:tab/>
        <w:t>67DI(1)</w:t>
      </w:r>
    </w:p>
    <w:p>
      <w:pPr>
        <w:pStyle w:val="DefinedTerms"/>
      </w:pPr>
      <w:r>
        <w:t>replacement licence fee</w:t>
      </w:r>
      <w:r>
        <w:tab/>
        <w:t>105J, 105K(4)</w:t>
      </w:r>
    </w:p>
    <w:p>
      <w:pPr>
        <w:pStyle w:val="DefinedTerms"/>
      </w:pPr>
      <w:r>
        <w:t>short term</w:t>
      </w:r>
      <w:r>
        <w:tab/>
        <w:t>3(2)</w:t>
      </w:r>
    </w:p>
    <w:p>
      <w:pPr>
        <w:pStyle w:val="DefinedTerms"/>
      </w:pPr>
      <w:r>
        <w:lastRenderedPageBreak/>
        <w:t>swing mooring fee</w:t>
      </w:r>
      <w:r>
        <w:tab/>
        <w:t>3(1)</w:t>
      </w:r>
    </w:p>
    <w:p>
      <w:pPr>
        <w:pStyle w:val="DefinedTerms"/>
      </w:pPr>
      <w:r>
        <w:t>tourism vessel</w:t>
      </w:r>
      <w:r>
        <w:tab/>
        <w:t>3(1)</w:t>
      </w:r>
    </w:p>
    <w:p>
      <w:pPr>
        <w:pStyle w:val="DefinedTerms"/>
      </w:pPr>
      <w:r>
        <w:t>unit</w:t>
      </w:r>
      <w:r>
        <w:tab/>
        <w:t>3(5)</w:t>
      </w:r>
    </w:p>
    <w:p>
      <w:pPr>
        <w:pStyle w:val="DefinedTerms"/>
      </w:pPr>
      <w:r>
        <w:t>vessel</w:t>
      </w:r>
      <w:r>
        <w:tab/>
        <w:t>3(1), 105J</w:t>
      </w:r>
    </w:p>
    <w:p>
      <w:pPr>
        <w:pStyle w:val="DefinedTerms"/>
      </w:pPr>
      <w:r>
        <w:t>week</w:t>
      </w:r>
      <w:r>
        <w:tab/>
        <w:t>3(2)</w:t>
      </w:r>
    </w:p>
    <w:p>
      <w:pPr>
        <w:pStyle w:val="DefinedTerms"/>
      </w:pPr>
      <w:r>
        <w:t>written instrument</w:t>
      </w:r>
      <w:r>
        <w:tab/>
        <w:t>109</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p>
  <w:p>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p>
  <w:p>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jc w:val="center"/>
      <w:rPr>
        <w:sz w:val="16"/>
      </w:rPr>
    </w:pPr>
    <w:r>
      <w:rPr>
        <w:sz w:val="16"/>
      </w:rPr>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4</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4</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Breach of regulations and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108</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108</w:t>
          </w:r>
          <w:r>
            <w:rPr>
              <w:b/>
            </w:rPr>
            <w:fldChar w:fldCharType="end"/>
          </w: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Breach of regulations and penalties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4</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4</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108</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108</w:t>
          </w:r>
          <w:r>
            <w:rPr>
              <w:b/>
            </w:rPr>
            <w:fldChar w:fldCharType="end"/>
          </w:r>
        </w:p>
      </w:tc>
    </w:tr>
  </w:tbl>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6" w:name="Compilation"/>
    <w:bookmarkEnd w:id="30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10" w:name="DefinedTerms"/>
    <w:bookmarkEnd w:id="31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1" w:name="Coversheet"/>
    <w:bookmarkEnd w:id="3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20123831"/>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B48FA-4B43-47BA-A7CA-8FEAA99B6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30036</Words>
  <Characters>140273</Characters>
  <Application>Microsoft Office Word</Application>
  <DocSecurity>0</DocSecurity>
  <Lines>4675</Lines>
  <Paragraphs>3041</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167268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1940 - 09-t0-00</dc:title>
  <dc:subject/>
  <dc:creator/>
  <cp:keywords/>
  <dc:description/>
  <cp:lastModifiedBy>Master Repository Process</cp:lastModifiedBy>
  <cp:revision>4</cp:revision>
  <cp:lastPrinted>2018-06-29T07:24:00Z</cp:lastPrinted>
  <dcterms:created xsi:type="dcterms:W3CDTF">2022-04-21T07:53:00Z</dcterms:created>
  <dcterms:modified xsi:type="dcterms:W3CDTF">2022-04-21T07:54:00Z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22 Apr 2022</vt:lpwstr>
  </property>
  <property fmtid="{D5CDD505-2E9C-101B-9397-08002B2CF9AE}" pid="8" name="Suffix">
    <vt:lpwstr>09-t0-00</vt:lpwstr>
  </property>
  <property fmtid="{D5CDD505-2E9C-101B-9397-08002B2CF9AE}" pid="9" name="CommencementDate">
    <vt:lpwstr>20220422</vt:lpwstr>
  </property>
</Properties>
</file>