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Prisons Act 1981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Prisons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_Toc103865412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_Toc103865413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_Toc103865414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Establishment of prisons</w:t>
      </w:r>
    </w:p>
    <w:p>
      <w:pPr>
        <w:pStyle w:val="TOC8"/>
        <w:rPr>
          <w:rFonts w:asciiTheme="minorHAnsi" w:eastAsiaTheme="minorEastAsia" w:hAnsiTheme="minorHAnsi" w:cstheme="minorBidi"/>
          <w:szCs w:val="22"/>
        </w:rPr>
      </w:pPr>
      <w:r>
        <w:t>4</w:t>
      </w:r>
      <w:r>
        <w:rPr>
          <w:snapToGrid w:val="0"/>
        </w:rPr>
        <w:t>.</w:t>
      </w:r>
      <w:r>
        <w:rPr>
          <w:snapToGrid w:val="0"/>
        </w:rPr>
        <w:tab/>
        <w:t>Existing prisons continued</w:t>
      </w:r>
      <w:r>
        <w:tab/>
      </w:r>
      <w:r>
        <w:fldChar w:fldCharType="begin"/>
      </w:r>
      <w:r>
        <w:instrText xml:space="preserve"> PAGEREF _Toc103865416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for prisons</w:t>
      </w:r>
      <w:r>
        <w:tab/>
      </w:r>
      <w:r>
        <w:fldChar w:fldCharType="begin"/>
      </w:r>
      <w:r>
        <w:instrText xml:space="preserve"> PAGEREF _Toc103865417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III — Officers</w:t>
      </w:r>
    </w:p>
    <w:p>
      <w:pPr>
        <w:pStyle w:val="TOC8"/>
        <w:rPr>
          <w:rFonts w:asciiTheme="minorHAnsi" w:eastAsiaTheme="minorEastAsia" w:hAnsiTheme="minorHAnsi" w:cstheme="minorBidi"/>
          <w:szCs w:val="22"/>
        </w:rPr>
      </w:pPr>
      <w:r>
        <w:t>6</w:t>
      </w:r>
      <w:r>
        <w:rPr>
          <w:snapToGrid w:val="0"/>
        </w:rPr>
        <w:t>.</w:t>
      </w:r>
      <w:r>
        <w:rPr>
          <w:snapToGrid w:val="0"/>
        </w:rPr>
        <w:tab/>
        <w:t>Appointment of officers</w:t>
      </w:r>
      <w:r>
        <w:tab/>
      </w:r>
      <w:r>
        <w:fldChar w:fldCharType="begin"/>
      </w:r>
      <w:r>
        <w:instrText xml:space="preserve"> PAGEREF _Toc103865419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Powers and duties of chief executive officer</w:t>
      </w:r>
      <w:r>
        <w:tab/>
      </w:r>
      <w:r>
        <w:fldChar w:fldCharType="begin"/>
      </w:r>
      <w:r>
        <w:instrText xml:space="preserve"> PAGEREF _Toc103865420 \h </w:instrText>
      </w:r>
      <w:r>
        <w:fldChar w:fldCharType="separate"/>
      </w:r>
      <w:r>
        <w:t>7</w:t>
      </w:r>
      <w:r>
        <w:fldChar w:fldCharType="end"/>
      </w:r>
    </w:p>
    <w:p>
      <w:pPr>
        <w:pStyle w:val="TOC8"/>
        <w:rPr>
          <w:rFonts w:asciiTheme="minorHAnsi" w:eastAsiaTheme="minorEastAsia" w:hAnsiTheme="minorHAnsi" w:cstheme="minorBidi"/>
          <w:szCs w:val="22"/>
        </w:rPr>
      </w:pPr>
      <w:r>
        <w:t>8.</w:t>
      </w:r>
      <w:r>
        <w:tab/>
        <w:t>Delegation by chief executive officer</w:t>
      </w:r>
      <w:r>
        <w:tab/>
      </w:r>
      <w:r>
        <w:fldChar w:fldCharType="begin"/>
      </w:r>
      <w:r>
        <w:instrText xml:space="preserve"> PAGEREF _Toc103865421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Chief executive officer may set up inquiry</w:t>
      </w:r>
      <w:r>
        <w:tab/>
      </w:r>
      <w:r>
        <w:fldChar w:fldCharType="begin"/>
      </w:r>
      <w:r>
        <w:instrText xml:space="preserve"> PAGEREF _Toc103865422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Failure to supply information to inquiry</w:t>
      </w:r>
      <w:r>
        <w:tab/>
      </w:r>
      <w:r>
        <w:fldChar w:fldCharType="begin"/>
      </w:r>
      <w:r>
        <w:instrText xml:space="preserve"> PAGEREF _Toc103865423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_Toc103865424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Duties of officers</w:t>
      </w:r>
      <w:r>
        <w:tab/>
      </w:r>
      <w:r>
        <w:fldChar w:fldCharType="begin"/>
      </w:r>
      <w:r>
        <w:instrText xml:space="preserve"> PAGEREF _Toc103865425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Engagement of prison officers</w:t>
      </w:r>
      <w:r>
        <w:tab/>
      </w:r>
      <w:r>
        <w:fldChar w:fldCharType="begin"/>
      </w:r>
      <w:r>
        <w:instrText xml:space="preserve"> PAGEREF _Toc103865426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Powers and duties of prison officers</w:t>
      </w:r>
      <w:r>
        <w:tab/>
      </w:r>
      <w:r>
        <w:fldChar w:fldCharType="begin"/>
      </w:r>
      <w:r>
        <w:instrText xml:space="preserve"> PAGEREF _Toc103865427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Assistance by police officers</w:t>
      </w:r>
      <w:r>
        <w:tab/>
      </w:r>
      <w:r>
        <w:fldChar w:fldCharType="begin"/>
      </w:r>
      <w:r>
        <w:instrText xml:space="preserve"> PAGEREF _Toc103865428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IIIA — Contracts for prison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15A.</w:t>
      </w:r>
      <w:r>
        <w:tab/>
        <w:t>Terms used</w:t>
      </w:r>
      <w:r>
        <w:tab/>
      </w:r>
      <w:r>
        <w:fldChar w:fldCharType="begin"/>
      </w:r>
      <w:r>
        <w:instrText xml:space="preserve"> PAGEREF _Toc103865431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Matters relating to contracts generally</w:t>
      </w:r>
    </w:p>
    <w:p>
      <w:pPr>
        <w:pStyle w:val="TOC8"/>
        <w:rPr>
          <w:rFonts w:asciiTheme="minorHAnsi" w:eastAsiaTheme="minorEastAsia" w:hAnsiTheme="minorHAnsi" w:cstheme="minorBidi"/>
          <w:szCs w:val="22"/>
        </w:rPr>
      </w:pPr>
      <w:r>
        <w:t>15B.</w:t>
      </w:r>
      <w:r>
        <w:tab/>
        <w:t>Contracts for prison services</w:t>
      </w:r>
      <w:r>
        <w:tab/>
      </w:r>
      <w:r>
        <w:fldChar w:fldCharType="begin"/>
      </w:r>
      <w:r>
        <w:instrText xml:space="preserve"> PAGEREF _Toc103865433 \h </w:instrText>
      </w:r>
      <w:r>
        <w:fldChar w:fldCharType="separate"/>
      </w:r>
      <w:r>
        <w:t>17</w:t>
      </w:r>
      <w:r>
        <w:fldChar w:fldCharType="end"/>
      </w:r>
    </w:p>
    <w:p>
      <w:pPr>
        <w:pStyle w:val="TOC8"/>
        <w:rPr>
          <w:rFonts w:asciiTheme="minorHAnsi" w:eastAsiaTheme="minorEastAsia" w:hAnsiTheme="minorHAnsi" w:cstheme="minorBidi"/>
          <w:szCs w:val="22"/>
        </w:rPr>
      </w:pPr>
      <w:r>
        <w:t>15C.</w:t>
      </w:r>
      <w:r>
        <w:tab/>
        <w:t>Minimum matters to be included in contracts</w:t>
      </w:r>
      <w:r>
        <w:tab/>
      </w:r>
      <w:r>
        <w:fldChar w:fldCharType="begin"/>
      </w:r>
      <w:r>
        <w:instrText xml:space="preserve"> PAGEREF _Toc103865434 \h </w:instrText>
      </w:r>
      <w:r>
        <w:fldChar w:fldCharType="separate"/>
      </w:r>
      <w:r>
        <w:t>17</w:t>
      </w:r>
      <w:r>
        <w:fldChar w:fldCharType="end"/>
      </w:r>
    </w:p>
    <w:p>
      <w:pPr>
        <w:pStyle w:val="TOC8"/>
        <w:rPr>
          <w:rFonts w:asciiTheme="minorHAnsi" w:eastAsiaTheme="minorEastAsia" w:hAnsiTheme="minorHAnsi" w:cstheme="minorBidi"/>
          <w:szCs w:val="22"/>
        </w:rPr>
      </w:pPr>
      <w:r>
        <w:t>15D.</w:t>
      </w:r>
      <w:r>
        <w:tab/>
        <w:t>Minimum standards</w:t>
      </w:r>
      <w:r>
        <w:tab/>
      </w:r>
      <w:r>
        <w:fldChar w:fldCharType="begin"/>
      </w:r>
      <w:r>
        <w:instrText xml:space="preserve"> PAGEREF _Toc103865435 \h </w:instrText>
      </w:r>
      <w:r>
        <w:fldChar w:fldCharType="separate"/>
      </w:r>
      <w:r>
        <w:t>18</w:t>
      </w:r>
      <w:r>
        <w:fldChar w:fldCharType="end"/>
      </w:r>
    </w:p>
    <w:p>
      <w:pPr>
        <w:pStyle w:val="TOC8"/>
        <w:rPr>
          <w:rFonts w:asciiTheme="minorHAnsi" w:eastAsiaTheme="minorEastAsia" w:hAnsiTheme="minorHAnsi" w:cstheme="minorBidi"/>
          <w:szCs w:val="22"/>
        </w:rPr>
      </w:pPr>
      <w:r>
        <w:t>15DA.</w:t>
      </w:r>
      <w:r>
        <w:tab/>
        <w:t>Penalty for breach</w:t>
      </w:r>
      <w:r>
        <w:tab/>
      </w:r>
      <w:r>
        <w:fldChar w:fldCharType="begin"/>
      </w:r>
      <w:r>
        <w:instrText xml:space="preserve"> PAGEREF _Toc103865436 \h </w:instrText>
      </w:r>
      <w:r>
        <w:fldChar w:fldCharType="separate"/>
      </w:r>
      <w:r>
        <w:t>19</w:t>
      </w:r>
      <w:r>
        <w:fldChar w:fldCharType="end"/>
      </w:r>
    </w:p>
    <w:p>
      <w:pPr>
        <w:pStyle w:val="TOC8"/>
        <w:rPr>
          <w:rFonts w:asciiTheme="minorHAnsi" w:eastAsiaTheme="minorEastAsia" w:hAnsiTheme="minorHAnsi" w:cstheme="minorBidi"/>
          <w:szCs w:val="22"/>
        </w:rPr>
      </w:pPr>
      <w:r>
        <w:t>15E.</w:t>
      </w:r>
      <w:r>
        <w:tab/>
        <w:t>Minister, chief executive officer etc. may have access to certain prisons, persons, vehicles and documents</w:t>
      </w:r>
      <w:r>
        <w:tab/>
      </w:r>
      <w:r>
        <w:fldChar w:fldCharType="begin"/>
      </w:r>
      <w:r>
        <w:instrText xml:space="preserve"> PAGEREF _Toc103865437 \h </w:instrText>
      </w:r>
      <w:r>
        <w:fldChar w:fldCharType="separate"/>
      </w:r>
      <w:r>
        <w:t>19</w:t>
      </w:r>
      <w:r>
        <w:fldChar w:fldCharType="end"/>
      </w:r>
    </w:p>
    <w:p>
      <w:pPr>
        <w:pStyle w:val="TOC8"/>
        <w:rPr>
          <w:rFonts w:asciiTheme="minorHAnsi" w:eastAsiaTheme="minorEastAsia" w:hAnsiTheme="minorHAnsi" w:cstheme="minorBidi"/>
          <w:szCs w:val="22"/>
        </w:rPr>
      </w:pPr>
      <w:r>
        <w:t>15F.</w:t>
      </w:r>
      <w:r>
        <w:tab/>
        <w:t>Administrators and reporting officers may have access to certain prisons, persons, vehicles and documents</w:t>
      </w:r>
      <w:r>
        <w:tab/>
      </w:r>
      <w:r>
        <w:fldChar w:fldCharType="begin"/>
      </w:r>
      <w:r>
        <w:instrText xml:space="preserve"> PAGEREF _Toc103865438 \h </w:instrText>
      </w:r>
      <w:r>
        <w:fldChar w:fldCharType="separate"/>
      </w:r>
      <w:r>
        <w:t>20</w:t>
      </w:r>
      <w:r>
        <w:fldChar w:fldCharType="end"/>
      </w:r>
    </w:p>
    <w:p>
      <w:pPr>
        <w:pStyle w:val="TOC8"/>
        <w:rPr>
          <w:rFonts w:asciiTheme="minorHAnsi" w:eastAsiaTheme="minorEastAsia" w:hAnsiTheme="minorHAnsi" w:cstheme="minorBidi"/>
          <w:szCs w:val="22"/>
        </w:rPr>
      </w:pPr>
      <w:r>
        <w:t>15G.</w:t>
      </w:r>
      <w:r>
        <w:tab/>
        <w:t>Annual reports and tabling of contracts</w:t>
      </w:r>
      <w:r>
        <w:tab/>
      </w:r>
      <w:r>
        <w:fldChar w:fldCharType="begin"/>
      </w:r>
      <w:r>
        <w:instrText xml:space="preserve"> PAGEREF _Toc103865439 \h </w:instrText>
      </w:r>
      <w:r>
        <w:fldChar w:fldCharType="separate"/>
      </w:r>
      <w:r>
        <w:t>21</w:t>
      </w:r>
      <w:r>
        <w:fldChar w:fldCharType="end"/>
      </w:r>
    </w:p>
    <w:p>
      <w:pPr>
        <w:pStyle w:val="TOC8"/>
        <w:rPr>
          <w:rFonts w:asciiTheme="minorHAnsi" w:eastAsiaTheme="minorEastAsia" w:hAnsiTheme="minorHAnsi" w:cstheme="minorBidi"/>
          <w:szCs w:val="22"/>
        </w:rPr>
      </w:pPr>
      <w:r>
        <w:t>15H.</w:t>
      </w:r>
      <w:r>
        <w:tab/>
        <w:t>No contracting out</w:t>
      </w:r>
      <w:r>
        <w:tab/>
      </w:r>
      <w:r>
        <w:fldChar w:fldCharType="begin"/>
      </w:r>
      <w:r>
        <w:instrText xml:space="preserve"> PAGEREF _Toc103865440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Authorisation of contract workers to perform functions</w:t>
      </w:r>
    </w:p>
    <w:p>
      <w:pPr>
        <w:pStyle w:val="TOC8"/>
        <w:rPr>
          <w:rFonts w:asciiTheme="minorHAnsi" w:eastAsiaTheme="minorEastAsia" w:hAnsiTheme="minorHAnsi" w:cstheme="minorBidi"/>
          <w:szCs w:val="22"/>
        </w:rPr>
      </w:pPr>
      <w:r>
        <w:t>15I.</w:t>
      </w:r>
      <w:r>
        <w:tab/>
        <w:t>Contract workers’ functions</w:t>
      </w:r>
      <w:r>
        <w:tab/>
      </w:r>
      <w:r>
        <w:fldChar w:fldCharType="begin"/>
      </w:r>
      <w:r>
        <w:instrText xml:space="preserve"> PAGEREF _Toc103865442 \h </w:instrText>
      </w:r>
      <w:r>
        <w:fldChar w:fldCharType="separate"/>
      </w:r>
      <w:r>
        <w:t>22</w:t>
      </w:r>
      <w:r>
        <w:fldChar w:fldCharType="end"/>
      </w:r>
    </w:p>
    <w:p>
      <w:pPr>
        <w:pStyle w:val="TOC8"/>
        <w:rPr>
          <w:rFonts w:asciiTheme="minorHAnsi" w:eastAsiaTheme="minorEastAsia" w:hAnsiTheme="minorHAnsi" w:cstheme="minorBidi"/>
          <w:szCs w:val="22"/>
        </w:rPr>
      </w:pPr>
      <w:r>
        <w:t>15J.</w:t>
      </w:r>
      <w:r>
        <w:tab/>
        <w:t>Limitation on functions of contract workers</w:t>
      </w:r>
      <w:r>
        <w:tab/>
      </w:r>
      <w:r>
        <w:fldChar w:fldCharType="begin"/>
      </w:r>
      <w:r>
        <w:instrText xml:space="preserve"> PAGEREF _Toc103865443 \h </w:instrText>
      </w:r>
      <w:r>
        <w:fldChar w:fldCharType="separate"/>
      </w:r>
      <w:r>
        <w:t>23</w:t>
      </w:r>
      <w:r>
        <w:fldChar w:fldCharType="end"/>
      </w:r>
    </w:p>
    <w:p>
      <w:pPr>
        <w:pStyle w:val="TOC8"/>
        <w:rPr>
          <w:rFonts w:asciiTheme="minorHAnsi" w:eastAsiaTheme="minorEastAsia" w:hAnsiTheme="minorHAnsi" w:cstheme="minorBidi"/>
          <w:szCs w:val="22"/>
        </w:rPr>
      </w:pPr>
      <w:r>
        <w:t>15K.</w:t>
      </w:r>
      <w:r>
        <w:tab/>
        <w:t>Effect of authorisation</w:t>
      </w:r>
      <w:r>
        <w:tab/>
      </w:r>
      <w:r>
        <w:fldChar w:fldCharType="begin"/>
      </w:r>
      <w:r>
        <w:instrText xml:space="preserve"> PAGEREF _Toc103865444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Vetting and control of contract workers in relation to high</w:t>
      </w:r>
      <w:r>
        <w:noBreakHyphen/>
        <w:t>level security work</w:t>
      </w:r>
    </w:p>
    <w:p>
      <w:pPr>
        <w:pStyle w:val="TOC8"/>
        <w:rPr>
          <w:rFonts w:asciiTheme="minorHAnsi" w:eastAsiaTheme="minorEastAsia" w:hAnsiTheme="minorHAnsi" w:cstheme="minorBidi"/>
          <w:szCs w:val="22"/>
        </w:rPr>
      </w:pPr>
      <w:r>
        <w:t>15L.</w:t>
      </w:r>
      <w:r>
        <w:tab/>
        <w:t>Term used: offence for which the contract worker is convicted</w:t>
      </w:r>
      <w:r>
        <w:tab/>
      </w:r>
      <w:r>
        <w:fldChar w:fldCharType="begin"/>
      </w:r>
      <w:r>
        <w:instrText xml:space="preserve"> PAGEREF _Toc103865446 \h </w:instrText>
      </w:r>
      <w:r>
        <w:fldChar w:fldCharType="separate"/>
      </w:r>
      <w:r>
        <w:t>25</w:t>
      </w:r>
      <w:r>
        <w:fldChar w:fldCharType="end"/>
      </w:r>
    </w:p>
    <w:p>
      <w:pPr>
        <w:pStyle w:val="TOC8"/>
        <w:rPr>
          <w:rFonts w:asciiTheme="minorHAnsi" w:eastAsiaTheme="minorEastAsia" w:hAnsiTheme="minorHAnsi" w:cstheme="minorBidi"/>
          <w:szCs w:val="22"/>
        </w:rPr>
      </w:pPr>
      <w:r>
        <w:t>15M.</w:t>
      </w:r>
      <w:r>
        <w:tab/>
        <w:t>High</w:t>
      </w:r>
      <w:r>
        <w:noBreakHyphen/>
        <w:t>level security work</w:t>
      </w:r>
      <w:r>
        <w:tab/>
      </w:r>
      <w:r>
        <w:fldChar w:fldCharType="begin"/>
      </w:r>
      <w:r>
        <w:instrText xml:space="preserve"> PAGEREF _Toc103865447 \h </w:instrText>
      </w:r>
      <w:r>
        <w:fldChar w:fldCharType="separate"/>
      </w:r>
      <w:r>
        <w:t>25</w:t>
      </w:r>
      <w:r>
        <w:fldChar w:fldCharType="end"/>
      </w:r>
    </w:p>
    <w:p>
      <w:pPr>
        <w:pStyle w:val="TOC8"/>
        <w:rPr>
          <w:rFonts w:asciiTheme="minorHAnsi" w:eastAsiaTheme="minorEastAsia" w:hAnsiTheme="minorHAnsi" w:cstheme="minorBidi"/>
          <w:szCs w:val="22"/>
        </w:rPr>
      </w:pPr>
      <w:r>
        <w:t>15N.</w:t>
      </w:r>
      <w:r>
        <w:tab/>
        <w:t>Chief executive officer may declare other kinds of work to be high</w:t>
      </w:r>
      <w:r>
        <w:noBreakHyphen/>
        <w:t>level security work</w:t>
      </w:r>
      <w:r>
        <w:tab/>
      </w:r>
      <w:r>
        <w:fldChar w:fldCharType="begin"/>
      </w:r>
      <w:r>
        <w:instrText xml:space="preserve"> PAGEREF _Toc103865448 \h </w:instrText>
      </w:r>
      <w:r>
        <w:fldChar w:fldCharType="separate"/>
      </w:r>
      <w:r>
        <w:t>26</w:t>
      </w:r>
      <w:r>
        <w:fldChar w:fldCharType="end"/>
      </w:r>
    </w:p>
    <w:p>
      <w:pPr>
        <w:pStyle w:val="TOC8"/>
        <w:rPr>
          <w:rFonts w:asciiTheme="minorHAnsi" w:eastAsiaTheme="minorEastAsia" w:hAnsiTheme="minorHAnsi" w:cstheme="minorBidi"/>
          <w:szCs w:val="22"/>
        </w:rPr>
      </w:pPr>
      <w:r>
        <w:t>15O.</w:t>
      </w:r>
      <w:r>
        <w:tab/>
        <w:t>Contract workers require permits to do high</w:t>
      </w:r>
      <w:r>
        <w:noBreakHyphen/>
        <w:t>level security work</w:t>
      </w:r>
      <w:r>
        <w:tab/>
      </w:r>
      <w:r>
        <w:fldChar w:fldCharType="begin"/>
      </w:r>
      <w:r>
        <w:instrText xml:space="preserve"> PAGEREF _Toc103865449 \h </w:instrText>
      </w:r>
      <w:r>
        <w:fldChar w:fldCharType="separate"/>
      </w:r>
      <w:r>
        <w:t>26</w:t>
      </w:r>
      <w:r>
        <w:fldChar w:fldCharType="end"/>
      </w:r>
    </w:p>
    <w:p>
      <w:pPr>
        <w:pStyle w:val="TOC8"/>
        <w:rPr>
          <w:rFonts w:asciiTheme="minorHAnsi" w:eastAsiaTheme="minorEastAsia" w:hAnsiTheme="minorHAnsi" w:cstheme="minorBidi"/>
          <w:szCs w:val="22"/>
        </w:rPr>
      </w:pPr>
      <w:r>
        <w:t>15P.</w:t>
      </w:r>
      <w:r>
        <w:tab/>
        <w:t>Issue of permits to do high</w:t>
      </w:r>
      <w:r>
        <w:noBreakHyphen/>
        <w:t>level security work</w:t>
      </w:r>
      <w:r>
        <w:tab/>
      </w:r>
      <w:r>
        <w:fldChar w:fldCharType="begin"/>
      </w:r>
      <w:r>
        <w:instrText xml:space="preserve"> PAGEREF _Toc103865450 \h </w:instrText>
      </w:r>
      <w:r>
        <w:fldChar w:fldCharType="separate"/>
      </w:r>
      <w:r>
        <w:t>26</w:t>
      </w:r>
      <w:r>
        <w:fldChar w:fldCharType="end"/>
      </w:r>
    </w:p>
    <w:p>
      <w:pPr>
        <w:pStyle w:val="TOC8"/>
        <w:rPr>
          <w:rFonts w:asciiTheme="minorHAnsi" w:eastAsiaTheme="minorEastAsia" w:hAnsiTheme="minorHAnsi" w:cstheme="minorBidi"/>
          <w:szCs w:val="22"/>
        </w:rPr>
      </w:pPr>
      <w:r>
        <w:t>15Q.</w:t>
      </w:r>
      <w:r>
        <w:tab/>
        <w:t>Information about applicants for permits</w:t>
      </w:r>
      <w:r>
        <w:tab/>
      </w:r>
      <w:r>
        <w:fldChar w:fldCharType="begin"/>
      </w:r>
      <w:r>
        <w:instrText xml:space="preserve"> PAGEREF _Toc103865451 \h </w:instrText>
      </w:r>
      <w:r>
        <w:fldChar w:fldCharType="separate"/>
      </w:r>
      <w:r>
        <w:t>27</w:t>
      </w:r>
      <w:r>
        <w:fldChar w:fldCharType="end"/>
      </w:r>
    </w:p>
    <w:p>
      <w:pPr>
        <w:pStyle w:val="TOC8"/>
        <w:rPr>
          <w:rFonts w:asciiTheme="minorHAnsi" w:eastAsiaTheme="minorEastAsia" w:hAnsiTheme="minorHAnsi" w:cstheme="minorBidi"/>
          <w:szCs w:val="22"/>
        </w:rPr>
      </w:pPr>
      <w:r>
        <w:t>15R.</w:t>
      </w:r>
      <w:r>
        <w:tab/>
        <w:t>Taking of fingerprints and palmprints</w:t>
      </w:r>
      <w:r>
        <w:tab/>
      </w:r>
      <w:r>
        <w:fldChar w:fldCharType="begin"/>
      </w:r>
      <w:r>
        <w:instrText xml:space="preserve"> PAGEREF _Toc103865452 \h </w:instrText>
      </w:r>
      <w:r>
        <w:fldChar w:fldCharType="separate"/>
      </w:r>
      <w:r>
        <w:t>28</w:t>
      </w:r>
      <w:r>
        <w:fldChar w:fldCharType="end"/>
      </w:r>
    </w:p>
    <w:p>
      <w:pPr>
        <w:pStyle w:val="TOC8"/>
        <w:rPr>
          <w:rFonts w:asciiTheme="minorHAnsi" w:eastAsiaTheme="minorEastAsia" w:hAnsiTheme="minorHAnsi" w:cstheme="minorBidi"/>
          <w:szCs w:val="22"/>
        </w:rPr>
      </w:pPr>
      <w:r>
        <w:t>15S.</w:t>
      </w:r>
      <w:r>
        <w:tab/>
        <w:t>Refusal to issue permit</w:t>
      </w:r>
      <w:r>
        <w:tab/>
      </w:r>
      <w:r>
        <w:fldChar w:fldCharType="begin"/>
      </w:r>
      <w:r>
        <w:instrText xml:space="preserve"> PAGEREF _Toc103865453 \h </w:instrText>
      </w:r>
      <w:r>
        <w:fldChar w:fldCharType="separate"/>
      </w:r>
      <w:r>
        <w:t>28</w:t>
      </w:r>
      <w:r>
        <w:fldChar w:fldCharType="end"/>
      </w:r>
    </w:p>
    <w:p>
      <w:pPr>
        <w:pStyle w:val="TOC8"/>
        <w:rPr>
          <w:rFonts w:asciiTheme="minorHAnsi" w:eastAsiaTheme="minorEastAsia" w:hAnsiTheme="minorHAnsi" w:cstheme="minorBidi"/>
          <w:szCs w:val="22"/>
        </w:rPr>
      </w:pPr>
      <w:r>
        <w:t>15T.</w:t>
      </w:r>
      <w:r>
        <w:tab/>
        <w:t>Determining suitability of contract workers to keep holding permits</w:t>
      </w:r>
      <w:r>
        <w:tab/>
      </w:r>
      <w:r>
        <w:fldChar w:fldCharType="begin"/>
      </w:r>
      <w:r>
        <w:instrText xml:space="preserve"> PAGEREF _Toc103865454 \h </w:instrText>
      </w:r>
      <w:r>
        <w:fldChar w:fldCharType="separate"/>
      </w:r>
      <w:r>
        <w:t>29</w:t>
      </w:r>
      <w:r>
        <w:fldChar w:fldCharType="end"/>
      </w:r>
    </w:p>
    <w:p>
      <w:pPr>
        <w:pStyle w:val="TOC8"/>
        <w:rPr>
          <w:rFonts w:asciiTheme="minorHAnsi" w:eastAsiaTheme="minorEastAsia" w:hAnsiTheme="minorHAnsi" w:cstheme="minorBidi"/>
          <w:szCs w:val="22"/>
        </w:rPr>
      </w:pPr>
      <w:r>
        <w:t>15U.</w:t>
      </w:r>
      <w:r>
        <w:tab/>
        <w:t>Suspension or revocation of permits</w:t>
      </w:r>
      <w:r>
        <w:tab/>
      </w:r>
      <w:r>
        <w:fldChar w:fldCharType="begin"/>
      </w:r>
      <w:r>
        <w:instrText xml:space="preserve"> PAGEREF _Toc103865455 \h </w:instrText>
      </w:r>
      <w:r>
        <w:fldChar w:fldCharType="separate"/>
      </w:r>
      <w:r>
        <w:t>31</w:t>
      </w:r>
      <w:r>
        <w:fldChar w:fldCharType="end"/>
      </w:r>
    </w:p>
    <w:p>
      <w:pPr>
        <w:pStyle w:val="TOC8"/>
        <w:rPr>
          <w:rFonts w:asciiTheme="minorHAnsi" w:eastAsiaTheme="minorEastAsia" w:hAnsiTheme="minorHAnsi" w:cstheme="minorBidi"/>
          <w:szCs w:val="22"/>
        </w:rPr>
      </w:pPr>
      <w:r>
        <w:t>15V.</w:t>
      </w:r>
      <w:r>
        <w:tab/>
        <w:t>Gazettal of permit details</w:t>
      </w:r>
      <w:r>
        <w:tab/>
      </w:r>
      <w:r>
        <w:fldChar w:fldCharType="begin"/>
      </w:r>
      <w:r>
        <w:instrText xml:space="preserve"> PAGEREF _Toc103865456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Intervention in, and termination of, contracts</w:t>
      </w:r>
    </w:p>
    <w:p>
      <w:pPr>
        <w:pStyle w:val="TOC8"/>
        <w:rPr>
          <w:rFonts w:asciiTheme="minorHAnsi" w:eastAsiaTheme="minorEastAsia" w:hAnsiTheme="minorHAnsi" w:cstheme="minorBidi"/>
          <w:szCs w:val="22"/>
        </w:rPr>
      </w:pPr>
      <w:r>
        <w:t>15W.</w:t>
      </w:r>
      <w:r>
        <w:tab/>
        <w:t>Intervention in contracts</w:t>
      </w:r>
      <w:r>
        <w:tab/>
      </w:r>
      <w:r>
        <w:fldChar w:fldCharType="begin"/>
      </w:r>
      <w:r>
        <w:instrText xml:space="preserve"> PAGEREF _Toc103865458 \h </w:instrText>
      </w:r>
      <w:r>
        <w:fldChar w:fldCharType="separate"/>
      </w:r>
      <w:r>
        <w:t>32</w:t>
      </w:r>
      <w:r>
        <w:fldChar w:fldCharType="end"/>
      </w:r>
    </w:p>
    <w:p>
      <w:pPr>
        <w:pStyle w:val="TOC8"/>
        <w:rPr>
          <w:rFonts w:asciiTheme="minorHAnsi" w:eastAsiaTheme="minorEastAsia" w:hAnsiTheme="minorHAnsi" w:cstheme="minorBidi"/>
          <w:szCs w:val="22"/>
        </w:rPr>
      </w:pPr>
      <w:r>
        <w:t>15X.</w:t>
      </w:r>
      <w:r>
        <w:tab/>
        <w:t>Termination or suspension of contracts</w:t>
      </w:r>
      <w:r>
        <w:tab/>
      </w:r>
      <w:r>
        <w:fldChar w:fldCharType="begin"/>
      </w:r>
      <w:r>
        <w:instrText xml:space="preserve"> PAGEREF _Toc103865459 \h </w:instrText>
      </w:r>
      <w:r>
        <w:fldChar w:fldCharType="separate"/>
      </w:r>
      <w:r>
        <w:t>32</w:t>
      </w:r>
      <w:r>
        <w:fldChar w:fldCharType="end"/>
      </w:r>
    </w:p>
    <w:p>
      <w:pPr>
        <w:pStyle w:val="TOC8"/>
        <w:rPr>
          <w:rFonts w:asciiTheme="minorHAnsi" w:eastAsiaTheme="minorEastAsia" w:hAnsiTheme="minorHAnsi" w:cstheme="minorBidi"/>
          <w:szCs w:val="22"/>
        </w:rPr>
      </w:pPr>
      <w:r>
        <w:t>15Y.</w:t>
      </w:r>
      <w:r>
        <w:tab/>
        <w:t>Administrator where intervention in contract</w:t>
      </w:r>
      <w:r>
        <w:tab/>
      </w:r>
      <w:r>
        <w:fldChar w:fldCharType="begin"/>
      </w:r>
      <w:r>
        <w:instrText xml:space="preserve"> PAGEREF _Toc103865460 \h </w:instrText>
      </w:r>
      <w:r>
        <w:fldChar w:fldCharType="separate"/>
      </w:r>
      <w:r>
        <w:t>33</w:t>
      </w:r>
      <w:r>
        <w:fldChar w:fldCharType="end"/>
      </w:r>
    </w:p>
    <w:p>
      <w:pPr>
        <w:pStyle w:val="TOC8"/>
        <w:rPr>
          <w:rFonts w:asciiTheme="minorHAnsi" w:eastAsiaTheme="minorEastAsia" w:hAnsiTheme="minorHAnsi" w:cstheme="minorBidi"/>
          <w:szCs w:val="22"/>
        </w:rPr>
      </w:pPr>
      <w:r>
        <w:t>15Z.</w:t>
      </w:r>
      <w:r>
        <w:tab/>
        <w:t>Administrator where termination or suspension of contract</w:t>
      </w:r>
      <w:r>
        <w:tab/>
      </w:r>
      <w:r>
        <w:fldChar w:fldCharType="begin"/>
      </w:r>
      <w:r>
        <w:instrText xml:space="preserve"> PAGEREF _Toc103865461 \h </w:instrText>
      </w:r>
      <w:r>
        <w:fldChar w:fldCharType="separate"/>
      </w:r>
      <w:r>
        <w:t>34</w:t>
      </w:r>
      <w:r>
        <w:fldChar w:fldCharType="end"/>
      </w:r>
    </w:p>
    <w:p>
      <w:pPr>
        <w:pStyle w:val="TOC8"/>
        <w:rPr>
          <w:rFonts w:asciiTheme="minorHAnsi" w:eastAsiaTheme="minorEastAsia" w:hAnsiTheme="minorHAnsi" w:cstheme="minorBidi"/>
          <w:szCs w:val="22"/>
        </w:rPr>
      </w:pPr>
      <w:r>
        <w:t>15ZA.</w:t>
      </w:r>
      <w:r>
        <w:tab/>
        <w:t>Administrator’s functions</w:t>
      </w:r>
      <w:r>
        <w:tab/>
      </w:r>
      <w:r>
        <w:fldChar w:fldCharType="begin"/>
      </w:r>
      <w:r>
        <w:instrText xml:space="preserve"> PAGEREF _Toc103865462 \h </w:instrText>
      </w:r>
      <w:r>
        <w:fldChar w:fldCharType="separate"/>
      </w:r>
      <w:r>
        <w:t>35</w:t>
      </w:r>
      <w:r>
        <w:fldChar w:fldCharType="end"/>
      </w:r>
    </w:p>
    <w:p>
      <w:pPr>
        <w:pStyle w:val="TOC8"/>
        <w:rPr>
          <w:rFonts w:asciiTheme="minorHAnsi" w:eastAsiaTheme="minorEastAsia" w:hAnsiTheme="minorHAnsi" w:cstheme="minorBidi"/>
          <w:szCs w:val="22"/>
        </w:rPr>
      </w:pPr>
      <w:r>
        <w:t>15ZB.</w:t>
      </w:r>
      <w:r>
        <w:tab/>
        <w:t>Compliance with administrator’s directions</w:t>
      </w:r>
      <w:r>
        <w:tab/>
      </w:r>
      <w:r>
        <w:fldChar w:fldCharType="begin"/>
      </w:r>
      <w:r>
        <w:instrText xml:space="preserve"> PAGEREF _Toc103865463 \h </w:instrText>
      </w:r>
      <w:r>
        <w:fldChar w:fldCharType="separate"/>
      </w:r>
      <w:r>
        <w:t>35</w:t>
      </w:r>
      <w:r>
        <w:fldChar w:fldCharType="end"/>
      </w:r>
    </w:p>
    <w:p>
      <w:pPr>
        <w:pStyle w:val="TOC8"/>
        <w:rPr>
          <w:rFonts w:asciiTheme="minorHAnsi" w:eastAsiaTheme="minorEastAsia" w:hAnsiTheme="minorHAnsi" w:cstheme="minorBidi"/>
          <w:szCs w:val="22"/>
        </w:rPr>
      </w:pPr>
      <w:r>
        <w:t>15ZC.</w:t>
      </w:r>
      <w:r>
        <w:tab/>
        <w:t>Requisitioning property on intervention in, or termination of, contract</w:t>
      </w:r>
      <w:r>
        <w:tab/>
      </w:r>
      <w:r>
        <w:fldChar w:fldCharType="begin"/>
      </w:r>
      <w:r>
        <w:instrText xml:space="preserve"> PAGEREF _Toc103865464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IV — Custody, removal and release of prisoners</w:t>
      </w:r>
    </w:p>
    <w:p>
      <w:pPr>
        <w:pStyle w:val="TOC8"/>
        <w:rPr>
          <w:rFonts w:asciiTheme="minorHAnsi" w:eastAsiaTheme="minorEastAsia" w:hAnsiTheme="minorHAnsi" w:cstheme="minorBidi"/>
          <w:szCs w:val="22"/>
        </w:rPr>
      </w:pPr>
      <w:r>
        <w:t>16</w:t>
      </w:r>
      <w:r>
        <w:rPr>
          <w:snapToGrid w:val="0"/>
        </w:rPr>
        <w:t>.</w:t>
      </w:r>
      <w:r>
        <w:rPr>
          <w:snapToGrid w:val="0"/>
        </w:rPr>
        <w:tab/>
        <w:t>Prisoners in custody of chief executive officer</w:t>
      </w:r>
      <w:r>
        <w:tab/>
      </w:r>
      <w:r>
        <w:fldChar w:fldCharType="begin"/>
      </w:r>
      <w:r>
        <w:instrText xml:space="preserve"> PAGEREF _Toc103865466 \h </w:instrText>
      </w:r>
      <w:r>
        <w:fldChar w:fldCharType="separate"/>
      </w:r>
      <w:r>
        <w:t>37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Reckoning of sentence</w:t>
      </w:r>
      <w:r>
        <w:tab/>
      </w:r>
      <w:r>
        <w:fldChar w:fldCharType="begin"/>
      </w:r>
      <w:r>
        <w:instrText xml:space="preserve"> PAGEREF _Toc103865467 \h </w:instrText>
      </w:r>
      <w:r>
        <w:fldChar w:fldCharType="separate"/>
      </w:r>
      <w:r>
        <w:t>38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Conveyance of prisoners for trial etc.</w:t>
      </w:r>
      <w:r>
        <w:tab/>
      </w:r>
      <w:r>
        <w:fldChar w:fldCharType="begin"/>
      </w:r>
      <w:r>
        <w:instrText xml:space="preserve"> PAGEREF _Toc103865468 \h </w:instrText>
      </w:r>
      <w:r>
        <w:fldChar w:fldCharType="separate"/>
      </w:r>
      <w:r>
        <w:t>38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Warrants of commitment</w:t>
      </w:r>
      <w:r>
        <w:tab/>
      </w:r>
      <w:r>
        <w:fldChar w:fldCharType="begin"/>
      </w:r>
      <w:r>
        <w:instrText xml:space="preserve"> PAGEREF _Toc103865469 \h </w:instrText>
      </w:r>
      <w:r>
        <w:fldChar w:fldCharType="separate"/>
      </w:r>
      <w:r>
        <w:t>38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Proof of imprisonment</w:t>
      </w:r>
      <w:r>
        <w:tab/>
      </w:r>
      <w:r>
        <w:fldChar w:fldCharType="begin"/>
      </w:r>
      <w:r>
        <w:instrText xml:space="preserve"> PAGEREF _Toc103865470 \h </w:instrText>
      </w:r>
      <w:r>
        <w:fldChar w:fldCharType="separate"/>
      </w:r>
      <w:r>
        <w:t>39</w:t>
      </w:r>
      <w:r>
        <w:fldChar w:fldCharType="end"/>
      </w:r>
    </w:p>
    <w:p>
      <w:pPr>
        <w:pStyle w:val="TOC8"/>
        <w:rPr>
          <w:rFonts w:asciiTheme="minorHAnsi" w:eastAsiaTheme="minorEastAsia" w:hAnsiTheme="minorHAnsi" w:cstheme="minorBidi"/>
          <w:szCs w:val="22"/>
        </w:rPr>
      </w:pPr>
      <w:r>
        <w:t>23.</w:t>
      </w:r>
      <w:r>
        <w:tab/>
        <w:t>Prisoner assigned to external facility in lawful custody</w:t>
      </w:r>
      <w:r>
        <w:tab/>
      </w:r>
      <w:r>
        <w:fldChar w:fldCharType="begin"/>
      </w:r>
      <w:r>
        <w:instrText xml:space="preserve"> PAGEREF _Toc103865471 \h </w:instrText>
      </w:r>
      <w:r>
        <w:fldChar w:fldCharType="separate"/>
      </w:r>
      <w:r>
        <w:t>40</w:t>
      </w:r>
      <w:r>
        <w:fldChar w:fldCharType="end"/>
      </w:r>
    </w:p>
    <w:p>
      <w:pPr>
        <w:pStyle w:val="TOC8"/>
        <w:rPr>
          <w:rFonts w:asciiTheme="minorHAnsi" w:eastAsiaTheme="minorEastAsia" w:hAnsiTheme="minorHAnsi" w:cstheme="minorBidi"/>
          <w:szCs w:val="22"/>
        </w:rPr>
      </w:pPr>
      <w:r>
        <w:t>24.</w:t>
      </w:r>
      <w:r>
        <w:tab/>
        <w:t>Prisoner absent under permit in lawful custody</w:t>
      </w:r>
      <w:r>
        <w:tab/>
      </w:r>
      <w:r>
        <w:fldChar w:fldCharType="begin"/>
      </w:r>
      <w:r>
        <w:instrText xml:space="preserve"> PAGEREF _Toc103865472 \h </w:instrText>
      </w:r>
      <w:r>
        <w:fldChar w:fldCharType="separate"/>
      </w:r>
      <w:r>
        <w:t>40</w:t>
      </w:r>
      <w:r>
        <w:fldChar w:fldCharType="end"/>
      </w:r>
    </w:p>
    <w:p>
      <w:pPr>
        <w:pStyle w:val="TOC8"/>
        <w:rPr>
          <w:rFonts w:asciiTheme="minorHAnsi" w:eastAsiaTheme="minorEastAsia" w:hAnsiTheme="minorHAnsi" w:cstheme="minorBidi"/>
          <w:szCs w:val="22"/>
        </w:rPr>
      </w:pPr>
      <w:r>
        <w:t>25.</w:t>
      </w:r>
      <w:r>
        <w:tab/>
        <w:t xml:space="preserve">Prisoner attending </w:t>
      </w:r>
      <w:r>
        <w:rPr>
          <w:snapToGrid w:val="0"/>
        </w:rPr>
        <w:t>legal or investigative</w:t>
      </w:r>
      <w:r>
        <w:t xml:space="preserve"> proceedings in lawful custody</w:t>
      </w:r>
      <w:r>
        <w:tab/>
      </w:r>
      <w:r>
        <w:fldChar w:fldCharType="begin"/>
      </w:r>
      <w:r>
        <w:instrText xml:space="preserve"> PAGEREF _Toc103865473 \h </w:instrText>
      </w:r>
      <w:r>
        <w:fldChar w:fldCharType="separate"/>
      </w:r>
      <w:r>
        <w:t>40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Removal of prisoner to another prison</w:t>
      </w:r>
      <w:r>
        <w:tab/>
      </w:r>
      <w:r>
        <w:fldChar w:fldCharType="begin"/>
      </w:r>
      <w:r>
        <w:instrText xml:space="preserve"> PAGEREF _Toc103865474 \h </w:instrText>
      </w:r>
      <w:r>
        <w:fldChar w:fldCharType="separate"/>
      </w:r>
      <w:r>
        <w:t>40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Chief executive officer and superintendent’s powers of early discharge</w:t>
      </w:r>
      <w:r>
        <w:tab/>
      </w:r>
      <w:r>
        <w:fldChar w:fldCharType="begin"/>
      </w:r>
      <w:r>
        <w:instrText xml:space="preserve"> PAGEREF _Toc103865475 \h </w:instrText>
      </w:r>
      <w:r>
        <w:fldChar w:fldCharType="separate"/>
      </w:r>
      <w:r>
        <w:t>42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Prison offences by prisoners due for release</w:t>
      </w:r>
      <w:r>
        <w:tab/>
      </w:r>
      <w:r>
        <w:fldChar w:fldCharType="begin"/>
      </w:r>
      <w:r>
        <w:instrText xml:space="preserve"> PAGEREF _Toc103865476 \h </w:instrText>
      </w:r>
      <w:r>
        <w:fldChar w:fldCharType="separate"/>
      </w:r>
      <w:r>
        <w:t>42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Provision of fare home on release</w:t>
      </w:r>
      <w:r>
        <w:tab/>
      </w:r>
      <w:r>
        <w:fldChar w:fldCharType="begin"/>
      </w:r>
      <w:r>
        <w:instrText xml:space="preserve"> PAGEREF _Toc103865477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V — Management, control and security of prisons</w:t>
      </w:r>
    </w:p>
    <w:p>
      <w:pPr>
        <w:pStyle w:val="TOC8"/>
        <w:rPr>
          <w:rFonts w:asciiTheme="minorHAnsi" w:eastAsiaTheme="minorEastAsia" w:hAnsiTheme="minorHAnsi" w:cstheme="minorBidi"/>
          <w:szCs w:val="22"/>
        </w:rPr>
      </w:pPr>
      <w:r>
        <w:t>35</w:t>
      </w:r>
      <w:r>
        <w:rPr>
          <w:snapToGrid w:val="0"/>
        </w:rPr>
        <w:t>.</w:t>
      </w:r>
      <w:r>
        <w:rPr>
          <w:snapToGrid w:val="0"/>
        </w:rPr>
        <w:tab/>
        <w:t>Chief executive officer may make rules</w:t>
      </w:r>
      <w:r>
        <w:tab/>
      </w:r>
      <w:r>
        <w:fldChar w:fldCharType="begin"/>
      </w:r>
      <w:r>
        <w:instrText xml:space="preserve"> PAGEREF _Toc103865479 \h </w:instrText>
      </w:r>
      <w:r>
        <w:fldChar w:fldCharType="separate"/>
      </w:r>
      <w:r>
        <w:t>44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Superintendents of prisons</w:t>
      </w:r>
      <w:r>
        <w:tab/>
      </w:r>
      <w:r>
        <w:fldChar w:fldCharType="begin"/>
      </w:r>
      <w:r>
        <w:instrText xml:space="preserve"> PAGEREF _Toc103865480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Superintendent may issue standing orders</w:t>
      </w:r>
      <w:r>
        <w:tab/>
      </w:r>
      <w:r>
        <w:fldChar w:fldCharType="begin"/>
      </w:r>
      <w:r>
        <w:instrText xml:space="preserve"> PAGEREF _Toc103865481 \h </w:instrText>
      </w:r>
      <w:r>
        <w:fldChar w:fldCharType="separate"/>
      </w:r>
      <w:r>
        <w:t>45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Search of prisoners and taking of things found</w:t>
      </w:r>
      <w:r>
        <w:tab/>
      </w:r>
      <w:r>
        <w:fldChar w:fldCharType="begin"/>
      </w:r>
      <w:r>
        <w:instrText xml:space="preserve"> PAGEREF _Toc103865482 \h </w:instrText>
      </w:r>
      <w:r>
        <w:fldChar w:fldCharType="separate"/>
      </w:r>
      <w:r>
        <w:t>46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Restraint</w:t>
      </w:r>
      <w:r>
        <w:tab/>
      </w:r>
      <w:r>
        <w:fldChar w:fldCharType="begin"/>
      </w:r>
      <w:r>
        <w:instrText xml:space="preserve"> PAGEREF _Toc103865483 \h </w:instrText>
      </w:r>
      <w:r>
        <w:fldChar w:fldCharType="separate"/>
      </w:r>
      <w:r>
        <w:t>47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Separate confinement</w:t>
      </w:r>
      <w:r>
        <w:tab/>
      </w:r>
      <w:r>
        <w:fldChar w:fldCharType="begin"/>
      </w:r>
      <w:r>
        <w:instrText xml:space="preserve"> PAGEREF _Toc103865484 \h </w:instrText>
      </w:r>
      <w:r>
        <w:fldChar w:fldCharType="separate"/>
      </w:r>
      <w:r>
        <w:t>47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Separation of male and female prisoners</w:t>
      </w:r>
      <w:r>
        <w:tab/>
      </w:r>
      <w:r>
        <w:fldChar w:fldCharType="begin"/>
      </w:r>
      <w:r>
        <w:instrText xml:space="preserve"> PAGEREF _Toc103865485 \h </w:instrText>
      </w:r>
      <w:r>
        <w:fldChar w:fldCharType="separate"/>
      </w:r>
      <w:r>
        <w:t>48</w:t>
      </w:r>
      <w:r>
        <w:fldChar w:fldCharType="end"/>
      </w:r>
    </w:p>
    <w:p>
      <w:pPr>
        <w:pStyle w:val="TOC8"/>
        <w:rPr>
          <w:rFonts w:asciiTheme="minorHAnsi" w:eastAsiaTheme="minorEastAsia" w:hAnsiTheme="minorHAnsi" w:cstheme="minorBidi"/>
          <w:szCs w:val="22"/>
        </w:rPr>
      </w:pPr>
      <w:r>
        <w:lastRenderedPageBreak/>
        <w:t>46</w:t>
      </w:r>
      <w:r>
        <w:rPr>
          <w:snapToGrid w:val="0"/>
        </w:rPr>
        <w:t>.</w:t>
      </w:r>
      <w:r>
        <w:rPr>
          <w:snapToGrid w:val="0"/>
        </w:rPr>
        <w:tab/>
        <w:t>Medical examination for evidentiary purposes</w:t>
      </w:r>
      <w:r>
        <w:tab/>
      </w:r>
      <w:r>
        <w:fldChar w:fldCharType="begin"/>
      </w:r>
      <w:r>
        <w:instrText xml:space="preserve"> PAGEREF _Toc103865486 \h </w:instrText>
      </w:r>
      <w:r>
        <w:fldChar w:fldCharType="separate"/>
      </w:r>
      <w:r>
        <w:t>48</w:t>
      </w:r>
      <w:r>
        <w:fldChar w:fldCharType="end"/>
      </w:r>
    </w:p>
    <w:p>
      <w:pPr>
        <w:pStyle w:val="TOC8"/>
        <w:rPr>
          <w:rFonts w:asciiTheme="minorHAnsi" w:eastAsiaTheme="minorEastAsia" w:hAnsiTheme="minorHAnsi" w:cstheme="minorBidi"/>
          <w:szCs w:val="22"/>
        </w:rPr>
      </w:pPr>
      <w:r>
        <w:t>46A.</w:t>
      </w:r>
      <w:r>
        <w:tab/>
        <w:t>Inspection of medical records and mandatory taking of blood or other body sample where prison officer may have been exposed to infectious disease</w:t>
      </w:r>
      <w:r>
        <w:tab/>
      </w:r>
      <w:r>
        <w:fldChar w:fldCharType="begin"/>
      </w:r>
      <w:r>
        <w:instrText xml:space="preserve"> PAGEREF _Toc103865487 \h </w:instrText>
      </w:r>
      <w:r>
        <w:fldChar w:fldCharType="separate"/>
      </w:r>
      <w:r>
        <w:t>49</w:t>
      </w:r>
      <w:r>
        <w:fldChar w:fldCharType="end"/>
      </w:r>
    </w:p>
    <w:p>
      <w:pPr>
        <w:pStyle w:val="TOC8"/>
        <w:rPr>
          <w:rFonts w:asciiTheme="minorHAnsi" w:eastAsiaTheme="minorEastAsia" w:hAnsiTheme="minorHAnsi" w:cstheme="minorBidi"/>
          <w:szCs w:val="22"/>
        </w:rPr>
      </w:pPr>
      <w:r>
        <w:t>46B.</w:t>
      </w:r>
      <w:r>
        <w:tab/>
        <w:t>Review of s. 46A</w:t>
      </w:r>
      <w:r>
        <w:tab/>
      </w:r>
      <w:r>
        <w:fldChar w:fldCharType="begin"/>
      </w:r>
      <w:r>
        <w:instrText xml:space="preserve"> PAGEREF _Toc103865488 \h </w:instrText>
      </w:r>
      <w:r>
        <w:fldChar w:fldCharType="separate"/>
      </w:r>
      <w:r>
        <w:t>49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Use of firearms</w:t>
      </w:r>
      <w:r>
        <w:tab/>
      </w:r>
      <w:r>
        <w:fldChar w:fldCharType="begin"/>
      </w:r>
      <w:r>
        <w:instrText xml:space="preserve"> PAGEREF _Toc103865489 \h </w:instrText>
      </w:r>
      <w:r>
        <w:fldChar w:fldCharType="separate"/>
      </w:r>
      <w:r>
        <w:t>50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Use of force on serious breach of security</w:t>
      </w:r>
      <w:r>
        <w:tab/>
      </w:r>
      <w:r>
        <w:fldChar w:fldCharType="begin"/>
      </w:r>
      <w:r>
        <w:instrText xml:space="preserve"> PAGEREF _Toc103865490 \h </w:instrText>
      </w:r>
      <w:r>
        <w:fldChar w:fldCharType="separate"/>
      </w:r>
      <w:r>
        <w:t>51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Power to search and question persons entering prison</w:t>
      </w:r>
      <w:r>
        <w:tab/>
      </w:r>
      <w:r>
        <w:fldChar w:fldCharType="begin"/>
      </w:r>
      <w:r>
        <w:instrText xml:space="preserve"> PAGEREF _Toc103865491 \h </w:instrText>
      </w:r>
      <w:r>
        <w:fldChar w:fldCharType="separate"/>
      </w:r>
      <w:r>
        <w:t>52</w:t>
      </w:r>
      <w:r>
        <w:fldChar w:fldCharType="end"/>
      </w:r>
    </w:p>
    <w:p>
      <w:pPr>
        <w:pStyle w:val="TOC8"/>
        <w:rPr>
          <w:rFonts w:asciiTheme="minorHAnsi" w:eastAsiaTheme="minorEastAsia" w:hAnsiTheme="minorHAnsi" w:cstheme="minorBidi"/>
          <w:szCs w:val="22"/>
        </w:rPr>
      </w:pPr>
      <w:r>
        <w:t>49A</w:t>
      </w:r>
      <w:r>
        <w:rPr>
          <w:snapToGrid w:val="0"/>
        </w:rPr>
        <w:t>.</w:t>
      </w:r>
      <w:r>
        <w:rPr>
          <w:snapToGrid w:val="0"/>
        </w:rPr>
        <w:tab/>
        <w:t>Use of dogs</w:t>
      </w:r>
      <w:r>
        <w:tab/>
      </w:r>
      <w:r>
        <w:fldChar w:fldCharType="begin"/>
      </w:r>
      <w:r>
        <w:instrText xml:space="preserve"> PAGEREF _Toc103865492 \h </w:instrText>
      </w:r>
      <w:r>
        <w:fldChar w:fldCharType="separate"/>
      </w:r>
      <w:r>
        <w:t>54</w:t>
      </w:r>
      <w:r>
        <w:fldChar w:fldCharType="end"/>
      </w:r>
    </w:p>
    <w:p>
      <w:pPr>
        <w:pStyle w:val="TOC8"/>
        <w:rPr>
          <w:rFonts w:asciiTheme="minorHAnsi" w:eastAsiaTheme="minorEastAsia" w:hAnsiTheme="minorHAnsi" w:cstheme="minorBidi"/>
          <w:szCs w:val="22"/>
        </w:rPr>
      </w:pPr>
      <w:r>
        <w:t>49B.</w:t>
      </w:r>
      <w:r>
        <w:tab/>
        <w:t>Possession of firearms, prohibited drugs etc. by prison officers</w:t>
      </w:r>
      <w:r>
        <w:tab/>
      </w:r>
      <w:r>
        <w:fldChar w:fldCharType="begin"/>
      </w:r>
      <w:r>
        <w:instrText xml:space="preserve"> PAGEREF _Toc103865493 \h </w:instrText>
      </w:r>
      <w:r>
        <w:fldChar w:fldCharType="separate"/>
      </w:r>
      <w:r>
        <w:t>55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Penalty in respect of unauthorised articles</w:t>
      </w:r>
      <w:r>
        <w:tab/>
      </w:r>
      <w:r>
        <w:fldChar w:fldCharType="begin"/>
      </w:r>
      <w:r>
        <w:instrText xml:space="preserve"> PAGEREF _Toc103865494 \h </w:instrText>
      </w:r>
      <w:r>
        <w:fldChar w:fldCharType="separate"/>
      </w:r>
      <w:r>
        <w:t>56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Superintendent may delegate powers under s. 49</w:t>
      </w:r>
      <w:r>
        <w:tab/>
      </w:r>
      <w:r>
        <w:fldChar w:fldCharType="begin"/>
      </w:r>
      <w:r>
        <w:instrText xml:space="preserve"> PAGEREF _Toc103865495 \h </w:instrText>
      </w:r>
      <w:r>
        <w:fldChar w:fldCharType="separate"/>
      </w:r>
      <w:r>
        <w:t>57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Offences in respect of loitering, unauthorised entry and unauthorised communications</w:t>
      </w:r>
      <w:r>
        <w:tab/>
      </w:r>
      <w:r>
        <w:fldChar w:fldCharType="begin"/>
      </w:r>
      <w:r>
        <w:instrText xml:space="preserve"> PAGEREF _Toc103865496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VI — Prison visits and communications involving prisoners</w:t>
      </w:r>
    </w:p>
    <w:p>
      <w:pPr>
        <w:pStyle w:val="TOC8"/>
        <w:rPr>
          <w:rFonts w:asciiTheme="minorHAnsi" w:eastAsiaTheme="minorEastAsia" w:hAnsiTheme="minorHAnsi" w:cstheme="minorBidi"/>
          <w:szCs w:val="22"/>
        </w:rPr>
      </w:pPr>
      <w:r>
        <w:t>54.</w:t>
      </w:r>
      <w:r>
        <w:tab/>
        <w:t>Appointment of visiting justices</w:t>
      </w:r>
      <w:r>
        <w:tab/>
      </w:r>
      <w:r>
        <w:fldChar w:fldCharType="begin"/>
      </w:r>
      <w:r>
        <w:instrText xml:space="preserve"> PAGEREF _Toc103865498 \h </w:instrText>
      </w:r>
      <w:r>
        <w:fldChar w:fldCharType="separate"/>
      </w:r>
      <w:r>
        <w:t>60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Duties of visiting justice</w:t>
      </w:r>
      <w:r>
        <w:tab/>
      </w:r>
      <w:r>
        <w:fldChar w:fldCharType="begin"/>
      </w:r>
      <w:r>
        <w:instrText xml:space="preserve"> PAGEREF _Toc103865499 \h </w:instrText>
      </w:r>
      <w:r>
        <w:fldChar w:fldCharType="separate"/>
      </w:r>
      <w:r>
        <w:t>60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Right of entry of independent prison visitors and judges</w:t>
      </w:r>
      <w:r>
        <w:tab/>
      </w:r>
      <w:r>
        <w:fldChar w:fldCharType="begin"/>
      </w:r>
      <w:r>
        <w:instrText xml:space="preserve"> PAGEREF _Toc103865500 \h </w:instrText>
      </w:r>
      <w:r>
        <w:fldChar w:fldCharType="separate"/>
      </w:r>
      <w:r>
        <w:t>61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Cooperation with official visitors</w:t>
      </w:r>
      <w:r>
        <w:tab/>
      </w:r>
      <w:r>
        <w:fldChar w:fldCharType="begin"/>
      </w:r>
      <w:r>
        <w:instrText xml:space="preserve"> PAGEREF _Toc103865501 \h </w:instrText>
      </w:r>
      <w:r>
        <w:fldChar w:fldCharType="separate"/>
      </w:r>
      <w:r>
        <w:t>61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Visits by friends and relations of prisoners</w:t>
      </w:r>
      <w:r>
        <w:tab/>
      </w:r>
      <w:r>
        <w:fldChar w:fldCharType="begin"/>
      </w:r>
      <w:r>
        <w:instrText xml:space="preserve"> PAGEREF _Toc103865502 \h </w:instrText>
      </w:r>
      <w:r>
        <w:fldChar w:fldCharType="separate"/>
      </w:r>
      <w:r>
        <w:t>61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Declaration of visitors</w:t>
      </w:r>
      <w:r>
        <w:tab/>
      </w:r>
      <w:r>
        <w:fldChar w:fldCharType="begin"/>
      </w:r>
      <w:r>
        <w:instrText xml:space="preserve"> PAGEREF _Toc103865503 \h </w:instrText>
      </w:r>
      <w:r>
        <w:fldChar w:fldCharType="separate"/>
      </w:r>
      <w:r>
        <w:t>62</w:t>
      </w:r>
      <w:r>
        <w:fldChar w:fldCharType="end"/>
      </w:r>
    </w:p>
    <w:p>
      <w:pPr>
        <w:pStyle w:val="TOC8"/>
        <w:rPr>
          <w:rFonts w:asciiTheme="minorHAnsi" w:eastAsiaTheme="minorEastAsia" w:hAnsiTheme="minorHAnsi" w:cstheme="minorBidi"/>
          <w:szCs w:val="22"/>
        </w:rPr>
      </w:pPr>
      <w:r>
        <w:t>60A.</w:t>
      </w:r>
      <w:r>
        <w:tab/>
        <w:t>Protection of proof of identity of visitor to prison</w:t>
      </w:r>
      <w:r>
        <w:tab/>
      </w:r>
      <w:r>
        <w:fldChar w:fldCharType="begin"/>
      </w:r>
      <w:r>
        <w:instrText xml:space="preserve"> PAGEREF _Toc103865504 \h </w:instrText>
      </w:r>
      <w:r>
        <w:fldChar w:fldCharType="separate"/>
      </w:r>
      <w:r>
        <w:t>63</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Visits by certain officials</w:t>
      </w:r>
      <w:r>
        <w:tab/>
      </w:r>
      <w:r>
        <w:fldChar w:fldCharType="begin"/>
      </w:r>
      <w:r>
        <w:instrText xml:space="preserve"> PAGEREF _Toc103865505 \h </w:instrText>
      </w:r>
      <w:r>
        <w:fldChar w:fldCharType="separate"/>
      </w:r>
      <w:r>
        <w:t>64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Visits by legal practitioner</w:t>
      </w:r>
      <w:r>
        <w:tab/>
      </w:r>
      <w:r>
        <w:fldChar w:fldCharType="begin"/>
      </w:r>
      <w:r>
        <w:instrText xml:space="preserve"> PAGEREF _Toc103865506 \h </w:instrText>
      </w:r>
      <w:r>
        <w:fldChar w:fldCharType="separate"/>
      </w:r>
      <w:r>
        <w:t>64</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Visits by police</w:t>
      </w:r>
      <w:r>
        <w:tab/>
      </w:r>
      <w:r>
        <w:fldChar w:fldCharType="begin"/>
      </w:r>
      <w:r>
        <w:instrText xml:space="preserve"> PAGEREF _Toc103865507 \h </w:instrText>
      </w:r>
      <w:r>
        <w:fldChar w:fldCharType="separate"/>
      </w:r>
      <w:r>
        <w:t>64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Visits by public officers</w:t>
      </w:r>
      <w:r>
        <w:tab/>
      </w:r>
      <w:r>
        <w:fldChar w:fldCharType="begin"/>
      </w:r>
      <w:r>
        <w:instrText xml:space="preserve"> PAGEREF _Toc103865508 \h </w:instrText>
      </w:r>
      <w:r>
        <w:fldChar w:fldCharType="separate"/>
      </w:r>
      <w:r>
        <w:t>64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Other visitors to prisoners</w:t>
      </w:r>
      <w:r>
        <w:tab/>
      </w:r>
      <w:r>
        <w:fldChar w:fldCharType="begin"/>
      </w:r>
      <w:r>
        <w:instrText xml:space="preserve"> PAGEREF _Toc103865509 \h </w:instrText>
      </w:r>
      <w:r>
        <w:fldChar w:fldCharType="separate"/>
      </w:r>
      <w:r>
        <w:t>65</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Visitor may be refused entry or removed</w:t>
      </w:r>
      <w:r>
        <w:tab/>
      </w:r>
      <w:r>
        <w:fldChar w:fldCharType="begin"/>
      </w:r>
      <w:r>
        <w:instrText xml:space="preserve"> PAGEREF _Toc103865510 \h </w:instrText>
      </w:r>
      <w:r>
        <w:fldChar w:fldCharType="separate"/>
      </w:r>
      <w:r>
        <w:t>65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Letters and parcels from by prisoners</w:t>
      </w:r>
      <w:r>
        <w:tab/>
      </w:r>
      <w:r>
        <w:fldChar w:fldCharType="begin"/>
      </w:r>
      <w:r>
        <w:instrText xml:space="preserve"> PAGEREF _Toc103865511 \h </w:instrText>
      </w:r>
      <w:r>
        <w:fldChar w:fldCharType="separate"/>
      </w:r>
      <w:r>
        <w:t>66</w:t>
      </w:r>
      <w:r>
        <w:fldChar w:fldCharType="end"/>
      </w:r>
    </w:p>
    <w:p>
      <w:pPr>
        <w:pStyle w:val="TOC8"/>
        <w:rPr>
          <w:rFonts w:asciiTheme="minorHAnsi" w:eastAsiaTheme="minorEastAsia" w:hAnsiTheme="minorHAnsi" w:cstheme="minorBidi"/>
          <w:szCs w:val="22"/>
        </w:rPr>
      </w:pPr>
      <w:r>
        <w:t>67A.</w:t>
      </w:r>
      <w:r>
        <w:tab/>
        <w:t>Prisoner’s mail not to be sent to certain persons</w:t>
      </w:r>
      <w:r>
        <w:tab/>
      </w:r>
      <w:r>
        <w:fldChar w:fldCharType="begin"/>
      </w:r>
      <w:r>
        <w:instrText xml:space="preserve"> PAGEREF _Toc103865512 \h </w:instrText>
      </w:r>
      <w:r>
        <w:fldChar w:fldCharType="separate"/>
      </w:r>
      <w:r>
        <w:t>67</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Letters and parcels addressed to prisoners</w:t>
      </w:r>
      <w:r>
        <w:tab/>
      </w:r>
      <w:r>
        <w:fldChar w:fldCharType="begin"/>
      </w:r>
      <w:r>
        <w:instrText xml:space="preserve"> PAGEREF _Toc103865513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VII — Prison offences</w:t>
      </w:r>
    </w:p>
    <w:p>
      <w:pPr>
        <w:pStyle w:val="TOC8"/>
        <w:rPr>
          <w:rFonts w:asciiTheme="minorHAnsi" w:eastAsiaTheme="minorEastAsia" w:hAnsiTheme="minorHAnsi" w:cstheme="minorBidi"/>
          <w:szCs w:val="22"/>
        </w:rPr>
      </w:pPr>
      <w:r>
        <w:t>69</w:t>
      </w:r>
      <w:r>
        <w:rPr>
          <w:snapToGrid w:val="0"/>
        </w:rPr>
        <w:t>.</w:t>
      </w:r>
      <w:r>
        <w:rPr>
          <w:snapToGrid w:val="0"/>
        </w:rPr>
        <w:tab/>
        <w:t>Minor prison offences</w:t>
      </w:r>
      <w:r>
        <w:tab/>
      </w:r>
      <w:r>
        <w:fldChar w:fldCharType="begin"/>
      </w:r>
      <w:r>
        <w:instrText xml:space="preserve"> PAGEREF _Toc103865515 \h </w:instrText>
      </w:r>
      <w:r>
        <w:fldChar w:fldCharType="separate"/>
      </w:r>
      <w:r>
        <w:t>70</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Aggravated prison offences</w:t>
      </w:r>
      <w:r>
        <w:tab/>
      </w:r>
      <w:r>
        <w:fldChar w:fldCharType="begin"/>
      </w:r>
      <w:r>
        <w:instrText xml:space="preserve"> PAGEREF _Toc103865516 \h </w:instrText>
      </w:r>
      <w:r>
        <w:fldChar w:fldCharType="separate"/>
      </w:r>
      <w:r>
        <w:t>71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Charges of prison offences</w:t>
      </w:r>
      <w:r>
        <w:tab/>
      </w:r>
      <w:r>
        <w:fldChar w:fldCharType="begin"/>
      </w:r>
      <w:r>
        <w:instrText xml:space="preserve"> PAGEREF _Toc103865517 \h </w:instrText>
      </w:r>
      <w:r>
        <w:fldChar w:fldCharType="separate"/>
      </w:r>
      <w:r>
        <w:t>71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Visiting justice may determine minor prison offences</w:t>
      </w:r>
      <w:r>
        <w:tab/>
      </w:r>
      <w:r>
        <w:fldChar w:fldCharType="begin"/>
      </w:r>
      <w:r>
        <w:instrText xml:space="preserve"> PAGEREF _Toc103865518 \h </w:instrText>
      </w:r>
      <w:r>
        <w:fldChar w:fldCharType="separate"/>
      </w:r>
      <w:r>
        <w:t>72</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Visiting justice and aggravated prison offences</w:t>
      </w:r>
      <w:r>
        <w:tab/>
      </w:r>
      <w:r>
        <w:fldChar w:fldCharType="begin"/>
      </w:r>
      <w:r>
        <w:instrText xml:space="preserve"> PAGEREF _Toc103865519 \h </w:instrText>
      </w:r>
      <w:r>
        <w:fldChar w:fldCharType="separate"/>
      </w:r>
      <w:r>
        <w:t>72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Hearing of charges</w:t>
      </w:r>
      <w:r>
        <w:tab/>
      </w:r>
      <w:r>
        <w:fldChar w:fldCharType="begin"/>
      </w:r>
      <w:r>
        <w:instrText xml:space="preserve"> PAGEREF _Toc103865520 \h </w:instrText>
      </w:r>
      <w:r>
        <w:fldChar w:fldCharType="separate"/>
      </w:r>
      <w:r>
        <w:t>73</w:t>
      </w:r>
      <w:r>
        <w:fldChar w:fldCharType="end"/>
      </w:r>
    </w:p>
    <w:p>
      <w:pPr>
        <w:pStyle w:val="TOC8"/>
        <w:rPr>
          <w:rFonts w:asciiTheme="minorHAnsi" w:eastAsiaTheme="minorEastAsia" w:hAnsiTheme="minorHAnsi" w:cstheme="minorBidi"/>
          <w:szCs w:val="22"/>
        </w:rPr>
      </w:pPr>
      <w:r>
        <w:t>74A.</w:t>
      </w:r>
      <w:r>
        <w:tab/>
        <w:t>Charges may be heard and determined by video link</w:t>
      </w:r>
      <w:r>
        <w:tab/>
      </w:r>
      <w:r>
        <w:fldChar w:fldCharType="begin"/>
      </w:r>
      <w:r>
        <w:instrText xml:space="preserve"> PAGEREF _Toc103865521 \h </w:instrText>
      </w:r>
      <w:r>
        <w:fldChar w:fldCharType="separate"/>
      </w:r>
      <w:r>
        <w:t>73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Procedure for hearing charges of minor prison offences</w:t>
      </w:r>
      <w:r>
        <w:tab/>
      </w:r>
      <w:r>
        <w:fldChar w:fldCharType="begin"/>
      </w:r>
      <w:r>
        <w:instrText xml:space="preserve"> PAGEREF _Toc103865522 \h </w:instrText>
      </w:r>
      <w:r>
        <w:fldChar w:fldCharType="separate"/>
      </w:r>
      <w:r>
        <w:t>74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Prisoner not to be legally represented</w:t>
      </w:r>
      <w:r>
        <w:tab/>
      </w:r>
      <w:r>
        <w:fldChar w:fldCharType="begin"/>
      </w:r>
      <w:r>
        <w:instrText xml:space="preserve"> PAGEREF _Toc103865523 \h </w:instrText>
      </w:r>
      <w:r>
        <w:fldChar w:fldCharType="separate"/>
      </w:r>
      <w:r>
        <w:t>74</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Imposition of penalties by superintendent</w:t>
      </w:r>
      <w:r>
        <w:tab/>
      </w:r>
      <w:r>
        <w:fldChar w:fldCharType="begin"/>
      </w:r>
      <w:r>
        <w:instrText xml:space="preserve"> PAGEREF _Toc103865524 \h </w:instrText>
      </w:r>
      <w:r>
        <w:fldChar w:fldCharType="separate"/>
      </w:r>
      <w:r>
        <w:t>75</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Imposition of penalties by visiting justice</w:t>
      </w:r>
      <w:r>
        <w:tab/>
      </w:r>
      <w:r>
        <w:fldChar w:fldCharType="begin"/>
      </w:r>
      <w:r>
        <w:instrText xml:space="preserve"> PAGEREF _Toc103865525 \h </w:instrText>
      </w:r>
      <w:r>
        <w:fldChar w:fldCharType="separate"/>
      </w:r>
      <w:r>
        <w:t>75</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Imposition of penalties by court of summary jurisdiction</w:t>
      </w:r>
      <w:r>
        <w:tab/>
      </w:r>
      <w:r>
        <w:fldChar w:fldCharType="begin"/>
      </w:r>
      <w:r>
        <w:instrText xml:space="preserve"> PAGEREF _Toc103865526 \h </w:instrText>
      </w:r>
      <w:r>
        <w:fldChar w:fldCharType="separate"/>
      </w:r>
      <w:r>
        <w:t>77</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Punishment book</w:t>
      </w:r>
      <w:r>
        <w:tab/>
      </w:r>
      <w:r>
        <w:fldChar w:fldCharType="begin"/>
      </w:r>
      <w:r>
        <w:instrText xml:space="preserve"> PAGEREF _Toc103865527 \h </w:instrText>
      </w:r>
      <w:r>
        <w:fldChar w:fldCharType="separate"/>
      </w:r>
      <w:r>
        <w:t>78</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Reports of punishments under s. 79 to chief executive officer</w:t>
      </w:r>
      <w:r>
        <w:tab/>
      </w:r>
      <w:r>
        <w:fldChar w:fldCharType="begin"/>
      </w:r>
      <w:r>
        <w:instrText xml:space="preserve"> PAGEREF _Toc103865528 \h </w:instrText>
      </w:r>
      <w:r>
        <w:fldChar w:fldCharType="separate"/>
      </w:r>
      <w:r>
        <w:t>78</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Punishment by confinement</w:t>
      </w:r>
      <w:r>
        <w:tab/>
      </w:r>
      <w:r>
        <w:fldChar w:fldCharType="begin"/>
      </w:r>
      <w:r>
        <w:instrText xml:space="preserve"> PAGEREF _Toc103865529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VIII — Authorised absences from prison</w:t>
      </w:r>
    </w:p>
    <w:p>
      <w:pPr>
        <w:pStyle w:val="TOC8"/>
        <w:rPr>
          <w:rFonts w:asciiTheme="minorHAnsi" w:eastAsiaTheme="minorEastAsia" w:hAnsiTheme="minorHAnsi" w:cstheme="minorBidi"/>
          <w:szCs w:val="22"/>
        </w:rPr>
      </w:pPr>
      <w:r>
        <w:t>83.</w:t>
      </w:r>
      <w:r>
        <w:tab/>
        <w:t>Permits to be absent from prison</w:t>
      </w:r>
      <w:r>
        <w:tab/>
      </w:r>
      <w:r>
        <w:fldChar w:fldCharType="begin"/>
      </w:r>
      <w:r>
        <w:instrText xml:space="preserve"> PAGEREF _Toc103865531 \h </w:instrText>
      </w:r>
      <w:r>
        <w:fldChar w:fldCharType="separate"/>
      </w:r>
      <w:r>
        <w:t>80</w:t>
      </w:r>
      <w:r>
        <w:fldChar w:fldCharType="end"/>
      </w:r>
    </w:p>
    <w:p>
      <w:pPr>
        <w:pStyle w:val="TOC8"/>
        <w:rPr>
          <w:rFonts w:asciiTheme="minorHAnsi" w:eastAsiaTheme="minorEastAsia" w:hAnsiTheme="minorHAnsi" w:cstheme="minorBidi"/>
          <w:szCs w:val="22"/>
        </w:rPr>
      </w:pPr>
      <w:r>
        <w:t>83A.</w:t>
      </w:r>
      <w:r>
        <w:tab/>
        <w:t>Effect of permit</w:t>
      </w:r>
      <w:r>
        <w:tab/>
      </w:r>
      <w:r>
        <w:fldChar w:fldCharType="begin"/>
      </w:r>
      <w:r>
        <w:instrText xml:space="preserve"> PAGEREF _Toc103865532 \h </w:instrText>
      </w:r>
      <w:r>
        <w:fldChar w:fldCharType="separate"/>
      </w:r>
      <w:r>
        <w:t>81</w:t>
      </w:r>
      <w:r>
        <w:fldChar w:fldCharType="end"/>
      </w:r>
    </w:p>
    <w:p>
      <w:pPr>
        <w:pStyle w:val="TOC8"/>
        <w:rPr>
          <w:rFonts w:asciiTheme="minorHAnsi" w:eastAsiaTheme="minorEastAsia" w:hAnsiTheme="minorHAnsi" w:cstheme="minorBidi"/>
          <w:szCs w:val="22"/>
        </w:rPr>
      </w:pPr>
      <w:r>
        <w:t>83B.</w:t>
      </w:r>
      <w:r>
        <w:tab/>
        <w:t>Revocation or cancellation of permit</w:t>
      </w:r>
      <w:r>
        <w:tab/>
      </w:r>
      <w:r>
        <w:fldChar w:fldCharType="begin"/>
      </w:r>
      <w:r>
        <w:instrText xml:space="preserve"> PAGEREF _Toc103865533 \h </w:instrText>
      </w:r>
      <w:r>
        <w:fldChar w:fldCharType="separate"/>
      </w:r>
      <w:r>
        <w:t>81</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 xml:space="preserve">Breach of </w:t>
      </w:r>
      <w:r>
        <w:t>condition</w:t>
      </w:r>
      <w:r>
        <w:rPr>
          <w:snapToGrid w:val="0"/>
        </w:rPr>
        <w:t xml:space="preserve"> of permit</w:t>
      </w:r>
      <w:r>
        <w:tab/>
      </w:r>
      <w:r>
        <w:fldChar w:fldCharType="begin"/>
      </w:r>
      <w:r>
        <w:instrText xml:space="preserve"> PAGEREF _Toc103865534 \h </w:instrText>
      </w:r>
      <w:r>
        <w:fldChar w:fldCharType="separate"/>
      </w:r>
      <w:r>
        <w:t>81</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r>
      <w:r>
        <w:t>Attendance</w:t>
      </w:r>
      <w:r>
        <w:rPr>
          <w:snapToGrid w:val="0"/>
        </w:rPr>
        <w:t xml:space="preserve"> of prisoner at legal or investigative proceedings</w:t>
      </w:r>
      <w:r>
        <w:tab/>
      </w:r>
      <w:r>
        <w:fldChar w:fldCharType="begin"/>
      </w:r>
      <w:r>
        <w:instrText xml:space="preserve"> PAGEREF _Toc103865535 \h </w:instrText>
      </w:r>
      <w:r>
        <w:fldChar w:fldCharType="separate"/>
      </w:r>
      <w:r>
        <w:t>82</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Consequence of escape or of failure to comply with absence permit or order</w:t>
      </w:r>
      <w:r>
        <w:tab/>
      </w:r>
      <w:r>
        <w:fldChar w:fldCharType="begin"/>
      </w:r>
      <w:r>
        <w:instrText xml:space="preserve"> PAGEREF _Toc103865536 \h </w:instrText>
      </w:r>
      <w:r>
        <w:fldChar w:fldCharType="separate"/>
      </w:r>
      <w:r>
        <w:t>83</w:t>
      </w:r>
      <w:r>
        <w:fldChar w:fldCharType="end"/>
      </w:r>
    </w:p>
    <w:p>
      <w:pPr>
        <w:pStyle w:val="TOC8"/>
        <w:rPr>
          <w:rFonts w:asciiTheme="minorHAnsi" w:eastAsiaTheme="minorEastAsia" w:hAnsiTheme="minorHAnsi" w:cstheme="minorBidi"/>
          <w:szCs w:val="22"/>
        </w:rPr>
      </w:pPr>
      <w:r>
        <w:t>87.</w:t>
      </w:r>
      <w:r>
        <w:tab/>
        <w:t>Regulations about absences from prison</w:t>
      </w:r>
      <w:r>
        <w:tab/>
      </w:r>
      <w:r>
        <w:fldChar w:fldCharType="begin"/>
      </w:r>
      <w:r>
        <w:instrText xml:space="preserve"> PAGEREF _Toc103865537 \h </w:instrText>
      </w:r>
      <w:r>
        <w:fldChar w:fldCharType="separate"/>
      </w:r>
      <w:r>
        <w:t>83</w:t>
      </w:r>
      <w:r>
        <w:fldChar w:fldCharType="end"/>
      </w:r>
    </w:p>
    <w:p>
      <w:pPr>
        <w:pStyle w:val="TOC8"/>
        <w:rPr>
          <w:rFonts w:asciiTheme="minorHAnsi" w:eastAsiaTheme="minorEastAsia" w:hAnsiTheme="minorHAnsi" w:cstheme="minorBidi"/>
          <w:szCs w:val="22"/>
        </w:rPr>
      </w:pPr>
      <w:r>
        <w:t>88.</w:t>
      </w:r>
      <w:r>
        <w:tab/>
        <w:t>Interstate arrangements</w:t>
      </w:r>
      <w:r>
        <w:tab/>
      </w:r>
      <w:r>
        <w:fldChar w:fldCharType="begin"/>
      </w:r>
      <w:r>
        <w:instrText xml:space="preserve"> PAGEREF _Toc103865538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IX</w:t>
      </w:r>
      <w:r>
        <w:rPr>
          <w:b w:val="0"/>
        </w:rPr>
        <w:t> </w:t>
      </w:r>
      <w:r>
        <w:t>—</w:t>
      </w:r>
      <w:r>
        <w:rPr>
          <w:b w:val="0"/>
        </w:rPr>
        <w:t> </w:t>
      </w:r>
      <w:r>
        <w:t>Prisoner wellbeing and rehabilitation</w:t>
      </w:r>
    </w:p>
    <w:p>
      <w:pPr>
        <w:pStyle w:val="TOC8"/>
        <w:rPr>
          <w:rFonts w:asciiTheme="minorHAnsi" w:eastAsiaTheme="minorEastAsia" w:hAnsiTheme="minorHAnsi" w:cstheme="minorBidi"/>
          <w:szCs w:val="22"/>
        </w:rPr>
      </w:pPr>
      <w:r>
        <w:t>95</w:t>
      </w:r>
      <w:r>
        <w:rPr>
          <w:snapToGrid w:val="0"/>
        </w:rPr>
        <w:t>.</w:t>
      </w:r>
      <w:r>
        <w:rPr>
          <w:snapToGrid w:val="0"/>
        </w:rPr>
        <w:tab/>
      </w:r>
      <w:r>
        <w:t>Preparation</w:t>
      </w:r>
      <w:r>
        <w:rPr>
          <w:snapToGrid w:val="0"/>
        </w:rPr>
        <w:t xml:space="preserve"> and implementation of activity programmes</w:t>
      </w:r>
      <w:r>
        <w:tab/>
      </w:r>
      <w:r>
        <w:fldChar w:fldCharType="begin"/>
      </w:r>
      <w:r>
        <w:instrText xml:space="preserve"> PAGEREF _Toc103865540 \h </w:instrText>
      </w:r>
      <w:r>
        <w:fldChar w:fldCharType="separate"/>
      </w:r>
      <w:r>
        <w:t>86</w:t>
      </w:r>
      <w:r>
        <w:fldChar w:fldCharType="end"/>
      </w:r>
    </w:p>
    <w:p>
      <w:pPr>
        <w:pStyle w:val="TOC8"/>
        <w:rPr>
          <w:rFonts w:asciiTheme="minorHAnsi" w:eastAsiaTheme="minorEastAsia" w:hAnsiTheme="minorHAnsi" w:cstheme="minorBidi"/>
          <w:szCs w:val="22"/>
        </w:rPr>
      </w:pPr>
      <w:r>
        <w:lastRenderedPageBreak/>
        <w:t>95A.</w:t>
      </w:r>
      <w:r>
        <w:tab/>
        <w:t>Medical care of prisoners</w:t>
      </w:r>
      <w:r>
        <w:tab/>
      </w:r>
      <w:r>
        <w:fldChar w:fldCharType="begin"/>
      </w:r>
      <w:r>
        <w:instrText xml:space="preserve"> PAGEREF _Toc103865541 \h </w:instrText>
      </w:r>
      <w:r>
        <w:fldChar w:fldCharType="separate"/>
      </w:r>
      <w:r>
        <w:t>87</w:t>
      </w:r>
      <w:r>
        <w:fldChar w:fldCharType="end"/>
      </w:r>
    </w:p>
    <w:p>
      <w:pPr>
        <w:pStyle w:val="TOC8"/>
        <w:rPr>
          <w:rFonts w:asciiTheme="minorHAnsi" w:eastAsiaTheme="minorEastAsia" w:hAnsiTheme="minorHAnsi" w:cstheme="minorBidi"/>
          <w:szCs w:val="22"/>
        </w:rPr>
      </w:pPr>
      <w:r>
        <w:t>95B.</w:t>
      </w:r>
      <w:r>
        <w:tab/>
        <w:t>Duties of medical officers</w:t>
      </w:r>
      <w:r>
        <w:tab/>
      </w:r>
      <w:r>
        <w:fldChar w:fldCharType="begin"/>
      </w:r>
      <w:r>
        <w:instrText xml:space="preserve"> PAGEREF _Toc103865542 \h </w:instrText>
      </w:r>
      <w:r>
        <w:fldChar w:fldCharType="separate"/>
      </w:r>
      <w:r>
        <w:t>88</w:t>
      </w:r>
      <w:r>
        <w:fldChar w:fldCharType="end"/>
      </w:r>
    </w:p>
    <w:p>
      <w:pPr>
        <w:pStyle w:val="TOC8"/>
        <w:rPr>
          <w:rFonts w:asciiTheme="minorHAnsi" w:eastAsiaTheme="minorEastAsia" w:hAnsiTheme="minorHAnsi" w:cstheme="minorBidi"/>
          <w:szCs w:val="22"/>
        </w:rPr>
      </w:pPr>
      <w:r>
        <w:t>95C.</w:t>
      </w:r>
      <w:r>
        <w:tab/>
        <w:t>Health inspection of prisons</w:t>
      </w:r>
      <w:r>
        <w:tab/>
      </w:r>
      <w:r>
        <w:fldChar w:fldCharType="begin"/>
      </w:r>
      <w:r>
        <w:instrText xml:space="preserve"> PAGEREF _Toc103865543 \h </w:instrText>
      </w:r>
      <w:r>
        <w:fldChar w:fldCharType="separate"/>
      </w:r>
      <w:r>
        <w:t>89</w:t>
      </w:r>
      <w:r>
        <w:fldChar w:fldCharType="end"/>
      </w:r>
    </w:p>
    <w:p>
      <w:pPr>
        <w:pStyle w:val="TOC8"/>
        <w:rPr>
          <w:rFonts w:asciiTheme="minorHAnsi" w:eastAsiaTheme="minorEastAsia" w:hAnsiTheme="minorHAnsi" w:cstheme="minorBidi"/>
          <w:szCs w:val="22"/>
        </w:rPr>
      </w:pPr>
      <w:r>
        <w:t>95D</w:t>
      </w:r>
      <w:r>
        <w:rPr>
          <w:snapToGrid w:val="0"/>
        </w:rPr>
        <w:t>.</w:t>
      </w:r>
      <w:r>
        <w:rPr>
          <w:snapToGrid w:val="0"/>
        </w:rPr>
        <w:tab/>
        <w:t>Power of medical examination and treatment</w:t>
      </w:r>
      <w:r>
        <w:tab/>
      </w:r>
      <w:r>
        <w:fldChar w:fldCharType="begin"/>
      </w:r>
      <w:r>
        <w:instrText xml:space="preserve"> PAGEREF _Toc103865544 \h </w:instrText>
      </w:r>
      <w:r>
        <w:fldChar w:fldCharType="separate"/>
      </w:r>
      <w:r>
        <w:t>89</w:t>
      </w:r>
      <w:r>
        <w:fldChar w:fldCharType="end"/>
      </w:r>
    </w:p>
    <w:p>
      <w:pPr>
        <w:pStyle w:val="TOC8"/>
        <w:rPr>
          <w:rFonts w:asciiTheme="minorHAnsi" w:eastAsiaTheme="minorEastAsia" w:hAnsiTheme="minorHAnsi" w:cstheme="minorBidi"/>
          <w:szCs w:val="22"/>
        </w:rPr>
      </w:pPr>
      <w:r>
        <w:t>95E</w:t>
      </w:r>
      <w:r>
        <w:rPr>
          <w:snapToGrid w:val="0"/>
        </w:rPr>
        <w:t>.</w:t>
      </w:r>
      <w:r>
        <w:rPr>
          <w:snapToGrid w:val="0"/>
        </w:rPr>
        <w:tab/>
        <w:t>Practice of religion or spiritual beliefs by prisoners</w:t>
      </w:r>
      <w:r>
        <w:tab/>
      </w:r>
      <w:r>
        <w:fldChar w:fldCharType="begin"/>
      </w:r>
      <w:r>
        <w:instrText xml:space="preserve"> PAGEREF _Toc103865545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X</w:t>
      </w:r>
      <w:r>
        <w:rPr>
          <w:b w:val="0"/>
        </w:rPr>
        <w:t> </w:t>
      </w:r>
      <w:r>
        <w:t>—</w:t>
      </w:r>
      <w:r>
        <w:rPr>
          <w:b w:val="0"/>
        </w:rPr>
        <w:t> </w:t>
      </w:r>
      <w:r>
        <w:t>Discipline of prison officers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96.</w:t>
      </w:r>
      <w:r>
        <w:tab/>
        <w:t>Term used: prison officer</w:t>
      </w:r>
      <w:r>
        <w:tab/>
      </w:r>
      <w:r>
        <w:fldChar w:fldCharType="begin"/>
      </w:r>
      <w:r>
        <w:instrText xml:space="preserve"> PAGEREF _Toc103865548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2 — General discipline</w:t>
      </w:r>
    </w:p>
    <w:p>
      <w:pPr>
        <w:pStyle w:val="TOC8"/>
        <w:rPr>
          <w:rFonts w:asciiTheme="minorHAnsi" w:eastAsiaTheme="minorEastAsia" w:hAnsiTheme="minorHAnsi" w:cstheme="minorBidi"/>
          <w:szCs w:val="22"/>
        </w:rPr>
      </w:pPr>
      <w:r>
        <w:t>97.</w:t>
      </w:r>
      <w:r>
        <w:tab/>
        <w:t>Regulations, rules to be strictly observed</w:t>
      </w:r>
      <w:r>
        <w:tab/>
      </w:r>
      <w:r>
        <w:fldChar w:fldCharType="begin"/>
      </w:r>
      <w:r>
        <w:instrText xml:space="preserve"> PAGEREF _Toc103865550 \h </w:instrText>
      </w:r>
      <w:r>
        <w:fldChar w:fldCharType="separate"/>
      </w:r>
      <w:r>
        <w:t>91</w:t>
      </w:r>
      <w:r>
        <w:fldChar w:fldCharType="end"/>
      </w:r>
    </w:p>
    <w:p>
      <w:pPr>
        <w:pStyle w:val="TOC8"/>
        <w:rPr>
          <w:rFonts w:asciiTheme="minorHAnsi" w:eastAsiaTheme="minorEastAsia" w:hAnsiTheme="minorHAnsi" w:cstheme="minorBidi"/>
          <w:szCs w:val="22"/>
        </w:rPr>
      </w:pPr>
      <w:r>
        <w:t>98.</w:t>
      </w:r>
      <w:r>
        <w:tab/>
        <w:t xml:space="preserve">Application of </w:t>
      </w:r>
      <w:r>
        <w:rPr>
          <w:i/>
        </w:rPr>
        <w:t>Public Sector Management Act 1994</w:t>
      </w:r>
      <w:r>
        <w:t xml:space="preserve"> Part 5</w:t>
      </w:r>
      <w:r>
        <w:tab/>
      </w:r>
      <w:r>
        <w:fldChar w:fldCharType="begin"/>
      </w:r>
      <w:r>
        <w:instrText xml:space="preserve"> PAGEREF _Toc103865551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 — Removal of prison officers due to loss of confidence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_Toc103865554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Removal of prison officers</w:t>
      </w:r>
    </w:p>
    <w:p>
      <w:pPr>
        <w:pStyle w:val="TOC8"/>
        <w:rPr>
          <w:rFonts w:asciiTheme="minorHAnsi" w:eastAsiaTheme="minorEastAsia" w:hAnsiTheme="minorHAnsi" w:cstheme="minorBidi"/>
          <w:szCs w:val="22"/>
        </w:rPr>
      </w:pPr>
      <w:r>
        <w:t>100.</w:t>
      </w:r>
      <w:r>
        <w:tab/>
        <w:t>Application of Subdivision</w:t>
      </w:r>
      <w:r>
        <w:tab/>
      </w:r>
      <w:r>
        <w:fldChar w:fldCharType="begin"/>
      </w:r>
      <w:r>
        <w:instrText xml:space="preserve"> PAGEREF _Toc103865556 \h </w:instrText>
      </w:r>
      <w:r>
        <w:fldChar w:fldCharType="separate"/>
      </w:r>
      <w:r>
        <w:t>93</w:t>
      </w:r>
      <w:r>
        <w:fldChar w:fldCharType="end"/>
      </w:r>
    </w:p>
    <w:p>
      <w:pPr>
        <w:pStyle w:val="TOC8"/>
        <w:rPr>
          <w:rFonts w:asciiTheme="minorHAnsi" w:eastAsiaTheme="minorEastAsia" w:hAnsiTheme="minorHAnsi" w:cstheme="minorBidi"/>
          <w:szCs w:val="22"/>
        </w:rPr>
      </w:pPr>
      <w:r>
        <w:t>101.</w:t>
      </w:r>
      <w:r>
        <w:tab/>
        <w:t>Removal action</w:t>
      </w:r>
      <w:r>
        <w:tab/>
      </w:r>
      <w:r>
        <w:fldChar w:fldCharType="begin"/>
      </w:r>
      <w:r>
        <w:instrText xml:space="preserve"> PAGEREF _Toc103865557 \h </w:instrText>
      </w:r>
      <w:r>
        <w:fldChar w:fldCharType="separate"/>
      </w:r>
      <w:r>
        <w:t>94</w:t>
      </w:r>
      <w:r>
        <w:fldChar w:fldCharType="end"/>
      </w:r>
    </w:p>
    <w:p>
      <w:pPr>
        <w:pStyle w:val="TOC8"/>
        <w:rPr>
          <w:rFonts w:asciiTheme="minorHAnsi" w:eastAsiaTheme="minorEastAsia" w:hAnsiTheme="minorHAnsi" w:cstheme="minorBidi"/>
          <w:szCs w:val="22"/>
        </w:rPr>
      </w:pPr>
      <w:r>
        <w:t>102.</w:t>
      </w:r>
      <w:r>
        <w:tab/>
        <w:t>Notice of loss of confidence</w:t>
      </w:r>
      <w:r>
        <w:tab/>
      </w:r>
      <w:r>
        <w:fldChar w:fldCharType="begin"/>
      </w:r>
      <w:r>
        <w:instrText xml:space="preserve"> PAGEREF _Toc103865558 \h </w:instrText>
      </w:r>
      <w:r>
        <w:fldChar w:fldCharType="separate"/>
      </w:r>
      <w:r>
        <w:t>95</w:t>
      </w:r>
      <w:r>
        <w:fldChar w:fldCharType="end"/>
      </w:r>
    </w:p>
    <w:p>
      <w:pPr>
        <w:pStyle w:val="TOC8"/>
        <w:rPr>
          <w:rFonts w:asciiTheme="minorHAnsi" w:eastAsiaTheme="minorEastAsia" w:hAnsiTheme="minorHAnsi" w:cstheme="minorBidi"/>
          <w:szCs w:val="22"/>
        </w:rPr>
      </w:pPr>
      <w:r>
        <w:t>103.</w:t>
      </w:r>
      <w:r>
        <w:tab/>
        <w:t>Maintenance payment</w:t>
      </w:r>
      <w:r>
        <w:tab/>
      </w:r>
      <w:r>
        <w:fldChar w:fldCharType="begin"/>
      </w:r>
      <w:r>
        <w:instrText xml:space="preserve"> PAGEREF _Toc103865559 \h </w:instrText>
      </w:r>
      <w:r>
        <w:fldChar w:fldCharType="separate"/>
      </w:r>
      <w:r>
        <w:t>96</w:t>
      </w:r>
      <w:r>
        <w:fldChar w:fldCharType="end"/>
      </w:r>
    </w:p>
    <w:p>
      <w:pPr>
        <w:pStyle w:val="TOC8"/>
        <w:rPr>
          <w:rFonts w:asciiTheme="minorHAnsi" w:eastAsiaTheme="minorEastAsia" w:hAnsiTheme="minorHAnsi" w:cstheme="minorBidi"/>
          <w:szCs w:val="22"/>
        </w:rPr>
      </w:pPr>
      <w:r>
        <w:t>104.</w:t>
      </w:r>
      <w:r>
        <w:tab/>
        <w:t>Withdrawal of removal action and revocation of removal</w:t>
      </w:r>
      <w:r>
        <w:tab/>
      </w:r>
      <w:r>
        <w:fldChar w:fldCharType="begin"/>
      </w:r>
      <w:r>
        <w:instrText xml:space="preserve"> PAGEREF _Toc103865560 \h </w:instrText>
      </w:r>
      <w:r>
        <w:fldChar w:fldCharType="separate"/>
      </w:r>
      <w:r>
        <w:t>97</w:t>
      </w:r>
      <w:r>
        <w:fldChar w:fldCharType="end"/>
      </w:r>
    </w:p>
    <w:p>
      <w:pPr>
        <w:pStyle w:val="TOC8"/>
        <w:rPr>
          <w:rFonts w:asciiTheme="minorHAnsi" w:eastAsiaTheme="minorEastAsia" w:hAnsiTheme="minorHAnsi" w:cstheme="minorBidi"/>
          <w:szCs w:val="22"/>
        </w:rPr>
      </w:pPr>
      <w:r>
        <w:t>105.</w:t>
      </w:r>
      <w:r>
        <w:tab/>
        <w:t>Resignation of prison officer who has been removed</w:t>
      </w:r>
      <w:r>
        <w:tab/>
      </w:r>
      <w:r>
        <w:fldChar w:fldCharType="begin"/>
      </w:r>
      <w:r>
        <w:instrText xml:space="preserve"> PAGEREF _Toc103865561 \h </w:instrText>
      </w:r>
      <w:r>
        <w:fldChar w:fldCharType="separate"/>
      </w:r>
      <w:r>
        <w:t>98</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 against removal of prison officer</w:t>
      </w:r>
    </w:p>
    <w:p>
      <w:pPr>
        <w:pStyle w:val="TOC8"/>
        <w:rPr>
          <w:rFonts w:asciiTheme="minorHAnsi" w:eastAsiaTheme="minorEastAsia" w:hAnsiTheme="minorHAnsi" w:cstheme="minorBidi"/>
          <w:szCs w:val="22"/>
        </w:rPr>
      </w:pPr>
      <w:r>
        <w:t>106.</w:t>
      </w:r>
      <w:r>
        <w:tab/>
        <w:t>Appeal right</w:t>
      </w:r>
      <w:r>
        <w:tab/>
      </w:r>
      <w:r>
        <w:fldChar w:fldCharType="begin"/>
      </w:r>
      <w:r>
        <w:instrText xml:space="preserve"> PAGEREF _Toc103865563 \h </w:instrText>
      </w:r>
      <w:r>
        <w:fldChar w:fldCharType="separate"/>
      </w:r>
      <w:r>
        <w:t>98</w:t>
      </w:r>
      <w:r>
        <w:fldChar w:fldCharType="end"/>
      </w:r>
    </w:p>
    <w:p>
      <w:pPr>
        <w:pStyle w:val="TOC8"/>
        <w:rPr>
          <w:rFonts w:asciiTheme="minorHAnsi" w:eastAsiaTheme="minorEastAsia" w:hAnsiTheme="minorHAnsi" w:cstheme="minorBidi"/>
          <w:szCs w:val="22"/>
        </w:rPr>
      </w:pPr>
      <w:r>
        <w:t>107.</w:t>
      </w:r>
      <w:r>
        <w:tab/>
        <w:t>Proceedings on appeal</w:t>
      </w:r>
      <w:r>
        <w:tab/>
      </w:r>
      <w:r>
        <w:fldChar w:fldCharType="begin"/>
      </w:r>
      <w:r>
        <w:instrText xml:space="preserve"> PAGEREF _Toc103865564 \h </w:instrText>
      </w:r>
      <w:r>
        <w:fldChar w:fldCharType="separate"/>
      </w:r>
      <w:r>
        <w:t>99</w:t>
      </w:r>
      <w:r>
        <w:fldChar w:fldCharType="end"/>
      </w:r>
    </w:p>
    <w:p>
      <w:pPr>
        <w:pStyle w:val="TOC8"/>
        <w:rPr>
          <w:rFonts w:asciiTheme="minorHAnsi" w:eastAsiaTheme="minorEastAsia" w:hAnsiTheme="minorHAnsi" w:cstheme="minorBidi"/>
          <w:szCs w:val="22"/>
        </w:rPr>
      </w:pPr>
      <w:r>
        <w:t>108.</w:t>
      </w:r>
      <w:r>
        <w:tab/>
        <w:t>Leave to tender new evidence on appeal</w:t>
      </w:r>
      <w:r>
        <w:tab/>
      </w:r>
      <w:r>
        <w:fldChar w:fldCharType="begin"/>
      </w:r>
      <w:r>
        <w:instrText xml:space="preserve"> PAGEREF _Toc103865565 \h </w:instrText>
      </w:r>
      <w:r>
        <w:fldChar w:fldCharType="separate"/>
      </w:r>
      <w:r>
        <w:t>100</w:t>
      </w:r>
      <w:r>
        <w:fldChar w:fldCharType="end"/>
      </w:r>
    </w:p>
    <w:p>
      <w:pPr>
        <w:pStyle w:val="TOC8"/>
        <w:rPr>
          <w:rFonts w:asciiTheme="minorHAnsi" w:eastAsiaTheme="minorEastAsia" w:hAnsiTheme="minorHAnsi" w:cstheme="minorBidi"/>
          <w:szCs w:val="22"/>
        </w:rPr>
      </w:pPr>
      <w:r>
        <w:t>109.</w:t>
      </w:r>
      <w:r>
        <w:tab/>
        <w:t>Opportunity to consider new evidence</w:t>
      </w:r>
      <w:r>
        <w:tab/>
      </w:r>
      <w:r>
        <w:fldChar w:fldCharType="begin"/>
      </w:r>
      <w:r>
        <w:instrText xml:space="preserve"> PAGEREF _Toc103865566 \h </w:instrText>
      </w:r>
      <w:r>
        <w:fldChar w:fldCharType="separate"/>
      </w:r>
      <w:r>
        <w:t>101</w:t>
      </w:r>
      <w:r>
        <w:fldChar w:fldCharType="end"/>
      </w:r>
    </w:p>
    <w:p>
      <w:pPr>
        <w:pStyle w:val="TOC8"/>
        <w:rPr>
          <w:rFonts w:asciiTheme="minorHAnsi" w:eastAsiaTheme="minorEastAsia" w:hAnsiTheme="minorHAnsi" w:cstheme="minorBidi"/>
          <w:szCs w:val="22"/>
        </w:rPr>
      </w:pPr>
      <w:r>
        <w:t>110A.</w:t>
      </w:r>
      <w:r>
        <w:tab/>
        <w:t>Revocation of removal after consideration of new evidence</w:t>
      </w:r>
      <w:r>
        <w:tab/>
      </w:r>
      <w:r>
        <w:fldChar w:fldCharType="begin"/>
      </w:r>
      <w:r>
        <w:instrText xml:space="preserve"> PAGEREF _Toc103865567 \h </w:instrText>
      </w:r>
      <w:r>
        <w:fldChar w:fldCharType="separate"/>
      </w:r>
      <w:r>
        <w:t>101</w:t>
      </w:r>
      <w:r>
        <w:fldChar w:fldCharType="end"/>
      </w:r>
    </w:p>
    <w:p>
      <w:pPr>
        <w:pStyle w:val="TOC8"/>
        <w:rPr>
          <w:rFonts w:asciiTheme="minorHAnsi" w:eastAsiaTheme="minorEastAsia" w:hAnsiTheme="minorHAnsi" w:cstheme="minorBidi"/>
          <w:szCs w:val="22"/>
        </w:rPr>
      </w:pPr>
      <w:r>
        <w:t>110B.</w:t>
      </w:r>
      <w:r>
        <w:tab/>
        <w:t xml:space="preserve">Application of </w:t>
      </w:r>
      <w:r>
        <w:rPr>
          <w:i/>
        </w:rPr>
        <w:t>Industrial Relations Act 1979</w:t>
      </w:r>
      <w:r>
        <w:t xml:space="preserve"> to appeals</w:t>
      </w:r>
      <w:r>
        <w:tab/>
      </w:r>
      <w:r>
        <w:fldChar w:fldCharType="begin"/>
      </w:r>
      <w:r>
        <w:instrText xml:space="preserve"> PAGEREF _Toc103865568 \h </w:instrText>
      </w:r>
      <w:r>
        <w:fldChar w:fldCharType="separate"/>
      </w:r>
      <w:r>
        <w:t>102</w:t>
      </w:r>
      <w:r>
        <w:fldChar w:fldCharType="end"/>
      </w:r>
    </w:p>
    <w:p>
      <w:pPr>
        <w:pStyle w:val="TOC8"/>
        <w:rPr>
          <w:rFonts w:asciiTheme="minorHAnsi" w:eastAsiaTheme="minorEastAsia" w:hAnsiTheme="minorHAnsi" w:cstheme="minorBidi"/>
          <w:szCs w:val="22"/>
        </w:rPr>
      </w:pPr>
      <w:r>
        <w:t>110C.</w:t>
      </w:r>
      <w:r>
        <w:tab/>
        <w:t>Adjournment of appeal if appellant charged with offence</w:t>
      </w:r>
      <w:r>
        <w:tab/>
      </w:r>
      <w:r>
        <w:fldChar w:fldCharType="begin"/>
      </w:r>
      <w:r>
        <w:instrText xml:space="preserve"> PAGEREF _Toc103865569 \h </w:instrText>
      </w:r>
      <w:r>
        <w:fldChar w:fldCharType="separate"/>
      </w:r>
      <w:r>
        <w:t>105</w:t>
      </w:r>
      <w:r>
        <w:fldChar w:fldCharType="end"/>
      </w:r>
    </w:p>
    <w:p>
      <w:pPr>
        <w:pStyle w:val="TOC8"/>
        <w:rPr>
          <w:rFonts w:asciiTheme="minorHAnsi" w:eastAsiaTheme="minorEastAsia" w:hAnsiTheme="minorHAnsi" w:cstheme="minorBidi"/>
          <w:szCs w:val="22"/>
        </w:rPr>
      </w:pPr>
      <w:r>
        <w:t>110D.</w:t>
      </w:r>
      <w:r>
        <w:tab/>
        <w:t>Resumption of appeal before end of adjournment</w:t>
      </w:r>
      <w:r>
        <w:tab/>
      </w:r>
      <w:r>
        <w:fldChar w:fldCharType="begin"/>
      </w:r>
      <w:r>
        <w:instrText xml:space="preserve"> PAGEREF _Toc103865570 \h </w:instrText>
      </w:r>
      <w:r>
        <w:fldChar w:fldCharType="separate"/>
      </w:r>
      <w:r>
        <w:t>105</w:t>
      </w:r>
      <w:r>
        <w:fldChar w:fldCharType="end"/>
      </w:r>
    </w:p>
    <w:p>
      <w:pPr>
        <w:pStyle w:val="TOC8"/>
        <w:rPr>
          <w:rFonts w:asciiTheme="minorHAnsi" w:eastAsiaTheme="minorEastAsia" w:hAnsiTheme="minorHAnsi" w:cstheme="minorBidi"/>
          <w:szCs w:val="22"/>
        </w:rPr>
      </w:pPr>
      <w:r>
        <w:lastRenderedPageBreak/>
        <w:t>110E.</w:t>
      </w:r>
      <w:r>
        <w:tab/>
        <w:t>Decision by WAIRC</w:t>
      </w:r>
      <w:r>
        <w:tab/>
      </w:r>
      <w:r>
        <w:fldChar w:fldCharType="begin"/>
      </w:r>
      <w:r>
        <w:instrText xml:space="preserve"> PAGEREF _Toc103865571 \h </w:instrText>
      </w:r>
      <w:r>
        <w:fldChar w:fldCharType="separate"/>
      </w:r>
      <w:r>
        <w:t>106</w:t>
      </w:r>
      <w:r>
        <w:fldChar w:fldCharType="end"/>
      </w:r>
    </w:p>
    <w:p>
      <w:pPr>
        <w:pStyle w:val="TOC8"/>
        <w:rPr>
          <w:rFonts w:asciiTheme="minorHAnsi" w:eastAsiaTheme="minorEastAsia" w:hAnsiTheme="minorHAnsi" w:cstheme="minorBidi"/>
          <w:szCs w:val="22"/>
        </w:rPr>
      </w:pPr>
      <w:r>
        <w:t>110F.</w:t>
      </w:r>
      <w:r>
        <w:tab/>
        <w:t>Determining amount of compensation</w:t>
      </w:r>
      <w:r>
        <w:tab/>
      </w:r>
      <w:r>
        <w:fldChar w:fldCharType="begin"/>
      </w:r>
      <w:r>
        <w:instrText xml:space="preserve"> PAGEREF _Toc103865572 \h </w:instrText>
      </w:r>
      <w:r>
        <w:fldChar w:fldCharType="separate"/>
      </w:r>
      <w:r>
        <w:t>106</w:t>
      </w:r>
      <w:r>
        <w:fldChar w:fldCharType="end"/>
      </w:r>
    </w:p>
    <w:p>
      <w:pPr>
        <w:pStyle w:val="TOC8"/>
        <w:rPr>
          <w:rFonts w:asciiTheme="minorHAnsi" w:eastAsiaTheme="minorEastAsia" w:hAnsiTheme="minorHAnsi" w:cstheme="minorBidi"/>
          <w:szCs w:val="22"/>
        </w:rPr>
      </w:pPr>
      <w:r>
        <w:t>110G.</w:t>
      </w:r>
      <w:r>
        <w:tab/>
        <w:t>Restriction on publication</w:t>
      </w:r>
      <w:r>
        <w:tab/>
      </w:r>
      <w:r>
        <w:fldChar w:fldCharType="begin"/>
      </w:r>
      <w:r>
        <w:instrText xml:space="preserve"> PAGEREF _Toc103865573 \h </w:instrText>
      </w:r>
      <w:r>
        <w:fldChar w:fldCharType="separate"/>
      </w:r>
      <w:r>
        <w:t>107</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w:t>
      </w:r>
    </w:p>
    <w:p>
      <w:pPr>
        <w:pStyle w:val="TOC8"/>
        <w:rPr>
          <w:rFonts w:asciiTheme="minorHAnsi" w:eastAsiaTheme="minorEastAsia" w:hAnsiTheme="minorHAnsi" w:cstheme="minorBidi"/>
          <w:szCs w:val="22"/>
        </w:rPr>
      </w:pPr>
      <w:r>
        <w:t>110H.</w:t>
      </w:r>
      <w:r>
        <w:tab/>
        <w:t>Effect of charge for, or conviction or acquittal of, offence</w:t>
      </w:r>
      <w:r>
        <w:tab/>
      </w:r>
      <w:r>
        <w:fldChar w:fldCharType="begin"/>
      </w:r>
      <w:r>
        <w:instrText xml:space="preserve"> PAGEREF _Toc103865575 \h </w:instrText>
      </w:r>
      <w:r>
        <w:fldChar w:fldCharType="separate"/>
      </w:r>
      <w:r>
        <w:t>108</w:t>
      </w:r>
      <w:r>
        <w:fldChar w:fldCharType="end"/>
      </w:r>
    </w:p>
    <w:p>
      <w:pPr>
        <w:pStyle w:val="TOC8"/>
        <w:rPr>
          <w:rFonts w:asciiTheme="minorHAnsi" w:eastAsiaTheme="minorEastAsia" w:hAnsiTheme="minorHAnsi" w:cstheme="minorBidi"/>
          <w:szCs w:val="22"/>
        </w:rPr>
      </w:pPr>
      <w:r>
        <w:t>110I.</w:t>
      </w:r>
      <w:r>
        <w:tab/>
        <w:t>Failure to comply with procedure</w:t>
      </w:r>
      <w:r>
        <w:tab/>
      </w:r>
      <w:r>
        <w:fldChar w:fldCharType="begin"/>
      </w:r>
      <w:r>
        <w:instrText xml:space="preserve"> PAGEREF _Toc103865576 \h </w:instrText>
      </w:r>
      <w:r>
        <w:fldChar w:fldCharType="separate"/>
      </w:r>
      <w:r>
        <w:t>108</w:t>
      </w:r>
      <w:r>
        <w:fldChar w:fldCharType="end"/>
      </w:r>
    </w:p>
    <w:p>
      <w:pPr>
        <w:pStyle w:val="TOC8"/>
        <w:rPr>
          <w:rFonts w:asciiTheme="minorHAnsi" w:eastAsiaTheme="minorEastAsia" w:hAnsiTheme="minorHAnsi" w:cstheme="minorBidi"/>
          <w:szCs w:val="22"/>
        </w:rPr>
      </w:pPr>
      <w:r>
        <w:t>110J.</w:t>
      </w:r>
      <w:r>
        <w:tab/>
        <w:t>Transfer, standing down and leave of prison officer</w:t>
      </w:r>
      <w:r>
        <w:tab/>
      </w:r>
      <w:r>
        <w:fldChar w:fldCharType="begin"/>
      </w:r>
      <w:r>
        <w:instrText xml:space="preserve"> PAGEREF _Toc103865577 \h </w:instrText>
      </w:r>
      <w:r>
        <w:fldChar w:fldCharType="separate"/>
      </w:r>
      <w:r>
        <w:t>108</w:t>
      </w:r>
      <w:r>
        <w:fldChar w:fldCharType="end"/>
      </w:r>
    </w:p>
    <w:p>
      <w:pPr>
        <w:pStyle w:val="TOC8"/>
        <w:rPr>
          <w:rFonts w:asciiTheme="minorHAnsi" w:eastAsiaTheme="minorEastAsia" w:hAnsiTheme="minorHAnsi" w:cstheme="minorBidi"/>
          <w:szCs w:val="22"/>
        </w:rPr>
      </w:pPr>
      <w:r>
        <w:t>110K.</w:t>
      </w:r>
      <w:r>
        <w:tab/>
        <w:t>Review of Division</w:t>
      </w:r>
      <w:r>
        <w:tab/>
      </w:r>
      <w:r>
        <w:fldChar w:fldCharType="begin"/>
      </w:r>
      <w:r>
        <w:instrText xml:space="preserve"> PAGEREF _Toc103865578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XI — General provisions</w:t>
      </w:r>
    </w:p>
    <w:p>
      <w:pPr>
        <w:pStyle w:val="TOC8"/>
        <w:rPr>
          <w:rFonts w:asciiTheme="minorHAnsi" w:eastAsiaTheme="minorEastAsia" w:hAnsiTheme="minorHAnsi" w:cstheme="minorBidi"/>
          <w:szCs w:val="22"/>
        </w:rPr>
      </w:pPr>
      <w:r>
        <w:t>110</w:t>
      </w:r>
      <w:r>
        <w:rPr>
          <w:snapToGrid w:val="0"/>
        </w:rPr>
        <w:t>.</w:t>
      </w:r>
      <w:r>
        <w:rPr>
          <w:snapToGrid w:val="0"/>
        </w:rPr>
        <w:tab/>
        <w:t>Regulations</w:t>
      </w:r>
      <w:r>
        <w:tab/>
      </w:r>
      <w:r>
        <w:fldChar w:fldCharType="begin"/>
      </w:r>
      <w:r>
        <w:instrText xml:space="preserve"> PAGEREF _Toc103865580 \h </w:instrText>
      </w:r>
      <w:r>
        <w:fldChar w:fldCharType="separate"/>
      </w:r>
      <w:r>
        <w:t>111</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Protection from liability</w:t>
      </w:r>
      <w:r>
        <w:tab/>
      </w:r>
      <w:r>
        <w:fldChar w:fldCharType="begin"/>
      </w:r>
      <w:r>
        <w:instrText xml:space="preserve"> PAGEREF _Toc103865581 \h </w:instrText>
      </w:r>
      <w:r>
        <w:fldChar w:fldCharType="separate"/>
      </w:r>
      <w:r>
        <w:t>115</w:t>
      </w:r>
      <w:r>
        <w:fldChar w:fldCharType="end"/>
      </w:r>
    </w:p>
    <w:p>
      <w:pPr>
        <w:pStyle w:val="TOC8"/>
        <w:rPr>
          <w:rFonts w:asciiTheme="minorHAnsi" w:eastAsiaTheme="minorEastAsia" w:hAnsiTheme="minorHAnsi" w:cstheme="minorBidi"/>
          <w:szCs w:val="22"/>
        </w:rPr>
      </w:pPr>
      <w:r>
        <w:t>112.</w:t>
      </w:r>
      <w:r>
        <w:tab/>
        <w:t>Community safety information</w:t>
      </w:r>
      <w:r>
        <w:tab/>
      </w:r>
      <w:r>
        <w:fldChar w:fldCharType="begin"/>
      </w:r>
      <w:r>
        <w:instrText xml:space="preserve"> PAGEREF _Toc103865582 \h </w:instrText>
      </w:r>
      <w:r>
        <w:fldChar w:fldCharType="separate"/>
      </w:r>
      <w:r>
        <w:t>115</w:t>
      </w:r>
      <w:r>
        <w:fldChar w:fldCharType="end"/>
      </w:r>
    </w:p>
    <w:p>
      <w:pPr>
        <w:pStyle w:val="TOC8"/>
        <w:rPr>
          <w:rFonts w:asciiTheme="minorHAnsi" w:eastAsiaTheme="minorEastAsia" w:hAnsiTheme="minorHAnsi" w:cstheme="minorBidi"/>
          <w:szCs w:val="22"/>
        </w:rPr>
      </w:pPr>
      <w:r>
        <w:t>113.</w:t>
      </w:r>
      <w:r>
        <w:tab/>
        <w:t>Exchange of information</w:t>
      </w:r>
      <w:r>
        <w:tab/>
      </w:r>
      <w:r>
        <w:fldChar w:fldCharType="begin"/>
      </w:r>
      <w:r>
        <w:instrText xml:space="preserve"> PAGEREF _Toc103865583 \h </w:instrText>
      </w:r>
      <w:r>
        <w:fldChar w:fldCharType="separate"/>
      </w:r>
      <w:r>
        <w:t>115</w:t>
      </w:r>
      <w:r>
        <w:fldChar w:fldCharType="end"/>
      </w:r>
    </w:p>
    <w:p>
      <w:pPr>
        <w:pStyle w:val="TOC8"/>
        <w:rPr>
          <w:rFonts w:asciiTheme="minorHAnsi" w:eastAsiaTheme="minorEastAsia" w:hAnsiTheme="minorHAnsi" w:cstheme="minorBidi"/>
          <w:szCs w:val="22"/>
        </w:rPr>
      </w:pPr>
      <w:r>
        <w:t>113A.</w:t>
      </w:r>
      <w:r>
        <w:tab/>
        <w:t>Disclosure to external agencies</w:t>
      </w:r>
      <w:r>
        <w:tab/>
      </w:r>
      <w:r>
        <w:fldChar w:fldCharType="begin"/>
      </w:r>
      <w:r>
        <w:instrText xml:space="preserve"> PAGEREF _Toc103865584 \h </w:instrText>
      </w:r>
      <w:r>
        <w:fldChar w:fldCharType="separate"/>
      </w:r>
      <w:r>
        <w:t>117</w:t>
      </w:r>
      <w:r>
        <w:fldChar w:fldCharType="end"/>
      </w:r>
    </w:p>
    <w:p>
      <w:pPr>
        <w:pStyle w:val="TOC8"/>
        <w:rPr>
          <w:rFonts w:asciiTheme="minorHAnsi" w:eastAsiaTheme="minorEastAsia" w:hAnsiTheme="minorHAnsi" w:cstheme="minorBidi"/>
          <w:szCs w:val="22"/>
        </w:rPr>
      </w:pPr>
      <w:r>
        <w:t>113B.</w:t>
      </w:r>
      <w:r>
        <w:tab/>
        <w:t>Disclosure to victims</w:t>
      </w:r>
      <w:r>
        <w:tab/>
      </w:r>
      <w:r>
        <w:fldChar w:fldCharType="begin"/>
      </w:r>
      <w:r>
        <w:instrText xml:space="preserve"> PAGEREF _Toc103865585 \h </w:instrText>
      </w:r>
      <w:r>
        <w:fldChar w:fldCharType="separate"/>
      </w:r>
      <w:r>
        <w:t>117</w:t>
      </w:r>
      <w:r>
        <w:fldChar w:fldCharType="end"/>
      </w:r>
    </w:p>
    <w:p>
      <w:pPr>
        <w:pStyle w:val="TOC8"/>
        <w:rPr>
          <w:rFonts w:asciiTheme="minorHAnsi" w:eastAsiaTheme="minorEastAsia" w:hAnsiTheme="minorHAnsi" w:cstheme="minorBidi"/>
          <w:szCs w:val="22"/>
        </w:rPr>
      </w:pPr>
      <w:r>
        <w:t>113C.</w:t>
      </w:r>
      <w:r>
        <w:tab/>
        <w:t>Disclosure authorised</w:t>
      </w:r>
      <w:r>
        <w:tab/>
      </w:r>
      <w:r>
        <w:fldChar w:fldCharType="begin"/>
      </w:r>
      <w:r>
        <w:instrText xml:space="preserve"> PAGEREF _Toc103865586 \h </w:instrText>
      </w:r>
      <w:r>
        <w:fldChar w:fldCharType="separate"/>
      </w:r>
      <w:r>
        <w:t>119</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Failure to perform duties</w:t>
      </w:r>
      <w:r>
        <w:tab/>
      </w:r>
      <w:r>
        <w:fldChar w:fldCharType="begin"/>
      </w:r>
      <w:r>
        <w:instrText xml:space="preserve"> PAGEREF _Toc103865587 \h </w:instrText>
      </w:r>
      <w:r>
        <w:fldChar w:fldCharType="separate"/>
      </w:r>
      <w:r>
        <w:t>119</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Section 114 to prevail</w:t>
      </w:r>
      <w:r>
        <w:tab/>
      </w:r>
      <w:r>
        <w:fldChar w:fldCharType="begin"/>
      </w:r>
      <w:r>
        <w:instrText xml:space="preserve"> PAGEREF _Toc103865588 \h </w:instrText>
      </w:r>
      <w:r>
        <w:fldChar w:fldCharType="separate"/>
      </w:r>
      <w:r>
        <w:t>121</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Repeal</w:t>
      </w:r>
      <w:r>
        <w:tab/>
      </w:r>
      <w:r>
        <w:fldChar w:fldCharType="begin"/>
      </w:r>
      <w:r>
        <w:instrText xml:space="preserve"> PAGEREF _Toc103865589 \h </w:instrText>
      </w:r>
      <w:r>
        <w:fldChar w:fldCharType="separate"/>
      </w:r>
      <w:r>
        <w:t>121</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Transitional</w:t>
      </w:r>
      <w:r>
        <w:tab/>
      </w:r>
      <w:r>
        <w:fldChar w:fldCharType="begin"/>
      </w:r>
      <w:r>
        <w:instrText xml:space="preserve"> PAGEREF _Toc103865590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XII — Savings and transitional provisions for </w:t>
      </w:r>
      <w:r>
        <w:rPr>
          <w:i/>
        </w:rPr>
        <w:t>Custodial Legislation (Officers Discipline) Amendment Act 2014</w:t>
      </w:r>
    </w:p>
    <w:p>
      <w:pPr>
        <w:pStyle w:val="TOC8"/>
        <w:rPr>
          <w:rFonts w:asciiTheme="minorHAnsi" w:eastAsiaTheme="minorEastAsia" w:hAnsiTheme="minorHAnsi" w:cstheme="minorBidi"/>
          <w:szCs w:val="22"/>
        </w:rPr>
      </w:pPr>
      <w:r>
        <w:t>118.</w:t>
      </w:r>
      <w:r>
        <w:tab/>
        <w:t>Purpose</w:t>
      </w:r>
      <w:r>
        <w:tab/>
      </w:r>
      <w:r>
        <w:fldChar w:fldCharType="begin"/>
      </w:r>
      <w:r>
        <w:instrText xml:space="preserve"> PAGEREF _Toc103865592 \h </w:instrText>
      </w:r>
      <w:r>
        <w:fldChar w:fldCharType="separate"/>
      </w:r>
      <w:r>
        <w:t>122</w:t>
      </w:r>
      <w:r>
        <w:fldChar w:fldCharType="end"/>
      </w:r>
    </w:p>
    <w:p>
      <w:pPr>
        <w:pStyle w:val="TOC8"/>
        <w:rPr>
          <w:rFonts w:asciiTheme="minorHAnsi" w:eastAsiaTheme="minorEastAsia" w:hAnsiTheme="minorHAnsi" w:cstheme="minorBidi"/>
          <w:szCs w:val="22"/>
        </w:rPr>
      </w:pPr>
      <w:r>
        <w:t>119.</w:t>
      </w:r>
      <w:r>
        <w:tab/>
        <w:t>Disciplinary offences before commencement day</w:t>
      </w:r>
      <w:r>
        <w:tab/>
      </w:r>
      <w:r>
        <w:fldChar w:fldCharType="begin"/>
      </w:r>
      <w:r>
        <w:instrText xml:space="preserve"> PAGEREF _Toc103865593 \h </w:instrText>
      </w:r>
      <w:r>
        <w:fldChar w:fldCharType="separate"/>
      </w:r>
      <w:r>
        <w:t>122</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w:t>
      </w:r>
    </w:p>
    <w:p>
      <w:pPr>
        <w:pStyle w:val="TOC2"/>
        <w:keepNext w:val="0"/>
        <w:tabs>
          <w:tab w:val="right" w:leader="dot" w:pos="7077"/>
        </w:tabs>
        <w:rPr>
          <w:rFonts w:asciiTheme="minorHAnsi" w:eastAsiaTheme="minorEastAsia" w:hAnsiTheme="minorHAnsi" w:cstheme="minorBidi"/>
          <w:b w:val="0"/>
          <w:sz w:val="22"/>
          <w:szCs w:val="22"/>
        </w:rPr>
      </w:pPr>
      <w:r>
        <w:t>Declaration of prisons</w:t>
      </w:r>
    </w:p>
    <w:p>
      <w:pPr>
        <w:pStyle w:val="TOC2"/>
        <w:keepNext w:val="0"/>
        <w:tabs>
          <w:tab w:val="right" w:leader="dot" w:pos="7077"/>
        </w:tabs>
        <w:rPr>
          <w:rFonts w:asciiTheme="minorHAnsi" w:eastAsiaTheme="minorEastAsia" w:hAnsiTheme="minorHAnsi" w:cstheme="minorBidi"/>
          <w:b w:val="0"/>
          <w:sz w:val="22"/>
          <w:szCs w:val="22"/>
        </w:rPr>
      </w:pPr>
      <w:r>
        <w:t>Schedule 2</w:t>
      </w:r>
    </w:p>
    <w:p>
      <w:pPr>
        <w:pStyle w:val="TOC2"/>
        <w:keepNext w:val="0"/>
        <w:tabs>
          <w:tab w:val="right" w:leader="dot" w:pos="7077"/>
        </w:tabs>
        <w:rPr>
          <w:rFonts w:asciiTheme="minorHAnsi" w:eastAsiaTheme="minorEastAsia" w:hAnsiTheme="minorHAnsi" w:cstheme="minorBidi"/>
          <w:b w:val="0"/>
          <w:sz w:val="22"/>
          <w:szCs w:val="22"/>
        </w:rPr>
      </w:pPr>
      <w:r>
        <w:t>Transitional provisions</w:t>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keepNext/>
        <w:rPr>
          <w:rFonts w:asciiTheme="minorHAnsi" w:eastAsiaTheme="minorEastAsia" w:hAnsiTheme="minorHAnsi" w:cstheme="minorBidi"/>
          <w:szCs w:val="22"/>
        </w:rPr>
      </w:pPr>
      <w:r>
        <w:tab/>
        <w:t>Compilation table</w:t>
      </w:r>
      <w:r>
        <w:tab/>
      </w:r>
      <w:r>
        <w:fldChar w:fldCharType="begin"/>
      </w:r>
      <w:r>
        <w:instrText xml:space="preserve"> PAGEREF _Toc103865599 \h </w:instrText>
      </w:r>
      <w:r>
        <w:fldChar w:fldCharType="separate"/>
      </w:r>
      <w:r>
        <w:t>128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_Toc103865600 \h </w:instrText>
      </w:r>
      <w:r>
        <w:fldChar w:fldCharType="separate"/>
      </w:r>
      <w:r>
        <w:t>133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_Toc103865601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720" w:after="1640"/>
      </w:pPr>
      <w:r>
        <w:t xml:space="preserve">Prisons Act 1981 </w:t>
      </w:r>
    </w:p>
    <w:p>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3" w:name="_Toc103862548"/>
      <w:bookmarkStart w:id="4" w:name="_Toc103862740"/>
      <w:bookmarkStart w:id="5" w:name="_Toc103865411"/>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spacing w:before="240"/>
        <w:rPr>
          <w:snapToGrid w:val="0"/>
        </w:rPr>
      </w:pPr>
      <w:bookmarkStart w:id="6" w:name="_Toc103865412"/>
      <w:r>
        <w:rPr>
          <w:rStyle w:val="CharSectno"/>
        </w:rPr>
        <w:t>1</w:t>
      </w:r>
      <w:r>
        <w:rPr>
          <w:snapToGrid w:val="0"/>
        </w:rPr>
        <w:t>.</w:t>
      </w:r>
      <w:r>
        <w:rPr>
          <w:snapToGrid w:val="0"/>
        </w:rPr>
        <w:tab/>
        <w:t>Short title</w:t>
      </w:r>
      <w:bookmarkEnd w:id="6"/>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Prisons Act 1981</w:t>
      </w:r>
      <w:r>
        <w:rPr>
          <w:snapToGrid w:val="0"/>
        </w:rPr>
        <w:t>.</w:t>
      </w:r>
    </w:p>
    <w:p>
      <w:pPr>
        <w:pStyle w:val="Heading5"/>
        <w:spacing w:before="240"/>
        <w:rPr>
          <w:snapToGrid w:val="0"/>
        </w:rPr>
      </w:pPr>
      <w:bookmarkStart w:id="7" w:name="_Toc103865413"/>
      <w:r>
        <w:rPr>
          <w:rStyle w:val="CharSectno"/>
        </w:rPr>
        <w:t>2</w:t>
      </w:r>
      <w:r>
        <w:rPr>
          <w:snapToGrid w:val="0"/>
        </w:rPr>
        <w:t>.</w:t>
      </w:r>
      <w:r>
        <w:rPr>
          <w:snapToGrid w:val="0"/>
        </w:rPr>
        <w:tab/>
        <w:t>Commencement</w:t>
      </w:r>
      <w:bookmarkEnd w:id="7"/>
      <w:r>
        <w:rPr>
          <w:snapToGrid w:val="0"/>
        </w:rPr>
        <w:t xml:space="preserve"> </w:t>
      </w:r>
    </w:p>
    <w:p>
      <w:pPr>
        <w:pStyle w:val="Subsection"/>
        <w:spacing w:before="180"/>
        <w:rPr>
          <w:snapToGrid w:val="0"/>
        </w:rPr>
      </w:pPr>
      <w:r>
        <w:rPr>
          <w:snapToGrid w:val="0"/>
        </w:rPr>
        <w:tab/>
      </w:r>
      <w:r>
        <w:rPr>
          <w:snapToGrid w:val="0"/>
        </w:rPr>
        <w:tab/>
        <w:t>This Act shall come into operation on a day to be fixed by proclamation.</w:t>
      </w:r>
    </w:p>
    <w:p>
      <w:pPr>
        <w:pStyle w:val="Heading5"/>
        <w:spacing w:before="240"/>
        <w:rPr>
          <w:snapToGrid w:val="0"/>
        </w:rPr>
      </w:pPr>
      <w:bookmarkStart w:id="8" w:name="_Toc103865414"/>
      <w:r>
        <w:rPr>
          <w:rStyle w:val="CharSectno"/>
        </w:rPr>
        <w:t>3</w:t>
      </w:r>
      <w:r>
        <w:rPr>
          <w:snapToGrid w:val="0"/>
        </w:rPr>
        <w:t>.</w:t>
      </w:r>
      <w:r>
        <w:rPr>
          <w:snapToGrid w:val="0"/>
        </w:rPr>
        <w:tab/>
        <w:t>Terms used</w:t>
      </w:r>
      <w:bookmarkEnd w:id="8"/>
    </w:p>
    <w:p>
      <w:pPr>
        <w:pStyle w:val="Subsection"/>
        <w:spacing w:before="180"/>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tab/>
      </w:r>
      <w:r>
        <w:rPr>
          <w:rStyle w:val="CharDefText"/>
        </w:rPr>
        <w:t>bodily fluid</w:t>
      </w:r>
      <w:r>
        <w:t xml:space="preserve"> includes semen, blood and saliva;</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lastRenderedPageBreak/>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tab/>
      </w:r>
      <w:r>
        <w:rPr>
          <w:rStyle w:val="CharDefText"/>
        </w:rPr>
        <w:t>infectious disease</w:t>
      </w:r>
      <w:r>
        <w:t xml:space="preserve"> means any of the following — </w:t>
      </w:r>
    </w:p>
    <w:p>
      <w:pPr>
        <w:pStyle w:val="Defpara"/>
      </w:pPr>
      <w:r>
        <w:tab/>
        <w:t>(a)</w:t>
      </w:r>
      <w:r>
        <w:tab/>
        <w:t>Human Immunodeficiency Virus (HIV) infection;</w:t>
      </w:r>
    </w:p>
    <w:p>
      <w:pPr>
        <w:pStyle w:val="Defpara"/>
      </w:pPr>
      <w:r>
        <w:tab/>
        <w:t>(b)</w:t>
      </w:r>
      <w:r>
        <w:tab/>
        <w:t>Hepatitis B;</w:t>
      </w:r>
    </w:p>
    <w:p>
      <w:pPr>
        <w:pStyle w:val="Defpara"/>
      </w:pPr>
      <w:r>
        <w:tab/>
        <w:t>(c)</w:t>
      </w:r>
      <w:r>
        <w:tab/>
        <w:t>Hepatitis C;</w:t>
      </w:r>
    </w:p>
    <w:p>
      <w:pPr>
        <w:pStyle w:val="Defpara"/>
      </w:pPr>
      <w:r>
        <w:tab/>
        <w:t>(d)</w:t>
      </w:r>
      <w:r>
        <w:tab/>
        <w:t>any other prescribed disease capable of being transmitted by the transfer of bodily fluid;</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fldChar w:fldCharType="begin"/>
      </w:r>
      <w:r>
        <w:instrText xml:space="preserve"> LISTNUM DefinitionNumbers \l1 </w:instrText>
      </w:r>
      <w:r>
        <w:fldChar w:fldCharType="end">
          <w:numberingChange w:id="9" w:author="Graham, Hala" w:date="2017-01-25T08:43:00Z" w:original=""/>
        </w:fldChar>
      </w:r>
      <w:r>
        <w:tab/>
      </w:r>
      <w:r>
        <w:rPr>
          <w:rStyle w:val="CharDefText"/>
        </w:rPr>
        <w:t>medical practitioner</w:t>
      </w:r>
      <w:r>
        <w:t xml:space="preserve"> means a person —</w:t>
      </w:r>
    </w:p>
    <w:p>
      <w:pPr>
        <w:pStyle w:val="Defpara"/>
      </w:pPr>
      <w:r>
        <w:tab/>
        <w:t>(a)</w:t>
      </w:r>
      <w:r>
        <w:tab/>
        <w:t xml:space="preserve">who is registered under the </w:t>
      </w:r>
      <w:r>
        <w:rPr>
          <w:i/>
        </w:rPr>
        <w:t>Health Practitioner Regulation National Law (Western Australia)</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lastRenderedPageBreak/>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tab/>
      </w:r>
      <w:r>
        <w:rPr>
          <w:rStyle w:val="CharDefText"/>
        </w:rPr>
        <w:t>remove</w:t>
      </w:r>
      <w:r>
        <w:t>, in relation to a prison officer, means terminate the employment of the prison officer;</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lastRenderedPageBreak/>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tab/>
      </w:r>
      <w:r>
        <w:rPr>
          <w:rStyle w:val="CharDefText"/>
        </w:rPr>
        <w:t>transfer of bodily fluid</w:t>
      </w:r>
      <w:r>
        <w:t xml:space="preserve"> means the transfer of bodily fluid from one person into the anus, vagina, mucous membrane or broken skin of another person;</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 No. 29 of 2014 s. 4; No. 35 of 2014 s. 39; No. 20 of 2020 s. 4.]</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10" w:name="_Toc103862552"/>
      <w:bookmarkStart w:id="11" w:name="_Toc103862744"/>
      <w:bookmarkStart w:id="12" w:name="_Toc103865415"/>
      <w:r>
        <w:rPr>
          <w:rStyle w:val="CharPartNo"/>
        </w:rPr>
        <w:lastRenderedPageBreak/>
        <w:t>Part II</w:t>
      </w:r>
      <w:r>
        <w:rPr>
          <w:rStyle w:val="CharDivNo"/>
        </w:rPr>
        <w:t> </w:t>
      </w:r>
      <w:r>
        <w:t>—</w:t>
      </w:r>
      <w:r>
        <w:rPr>
          <w:rStyle w:val="CharDivText"/>
        </w:rPr>
        <w:t> </w:t>
      </w:r>
      <w:r>
        <w:rPr>
          <w:rStyle w:val="CharPartText"/>
        </w:rPr>
        <w:t>Establishment of prisons</w:t>
      </w:r>
      <w:bookmarkEnd w:id="10"/>
      <w:bookmarkEnd w:id="11"/>
      <w:bookmarkEnd w:id="12"/>
      <w:r>
        <w:rPr>
          <w:rStyle w:val="CharPartText"/>
        </w:rPr>
        <w:t xml:space="preserve"> </w:t>
      </w:r>
    </w:p>
    <w:p>
      <w:pPr>
        <w:pStyle w:val="Heading5"/>
        <w:spacing w:before="180"/>
        <w:rPr>
          <w:snapToGrid w:val="0"/>
        </w:rPr>
      </w:pPr>
      <w:bookmarkStart w:id="13" w:name="_Toc103865416"/>
      <w:r>
        <w:rPr>
          <w:rStyle w:val="CharSectno"/>
        </w:rPr>
        <w:t>4</w:t>
      </w:r>
      <w:r>
        <w:rPr>
          <w:snapToGrid w:val="0"/>
        </w:rPr>
        <w:t>.</w:t>
      </w:r>
      <w:r>
        <w:rPr>
          <w:snapToGrid w:val="0"/>
        </w:rPr>
        <w:tab/>
        <w:t>Existing prisons continued</w:t>
      </w:r>
      <w:bookmarkEnd w:id="13"/>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14" w:name="_Toc103865417"/>
      <w:r>
        <w:rPr>
          <w:rStyle w:val="CharSectno"/>
        </w:rPr>
        <w:t>5</w:t>
      </w:r>
      <w:r>
        <w:rPr>
          <w:snapToGrid w:val="0"/>
        </w:rPr>
        <w:t>.</w:t>
      </w:r>
      <w:r>
        <w:rPr>
          <w:snapToGrid w:val="0"/>
        </w:rPr>
        <w:tab/>
        <w:t>Orders for prisons</w:t>
      </w:r>
      <w:bookmarkEnd w:id="14"/>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tab/>
        <w:t>[Section 5 amended: No. 65 of 2006 s. 5.]</w:t>
      </w:r>
    </w:p>
    <w:p>
      <w:pPr>
        <w:pStyle w:val="Heading2"/>
      </w:pPr>
      <w:bookmarkStart w:id="15" w:name="_Toc103862555"/>
      <w:bookmarkStart w:id="16" w:name="_Toc103862747"/>
      <w:bookmarkStart w:id="17" w:name="_Toc103865418"/>
      <w:r>
        <w:rPr>
          <w:rStyle w:val="CharPartNo"/>
        </w:rPr>
        <w:lastRenderedPageBreak/>
        <w:t>Part III</w:t>
      </w:r>
      <w:r>
        <w:rPr>
          <w:rStyle w:val="CharDivNo"/>
        </w:rPr>
        <w:t> </w:t>
      </w:r>
      <w:r>
        <w:t>—</w:t>
      </w:r>
      <w:r>
        <w:rPr>
          <w:rStyle w:val="CharDivText"/>
        </w:rPr>
        <w:t> </w:t>
      </w:r>
      <w:r>
        <w:rPr>
          <w:rStyle w:val="CharPartText"/>
        </w:rPr>
        <w:t>Officers</w:t>
      </w:r>
      <w:bookmarkEnd w:id="15"/>
      <w:bookmarkEnd w:id="16"/>
      <w:bookmarkEnd w:id="17"/>
      <w:r>
        <w:rPr>
          <w:rStyle w:val="CharPartText"/>
        </w:rPr>
        <w:t xml:space="preserve"> </w:t>
      </w:r>
    </w:p>
    <w:p>
      <w:pPr>
        <w:pStyle w:val="Heading5"/>
        <w:rPr>
          <w:snapToGrid w:val="0"/>
        </w:rPr>
      </w:pPr>
      <w:bookmarkStart w:id="18" w:name="_Toc103865419"/>
      <w:r>
        <w:rPr>
          <w:rStyle w:val="CharSectno"/>
        </w:rPr>
        <w:t>6</w:t>
      </w:r>
      <w:r>
        <w:rPr>
          <w:snapToGrid w:val="0"/>
        </w:rPr>
        <w:t>.</w:t>
      </w:r>
      <w:r>
        <w:rPr>
          <w:snapToGrid w:val="0"/>
        </w:rPr>
        <w:tab/>
        <w:t>Appointment of officers</w:t>
      </w:r>
      <w:bookmarkEnd w:id="18"/>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Ednotesubsection"/>
      </w:pPr>
      <w:r>
        <w:tab/>
        <w:t>[(6)</w:t>
      </w:r>
      <w:r>
        <w:tab/>
        <w:t>deleted]</w:t>
      </w:r>
    </w:p>
    <w:p>
      <w:pPr>
        <w:pStyle w:val="Footnotesection"/>
      </w:pPr>
      <w:r>
        <w:tab/>
        <w:t>[Section 6 amended: No. 66 of 1982 s. 2; No. 47 of 1987 s. 5 and 11; No. 113 of 1987 s. 32; No. 47 of 1991 s. 7; No. 31 of 1993 s. 56; No. 32 of 1994 s. 3(2); No. 43 of 1999 s. 5; No. 65 of 2006 s. 6; No. 39 of 2010 s. 89; No. 20 of 2020 s. 5.]</w:t>
      </w:r>
    </w:p>
    <w:p>
      <w:pPr>
        <w:pStyle w:val="Heading5"/>
        <w:rPr>
          <w:snapToGrid w:val="0"/>
        </w:rPr>
      </w:pPr>
      <w:bookmarkStart w:id="19" w:name="_Toc103865420"/>
      <w:r>
        <w:rPr>
          <w:rStyle w:val="CharSectno"/>
        </w:rPr>
        <w:t>7</w:t>
      </w:r>
      <w:r>
        <w:rPr>
          <w:snapToGrid w:val="0"/>
        </w:rPr>
        <w:t>.</w:t>
      </w:r>
      <w:r>
        <w:rPr>
          <w:snapToGrid w:val="0"/>
        </w:rPr>
        <w:tab/>
        <w:t>Powers and duties of chief executive officer</w:t>
      </w:r>
      <w:bookmarkEnd w:id="19"/>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lastRenderedPageBreak/>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spacing w:before="120"/>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No. 47 of 1987 s. 11; No. 113 of 1987 s. 32; No. 43 of 1999 s. 6; No. 65 of 2006 s. 7.]</w:t>
      </w:r>
    </w:p>
    <w:p>
      <w:pPr>
        <w:pStyle w:val="Heading5"/>
        <w:spacing w:before="180"/>
      </w:pPr>
      <w:bookmarkStart w:id="20" w:name="_Toc103865421"/>
      <w:r>
        <w:rPr>
          <w:rStyle w:val="CharSectno"/>
        </w:rPr>
        <w:t>8</w:t>
      </w:r>
      <w:r>
        <w:t>.</w:t>
      </w:r>
      <w:r>
        <w:tab/>
        <w:t>Delegation by chief executive officer</w:t>
      </w:r>
      <w:bookmarkEnd w:id="20"/>
    </w:p>
    <w:p>
      <w:pPr>
        <w:pStyle w:val="Subsection"/>
        <w:spacing w:before="120"/>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w:t>
      </w:r>
      <w:r>
        <w:t xml:space="preserve"> section 9 or 35.</w:t>
      </w:r>
    </w:p>
    <w:p>
      <w:pPr>
        <w:pStyle w:val="Subsection"/>
        <w:spacing w:before="120"/>
      </w:pPr>
      <w:r>
        <w:tab/>
        <w:t>(2)</w:t>
      </w:r>
      <w:r>
        <w:tab/>
        <w:t>The delegation must be in writing signed by the chief executive officer.</w:t>
      </w:r>
    </w:p>
    <w:p>
      <w:pPr>
        <w:pStyle w:val="Subsection"/>
        <w:spacing w:before="120"/>
      </w:pPr>
      <w:r>
        <w:tab/>
        <w:t>(3)</w:t>
      </w:r>
      <w:r>
        <w:tab/>
        <w:t>A person to whom a power or duty is delegated under this section cannot delegate the power or duty.</w:t>
      </w:r>
    </w:p>
    <w:p>
      <w:pPr>
        <w:pStyle w:val="Subsection"/>
      </w:pPr>
      <w:r>
        <w:lastRenderedPageBreak/>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No. 65 of 2006 s. 8; amended: No. 29 of 2014 s. 5.]</w:t>
      </w:r>
    </w:p>
    <w:p>
      <w:pPr>
        <w:pStyle w:val="Heading5"/>
        <w:spacing w:before="180"/>
        <w:rPr>
          <w:snapToGrid w:val="0"/>
        </w:rPr>
      </w:pPr>
      <w:bookmarkStart w:id="21" w:name="_Toc103865422"/>
      <w:r>
        <w:rPr>
          <w:rStyle w:val="CharSectno"/>
        </w:rPr>
        <w:t>9</w:t>
      </w:r>
      <w:r>
        <w:rPr>
          <w:snapToGrid w:val="0"/>
        </w:rPr>
        <w:t>.</w:t>
      </w:r>
      <w:r>
        <w:rPr>
          <w:snapToGrid w:val="0"/>
        </w:rPr>
        <w:tab/>
        <w:t>Chief executive officer may set up inquiry</w:t>
      </w:r>
      <w:bookmarkEnd w:id="21"/>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lastRenderedPageBreak/>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 xml:space="preserve">A requirement of a reporting officer to give information or answer a question for the purposes of an inquiry must be clearly </w:t>
      </w:r>
      <w:r>
        <w:lastRenderedPageBreak/>
        <w:t>distinguishable from a request to give the information or answer the question.</w:t>
      </w:r>
    </w:p>
    <w:p>
      <w:pPr>
        <w:pStyle w:val="Footnotesection"/>
      </w:pPr>
      <w:r>
        <w:tab/>
        <w:t>[Section 9 amended: No. 47 of 1987 s. 11; No. 113 of 1987 s. 32; No. 43 of 1999 s. 8; No. 74 of 2003 s. 94(2) and (3); No. 24 of 2005 s. 63.]</w:t>
      </w:r>
    </w:p>
    <w:p>
      <w:pPr>
        <w:pStyle w:val="Heading5"/>
        <w:rPr>
          <w:snapToGrid w:val="0"/>
        </w:rPr>
      </w:pPr>
      <w:bookmarkStart w:id="22" w:name="_Toc103865423"/>
      <w:r>
        <w:rPr>
          <w:rStyle w:val="CharSectno"/>
        </w:rPr>
        <w:t>10</w:t>
      </w:r>
      <w:r>
        <w:rPr>
          <w:snapToGrid w:val="0"/>
        </w:rPr>
        <w:t>.</w:t>
      </w:r>
      <w:r>
        <w:rPr>
          <w:snapToGrid w:val="0"/>
        </w:rPr>
        <w:tab/>
        <w:t>Failure to supply information to inquiry</w:t>
      </w:r>
      <w:bookmarkEnd w:id="22"/>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pPr>
      <w:r>
        <w:tab/>
        <w:t>Penalty for this subsection: a fine of $3 000.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No. 47 of 1991 s. 7; No. 74 of 2003 s. 94(4); No. 20 of 2020 s. 6.]</w:t>
      </w:r>
    </w:p>
    <w:p>
      <w:pPr>
        <w:pStyle w:val="Heading5"/>
        <w:rPr>
          <w:snapToGrid w:val="0"/>
        </w:rPr>
      </w:pPr>
      <w:bookmarkStart w:id="23" w:name="_Toc103865424"/>
      <w:r>
        <w:rPr>
          <w:rStyle w:val="CharSectno"/>
        </w:rPr>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23"/>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w:t>
      </w:r>
      <w:r>
        <w:rPr>
          <w:snapToGrid w:val="0"/>
        </w:rPr>
        <w:lastRenderedPageBreak/>
        <w:t>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No. 98 of 1985 s. 3; amended: No. 47 of 1987 s. 7; No. 77 of 2006 Sch. 1 cl. 132.]</w:t>
      </w:r>
    </w:p>
    <w:p>
      <w:pPr>
        <w:pStyle w:val="Heading5"/>
        <w:spacing w:before="260"/>
        <w:rPr>
          <w:snapToGrid w:val="0"/>
        </w:rPr>
      </w:pPr>
      <w:bookmarkStart w:id="24" w:name="_Toc103865425"/>
      <w:r>
        <w:rPr>
          <w:rStyle w:val="CharSectno"/>
        </w:rPr>
        <w:t>12</w:t>
      </w:r>
      <w:r>
        <w:rPr>
          <w:snapToGrid w:val="0"/>
        </w:rPr>
        <w:t>.</w:t>
      </w:r>
      <w:r>
        <w:rPr>
          <w:snapToGrid w:val="0"/>
        </w:rPr>
        <w:tab/>
        <w:t>Duties of officers</w:t>
      </w:r>
      <w:bookmarkEnd w:id="24"/>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No. 47 of 1987 s. 11; No. 113 of 1987 s. 32; No. 65 of 2006 s. 9.] </w:t>
      </w:r>
    </w:p>
    <w:p>
      <w:pPr>
        <w:pStyle w:val="Heading5"/>
        <w:pageBreakBefore/>
        <w:spacing w:before="0"/>
        <w:rPr>
          <w:snapToGrid w:val="0"/>
        </w:rPr>
      </w:pPr>
      <w:bookmarkStart w:id="25" w:name="_Toc103865426"/>
      <w:r>
        <w:rPr>
          <w:rStyle w:val="CharSectno"/>
        </w:rPr>
        <w:lastRenderedPageBreak/>
        <w:t>13</w:t>
      </w:r>
      <w:r>
        <w:rPr>
          <w:snapToGrid w:val="0"/>
        </w:rPr>
        <w:t>.</w:t>
      </w:r>
      <w:r>
        <w:rPr>
          <w:snapToGrid w:val="0"/>
        </w:rPr>
        <w:tab/>
        <w:t>Engagement of prison officers</w:t>
      </w:r>
      <w:bookmarkEnd w:id="25"/>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State as a prison officer of Western Australia;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pPr>
      <w:r>
        <w:tab/>
        <w:t>(3)</w:t>
      </w:r>
      <w:r>
        <w:tab/>
        <w:t>The Minister may, on the recommendation of the chief executive officer under section 101(1)(b), remove a prison officer engaged under subsection (1).</w:t>
      </w:r>
    </w:p>
    <w:p>
      <w:pPr>
        <w:pStyle w:val="Subsection"/>
        <w:rPr>
          <w:snapToGrid w:val="0"/>
        </w:rPr>
      </w:pPr>
      <w:r>
        <w:rPr>
          <w:snapToGrid w:val="0"/>
        </w:rPr>
        <w:tab/>
        <w:t>(4)</w:t>
      </w:r>
      <w:r>
        <w:rPr>
          <w:snapToGrid w:val="0"/>
        </w:rPr>
        <w:tab/>
        <w:t xml:space="preserve">The Minister may, by instrument in writing signed by him, delegate to the chief executive officer his powers under this section, other than the power of </w:t>
      </w:r>
      <w:r>
        <w:t>removal</w:t>
      </w:r>
      <w:r>
        <w:rPr>
          <w:snapToGrid w:val="0"/>
        </w:rPr>
        <w:t xml:space="preserve"> under subsection (3).</w:t>
      </w:r>
    </w:p>
    <w:p>
      <w:pPr>
        <w:pStyle w:val="Subsection"/>
      </w:pPr>
      <w:r>
        <w:lastRenderedPageBreak/>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No. 47 of 1987 s. 8 and 11; No. 113 of 1987 s. 32; No. 47 of 1991 s. 7; No. 65 of 2006 s. 10; No. 39 of 2010 s. 89; No. 29 of 2014 s. 6.] </w:t>
      </w:r>
    </w:p>
    <w:p>
      <w:pPr>
        <w:pStyle w:val="Heading5"/>
        <w:rPr>
          <w:snapToGrid w:val="0"/>
        </w:rPr>
      </w:pPr>
      <w:bookmarkStart w:id="26" w:name="_Toc103865427"/>
      <w:r>
        <w:rPr>
          <w:rStyle w:val="CharSectno"/>
        </w:rPr>
        <w:t>14</w:t>
      </w:r>
      <w:r>
        <w:rPr>
          <w:snapToGrid w:val="0"/>
        </w:rPr>
        <w:t>.</w:t>
      </w:r>
      <w:r>
        <w:rPr>
          <w:snapToGrid w:val="0"/>
        </w:rPr>
        <w:tab/>
        <w:t>Powers and duties of prison officers</w:t>
      </w:r>
      <w:bookmarkEnd w:id="26"/>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lastRenderedPageBreak/>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No. 47 of 1999 s. 34; No. 65 of 2006 s. 11.]</w:t>
      </w:r>
    </w:p>
    <w:p>
      <w:pPr>
        <w:pStyle w:val="Heading5"/>
        <w:rPr>
          <w:snapToGrid w:val="0"/>
        </w:rPr>
      </w:pPr>
      <w:bookmarkStart w:id="27" w:name="_Toc103865428"/>
      <w:r>
        <w:rPr>
          <w:rStyle w:val="CharSectno"/>
        </w:rPr>
        <w:t>15</w:t>
      </w:r>
      <w:r>
        <w:rPr>
          <w:snapToGrid w:val="0"/>
        </w:rPr>
        <w:t>.</w:t>
      </w:r>
      <w:r>
        <w:rPr>
          <w:snapToGrid w:val="0"/>
        </w:rPr>
        <w:tab/>
        <w:t>Assistance by police officers</w:t>
      </w:r>
      <w:bookmarkEnd w:id="27"/>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No. 47 of 1987 s. 11; No. 113 of 1987 s. 32.]</w:t>
      </w:r>
    </w:p>
    <w:p>
      <w:pPr>
        <w:pStyle w:val="Heading2"/>
      </w:pPr>
      <w:bookmarkStart w:id="28" w:name="_Toc103862566"/>
      <w:bookmarkStart w:id="29" w:name="_Toc103862758"/>
      <w:bookmarkStart w:id="30" w:name="_Toc103865429"/>
      <w:r>
        <w:rPr>
          <w:rStyle w:val="CharPartNo"/>
        </w:rPr>
        <w:lastRenderedPageBreak/>
        <w:t>Part IIIA</w:t>
      </w:r>
      <w:r>
        <w:t xml:space="preserve"> — </w:t>
      </w:r>
      <w:r>
        <w:rPr>
          <w:rStyle w:val="CharPartText"/>
        </w:rPr>
        <w:t>Contracts for prison services</w:t>
      </w:r>
      <w:bookmarkEnd w:id="28"/>
      <w:bookmarkEnd w:id="29"/>
      <w:bookmarkEnd w:id="30"/>
    </w:p>
    <w:p>
      <w:pPr>
        <w:pStyle w:val="Footnoteheading"/>
        <w:tabs>
          <w:tab w:val="clear" w:pos="879"/>
          <w:tab w:val="left" w:pos="882"/>
        </w:tabs>
      </w:pPr>
      <w:r>
        <w:tab/>
        <w:t>[Heading inserted: No. 43 of 1999 s. 7.]</w:t>
      </w:r>
    </w:p>
    <w:p>
      <w:pPr>
        <w:pStyle w:val="Heading3"/>
      </w:pPr>
      <w:bookmarkStart w:id="31" w:name="_Toc103862567"/>
      <w:bookmarkStart w:id="32" w:name="_Toc103862759"/>
      <w:bookmarkStart w:id="33" w:name="_Toc103865430"/>
      <w:r>
        <w:rPr>
          <w:rStyle w:val="CharDivNo"/>
        </w:rPr>
        <w:t>Division 1</w:t>
      </w:r>
      <w:r>
        <w:t xml:space="preserve"> — </w:t>
      </w:r>
      <w:r>
        <w:rPr>
          <w:rStyle w:val="CharDivText"/>
        </w:rPr>
        <w:t>Preliminary</w:t>
      </w:r>
      <w:bookmarkEnd w:id="31"/>
      <w:bookmarkEnd w:id="32"/>
      <w:bookmarkEnd w:id="33"/>
    </w:p>
    <w:p>
      <w:pPr>
        <w:pStyle w:val="Footnoteheading"/>
        <w:tabs>
          <w:tab w:val="clear" w:pos="879"/>
          <w:tab w:val="left" w:pos="882"/>
        </w:tabs>
      </w:pPr>
      <w:r>
        <w:tab/>
        <w:t>[Heading inserted: No. 43 of 1999 s. 7.]</w:t>
      </w:r>
    </w:p>
    <w:p>
      <w:pPr>
        <w:pStyle w:val="Heading5"/>
      </w:pPr>
      <w:bookmarkStart w:id="34" w:name="_Toc103865431"/>
      <w:r>
        <w:rPr>
          <w:rStyle w:val="CharSectno"/>
        </w:rPr>
        <w:t>15A</w:t>
      </w:r>
      <w:r>
        <w:t>.</w:t>
      </w:r>
      <w:r>
        <w:tab/>
        <w:t>Terms used</w:t>
      </w:r>
      <w:bookmarkEnd w:id="34"/>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No. 43 of 1999 s. 7.]</w:t>
      </w:r>
    </w:p>
    <w:p>
      <w:pPr>
        <w:pStyle w:val="Heading3"/>
        <w:pageBreakBefore/>
        <w:spacing w:before="0"/>
      </w:pPr>
      <w:bookmarkStart w:id="35" w:name="_Toc103862569"/>
      <w:bookmarkStart w:id="36" w:name="_Toc103862761"/>
      <w:bookmarkStart w:id="37" w:name="_Toc103865432"/>
      <w:r>
        <w:rPr>
          <w:rStyle w:val="CharDivNo"/>
        </w:rPr>
        <w:lastRenderedPageBreak/>
        <w:t>Division 2</w:t>
      </w:r>
      <w:r>
        <w:t xml:space="preserve"> — </w:t>
      </w:r>
      <w:r>
        <w:rPr>
          <w:rStyle w:val="CharDivText"/>
        </w:rPr>
        <w:t>Matters relating to contracts generally</w:t>
      </w:r>
      <w:bookmarkEnd w:id="35"/>
      <w:bookmarkEnd w:id="36"/>
      <w:bookmarkEnd w:id="37"/>
    </w:p>
    <w:p>
      <w:pPr>
        <w:pStyle w:val="Footnoteheading"/>
        <w:keepNext/>
        <w:tabs>
          <w:tab w:val="clear" w:pos="879"/>
          <w:tab w:val="left" w:pos="882"/>
        </w:tabs>
      </w:pPr>
      <w:r>
        <w:tab/>
        <w:t>[Heading inserted: No. 43 of 1999 s. 7.]</w:t>
      </w:r>
    </w:p>
    <w:p>
      <w:pPr>
        <w:pStyle w:val="Heading5"/>
      </w:pPr>
      <w:bookmarkStart w:id="38" w:name="_Toc103865433"/>
      <w:r>
        <w:rPr>
          <w:rStyle w:val="CharSectno"/>
        </w:rPr>
        <w:t>15B</w:t>
      </w:r>
      <w:r>
        <w:t>.</w:t>
      </w:r>
      <w:r>
        <w:tab/>
        <w:t>Contracts for prison services</w:t>
      </w:r>
      <w:bookmarkEnd w:id="38"/>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No. 43 of 1999 s. 7.]</w:t>
      </w:r>
    </w:p>
    <w:p>
      <w:pPr>
        <w:pStyle w:val="Heading5"/>
      </w:pPr>
      <w:bookmarkStart w:id="39" w:name="_Toc103865434"/>
      <w:r>
        <w:rPr>
          <w:rStyle w:val="CharSectno"/>
        </w:rPr>
        <w:t>15C</w:t>
      </w:r>
      <w:r>
        <w:t>.</w:t>
      </w:r>
      <w:r>
        <w:tab/>
        <w:t>Minimum matters to be included in contracts</w:t>
      </w:r>
      <w:bookmarkEnd w:id="39"/>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keepLines/>
      </w:pPr>
      <w:r>
        <w:lastRenderedPageBreak/>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an indemnity by the contractor in favour of the State of Western Australia;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No. 43 of 1999 s. 7; amended: No. 48 of 2003 s. 62; No. 78 of 2003 s. 74(2); No. 35 of 2014 s. 39; No. 4 of 2015 s. 88(2).]</w:t>
      </w:r>
    </w:p>
    <w:p>
      <w:pPr>
        <w:pStyle w:val="Heading5"/>
      </w:pPr>
      <w:bookmarkStart w:id="40" w:name="_Toc103865435"/>
      <w:r>
        <w:rPr>
          <w:rStyle w:val="CharSectno"/>
        </w:rPr>
        <w:t>15D</w:t>
      </w:r>
      <w:r>
        <w:t>.</w:t>
      </w:r>
      <w:r>
        <w:tab/>
        <w:t>Minimum standards</w:t>
      </w:r>
      <w:bookmarkEnd w:id="40"/>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 xml:space="preserve">The Minister is to ensure that the minimum standards, as amended from time to time, are laid before each House of </w:t>
      </w:r>
      <w:r>
        <w:lastRenderedPageBreak/>
        <w:t>Parliament within 10 sitting days of such House next following the establishment or amendment of the minimum standards.</w:t>
      </w:r>
    </w:p>
    <w:p>
      <w:pPr>
        <w:pStyle w:val="Footnotesection"/>
      </w:pPr>
      <w:r>
        <w:tab/>
        <w:t>[Section 15D inserted: No. 43 of 1999 s. 7.]</w:t>
      </w:r>
    </w:p>
    <w:p>
      <w:pPr>
        <w:pStyle w:val="Heading5"/>
      </w:pPr>
      <w:bookmarkStart w:id="41" w:name="_Toc103865436"/>
      <w:r>
        <w:rPr>
          <w:rStyle w:val="CharSectno"/>
        </w:rPr>
        <w:t>15DA</w:t>
      </w:r>
      <w:r>
        <w:t>.</w:t>
      </w:r>
      <w:r>
        <w:tab/>
        <w:t>Penalty for breach</w:t>
      </w:r>
      <w:bookmarkEnd w:id="41"/>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No. 65 of 2006 s. 12.]</w:t>
      </w:r>
    </w:p>
    <w:p>
      <w:pPr>
        <w:pStyle w:val="Heading5"/>
      </w:pPr>
      <w:bookmarkStart w:id="42" w:name="_Toc103865437"/>
      <w:r>
        <w:rPr>
          <w:rStyle w:val="CharSectno"/>
        </w:rPr>
        <w:t>15E</w:t>
      </w:r>
      <w:r>
        <w:t>.</w:t>
      </w:r>
      <w:r>
        <w:tab/>
        <w:t>Minister, chief executive officer etc. may have access to certain prisons, persons, vehicles and documents</w:t>
      </w:r>
      <w:bookmarkEnd w:id="42"/>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 and</w:t>
      </w:r>
    </w:p>
    <w:p>
      <w:pPr>
        <w:pStyle w:val="Indenta"/>
      </w:pPr>
      <w:r>
        <w:lastRenderedPageBreak/>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for this subsection: a fine of $30 000.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No. 43 of 1999 s. 7; amended: No. 20 of 2020 s. 7.]</w:t>
      </w:r>
    </w:p>
    <w:p>
      <w:pPr>
        <w:pStyle w:val="Heading5"/>
      </w:pPr>
      <w:bookmarkStart w:id="43" w:name="_Toc103865438"/>
      <w:r>
        <w:rPr>
          <w:rStyle w:val="CharSectno"/>
        </w:rPr>
        <w:t>15F</w:t>
      </w:r>
      <w:r>
        <w:t>.</w:t>
      </w:r>
      <w:r>
        <w:tab/>
        <w:t>Administrators and reporting officers may have access to certain prisons, persons, vehicles and documents</w:t>
      </w:r>
      <w:bookmarkEnd w:id="43"/>
    </w:p>
    <w:p>
      <w:pPr>
        <w:pStyle w:val="Subsection"/>
      </w:pPr>
      <w:r>
        <w:tab/>
        <w:t>(1)</w:t>
      </w:r>
      <w:r>
        <w:tab/>
        <w:t xml:space="preserve">An administrator and a reporting officer appointed under section 9 may, at any time, (with any assistants, prison dogs and equipment that the administrator or reporting officer thinks are necessary) have free and unfettered access to a prison, vehicle, </w:t>
      </w:r>
      <w:r>
        <w:lastRenderedPageBreak/>
        <w:t>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for this subsection: a fine of $30 000.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No. 43 of 1999 s. 7; amended: No. 20 of 2020 s. 8.]</w:t>
      </w:r>
    </w:p>
    <w:p>
      <w:pPr>
        <w:pStyle w:val="Heading5"/>
      </w:pPr>
      <w:bookmarkStart w:id="44" w:name="_Toc103865439"/>
      <w:r>
        <w:rPr>
          <w:rStyle w:val="CharSectno"/>
        </w:rPr>
        <w:t>15G</w:t>
      </w:r>
      <w:r>
        <w:t>.</w:t>
      </w:r>
      <w:r>
        <w:tab/>
        <w:t>Annual reports and tabling of contracts</w:t>
      </w:r>
      <w:bookmarkEnd w:id="44"/>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keepNext/>
      </w:pPr>
      <w:r>
        <w:lastRenderedPageBreak/>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No. 43 of 1999 s. 7.]</w:t>
      </w:r>
    </w:p>
    <w:p>
      <w:pPr>
        <w:pStyle w:val="Heading5"/>
      </w:pPr>
      <w:bookmarkStart w:id="45" w:name="_Toc103865440"/>
      <w:r>
        <w:rPr>
          <w:rStyle w:val="CharSectno"/>
        </w:rPr>
        <w:t>15H</w:t>
      </w:r>
      <w:r>
        <w:t>.</w:t>
      </w:r>
      <w:r>
        <w:tab/>
        <w:t>No contracting out</w:t>
      </w:r>
      <w:bookmarkEnd w:id="45"/>
    </w:p>
    <w:p>
      <w:pPr>
        <w:pStyle w:val="Subsection"/>
      </w:pPr>
      <w:r>
        <w:tab/>
      </w:r>
      <w:r>
        <w:tab/>
        <w:t>The provisions of this Part apply despite anything to the contrary in the contract.</w:t>
      </w:r>
    </w:p>
    <w:p>
      <w:pPr>
        <w:pStyle w:val="Footnotesection"/>
      </w:pPr>
      <w:r>
        <w:tab/>
        <w:t>[Section 15H inserted: No. 43 of 1999 s. 7.]</w:t>
      </w:r>
    </w:p>
    <w:p>
      <w:pPr>
        <w:pStyle w:val="Heading3"/>
      </w:pPr>
      <w:bookmarkStart w:id="46" w:name="_Toc103862578"/>
      <w:bookmarkStart w:id="47" w:name="_Toc103862770"/>
      <w:bookmarkStart w:id="48" w:name="_Toc103865441"/>
      <w:r>
        <w:rPr>
          <w:rStyle w:val="CharDivNo"/>
        </w:rPr>
        <w:t>Division 3</w:t>
      </w:r>
      <w:r>
        <w:t xml:space="preserve"> — </w:t>
      </w:r>
      <w:r>
        <w:rPr>
          <w:rStyle w:val="CharDivText"/>
        </w:rPr>
        <w:t>Authorisation of contract workers to perform functions</w:t>
      </w:r>
      <w:bookmarkEnd w:id="46"/>
      <w:bookmarkEnd w:id="47"/>
      <w:bookmarkEnd w:id="48"/>
    </w:p>
    <w:p>
      <w:pPr>
        <w:pStyle w:val="Footnoteheading"/>
        <w:keepNext/>
        <w:tabs>
          <w:tab w:val="clear" w:pos="879"/>
          <w:tab w:val="left" w:pos="882"/>
        </w:tabs>
      </w:pPr>
      <w:r>
        <w:tab/>
        <w:t>[Heading inserted: No. 43 of 1999 s. 7.]</w:t>
      </w:r>
    </w:p>
    <w:p>
      <w:pPr>
        <w:pStyle w:val="Heading5"/>
      </w:pPr>
      <w:bookmarkStart w:id="49" w:name="_Toc103865442"/>
      <w:r>
        <w:rPr>
          <w:rStyle w:val="CharSectno"/>
        </w:rPr>
        <w:t>15I</w:t>
      </w:r>
      <w:r>
        <w:t>.</w:t>
      </w:r>
      <w:r>
        <w:tab/>
        <w:t>Contract workers’ functions</w:t>
      </w:r>
      <w:bookmarkEnd w:id="49"/>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lastRenderedPageBreak/>
        <w:tab/>
        <w:t>(3)</w:t>
      </w:r>
      <w:r>
        <w:tab/>
        <w:t>A contract worker is not to decide whether a prisoner may be detained in custody under section 32(1)(a).</w:t>
      </w:r>
    </w:p>
    <w:p>
      <w:pPr>
        <w:pStyle w:val="Footnotesection"/>
        <w:ind w:left="890" w:hanging="890"/>
      </w:pPr>
      <w:r>
        <w:tab/>
        <w:t>[Section 15I inserted: No. 43 of 1999 s. 7.]</w:t>
      </w:r>
    </w:p>
    <w:p>
      <w:pPr>
        <w:pStyle w:val="Heading5"/>
      </w:pPr>
      <w:bookmarkStart w:id="50" w:name="_Toc103865443"/>
      <w:r>
        <w:rPr>
          <w:rStyle w:val="CharSectno"/>
        </w:rPr>
        <w:t>15J</w:t>
      </w:r>
      <w:r>
        <w:t>.</w:t>
      </w:r>
      <w:r>
        <w:tab/>
        <w:t>Limitation on functions of contract workers</w:t>
      </w:r>
      <w:bookmarkEnd w:id="50"/>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THeadingNAm"/>
        <w:ind w:left="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8"/>
        <w:gridCol w:w="2438"/>
      </w:tblGrid>
      <w:tr>
        <w:trPr>
          <w:jc w:val="center"/>
        </w:trPr>
        <w:tc>
          <w:tcPr>
            <w:tcW w:w="2438" w:type="dxa"/>
            <w:noWrap/>
          </w:tcPr>
          <w:p>
            <w:pPr>
              <w:pStyle w:val="TableNAm"/>
            </w:pPr>
            <w:r>
              <w:t>s. 31(2)</w:t>
            </w:r>
          </w:p>
        </w:tc>
        <w:tc>
          <w:tcPr>
            <w:tcW w:w="2438" w:type="dxa"/>
            <w:noWrap/>
          </w:tcPr>
          <w:p>
            <w:pPr>
              <w:pStyle w:val="TableNAm"/>
            </w:pPr>
            <w:r>
              <w:t>s. 32(1)(b)</w:t>
            </w:r>
          </w:p>
        </w:tc>
      </w:tr>
      <w:tr>
        <w:trPr>
          <w:jc w:val="center"/>
        </w:trPr>
        <w:tc>
          <w:tcPr>
            <w:tcW w:w="2438" w:type="dxa"/>
            <w:noWrap/>
          </w:tcPr>
          <w:p>
            <w:pPr>
              <w:pStyle w:val="TableNAm"/>
            </w:pPr>
            <w:r>
              <w:t>s. 47(1) and (2)</w:t>
            </w:r>
          </w:p>
        </w:tc>
        <w:tc>
          <w:tcPr>
            <w:tcW w:w="2438" w:type="dxa"/>
            <w:noWrap/>
          </w:tcPr>
          <w:p>
            <w:pPr>
              <w:pStyle w:val="TableNAm"/>
            </w:pPr>
            <w:r>
              <w:t>s. 71(1) and (2)</w:t>
            </w:r>
          </w:p>
        </w:tc>
      </w:tr>
      <w:tr>
        <w:trPr>
          <w:jc w:val="center"/>
        </w:trPr>
        <w:tc>
          <w:tcPr>
            <w:tcW w:w="2438" w:type="dxa"/>
            <w:noWrap/>
          </w:tcPr>
          <w:p>
            <w:pPr>
              <w:pStyle w:val="TableNAm"/>
            </w:pPr>
            <w:r>
              <w:t>s. 73(1)(a)</w:t>
            </w:r>
          </w:p>
        </w:tc>
        <w:tc>
          <w:tcPr>
            <w:tcW w:w="2438" w:type="dxa"/>
            <w:noWrap/>
          </w:tcPr>
          <w:p>
            <w:pPr>
              <w:pStyle w:val="TableNAm"/>
            </w:pPr>
            <w:r>
              <w:t>s. 74(3)</w:t>
            </w:r>
          </w:p>
        </w:tc>
      </w:tr>
      <w:tr>
        <w:trPr>
          <w:jc w:val="center"/>
        </w:trPr>
        <w:tc>
          <w:tcPr>
            <w:tcW w:w="2438" w:type="dxa"/>
            <w:noWrap/>
          </w:tcPr>
          <w:p>
            <w:pPr>
              <w:pStyle w:val="TableNAm"/>
            </w:pPr>
            <w:r>
              <w:t>s. 75(1) and (2)</w:t>
            </w:r>
          </w:p>
        </w:tc>
        <w:tc>
          <w:tcPr>
            <w:tcW w:w="2438" w:type="dxa"/>
            <w:noWrap/>
          </w:tcPr>
          <w:p>
            <w:pPr>
              <w:pStyle w:val="TableNAm"/>
            </w:pPr>
            <w:r>
              <w:t>s. 76(1) and (2)</w:t>
            </w:r>
          </w:p>
        </w:tc>
      </w:tr>
      <w:tr>
        <w:trPr>
          <w:jc w:val="center"/>
        </w:trPr>
        <w:tc>
          <w:tcPr>
            <w:tcW w:w="2438" w:type="dxa"/>
            <w:noWrap/>
          </w:tcPr>
          <w:p>
            <w:pPr>
              <w:pStyle w:val="TableNAm"/>
            </w:pPr>
            <w:r>
              <w:t>s. 77(1) and (2)</w:t>
            </w:r>
          </w:p>
        </w:tc>
        <w:tc>
          <w:tcPr>
            <w:tcW w:w="2438" w:type="dxa"/>
            <w:noWrap/>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No. 43 of 1999 s. 7; amended: No. 20 of 2020 s. 9.]</w:t>
      </w:r>
    </w:p>
    <w:p>
      <w:pPr>
        <w:pStyle w:val="Heading5"/>
      </w:pPr>
      <w:bookmarkStart w:id="51" w:name="_Toc103865444"/>
      <w:r>
        <w:rPr>
          <w:rStyle w:val="CharSectno"/>
        </w:rPr>
        <w:t>15K</w:t>
      </w:r>
      <w:r>
        <w:t>.</w:t>
      </w:r>
      <w:r>
        <w:tab/>
        <w:t>Effect of authorisation</w:t>
      </w:r>
      <w:bookmarkEnd w:id="51"/>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keepNext/>
      </w:pPr>
      <w:r>
        <w:lastRenderedPageBreak/>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THeadingNAm"/>
        <w:ind w:right="1143"/>
        <w:rPr>
          <w:b w:val="0"/>
        </w:rPr>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No. 43 of 1999 s. 7.]</w:t>
      </w:r>
    </w:p>
    <w:p>
      <w:pPr>
        <w:pStyle w:val="Heading3"/>
        <w:keepNext w:val="0"/>
        <w:pageBreakBefore/>
        <w:spacing w:before="0"/>
      </w:pPr>
      <w:bookmarkStart w:id="52" w:name="_Toc103862582"/>
      <w:bookmarkStart w:id="53" w:name="_Toc103862774"/>
      <w:bookmarkStart w:id="54" w:name="_Toc103865445"/>
      <w:r>
        <w:rPr>
          <w:rStyle w:val="CharDivNo"/>
        </w:rPr>
        <w:lastRenderedPageBreak/>
        <w:t>Division 4</w:t>
      </w:r>
      <w:r>
        <w:t xml:space="preserve"> — </w:t>
      </w:r>
      <w:r>
        <w:rPr>
          <w:rStyle w:val="CharDivText"/>
        </w:rPr>
        <w:t>Vetting and control of contract workers in relation to high</w:t>
      </w:r>
      <w:r>
        <w:rPr>
          <w:rStyle w:val="CharDivText"/>
        </w:rPr>
        <w:noBreakHyphen/>
        <w:t>level security work</w:t>
      </w:r>
      <w:bookmarkEnd w:id="52"/>
      <w:bookmarkEnd w:id="53"/>
      <w:bookmarkEnd w:id="54"/>
    </w:p>
    <w:p>
      <w:pPr>
        <w:pStyle w:val="Footnoteheading"/>
        <w:keepNext/>
        <w:tabs>
          <w:tab w:val="clear" w:pos="879"/>
          <w:tab w:val="left" w:pos="882"/>
        </w:tabs>
      </w:pPr>
      <w:r>
        <w:tab/>
        <w:t>[Heading inserted: No. 43 of 1999 s. 7.]</w:t>
      </w:r>
    </w:p>
    <w:p>
      <w:pPr>
        <w:pStyle w:val="Heading5"/>
        <w:spacing w:before="180"/>
      </w:pPr>
      <w:bookmarkStart w:id="55" w:name="_Toc103865446"/>
      <w:r>
        <w:rPr>
          <w:rStyle w:val="CharSectno"/>
        </w:rPr>
        <w:t>15L</w:t>
      </w:r>
      <w:r>
        <w:t>.</w:t>
      </w:r>
      <w:r>
        <w:tab/>
        <w:t>Term used: offence for which the contract worker is convicted</w:t>
      </w:r>
      <w:bookmarkEnd w:id="55"/>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15L inserted: No. 43 of 1999 s. 7; amended: No. 8 of 2012 s. 163.]</w:t>
      </w:r>
    </w:p>
    <w:p>
      <w:pPr>
        <w:pStyle w:val="Heading5"/>
      </w:pPr>
      <w:bookmarkStart w:id="56" w:name="_Toc103865447"/>
      <w:r>
        <w:rPr>
          <w:rStyle w:val="CharSectno"/>
        </w:rPr>
        <w:t>15M</w:t>
      </w:r>
      <w:r>
        <w:t>.</w:t>
      </w:r>
      <w:r>
        <w:tab/>
        <w:t>High</w:t>
      </w:r>
      <w:r>
        <w:noBreakHyphen/>
        <w:t>level security work</w:t>
      </w:r>
      <w:bookmarkEnd w:id="56"/>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No. 43 of 1999 s. 7.]</w:t>
      </w:r>
    </w:p>
    <w:p>
      <w:pPr>
        <w:pStyle w:val="Heading5"/>
      </w:pPr>
      <w:bookmarkStart w:id="57" w:name="_Toc103865448"/>
      <w:r>
        <w:rPr>
          <w:rStyle w:val="CharSectno"/>
        </w:rPr>
        <w:lastRenderedPageBreak/>
        <w:t>15N</w:t>
      </w:r>
      <w:r>
        <w:t>.</w:t>
      </w:r>
      <w:r>
        <w:tab/>
        <w:t>Chief executive officer may declare other kinds of work to be high</w:t>
      </w:r>
      <w:r>
        <w:noBreakHyphen/>
        <w:t>level security work</w:t>
      </w:r>
      <w:bookmarkEnd w:id="57"/>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No. 43 of 1999 s. 7.]</w:t>
      </w:r>
    </w:p>
    <w:p>
      <w:pPr>
        <w:pStyle w:val="Heading5"/>
      </w:pPr>
      <w:bookmarkStart w:id="58" w:name="_Toc103865449"/>
      <w:r>
        <w:rPr>
          <w:rStyle w:val="CharSectno"/>
        </w:rPr>
        <w:t>15O</w:t>
      </w:r>
      <w:r>
        <w:t>.</w:t>
      </w:r>
      <w:r>
        <w:tab/>
        <w:t>Contract workers require permits to do high</w:t>
      </w:r>
      <w:r>
        <w:noBreakHyphen/>
        <w:t>level security work</w:t>
      </w:r>
      <w:bookmarkEnd w:id="58"/>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No. 43 of 1999 s. 7.]</w:t>
      </w:r>
    </w:p>
    <w:p>
      <w:pPr>
        <w:pStyle w:val="Heading5"/>
      </w:pPr>
      <w:bookmarkStart w:id="59" w:name="_Toc103865450"/>
      <w:r>
        <w:rPr>
          <w:rStyle w:val="CharSectno"/>
        </w:rPr>
        <w:t>15P</w:t>
      </w:r>
      <w:r>
        <w:t>.</w:t>
      </w:r>
      <w:r>
        <w:tab/>
        <w:t>Issue of permits to do high</w:t>
      </w:r>
      <w:r>
        <w:noBreakHyphen/>
        <w:t>level security work</w:t>
      </w:r>
      <w:bookmarkEnd w:id="59"/>
      <w:r>
        <w:t xml:space="preserve"> </w:t>
      </w:r>
    </w:p>
    <w:p>
      <w:pPr>
        <w:pStyle w:val="Subsection"/>
      </w:pPr>
      <w:r>
        <w:tab/>
        <w:t>(1)</w:t>
      </w:r>
      <w:r>
        <w:tab/>
        <w:t xml:space="preserve">On application by a contract worker in a manner approved by the chief executive officer, the chief executive officer may issue </w:t>
      </w:r>
      <w:r>
        <w:lastRenderedPageBreak/>
        <w:t>the contract worker with a permit to do high</w:t>
      </w:r>
      <w:r>
        <w:noBreakHyphen/>
        <w:t>level security work.</w:t>
      </w:r>
    </w:p>
    <w:p>
      <w:pPr>
        <w:pStyle w:val="Subsection"/>
        <w:spacing w:before="120"/>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chief executive officer thinks fit.</w:t>
      </w:r>
    </w:p>
    <w:p>
      <w:pPr>
        <w:pStyle w:val="Subsection"/>
        <w:spacing w:before="120"/>
      </w:pPr>
      <w:r>
        <w:tab/>
        <w:t>(4)</w:t>
      </w:r>
      <w:r>
        <w:tab/>
        <w:t>A permit is not transferable.</w:t>
      </w:r>
    </w:p>
    <w:p>
      <w:pPr>
        <w:pStyle w:val="Footnotesection"/>
      </w:pPr>
      <w:r>
        <w:tab/>
        <w:t>[Section 15P inserted: No. 43 of 1999 s. 7.]</w:t>
      </w:r>
    </w:p>
    <w:p>
      <w:pPr>
        <w:pStyle w:val="Heading5"/>
        <w:spacing w:before="180"/>
      </w:pPr>
      <w:bookmarkStart w:id="60" w:name="_Toc103865451"/>
      <w:r>
        <w:rPr>
          <w:rStyle w:val="CharSectno"/>
        </w:rPr>
        <w:t>15Q</w:t>
      </w:r>
      <w:r>
        <w:t>.</w:t>
      </w:r>
      <w:r>
        <w:tab/>
        <w:t>Information about applicants for permits</w:t>
      </w:r>
      <w:bookmarkEnd w:id="60"/>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tab/>
        <w:t>Penalty for this subsection: imprisonment for 3 years.</w:t>
      </w:r>
    </w:p>
    <w:p>
      <w:pPr>
        <w:pStyle w:val="Subsection"/>
        <w:spacing w:before="120"/>
      </w:pPr>
      <w:r>
        <w:lastRenderedPageBreak/>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for this subsection: imprisonment for 3 years.</w:t>
      </w:r>
    </w:p>
    <w:p>
      <w:pPr>
        <w:pStyle w:val="Footnotesection"/>
      </w:pPr>
      <w:r>
        <w:tab/>
        <w:t>[Section 15Q inserted: No. 43 of 1999 s. 7; amended: No. 20 of 2020 s. 10.]</w:t>
      </w:r>
    </w:p>
    <w:p>
      <w:pPr>
        <w:pStyle w:val="Heading5"/>
        <w:keepNext w:val="0"/>
        <w:keepLines w:val="0"/>
        <w:spacing w:before="180"/>
      </w:pPr>
      <w:bookmarkStart w:id="61" w:name="_Toc103865452"/>
      <w:r>
        <w:rPr>
          <w:rStyle w:val="CharSectno"/>
        </w:rPr>
        <w:t>15R</w:t>
      </w:r>
      <w:r>
        <w:t>.</w:t>
      </w:r>
      <w:r>
        <w:tab/>
        <w:t>Taking of fingerprints and palmprints</w:t>
      </w:r>
      <w:bookmarkEnd w:id="61"/>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No. 43 of 1999 s. 7.]</w:t>
      </w:r>
    </w:p>
    <w:p>
      <w:pPr>
        <w:pStyle w:val="Heading5"/>
      </w:pPr>
      <w:bookmarkStart w:id="62" w:name="_Toc103865453"/>
      <w:r>
        <w:rPr>
          <w:rStyle w:val="CharSectno"/>
        </w:rPr>
        <w:t>15S</w:t>
      </w:r>
      <w:r>
        <w:t>.</w:t>
      </w:r>
      <w:r>
        <w:tab/>
        <w:t>Refusal to issue permit</w:t>
      </w:r>
      <w:bookmarkEnd w:id="62"/>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lastRenderedPageBreak/>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No. 43 of 1999 s. 7.]</w:t>
      </w:r>
    </w:p>
    <w:p>
      <w:pPr>
        <w:pStyle w:val="Heading5"/>
      </w:pPr>
      <w:bookmarkStart w:id="63" w:name="_Toc103865454"/>
      <w:r>
        <w:rPr>
          <w:rStyle w:val="CharSectno"/>
        </w:rPr>
        <w:t>15T</w:t>
      </w:r>
      <w:r>
        <w:t>.</w:t>
      </w:r>
      <w:r>
        <w:tab/>
        <w:t>Determining suitability of contract workers to keep holding permits</w:t>
      </w:r>
      <w:bookmarkEnd w:id="63"/>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subsections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lastRenderedPageBreak/>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No. 43 of 1999 s. 7.]</w:t>
      </w:r>
    </w:p>
    <w:p>
      <w:pPr>
        <w:pStyle w:val="Heading5"/>
        <w:pageBreakBefore/>
        <w:spacing w:before="0"/>
      </w:pPr>
      <w:bookmarkStart w:id="64" w:name="_Toc103865455"/>
      <w:r>
        <w:rPr>
          <w:rStyle w:val="CharSectno"/>
        </w:rPr>
        <w:lastRenderedPageBreak/>
        <w:t>15U</w:t>
      </w:r>
      <w:r>
        <w:t>.</w:t>
      </w:r>
      <w:r>
        <w:tab/>
        <w:t>Suspension or revocation of permits</w:t>
      </w:r>
      <w:bookmarkEnd w:id="64"/>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No. 43 of 1999 s. 7.]</w:t>
      </w:r>
    </w:p>
    <w:p>
      <w:pPr>
        <w:pStyle w:val="Heading5"/>
        <w:spacing w:before="180"/>
      </w:pPr>
      <w:bookmarkStart w:id="65" w:name="_Toc103865456"/>
      <w:r>
        <w:rPr>
          <w:rStyle w:val="CharSectno"/>
        </w:rPr>
        <w:lastRenderedPageBreak/>
        <w:t>15V</w:t>
      </w:r>
      <w:r>
        <w:t>.</w:t>
      </w:r>
      <w:r>
        <w:tab/>
        <w:t>Gazettal of permit details</w:t>
      </w:r>
      <w:bookmarkEnd w:id="65"/>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No. 43 of 1999 s. 7.]</w:t>
      </w:r>
    </w:p>
    <w:p>
      <w:pPr>
        <w:pStyle w:val="Heading3"/>
      </w:pPr>
      <w:bookmarkStart w:id="66" w:name="_Toc103862594"/>
      <w:bookmarkStart w:id="67" w:name="_Toc103862786"/>
      <w:bookmarkStart w:id="68" w:name="_Toc103865457"/>
      <w:r>
        <w:rPr>
          <w:rStyle w:val="CharDivNo"/>
        </w:rPr>
        <w:t>Division 5</w:t>
      </w:r>
      <w:r>
        <w:t xml:space="preserve"> — </w:t>
      </w:r>
      <w:r>
        <w:rPr>
          <w:rStyle w:val="CharDivText"/>
        </w:rPr>
        <w:t>Intervention in, and termination of, contracts</w:t>
      </w:r>
      <w:bookmarkEnd w:id="66"/>
      <w:bookmarkEnd w:id="67"/>
      <w:bookmarkEnd w:id="68"/>
    </w:p>
    <w:p>
      <w:pPr>
        <w:pStyle w:val="Footnoteheading"/>
        <w:keepNext/>
        <w:tabs>
          <w:tab w:val="clear" w:pos="879"/>
          <w:tab w:val="left" w:pos="882"/>
        </w:tabs>
      </w:pPr>
      <w:r>
        <w:tab/>
        <w:t>[Heading inserted: No. 43 of 1999 s. 7.]</w:t>
      </w:r>
    </w:p>
    <w:p>
      <w:pPr>
        <w:pStyle w:val="Heading5"/>
        <w:spacing w:before="180"/>
      </w:pPr>
      <w:bookmarkStart w:id="69" w:name="_Toc103865458"/>
      <w:r>
        <w:rPr>
          <w:rStyle w:val="CharSectno"/>
        </w:rPr>
        <w:t>15W</w:t>
      </w:r>
      <w:r>
        <w:t>.</w:t>
      </w:r>
      <w:r>
        <w:tab/>
        <w:t>Intervention in contracts</w:t>
      </w:r>
      <w:bookmarkEnd w:id="69"/>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No. 43 of 1999 s. 7.]</w:t>
      </w:r>
    </w:p>
    <w:p>
      <w:pPr>
        <w:pStyle w:val="Heading5"/>
      </w:pPr>
      <w:bookmarkStart w:id="70" w:name="_Toc103865459"/>
      <w:r>
        <w:rPr>
          <w:rStyle w:val="CharSectno"/>
        </w:rPr>
        <w:t>15X</w:t>
      </w:r>
      <w:r>
        <w:t>.</w:t>
      </w:r>
      <w:r>
        <w:tab/>
        <w:t>Termination or suspension of contracts</w:t>
      </w:r>
      <w:bookmarkEnd w:id="70"/>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lastRenderedPageBreak/>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No. 43 of 1999 s. 7.]</w:t>
      </w:r>
    </w:p>
    <w:p>
      <w:pPr>
        <w:pStyle w:val="Heading5"/>
        <w:keepLines w:val="0"/>
        <w:spacing w:before="180"/>
      </w:pPr>
      <w:bookmarkStart w:id="71" w:name="_Toc103865460"/>
      <w:r>
        <w:rPr>
          <w:rStyle w:val="CharSectno"/>
        </w:rPr>
        <w:t>15Y</w:t>
      </w:r>
      <w:r>
        <w:t>.</w:t>
      </w:r>
      <w:r>
        <w:tab/>
        <w:t>Administrator where intervention in contract</w:t>
      </w:r>
      <w:bookmarkEnd w:id="71"/>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spacing w:before="120"/>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keepNext/>
        <w:keepLines/>
      </w:pPr>
      <w:r>
        <w:lastRenderedPageBreak/>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No. 43 of 1999 s. 7.]</w:t>
      </w:r>
    </w:p>
    <w:p>
      <w:pPr>
        <w:pStyle w:val="Heading5"/>
      </w:pPr>
      <w:bookmarkStart w:id="72" w:name="_Toc103865461"/>
      <w:r>
        <w:rPr>
          <w:rStyle w:val="CharSectno"/>
        </w:rPr>
        <w:t>15Z</w:t>
      </w:r>
      <w:r>
        <w:t>.</w:t>
      </w:r>
      <w:r>
        <w:tab/>
        <w:t>Administrator where termination or suspension of contract</w:t>
      </w:r>
      <w:bookmarkEnd w:id="72"/>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No. 43 of 1999 s. 7.]</w:t>
      </w:r>
    </w:p>
    <w:p>
      <w:pPr>
        <w:pStyle w:val="Heading5"/>
      </w:pPr>
      <w:bookmarkStart w:id="73" w:name="_Toc103865462"/>
      <w:r>
        <w:rPr>
          <w:rStyle w:val="CharSectno"/>
        </w:rPr>
        <w:lastRenderedPageBreak/>
        <w:t>15ZA</w:t>
      </w:r>
      <w:r>
        <w:t>.</w:t>
      </w:r>
      <w:r>
        <w:tab/>
        <w:t>Administrator’s functions</w:t>
      </w:r>
      <w:bookmarkEnd w:id="73"/>
    </w:p>
    <w:p>
      <w:pPr>
        <w:pStyle w:val="Subsection"/>
        <w:keepNext/>
        <w:keepLines/>
      </w:pPr>
      <w:r>
        <w:tab/>
      </w:r>
      <w:r>
        <w:tab/>
        <w:t>An administrator may, for the purposes of performing his or her functions —</w:t>
      </w:r>
    </w:p>
    <w:p>
      <w:pPr>
        <w:pStyle w:val="Indenta"/>
        <w:keepNext/>
        <w:keepLines/>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No. 43 of 1999 s. 7.]</w:t>
      </w:r>
    </w:p>
    <w:p>
      <w:pPr>
        <w:pStyle w:val="Heading5"/>
      </w:pPr>
      <w:bookmarkStart w:id="74" w:name="_Toc103865463"/>
      <w:r>
        <w:rPr>
          <w:rStyle w:val="CharSectno"/>
        </w:rPr>
        <w:t>15ZB</w:t>
      </w:r>
      <w:r>
        <w:t>.</w:t>
      </w:r>
      <w:r>
        <w:tab/>
        <w:t>Compliance with administrator’s directions</w:t>
      </w:r>
      <w:bookmarkEnd w:id="74"/>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keepNext/>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for this subsection: a fine of $80 000.</w:t>
      </w:r>
    </w:p>
    <w:p>
      <w:pPr>
        <w:pStyle w:val="Subsection"/>
        <w:keepNext/>
        <w:keepLines/>
      </w:pPr>
      <w:r>
        <w:lastRenderedPageBreak/>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for this subsection: a fine of $8 000.</w:t>
      </w:r>
    </w:p>
    <w:p>
      <w:pPr>
        <w:pStyle w:val="Footnotesection"/>
      </w:pPr>
      <w:r>
        <w:tab/>
        <w:t>[Section 15ZB inserted: No. 43 of 1999 s. 7; amended: No. 20 of 2020 s. 11.]</w:t>
      </w:r>
    </w:p>
    <w:p>
      <w:pPr>
        <w:pStyle w:val="Heading5"/>
      </w:pPr>
      <w:bookmarkStart w:id="75" w:name="_Toc103865464"/>
      <w:r>
        <w:rPr>
          <w:rStyle w:val="CharSectno"/>
        </w:rPr>
        <w:t>15ZC</w:t>
      </w:r>
      <w:r>
        <w:t>.</w:t>
      </w:r>
      <w:r>
        <w:tab/>
        <w:t>Requisitioning property on intervention in, or termination of, contract</w:t>
      </w:r>
      <w:bookmarkEnd w:id="75"/>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No. 43 of 1999 s. 7.]</w:t>
      </w:r>
    </w:p>
    <w:p>
      <w:pPr>
        <w:pStyle w:val="Heading2"/>
      </w:pPr>
      <w:bookmarkStart w:id="76" w:name="_Toc103862602"/>
      <w:bookmarkStart w:id="77" w:name="_Toc103862794"/>
      <w:bookmarkStart w:id="78" w:name="_Toc103865465"/>
      <w:r>
        <w:rPr>
          <w:rStyle w:val="CharPartNo"/>
        </w:rPr>
        <w:lastRenderedPageBreak/>
        <w:t>Part IV</w:t>
      </w:r>
      <w:r>
        <w:rPr>
          <w:rStyle w:val="CharDivNo"/>
        </w:rPr>
        <w:t> </w:t>
      </w:r>
      <w:r>
        <w:t>—</w:t>
      </w:r>
      <w:r>
        <w:rPr>
          <w:rStyle w:val="CharDivText"/>
        </w:rPr>
        <w:t> </w:t>
      </w:r>
      <w:r>
        <w:rPr>
          <w:rStyle w:val="CharPartText"/>
        </w:rPr>
        <w:t>Custody, removal and release of prisoners</w:t>
      </w:r>
      <w:bookmarkEnd w:id="76"/>
      <w:bookmarkEnd w:id="77"/>
      <w:bookmarkEnd w:id="78"/>
      <w:r>
        <w:rPr>
          <w:rStyle w:val="CharPartText"/>
        </w:rPr>
        <w:t xml:space="preserve"> </w:t>
      </w:r>
    </w:p>
    <w:p>
      <w:pPr>
        <w:pStyle w:val="Heading5"/>
        <w:spacing w:before="180"/>
        <w:rPr>
          <w:snapToGrid w:val="0"/>
        </w:rPr>
      </w:pPr>
      <w:bookmarkStart w:id="79" w:name="_Toc103865466"/>
      <w:r>
        <w:rPr>
          <w:rStyle w:val="CharSectno"/>
        </w:rPr>
        <w:t>16</w:t>
      </w:r>
      <w:r>
        <w:rPr>
          <w:snapToGrid w:val="0"/>
        </w:rPr>
        <w:t>.</w:t>
      </w:r>
      <w:r>
        <w:rPr>
          <w:snapToGrid w:val="0"/>
        </w:rPr>
        <w:tab/>
        <w:t>Prisoners in custody of chief executive officer</w:t>
      </w:r>
      <w:bookmarkEnd w:id="79"/>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lastRenderedPageBreak/>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No. 47 of 1987 s. 11; No. 113 of 1987 s. 32; No. 47 of 1999 s. 35.]</w:t>
      </w:r>
    </w:p>
    <w:p>
      <w:pPr>
        <w:pStyle w:val="Heading5"/>
        <w:rPr>
          <w:snapToGrid w:val="0"/>
        </w:rPr>
      </w:pPr>
      <w:bookmarkStart w:id="80" w:name="_Toc103865467"/>
      <w:r>
        <w:rPr>
          <w:rStyle w:val="CharSectno"/>
        </w:rPr>
        <w:t>17</w:t>
      </w:r>
      <w:r>
        <w:rPr>
          <w:snapToGrid w:val="0"/>
        </w:rPr>
        <w:t>.</w:t>
      </w:r>
      <w:r>
        <w:rPr>
          <w:snapToGrid w:val="0"/>
        </w:rPr>
        <w:tab/>
        <w:t>Reckoning of sentence</w:t>
      </w:r>
      <w:bookmarkEnd w:id="80"/>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81" w:name="_Toc103865468"/>
      <w:r>
        <w:rPr>
          <w:rStyle w:val="CharSectno"/>
        </w:rPr>
        <w:t>18</w:t>
      </w:r>
      <w:r>
        <w:rPr>
          <w:snapToGrid w:val="0"/>
        </w:rPr>
        <w:t>.</w:t>
      </w:r>
      <w:r>
        <w:rPr>
          <w:snapToGrid w:val="0"/>
        </w:rPr>
        <w:tab/>
        <w:t>Conveyance of prisoners for trial etc.</w:t>
      </w:r>
      <w:bookmarkEnd w:id="81"/>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82" w:name="_Toc103865469"/>
      <w:r>
        <w:rPr>
          <w:rStyle w:val="CharSectno"/>
        </w:rPr>
        <w:t>19</w:t>
      </w:r>
      <w:r>
        <w:rPr>
          <w:snapToGrid w:val="0"/>
        </w:rPr>
        <w:t>.</w:t>
      </w:r>
      <w:r>
        <w:rPr>
          <w:snapToGrid w:val="0"/>
        </w:rPr>
        <w:tab/>
        <w:t>Warrants of commitment</w:t>
      </w:r>
      <w:bookmarkEnd w:id="82"/>
      <w:r>
        <w:rPr>
          <w:snapToGrid w:val="0"/>
        </w:rPr>
        <w:t xml:space="preserve"> </w:t>
      </w:r>
    </w:p>
    <w:p>
      <w:pPr>
        <w:pStyle w:val="Subsection"/>
        <w:spacing w:before="120"/>
        <w:rPr>
          <w:snapToGrid w:val="0"/>
        </w:rPr>
      </w:pPr>
      <w:r>
        <w:rPr>
          <w:snapToGrid w:val="0"/>
        </w:rPr>
        <w:tab/>
        <w:t>(1)</w:t>
      </w:r>
      <w:r>
        <w:rPr>
          <w:snapToGrid w:val="0"/>
        </w:rPr>
        <w:tab/>
        <w:t xml:space="preserve">Notwithstanding any law or any rule of practice to the contrary, it shall not be necessary in a warrant or other instrument under which a prisoner is committed to prison to specify a particular prison in which the prisoner is to be confined nor to address the </w:t>
      </w:r>
      <w:r>
        <w:rPr>
          <w:snapToGrid w:val="0"/>
        </w:rPr>
        <w:lastRenderedPageBreak/>
        <w:t>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No. 47 of 1987 s. 11; No. 113 of 1987 s. 32.]</w:t>
      </w:r>
    </w:p>
    <w:p>
      <w:pPr>
        <w:pStyle w:val="Heading5"/>
        <w:spacing w:before="180"/>
        <w:rPr>
          <w:snapToGrid w:val="0"/>
        </w:rPr>
      </w:pPr>
      <w:bookmarkStart w:id="83" w:name="_Toc103865470"/>
      <w:r>
        <w:rPr>
          <w:rStyle w:val="CharSectno"/>
        </w:rPr>
        <w:t>20</w:t>
      </w:r>
      <w:r>
        <w:rPr>
          <w:snapToGrid w:val="0"/>
        </w:rPr>
        <w:t>.</w:t>
      </w:r>
      <w:r>
        <w:rPr>
          <w:snapToGrid w:val="0"/>
        </w:rPr>
        <w:tab/>
        <w:t>Proof of imprisonment</w:t>
      </w:r>
      <w:bookmarkEnd w:id="83"/>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No. 47 of 1987 s. 11; No. 113 of 1987 s. 32.]</w:t>
      </w:r>
    </w:p>
    <w:p>
      <w:pPr>
        <w:pStyle w:val="Ednotesection"/>
      </w:pPr>
      <w:r>
        <w:lastRenderedPageBreak/>
        <w:t>[</w:t>
      </w:r>
      <w:r>
        <w:rPr>
          <w:b/>
          <w:bCs/>
        </w:rPr>
        <w:t>21, 22.</w:t>
      </w:r>
      <w:r>
        <w:tab/>
        <w:t>Deleted: No. 65 of 2006 s. 13.]</w:t>
      </w:r>
    </w:p>
    <w:p>
      <w:pPr>
        <w:pStyle w:val="Heading5"/>
      </w:pPr>
      <w:bookmarkStart w:id="84" w:name="_Toc103865471"/>
      <w:r>
        <w:rPr>
          <w:rStyle w:val="CharSectno"/>
        </w:rPr>
        <w:t>23</w:t>
      </w:r>
      <w:r>
        <w:t>.</w:t>
      </w:r>
      <w:r>
        <w:tab/>
        <w:t>Prisoner assigned to external facility in lawful custody</w:t>
      </w:r>
      <w:bookmarkEnd w:id="84"/>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No. 65 of 2006 s. 14.]</w:t>
      </w:r>
    </w:p>
    <w:p>
      <w:pPr>
        <w:pStyle w:val="Heading5"/>
      </w:pPr>
      <w:bookmarkStart w:id="85" w:name="_Toc103865472"/>
      <w:r>
        <w:rPr>
          <w:rStyle w:val="CharSectno"/>
        </w:rPr>
        <w:t>24</w:t>
      </w:r>
      <w:r>
        <w:t>.</w:t>
      </w:r>
      <w:r>
        <w:tab/>
        <w:t>Prisoner absent under permit in lawful custody</w:t>
      </w:r>
      <w:bookmarkEnd w:id="85"/>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No. 65 of 2006 s. 14.]</w:t>
      </w:r>
    </w:p>
    <w:p>
      <w:pPr>
        <w:pStyle w:val="Heading5"/>
      </w:pPr>
      <w:bookmarkStart w:id="86" w:name="_Toc103865473"/>
      <w:r>
        <w:rPr>
          <w:rStyle w:val="CharSectno"/>
        </w:rPr>
        <w:t>25</w:t>
      </w:r>
      <w:r>
        <w:t>.</w:t>
      </w:r>
      <w:r>
        <w:tab/>
        <w:t xml:space="preserve">Prisoner attending </w:t>
      </w:r>
      <w:r>
        <w:rPr>
          <w:snapToGrid w:val="0"/>
        </w:rPr>
        <w:t>legal or investigative</w:t>
      </w:r>
      <w:r>
        <w:t xml:space="preserve"> proceedings in lawful custody</w:t>
      </w:r>
      <w:bookmarkEnd w:id="86"/>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No. 65 of 2006 s. 14.]</w:t>
      </w:r>
    </w:p>
    <w:p>
      <w:pPr>
        <w:pStyle w:val="Heading5"/>
        <w:rPr>
          <w:snapToGrid w:val="0"/>
        </w:rPr>
      </w:pPr>
      <w:bookmarkStart w:id="87" w:name="_Toc103865474"/>
      <w:r>
        <w:rPr>
          <w:rStyle w:val="CharSectno"/>
        </w:rPr>
        <w:t>26</w:t>
      </w:r>
      <w:r>
        <w:rPr>
          <w:snapToGrid w:val="0"/>
        </w:rPr>
        <w:t>.</w:t>
      </w:r>
      <w:r>
        <w:rPr>
          <w:snapToGrid w:val="0"/>
        </w:rPr>
        <w:tab/>
        <w:t>Removal of prisoner to another prison</w:t>
      </w:r>
      <w:bookmarkEnd w:id="87"/>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lastRenderedPageBreak/>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vertAlign w:val="superscript"/>
        </w:rPr>
        <w:t> 1</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No. 65 of 2006 s. 15.]</w:t>
      </w:r>
    </w:p>
    <w:p>
      <w:pPr>
        <w:pStyle w:val="Ednotesection"/>
        <w:spacing w:before="200"/>
      </w:pPr>
      <w:r>
        <w:t>[</w:t>
      </w:r>
      <w:r>
        <w:rPr>
          <w:b/>
        </w:rPr>
        <w:t>29, 30.</w:t>
      </w:r>
      <w:r>
        <w:tab/>
        <w:t xml:space="preserve">Deleted: No. 78 of 1995 s. 110.] </w:t>
      </w:r>
    </w:p>
    <w:p>
      <w:pPr>
        <w:pStyle w:val="Heading5"/>
        <w:spacing w:before="200"/>
        <w:rPr>
          <w:snapToGrid w:val="0"/>
        </w:rPr>
      </w:pPr>
      <w:bookmarkStart w:id="88" w:name="_Toc103865475"/>
      <w:r>
        <w:rPr>
          <w:rStyle w:val="CharSectno"/>
        </w:rPr>
        <w:lastRenderedPageBreak/>
        <w:t>31</w:t>
      </w:r>
      <w:r>
        <w:rPr>
          <w:snapToGrid w:val="0"/>
        </w:rPr>
        <w:t>.</w:t>
      </w:r>
      <w:r>
        <w:rPr>
          <w:snapToGrid w:val="0"/>
        </w:rPr>
        <w:tab/>
        <w:t>Chief executive officer and superintendent’s powers of early discharge</w:t>
      </w:r>
      <w:bookmarkEnd w:id="88"/>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No. 47 of 1987 s. 11; No. 113 of 1987 s. 32; No. 24 of 2003 s. 4.]</w:t>
      </w:r>
    </w:p>
    <w:p>
      <w:pPr>
        <w:pStyle w:val="Heading5"/>
        <w:rPr>
          <w:snapToGrid w:val="0"/>
        </w:rPr>
      </w:pPr>
      <w:bookmarkStart w:id="89" w:name="_Toc103865476"/>
      <w:r>
        <w:rPr>
          <w:rStyle w:val="CharSectno"/>
        </w:rPr>
        <w:t>32</w:t>
      </w:r>
      <w:r>
        <w:rPr>
          <w:snapToGrid w:val="0"/>
        </w:rPr>
        <w:t>.</w:t>
      </w:r>
      <w:r>
        <w:rPr>
          <w:snapToGrid w:val="0"/>
        </w:rPr>
        <w:tab/>
        <w:t>Prison offences by prisoners due for release</w:t>
      </w:r>
      <w:bookmarkEnd w:id="89"/>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w:t>
      </w:r>
      <w:r>
        <w:rPr>
          <w:snapToGrid w:val="0"/>
        </w:rPr>
        <w:lastRenderedPageBreak/>
        <w:t xml:space="preserve">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No. 84 of 2004 s. 80.] </w:t>
      </w:r>
    </w:p>
    <w:p>
      <w:pPr>
        <w:pStyle w:val="Heading5"/>
        <w:rPr>
          <w:snapToGrid w:val="0"/>
        </w:rPr>
      </w:pPr>
      <w:bookmarkStart w:id="90" w:name="_Toc103865477"/>
      <w:r>
        <w:rPr>
          <w:rStyle w:val="CharSectno"/>
        </w:rPr>
        <w:t>33</w:t>
      </w:r>
      <w:r>
        <w:rPr>
          <w:snapToGrid w:val="0"/>
        </w:rPr>
        <w:t>.</w:t>
      </w:r>
      <w:r>
        <w:rPr>
          <w:snapToGrid w:val="0"/>
        </w:rPr>
        <w:tab/>
        <w:t>Provision of fare home on release</w:t>
      </w:r>
      <w:bookmarkEnd w:id="90"/>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t>[</w:t>
      </w:r>
      <w:r>
        <w:rPr>
          <w:b/>
        </w:rPr>
        <w:t>34.</w:t>
      </w:r>
      <w:r>
        <w:tab/>
        <w:t xml:space="preserve">Deleted: No. 2 of 1996 s. 61.] </w:t>
      </w:r>
    </w:p>
    <w:p>
      <w:pPr>
        <w:pStyle w:val="Heading2"/>
      </w:pPr>
      <w:bookmarkStart w:id="91" w:name="_Toc103862615"/>
      <w:bookmarkStart w:id="92" w:name="_Toc103862807"/>
      <w:bookmarkStart w:id="93" w:name="_Toc103865478"/>
      <w:r>
        <w:rPr>
          <w:rStyle w:val="CharPartNo"/>
        </w:rPr>
        <w:lastRenderedPageBreak/>
        <w:t>Part V</w:t>
      </w:r>
      <w:r>
        <w:rPr>
          <w:rStyle w:val="CharDivNo"/>
        </w:rPr>
        <w:t> </w:t>
      </w:r>
      <w:r>
        <w:t>—</w:t>
      </w:r>
      <w:r>
        <w:rPr>
          <w:rStyle w:val="CharDivText"/>
        </w:rPr>
        <w:t> </w:t>
      </w:r>
      <w:r>
        <w:rPr>
          <w:rStyle w:val="CharPartText"/>
        </w:rPr>
        <w:t>Management, control and security of prisons</w:t>
      </w:r>
      <w:bookmarkEnd w:id="91"/>
      <w:bookmarkEnd w:id="92"/>
      <w:bookmarkEnd w:id="93"/>
      <w:r>
        <w:rPr>
          <w:rStyle w:val="CharPartText"/>
        </w:rPr>
        <w:t xml:space="preserve"> </w:t>
      </w:r>
    </w:p>
    <w:p>
      <w:pPr>
        <w:pStyle w:val="Heading5"/>
        <w:rPr>
          <w:snapToGrid w:val="0"/>
        </w:rPr>
      </w:pPr>
      <w:bookmarkStart w:id="94" w:name="_Toc103865479"/>
      <w:r>
        <w:rPr>
          <w:rStyle w:val="CharSectno"/>
        </w:rPr>
        <w:t>35</w:t>
      </w:r>
      <w:r>
        <w:rPr>
          <w:snapToGrid w:val="0"/>
        </w:rPr>
        <w:t>.</w:t>
      </w:r>
      <w:r>
        <w:rPr>
          <w:snapToGrid w:val="0"/>
        </w:rPr>
        <w:tab/>
        <w:t>Chief executive officer may make rules</w:t>
      </w:r>
      <w:bookmarkEnd w:id="94"/>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No. 47 of 1987 s. 9 and 11; No. 113 of 1987 s. 32; No. 31 of 1993 s. 59; No. 65 of 2006 s. 16.] </w:t>
      </w:r>
    </w:p>
    <w:p>
      <w:pPr>
        <w:pStyle w:val="Heading5"/>
        <w:rPr>
          <w:snapToGrid w:val="0"/>
        </w:rPr>
      </w:pPr>
      <w:bookmarkStart w:id="95" w:name="_Toc103865480"/>
      <w:r>
        <w:rPr>
          <w:rStyle w:val="CharSectno"/>
        </w:rPr>
        <w:lastRenderedPageBreak/>
        <w:t>36</w:t>
      </w:r>
      <w:r>
        <w:rPr>
          <w:snapToGrid w:val="0"/>
        </w:rPr>
        <w:t>.</w:t>
      </w:r>
      <w:r>
        <w:rPr>
          <w:snapToGrid w:val="0"/>
        </w:rPr>
        <w:tab/>
        <w:t>Superintendents of prisons</w:t>
      </w:r>
      <w:bookmarkEnd w:id="95"/>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No. 47 of 1987 s. 11; No. 113 of 1987 s. 32.]</w:t>
      </w:r>
    </w:p>
    <w:p>
      <w:pPr>
        <w:pStyle w:val="Heading5"/>
        <w:rPr>
          <w:snapToGrid w:val="0"/>
        </w:rPr>
      </w:pPr>
      <w:bookmarkStart w:id="96" w:name="_Toc103865481"/>
      <w:r>
        <w:rPr>
          <w:rStyle w:val="CharSectno"/>
        </w:rPr>
        <w:t>37</w:t>
      </w:r>
      <w:r>
        <w:rPr>
          <w:snapToGrid w:val="0"/>
        </w:rPr>
        <w:t>.</w:t>
      </w:r>
      <w:r>
        <w:rPr>
          <w:snapToGrid w:val="0"/>
        </w:rPr>
        <w:tab/>
        <w:t>Superintendent may issue standing orders</w:t>
      </w:r>
      <w:bookmarkEnd w:id="96"/>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keepLines/>
        <w:rPr>
          <w:snapToGrid w:val="0"/>
        </w:rPr>
      </w:pPr>
      <w:r>
        <w:rPr>
          <w:snapToGrid w:val="0"/>
        </w:rPr>
        <w:lastRenderedPageBreak/>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No. 47 of 1987 s. 11; No. 113 of 1987 s. 32.] </w:t>
      </w:r>
    </w:p>
    <w:p>
      <w:pPr>
        <w:pStyle w:val="Ednotesection"/>
      </w:pPr>
      <w:r>
        <w:t>[</w:t>
      </w:r>
      <w:r>
        <w:rPr>
          <w:b/>
          <w:bCs/>
        </w:rPr>
        <w:t>38</w:t>
      </w:r>
      <w:r>
        <w:rPr>
          <w:b/>
          <w:bCs/>
        </w:rPr>
        <w:noBreakHyphen/>
        <w:t>40.</w:t>
      </w:r>
      <w:r>
        <w:tab/>
        <w:t>Deleted: No. 65 of 2006 s. 17.]</w:t>
      </w:r>
    </w:p>
    <w:p>
      <w:pPr>
        <w:pStyle w:val="Heading5"/>
        <w:rPr>
          <w:snapToGrid w:val="0"/>
        </w:rPr>
      </w:pPr>
      <w:bookmarkStart w:id="97" w:name="_Toc103865482"/>
      <w:r>
        <w:rPr>
          <w:rStyle w:val="CharSectno"/>
        </w:rPr>
        <w:t>41</w:t>
      </w:r>
      <w:r>
        <w:rPr>
          <w:snapToGrid w:val="0"/>
        </w:rPr>
        <w:t>.</w:t>
      </w:r>
      <w:r>
        <w:rPr>
          <w:snapToGrid w:val="0"/>
        </w:rPr>
        <w:tab/>
        <w:t>Search of prisoners and taking of things found</w:t>
      </w:r>
      <w:bookmarkEnd w:id="97"/>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lastRenderedPageBreak/>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No. 47 of 1987 s. 11; No. 113 of 1987 s. 32; No. 43 of 1999 s. 11.] </w:t>
      </w:r>
    </w:p>
    <w:p>
      <w:pPr>
        <w:pStyle w:val="Heading5"/>
        <w:rPr>
          <w:snapToGrid w:val="0"/>
        </w:rPr>
      </w:pPr>
      <w:bookmarkStart w:id="98" w:name="_Toc103865483"/>
      <w:r>
        <w:rPr>
          <w:rStyle w:val="CharSectno"/>
        </w:rPr>
        <w:t>42</w:t>
      </w:r>
      <w:r>
        <w:rPr>
          <w:snapToGrid w:val="0"/>
        </w:rPr>
        <w:t>.</w:t>
      </w:r>
      <w:r>
        <w:rPr>
          <w:snapToGrid w:val="0"/>
        </w:rPr>
        <w:tab/>
        <w:t>Restraint</w:t>
      </w:r>
      <w:bookmarkEnd w:id="98"/>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No. 66 of 1982 s. 3; No. 47 of 1987 s. 11; No. 113 of 1987 s. 32; No. 43 of 1999 s. 12.]</w:t>
      </w:r>
    </w:p>
    <w:p>
      <w:pPr>
        <w:pStyle w:val="Heading5"/>
        <w:rPr>
          <w:snapToGrid w:val="0"/>
        </w:rPr>
      </w:pPr>
      <w:bookmarkStart w:id="99" w:name="_Toc103865484"/>
      <w:r>
        <w:rPr>
          <w:rStyle w:val="CharSectno"/>
        </w:rPr>
        <w:t>43</w:t>
      </w:r>
      <w:r>
        <w:rPr>
          <w:snapToGrid w:val="0"/>
        </w:rPr>
        <w:t>.</w:t>
      </w:r>
      <w:r>
        <w:rPr>
          <w:snapToGrid w:val="0"/>
        </w:rPr>
        <w:tab/>
        <w:t>Separate confinement</w:t>
      </w:r>
      <w:bookmarkEnd w:id="99"/>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keepNext/>
        <w:rPr>
          <w:snapToGrid w:val="0"/>
        </w:rPr>
      </w:pPr>
      <w:r>
        <w:rPr>
          <w:snapToGrid w:val="0"/>
        </w:rPr>
        <w:lastRenderedPageBreak/>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No. 47 of 1987 s. 11; No. 113 of 1987 s. 32.]</w:t>
      </w:r>
    </w:p>
    <w:p>
      <w:pPr>
        <w:pStyle w:val="Heading5"/>
        <w:rPr>
          <w:snapToGrid w:val="0"/>
        </w:rPr>
      </w:pPr>
      <w:bookmarkStart w:id="100" w:name="_Toc103865485"/>
      <w:r>
        <w:rPr>
          <w:rStyle w:val="CharSectno"/>
        </w:rPr>
        <w:t>44</w:t>
      </w:r>
      <w:r>
        <w:rPr>
          <w:snapToGrid w:val="0"/>
        </w:rPr>
        <w:t>.</w:t>
      </w:r>
      <w:r>
        <w:rPr>
          <w:snapToGrid w:val="0"/>
        </w:rPr>
        <w:tab/>
        <w:t>Separation of male and female prisoners</w:t>
      </w:r>
      <w:bookmarkEnd w:id="100"/>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No. 65 of 2006 s. 18.]</w:t>
      </w:r>
    </w:p>
    <w:p>
      <w:pPr>
        <w:pStyle w:val="Heading5"/>
        <w:rPr>
          <w:snapToGrid w:val="0"/>
        </w:rPr>
      </w:pPr>
      <w:bookmarkStart w:id="101" w:name="_Toc103865486"/>
      <w:r>
        <w:rPr>
          <w:rStyle w:val="CharSectno"/>
        </w:rPr>
        <w:t>46</w:t>
      </w:r>
      <w:r>
        <w:rPr>
          <w:snapToGrid w:val="0"/>
        </w:rPr>
        <w:t>.</w:t>
      </w:r>
      <w:r>
        <w:rPr>
          <w:snapToGrid w:val="0"/>
        </w:rPr>
        <w:tab/>
        <w:t>Medical examination for evidentiary purposes</w:t>
      </w:r>
      <w:bookmarkEnd w:id="101"/>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No. 47 of 1987 s. 11; No. 113 of 1987 s. 32; No. 43 of 1999 s. 14; No. 22 of 2008 Sch. 3 cl. 47(3); No. 35 of 2010 s. 137.]</w:t>
      </w:r>
    </w:p>
    <w:p>
      <w:pPr>
        <w:pStyle w:val="Heading5"/>
      </w:pPr>
      <w:bookmarkStart w:id="102" w:name="_Toc103865487"/>
      <w:r>
        <w:rPr>
          <w:rStyle w:val="CharSectno"/>
        </w:rPr>
        <w:lastRenderedPageBreak/>
        <w:t>46A</w:t>
      </w:r>
      <w:r>
        <w:t>.</w:t>
      </w:r>
      <w:r>
        <w:tab/>
        <w:t>Inspection of medical records and mandatory taking of blood or other body sample where prison officer may have been exposed to infectious disease</w:t>
      </w:r>
      <w:bookmarkEnd w:id="102"/>
    </w:p>
    <w:p>
      <w:pPr>
        <w:pStyle w:val="Subsection"/>
      </w:pPr>
      <w:r>
        <w:tab/>
        <w:t>(1)</w:t>
      </w:r>
      <w:r>
        <w:tab/>
        <w:t>Subsections (2) and (3) apply if the chief executive officer suspects on reasonable grounds that there has been a transfer of bodily fluid from a prisoner to a prison officer.</w:t>
      </w:r>
    </w:p>
    <w:p>
      <w:pPr>
        <w:pStyle w:val="Subsection"/>
      </w:pPr>
      <w:r>
        <w:tab/>
        <w:t>(2)</w:t>
      </w:r>
      <w:r>
        <w:tab/>
        <w:t xml:space="preserve">The chief executive officer may — </w:t>
      </w:r>
    </w:p>
    <w:p>
      <w:pPr>
        <w:pStyle w:val="Indenta"/>
      </w:pPr>
      <w:r>
        <w:tab/>
        <w:t>(a)</w:t>
      </w:r>
      <w:r>
        <w:tab/>
        <w:t>inspect the prisoner’s medical records to find out whether the prisoner has an infectious disease; and</w:t>
      </w:r>
    </w:p>
    <w:p>
      <w:pPr>
        <w:pStyle w:val="Indenta"/>
      </w:pPr>
      <w:r>
        <w:tab/>
        <w:t>(b)</w:t>
      </w:r>
      <w:r>
        <w:tab/>
        <w:t>require the prisoner to submit themselves for the purpose of having a blood or other body sample taken to test the sample for the presence of an infectious disease.</w:t>
      </w:r>
    </w:p>
    <w:p>
      <w:pPr>
        <w:pStyle w:val="Subsection"/>
      </w:pPr>
      <w:r>
        <w:tab/>
        <w:t>(3)</w:t>
      </w:r>
      <w:r>
        <w:tab/>
        <w:t>The chief executive officer may authorise the use of such force as is reasonably necessary in the circumstances to take the sample.</w:t>
      </w:r>
    </w:p>
    <w:p>
      <w:pPr>
        <w:pStyle w:val="Subsection"/>
      </w:pPr>
      <w:r>
        <w:tab/>
        <w:t>(4)</w:t>
      </w:r>
      <w:r>
        <w:tab/>
        <w:t xml:space="preserve">Regulations may — </w:t>
      </w:r>
    </w:p>
    <w:p>
      <w:pPr>
        <w:pStyle w:val="Indenta"/>
      </w:pPr>
      <w:r>
        <w:tab/>
        <w:t>(a)</w:t>
      </w:r>
      <w:r>
        <w:tab/>
        <w:t>regulate the taking of samples and the treatment of samples taken; and</w:t>
      </w:r>
    </w:p>
    <w:p>
      <w:pPr>
        <w:pStyle w:val="Indenta"/>
      </w:pPr>
      <w:r>
        <w:tab/>
        <w:t>(b)</w:t>
      </w:r>
      <w:r>
        <w:tab/>
        <w:t>authorise and regulate the disclosure to the prison officer of the prisoner’s medical records and the results of any test or analysis done on the sample taken; and</w:t>
      </w:r>
    </w:p>
    <w:p>
      <w:pPr>
        <w:pStyle w:val="Indenta"/>
      </w:pPr>
      <w:r>
        <w:tab/>
        <w:t>(c)</w:t>
      </w:r>
      <w:r>
        <w:tab/>
        <w:t>authorise and regulate the further disclosure and use of the information disclosed to the prison officer under paragraph (b); and</w:t>
      </w:r>
    </w:p>
    <w:p>
      <w:pPr>
        <w:pStyle w:val="Indenta"/>
      </w:pPr>
      <w:r>
        <w:tab/>
        <w:t>(d)</w:t>
      </w:r>
      <w:r>
        <w:tab/>
        <w:t>otherwise authorise and regulate the recording, disclosure and use of the results of any test or analysis done on the sample taken.</w:t>
      </w:r>
    </w:p>
    <w:p>
      <w:pPr>
        <w:pStyle w:val="Footnotesection"/>
      </w:pPr>
      <w:r>
        <w:tab/>
        <w:t>[Section 46A inserted: No. 20 of 2020 s. 12.]</w:t>
      </w:r>
    </w:p>
    <w:p>
      <w:pPr>
        <w:pStyle w:val="Heading5"/>
      </w:pPr>
      <w:bookmarkStart w:id="103" w:name="_Toc103865488"/>
      <w:r>
        <w:rPr>
          <w:rStyle w:val="CharSectno"/>
        </w:rPr>
        <w:t>46B</w:t>
      </w:r>
      <w:r>
        <w:t>.</w:t>
      </w:r>
      <w:r>
        <w:tab/>
        <w:t>Review of s. 46A</w:t>
      </w:r>
      <w:bookmarkEnd w:id="103"/>
    </w:p>
    <w:p>
      <w:pPr>
        <w:pStyle w:val="Subsection"/>
      </w:pPr>
      <w:r>
        <w:tab/>
        <w:t>(1)</w:t>
      </w:r>
      <w:r>
        <w:tab/>
        <w:t xml:space="preserve">The Inspector of Custodial Services must review compliance with, and the operation and effectiveness of, section 46A, and </w:t>
      </w:r>
      <w:r>
        <w:lastRenderedPageBreak/>
        <w:t>prepare a report based on the review, as soon as practicable after the 5</w:t>
      </w:r>
      <w:r>
        <w:rPr>
          <w:vertAlign w:val="superscript"/>
        </w:rPr>
        <w:t>th</w:t>
      </w:r>
      <w:r>
        <w:t xml:space="preserve"> anniversary of the day on which the </w:t>
      </w:r>
      <w:r>
        <w:rPr>
          <w:i/>
        </w:rPr>
        <w:t>Prisons Amendment Act 2020</w:t>
      </w:r>
      <w:r>
        <w:t xml:space="preserve"> section 12 comes into operation.</w:t>
      </w:r>
    </w:p>
    <w:p>
      <w:pPr>
        <w:pStyle w:val="Subsection"/>
      </w:pPr>
      <w:r>
        <w:tab/>
        <w:t>(2)</w:t>
      </w:r>
      <w:r>
        <w:tab/>
        <w:t>The Inspector of Custodial Services must furnish a copy of the report to the Minister as soon as practicable after it is prepared.</w:t>
      </w:r>
    </w:p>
    <w:p>
      <w:pPr>
        <w:pStyle w:val="Subsection"/>
      </w:pPr>
      <w:r>
        <w:tab/>
        <w:t>(3)</w:t>
      </w:r>
      <w:r>
        <w:tab/>
        <w:t>The Minister must cause the report to be laid before each House of Parliament as soon as practicable after the Minister receives it, but not later than 12 months after the 5</w:t>
      </w:r>
      <w:r>
        <w:rPr>
          <w:vertAlign w:val="superscript"/>
        </w:rPr>
        <w:t>th</w:t>
      </w:r>
      <w:r>
        <w:t> anniversary.</w:t>
      </w:r>
    </w:p>
    <w:p>
      <w:pPr>
        <w:pStyle w:val="Footnotesection"/>
      </w:pPr>
      <w:r>
        <w:tab/>
        <w:t>[Section 46B inserted: No. 20 of 2020 s. 12.]</w:t>
      </w:r>
    </w:p>
    <w:p>
      <w:pPr>
        <w:pStyle w:val="Heading5"/>
        <w:keepNext w:val="0"/>
        <w:keepLines w:val="0"/>
        <w:spacing w:before="240"/>
        <w:rPr>
          <w:snapToGrid w:val="0"/>
        </w:rPr>
      </w:pPr>
      <w:bookmarkStart w:id="104" w:name="_Toc103865489"/>
      <w:r>
        <w:rPr>
          <w:rStyle w:val="CharSectno"/>
        </w:rPr>
        <w:t>47</w:t>
      </w:r>
      <w:r>
        <w:rPr>
          <w:snapToGrid w:val="0"/>
        </w:rPr>
        <w:t>.</w:t>
      </w:r>
      <w:r>
        <w:rPr>
          <w:snapToGrid w:val="0"/>
        </w:rPr>
        <w:tab/>
        <w:t>Use of firearms</w:t>
      </w:r>
      <w:bookmarkEnd w:id="104"/>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lastRenderedPageBreak/>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No. 47 of 1987 s. 11; No. 113 of 1987 s. 32.]</w:t>
      </w:r>
    </w:p>
    <w:p>
      <w:pPr>
        <w:pStyle w:val="Heading5"/>
        <w:rPr>
          <w:snapToGrid w:val="0"/>
        </w:rPr>
      </w:pPr>
      <w:bookmarkStart w:id="105" w:name="_Toc103865490"/>
      <w:r>
        <w:rPr>
          <w:rStyle w:val="CharSectno"/>
        </w:rPr>
        <w:t>48</w:t>
      </w:r>
      <w:r>
        <w:rPr>
          <w:snapToGrid w:val="0"/>
        </w:rPr>
        <w:t>.</w:t>
      </w:r>
      <w:r>
        <w:rPr>
          <w:snapToGrid w:val="0"/>
        </w:rPr>
        <w:tab/>
        <w:t>Use of force on serious breach of security</w:t>
      </w:r>
      <w:bookmarkEnd w:id="105"/>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No. 47 of 1987 s. 11; No. 113 of 1987 s. 32.]</w:t>
      </w:r>
    </w:p>
    <w:p>
      <w:pPr>
        <w:pStyle w:val="Heading5"/>
        <w:rPr>
          <w:snapToGrid w:val="0"/>
        </w:rPr>
      </w:pPr>
      <w:bookmarkStart w:id="106" w:name="_Toc103865491"/>
      <w:r>
        <w:rPr>
          <w:rStyle w:val="CharSectno"/>
        </w:rPr>
        <w:lastRenderedPageBreak/>
        <w:t>49</w:t>
      </w:r>
      <w:r>
        <w:rPr>
          <w:snapToGrid w:val="0"/>
        </w:rPr>
        <w:t>.</w:t>
      </w:r>
      <w:r>
        <w:rPr>
          <w:snapToGrid w:val="0"/>
        </w:rPr>
        <w:tab/>
        <w:t>Power to search and question persons entering prison</w:t>
      </w:r>
      <w:bookmarkEnd w:id="106"/>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pPr>
      <w:r>
        <w:tab/>
        <w:t>Penalty for this subsection: a fine of $6 000.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keepNext/>
        <w:rPr>
          <w:snapToGrid w:val="0"/>
        </w:rPr>
      </w:pPr>
      <w:r>
        <w:rPr>
          <w:snapToGrid w:val="0"/>
        </w:rPr>
        <w:lastRenderedPageBreak/>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pPr>
      <w:r>
        <w:tab/>
        <w:t>Penalty for this subsection: imprisonment for 12 months and a fine of $6 000.</w:t>
      </w:r>
    </w:p>
    <w:p>
      <w:pPr>
        <w:pStyle w:val="Subsection"/>
        <w:keepNext/>
        <w:rPr>
          <w:snapToGrid w:val="0"/>
        </w:rPr>
      </w:pPr>
      <w:r>
        <w:rPr>
          <w:snapToGrid w:val="0"/>
        </w:rPr>
        <w:lastRenderedPageBreak/>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No. 47 of 1987 s. 11; No. 113 of 1987 s. 32; No. 19 of 1995 s. 4; No. 43 of 1999 s. 15; No. 50 of 2003 s. 86(2); No. 20 of 2020 s. 13.]</w:t>
      </w:r>
    </w:p>
    <w:p>
      <w:pPr>
        <w:pStyle w:val="Heading5"/>
        <w:rPr>
          <w:snapToGrid w:val="0"/>
        </w:rPr>
      </w:pPr>
      <w:bookmarkStart w:id="107" w:name="_Toc103865492"/>
      <w:r>
        <w:rPr>
          <w:rStyle w:val="CharSectno"/>
        </w:rPr>
        <w:t>49A</w:t>
      </w:r>
      <w:r>
        <w:rPr>
          <w:snapToGrid w:val="0"/>
        </w:rPr>
        <w:t>.</w:t>
      </w:r>
      <w:r>
        <w:rPr>
          <w:snapToGrid w:val="0"/>
        </w:rPr>
        <w:tab/>
        <w:t>Use of dogs</w:t>
      </w:r>
      <w:bookmarkEnd w:id="107"/>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lastRenderedPageBreak/>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No. 19 of 1995 s. 5.]</w:t>
      </w:r>
    </w:p>
    <w:p>
      <w:pPr>
        <w:pStyle w:val="Heading5"/>
      </w:pPr>
      <w:bookmarkStart w:id="108" w:name="_Toc103865493"/>
      <w:r>
        <w:rPr>
          <w:rStyle w:val="CharSectno"/>
        </w:rPr>
        <w:t>49B</w:t>
      </w:r>
      <w:r>
        <w:t>.</w:t>
      </w:r>
      <w:r>
        <w:tab/>
        <w:t>Possession of firearms, prohibited drugs etc. by prison officers</w:t>
      </w:r>
      <w:bookmarkEnd w:id="108"/>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keepNext/>
      </w:pPr>
      <w:r>
        <w:lastRenderedPageBreak/>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No. 43 of 1999 s. 16.]</w:t>
      </w:r>
    </w:p>
    <w:p>
      <w:pPr>
        <w:pStyle w:val="Heading5"/>
        <w:rPr>
          <w:snapToGrid w:val="0"/>
        </w:rPr>
      </w:pPr>
      <w:bookmarkStart w:id="109" w:name="_Toc103865494"/>
      <w:r>
        <w:rPr>
          <w:rStyle w:val="CharSectno"/>
        </w:rPr>
        <w:t>50</w:t>
      </w:r>
      <w:r>
        <w:rPr>
          <w:snapToGrid w:val="0"/>
        </w:rPr>
        <w:t>.</w:t>
      </w:r>
      <w:r>
        <w:rPr>
          <w:snapToGrid w:val="0"/>
        </w:rPr>
        <w:tab/>
        <w:t>Penalty in respect of unauthorised articles</w:t>
      </w:r>
      <w:bookmarkEnd w:id="109"/>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pPr>
      <w:r>
        <w:tab/>
        <w:t>Penalty for this subsection: imprisonment for 18 months and a fine of $12 000.</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pPr>
      <w:r>
        <w:tab/>
        <w:t>Penalty for this subsection: imprisonment for 18 months and a fine of $12 000.</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pPr>
      <w:r>
        <w:tab/>
        <w:t>Penalty for this subsection: imprisonment for 12 months and a fine of $6 000.</w:t>
      </w:r>
    </w:p>
    <w:p>
      <w:pPr>
        <w:pStyle w:val="Subsection"/>
        <w:keepNext/>
        <w:rPr>
          <w:snapToGrid w:val="0"/>
        </w:rPr>
      </w:pPr>
      <w:r>
        <w:rPr>
          <w:snapToGrid w:val="0"/>
        </w:rPr>
        <w:lastRenderedPageBreak/>
        <w:tab/>
        <w:t>(4)</w:t>
      </w:r>
      <w:r>
        <w:rPr>
          <w:snapToGrid w:val="0"/>
        </w:rPr>
        <w:tab/>
        <w:t>An officer who suffers any article to be dealt with in the manner prohibited by subsection (1) or (2) commits an offence.</w:t>
      </w:r>
    </w:p>
    <w:p>
      <w:pPr>
        <w:pStyle w:val="Penstart"/>
      </w:pPr>
      <w:r>
        <w:tab/>
        <w:t>Penalty for this subsection: imprisonment for 18 months and a fine of $12 000.</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keepNext/>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No. 47 of 1987 s. 11; No. 113 of 1987 s. 32; No. 20 of 2020 s. 14.]</w:t>
      </w:r>
    </w:p>
    <w:p>
      <w:pPr>
        <w:pStyle w:val="Heading5"/>
        <w:keepNext w:val="0"/>
        <w:keepLines w:val="0"/>
        <w:rPr>
          <w:snapToGrid w:val="0"/>
        </w:rPr>
      </w:pPr>
      <w:bookmarkStart w:id="110" w:name="_Toc103865495"/>
      <w:r>
        <w:rPr>
          <w:rStyle w:val="CharSectno"/>
        </w:rPr>
        <w:t>51</w:t>
      </w:r>
      <w:r>
        <w:rPr>
          <w:snapToGrid w:val="0"/>
        </w:rPr>
        <w:t>.</w:t>
      </w:r>
      <w:r>
        <w:rPr>
          <w:snapToGrid w:val="0"/>
        </w:rPr>
        <w:tab/>
        <w:t>Superintendent may delegate powers under s. 49</w:t>
      </w:r>
      <w:bookmarkEnd w:id="110"/>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keepNext/>
      </w:pPr>
      <w:r>
        <w:lastRenderedPageBreak/>
        <w:tab/>
        <w:t>(4)</w:t>
      </w:r>
      <w:r>
        <w:tab/>
        <w:t>Nothing in this section limits the ability of the superintendent to perform a function through a subordinate or agent.</w:t>
      </w:r>
    </w:p>
    <w:p>
      <w:pPr>
        <w:pStyle w:val="Footnotesection"/>
      </w:pPr>
      <w:r>
        <w:tab/>
        <w:t>[Section 51 amended: No. 65 of 2006 s. 19.]</w:t>
      </w:r>
    </w:p>
    <w:p>
      <w:pPr>
        <w:pStyle w:val="Heading5"/>
        <w:rPr>
          <w:snapToGrid w:val="0"/>
        </w:rPr>
      </w:pPr>
      <w:bookmarkStart w:id="111" w:name="_Toc103865496"/>
      <w:r>
        <w:rPr>
          <w:rStyle w:val="CharSectno"/>
        </w:rPr>
        <w:t>52</w:t>
      </w:r>
      <w:r>
        <w:rPr>
          <w:snapToGrid w:val="0"/>
        </w:rPr>
        <w:t>.</w:t>
      </w:r>
      <w:r>
        <w:rPr>
          <w:snapToGrid w:val="0"/>
        </w:rPr>
        <w:tab/>
        <w:t>Offences in respect of loitering, unauthorised entry and unauthorised communications</w:t>
      </w:r>
      <w:bookmarkEnd w:id="111"/>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pPr>
      <w:r>
        <w:tab/>
        <w:t>Penalty for this subsection: imprisonment for 18 months and a fine of $9 000.</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pPr>
      <w:r>
        <w:tab/>
        <w:t>Penalty for this subsection: imprisonment for 12 months and a fine of $6 000.</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pPr>
      <w:r>
        <w:lastRenderedPageBreak/>
        <w:tab/>
        <w:t>Penalty for this subsection: imprisonment for 12 months and a fine of $6 000.</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No. 47 of 1987 s. 11; No. 113 of 1987 s. 32; No. 20 of 2020 s. 15.]</w:t>
      </w:r>
    </w:p>
    <w:p>
      <w:pPr>
        <w:pStyle w:val="Ednotesection"/>
      </w:pPr>
      <w:r>
        <w:t>[</w:t>
      </w:r>
      <w:r>
        <w:rPr>
          <w:b/>
          <w:bCs/>
        </w:rPr>
        <w:t>53.</w:t>
      </w:r>
      <w:r>
        <w:tab/>
        <w:t>Deleted: No. 65 of 2006 s. 20.]</w:t>
      </w:r>
    </w:p>
    <w:p>
      <w:pPr>
        <w:pStyle w:val="Heading2"/>
      </w:pPr>
      <w:bookmarkStart w:id="112" w:name="_Toc103862634"/>
      <w:bookmarkStart w:id="113" w:name="_Toc103862826"/>
      <w:bookmarkStart w:id="114" w:name="_Toc103865497"/>
      <w:r>
        <w:rPr>
          <w:rStyle w:val="CharPartNo"/>
        </w:rPr>
        <w:lastRenderedPageBreak/>
        <w:t>Part VI</w:t>
      </w:r>
      <w:r>
        <w:rPr>
          <w:rStyle w:val="CharDivNo"/>
        </w:rPr>
        <w:t> </w:t>
      </w:r>
      <w:r>
        <w:t>—</w:t>
      </w:r>
      <w:r>
        <w:rPr>
          <w:rStyle w:val="CharDivText"/>
        </w:rPr>
        <w:t> </w:t>
      </w:r>
      <w:r>
        <w:rPr>
          <w:rStyle w:val="CharPartText"/>
        </w:rPr>
        <w:t>Prison visits and communications involving prisoners</w:t>
      </w:r>
      <w:bookmarkEnd w:id="112"/>
      <w:bookmarkEnd w:id="113"/>
      <w:bookmarkEnd w:id="114"/>
      <w:r>
        <w:rPr>
          <w:rStyle w:val="CharPartText"/>
        </w:rPr>
        <w:t xml:space="preserve"> </w:t>
      </w:r>
    </w:p>
    <w:p>
      <w:pPr>
        <w:pStyle w:val="Heading5"/>
      </w:pPr>
      <w:bookmarkStart w:id="115" w:name="_Toc103865498"/>
      <w:r>
        <w:rPr>
          <w:rStyle w:val="CharSectno"/>
        </w:rPr>
        <w:t>54</w:t>
      </w:r>
      <w:r>
        <w:t>.</w:t>
      </w:r>
      <w:r>
        <w:tab/>
        <w:t>Appointment of visiting justices</w:t>
      </w:r>
      <w:bookmarkEnd w:id="115"/>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No. 75 of 2003 s. 56(1).]</w:t>
      </w:r>
    </w:p>
    <w:p>
      <w:pPr>
        <w:pStyle w:val="Ednotesection"/>
        <w:rPr>
          <w:b/>
        </w:rPr>
      </w:pPr>
      <w:r>
        <w:t>[</w:t>
      </w:r>
      <w:r>
        <w:rPr>
          <w:b/>
        </w:rPr>
        <w:t>55.</w:t>
      </w:r>
      <w:r>
        <w:rPr>
          <w:b/>
        </w:rPr>
        <w:tab/>
      </w:r>
      <w:r>
        <w:t>Deleted: No. 75 of 2003 s. 56(1).]</w:t>
      </w:r>
    </w:p>
    <w:p>
      <w:pPr>
        <w:pStyle w:val="Heading5"/>
        <w:rPr>
          <w:snapToGrid w:val="0"/>
        </w:rPr>
      </w:pPr>
      <w:bookmarkStart w:id="116" w:name="_Toc103865499"/>
      <w:r>
        <w:rPr>
          <w:rStyle w:val="CharSectno"/>
        </w:rPr>
        <w:t>56</w:t>
      </w:r>
      <w:r>
        <w:rPr>
          <w:snapToGrid w:val="0"/>
        </w:rPr>
        <w:t>.</w:t>
      </w:r>
      <w:r>
        <w:rPr>
          <w:snapToGrid w:val="0"/>
        </w:rPr>
        <w:tab/>
        <w:t>Duties of visiting justice</w:t>
      </w:r>
      <w:bookmarkEnd w:id="116"/>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keepLines/>
        <w:rPr>
          <w:snapToGrid w:val="0"/>
        </w:rPr>
      </w:pPr>
      <w:r>
        <w:rPr>
          <w:snapToGrid w:val="0"/>
        </w:rPr>
        <w:lastRenderedPageBreak/>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117" w:name="_Toc103865500"/>
      <w:r>
        <w:rPr>
          <w:rStyle w:val="CharSectno"/>
        </w:rPr>
        <w:t>57</w:t>
      </w:r>
      <w:r>
        <w:rPr>
          <w:snapToGrid w:val="0"/>
        </w:rPr>
        <w:t>.</w:t>
      </w:r>
      <w:r>
        <w:rPr>
          <w:snapToGrid w:val="0"/>
        </w:rPr>
        <w:tab/>
        <w:t>Right of entry of independent prison visitors and judges</w:t>
      </w:r>
      <w:bookmarkEnd w:id="117"/>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No. 75 of 2003 s. 56(1).]</w:t>
      </w:r>
    </w:p>
    <w:p>
      <w:pPr>
        <w:pStyle w:val="Heading5"/>
        <w:rPr>
          <w:snapToGrid w:val="0"/>
        </w:rPr>
      </w:pPr>
      <w:bookmarkStart w:id="118" w:name="_Toc103865501"/>
      <w:r>
        <w:rPr>
          <w:rStyle w:val="CharSectno"/>
        </w:rPr>
        <w:t>58</w:t>
      </w:r>
      <w:r>
        <w:rPr>
          <w:snapToGrid w:val="0"/>
        </w:rPr>
        <w:t>.</w:t>
      </w:r>
      <w:r>
        <w:rPr>
          <w:snapToGrid w:val="0"/>
        </w:rPr>
        <w:tab/>
        <w:t>Cooperation with official visitors</w:t>
      </w:r>
      <w:bookmarkEnd w:id="118"/>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22(1)(a) or 40 of the </w:t>
      </w:r>
      <w:r>
        <w:rPr>
          <w:i/>
        </w:rPr>
        <w:t>Inspector of Custodial Services Act 2003</w:t>
      </w:r>
      <w:r>
        <w:t>.</w:t>
      </w:r>
    </w:p>
    <w:p>
      <w:pPr>
        <w:pStyle w:val="Footnotesection"/>
        <w:rPr>
          <w:b/>
        </w:rPr>
      </w:pPr>
      <w:r>
        <w:tab/>
        <w:t>[Section 58 amended: No. 75 of 2003 s. 56(1); No. 20 of 2020 s. 16.]</w:t>
      </w:r>
    </w:p>
    <w:p>
      <w:pPr>
        <w:pStyle w:val="Heading5"/>
        <w:rPr>
          <w:snapToGrid w:val="0"/>
        </w:rPr>
      </w:pPr>
      <w:bookmarkStart w:id="119" w:name="_Toc103865502"/>
      <w:r>
        <w:rPr>
          <w:rStyle w:val="CharSectno"/>
        </w:rPr>
        <w:t>59</w:t>
      </w:r>
      <w:r>
        <w:rPr>
          <w:snapToGrid w:val="0"/>
        </w:rPr>
        <w:t>.</w:t>
      </w:r>
      <w:r>
        <w:rPr>
          <w:snapToGrid w:val="0"/>
        </w:rPr>
        <w:tab/>
        <w:t>Visits by friends and relations of prisoners</w:t>
      </w:r>
      <w:bookmarkEnd w:id="119"/>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keepLines/>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lastRenderedPageBreak/>
        <w:tab/>
        <w:t>[Section 59 amended: No. 47 of 1987 s. 11; No. 113 of 1987 s. 32.]</w:t>
      </w:r>
    </w:p>
    <w:p>
      <w:pPr>
        <w:pStyle w:val="Heading5"/>
        <w:rPr>
          <w:snapToGrid w:val="0"/>
        </w:rPr>
      </w:pPr>
      <w:bookmarkStart w:id="120" w:name="_Toc103865503"/>
      <w:r>
        <w:rPr>
          <w:rStyle w:val="CharSectno"/>
        </w:rPr>
        <w:t>60</w:t>
      </w:r>
      <w:r>
        <w:rPr>
          <w:snapToGrid w:val="0"/>
        </w:rPr>
        <w:t>.</w:t>
      </w:r>
      <w:r>
        <w:rPr>
          <w:snapToGrid w:val="0"/>
        </w:rPr>
        <w:tab/>
        <w:t>Declaration of visitors</w:t>
      </w:r>
      <w:bookmarkEnd w:id="120"/>
      <w:r>
        <w:rPr>
          <w:snapToGrid w:val="0"/>
        </w:rPr>
        <w:t xml:space="preserve"> </w:t>
      </w:r>
    </w:p>
    <w:p>
      <w:pPr>
        <w:pStyle w:val="Subsection"/>
        <w:spacing w:before="120"/>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spacing w:before="120"/>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(4)</w:t>
      </w:r>
      <w:r>
        <w:rPr>
          <w:snapToGrid w:val="0"/>
        </w:rPr>
        <w:tab/>
        <w:t>A person who makes a declaration under this section which is false in a material particular commits an offence.</w:t>
      </w:r>
    </w:p>
    <w:p>
      <w:pPr>
        <w:pStyle w:val="Penstart"/>
      </w:pPr>
      <w:r>
        <w:tab/>
        <w:t>Penalty for this subsection: imprisonment for 18 months and a fine of $9 000.</w:t>
      </w:r>
    </w:p>
    <w:p>
      <w:pPr>
        <w:pStyle w:val="Subsection"/>
        <w:spacing w:before="120"/>
        <w:rPr>
          <w:snapToGrid w:val="0"/>
        </w:rPr>
      </w:pPr>
      <w:r>
        <w:rPr>
          <w:snapToGrid w:val="0"/>
        </w:rPr>
        <w:lastRenderedPageBreak/>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No. 47 of 1987 s. 11; No. 113 of 1987 s. 32; No. 24 of 2003 s. 5; No. 20 of 2020 s. 17.] </w:t>
      </w:r>
    </w:p>
    <w:p>
      <w:pPr>
        <w:pStyle w:val="Heading5"/>
      </w:pPr>
      <w:bookmarkStart w:id="121" w:name="_Toc103865504"/>
      <w:r>
        <w:rPr>
          <w:rStyle w:val="CharSectno"/>
        </w:rPr>
        <w:t>60A</w:t>
      </w:r>
      <w:r>
        <w:t>.</w:t>
      </w:r>
      <w:r>
        <w:tab/>
        <w:t>Protection of proof of identity of visitor to prison</w:t>
      </w:r>
      <w:bookmarkEnd w:id="121"/>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for this subsection: imprisonment for 12 months and a fine of $12 000.</w:t>
      </w:r>
    </w:p>
    <w:p>
      <w:pPr>
        <w:pStyle w:val="Footnotesection"/>
      </w:pPr>
      <w:r>
        <w:tab/>
        <w:t>[Section 60A inserted: No. 24 of 2003 s. 6; amended: No. 20 of 2020 s. 18.]</w:t>
      </w:r>
    </w:p>
    <w:p>
      <w:pPr>
        <w:pStyle w:val="Heading5"/>
        <w:rPr>
          <w:snapToGrid w:val="0"/>
        </w:rPr>
      </w:pPr>
      <w:bookmarkStart w:id="122" w:name="_Toc103865505"/>
      <w:r>
        <w:rPr>
          <w:rStyle w:val="CharSectno"/>
        </w:rPr>
        <w:lastRenderedPageBreak/>
        <w:t>61</w:t>
      </w:r>
      <w:r>
        <w:rPr>
          <w:snapToGrid w:val="0"/>
        </w:rPr>
        <w:t>.</w:t>
      </w:r>
      <w:r>
        <w:rPr>
          <w:snapToGrid w:val="0"/>
        </w:rPr>
        <w:tab/>
        <w:t>Visits by certain officials</w:t>
      </w:r>
      <w:bookmarkEnd w:id="122"/>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123" w:name="_Toc103865506"/>
      <w:r>
        <w:rPr>
          <w:rStyle w:val="CharSectno"/>
        </w:rPr>
        <w:t>62</w:t>
      </w:r>
      <w:r>
        <w:rPr>
          <w:snapToGrid w:val="0"/>
        </w:rPr>
        <w:t>.</w:t>
      </w:r>
      <w:r>
        <w:rPr>
          <w:snapToGrid w:val="0"/>
        </w:rPr>
        <w:tab/>
        <w:t>Visits by legal practitioner</w:t>
      </w:r>
      <w:bookmarkEnd w:id="123"/>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124" w:name="_Toc103865507"/>
      <w:r>
        <w:rPr>
          <w:rStyle w:val="CharSectno"/>
        </w:rPr>
        <w:t>63</w:t>
      </w:r>
      <w:r>
        <w:rPr>
          <w:snapToGrid w:val="0"/>
        </w:rPr>
        <w:t>.</w:t>
      </w:r>
      <w:r>
        <w:rPr>
          <w:snapToGrid w:val="0"/>
        </w:rPr>
        <w:tab/>
        <w:t>Visits by police</w:t>
      </w:r>
      <w:bookmarkEnd w:id="124"/>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125" w:name="_Toc103865508"/>
      <w:r>
        <w:rPr>
          <w:rStyle w:val="CharSectno"/>
        </w:rPr>
        <w:t>64</w:t>
      </w:r>
      <w:r>
        <w:rPr>
          <w:snapToGrid w:val="0"/>
        </w:rPr>
        <w:t>.</w:t>
      </w:r>
      <w:r>
        <w:rPr>
          <w:snapToGrid w:val="0"/>
        </w:rPr>
        <w:tab/>
        <w:t>Visits by public officers</w:t>
      </w:r>
      <w:bookmarkEnd w:id="125"/>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No. 47 of 1987 s. 11; No. 113 of 1987 s. 32; No. 75 of 2003 s. 56(1).]</w:t>
      </w:r>
    </w:p>
    <w:p>
      <w:pPr>
        <w:pStyle w:val="Footnotesection"/>
      </w:pPr>
      <w:r>
        <w:lastRenderedPageBreak/>
        <w:tab/>
        <w:t>[Section 64. Modifications to be applied in order to give effect to Cross</w:t>
      </w:r>
      <w:r>
        <w:noBreakHyphen/>
        <w:t>border Justice Act 2008: section altered 1 Nov 2009. See endnote 1M.]</w:t>
      </w:r>
    </w:p>
    <w:p>
      <w:pPr>
        <w:pStyle w:val="Heading5"/>
        <w:rPr>
          <w:snapToGrid w:val="0"/>
        </w:rPr>
      </w:pPr>
      <w:bookmarkStart w:id="126" w:name="_Toc103865509"/>
      <w:r>
        <w:rPr>
          <w:rStyle w:val="CharSectno"/>
        </w:rPr>
        <w:t>65</w:t>
      </w:r>
      <w:r>
        <w:rPr>
          <w:snapToGrid w:val="0"/>
        </w:rPr>
        <w:t>.</w:t>
      </w:r>
      <w:r>
        <w:rPr>
          <w:snapToGrid w:val="0"/>
        </w:rPr>
        <w:tab/>
        <w:t>Other visitors to prisoners</w:t>
      </w:r>
      <w:bookmarkEnd w:id="126"/>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No. 47 of 1987 s. 11; No. 113 of 1987 s. 32.]</w:t>
      </w:r>
    </w:p>
    <w:p>
      <w:pPr>
        <w:pStyle w:val="Heading5"/>
        <w:rPr>
          <w:snapToGrid w:val="0"/>
        </w:rPr>
      </w:pPr>
      <w:bookmarkStart w:id="127" w:name="_Toc103865510"/>
      <w:r>
        <w:rPr>
          <w:rStyle w:val="CharSectno"/>
        </w:rPr>
        <w:t>66</w:t>
      </w:r>
      <w:r>
        <w:rPr>
          <w:snapToGrid w:val="0"/>
        </w:rPr>
        <w:t>.</w:t>
      </w:r>
      <w:r>
        <w:rPr>
          <w:snapToGrid w:val="0"/>
        </w:rPr>
        <w:tab/>
        <w:t>Visitor may be refused entry or removed</w:t>
      </w:r>
      <w:bookmarkEnd w:id="127"/>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lastRenderedPageBreak/>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No. 47 of 1987 s. 11; No. 113 of 1987 s. 32; No. 24 of 2003 s. 7; No. 75 of 2003 s. 56(1).]</w:t>
      </w:r>
    </w:p>
    <w:p>
      <w:pPr>
        <w:pStyle w:val="Heading5"/>
        <w:rPr>
          <w:snapToGrid w:val="0"/>
        </w:rPr>
      </w:pPr>
      <w:bookmarkStart w:id="128" w:name="_Toc103865511"/>
      <w:r>
        <w:rPr>
          <w:rStyle w:val="CharSectno"/>
        </w:rPr>
        <w:t>67</w:t>
      </w:r>
      <w:r>
        <w:rPr>
          <w:snapToGrid w:val="0"/>
        </w:rPr>
        <w:t>.</w:t>
      </w:r>
      <w:r>
        <w:rPr>
          <w:snapToGrid w:val="0"/>
        </w:rPr>
        <w:tab/>
        <w:t>Letters and parcels from by prisoners</w:t>
      </w:r>
      <w:bookmarkEnd w:id="128"/>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lastRenderedPageBreak/>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spacing w:before="60"/>
        <w:rPr>
          <w:snapToGrid w:val="0"/>
        </w:rPr>
      </w:pPr>
      <w:r>
        <w:rPr>
          <w:snapToGrid w:val="0"/>
        </w:rPr>
        <w:tab/>
        <w:t>(a)</w:t>
      </w:r>
      <w:r>
        <w:rPr>
          <w:snapToGrid w:val="0"/>
        </w:rPr>
        <w:tab/>
        <w:t>may jeopardise the good order or the security of a prison; or</w:t>
      </w:r>
    </w:p>
    <w:p>
      <w:pPr>
        <w:pStyle w:val="Indenta"/>
        <w:spacing w:before="60"/>
        <w:rPr>
          <w:snapToGrid w:val="0"/>
        </w:rPr>
      </w:pPr>
      <w:r>
        <w:rPr>
          <w:snapToGrid w:val="0"/>
        </w:rPr>
        <w:tab/>
        <w:t>(b)</w:t>
      </w:r>
      <w:r>
        <w:rPr>
          <w:snapToGrid w:val="0"/>
        </w:rPr>
        <w:tab/>
        <w:t>contain a threat to a person or property; or</w:t>
      </w:r>
    </w:p>
    <w:p>
      <w:pPr>
        <w:pStyle w:val="Indenta"/>
        <w:spacing w:before="60"/>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2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No. 47 of 1987 s. 11; No. 113 of 1987 s. 32; No. 75 of 2003 s. 56(1); No. 65 of 2006 s. 21.]</w:t>
      </w:r>
    </w:p>
    <w:p>
      <w:pPr>
        <w:pStyle w:val="Heading5"/>
        <w:spacing w:before="180"/>
      </w:pPr>
      <w:bookmarkStart w:id="129" w:name="_Toc103865512"/>
      <w:r>
        <w:rPr>
          <w:rStyle w:val="CharSectno"/>
        </w:rPr>
        <w:t>67A</w:t>
      </w:r>
      <w:r>
        <w:t>.</w:t>
      </w:r>
      <w:r>
        <w:tab/>
        <w:t>Prisoner’s mail not to be sent to certain persons</w:t>
      </w:r>
      <w:bookmarkEnd w:id="129"/>
    </w:p>
    <w:p>
      <w:pPr>
        <w:pStyle w:val="Subsection"/>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lastRenderedPageBreak/>
        <w:tab/>
        <w:t>(b)</w:t>
      </w:r>
      <w:r>
        <w:tab/>
        <w:t>specifying the person’s reasons for not wishing to receive that mail.</w:t>
      </w:r>
    </w:p>
    <w:p>
      <w:pPr>
        <w:pStyle w:val="Subsection"/>
        <w:spacing w:before="12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2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spacing w:before="60"/>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No. 65 of 2006 s. 22.]</w:t>
      </w:r>
    </w:p>
    <w:p>
      <w:pPr>
        <w:pStyle w:val="Heading5"/>
        <w:spacing w:before="240"/>
        <w:rPr>
          <w:snapToGrid w:val="0"/>
        </w:rPr>
      </w:pPr>
      <w:bookmarkStart w:id="130" w:name="_Toc103865513"/>
      <w:r>
        <w:rPr>
          <w:rStyle w:val="CharSectno"/>
        </w:rPr>
        <w:t>68</w:t>
      </w:r>
      <w:r>
        <w:rPr>
          <w:snapToGrid w:val="0"/>
        </w:rPr>
        <w:t>.</w:t>
      </w:r>
      <w:r>
        <w:rPr>
          <w:snapToGrid w:val="0"/>
        </w:rPr>
        <w:tab/>
        <w:t>Letters and parcels addressed to prisoners</w:t>
      </w:r>
      <w:bookmarkEnd w:id="130"/>
      <w:r>
        <w:rPr>
          <w:snapToGrid w:val="0"/>
        </w:rPr>
        <w:t xml:space="preserve"> </w:t>
      </w:r>
    </w:p>
    <w:p>
      <w:pPr>
        <w:pStyle w:val="Subsection"/>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rPr>
          <w:snapToGrid w:val="0"/>
        </w:rPr>
      </w:pPr>
      <w:r>
        <w:rPr>
          <w:snapToGrid w:val="0"/>
        </w:rPr>
        <w:tab/>
        <w:t>(3)</w:t>
      </w:r>
      <w:r>
        <w:rPr>
          <w:snapToGrid w:val="0"/>
        </w:rPr>
        <w:tab/>
        <w:t xml:space="preserve">The superintendent or an officer authorised by the superintendent may open and read any letter addressed to a prisoner and received at the prison, other than a letter of the kind </w:t>
      </w:r>
      <w:r>
        <w:rPr>
          <w:snapToGrid w:val="0"/>
        </w:rPr>
        <w:lastRenderedPageBreak/>
        <w:t>referred to in subsection (1), and may open and inspect any parcel addressed to a prisoner and received at the prison.</w:t>
      </w:r>
    </w:p>
    <w:p>
      <w:pPr>
        <w:pStyle w:val="Subsection"/>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No. 47 of 1987 s. 11; No. 113 of 1987 s. 32.]</w:t>
      </w:r>
    </w:p>
    <w:p>
      <w:pPr>
        <w:pStyle w:val="Heading2"/>
      </w:pPr>
      <w:bookmarkStart w:id="131" w:name="_Toc103862651"/>
      <w:bookmarkStart w:id="132" w:name="_Toc103862843"/>
      <w:bookmarkStart w:id="133" w:name="_Toc103865514"/>
      <w:r>
        <w:rPr>
          <w:rStyle w:val="CharPartNo"/>
        </w:rPr>
        <w:lastRenderedPageBreak/>
        <w:t>Part VII</w:t>
      </w:r>
      <w:r>
        <w:rPr>
          <w:rStyle w:val="CharDivNo"/>
        </w:rPr>
        <w:t> </w:t>
      </w:r>
      <w:r>
        <w:t>—</w:t>
      </w:r>
      <w:r>
        <w:rPr>
          <w:rStyle w:val="CharDivText"/>
        </w:rPr>
        <w:t> </w:t>
      </w:r>
      <w:r>
        <w:rPr>
          <w:rStyle w:val="CharPartText"/>
        </w:rPr>
        <w:t>Prison offences</w:t>
      </w:r>
      <w:bookmarkEnd w:id="131"/>
      <w:bookmarkEnd w:id="132"/>
      <w:bookmarkEnd w:id="133"/>
      <w:r>
        <w:rPr>
          <w:rStyle w:val="CharPartText"/>
        </w:rPr>
        <w:t xml:space="preserve"> </w:t>
      </w:r>
    </w:p>
    <w:p>
      <w:pPr>
        <w:pStyle w:val="Heading5"/>
        <w:spacing w:before="160"/>
        <w:rPr>
          <w:snapToGrid w:val="0"/>
        </w:rPr>
      </w:pPr>
      <w:bookmarkStart w:id="134" w:name="_Toc103865515"/>
      <w:r>
        <w:rPr>
          <w:rStyle w:val="CharSectno"/>
        </w:rPr>
        <w:t>69</w:t>
      </w:r>
      <w:r>
        <w:rPr>
          <w:snapToGrid w:val="0"/>
        </w:rPr>
        <w:t>.</w:t>
      </w:r>
      <w:r>
        <w:rPr>
          <w:snapToGrid w:val="0"/>
        </w:rPr>
        <w:tab/>
        <w:t>Minor prison offences</w:t>
      </w:r>
      <w:bookmarkEnd w:id="134"/>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No. 47 of 1999 s. 36; No. 65 of 2006 s. 23.]</w:t>
      </w:r>
    </w:p>
    <w:p>
      <w:pPr>
        <w:pStyle w:val="Footnotesection"/>
        <w:spacing w:before="80"/>
        <w:ind w:left="890" w:hanging="890"/>
      </w:pPr>
      <w:r>
        <w:tab/>
        <w:t>[Section 69. Modifications to be applied in order to give effect to Cross</w:t>
      </w:r>
      <w:r>
        <w:noBreakHyphen/>
        <w:t>border Justice Act 2008: section altered 1 Nov 2009. See endnote 1M.]</w:t>
      </w:r>
    </w:p>
    <w:p>
      <w:pPr>
        <w:pStyle w:val="Heading5"/>
        <w:rPr>
          <w:snapToGrid w:val="0"/>
        </w:rPr>
      </w:pPr>
      <w:bookmarkStart w:id="135" w:name="_Toc103865516"/>
      <w:r>
        <w:rPr>
          <w:rStyle w:val="CharSectno"/>
        </w:rPr>
        <w:lastRenderedPageBreak/>
        <w:t>70</w:t>
      </w:r>
      <w:r>
        <w:rPr>
          <w:snapToGrid w:val="0"/>
        </w:rPr>
        <w:t>.</w:t>
      </w:r>
      <w:r>
        <w:rPr>
          <w:snapToGrid w:val="0"/>
        </w:rPr>
        <w:tab/>
        <w:t>Aggravated prison offences</w:t>
      </w:r>
      <w:bookmarkEnd w:id="135"/>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 xml:space="preserve">does not submit himself for the purpose of having a </w:t>
      </w:r>
      <w:r>
        <w:t>blood or other body</w:t>
      </w:r>
      <w:r>
        <w:rPr>
          <w:snapToGrid w:val="0"/>
        </w:rPr>
        <w:t xml:space="preserve"> sample taken where he is required to do so under this Act.</w:t>
      </w:r>
    </w:p>
    <w:p>
      <w:pPr>
        <w:pStyle w:val="Footnotesection"/>
      </w:pPr>
      <w:r>
        <w:tab/>
        <w:t xml:space="preserve">[Section 70 inserted: No. 47 of 1991 s. 4; amended: No. 65 of 2006 s. 24; No. 20 of 2020 s. 19.] </w:t>
      </w:r>
    </w:p>
    <w:p>
      <w:pPr>
        <w:pStyle w:val="Heading5"/>
        <w:rPr>
          <w:snapToGrid w:val="0"/>
        </w:rPr>
      </w:pPr>
      <w:bookmarkStart w:id="136" w:name="_Toc103865517"/>
      <w:r>
        <w:rPr>
          <w:rStyle w:val="CharSectno"/>
        </w:rPr>
        <w:t>71</w:t>
      </w:r>
      <w:r>
        <w:rPr>
          <w:snapToGrid w:val="0"/>
        </w:rPr>
        <w:t>.</w:t>
      </w:r>
      <w:r>
        <w:rPr>
          <w:snapToGrid w:val="0"/>
        </w:rPr>
        <w:tab/>
        <w:t>Charges of prison offences</w:t>
      </w:r>
      <w:bookmarkEnd w:id="136"/>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w:t>
      </w:r>
      <w:r>
        <w:rPr>
          <w:snapToGrid w:val="0"/>
        </w:rPr>
        <w:lastRenderedPageBreak/>
        <w:t>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No. 47 of 1999 s. 37.]</w:t>
      </w:r>
    </w:p>
    <w:p>
      <w:pPr>
        <w:pStyle w:val="Heading5"/>
        <w:rPr>
          <w:snapToGrid w:val="0"/>
        </w:rPr>
      </w:pPr>
      <w:bookmarkStart w:id="137" w:name="_Toc103865518"/>
      <w:r>
        <w:rPr>
          <w:rStyle w:val="CharSectno"/>
        </w:rPr>
        <w:t>72</w:t>
      </w:r>
      <w:r>
        <w:rPr>
          <w:snapToGrid w:val="0"/>
        </w:rPr>
        <w:t>.</w:t>
      </w:r>
      <w:r>
        <w:rPr>
          <w:snapToGrid w:val="0"/>
        </w:rPr>
        <w:tab/>
        <w:t>Visiting justice may determine minor prison offences</w:t>
      </w:r>
      <w:bookmarkEnd w:id="137"/>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38" w:name="_Toc103865519"/>
      <w:r>
        <w:rPr>
          <w:rStyle w:val="CharSectno"/>
        </w:rPr>
        <w:t>73</w:t>
      </w:r>
      <w:r>
        <w:rPr>
          <w:snapToGrid w:val="0"/>
        </w:rPr>
        <w:t>.</w:t>
      </w:r>
      <w:r>
        <w:rPr>
          <w:snapToGrid w:val="0"/>
        </w:rPr>
        <w:tab/>
        <w:t>Visiting justice and aggravated prison offences</w:t>
      </w:r>
      <w:bookmarkEnd w:id="138"/>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lastRenderedPageBreak/>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No. 59 of 2004 s. 141; No. 84 of 2004 s. 78.] </w:t>
      </w:r>
    </w:p>
    <w:p>
      <w:pPr>
        <w:pStyle w:val="Heading5"/>
        <w:rPr>
          <w:snapToGrid w:val="0"/>
        </w:rPr>
      </w:pPr>
      <w:bookmarkStart w:id="139" w:name="_Toc103865520"/>
      <w:r>
        <w:rPr>
          <w:rStyle w:val="CharSectno"/>
        </w:rPr>
        <w:t>74</w:t>
      </w:r>
      <w:r>
        <w:rPr>
          <w:snapToGrid w:val="0"/>
        </w:rPr>
        <w:t>.</w:t>
      </w:r>
      <w:r>
        <w:rPr>
          <w:snapToGrid w:val="0"/>
        </w:rPr>
        <w:tab/>
        <w:t>Hearing of charges</w:t>
      </w:r>
      <w:bookmarkEnd w:id="139"/>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No. 59 of 2004 s. 141; No. 65 of 2006 s. 25.] </w:t>
      </w:r>
    </w:p>
    <w:p>
      <w:pPr>
        <w:pStyle w:val="Heading5"/>
        <w:rPr>
          <w:rStyle w:val="CharSectno"/>
        </w:rPr>
      </w:pPr>
      <w:bookmarkStart w:id="140" w:name="_Toc103865521"/>
      <w:r>
        <w:rPr>
          <w:rStyle w:val="CharSectno"/>
        </w:rPr>
        <w:t>74A.</w:t>
      </w:r>
      <w:r>
        <w:rPr>
          <w:rStyle w:val="CharSectno"/>
        </w:rPr>
        <w:tab/>
        <w:t>Charges may be heard and determined by video link</w:t>
      </w:r>
      <w:bookmarkEnd w:id="140"/>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 xml:space="preserve">The hearing officer inquiring into, hearing and determining a charge of a prison offence may, on the hearing officer’s own initiative or on an application by the prosecutor or the prisoner, </w:t>
      </w:r>
      <w:r>
        <w:lastRenderedPageBreak/>
        <w:t>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No. 65 of 2006 s. 26.]</w:t>
      </w:r>
    </w:p>
    <w:p>
      <w:pPr>
        <w:pStyle w:val="Heading5"/>
        <w:rPr>
          <w:snapToGrid w:val="0"/>
        </w:rPr>
      </w:pPr>
      <w:bookmarkStart w:id="141" w:name="_Toc103865522"/>
      <w:r>
        <w:rPr>
          <w:rStyle w:val="CharSectno"/>
        </w:rPr>
        <w:t>75</w:t>
      </w:r>
      <w:r>
        <w:rPr>
          <w:snapToGrid w:val="0"/>
        </w:rPr>
        <w:t>.</w:t>
      </w:r>
      <w:r>
        <w:rPr>
          <w:snapToGrid w:val="0"/>
        </w:rPr>
        <w:tab/>
        <w:t>Procedure for hearing charges of minor prison offences</w:t>
      </w:r>
      <w:bookmarkEnd w:id="141"/>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142" w:name="_Toc103865523"/>
      <w:r>
        <w:rPr>
          <w:rStyle w:val="CharSectno"/>
        </w:rPr>
        <w:t>76</w:t>
      </w:r>
      <w:r>
        <w:rPr>
          <w:snapToGrid w:val="0"/>
        </w:rPr>
        <w:t>.</w:t>
      </w:r>
      <w:r>
        <w:rPr>
          <w:snapToGrid w:val="0"/>
        </w:rPr>
        <w:tab/>
        <w:t>Prisoner not to be legally represented</w:t>
      </w:r>
      <w:bookmarkEnd w:id="142"/>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lastRenderedPageBreak/>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143" w:name="_Toc103865524"/>
      <w:r>
        <w:rPr>
          <w:rStyle w:val="CharSectno"/>
        </w:rPr>
        <w:t>77</w:t>
      </w:r>
      <w:r>
        <w:rPr>
          <w:snapToGrid w:val="0"/>
        </w:rPr>
        <w:t>.</w:t>
      </w:r>
      <w:r>
        <w:rPr>
          <w:snapToGrid w:val="0"/>
        </w:rPr>
        <w:tab/>
        <w:t>Imposition of penalties by superintendent</w:t>
      </w:r>
      <w:bookmarkEnd w:id="143"/>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No. 129 of 1987 s. 28; No. 47 of 1991 s. 7; No. 78 of 1995 s. 110; No. 50 of 2003 s. 29(3).]</w:t>
      </w:r>
    </w:p>
    <w:p>
      <w:pPr>
        <w:pStyle w:val="Heading5"/>
        <w:keepNext w:val="0"/>
        <w:keepLines w:val="0"/>
        <w:spacing w:before="180"/>
        <w:rPr>
          <w:snapToGrid w:val="0"/>
        </w:rPr>
      </w:pPr>
      <w:bookmarkStart w:id="144" w:name="_Toc103865525"/>
      <w:r>
        <w:rPr>
          <w:rStyle w:val="CharSectno"/>
        </w:rPr>
        <w:t>78</w:t>
      </w:r>
      <w:r>
        <w:rPr>
          <w:snapToGrid w:val="0"/>
        </w:rPr>
        <w:t>.</w:t>
      </w:r>
      <w:r>
        <w:rPr>
          <w:snapToGrid w:val="0"/>
        </w:rPr>
        <w:tab/>
        <w:t>Imposition of penalties by visiting justice</w:t>
      </w:r>
      <w:bookmarkEnd w:id="144"/>
      <w:r>
        <w:rPr>
          <w:snapToGrid w:val="0"/>
        </w:rPr>
        <w:t xml:space="preserve"> </w:t>
      </w:r>
    </w:p>
    <w:p>
      <w:pPr>
        <w:pStyle w:val="Subsection"/>
        <w:rPr>
          <w:snapToGrid w:val="0"/>
        </w:rPr>
      </w:pPr>
      <w:r>
        <w:rPr>
          <w:snapToGrid w:val="0"/>
        </w:rPr>
        <w:tab/>
        <w:t>(1)</w:t>
      </w:r>
      <w:r>
        <w:rPr>
          <w:snapToGrid w:val="0"/>
        </w:rPr>
        <w:tab/>
        <w:t xml:space="preserve">Where a minor prison offence is determined by a visiting justice under section 72 and either the prisoner admits the charge or the </w:t>
      </w:r>
      <w:r>
        <w:rPr>
          <w:snapToGrid w:val="0"/>
        </w:rPr>
        <w:lastRenderedPageBreak/>
        <w:t>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No. 129 of 1987 s. 29; No. 47 of 1991 s. 7; No. 78 of 1995 s. 110; No. 50 of 2003 s. 29(3).]</w:t>
      </w:r>
    </w:p>
    <w:p>
      <w:pPr>
        <w:pStyle w:val="Heading5"/>
        <w:keepLines w:val="0"/>
        <w:pageBreakBefore/>
        <w:spacing w:before="0"/>
        <w:rPr>
          <w:snapToGrid w:val="0"/>
        </w:rPr>
      </w:pPr>
      <w:bookmarkStart w:id="145" w:name="_Toc103865526"/>
      <w:r>
        <w:rPr>
          <w:rStyle w:val="CharSectno"/>
        </w:rPr>
        <w:lastRenderedPageBreak/>
        <w:t>79</w:t>
      </w:r>
      <w:r>
        <w:rPr>
          <w:snapToGrid w:val="0"/>
        </w:rPr>
        <w:t>.</w:t>
      </w:r>
      <w:r>
        <w:rPr>
          <w:snapToGrid w:val="0"/>
        </w:rPr>
        <w:tab/>
        <w:t>Imposition of penalties by court of summary jurisdiction</w:t>
      </w:r>
      <w:bookmarkEnd w:id="145"/>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 xml:space="preserve">a fine of </w:t>
      </w:r>
      <w:r>
        <w:t>$3 000;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lastRenderedPageBreak/>
        <w:tab/>
        <w:t>[Section 79 amended: No. 47 of 1991 s. 7; No. 78 of 1995 s. 110; No. 59 of 2004 s. 141; No. 65 of 2006 s. 27; No. 20 of 2020 s. 20.]</w:t>
      </w:r>
    </w:p>
    <w:p>
      <w:pPr>
        <w:pStyle w:val="Heading5"/>
        <w:rPr>
          <w:snapToGrid w:val="0"/>
        </w:rPr>
      </w:pPr>
      <w:bookmarkStart w:id="146" w:name="_Toc103865527"/>
      <w:r>
        <w:rPr>
          <w:rStyle w:val="CharSectno"/>
        </w:rPr>
        <w:t>80</w:t>
      </w:r>
      <w:r>
        <w:rPr>
          <w:snapToGrid w:val="0"/>
        </w:rPr>
        <w:t>.</w:t>
      </w:r>
      <w:r>
        <w:rPr>
          <w:snapToGrid w:val="0"/>
        </w:rPr>
        <w:tab/>
        <w:t>Punishment book</w:t>
      </w:r>
      <w:bookmarkEnd w:id="146"/>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No. 47 of 1987 s. 11; No. 113 of 1987 s. 32; No. 65 of 2006 s. 28.]</w:t>
      </w:r>
    </w:p>
    <w:p>
      <w:pPr>
        <w:pStyle w:val="Heading5"/>
        <w:spacing w:before="180"/>
        <w:rPr>
          <w:snapToGrid w:val="0"/>
        </w:rPr>
      </w:pPr>
      <w:bookmarkStart w:id="147" w:name="_Toc103865528"/>
      <w:r>
        <w:rPr>
          <w:rStyle w:val="CharSectno"/>
        </w:rPr>
        <w:t>81</w:t>
      </w:r>
      <w:r>
        <w:rPr>
          <w:snapToGrid w:val="0"/>
        </w:rPr>
        <w:t>.</w:t>
      </w:r>
      <w:r>
        <w:rPr>
          <w:snapToGrid w:val="0"/>
        </w:rPr>
        <w:tab/>
        <w:t>Reports of punishments under s. 79 to chief executive officer</w:t>
      </w:r>
      <w:bookmarkEnd w:id="147"/>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 xml:space="preserve">a penalty under section 79(2) as if the offence were a minor prison offence, the superintendent shall maintain a record of the nature and date of the offence, the name of the prisoner, the punishment imposed </w:t>
      </w:r>
      <w:r>
        <w:rPr>
          <w:snapToGrid w:val="0"/>
        </w:rPr>
        <w:lastRenderedPageBreak/>
        <w:t>and the date on which it was imposed and shall send forthwith to the chief executive officer particulars of every such case.</w:t>
      </w:r>
    </w:p>
    <w:p>
      <w:pPr>
        <w:pStyle w:val="Footnotesection"/>
      </w:pPr>
      <w:r>
        <w:tab/>
        <w:t>[Section 81 amended: No. 47 of 1987 s. 11; No. 113 of 1987 s. 32; No. 59 of 2004 s. 141.]</w:t>
      </w:r>
    </w:p>
    <w:p>
      <w:pPr>
        <w:pStyle w:val="Heading5"/>
        <w:rPr>
          <w:snapToGrid w:val="0"/>
        </w:rPr>
      </w:pPr>
      <w:bookmarkStart w:id="148" w:name="_Toc103865529"/>
      <w:r>
        <w:rPr>
          <w:rStyle w:val="CharSectno"/>
        </w:rPr>
        <w:t>82</w:t>
      </w:r>
      <w:r>
        <w:rPr>
          <w:snapToGrid w:val="0"/>
        </w:rPr>
        <w:t>.</w:t>
      </w:r>
      <w:r>
        <w:rPr>
          <w:snapToGrid w:val="0"/>
        </w:rPr>
        <w:tab/>
        <w:t>Punishment by confinement</w:t>
      </w:r>
      <w:bookmarkEnd w:id="148"/>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No. 47 of 1987 s. 11; No. 113 of 1987 s. 32.]</w:t>
      </w:r>
    </w:p>
    <w:p>
      <w:pPr>
        <w:pStyle w:val="Heading2"/>
      </w:pPr>
      <w:bookmarkStart w:id="149" w:name="_Toc103862667"/>
      <w:bookmarkStart w:id="150" w:name="_Toc103862859"/>
      <w:bookmarkStart w:id="151" w:name="_Toc103865530"/>
      <w:r>
        <w:rPr>
          <w:rStyle w:val="CharPartNo"/>
        </w:rPr>
        <w:lastRenderedPageBreak/>
        <w:t>Part VIII</w:t>
      </w:r>
      <w:r>
        <w:rPr>
          <w:rStyle w:val="CharDivNo"/>
        </w:rPr>
        <w:t> </w:t>
      </w:r>
      <w:r>
        <w:t>—</w:t>
      </w:r>
      <w:r>
        <w:rPr>
          <w:rStyle w:val="CharDivText"/>
        </w:rPr>
        <w:t> </w:t>
      </w:r>
      <w:r>
        <w:rPr>
          <w:rStyle w:val="CharPartText"/>
        </w:rPr>
        <w:t>Authorised absences from prison</w:t>
      </w:r>
      <w:bookmarkEnd w:id="149"/>
      <w:bookmarkEnd w:id="150"/>
      <w:bookmarkEnd w:id="151"/>
      <w:r>
        <w:rPr>
          <w:rStyle w:val="CharPartText"/>
        </w:rPr>
        <w:t xml:space="preserve"> </w:t>
      </w:r>
    </w:p>
    <w:p>
      <w:pPr>
        <w:pStyle w:val="Heading5"/>
        <w:spacing w:before="240"/>
      </w:pPr>
      <w:bookmarkStart w:id="152" w:name="_Toc103865531"/>
      <w:r>
        <w:rPr>
          <w:rStyle w:val="CharSectno"/>
        </w:rPr>
        <w:t>83</w:t>
      </w:r>
      <w:r>
        <w:t>.</w:t>
      </w:r>
      <w:r>
        <w:tab/>
        <w:t>Permits to be absent from prison</w:t>
      </w:r>
      <w:bookmarkEnd w:id="152"/>
    </w:p>
    <w:p>
      <w:pPr>
        <w:pStyle w:val="Subsection"/>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 xml:space="preserve">The </w:t>
      </w:r>
      <w:r>
        <w:rPr>
          <w:snapToGrid w:val="0"/>
        </w:rPr>
        <w:t>chief</w:t>
      </w:r>
      <w:r>
        <w:t xml:space="preserve"> executive officer is not to give an absence permit unless the chief executive officer is satisfied that the absence </w:t>
      </w:r>
      <w:r>
        <w:lastRenderedPageBreak/>
        <w:t>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 xml:space="preserve">the </w:t>
      </w:r>
      <w:r>
        <w:rPr>
          <w:snapToGrid w:val="0"/>
        </w:rPr>
        <w:t>chief</w:t>
      </w:r>
      <w:r>
        <w:t xml:space="preserve"> executive officer must take into account the safety and interests of the public.</w:t>
      </w:r>
    </w:p>
    <w:p>
      <w:pPr>
        <w:pStyle w:val="Footnotesection"/>
        <w:ind w:left="890" w:hanging="890"/>
      </w:pPr>
      <w:r>
        <w:tab/>
        <w:t>[Section 83 inserted: No. 65 of 2006 s. 29.]</w:t>
      </w:r>
    </w:p>
    <w:p>
      <w:pPr>
        <w:pStyle w:val="Heading5"/>
        <w:spacing w:before="240"/>
      </w:pPr>
      <w:bookmarkStart w:id="153" w:name="_Toc103865532"/>
      <w:r>
        <w:rPr>
          <w:rStyle w:val="CharSectno"/>
        </w:rPr>
        <w:t>83A</w:t>
      </w:r>
      <w:r>
        <w:t>.</w:t>
      </w:r>
      <w:r>
        <w:tab/>
        <w:t>Effect of permit</w:t>
      </w:r>
      <w:bookmarkEnd w:id="153"/>
    </w:p>
    <w:p>
      <w:pPr>
        <w:pStyle w:val="Subsection"/>
      </w:pPr>
      <w:r>
        <w:tab/>
      </w:r>
      <w:r>
        <w:tab/>
        <w:t xml:space="preserve">An </w:t>
      </w:r>
      <w:r>
        <w:rPr>
          <w:snapToGrid w:val="0"/>
        </w:rPr>
        <w:t>absence</w:t>
      </w:r>
      <w:r>
        <w:t xml:space="preserve"> permit has effect despite the sentence, order or direction under which a prisoner was confined in prison.</w:t>
      </w:r>
    </w:p>
    <w:p>
      <w:pPr>
        <w:pStyle w:val="Footnotesection"/>
        <w:ind w:left="890" w:hanging="890"/>
      </w:pPr>
      <w:r>
        <w:tab/>
        <w:t>[Section 83A inserted: No. 65 of 2006 s. 29.]</w:t>
      </w:r>
    </w:p>
    <w:p>
      <w:pPr>
        <w:pStyle w:val="Heading5"/>
        <w:spacing w:before="240"/>
      </w:pPr>
      <w:bookmarkStart w:id="154" w:name="_Toc103865533"/>
      <w:r>
        <w:rPr>
          <w:rStyle w:val="CharSectno"/>
        </w:rPr>
        <w:t>83B</w:t>
      </w:r>
      <w:r>
        <w:t>.</w:t>
      </w:r>
      <w:r>
        <w:tab/>
        <w:t>Revocation or cancellation of permit</w:t>
      </w:r>
      <w:bookmarkEnd w:id="154"/>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ind w:left="890" w:hanging="890"/>
      </w:pPr>
      <w:r>
        <w:tab/>
        <w:t>[Section 83B inserted: No. 65 of 2006 s. 29.]</w:t>
      </w:r>
    </w:p>
    <w:p>
      <w:pPr>
        <w:pStyle w:val="Heading5"/>
        <w:spacing w:before="240"/>
        <w:rPr>
          <w:snapToGrid w:val="0"/>
        </w:rPr>
      </w:pPr>
      <w:bookmarkStart w:id="155" w:name="_Toc103865534"/>
      <w:r>
        <w:rPr>
          <w:rStyle w:val="CharSectno"/>
        </w:rPr>
        <w:t>84</w:t>
      </w:r>
      <w:r>
        <w:rPr>
          <w:snapToGrid w:val="0"/>
        </w:rPr>
        <w:t>.</w:t>
      </w:r>
      <w:r>
        <w:rPr>
          <w:snapToGrid w:val="0"/>
        </w:rPr>
        <w:tab/>
        <w:t xml:space="preserve">Breach of </w:t>
      </w:r>
      <w:r>
        <w:t>condition</w:t>
      </w:r>
      <w:r>
        <w:rPr>
          <w:snapToGrid w:val="0"/>
        </w:rPr>
        <w:t xml:space="preserve"> of permit</w:t>
      </w:r>
      <w:bookmarkEnd w:id="155"/>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 xml:space="preserve">has failed to comply, or </w:t>
      </w:r>
      <w:r>
        <w:rPr>
          <w:snapToGrid w:val="0"/>
        </w:rPr>
        <w:lastRenderedPageBreak/>
        <w:t>appears likely to fail to comply, with any condition or restriction set out in the permit or that unforeseen or special circumstances otherwise so require, the officer may return the prisoner forthwith to prison.</w:t>
      </w:r>
    </w:p>
    <w:p>
      <w:pPr>
        <w:pStyle w:val="Footnotesection"/>
        <w:ind w:left="890" w:hanging="890"/>
      </w:pPr>
      <w:r>
        <w:tab/>
        <w:t>[Section 84 amended: No. 65 of 2006 s. 30.]</w:t>
      </w:r>
    </w:p>
    <w:p>
      <w:pPr>
        <w:pStyle w:val="Heading5"/>
        <w:rPr>
          <w:snapToGrid w:val="0"/>
        </w:rPr>
      </w:pPr>
      <w:bookmarkStart w:id="156" w:name="_Toc103865535"/>
      <w:r>
        <w:rPr>
          <w:rStyle w:val="CharSectno"/>
        </w:rPr>
        <w:t>85</w:t>
      </w:r>
      <w:r>
        <w:rPr>
          <w:snapToGrid w:val="0"/>
        </w:rPr>
        <w:t>.</w:t>
      </w:r>
      <w:r>
        <w:rPr>
          <w:snapToGrid w:val="0"/>
        </w:rPr>
        <w:tab/>
      </w:r>
      <w:r>
        <w:t>Attendance</w:t>
      </w:r>
      <w:r>
        <w:rPr>
          <w:snapToGrid w:val="0"/>
        </w:rPr>
        <w:t xml:space="preserve"> of prisoner at legal or investigative proceedings</w:t>
      </w:r>
      <w:bookmarkEnd w:id="156"/>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No. 65 of 2006 s. 31; amended: No. 20 of 2013 s. 103.]</w:t>
      </w:r>
    </w:p>
    <w:p>
      <w:pPr>
        <w:pStyle w:val="Footnotesection"/>
      </w:pPr>
      <w:r>
        <w:tab/>
        <w:t>[Section 85. Modifications to be applied in order to give effect to Cross</w:t>
      </w:r>
      <w:r>
        <w:noBreakHyphen/>
        <w:t>border Justice Act 2008: section altered 1 Nov 2009. See endnote 1M.]</w:t>
      </w:r>
    </w:p>
    <w:p>
      <w:pPr>
        <w:pStyle w:val="Heading5"/>
        <w:keepNext w:val="0"/>
        <w:keepLines w:val="0"/>
        <w:pageBreakBefore/>
        <w:spacing w:before="0"/>
        <w:rPr>
          <w:snapToGrid w:val="0"/>
        </w:rPr>
      </w:pPr>
      <w:bookmarkStart w:id="157" w:name="_Toc103865536"/>
      <w:r>
        <w:rPr>
          <w:rStyle w:val="CharSectno"/>
        </w:rPr>
        <w:lastRenderedPageBreak/>
        <w:t>86</w:t>
      </w:r>
      <w:r>
        <w:rPr>
          <w:snapToGrid w:val="0"/>
        </w:rPr>
        <w:t>.</w:t>
      </w:r>
      <w:r>
        <w:rPr>
          <w:snapToGrid w:val="0"/>
        </w:rPr>
        <w:tab/>
        <w:t>Consequence of escape or of failure to comply with absence permit or order</w:t>
      </w:r>
      <w:bookmarkEnd w:id="157"/>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158" w:name="_Toc103865537"/>
      <w:r>
        <w:rPr>
          <w:rStyle w:val="CharSectno"/>
        </w:rPr>
        <w:t>87</w:t>
      </w:r>
      <w:r>
        <w:t>.</w:t>
      </w:r>
      <w:r>
        <w:tab/>
        <w:t>Regulations about absences from prison</w:t>
      </w:r>
      <w:bookmarkEnd w:id="158"/>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lastRenderedPageBreak/>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No. 65 of 2006 s. 31.]</w:t>
      </w:r>
    </w:p>
    <w:p>
      <w:pPr>
        <w:pStyle w:val="Heading5"/>
      </w:pPr>
      <w:bookmarkStart w:id="159" w:name="_Toc103865538"/>
      <w:r>
        <w:rPr>
          <w:rStyle w:val="CharSectno"/>
        </w:rPr>
        <w:t>88</w:t>
      </w:r>
      <w:r>
        <w:t>.</w:t>
      </w:r>
      <w:r>
        <w:tab/>
        <w:t>Interstate arrangements</w:t>
      </w:r>
      <w:bookmarkEnd w:id="159"/>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 xml:space="preserve">provide for circumstances in which an absence permit may be given permitting the prisoner to travel to and be </w:t>
      </w:r>
      <w:r>
        <w:lastRenderedPageBreak/>
        <w:t>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No. 65 of 2006 s. 31.]</w:t>
      </w:r>
    </w:p>
    <w:p>
      <w:pPr>
        <w:pStyle w:val="Ednotesection"/>
      </w:pPr>
      <w:r>
        <w:t>[</w:t>
      </w:r>
      <w:r>
        <w:rPr>
          <w:b/>
          <w:bCs/>
        </w:rPr>
        <w:t>89</w:t>
      </w:r>
      <w:r>
        <w:rPr>
          <w:b/>
          <w:bCs/>
        </w:rPr>
        <w:noBreakHyphen/>
        <w:t>94.</w:t>
      </w:r>
      <w:r>
        <w:tab/>
        <w:t>Deleted: No. 65 of 2006 s. 31.]</w:t>
      </w:r>
    </w:p>
    <w:p>
      <w:pPr>
        <w:pStyle w:val="Heading2"/>
      </w:pPr>
      <w:bookmarkStart w:id="160" w:name="_Toc103862676"/>
      <w:bookmarkStart w:id="161" w:name="_Toc103862868"/>
      <w:bookmarkStart w:id="162" w:name="_Toc103865539"/>
      <w:r>
        <w:rPr>
          <w:rStyle w:val="CharPartNo"/>
        </w:rPr>
        <w:lastRenderedPageBreak/>
        <w:t>Part IX</w:t>
      </w:r>
      <w:r>
        <w:rPr>
          <w:b w:val="0"/>
        </w:rPr>
        <w:t> </w:t>
      </w:r>
      <w:r>
        <w:t>—</w:t>
      </w:r>
      <w:r>
        <w:rPr>
          <w:b w:val="0"/>
        </w:rPr>
        <w:t> </w:t>
      </w:r>
      <w:r>
        <w:rPr>
          <w:rStyle w:val="CharPartText"/>
        </w:rPr>
        <w:t>Prisoner wellbeing and rehabilitation</w:t>
      </w:r>
      <w:bookmarkEnd w:id="160"/>
      <w:bookmarkEnd w:id="161"/>
      <w:bookmarkEnd w:id="162"/>
    </w:p>
    <w:p>
      <w:pPr>
        <w:pStyle w:val="Footnoteheading"/>
      </w:pPr>
      <w:r>
        <w:tab/>
        <w:t>[Heading inserted: No. 65 of 2006 s. 32.]</w:t>
      </w:r>
    </w:p>
    <w:p>
      <w:pPr>
        <w:pStyle w:val="Heading5"/>
        <w:rPr>
          <w:snapToGrid w:val="0"/>
        </w:rPr>
      </w:pPr>
      <w:bookmarkStart w:id="163" w:name="_Toc103865540"/>
      <w:r>
        <w:rPr>
          <w:rStyle w:val="CharSectno"/>
        </w:rPr>
        <w:t>95</w:t>
      </w:r>
      <w:r>
        <w:rPr>
          <w:snapToGrid w:val="0"/>
        </w:rPr>
        <w:t>.</w:t>
      </w:r>
      <w:r>
        <w:rPr>
          <w:snapToGrid w:val="0"/>
        </w:rPr>
        <w:tab/>
      </w:r>
      <w:r>
        <w:t>Preparation</w:t>
      </w:r>
      <w:r>
        <w:rPr>
          <w:snapToGrid w:val="0"/>
        </w:rPr>
        <w:t xml:space="preserve"> and implementation of activity programmes</w:t>
      </w:r>
      <w:bookmarkEnd w:id="163"/>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lastRenderedPageBreak/>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No. 65 of 2006 s. 32.]</w:t>
      </w:r>
    </w:p>
    <w:p>
      <w:pPr>
        <w:pStyle w:val="Heading5"/>
      </w:pPr>
      <w:bookmarkStart w:id="164" w:name="_Toc103865541"/>
      <w:r>
        <w:rPr>
          <w:rStyle w:val="CharSectno"/>
        </w:rPr>
        <w:t>95A</w:t>
      </w:r>
      <w:r>
        <w:t>.</w:t>
      </w:r>
      <w:r>
        <w:tab/>
        <w:t>Medical care of prisoners</w:t>
      </w:r>
      <w:bookmarkEnd w:id="164"/>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lastRenderedPageBreak/>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No. 65 of 2006 s. 32.]</w:t>
      </w:r>
    </w:p>
    <w:p>
      <w:pPr>
        <w:pStyle w:val="Heading5"/>
      </w:pPr>
      <w:bookmarkStart w:id="165" w:name="_Toc103865542"/>
      <w:r>
        <w:rPr>
          <w:rStyle w:val="CharSectno"/>
        </w:rPr>
        <w:t>95B</w:t>
      </w:r>
      <w:r>
        <w:t>.</w:t>
      </w:r>
      <w:r>
        <w:tab/>
        <w:t>Duties of medical officers</w:t>
      </w:r>
      <w:bookmarkEnd w:id="165"/>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lastRenderedPageBreak/>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No. 65 of 2006 s. 32.]</w:t>
      </w:r>
    </w:p>
    <w:p>
      <w:pPr>
        <w:pStyle w:val="Heading5"/>
      </w:pPr>
      <w:bookmarkStart w:id="166" w:name="_Toc103865543"/>
      <w:r>
        <w:rPr>
          <w:rStyle w:val="CharSectno"/>
        </w:rPr>
        <w:t>95C</w:t>
      </w:r>
      <w:r>
        <w:t>.</w:t>
      </w:r>
      <w:r>
        <w:tab/>
        <w:t>Health inspection of prisons</w:t>
      </w:r>
      <w:bookmarkEnd w:id="166"/>
      <w:r>
        <w:t xml:space="preserve"> </w:t>
      </w:r>
    </w:p>
    <w:p>
      <w:pPr>
        <w:pStyle w:val="Subsection"/>
      </w:pPr>
      <w:r>
        <w:tab/>
        <w:t>(1)</w:t>
      </w:r>
      <w:r>
        <w:tab/>
        <w:t xml:space="preserve">In this section — </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Subsection"/>
      </w:pPr>
      <w:r>
        <w:tab/>
        <w:t>(2)</w:t>
      </w:r>
      <w:r>
        <w:tab/>
        <w:t>The Chief Health Officer is to cause the health and hygiene standards and conditions at every prison to be inspected from time to time.</w:t>
      </w:r>
    </w:p>
    <w:p>
      <w:pPr>
        <w:pStyle w:val="Subsection"/>
      </w:pPr>
      <w:r>
        <w:tab/>
        <w:t>(3)</w:t>
      </w:r>
      <w:r>
        <w:tab/>
        <w:t>Following the inspection of a prison under subsection (2) the Chief Health Officer is to report in writing to the chief executive officer any matter concerned with health and hygiene standards and conditions at the prison which, in the opinion of the Chief Health Officer, requires attention.</w:t>
      </w:r>
    </w:p>
    <w:p>
      <w:pPr>
        <w:pStyle w:val="Footnotesection"/>
      </w:pPr>
      <w:r>
        <w:tab/>
        <w:t>[Section 95C inserted: No. 65 of 2006 s. 32; amended: No. 19 of 2016 s. 181.]</w:t>
      </w:r>
    </w:p>
    <w:p>
      <w:pPr>
        <w:pStyle w:val="Heading5"/>
        <w:rPr>
          <w:snapToGrid w:val="0"/>
        </w:rPr>
      </w:pPr>
      <w:bookmarkStart w:id="167" w:name="_Toc103865544"/>
      <w:r>
        <w:rPr>
          <w:rStyle w:val="CharSectno"/>
        </w:rPr>
        <w:t>95D</w:t>
      </w:r>
      <w:r>
        <w:rPr>
          <w:snapToGrid w:val="0"/>
        </w:rPr>
        <w:t>.</w:t>
      </w:r>
      <w:r>
        <w:rPr>
          <w:snapToGrid w:val="0"/>
        </w:rPr>
        <w:tab/>
        <w:t>Power of medical examination and treatment</w:t>
      </w:r>
      <w:bookmarkEnd w:id="167"/>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 xml:space="preserve">refuses to undergo medical treatment and a medical officer is of the opinion that the life or health of the </w:t>
      </w:r>
      <w:r>
        <w:lastRenderedPageBreak/>
        <w:t>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No. 65 of 2006 s. 32.]</w:t>
      </w:r>
    </w:p>
    <w:p>
      <w:pPr>
        <w:pStyle w:val="Heading5"/>
        <w:rPr>
          <w:snapToGrid w:val="0"/>
        </w:rPr>
      </w:pPr>
      <w:bookmarkStart w:id="168" w:name="_Toc103865545"/>
      <w:r>
        <w:rPr>
          <w:rStyle w:val="CharSectno"/>
        </w:rPr>
        <w:t>95E</w:t>
      </w:r>
      <w:r>
        <w:rPr>
          <w:snapToGrid w:val="0"/>
        </w:rPr>
        <w:t>.</w:t>
      </w:r>
      <w:r>
        <w:rPr>
          <w:snapToGrid w:val="0"/>
        </w:rPr>
        <w:tab/>
        <w:t>Practice of religion or spiritual beliefs by prisoners</w:t>
      </w:r>
      <w:bookmarkEnd w:id="168"/>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No. 65 of 2006 s. 32.]</w:t>
      </w:r>
    </w:p>
    <w:p>
      <w:pPr>
        <w:pStyle w:val="Heading2"/>
      </w:pPr>
      <w:bookmarkStart w:id="169" w:name="_Toc103862683"/>
      <w:bookmarkStart w:id="170" w:name="_Toc103862875"/>
      <w:bookmarkStart w:id="171" w:name="_Toc103865546"/>
      <w:r>
        <w:rPr>
          <w:rStyle w:val="CharPartNo"/>
        </w:rPr>
        <w:lastRenderedPageBreak/>
        <w:t>Part X</w:t>
      </w:r>
      <w:r>
        <w:rPr>
          <w:b w:val="0"/>
        </w:rPr>
        <w:t> </w:t>
      </w:r>
      <w:r>
        <w:t>—</w:t>
      </w:r>
      <w:r>
        <w:rPr>
          <w:b w:val="0"/>
        </w:rPr>
        <w:t> </w:t>
      </w:r>
      <w:r>
        <w:rPr>
          <w:rStyle w:val="CharPartText"/>
        </w:rPr>
        <w:t>Discipline of prison officers</w:t>
      </w:r>
      <w:bookmarkEnd w:id="169"/>
      <w:bookmarkEnd w:id="170"/>
      <w:bookmarkEnd w:id="171"/>
    </w:p>
    <w:p>
      <w:pPr>
        <w:pStyle w:val="Footnoteheading"/>
      </w:pPr>
      <w:r>
        <w:tab/>
        <w:t>[Heading inserted: No. 29 of 2014 s. 7.]</w:t>
      </w:r>
    </w:p>
    <w:p>
      <w:pPr>
        <w:pStyle w:val="Heading3"/>
      </w:pPr>
      <w:bookmarkStart w:id="172" w:name="_Toc103862684"/>
      <w:bookmarkStart w:id="173" w:name="_Toc103862876"/>
      <w:bookmarkStart w:id="174" w:name="_Toc103865547"/>
      <w:r>
        <w:rPr>
          <w:rStyle w:val="CharDivNo"/>
        </w:rPr>
        <w:t>Division 1</w:t>
      </w:r>
      <w:r>
        <w:t> — </w:t>
      </w:r>
      <w:r>
        <w:rPr>
          <w:rStyle w:val="CharDivText"/>
        </w:rPr>
        <w:t>Preliminary</w:t>
      </w:r>
      <w:bookmarkEnd w:id="172"/>
      <w:bookmarkEnd w:id="173"/>
      <w:bookmarkEnd w:id="174"/>
    </w:p>
    <w:p>
      <w:pPr>
        <w:pStyle w:val="Footnoteheading"/>
      </w:pPr>
      <w:r>
        <w:tab/>
        <w:t>[Heading inserted: No. 29 of 2014 s. 7.]</w:t>
      </w:r>
    </w:p>
    <w:p>
      <w:pPr>
        <w:pStyle w:val="Heading5"/>
      </w:pPr>
      <w:bookmarkStart w:id="175" w:name="_Toc103865548"/>
      <w:r>
        <w:rPr>
          <w:rStyle w:val="CharSectno"/>
        </w:rPr>
        <w:t>96</w:t>
      </w:r>
      <w:r>
        <w:t>.</w:t>
      </w:r>
      <w:r>
        <w:tab/>
        <w:t>Term used: prison officer</w:t>
      </w:r>
      <w:bookmarkEnd w:id="175"/>
    </w:p>
    <w:p>
      <w:pPr>
        <w:pStyle w:val="Subsection"/>
        <w:rPr>
          <w:snapToGrid w:val="0"/>
        </w:rPr>
      </w:pPr>
      <w:r>
        <w:rPr>
          <w:snapToGrid w:val="0"/>
        </w:rPr>
        <w:tab/>
      </w:r>
      <w:r>
        <w:rPr>
          <w:snapToGrid w:val="0"/>
        </w:rPr>
        <w:tab/>
        <w:t>In this Part — </w:t>
      </w:r>
    </w:p>
    <w:p>
      <w:pPr>
        <w:pStyle w:val="Defstart"/>
      </w:pPr>
      <w:r>
        <w:tab/>
      </w:r>
      <w:r>
        <w:rPr>
          <w:rStyle w:val="CharDefText"/>
        </w:rPr>
        <w:t>prison officer</w:t>
      </w:r>
      <w:r>
        <w:t xml:space="preserve"> means a person engaged to be a prison officer under section 13(1).</w:t>
      </w:r>
    </w:p>
    <w:p>
      <w:pPr>
        <w:pStyle w:val="Footnotesection"/>
      </w:pPr>
      <w:r>
        <w:tab/>
        <w:t>[Section 96 inserted: No. 29 of 2014 s. 7.]</w:t>
      </w:r>
    </w:p>
    <w:p>
      <w:pPr>
        <w:pStyle w:val="Heading3"/>
      </w:pPr>
      <w:bookmarkStart w:id="176" w:name="_Toc103862686"/>
      <w:bookmarkStart w:id="177" w:name="_Toc103862878"/>
      <w:bookmarkStart w:id="178" w:name="_Toc103865549"/>
      <w:r>
        <w:rPr>
          <w:rStyle w:val="CharDivNo"/>
        </w:rPr>
        <w:t>Division 2</w:t>
      </w:r>
      <w:r>
        <w:t> — </w:t>
      </w:r>
      <w:r>
        <w:rPr>
          <w:rStyle w:val="CharDivText"/>
        </w:rPr>
        <w:t>General discipline</w:t>
      </w:r>
      <w:bookmarkEnd w:id="176"/>
      <w:bookmarkEnd w:id="177"/>
      <w:bookmarkEnd w:id="178"/>
    </w:p>
    <w:p>
      <w:pPr>
        <w:pStyle w:val="Footnoteheading"/>
      </w:pPr>
      <w:r>
        <w:tab/>
        <w:t>[Heading inserted: No. 29 of 2014 s. 7.]</w:t>
      </w:r>
    </w:p>
    <w:p>
      <w:pPr>
        <w:pStyle w:val="Heading5"/>
      </w:pPr>
      <w:bookmarkStart w:id="179" w:name="_Toc103865550"/>
      <w:r>
        <w:rPr>
          <w:rStyle w:val="CharSectno"/>
        </w:rPr>
        <w:t>97</w:t>
      </w:r>
      <w:r>
        <w:t>.</w:t>
      </w:r>
      <w:r>
        <w:tab/>
        <w:t>Regulations, rules to be strictly observed</w:t>
      </w:r>
      <w:bookmarkEnd w:id="179"/>
      <w:r>
        <w:t xml:space="preserve"> </w:t>
      </w:r>
    </w:p>
    <w:p>
      <w:pPr>
        <w:pStyle w:val="Subsection"/>
        <w:rPr>
          <w:snapToGrid w:val="0"/>
        </w:rPr>
      </w:pPr>
      <w:r>
        <w:rPr>
          <w:snapToGrid w:val="0"/>
        </w:rPr>
        <w:tab/>
      </w:r>
      <w:r>
        <w:rPr>
          <w:snapToGrid w:val="0"/>
        </w:rPr>
        <w:tab/>
        <w:t>A prison officer must use his or her best endeavours to ensure that this Act, regulations made under this Act, rules and standing orders are strictly observed.</w:t>
      </w:r>
    </w:p>
    <w:p>
      <w:pPr>
        <w:pStyle w:val="Footnotesection"/>
      </w:pPr>
      <w:r>
        <w:tab/>
        <w:t>[Section 97 inserted: No. 29 of 2014 s. 7.]</w:t>
      </w:r>
    </w:p>
    <w:p>
      <w:pPr>
        <w:pStyle w:val="Heading5"/>
      </w:pPr>
      <w:bookmarkStart w:id="180" w:name="_Toc103865551"/>
      <w:r>
        <w:rPr>
          <w:rStyle w:val="CharSectno"/>
        </w:rPr>
        <w:t>98</w:t>
      </w:r>
      <w:r>
        <w:t>.</w:t>
      </w:r>
      <w:r>
        <w:tab/>
        <w:t xml:space="preserve">Application of </w:t>
      </w:r>
      <w:r>
        <w:rPr>
          <w:i/>
        </w:rPr>
        <w:t>Public Sector Management Act 1994</w:t>
      </w:r>
      <w:r>
        <w:t xml:space="preserve"> Part 5</w:t>
      </w:r>
      <w:bookmarkEnd w:id="180"/>
    </w:p>
    <w:p>
      <w:pPr>
        <w:pStyle w:val="Subsection"/>
      </w:pPr>
      <w:r>
        <w:tab/>
      </w:r>
      <w:r>
        <w:tab/>
        <w:t xml:space="preserve">Prison officers are prescribed for the purposes of the </w:t>
      </w:r>
      <w:r>
        <w:rPr>
          <w:i/>
        </w:rPr>
        <w:t>Public Sector Management Act 1994</w:t>
      </w:r>
      <w:r>
        <w:t xml:space="preserve"> section 76(1)(b).</w:t>
      </w:r>
    </w:p>
    <w:p>
      <w:pPr>
        <w:pStyle w:val="Footnotesection"/>
      </w:pPr>
      <w:r>
        <w:tab/>
        <w:t>[Section 98 inserted: No. 29 of 2014 s. 7.]</w:t>
      </w:r>
    </w:p>
    <w:p>
      <w:pPr>
        <w:pStyle w:val="Heading3"/>
        <w:keepNext w:val="0"/>
        <w:pageBreakBefore/>
        <w:spacing w:before="0"/>
      </w:pPr>
      <w:bookmarkStart w:id="181" w:name="_Toc103862689"/>
      <w:bookmarkStart w:id="182" w:name="_Toc103862881"/>
      <w:bookmarkStart w:id="183" w:name="_Toc103865552"/>
      <w:r>
        <w:rPr>
          <w:rStyle w:val="CharDivNo"/>
        </w:rPr>
        <w:lastRenderedPageBreak/>
        <w:t>Division 3</w:t>
      </w:r>
      <w:r>
        <w:t> — </w:t>
      </w:r>
      <w:r>
        <w:rPr>
          <w:rStyle w:val="CharDivText"/>
        </w:rPr>
        <w:t>Removal of prison officers due to loss of confidence</w:t>
      </w:r>
      <w:bookmarkEnd w:id="181"/>
      <w:bookmarkEnd w:id="182"/>
      <w:bookmarkEnd w:id="183"/>
    </w:p>
    <w:p>
      <w:pPr>
        <w:pStyle w:val="Footnoteheading"/>
      </w:pPr>
      <w:r>
        <w:tab/>
        <w:t>[Heading inserted: No. 29 of 2014 s. 7.]</w:t>
      </w:r>
    </w:p>
    <w:p>
      <w:pPr>
        <w:pStyle w:val="Heading4"/>
      </w:pPr>
      <w:bookmarkStart w:id="184" w:name="_Toc103862690"/>
      <w:bookmarkStart w:id="185" w:name="_Toc103862882"/>
      <w:bookmarkStart w:id="186" w:name="_Toc103865553"/>
      <w:r>
        <w:t>Subdivision 1 — Preliminary</w:t>
      </w:r>
      <w:bookmarkEnd w:id="184"/>
      <w:bookmarkEnd w:id="185"/>
      <w:bookmarkEnd w:id="186"/>
    </w:p>
    <w:p>
      <w:pPr>
        <w:pStyle w:val="Footnoteheading"/>
      </w:pPr>
      <w:r>
        <w:tab/>
        <w:t>[Heading inserted: No. 29 of 2014 s. 7.]</w:t>
      </w:r>
    </w:p>
    <w:p>
      <w:pPr>
        <w:pStyle w:val="Heading5"/>
      </w:pPr>
      <w:bookmarkStart w:id="187" w:name="_Toc103865554"/>
      <w:r>
        <w:rPr>
          <w:rStyle w:val="CharSectno"/>
        </w:rPr>
        <w:t>99</w:t>
      </w:r>
      <w:r>
        <w:t>.</w:t>
      </w:r>
      <w:r>
        <w:tab/>
        <w:t>Terms used</w:t>
      </w:r>
      <w:bookmarkEnd w:id="187"/>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106;</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102(3)(b);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103(1);</w:t>
      </w:r>
    </w:p>
    <w:p>
      <w:pPr>
        <w:pStyle w:val="Defstart"/>
      </w:pPr>
      <w:r>
        <w:tab/>
      </w:r>
      <w:r>
        <w:rPr>
          <w:rStyle w:val="CharDefText"/>
        </w:rPr>
        <w:t>maintenance period</w:t>
      </w:r>
      <w:r>
        <w:t xml:space="preserve"> has the meaning given in section 103(1);</w:t>
      </w:r>
    </w:p>
    <w:p>
      <w:pPr>
        <w:pStyle w:val="Defstart"/>
      </w:pPr>
      <w:r>
        <w:tab/>
      </w:r>
      <w:r>
        <w:rPr>
          <w:rStyle w:val="CharDefText"/>
        </w:rPr>
        <w:t>new evidence</w:t>
      </w:r>
      <w:r>
        <w:t xml:space="preserve">, on an appeal against the removal of a prison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102(1);</w:t>
      </w:r>
    </w:p>
    <w:p>
      <w:pPr>
        <w:pStyle w:val="Defpara"/>
      </w:pPr>
      <w:r>
        <w:tab/>
        <w:t>(c)</w:t>
      </w:r>
      <w:r>
        <w:tab/>
        <w:t>a written submission made to the chief executive officer by the prison officer under section 102(2);</w:t>
      </w:r>
    </w:p>
    <w:p>
      <w:pPr>
        <w:pStyle w:val="Defpara"/>
      </w:pPr>
      <w:r>
        <w:tab/>
        <w:t>(d)</w:t>
      </w:r>
      <w:r>
        <w:tab/>
        <w:t>a decision notice;</w:t>
      </w:r>
    </w:p>
    <w:p>
      <w:pPr>
        <w:pStyle w:val="Defpara"/>
      </w:pPr>
      <w:r>
        <w:tab/>
        <w:t>(e)</w:t>
      </w:r>
      <w:r>
        <w:tab/>
        <w:t>a notification of the removal;</w:t>
      </w:r>
    </w:p>
    <w:p>
      <w:pPr>
        <w:pStyle w:val="Defstart"/>
      </w:pPr>
      <w:r>
        <w:tab/>
      </w:r>
      <w:r>
        <w:rPr>
          <w:rStyle w:val="CharDefText"/>
        </w:rPr>
        <w:t>prison officer</w:t>
      </w:r>
      <w:r>
        <w:t xml:space="preserve"> includes a superintendent, or other officer with custodial functions, appointed under section 6(3);</w:t>
      </w:r>
    </w:p>
    <w:p>
      <w:pPr>
        <w:pStyle w:val="Defstart"/>
      </w:pPr>
      <w:r>
        <w:tab/>
      </w:r>
      <w:r>
        <w:rPr>
          <w:rStyle w:val="CharDefText"/>
        </w:rPr>
        <w:t>removal action</w:t>
      </w:r>
      <w:r>
        <w:t xml:space="preserve"> has the meaning given in section 101;</w:t>
      </w:r>
    </w:p>
    <w:p>
      <w:pPr>
        <w:pStyle w:val="Defstart"/>
      </w:pPr>
      <w:r>
        <w:lastRenderedPageBreak/>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prison officer</w:t>
      </w:r>
      <w:r>
        <w:t xml:space="preserve"> means suitability to continue as a prison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99 inserted: No. 29 of 2014 s. 7.]</w:t>
      </w:r>
    </w:p>
    <w:p>
      <w:pPr>
        <w:pStyle w:val="Heading4"/>
      </w:pPr>
      <w:bookmarkStart w:id="188" w:name="_Toc103862692"/>
      <w:bookmarkStart w:id="189" w:name="_Toc103862884"/>
      <w:bookmarkStart w:id="190" w:name="_Toc103865555"/>
      <w:r>
        <w:t>Subdivision 2 — Removal of prison officers</w:t>
      </w:r>
      <w:bookmarkEnd w:id="188"/>
      <w:bookmarkEnd w:id="189"/>
      <w:bookmarkEnd w:id="190"/>
    </w:p>
    <w:p>
      <w:pPr>
        <w:pStyle w:val="Footnoteheading"/>
      </w:pPr>
      <w:r>
        <w:tab/>
        <w:t>[Heading inserted: No. 29 of 2014 s. 7.]</w:t>
      </w:r>
    </w:p>
    <w:p>
      <w:pPr>
        <w:pStyle w:val="Heading5"/>
      </w:pPr>
      <w:bookmarkStart w:id="191" w:name="_Toc103865556"/>
      <w:r>
        <w:rPr>
          <w:rStyle w:val="CharSectno"/>
        </w:rPr>
        <w:t>100</w:t>
      </w:r>
      <w:r>
        <w:t>.</w:t>
      </w:r>
      <w:r>
        <w:tab/>
        <w:t>Application of Subdivision</w:t>
      </w:r>
      <w:bookmarkEnd w:id="191"/>
    </w:p>
    <w:p>
      <w:pPr>
        <w:pStyle w:val="Subsection"/>
      </w:pPr>
      <w:r>
        <w:tab/>
        <w:t>(1)</w:t>
      </w:r>
      <w:r>
        <w:tab/>
        <w:t xml:space="preserve">This Subdivision applies if — </w:t>
      </w:r>
    </w:p>
    <w:p>
      <w:pPr>
        <w:pStyle w:val="Indenta"/>
      </w:pPr>
      <w:r>
        <w:tab/>
        <w:t>(a)</w:t>
      </w:r>
      <w:r>
        <w:tab/>
        <w:t>the chief executive officer does not have confidence in a prison officer’s suitability to continue as a prison officer; and</w:t>
      </w:r>
    </w:p>
    <w:p>
      <w:pPr>
        <w:pStyle w:val="Indenta"/>
      </w:pPr>
      <w:r>
        <w:tab/>
        <w:t>(b)</w:t>
      </w:r>
      <w:r>
        <w:tab/>
        <w:t xml:space="preserve">the chief executive officer — </w:t>
      </w:r>
    </w:p>
    <w:p>
      <w:pPr>
        <w:pStyle w:val="Indenti"/>
      </w:pPr>
      <w:r>
        <w:tab/>
        <w:t>(i)</w:t>
      </w:r>
      <w:r>
        <w:tab/>
        <w:t xml:space="preserve">decides not to take, or continue to take, disciplinary proceedings under the </w:t>
      </w:r>
      <w:r>
        <w:rPr>
          <w:i/>
        </w:rPr>
        <w:t>Public Sector Management Act 1994</w:t>
      </w:r>
      <w:r>
        <w:t xml:space="preserve"> Part 5 against a prison officer; and</w:t>
      </w:r>
    </w:p>
    <w:p>
      <w:pPr>
        <w:pStyle w:val="Indenti"/>
      </w:pPr>
      <w:r>
        <w:tab/>
        <w:t>(ii)</w:t>
      </w:r>
      <w:r>
        <w:tab/>
        <w:t>decides instead to take removal action in relation to the prison officer;</w:t>
      </w:r>
    </w:p>
    <w:p>
      <w:pPr>
        <w:pStyle w:val="Indenta"/>
      </w:pPr>
      <w:r>
        <w:tab/>
      </w:r>
      <w:r>
        <w:tab/>
        <w:t>and</w:t>
      </w:r>
    </w:p>
    <w:p>
      <w:pPr>
        <w:pStyle w:val="Indenta"/>
      </w:pPr>
      <w:r>
        <w:tab/>
        <w:t>(c)</w:t>
      </w:r>
      <w:r>
        <w:tab/>
        <w:t>in the case of a prison officer engaged under section 13(1), the Minister consents to the taking of removal action in relation to the prison officer.</w:t>
      </w:r>
    </w:p>
    <w:p>
      <w:pPr>
        <w:pStyle w:val="Subsection"/>
      </w:pPr>
      <w:r>
        <w:tab/>
        <w:t>(2)</w:t>
      </w:r>
      <w:r>
        <w:tab/>
        <w:t xml:space="preserve">This Subdivision applies despite the </w:t>
      </w:r>
      <w:r>
        <w:rPr>
          <w:i/>
        </w:rPr>
        <w:t xml:space="preserve">Public Sector Management Act 1994 </w:t>
      </w:r>
      <w:r>
        <w:t>section 76(2).</w:t>
      </w:r>
    </w:p>
    <w:p>
      <w:pPr>
        <w:pStyle w:val="Footnotesection"/>
      </w:pPr>
      <w:r>
        <w:tab/>
        <w:t>[Section 100 inserted: No. 29 of 2014 s. 7.]</w:t>
      </w:r>
    </w:p>
    <w:p>
      <w:pPr>
        <w:pStyle w:val="Heading5"/>
      </w:pPr>
      <w:bookmarkStart w:id="192" w:name="_Toc103865557"/>
      <w:r>
        <w:rPr>
          <w:rStyle w:val="CharSectno"/>
        </w:rPr>
        <w:lastRenderedPageBreak/>
        <w:t>101</w:t>
      </w:r>
      <w:r>
        <w:t>.</w:t>
      </w:r>
      <w:r>
        <w:tab/>
        <w:t>Removal action</w:t>
      </w:r>
      <w:bookmarkEnd w:id="192"/>
    </w:p>
    <w:p>
      <w:pPr>
        <w:pStyle w:val="Subsection"/>
        <w:spacing w:before="120"/>
      </w:pPr>
      <w:r>
        <w:tab/>
        <w:t>(1)</w:t>
      </w:r>
      <w:r>
        <w:tab/>
        <w:t>If the chief executive officer does not have confidence in a prison officer’s suitability to continue as a prison officer, the chief executive officer may take the following action (</w:t>
      </w:r>
      <w:r>
        <w:rPr>
          <w:rStyle w:val="CharDefText"/>
        </w:rPr>
        <w:t>removal action</w:t>
      </w:r>
      <w:r>
        <w:t xml:space="preserve">) — </w:t>
      </w:r>
    </w:p>
    <w:p>
      <w:pPr>
        <w:pStyle w:val="Indenta"/>
      </w:pPr>
      <w:r>
        <w:tab/>
        <w:t>(a)</w:t>
      </w:r>
      <w:r>
        <w:tab/>
        <w:t>in the case of a prison officer appointed under section 6(3) — remove the prison officer;</w:t>
      </w:r>
    </w:p>
    <w:p>
      <w:pPr>
        <w:pStyle w:val="Indenta"/>
      </w:pPr>
      <w:r>
        <w:tab/>
        <w:t>(b)</w:t>
      </w:r>
      <w:r>
        <w:tab/>
        <w:t>in the case of a prison officer engaged under section 13(1) — recommend to the Minister that the prison officer be removed under section 13(3).</w:t>
      </w:r>
    </w:p>
    <w:p>
      <w:pPr>
        <w:pStyle w:val="Subsection"/>
        <w:spacing w:before="120"/>
      </w:pPr>
      <w:r>
        <w:tab/>
        <w:t>(2)</w:t>
      </w:r>
      <w:r>
        <w:tab/>
        <w:t xml:space="preserve">Subsection (1)(a) applies in addition to, and does not limit the operation of, the </w:t>
      </w:r>
      <w:r>
        <w:rPr>
          <w:i/>
        </w:rPr>
        <w:t>Public Sector Management Act 1994</w:t>
      </w:r>
      <w:r>
        <w:t>.</w:t>
      </w:r>
    </w:p>
    <w:p>
      <w:pPr>
        <w:pStyle w:val="Subsection"/>
        <w:spacing w:before="120"/>
      </w:pPr>
      <w:r>
        <w:tab/>
        <w:t>(3)</w:t>
      </w:r>
      <w:r>
        <w:tab/>
        <w:t>The chief executive officer may conduct any necessary investigation to determine a prison officer’s suitability to continue as a prison officer.</w:t>
      </w:r>
    </w:p>
    <w:p>
      <w:pPr>
        <w:pStyle w:val="Subsection"/>
        <w:spacing w:before="120"/>
      </w:pPr>
      <w:r>
        <w:tab/>
        <w:t>(4)</w:t>
      </w:r>
      <w:r>
        <w:tab/>
        <w:t xml:space="preserve">For the purpose of the investigation the chief executive officer may require the prison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prison officer.</w:t>
      </w:r>
    </w:p>
    <w:p>
      <w:pPr>
        <w:pStyle w:val="Subsection"/>
        <w:spacing w:before="120"/>
      </w:pPr>
      <w:r>
        <w:tab/>
        <w:t>(5)</w:t>
      </w:r>
      <w:r>
        <w:tab/>
        <w:t xml:space="preserve">The prison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prison officer; or </w:t>
      </w:r>
    </w:p>
    <w:p>
      <w:pPr>
        <w:pStyle w:val="Indenta"/>
      </w:pPr>
      <w:r>
        <w:tab/>
        <w:t>(b)</w:t>
      </w:r>
      <w:r>
        <w:tab/>
        <w:t>render the prison officer liable to a disciplinary measure under Division 2 or removal under this Division.</w:t>
      </w:r>
    </w:p>
    <w:p>
      <w:pPr>
        <w:pStyle w:val="Subsection"/>
        <w:spacing w:before="120"/>
      </w:pPr>
      <w:r>
        <w:tab/>
        <w:t>(6)</w:t>
      </w:r>
      <w:r>
        <w:tab/>
        <w:t>The information, answer or document is not admissible in evidence against the prison officer in any criminal proceedings except in proceedings for an offence under subsection (7).</w:t>
      </w:r>
    </w:p>
    <w:p>
      <w:pPr>
        <w:pStyle w:val="Subsection"/>
      </w:pPr>
      <w:r>
        <w:lastRenderedPageBreak/>
        <w:tab/>
        <w:t>(7)</w:t>
      </w:r>
      <w:r>
        <w:tab/>
        <w:t xml:space="preserve">A prison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prison officer knows is false or misleading in a material particular —</w:t>
      </w:r>
    </w:p>
    <w:p>
      <w:pPr>
        <w:pStyle w:val="Indenti"/>
      </w:pPr>
      <w:r>
        <w:tab/>
        <w:t>(i)</w:t>
      </w:r>
      <w:r>
        <w:tab/>
        <w:t>without indicating that the document is false or misleading and, to the extent the prison officer can, how the document is false or misleading; and</w:t>
      </w:r>
    </w:p>
    <w:p>
      <w:pPr>
        <w:pStyle w:val="Indenti"/>
      </w:pPr>
      <w:r>
        <w:tab/>
        <w:t>(ii)</w:t>
      </w:r>
      <w:r>
        <w:tab/>
        <w:t>if the prison officer has, or can reasonably obtain, the correct information — without providing the correct information.</w:t>
      </w:r>
    </w:p>
    <w:p>
      <w:pPr>
        <w:pStyle w:val="Penstart"/>
      </w:pPr>
      <w:r>
        <w:tab/>
        <w:t>Penalty for this subsection: imprisonment for 12 months and a fine of $6 000.</w:t>
      </w:r>
    </w:p>
    <w:p>
      <w:pPr>
        <w:pStyle w:val="Footnotesection"/>
      </w:pPr>
      <w:r>
        <w:tab/>
        <w:t>[Section 101 inserted: No. 29 of 2014 s. 7; amended: No. 20 of 2020 s. 21.]</w:t>
      </w:r>
    </w:p>
    <w:p>
      <w:pPr>
        <w:pStyle w:val="Heading5"/>
      </w:pPr>
      <w:bookmarkStart w:id="193" w:name="_Toc103865558"/>
      <w:r>
        <w:rPr>
          <w:rStyle w:val="CharSectno"/>
        </w:rPr>
        <w:t>102</w:t>
      </w:r>
      <w:r>
        <w:t>.</w:t>
      </w:r>
      <w:r>
        <w:tab/>
        <w:t>Notice of loss of confidence</w:t>
      </w:r>
      <w:bookmarkEnd w:id="193"/>
    </w:p>
    <w:p>
      <w:pPr>
        <w:pStyle w:val="Subsection"/>
      </w:pPr>
      <w:r>
        <w:tab/>
        <w:t>(1)</w:t>
      </w:r>
      <w:r>
        <w:tab/>
        <w:t>The chief executive officer may give a prison officer a written notice setting out the grounds on which the chief executive officer does not have confidence in the prison officer’s suitability to continue as a prison officer.</w:t>
      </w:r>
    </w:p>
    <w:p>
      <w:pPr>
        <w:pStyle w:val="Subsection"/>
      </w:pPr>
      <w:r>
        <w:tab/>
        <w:t>(2)</w:t>
      </w:r>
      <w:r>
        <w:tab/>
        <w:t xml:space="preserve">The prison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keepNext/>
      </w:pPr>
      <w:r>
        <w:lastRenderedPageBreak/>
        <w:tab/>
        <w:t>(3)</w:t>
      </w:r>
      <w:r>
        <w:tab/>
        <w:t xml:space="preserve">After the submission period, the chief executive officer must — </w:t>
      </w:r>
    </w:p>
    <w:p>
      <w:pPr>
        <w:pStyle w:val="Indenta"/>
      </w:pPr>
      <w:r>
        <w:tab/>
        <w:t>(a)</w:t>
      </w:r>
      <w:r>
        <w:tab/>
        <w:t>decide whether or not to take removal action against the prison officer; and</w:t>
      </w:r>
    </w:p>
    <w:p>
      <w:pPr>
        <w:pStyle w:val="Indenta"/>
      </w:pPr>
      <w:r>
        <w:tab/>
        <w:t>(b)</w:t>
      </w:r>
      <w:r>
        <w:tab/>
        <w:t xml:space="preserve">give the prison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prison officer unless the chief executive officer — </w:t>
      </w:r>
    </w:p>
    <w:p>
      <w:pPr>
        <w:pStyle w:val="Indenta"/>
      </w:pPr>
      <w:r>
        <w:tab/>
        <w:t>(a)</w:t>
      </w:r>
      <w:r>
        <w:tab/>
        <w:t>has taken into account any written submissions received from the prison officer during the submission period; and</w:t>
      </w:r>
    </w:p>
    <w:p>
      <w:pPr>
        <w:pStyle w:val="Indenta"/>
      </w:pPr>
      <w:r>
        <w:tab/>
        <w:t>(b)</w:t>
      </w:r>
      <w:r>
        <w:tab/>
        <w:t>still does not have confidence in a prison officer’s suitability to continue as a prison officer.</w:t>
      </w:r>
    </w:p>
    <w:p>
      <w:pPr>
        <w:pStyle w:val="Subsection"/>
      </w:pPr>
      <w:r>
        <w:tab/>
        <w:t>(5)</w:t>
      </w:r>
      <w:r>
        <w:tab/>
        <w:t>If the chief executive officer decides to take removal action against the prison officer, the decision notice must contain the reasons for the decision.</w:t>
      </w:r>
    </w:p>
    <w:p>
      <w:pPr>
        <w:pStyle w:val="Subsection"/>
      </w:pPr>
      <w:r>
        <w:tab/>
        <w:t>(6)</w:t>
      </w:r>
      <w:r>
        <w:tab/>
        <w:t>Except as provided in the regulations, the chief executive officer must, within 7 days after giving the decision notice —</w:t>
      </w:r>
    </w:p>
    <w:p>
      <w:pPr>
        <w:pStyle w:val="Indenta"/>
      </w:pPr>
      <w:r>
        <w:tab/>
        <w:t>(a)</w:t>
      </w:r>
      <w:r>
        <w:tab/>
        <w:t xml:space="preserve">give to the prison officer a copy of any documents that were considered by the chief executive officer in making the decision; and </w:t>
      </w:r>
    </w:p>
    <w:p>
      <w:pPr>
        <w:pStyle w:val="Indenta"/>
      </w:pPr>
      <w:r>
        <w:tab/>
        <w:t>(b)</w:t>
      </w:r>
      <w:r>
        <w:tab/>
        <w:t>make available to the prison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102 inserted: No. 29 of 2014 s. 7.]</w:t>
      </w:r>
    </w:p>
    <w:p>
      <w:pPr>
        <w:pStyle w:val="Heading5"/>
        <w:spacing w:before="180"/>
      </w:pPr>
      <w:bookmarkStart w:id="194" w:name="_Toc103865559"/>
      <w:r>
        <w:rPr>
          <w:rStyle w:val="CharSectno"/>
        </w:rPr>
        <w:t>103</w:t>
      </w:r>
      <w:r>
        <w:t>.</w:t>
      </w:r>
      <w:r>
        <w:tab/>
        <w:t>Maintenance payment</w:t>
      </w:r>
      <w:bookmarkEnd w:id="194"/>
    </w:p>
    <w:p>
      <w:pPr>
        <w:pStyle w:val="Subsection"/>
        <w:spacing w:before="120"/>
      </w:pPr>
      <w:r>
        <w:tab/>
        <w:t>(1)</w:t>
      </w:r>
      <w:r>
        <w:tab/>
        <w:t xml:space="preserve">If a prison officer is removed as a result of removal action, the prison officer is entitled to receive a payment (a </w:t>
      </w:r>
      <w:r>
        <w:rPr>
          <w:rStyle w:val="CharDefText"/>
        </w:rPr>
        <w:t>maintenance payment</w:t>
      </w:r>
      <w:r>
        <w:t xml:space="preserve">) for the period of 28 days after the day on which the prison officer is removed (the </w:t>
      </w:r>
      <w:r>
        <w:rPr>
          <w:rStyle w:val="CharDefText"/>
        </w:rPr>
        <w:t>maintenance period</w:t>
      </w:r>
      <w:r>
        <w:t>).</w:t>
      </w:r>
    </w:p>
    <w:p>
      <w:pPr>
        <w:pStyle w:val="Subsection"/>
        <w:spacing w:before="120"/>
      </w:pPr>
      <w:r>
        <w:lastRenderedPageBreak/>
        <w:tab/>
        <w:t>(2)</w:t>
      </w:r>
      <w:r>
        <w:tab/>
        <w:t>The Minister may, in exceptional circumstances, direct that a maintenance payment must be paid to the prison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prison officer at the time of the removal.</w:t>
      </w:r>
    </w:p>
    <w:p>
      <w:pPr>
        <w:pStyle w:val="Footnotesection"/>
      </w:pPr>
      <w:r>
        <w:tab/>
        <w:t>[Section 103 inserted: No. 29 of 2014 s. 7.]</w:t>
      </w:r>
    </w:p>
    <w:p>
      <w:pPr>
        <w:pStyle w:val="Heading5"/>
      </w:pPr>
      <w:bookmarkStart w:id="195" w:name="_Toc103865560"/>
      <w:r>
        <w:rPr>
          <w:rStyle w:val="CharSectno"/>
        </w:rPr>
        <w:t>104</w:t>
      </w:r>
      <w:r>
        <w:t>.</w:t>
      </w:r>
      <w:r>
        <w:tab/>
        <w:t>Withdrawal of removal action and revocation of removal</w:t>
      </w:r>
      <w:bookmarkEnd w:id="195"/>
    </w:p>
    <w:p>
      <w:pPr>
        <w:pStyle w:val="Subsection"/>
      </w:pPr>
      <w:r>
        <w:tab/>
        <w:t>(1)</w:t>
      </w:r>
      <w:r>
        <w:tab/>
        <w:t>If removal action does not result in the removal of a prison officer, the chief executive officer may, by notice in writing to the prison officer, withdraw the removal action.</w:t>
      </w:r>
    </w:p>
    <w:p>
      <w:pPr>
        <w:pStyle w:val="Subsection"/>
      </w:pPr>
      <w:r>
        <w:tab/>
        <w:t>(2)</w:t>
      </w:r>
      <w:r>
        <w:tab/>
        <w:t>If a prison officer is removed as a result of removal action, the chief executive officer may, by notice in writing to the prison officer, revoke the removal.</w:t>
      </w:r>
    </w:p>
    <w:p>
      <w:pPr>
        <w:pStyle w:val="Subsection"/>
      </w:pPr>
      <w:r>
        <w:tab/>
        <w:t>(3)</w:t>
      </w:r>
      <w:r>
        <w:tab/>
        <w:t>Subsection (2) applies even if an appeal has been instituted against the removal.</w:t>
      </w:r>
    </w:p>
    <w:p>
      <w:pPr>
        <w:pStyle w:val="Subsection"/>
      </w:pPr>
      <w:r>
        <w:tab/>
        <w:t>(4)</w:t>
      </w:r>
      <w:r>
        <w:tab/>
        <w:t>Despite any other enactment, if the removal is revoked under subsection (2), the removal is to be taken to be of no effect and to have never had any effect.</w:t>
      </w:r>
    </w:p>
    <w:p>
      <w:pPr>
        <w:pStyle w:val="Subsection"/>
      </w:pPr>
      <w:r>
        <w:tab/>
        <w:t>(5)</w:t>
      </w:r>
      <w:r>
        <w:tab/>
        <w:t>If the chief executive officer revokes the removal of a prison officer under subsection (2), the prison officer is not entitled to be paid his or her salary for any period the prison officer received a maintenance payment.</w:t>
      </w:r>
    </w:p>
    <w:p>
      <w:pPr>
        <w:pStyle w:val="Footnotesection"/>
      </w:pPr>
      <w:r>
        <w:tab/>
        <w:t>[Section 104 inserted: No. 29 of 2014 s. 7.]</w:t>
      </w:r>
    </w:p>
    <w:p>
      <w:pPr>
        <w:pStyle w:val="Heading5"/>
      </w:pPr>
      <w:bookmarkStart w:id="196" w:name="_Toc103865561"/>
      <w:r>
        <w:rPr>
          <w:rStyle w:val="CharSectno"/>
        </w:rPr>
        <w:lastRenderedPageBreak/>
        <w:t>105</w:t>
      </w:r>
      <w:r>
        <w:t>.</w:t>
      </w:r>
      <w:r>
        <w:tab/>
        <w:t>Resignation of prison officer who has been removed</w:t>
      </w:r>
      <w:bookmarkEnd w:id="196"/>
    </w:p>
    <w:p>
      <w:pPr>
        <w:pStyle w:val="Subsection"/>
      </w:pPr>
      <w:r>
        <w:tab/>
        <w:t>(1)</w:t>
      </w:r>
      <w:r>
        <w:tab/>
        <w:t>Even if a prison officer is removed as a result of removal action, the prison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prison officer resigns under subsection (1), the removal of the prison officer is to be taken to be of no effect and to have never had any effect.</w:t>
      </w:r>
    </w:p>
    <w:p>
      <w:pPr>
        <w:pStyle w:val="Footnotesection"/>
        <w:ind w:left="890" w:hanging="890"/>
      </w:pPr>
      <w:r>
        <w:tab/>
        <w:t>[Section 105 inserted: No. 29 of 2014 s. 7.]</w:t>
      </w:r>
    </w:p>
    <w:p>
      <w:pPr>
        <w:pStyle w:val="Heading4"/>
      </w:pPr>
      <w:bookmarkStart w:id="197" w:name="_Toc103862699"/>
      <w:bookmarkStart w:id="198" w:name="_Toc103862891"/>
      <w:bookmarkStart w:id="199" w:name="_Toc103865562"/>
      <w:r>
        <w:t>Subdivision 3 — Appeal against removal of prison officer</w:t>
      </w:r>
      <w:bookmarkEnd w:id="197"/>
      <w:bookmarkEnd w:id="198"/>
      <w:bookmarkEnd w:id="199"/>
    </w:p>
    <w:p>
      <w:pPr>
        <w:pStyle w:val="Footnoteheading"/>
      </w:pPr>
      <w:r>
        <w:tab/>
        <w:t>[Heading inserted: No. 29 of 2014 s. 7.]</w:t>
      </w:r>
    </w:p>
    <w:p>
      <w:pPr>
        <w:pStyle w:val="Heading5"/>
      </w:pPr>
      <w:bookmarkStart w:id="200" w:name="_Toc103865563"/>
      <w:r>
        <w:rPr>
          <w:rStyle w:val="CharSectno"/>
        </w:rPr>
        <w:t>106</w:t>
      </w:r>
      <w:r>
        <w:t>.</w:t>
      </w:r>
      <w:r>
        <w:tab/>
        <w:t>Appeal right</w:t>
      </w:r>
      <w:bookmarkEnd w:id="200"/>
    </w:p>
    <w:p>
      <w:pPr>
        <w:pStyle w:val="Subsection"/>
      </w:pPr>
      <w:r>
        <w:tab/>
        <w:t>(1)</w:t>
      </w:r>
      <w:r>
        <w:tab/>
        <w:t>If a prison officer is removed as a result of removal action, the prison officer may appeal to the WAIRC against the removal decision on the ground that it was harsh, oppressive or unfair.</w:t>
      </w:r>
    </w:p>
    <w:p>
      <w:pPr>
        <w:pStyle w:val="Subsection"/>
      </w:pPr>
      <w:r>
        <w:tab/>
        <w:t>(2)</w:t>
      </w:r>
      <w:r>
        <w:tab/>
        <w:t xml:space="preserve">The prison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prison officer has resigned under section 105(1).</w:t>
      </w:r>
    </w:p>
    <w:p>
      <w:pPr>
        <w:pStyle w:val="Subsection"/>
        <w:keepNext/>
      </w:pPr>
      <w:r>
        <w:lastRenderedPageBreak/>
        <w:tab/>
        <w:t>(4)</w:t>
      </w:r>
      <w:r>
        <w:tab/>
        <w:t xml:space="preserve">For the purposes of proceedings relating to the appeal, the WAIRC is to be constituted by not less than 3 industrial Commissioners, at least one of whom must be — </w:t>
      </w:r>
    </w:p>
    <w:p>
      <w:pPr>
        <w:pStyle w:val="Indenta"/>
      </w:pPr>
      <w:r>
        <w:tab/>
        <w:t>(a)</w:t>
      </w:r>
      <w:r>
        <w:tab/>
        <w:t>the Chief Commissioner; or</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prison officer and the chief executive officer.</w:t>
      </w:r>
    </w:p>
    <w:p>
      <w:pPr>
        <w:pStyle w:val="Subsection"/>
      </w:pPr>
      <w:r>
        <w:tab/>
        <w:t>(6)</w:t>
      </w:r>
      <w:r>
        <w:tab/>
        <w:t>The prison officer does not have any right of appeal against the removal decision other than under this section.</w:t>
      </w:r>
    </w:p>
    <w:p>
      <w:pPr>
        <w:pStyle w:val="Footnotesection"/>
      </w:pPr>
      <w:r>
        <w:tab/>
        <w:t>[Section 106 inserted: No. 29 of 2014 s. 7.]</w:t>
      </w:r>
    </w:p>
    <w:p>
      <w:pPr>
        <w:pStyle w:val="Heading5"/>
      </w:pPr>
      <w:bookmarkStart w:id="201" w:name="_Toc103865564"/>
      <w:r>
        <w:rPr>
          <w:rStyle w:val="CharSectno"/>
        </w:rPr>
        <w:t>107</w:t>
      </w:r>
      <w:r>
        <w:t>.</w:t>
      </w:r>
      <w:r>
        <w:tab/>
        <w:t>Proceedings on appeal</w:t>
      </w:r>
      <w:bookmarkEnd w:id="201"/>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keepNext/>
      </w:pPr>
      <w:r>
        <w:lastRenderedPageBreak/>
        <w:tab/>
        <w:t>(b)</w:t>
      </w:r>
      <w:r>
        <w:tab/>
        <w:t xml:space="preserve">the public interest, which is to be taken to include — </w:t>
      </w:r>
    </w:p>
    <w:p>
      <w:pPr>
        <w:pStyle w:val="Indenti"/>
      </w:pPr>
      <w:r>
        <w:tab/>
        <w:t>(i)</w:t>
      </w:r>
      <w:r>
        <w:tab/>
        <w:t>the importance of maintaining public confidence in the integrity, honesty, conduct and standard of performance of prison officers; and</w:t>
      </w:r>
    </w:p>
    <w:p>
      <w:pPr>
        <w:pStyle w:val="Indenti"/>
      </w:pPr>
      <w:r>
        <w:tab/>
        <w:t>(ii)</w:t>
      </w:r>
      <w:r>
        <w:tab/>
        <w:t>the special nature of the relationship between the chief executive officer and prison officers.</w:t>
      </w:r>
    </w:p>
    <w:p>
      <w:pPr>
        <w:pStyle w:val="Footnotesection"/>
      </w:pPr>
      <w:r>
        <w:tab/>
        <w:t>[Section 107 inserted: No. 29 of 2014 s. 7.]</w:t>
      </w:r>
    </w:p>
    <w:p>
      <w:pPr>
        <w:pStyle w:val="Heading5"/>
      </w:pPr>
      <w:bookmarkStart w:id="202" w:name="_Toc103865565"/>
      <w:r>
        <w:rPr>
          <w:rStyle w:val="CharSectno"/>
        </w:rPr>
        <w:t>108</w:t>
      </w:r>
      <w:r>
        <w:t>.</w:t>
      </w:r>
      <w:r>
        <w:tab/>
        <w:t>Leave to tender new evidence on appeal</w:t>
      </w:r>
      <w:bookmarkEnd w:id="202"/>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lastRenderedPageBreak/>
        <w:tab/>
        <w:t>(b)</w:t>
      </w:r>
      <w:r>
        <w:tab/>
        <w:t>whether or not the substance of the new evidence was contained in a document to which the appellant had reasonable access before the appellant’s removal.</w:t>
      </w:r>
    </w:p>
    <w:p>
      <w:pPr>
        <w:pStyle w:val="Footnotesection"/>
      </w:pPr>
      <w:r>
        <w:tab/>
        <w:t>[Section 108 inserted: No. 29 of 2014 s. 7.]</w:t>
      </w:r>
    </w:p>
    <w:p>
      <w:pPr>
        <w:pStyle w:val="Heading5"/>
        <w:keepNext w:val="0"/>
        <w:keepLines w:val="0"/>
      </w:pPr>
      <w:bookmarkStart w:id="203" w:name="_Toc103865566"/>
      <w:r>
        <w:rPr>
          <w:rStyle w:val="CharSectno"/>
        </w:rPr>
        <w:t>109</w:t>
      </w:r>
      <w:r>
        <w:t>.</w:t>
      </w:r>
      <w:r>
        <w:tab/>
        <w:t>Opportunity to consider new evidence</w:t>
      </w:r>
      <w:bookmarkEnd w:id="203"/>
    </w:p>
    <w:p>
      <w:pPr>
        <w:pStyle w:val="Subsection"/>
      </w:pPr>
      <w:r>
        <w:tab/>
        <w:t>(1)</w:t>
      </w:r>
      <w:r>
        <w:tab/>
        <w:t xml:space="preserve">If the chief executive officer is given leave to tender new evidence under section 108(2)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108(3), the WAIRC must give the chief executive officer a reasonable opportunity to consider the new evidence.</w:t>
      </w:r>
    </w:p>
    <w:p>
      <w:pPr>
        <w:pStyle w:val="Footnotesection"/>
      </w:pPr>
      <w:r>
        <w:tab/>
        <w:t>[Section 109 inserted: No. 29 of 2014 s. 7.]</w:t>
      </w:r>
    </w:p>
    <w:p>
      <w:pPr>
        <w:pStyle w:val="Heading5"/>
      </w:pPr>
      <w:bookmarkStart w:id="204" w:name="_Toc103865567"/>
      <w:r>
        <w:rPr>
          <w:rStyle w:val="CharSectno"/>
        </w:rPr>
        <w:t>110A</w:t>
      </w:r>
      <w:r>
        <w:t>.</w:t>
      </w:r>
      <w:r>
        <w:tab/>
        <w:t>Revocation of removal after consideration of new evidence</w:t>
      </w:r>
      <w:bookmarkEnd w:id="204"/>
    </w:p>
    <w:p>
      <w:pPr>
        <w:pStyle w:val="Subsection"/>
      </w:pPr>
      <w:r>
        <w:tab/>
        <w:t>(1)</w:t>
      </w:r>
      <w:r>
        <w:tab/>
        <w:t xml:space="preserve">If, having considered any new evidence, the chief executive officer revokes the removal under section 104(2)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prison officer; and</w:t>
      </w:r>
    </w:p>
    <w:p>
      <w:pPr>
        <w:pStyle w:val="Indenta"/>
      </w:pPr>
      <w:r>
        <w:lastRenderedPageBreak/>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110A inserted: No. 29 of 2014 s. 7.]</w:t>
      </w:r>
    </w:p>
    <w:p>
      <w:pPr>
        <w:pStyle w:val="Heading5"/>
      </w:pPr>
      <w:bookmarkStart w:id="205" w:name="_Toc103865568"/>
      <w:r>
        <w:rPr>
          <w:rStyle w:val="CharSectno"/>
        </w:rPr>
        <w:t>110B</w:t>
      </w:r>
      <w:r>
        <w:t>.</w:t>
      </w:r>
      <w:r>
        <w:tab/>
        <w:t xml:space="preserve">Application of </w:t>
      </w:r>
      <w:r>
        <w:rPr>
          <w:i/>
        </w:rPr>
        <w:t>Industrial Relations Act 1979</w:t>
      </w:r>
      <w:r>
        <w:t xml:space="preserve"> to appeals</w:t>
      </w:r>
      <w:bookmarkEnd w:id="205"/>
    </w:p>
    <w:p>
      <w:pPr>
        <w:pStyle w:val="Subsection"/>
      </w:pPr>
      <w:r>
        <w:tab/>
      </w:r>
      <w:r>
        <w:tab/>
        <w:t xml:space="preserve">The provisions of the </w:t>
      </w:r>
      <w:r>
        <w:rPr>
          <w:i/>
        </w:rPr>
        <w:t>Industrial Relations Act 1979</w:t>
      </w:r>
      <w:r>
        <w:t xml:space="preserve"> listed in the Table apply to, and in relation to, an appeal and its determination, subject to — </w:t>
      </w:r>
    </w:p>
    <w:p>
      <w:pPr>
        <w:pStyle w:val="Indenta"/>
      </w:pPr>
      <w:r>
        <w:tab/>
        <w:t>(a)</w:t>
      </w:r>
      <w:r>
        <w:tab/>
        <w:t>any specific modifications set out in the Table; and</w:t>
      </w:r>
    </w:p>
    <w:p>
      <w:pPr>
        <w:pStyle w:val="Indenta"/>
      </w:pPr>
      <w:r>
        <w:tab/>
        <w:t>(b)</w:t>
      </w:r>
      <w:r>
        <w:tab/>
        <w:t>all other necessary modifications.</w:t>
      </w:r>
    </w:p>
    <w:p>
      <w:pPr>
        <w:pStyle w:val="zTHeadingNAm"/>
        <w:ind w:left="851"/>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trPr>
        <w:tc>
          <w:tcPr>
            <w:tcW w:w="1843" w:type="dxa"/>
          </w:tcPr>
          <w:p>
            <w:pPr>
              <w:pStyle w:val="TableNAm"/>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pPr>
            <w:r>
              <w:t>s. 27(1)(b), (c), (d), (e), (f), (h), (ha), (hb), (l), (m), (n), (o) and (v)</w:t>
            </w:r>
          </w:p>
        </w:tc>
        <w:tc>
          <w:tcPr>
            <w:tcW w:w="4252" w:type="dxa"/>
          </w:tcPr>
          <w:p>
            <w:pPr>
              <w:pStyle w:val="TableNAm"/>
            </w:pPr>
          </w:p>
        </w:tc>
      </w:tr>
      <w:tr>
        <w:trPr>
          <w:cantSplit/>
        </w:trPr>
        <w:tc>
          <w:tcPr>
            <w:tcW w:w="1843" w:type="dxa"/>
          </w:tcPr>
          <w:p>
            <w:pPr>
              <w:pStyle w:val="TableNAm"/>
            </w:pPr>
            <w:r>
              <w:lastRenderedPageBreak/>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The section applies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ind w:left="1134" w:hanging="1134"/>
            </w:pPr>
            <w:r>
              <w:t>“</w:t>
            </w:r>
            <w:r>
              <w:tab/>
              <w:t>(b)</w:t>
            </w:r>
            <w:r>
              <w:tab/>
              <w:t>with the leave of the Commission, by an agent; or</w:t>
            </w:r>
          </w:p>
          <w:p>
            <w:pPr>
              <w:pStyle w:val="TableNAm"/>
              <w:rPr>
                <w:rStyle w:val="DraftersNotes"/>
                <w:b w:val="0"/>
                <w:i w:val="0"/>
                <w:sz w:val="22"/>
              </w:rPr>
            </w:pPr>
            <w:r>
              <w:tab/>
              <w:t>(c)      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Prisons Act 1981</w:t>
            </w:r>
            <w:r>
              <w:t xml:space="preserve"> section 106, the Commission may recommend that the parties to the appeal”.</w:t>
            </w:r>
          </w:p>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lastRenderedPageBreak/>
              <w:t>s. 33</w:t>
            </w:r>
          </w:p>
        </w:tc>
        <w:tc>
          <w:tcPr>
            <w:tcW w:w="4252" w:type="dxa"/>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The section does not apply in relation to costs and expenses, other than expenses of witnesses.</w:t>
            </w:r>
          </w:p>
        </w:tc>
      </w:tr>
      <w:tr>
        <w:trPr>
          <w:cantSplit/>
        </w:trPr>
        <w:tc>
          <w:tcPr>
            <w:tcW w:w="1843" w:type="dxa"/>
          </w:tcPr>
          <w:p>
            <w:pPr>
              <w:pStyle w:val="TableNAm"/>
              <w:keepLines/>
            </w:pPr>
            <w:r>
              <w:t>s. 90</w:t>
            </w:r>
          </w:p>
        </w:tc>
        <w:tc>
          <w:tcPr>
            <w:tcW w:w="4252" w:type="dxa"/>
          </w:tcPr>
          <w:p>
            <w:pPr>
              <w:pStyle w:val="TableNAm"/>
              <w:keepLines/>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Prisons Act 1981 </w:t>
            </w:r>
            <w:r>
              <w:t>section 110E”.</w:t>
            </w:r>
          </w:p>
        </w:tc>
      </w:tr>
    </w:tbl>
    <w:p>
      <w:pPr>
        <w:pStyle w:val="Footnotesection"/>
      </w:pPr>
      <w:r>
        <w:lastRenderedPageBreak/>
        <w:tab/>
        <w:t>[Section 110B inserted: No. 29 of 2014 s. 7; amended: No. 39 of 2018 s. 71.]</w:t>
      </w:r>
    </w:p>
    <w:p>
      <w:pPr>
        <w:pStyle w:val="Heading5"/>
      </w:pPr>
      <w:bookmarkStart w:id="206" w:name="_Toc103865569"/>
      <w:r>
        <w:rPr>
          <w:rStyle w:val="CharSectno"/>
        </w:rPr>
        <w:t>110C</w:t>
      </w:r>
      <w:r>
        <w:t>.</w:t>
      </w:r>
      <w:r>
        <w:tab/>
        <w:t>Adjournment of appeal if appellant charged with offence</w:t>
      </w:r>
      <w:bookmarkEnd w:id="206"/>
    </w:p>
    <w:p>
      <w:pPr>
        <w:pStyle w:val="Subsection"/>
      </w:pPr>
      <w:r>
        <w:tab/>
        <w:t>(1)</w:t>
      </w:r>
      <w:r>
        <w:tab/>
        <w:t xml:space="preserve">The chief executive officer or an appellant may apply to the WAIRC for an adjournment of the hearing of an appeal if the appellant has been —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prison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110C inserted: No. 29 of 2014 s. 7.]</w:t>
      </w:r>
    </w:p>
    <w:p>
      <w:pPr>
        <w:pStyle w:val="Heading5"/>
      </w:pPr>
      <w:bookmarkStart w:id="207" w:name="_Toc103865570"/>
      <w:r>
        <w:rPr>
          <w:rStyle w:val="CharSectno"/>
        </w:rPr>
        <w:t>110D</w:t>
      </w:r>
      <w:r>
        <w:t>.</w:t>
      </w:r>
      <w:r>
        <w:tab/>
        <w:t>Resumption of appeal before end of adjournment</w:t>
      </w:r>
      <w:bookmarkEnd w:id="207"/>
    </w:p>
    <w:p>
      <w:pPr>
        <w:pStyle w:val="Subsection"/>
      </w:pPr>
      <w:r>
        <w:tab/>
      </w:r>
      <w:r>
        <w:tab/>
        <w:t xml:space="preserve">If the charge is finally determined by a court or otherwise disposed of before the end of an adjournment under section 110C, the chief executive officer or the appellant may </w:t>
      </w:r>
      <w:r>
        <w:lastRenderedPageBreak/>
        <w:t>apply to the WAIRC for the hearing of the appeal to be resumed on a date specified by the WAIRC.</w:t>
      </w:r>
    </w:p>
    <w:p>
      <w:pPr>
        <w:pStyle w:val="Footnotesection"/>
      </w:pPr>
      <w:r>
        <w:tab/>
        <w:t>[Section 110D inserted: No. 29 of 2014 s. 7.]</w:t>
      </w:r>
    </w:p>
    <w:p>
      <w:pPr>
        <w:pStyle w:val="Heading5"/>
      </w:pPr>
      <w:bookmarkStart w:id="208" w:name="_Toc103865571"/>
      <w:r>
        <w:rPr>
          <w:rStyle w:val="CharSectno"/>
        </w:rPr>
        <w:t>110E</w:t>
      </w:r>
      <w:r>
        <w:t>.</w:t>
      </w:r>
      <w:r>
        <w:tab/>
        <w:t>Decision by WAIRC</w:t>
      </w:r>
      <w:bookmarkEnd w:id="208"/>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 xml:space="preserve">The WAIRC may —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 xml:space="preserve">In considering whether or not it is impracticable to make an order under subsection (2)(a), it is relevant to consider —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pPr>
      <w:r>
        <w:tab/>
        <w:t>(4)</w:t>
      </w:r>
      <w:r>
        <w:tab/>
        <w:t>If the WAIRC makes an order under subsection (2)(a), the appellant is not entitled to be paid his or her remuneration as a prison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110E inserted: No. 29 of 2014 s. 7.]</w:t>
      </w:r>
    </w:p>
    <w:p>
      <w:pPr>
        <w:pStyle w:val="Heading5"/>
      </w:pPr>
      <w:bookmarkStart w:id="209" w:name="_Toc103865572"/>
      <w:r>
        <w:rPr>
          <w:rStyle w:val="CharSectno"/>
        </w:rPr>
        <w:t>110F</w:t>
      </w:r>
      <w:r>
        <w:t>.</w:t>
      </w:r>
      <w:r>
        <w:tab/>
        <w:t>Determining amount of compensation</w:t>
      </w:r>
      <w:bookmarkEnd w:id="209"/>
    </w:p>
    <w:p>
      <w:pPr>
        <w:pStyle w:val="Subsection"/>
        <w:spacing w:before="120"/>
      </w:pPr>
      <w:r>
        <w:tab/>
        <w:t>(1)</w:t>
      </w:r>
      <w:r>
        <w:tab/>
        <w:t>An amount of compensation ordered under section 110E(2)(b) must be determined in accordance with this section.</w:t>
      </w:r>
    </w:p>
    <w:p>
      <w:pPr>
        <w:pStyle w:val="Subsection"/>
        <w:spacing w:before="120"/>
      </w:pPr>
      <w:r>
        <w:lastRenderedPageBreak/>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spacing w:before="120"/>
      </w:pPr>
      <w:r>
        <w:tab/>
        <w:t>(3)</w:t>
      </w:r>
      <w:r>
        <w:tab/>
        <w:t>In determining the amount, the WAIRC may have regard to the average rate of remuneration as a prison officer received by the appellant during any relevant period of service.</w:t>
      </w:r>
    </w:p>
    <w:p>
      <w:pPr>
        <w:pStyle w:val="Subsection"/>
        <w:spacing w:before="120"/>
      </w:pPr>
      <w:r>
        <w:tab/>
        <w:t>(4)</w:t>
      </w:r>
      <w:r>
        <w:tab/>
        <w:t>The amount must not exceed 12 months’ remuneration as a prison officer.</w:t>
      </w:r>
    </w:p>
    <w:p>
      <w:pPr>
        <w:pStyle w:val="Footnotesection"/>
      </w:pPr>
      <w:r>
        <w:tab/>
        <w:t>[Section 110F inserted: No. 29 of 2014 s. 7.]</w:t>
      </w:r>
    </w:p>
    <w:p>
      <w:pPr>
        <w:pStyle w:val="Heading5"/>
        <w:spacing w:before="180"/>
      </w:pPr>
      <w:bookmarkStart w:id="210" w:name="_Toc103865573"/>
      <w:r>
        <w:rPr>
          <w:rStyle w:val="CharSectno"/>
        </w:rPr>
        <w:t>110G</w:t>
      </w:r>
      <w:r>
        <w:t>.</w:t>
      </w:r>
      <w:r>
        <w:tab/>
        <w:t>Restriction on publication</w:t>
      </w:r>
      <w:bookmarkEnd w:id="210"/>
    </w:p>
    <w:p>
      <w:pPr>
        <w:pStyle w:val="Subsection"/>
      </w:pPr>
      <w:r>
        <w:tab/>
        <w:t>(1)</w:t>
      </w:r>
      <w:r>
        <w:tab/>
        <w:t xml:space="preserve">If the WAIRC is satisfied that it is in the public interest, it may direct that any evidence given before it, or the contents of any document produced to it, on an appeal —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for this subsection: imprisonment for 12 months and a fine of $6 000.</w:t>
      </w:r>
    </w:p>
    <w:p>
      <w:pPr>
        <w:pStyle w:val="Footnotesection"/>
      </w:pPr>
      <w:r>
        <w:tab/>
        <w:t>[Section 110G inserted: No. 29 of 2014 s. 7; amended: No. 20 of 2020 s. 22.]</w:t>
      </w:r>
    </w:p>
    <w:p>
      <w:pPr>
        <w:pStyle w:val="Heading4"/>
      </w:pPr>
      <w:bookmarkStart w:id="211" w:name="_Toc103862711"/>
      <w:bookmarkStart w:id="212" w:name="_Toc103862903"/>
      <w:bookmarkStart w:id="213" w:name="_Toc103865574"/>
      <w:r>
        <w:lastRenderedPageBreak/>
        <w:t>Subdivision 4 — General</w:t>
      </w:r>
      <w:bookmarkEnd w:id="211"/>
      <w:bookmarkEnd w:id="212"/>
      <w:bookmarkEnd w:id="213"/>
    </w:p>
    <w:p>
      <w:pPr>
        <w:pStyle w:val="Footnoteheading"/>
        <w:keepNext/>
      </w:pPr>
      <w:r>
        <w:tab/>
        <w:t>[Heading inserted: No. 29 of 2014 s. 7.]</w:t>
      </w:r>
    </w:p>
    <w:p>
      <w:pPr>
        <w:pStyle w:val="Heading5"/>
      </w:pPr>
      <w:bookmarkStart w:id="214" w:name="_Toc103865575"/>
      <w:r>
        <w:rPr>
          <w:rStyle w:val="CharSectno"/>
        </w:rPr>
        <w:t>110H</w:t>
      </w:r>
      <w:r>
        <w:t>.</w:t>
      </w:r>
      <w:r>
        <w:tab/>
        <w:t>Effect of charge for, or conviction or acquittal of, offence</w:t>
      </w:r>
      <w:bookmarkEnd w:id="214"/>
    </w:p>
    <w:p>
      <w:pPr>
        <w:pStyle w:val="Subsection"/>
        <w:keepNext/>
      </w:pPr>
      <w:r>
        <w:tab/>
      </w:r>
      <w:r>
        <w:tab/>
        <w:t xml:space="preserve">The chief executive officer can take removal action in relation to a prison officer for a particular matter, act or omission even if the matter, act or omission is an element of an offence — </w:t>
      </w:r>
    </w:p>
    <w:p>
      <w:pPr>
        <w:pStyle w:val="Indenta"/>
      </w:pPr>
      <w:r>
        <w:tab/>
        <w:t>(a)</w:t>
      </w:r>
      <w:r>
        <w:tab/>
        <w:t>with which the prison officer has been charged; or</w:t>
      </w:r>
    </w:p>
    <w:p>
      <w:pPr>
        <w:pStyle w:val="Indenta"/>
      </w:pPr>
      <w:r>
        <w:tab/>
        <w:t>(b)</w:t>
      </w:r>
      <w:r>
        <w:tab/>
        <w:t>of which the prison officer has been convicted or acquitted.</w:t>
      </w:r>
    </w:p>
    <w:p>
      <w:pPr>
        <w:pStyle w:val="Footnotesection"/>
      </w:pPr>
      <w:r>
        <w:tab/>
        <w:t>[Section 110H inserted: No. 29 of 2014 s. 7.]</w:t>
      </w:r>
    </w:p>
    <w:p>
      <w:pPr>
        <w:pStyle w:val="Heading5"/>
      </w:pPr>
      <w:bookmarkStart w:id="215" w:name="_Toc103865576"/>
      <w:r>
        <w:rPr>
          <w:rStyle w:val="CharSectno"/>
        </w:rPr>
        <w:t>110I</w:t>
      </w:r>
      <w:r>
        <w:t>.</w:t>
      </w:r>
      <w:r>
        <w:tab/>
        <w:t>Failure to comply with procedure</w:t>
      </w:r>
      <w:bookmarkEnd w:id="215"/>
    </w:p>
    <w:p>
      <w:pPr>
        <w:pStyle w:val="Subsection"/>
      </w:pPr>
      <w:r>
        <w:tab/>
      </w:r>
      <w:r>
        <w:tab/>
        <w:t xml:space="preserve">An act or omission of the chief executive officer is not invalid, and cannot be called in question, if —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110I inserted: No. 29 of 2014 s. 7.]</w:t>
      </w:r>
    </w:p>
    <w:p>
      <w:pPr>
        <w:pStyle w:val="Heading5"/>
      </w:pPr>
      <w:bookmarkStart w:id="216" w:name="_Toc103865577"/>
      <w:r>
        <w:rPr>
          <w:rStyle w:val="CharSectno"/>
        </w:rPr>
        <w:t>110J</w:t>
      </w:r>
      <w:r>
        <w:t>.</w:t>
      </w:r>
      <w:r>
        <w:tab/>
        <w:t>Transfer, standing down and leave of prison officer</w:t>
      </w:r>
      <w:bookmarkEnd w:id="216"/>
    </w:p>
    <w:p>
      <w:pPr>
        <w:pStyle w:val="Subsection"/>
      </w:pPr>
      <w:r>
        <w:tab/>
        <w:t>(1)</w:t>
      </w:r>
      <w:r>
        <w:tab/>
        <w:t xml:space="preserve">This Division does not derogate from the chief executive officer’s power to — </w:t>
      </w:r>
    </w:p>
    <w:p>
      <w:pPr>
        <w:pStyle w:val="Indenta"/>
      </w:pPr>
      <w:r>
        <w:tab/>
        <w:t>(a)</w:t>
      </w:r>
      <w:r>
        <w:tab/>
        <w:t>transfer a prison officer; or</w:t>
      </w:r>
    </w:p>
    <w:p>
      <w:pPr>
        <w:pStyle w:val="Indenta"/>
      </w:pPr>
      <w:r>
        <w:tab/>
        <w:t>(b)</w:t>
      </w:r>
      <w:r>
        <w:tab/>
        <w:t>stand a prison officer down from performing that prison officer’s usual duties, with or without pay, until the prison officer is directed by the chief executive officer to return to those duties; or</w:t>
      </w:r>
    </w:p>
    <w:p>
      <w:pPr>
        <w:pStyle w:val="Indenta"/>
      </w:pPr>
      <w:r>
        <w:tab/>
        <w:t>(c)</w:t>
      </w:r>
      <w:r>
        <w:tab/>
        <w:t>allocate duties to a prison officer other than the prison officer’s usual duties.</w:t>
      </w:r>
    </w:p>
    <w:p>
      <w:pPr>
        <w:pStyle w:val="Subsection"/>
      </w:pPr>
      <w:r>
        <w:lastRenderedPageBreak/>
        <w:tab/>
        <w:t>(2)</w:t>
      </w:r>
      <w:r>
        <w:tab/>
        <w:t>If the chief executive officer stands down a prison officer in relation to whom removal action is being taken, the chief executive officer must review the decision to stand the prison officer down every 60 days and advise the prison officer in writing of the result of the review.</w:t>
      </w:r>
    </w:p>
    <w:p>
      <w:pPr>
        <w:pStyle w:val="Subsection"/>
      </w:pPr>
      <w:r>
        <w:tab/>
        <w:t>(3)</w:t>
      </w:r>
      <w:r>
        <w:tab/>
        <w:t>The chief executive officer must not direct a prison officer in relation to whom removal action is being taken to take leave during the removal action unless the leave accrues during any period that the prison officer is stood down from performing the prison officer’s usual duties.</w:t>
      </w:r>
    </w:p>
    <w:p>
      <w:pPr>
        <w:pStyle w:val="Footnotesection"/>
      </w:pPr>
      <w:r>
        <w:tab/>
        <w:t>[Section 110J inserted: No. 29 of 2014 s. 7.]</w:t>
      </w:r>
    </w:p>
    <w:p>
      <w:pPr>
        <w:pStyle w:val="Heading5"/>
      </w:pPr>
      <w:bookmarkStart w:id="217" w:name="_Toc103865578"/>
      <w:r>
        <w:rPr>
          <w:rStyle w:val="CharSectno"/>
        </w:rPr>
        <w:t>110K</w:t>
      </w:r>
      <w:r>
        <w:t>.</w:t>
      </w:r>
      <w:r>
        <w:tab/>
        <w:t>Review of Division</w:t>
      </w:r>
      <w:bookmarkEnd w:id="217"/>
    </w:p>
    <w:p>
      <w:pPr>
        <w:pStyle w:val="Subsection"/>
      </w:pPr>
      <w:r>
        <w:tab/>
        <w:t>(1)</w:t>
      </w:r>
      <w:r>
        <w:tab/>
        <w:t xml:space="preserve">In this section — </w:t>
      </w:r>
    </w:p>
    <w:p>
      <w:pPr>
        <w:pStyle w:val="Defstart"/>
      </w:pPr>
      <w:r>
        <w:tab/>
      </w:r>
      <w:r>
        <w:rPr>
          <w:rStyle w:val="CharDefText"/>
        </w:rPr>
        <w:t xml:space="preserve">commencement day </w:t>
      </w:r>
      <w:r>
        <w:t xml:space="preserve">means the day on which the </w:t>
      </w:r>
      <w:r>
        <w:rPr>
          <w:i/>
        </w:rPr>
        <w:t>Custodial Legislation (Officers Discipline) Amendment Act 2014</w:t>
      </w:r>
      <w:r>
        <w:t xml:space="preserve"> Part 2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prison officers as some or all of its members.</w:t>
      </w:r>
    </w:p>
    <w:p>
      <w:pPr>
        <w:pStyle w:val="Subsection"/>
      </w:pPr>
      <w:r>
        <w:lastRenderedPageBreak/>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110K inserted: No. 29 of 2014 s. 7.]</w:t>
      </w:r>
    </w:p>
    <w:p>
      <w:pPr>
        <w:pStyle w:val="Ednotepart"/>
      </w:pPr>
      <w:r>
        <w:t>[Part XA deleted: No. 75 of 2003 s. 56(1).]</w:t>
      </w:r>
    </w:p>
    <w:p>
      <w:pPr>
        <w:pStyle w:val="Heading2"/>
      </w:pPr>
      <w:bookmarkStart w:id="218" w:name="_Toc103862716"/>
      <w:bookmarkStart w:id="219" w:name="_Toc103862908"/>
      <w:bookmarkStart w:id="220" w:name="_Toc103865579"/>
      <w:r>
        <w:rPr>
          <w:rStyle w:val="CharPartNo"/>
        </w:rPr>
        <w:lastRenderedPageBreak/>
        <w:t>Part XI</w:t>
      </w:r>
      <w:r>
        <w:rPr>
          <w:rStyle w:val="CharDivNo"/>
        </w:rPr>
        <w:t> </w:t>
      </w:r>
      <w:r>
        <w:t>—</w:t>
      </w:r>
      <w:r>
        <w:rPr>
          <w:rStyle w:val="CharDivText"/>
        </w:rPr>
        <w:t> </w:t>
      </w:r>
      <w:r>
        <w:rPr>
          <w:rStyle w:val="CharPartText"/>
        </w:rPr>
        <w:t>General provisions</w:t>
      </w:r>
      <w:bookmarkEnd w:id="218"/>
      <w:bookmarkEnd w:id="219"/>
      <w:bookmarkEnd w:id="220"/>
      <w:r>
        <w:rPr>
          <w:rStyle w:val="CharPartText"/>
        </w:rPr>
        <w:t xml:space="preserve"> </w:t>
      </w:r>
    </w:p>
    <w:p>
      <w:pPr>
        <w:pStyle w:val="Heading5"/>
        <w:rPr>
          <w:snapToGrid w:val="0"/>
        </w:rPr>
      </w:pPr>
      <w:bookmarkStart w:id="221" w:name="_Toc103865580"/>
      <w:r>
        <w:rPr>
          <w:rStyle w:val="CharSectno"/>
        </w:rPr>
        <w:t>110</w:t>
      </w:r>
      <w:r>
        <w:rPr>
          <w:snapToGrid w:val="0"/>
        </w:rPr>
        <w:t>.</w:t>
      </w:r>
      <w:r>
        <w:rPr>
          <w:snapToGrid w:val="0"/>
        </w:rPr>
        <w:tab/>
        <w:t>Regulations</w:t>
      </w:r>
      <w:bookmarkEnd w:id="22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keepLines/>
        <w:rPr>
          <w:snapToGrid w:val="0"/>
        </w:rPr>
      </w:pPr>
      <w:r>
        <w:rPr>
          <w:snapToGrid w:val="0"/>
        </w:rPr>
        <w:lastRenderedPageBreak/>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 xml:space="preserve">notwithstanding </w:t>
      </w:r>
      <w:r>
        <w:t xml:space="preserve">sections 46 and 46A, </w:t>
      </w:r>
      <w:r>
        <w:rPr>
          <w:snapToGrid w:val="0"/>
        </w:rPr>
        <w:t>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 xml:space="preserve">notwithstanding </w:t>
      </w:r>
      <w:r>
        <w:t xml:space="preserve">sections 46 and 46A, </w:t>
      </w:r>
      <w:r>
        <w:rPr>
          <w:snapToGrid w:val="0"/>
        </w:rPr>
        <w:t>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keepNext/>
        <w:rPr>
          <w:snapToGrid w:val="0"/>
        </w:rPr>
      </w:pPr>
      <w:r>
        <w:rPr>
          <w:snapToGrid w:val="0"/>
        </w:rPr>
        <w:lastRenderedPageBreak/>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 xml:space="preserve">regulating the termination under this Act of service of prison officers other than </w:t>
      </w:r>
      <w:r>
        <w:t>removal of prison officers under Part X.</w:t>
      </w:r>
    </w:p>
    <w:p>
      <w:pPr>
        <w:pStyle w:val="Subsection"/>
        <w:keepNext/>
        <w:rPr>
          <w:snapToGrid w:val="0"/>
        </w:rPr>
      </w:pPr>
      <w:r>
        <w:rPr>
          <w:snapToGrid w:val="0"/>
        </w:rPr>
        <w:tab/>
        <w:t>(1a)</w:t>
      </w:r>
      <w:r>
        <w:rPr>
          <w:snapToGrid w:val="0"/>
        </w:rPr>
        <w:tab/>
        <w:t xml:space="preserve">Any security conditions prescribed under subsection (1)(ra) shall be complied with notwithstanding any provisions of this </w:t>
      </w:r>
      <w:r>
        <w:rPr>
          <w:snapToGrid w:val="0"/>
        </w:rPr>
        <w:lastRenderedPageBreak/>
        <w:t>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keepNext/>
      </w:pPr>
      <w:r>
        <w:tab/>
        <w:t>(4)</w:t>
      </w:r>
      <w:r>
        <w:tab/>
        <w:t>The regulations may provide for offences against the regulations and prescribe penalties for those offences not exceeding a fine of $9 000.</w:t>
      </w:r>
    </w:p>
    <w:p>
      <w:pPr>
        <w:pStyle w:val="Footnotesection"/>
        <w:keepLines w:val="0"/>
        <w:ind w:left="890" w:hanging="890"/>
      </w:pPr>
      <w:r>
        <w:tab/>
        <w:t xml:space="preserve">[Section 110 amended: No. 66 of 1982 s. 4; No. 47 of 1987 s. 11; No. 113 of 1987 s. 32; No. 47 of 1991 s. 6; No. 51 of 1992 </w:t>
      </w:r>
      <w:r>
        <w:lastRenderedPageBreak/>
        <w:t>s. 16(1); No. 19 of 1995 s. 6; No. 24 of 2003 s. 8; No. 75 of 2003 s. 56(1); No. 65 of 2006 s. 34; No. 29 of 2014 s. 8; No. 20 of 2020 s. 23.]</w:t>
      </w:r>
    </w:p>
    <w:p>
      <w:pPr>
        <w:pStyle w:val="Heading5"/>
        <w:rPr>
          <w:snapToGrid w:val="0"/>
        </w:rPr>
      </w:pPr>
      <w:bookmarkStart w:id="222" w:name="_Toc103865581"/>
      <w:r>
        <w:rPr>
          <w:rStyle w:val="CharSectno"/>
        </w:rPr>
        <w:t>111</w:t>
      </w:r>
      <w:r>
        <w:rPr>
          <w:snapToGrid w:val="0"/>
        </w:rPr>
        <w:t>.</w:t>
      </w:r>
      <w:r>
        <w:rPr>
          <w:snapToGrid w:val="0"/>
        </w:rPr>
        <w:tab/>
        <w:t>Protection from liability</w:t>
      </w:r>
      <w:bookmarkEnd w:id="222"/>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223" w:name="_Toc103865582"/>
      <w:r>
        <w:rPr>
          <w:rStyle w:val="CharSectno"/>
        </w:rPr>
        <w:t>112</w:t>
      </w:r>
      <w:r>
        <w:t>.</w:t>
      </w:r>
      <w:r>
        <w:tab/>
        <w:t>Community safety information</w:t>
      </w:r>
      <w:bookmarkEnd w:id="223"/>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No. 65 of 2006 s. 35.]</w:t>
      </w:r>
    </w:p>
    <w:p>
      <w:pPr>
        <w:pStyle w:val="Heading5"/>
      </w:pPr>
      <w:bookmarkStart w:id="224" w:name="_Toc103865583"/>
      <w:r>
        <w:rPr>
          <w:rStyle w:val="CharSectno"/>
        </w:rPr>
        <w:t>113</w:t>
      </w:r>
      <w:r>
        <w:t>.</w:t>
      </w:r>
      <w:r>
        <w:tab/>
        <w:t>Exchange of information</w:t>
      </w:r>
      <w:bookmarkEnd w:id="224"/>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lastRenderedPageBreak/>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lastRenderedPageBreak/>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No. 65 of 2006 s. 35; amended: No. 4 of 2015 s. 88(3).]</w:t>
      </w:r>
    </w:p>
    <w:p>
      <w:pPr>
        <w:pStyle w:val="Heading5"/>
        <w:spacing w:before="180"/>
      </w:pPr>
      <w:bookmarkStart w:id="225" w:name="_Toc103865584"/>
      <w:r>
        <w:rPr>
          <w:rStyle w:val="CharSectno"/>
        </w:rPr>
        <w:t>113A</w:t>
      </w:r>
      <w:r>
        <w:t>.</w:t>
      </w:r>
      <w:r>
        <w:tab/>
        <w:t>Disclosure to external agencies</w:t>
      </w:r>
      <w:bookmarkEnd w:id="225"/>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No. 65 of 2006 s. 35.]</w:t>
      </w:r>
    </w:p>
    <w:p>
      <w:pPr>
        <w:pStyle w:val="Heading5"/>
        <w:spacing w:before="180"/>
      </w:pPr>
      <w:bookmarkStart w:id="226" w:name="_Toc103865585"/>
      <w:r>
        <w:rPr>
          <w:rStyle w:val="CharSectno"/>
        </w:rPr>
        <w:t>113B</w:t>
      </w:r>
      <w:r>
        <w:t>.</w:t>
      </w:r>
      <w:r>
        <w:tab/>
        <w:t>Disclosure to victims</w:t>
      </w:r>
      <w:bookmarkEnd w:id="226"/>
    </w:p>
    <w:p>
      <w:pPr>
        <w:pStyle w:val="Subsection"/>
        <w:spacing w:before="120"/>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Indenta"/>
      </w:pPr>
      <w:r>
        <w:tab/>
        <w:t>(ba)</w:t>
      </w:r>
      <w:r>
        <w:tab/>
        <w:t xml:space="preserve">a person who has suffered injury, loss or damage as a direct result of a serious offence (as defined in the </w:t>
      </w:r>
      <w:r>
        <w:rPr>
          <w:i/>
          <w:szCs w:val="24"/>
        </w:rPr>
        <w:t xml:space="preserve">High </w:t>
      </w:r>
      <w:r>
        <w:rPr>
          <w:i/>
          <w:szCs w:val="24"/>
        </w:rPr>
        <w:lastRenderedPageBreak/>
        <w:t>Risk Serious Offenders Act 2020</w:t>
      </w:r>
      <w:r>
        <w:rPr>
          <w:szCs w:val="24"/>
        </w:rPr>
        <w:t xml:space="preserve"> </w:t>
      </w:r>
      <w:r>
        <w:t>section 5) committed by the prisoner,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prisoner is a respondent; or</w:t>
      </w:r>
    </w:p>
    <w:p>
      <w:pPr>
        <w:pStyle w:val="Defpara"/>
      </w:pPr>
      <w:r>
        <w:tab/>
        <w:t>(d)</w:t>
      </w:r>
      <w:r>
        <w:tab/>
        <w:t xml:space="preserve">a person who can demonstrate, to the satisfaction of the chief executive officer that — </w:t>
      </w:r>
    </w:p>
    <w:p>
      <w:pPr>
        <w:pStyle w:val="Defsubpara"/>
      </w:pPr>
      <w:r>
        <w:tab/>
        <w:t>(i)</w:t>
      </w:r>
      <w:r>
        <w:tab/>
        <w:t>the person is the victim of an act that, if prosecuted successfully, would constitute a violent personal offence committed by the prisoner; and</w:t>
      </w:r>
    </w:p>
    <w:p>
      <w:pPr>
        <w:pStyle w:val="Defsubpara"/>
      </w:pPr>
      <w:r>
        <w:tab/>
        <w:t>(ii)</w:t>
      </w:r>
      <w:r>
        <w:tab/>
        <w:t xml:space="preserve">the act was committed by the prisoner in the context of a family relationship, as defined in the </w:t>
      </w:r>
      <w:r>
        <w:rPr>
          <w:i/>
        </w:rPr>
        <w:t>Restraining Orders Act 1997</w:t>
      </w:r>
      <w:r>
        <w:t xml:space="preserve"> section 4, with the person.</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(1A)</w:t>
      </w:r>
      <w:r>
        <w:tab/>
        <w:t xml:space="preserve">For the purposes of subsection (1) in the definition of </w:t>
      </w:r>
      <w:r>
        <w:rPr>
          <w:b/>
          <w:i/>
        </w:rPr>
        <w:t>victim</w:t>
      </w:r>
      <w:r>
        <w:t xml:space="preserve"> paragraph (c) or (d), it is irrelevant that the family violence restraining order or the violent personal offence, as the case requires, is unrelated to the offence referred to in paragraph (a) or (b) of that definition.</w:t>
      </w:r>
    </w:p>
    <w:p>
      <w:pPr>
        <w:pStyle w:val="Subsection"/>
        <w:spacing w:before="120"/>
      </w:pPr>
      <w:r>
        <w:tab/>
        <w:t>(2)</w:t>
      </w:r>
      <w:r>
        <w:tab/>
        <w:t>The chief executive officer may disclose information of a prescribed kind regarding a prisoner to a victim of the prisoner or a person acting on a victim’s behalf.</w:t>
      </w:r>
    </w:p>
    <w:p>
      <w:pPr>
        <w:pStyle w:val="Footnotesection"/>
      </w:pPr>
      <w:r>
        <w:lastRenderedPageBreak/>
        <w:tab/>
        <w:t>[Section 113B inserted: No. 65 of 2006 s. 35; amended: No. 17 of 2016 s. 50; No. 49 of 2016 s. 105; No. 29 of 2020 s. 119(2).]</w:t>
      </w:r>
    </w:p>
    <w:p>
      <w:pPr>
        <w:pStyle w:val="Heading5"/>
        <w:spacing w:before="180"/>
      </w:pPr>
      <w:bookmarkStart w:id="227" w:name="_Toc103865586"/>
      <w:r>
        <w:rPr>
          <w:rStyle w:val="CharSectno"/>
        </w:rPr>
        <w:t>113C</w:t>
      </w:r>
      <w:r>
        <w:t>.</w:t>
      </w:r>
      <w:r>
        <w:tab/>
        <w:t>Disclosure authorised</w:t>
      </w:r>
      <w:bookmarkEnd w:id="227"/>
    </w:p>
    <w:p>
      <w:pPr>
        <w:pStyle w:val="Subsection"/>
        <w:spacing w:before="120"/>
      </w:pPr>
      <w:r>
        <w:tab/>
        <w:t>(1)</w:t>
      </w:r>
      <w:r>
        <w:tab/>
        <w:t>Information may be disclosed under section 112, 113, 113A or 113B despite any written law relating to confidentiality or secrecy.</w:t>
      </w:r>
    </w:p>
    <w:p>
      <w:pPr>
        <w:pStyle w:val="Subsection"/>
        <w:keepNext/>
      </w:pPr>
      <w:r>
        <w:tab/>
        <w:t>(2)</w:t>
      </w:r>
      <w:r>
        <w:tab/>
        <w:t>If information is disclosed, in good faith, under section 112, 113, 113A or 113B —</w:t>
      </w:r>
    </w:p>
    <w:p>
      <w:pPr>
        <w:pStyle w:val="Indenta"/>
        <w:keepNext/>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No. 65 of 2006 s. 35.]</w:t>
      </w:r>
    </w:p>
    <w:p>
      <w:pPr>
        <w:pStyle w:val="Heading5"/>
        <w:rPr>
          <w:snapToGrid w:val="0"/>
        </w:rPr>
      </w:pPr>
      <w:bookmarkStart w:id="228" w:name="_Toc103865587"/>
      <w:r>
        <w:rPr>
          <w:rStyle w:val="CharSectno"/>
        </w:rPr>
        <w:t>114</w:t>
      </w:r>
      <w:r>
        <w:rPr>
          <w:snapToGrid w:val="0"/>
        </w:rPr>
        <w:t>.</w:t>
      </w:r>
      <w:r>
        <w:rPr>
          <w:snapToGrid w:val="0"/>
        </w:rPr>
        <w:tab/>
        <w:t>Failure to perform duties</w:t>
      </w:r>
      <w:bookmarkEnd w:id="228"/>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lastRenderedPageBreak/>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lastRenderedPageBreak/>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No. 47 of 1987 s. 11; No. 113 of 1987 s. 32; No. 47 of 1991 s. 7.] </w:t>
      </w:r>
    </w:p>
    <w:p>
      <w:pPr>
        <w:pStyle w:val="Heading5"/>
        <w:rPr>
          <w:snapToGrid w:val="0"/>
        </w:rPr>
      </w:pPr>
      <w:bookmarkStart w:id="229" w:name="_Toc103865588"/>
      <w:r>
        <w:rPr>
          <w:rStyle w:val="CharSectno"/>
        </w:rPr>
        <w:t>115</w:t>
      </w:r>
      <w:r>
        <w:rPr>
          <w:snapToGrid w:val="0"/>
        </w:rPr>
        <w:t>.</w:t>
      </w:r>
      <w:r>
        <w:rPr>
          <w:snapToGrid w:val="0"/>
        </w:rPr>
        <w:tab/>
        <w:t>Section 114 to prevail</w:t>
      </w:r>
      <w:bookmarkEnd w:id="229"/>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230" w:name="_Toc103865589"/>
      <w:r>
        <w:rPr>
          <w:rStyle w:val="CharSectno"/>
        </w:rPr>
        <w:t>116</w:t>
      </w:r>
      <w:r>
        <w:rPr>
          <w:snapToGrid w:val="0"/>
        </w:rPr>
        <w:t>.</w:t>
      </w:r>
      <w:r>
        <w:rPr>
          <w:snapToGrid w:val="0"/>
        </w:rPr>
        <w:tab/>
        <w:t>Repeal</w:t>
      </w:r>
      <w:bookmarkEnd w:id="230"/>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231" w:name="_Toc103865590"/>
      <w:r>
        <w:rPr>
          <w:rStyle w:val="CharSectno"/>
        </w:rPr>
        <w:t>117</w:t>
      </w:r>
      <w:r>
        <w:rPr>
          <w:snapToGrid w:val="0"/>
        </w:rPr>
        <w:t>.</w:t>
      </w:r>
      <w:r>
        <w:rPr>
          <w:snapToGrid w:val="0"/>
        </w:rPr>
        <w:tab/>
        <w:t>Transitional</w:t>
      </w:r>
      <w:bookmarkEnd w:id="231"/>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vertAlign w:val="superscript"/>
        </w:rPr>
        <w:t> 2</w:t>
      </w:r>
      <w:r>
        <w:rPr>
          <w:snapToGrid w:val="0"/>
        </w:rPr>
        <w:t>, the transitional provisions set out in Schedule 2 shall have effect for the purpose of the transition from the provisions of the repealed Act to the provisions of this Act.</w:t>
      </w:r>
    </w:p>
    <w:p>
      <w:pPr>
        <w:pStyle w:val="Heading2"/>
      </w:pPr>
      <w:bookmarkStart w:id="232" w:name="_Toc103862728"/>
      <w:bookmarkStart w:id="233" w:name="_Toc103862920"/>
      <w:bookmarkStart w:id="234" w:name="_Toc103865591"/>
      <w:r>
        <w:rPr>
          <w:rStyle w:val="CharPartNo"/>
        </w:rPr>
        <w:lastRenderedPageBreak/>
        <w:t>Part XII</w:t>
      </w:r>
      <w:r>
        <w:rPr>
          <w:rStyle w:val="CharDivNo"/>
        </w:rPr>
        <w:t> </w:t>
      </w:r>
      <w:r>
        <w:t>—</w:t>
      </w:r>
      <w:r>
        <w:rPr>
          <w:rStyle w:val="CharDivText"/>
        </w:rPr>
        <w:t> </w:t>
      </w:r>
      <w:r>
        <w:rPr>
          <w:rStyle w:val="CharPartText"/>
        </w:rPr>
        <w:t xml:space="preserve">Savings and transitional provisions for </w:t>
      </w:r>
      <w:r>
        <w:rPr>
          <w:rStyle w:val="CharPartText"/>
          <w:i/>
        </w:rPr>
        <w:t>Custodial Legislation (Officers Discipline) Amendment Act 2014</w:t>
      </w:r>
      <w:bookmarkEnd w:id="232"/>
      <w:bookmarkEnd w:id="233"/>
      <w:bookmarkEnd w:id="234"/>
    </w:p>
    <w:p>
      <w:pPr>
        <w:pStyle w:val="Footnoteheading"/>
      </w:pPr>
      <w:r>
        <w:tab/>
        <w:t>[Heading inserted: No. 29 of 2014 s. 9.]</w:t>
      </w:r>
    </w:p>
    <w:p>
      <w:pPr>
        <w:pStyle w:val="Heading5"/>
      </w:pPr>
      <w:bookmarkStart w:id="235" w:name="_Toc103865592"/>
      <w:r>
        <w:rPr>
          <w:rStyle w:val="CharSectno"/>
        </w:rPr>
        <w:t>118</w:t>
      </w:r>
      <w:r>
        <w:t>.</w:t>
      </w:r>
      <w:r>
        <w:tab/>
        <w:t>Purpose</w:t>
      </w:r>
      <w:bookmarkEnd w:id="235"/>
    </w:p>
    <w:p>
      <w:pPr>
        <w:pStyle w:val="Subsection"/>
      </w:pPr>
      <w:r>
        <w:tab/>
      </w:r>
      <w:r>
        <w:tab/>
        <w:t xml:space="preserve">The purpose of this Part is to enact savings and transitional provisions in relation to the </w:t>
      </w:r>
      <w:r>
        <w:rPr>
          <w:i/>
          <w:snapToGrid w:val="0"/>
        </w:rPr>
        <w:t>Custodial Legislation (Officers Discipline) Amendment Act 2014</w:t>
      </w:r>
      <w:r>
        <w:t xml:space="preserve"> Part 2.</w:t>
      </w:r>
    </w:p>
    <w:p>
      <w:pPr>
        <w:pStyle w:val="Footnotesection"/>
      </w:pPr>
      <w:r>
        <w:tab/>
        <w:t>[Section 118 inserted: No. 29 of 2014 s. 9.]</w:t>
      </w:r>
    </w:p>
    <w:p>
      <w:pPr>
        <w:pStyle w:val="Heading5"/>
      </w:pPr>
      <w:bookmarkStart w:id="236" w:name="_Toc103865593"/>
      <w:r>
        <w:rPr>
          <w:rStyle w:val="CharSectno"/>
        </w:rPr>
        <w:t>119</w:t>
      </w:r>
      <w:r>
        <w:t>.</w:t>
      </w:r>
      <w:r>
        <w:tab/>
        <w:t>Disciplinary offences before commencement day</w:t>
      </w:r>
      <w:bookmarkEnd w:id="23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p>
    <w:p>
      <w:pPr>
        <w:pStyle w:val="Defstart"/>
      </w:pPr>
      <w:r>
        <w:tab/>
      </w:r>
      <w:r>
        <w:rPr>
          <w:rStyle w:val="CharDefText"/>
        </w:rPr>
        <w:t>former disciplinary provisions</w:t>
      </w:r>
      <w:r>
        <w:t xml:space="preserve"> means Part X as it was in force immediately before the commencement day;</w:t>
      </w:r>
    </w:p>
    <w:p>
      <w:pPr>
        <w:pStyle w:val="Defstart"/>
      </w:pPr>
      <w:r>
        <w:tab/>
      </w:r>
      <w:r>
        <w:rPr>
          <w:rStyle w:val="CharDefText"/>
        </w:rPr>
        <w:t>misconduct</w:t>
      </w:r>
      <w:r>
        <w:t xml:space="preserve">, by a prison officer, means conduct by the prison officer that is or is reasonably suspected to be — </w:t>
      </w:r>
    </w:p>
    <w:p>
      <w:pPr>
        <w:pStyle w:val="Defpara"/>
      </w:pPr>
      <w:r>
        <w:tab/>
        <w:t>(a)</w:t>
      </w:r>
      <w:r>
        <w:tab/>
        <w:t xml:space="preserve">substandard performance or a breach of discipline, as those terms are defined in the </w:t>
      </w:r>
      <w:r>
        <w:rPr>
          <w:i/>
        </w:rPr>
        <w:t>Public Sector Management Act 1994</w:t>
      </w:r>
      <w:r>
        <w:t>; or</w:t>
      </w:r>
    </w:p>
    <w:p>
      <w:pPr>
        <w:pStyle w:val="Defpara"/>
      </w:pPr>
      <w:r>
        <w:tab/>
        <w:t>(b)</w:t>
      </w:r>
      <w:r>
        <w:tab/>
        <w:t>conduct that may result in the chief executive officer taking removal action, as defined in section 99, in relation to the prison officer;</w:t>
      </w:r>
    </w:p>
    <w:p>
      <w:pPr>
        <w:pStyle w:val="Defstart"/>
      </w:pPr>
      <w:r>
        <w:tab/>
      </w:r>
      <w:r>
        <w:rPr>
          <w:rStyle w:val="CharDefText"/>
        </w:rPr>
        <w:t>penalty</w:t>
      </w:r>
      <w:r>
        <w:t>, under Part X, includes removal of a prison officer.</w:t>
      </w:r>
    </w:p>
    <w:p>
      <w:pPr>
        <w:pStyle w:val="Subsection"/>
      </w:pPr>
      <w:r>
        <w:tab/>
        <w:t>(2)</w:t>
      </w:r>
      <w:r>
        <w:tab/>
        <w:t xml:space="preserve">Proceedings for a disciplinary offence instituted under the former disciplinary provisions that are pending immediately before the commencement day are to be dealt with and determined under those provisions as if the </w:t>
      </w:r>
      <w:r>
        <w:rPr>
          <w:i/>
          <w:snapToGrid w:val="0"/>
        </w:rPr>
        <w:t>Custodial Legislation (Officers Discipline) Amendment Act 2014</w:t>
      </w:r>
      <w:r>
        <w:t xml:space="preserve"> Part 2 had not come into operation.</w:t>
      </w:r>
    </w:p>
    <w:p>
      <w:pPr>
        <w:pStyle w:val="Subsection"/>
      </w:pPr>
      <w:r>
        <w:lastRenderedPageBreak/>
        <w:tab/>
        <w:t>(3)</w:t>
      </w:r>
      <w:r>
        <w:tab/>
        <w:t>Part X applies to misconduct committed, or suspected of having been committed, by a prison officer before the commencement day but in relation to which proceedings for a disciplinary offence have not been instituted under the former disciplinary provisions.</w:t>
      </w:r>
    </w:p>
    <w:p>
      <w:pPr>
        <w:pStyle w:val="Subsection"/>
      </w:pPr>
      <w:r>
        <w:tab/>
        <w:t>(4)</w:t>
      </w:r>
      <w:r>
        <w:tab/>
        <w:t>However, if misconduct occurring before the commencement day would have constituted a disciplinary offence under the former disciplinary provisions, a penalty cannot be imposed under Part X in relation to the misconduct unless that penalty would also have been able to be imposed for the disciplinary offence under the former disciplinary provisions.</w:t>
      </w:r>
    </w:p>
    <w:p>
      <w:pPr>
        <w:pStyle w:val="Footnotesection"/>
      </w:pPr>
      <w:r>
        <w:tab/>
        <w:t>[Section 119 inserted: No. 29 of 2014 s. 9.]</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237" w:name="_Toc103862731"/>
      <w:bookmarkStart w:id="238" w:name="_Toc103862923"/>
      <w:bookmarkStart w:id="239" w:name="_Toc103865594"/>
      <w:r>
        <w:rPr>
          <w:rStyle w:val="CharSchNo"/>
        </w:rPr>
        <w:lastRenderedPageBreak/>
        <w:t>Schedule 1</w:t>
      </w:r>
      <w:bookmarkEnd w:id="237"/>
      <w:bookmarkEnd w:id="238"/>
      <w:bookmarkEnd w:id="239"/>
    </w:p>
    <w:p>
      <w:pPr>
        <w:pStyle w:val="yShoulderClause"/>
        <w:rPr>
          <w:snapToGrid w:val="0"/>
        </w:rPr>
      </w:pPr>
      <w:r>
        <w:rPr>
          <w:snapToGrid w:val="0"/>
        </w:rPr>
        <w:t>[section 4]</w:t>
      </w:r>
    </w:p>
    <w:p>
      <w:pPr>
        <w:pStyle w:val="yHeading2"/>
        <w:spacing w:after="80"/>
      </w:pPr>
      <w:bookmarkStart w:id="240" w:name="_Toc103862732"/>
      <w:bookmarkStart w:id="241" w:name="_Toc103862924"/>
      <w:bookmarkStart w:id="242" w:name="_Toc103865595"/>
      <w:r>
        <w:rPr>
          <w:rStyle w:val="CharSchText"/>
        </w:rPr>
        <w:t>Declaration of prisons</w:t>
      </w:r>
      <w:bookmarkEnd w:id="240"/>
      <w:bookmarkEnd w:id="241"/>
      <w:bookmarkEnd w:id="242"/>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r>
              <w:t>Albany Regional Gaol</w:t>
            </w:r>
          </w:p>
        </w:tc>
        <w:tc>
          <w:tcPr>
            <w:tcW w:w="3544" w:type="dxa"/>
          </w:tcPr>
          <w:p>
            <w:pPr>
              <w:pStyle w:val="yTableNAm"/>
            </w:pPr>
            <w:r>
              <w:t>Albany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r>
              <w:t>Brunswick Junction Prison</w:t>
            </w:r>
          </w:p>
        </w:tc>
        <w:tc>
          <w:tcPr>
            <w:tcW w:w="3544" w:type="dxa"/>
          </w:tcPr>
          <w:p>
            <w:pPr>
              <w:pStyle w:val="yTableNAm"/>
            </w:pPr>
            <w:r>
              <w:t>Brunswick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West Perth Work Release Hostel</w:t>
            </w:r>
          </w:p>
        </w:tc>
        <w:tc>
          <w:tcPr>
            <w:tcW w:w="3544" w:type="dxa"/>
          </w:tcPr>
          <w:p>
            <w:pPr>
              <w:pStyle w:val="yTableNAm"/>
            </w:pPr>
            <w:r>
              <w:t>Highgate Work Release Hostel</w:t>
            </w:r>
          </w:p>
        </w:tc>
      </w:tr>
      <w:tr>
        <w:tc>
          <w:tcPr>
            <w:tcW w:w="3544" w:type="dxa"/>
          </w:tcPr>
          <w:p>
            <w:pPr>
              <w:pStyle w:val="yTableNAm"/>
            </w:pPr>
            <w:r>
              <w:t>Kalgoorlie Regional Gaol</w:t>
            </w:r>
          </w:p>
        </w:tc>
        <w:tc>
          <w:tcPr>
            <w:tcW w:w="3544" w:type="dxa"/>
          </w:tcPr>
          <w:p>
            <w:pPr>
              <w:pStyle w:val="yTableNAm"/>
            </w:pPr>
            <w:r>
              <w:t>Kalgoorlie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r>
              <w:t>West Perth Work Release Hostel</w:t>
            </w:r>
          </w:p>
        </w:tc>
        <w:tc>
          <w:tcPr>
            <w:tcW w:w="3544" w:type="dxa"/>
          </w:tcPr>
          <w:p>
            <w:pPr>
              <w:pStyle w:val="yTableNAm"/>
            </w:pPr>
            <w:r>
              <w:t>West Perth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243" w:name="_Toc103862733"/>
      <w:bookmarkStart w:id="244" w:name="_Toc103862925"/>
      <w:bookmarkStart w:id="245" w:name="_Toc103865596"/>
      <w:r>
        <w:rPr>
          <w:rStyle w:val="CharSchNo"/>
        </w:rPr>
        <w:lastRenderedPageBreak/>
        <w:t>Schedule 2</w:t>
      </w:r>
      <w:bookmarkEnd w:id="243"/>
      <w:bookmarkEnd w:id="244"/>
      <w:bookmarkEnd w:id="245"/>
    </w:p>
    <w:p>
      <w:pPr>
        <w:pStyle w:val="yShoulderClause"/>
        <w:rPr>
          <w:snapToGrid w:val="0"/>
        </w:rPr>
      </w:pPr>
      <w:r>
        <w:rPr>
          <w:snapToGrid w:val="0"/>
        </w:rPr>
        <w:t>[section 117]</w:t>
      </w:r>
    </w:p>
    <w:p>
      <w:pPr>
        <w:pStyle w:val="yHeading2"/>
      </w:pPr>
      <w:bookmarkStart w:id="246" w:name="_Toc103862734"/>
      <w:bookmarkStart w:id="247" w:name="_Toc103862926"/>
      <w:bookmarkStart w:id="248" w:name="_Toc103865597"/>
      <w:r>
        <w:rPr>
          <w:rStyle w:val="CharSchText"/>
        </w:rPr>
        <w:t>Transitional provisions</w:t>
      </w:r>
      <w:bookmarkEnd w:id="246"/>
      <w:bookmarkEnd w:id="247"/>
      <w:bookmarkEnd w:id="248"/>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lastRenderedPageBreak/>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w:t>
      </w:r>
      <w:r>
        <w:rPr>
          <w:snapToGrid w:val="0"/>
        </w:rPr>
        <w:lastRenderedPageBreak/>
        <w:t xml:space="preserve">into operation of this Act under regulation 98 of the </w:t>
      </w:r>
      <w:r>
        <w:rPr>
          <w:i/>
          <w:snapToGrid w:val="0"/>
        </w:rPr>
        <w:t>Prison Regulations 1974</w:t>
      </w:r>
      <w:r>
        <w:rPr>
          <w:snapToGrid w:val="0"/>
          <w:vertAlign w:val="superscript"/>
        </w:rPr>
        <w:t xml:space="preserve"> 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vertAlign w:val="superscript"/>
        </w:rPr>
        <w:t> 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vertAlign w:val="superscript"/>
        </w:rPr>
        <w:t xml:space="preserve"> 5 </w:t>
      </w:r>
      <w:r>
        <w:rPr>
          <w:snapToGrid w:val="0"/>
        </w:rPr>
        <w:t>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No. 47 of 1987 s. 11; No. 113 of 1987 s. 32.]</w:t>
      </w:r>
    </w:p>
    <w:p>
      <w:pPr>
        <w:pStyle w:val="CentredBaseLine"/>
        <w:spacing w:before="8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50" w:name="_Toc103862735"/>
      <w:bookmarkStart w:id="251" w:name="_Toc103862927"/>
      <w:bookmarkStart w:id="252" w:name="_Toc103865598"/>
      <w:r>
        <w:lastRenderedPageBreak/>
        <w:t>Notes</w:t>
      </w:r>
      <w:bookmarkEnd w:id="250"/>
      <w:bookmarkEnd w:id="251"/>
      <w:bookmarkEnd w:id="252"/>
    </w:p>
    <w:p>
      <w:pPr>
        <w:pStyle w:val="nStatement"/>
      </w:pPr>
      <w:r>
        <w:t xml:space="preserve">This is a compilation of the </w:t>
      </w:r>
      <w:r>
        <w:rPr>
          <w:i/>
          <w:noProof/>
        </w:rPr>
        <w:t>Prisons Act 1981</w:t>
      </w:r>
      <w:r>
        <w:t xml:space="preserve"> and includes amendments made by other written laws</w:t>
      </w:r>
      <w:r>
        <w:rPr>
          <w:snapToGrid w:val="0"/>
          <w:vertAlign w:val="superscript"/>
        </w:rPr>
        <w:t> </w:t>
      </w:r>
      <w:r>
        <w:rPr>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253" w:name="_Toc103865599"/>
      <w:r>
        <w:t>Compilation table</w:t>
      </w:r>
      <w:bookmarkEnd w:id="253"/>
    </w:p>
    <w:tbl>
      <w:tblPr>
        <w:tblW w:w="0" w:type="auto"/>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9"/>
        <w:gridCol w:w="42"/>
        <w:gridCol w:w="2510"/>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9"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70"/>
            </w:pPr>
            <w:r>
              <w:rPr>
                <w:i/>
              </w:rPr>
              <w:t>Prisons Act 1981</w:t>
            </w:r>
          </w:p>
        </w:tc>
        <w:tc>
          <w:tcPr>
            <w:tcW w:w="1134" w:type="dxa"/>
            <w:tcBorders>
              <w:top w:val="single" w:sz="8" w:space="0" w:color="auto"/>
            </w:tcBorders>
          </w:tcPr>
          <w:p>
            <w:pPr>
              <w:pStyle w:val="nTable"/>
              <w:spacing w:after="40"/>
            </w:pPr>
            <w:r>
              <w:t>115 of 1981</w:t>
            </w:r>
          </w:p>
        </w:tc>
        <w:tc>
          <w:tcPr>
            <w:tcW w:w="1139" w:type="dxa"/>
            <w:tcBorders>
              <w:top w:val="single" w:sz="8" w:space="0" w:color="auto"/>
            </w:tcBorders>
          </w:tcPr>
          <w:p>
            <w:pPr>
              <w:pStyle w:val="nTable"/>
              <w:spacing w:after="40"/>
            </w:pPr>
            <w:r>
              <w:t>14 Dec 1981</w:t>
            </w:r>
          </w:p>
        </w:tc>
        <w:tc>
          <w:tcPr>
            <w:tcW w:w="2552" w:type="dxa"/>
            <w:gridSpan w:val="2"/>
            <w:tcBorders>
              <w:top w:val="single" w:sz="8" w:space="0" w:color="auto"/>
            </w:tcBorders>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1982</w:t>
            </w:r>
          </w:p>
        </w:tc>
        <w:tc>
          <w:tcPr>
            <w:tcW w:w="1134" w:type="dxa"/>
          </w:tcPr>
          <w:p>
            <w:pPr>
              <w:pStyle w:val="nTable"/>
              <w:spacing w:after="40"/>
            </w:pPr>
            <w:r>
              <w:t>66 of 1982</w:t>
            </w:r>
          </w:p>
        </w:tc>
        <w:tc>
          <w:tcPr>
            <w:tcW w:w="1139" w:type="dxa"/>
          </w:tcPr>
          <w:p>
            <w:pPr>
              <w:pStyle w:val="nTable"/>
              <w:spacing w:after="40"/>
            </w:pPr>
            <w:r>
              <w:t>6 Oct 1982</w:t>
            </w:r>
          </w:p>
        </w:tc>
        <w:tc>
          <w:tcPr>
            <w:tcW w:w="2552" w:type="dxa"/>
            <w:gridSpan w:val="2"/>
          </w:tcPr>
          <w:p>
            <w:pPr>
              <w:pStyle w:val="nTable"/>
              <w:spacing w:after="40"/>
            </w:pPr>
            <w:r>
              <w:t>6 Oct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Health Legislation Amendment Act 1984 </w:t>
            </w:r>
            <w:r>
              <w:t>Pt. XXI</w:t>
            </w:r>
          </w:p>
        </w:tc>
        <w:tc>
          <w:tcPr>
            <w:tcW w:w="1134" w:type="dxa"/>
          </w:tcPr>
          <w:p>
            <w:pPr>
              <w:pStyle w:val="nTable"/>
              <w:spacing w:after="40"/>
            </w:pPr>
            <w:r>
              <w:t>28 of 1984</w:t>
            </w:r>
          </w:p>
        </w:tc>
        <w:tc>
          <w:tcPr>
            <w:tcW w:w="1139" w:type="dxa"/>
          </w:tcPr>
          <w:p>
            <w:pPr>
              <w:pStyle w:val="nTable"/>
              <w:spacing w:after="40"/>
            </w:pPr>
            <w:r>
              <w:t>31 May 1984</w:t>
            </w:r>
          </w:p>
        </w:tc>
        <w:tc>
          <w:tcPr>
            <w:tcW w:w="2552" w:type="dxa"/>
            <w:gridSpan w:val="2"/>
          </w:tcPr>
          <w:p>
            <w:pPr>
              <w:pStyle w:val="nTable"/>
              <w:spacing w:after="40"/>
            </w:pPr>
            <w:r>
              <w:t xml:space="preserve">1 Jul 1984 (see s. 2 and </w:t>
            </w:r>
            <w:r>
              <w:rPr>
                <w:i/>
              </w:rPr>
              <w:t>Gazette</w:t>
            </w:r>
            <w:r>
              <w:t xml:space="preserve"> 15 Jun 1984 p. 1629)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(Abolition of Capital Punishment) Act 1984 </w:t>
            </w:r>
            <w:r>
              <w:t>Pt. II</w:t>
            </w:r>
          </w:p>
        </w:tc>
        <w:tc>
          <w:tcPr>
            <w:tcW w:w="1134" w:type="dxa"/>
          </w:tcPr>
          <w:p>
            <w:pPr>
              <w:pStyle w:val="nTable"/>
              <w:spacing w:after="40"/>
            </w:pPr>
            <w:r>
              <w:t>52 of 1984</w:t>
            </w:r>
          </w:p>
        </w:tc>
        <w:tc>
          <w:tcPr>
            <w:tcW w:w="1139" w:type="dxa"/>
          </w:tcPr>
          <w:p>
            <w:pPr>
              <w:pStyle w:val="nTable"/>
              <w:spacing w:after="40"/>
            </w:pPr>
            <w:r>
              <w:t>5 Sep 1984</w:t>
            </w:r>
          </w:p>
        </w:tc>
        <w:tc>
          <w:tcPr>
            <w:tcW w:w="2552" w:type="dxa"/>
            <w:gridSpan w:val="2"/>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(Financial Administration and Audit) Act 1985 </w:t>
            </w:r>
            <w:r>
              <w:t>s. 3</w:t>
            </w:r>
          </w:p>
        </w:tc>
        <w:tc>
          <w:tcPr>
            <w:tcW w:w="1134" w:type="dxa"/>
          </w:tcPr>
          <w:p>
            <w:pPr>
              <w:pStyle w:val="nTable"/>
              <w:spacing w:after="40"/>
            </w:pPr>
            <w:r>
              <w:t>98 of 1985</w:t>
            </w:r>
          </w:p>
        </w:tc>
        <w:tc>
          <w:tcPr>
            <w:tcW w:w="1139" w:type="dxa"/>
          </w:tcPr>
          <w:p>
            <w:pPr>
              <w:pStyle w:val="nTable"/>
              <w:spacing w:after="40"/>
            </w:pPr>
            <w:r>
              <w:t>4 Dec 1985</w:t>
            </w:r>
          </w:p>
        </w:tc>
        <w:tc>
          <w:tcPr>
            <w:tcW w:w="2552" w:type="dxa"/>
            <w:gridSpan w:val="2"/>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(Corrective Services) Act 1987 </w:t>
            </w:r>
            <w:r>
              <w:t>Pt. II</w:t>
            </w:r>
          </w:p>
        </w:tc>
        <w:tc>
          <w:tcPr>
            <w:tcW w:w="1134" w:type="dxa"/>
          </w:tcPr>
          <w:p>
            <w:pPr>
              <w:pStyle w:val="nTable"/>
              <w:spacing w:after="40"/>
            </w:pPr>
            <w:r>
              <w:t>47 of 1987</w:t>
            </w:r>
          </w:p>
        </w:tc>
        <w:tc>
          <w:tcPr>
            <w:tcW w:w="1139" w:type="dxa"/>
          </w:tcPr>
          <w:p>
            <w:pPr>
              <w:pStyle w:val="nTable"/>
              <w:spacing w:after="40"/>
            </w:pPr>
            <w:r>
              <w:t>3 Oct 1987</w:t>
            </w:r>
          </w:p>
        </w:tc>
        <w:tc>
          <w:tcPr>
            <w:tcW w:w="2552" w:type="dxa"/>
            <w:gridSpan w:val="2"/>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(Public Service) Act 1987 </w:t>
            </w:r>
            <w:r>
              <w:t>s. 32</w:t>
            </w:r>
          </w:p>
        </w:tc>
        <w:tc>
          <w:tcPr>
            <w:tcW w:w="1134" w:type="dxa"/>
          </w:tcPr>
          <w:p>
            <w:pPr>
              <w:pStyle w:val="nTable"/>
              <w:spacing w:after="40"/>
            </w:pPr>
            <w:r>
              <w:t>113 of 1987</w:t>
            </w:r>
          </w:p>
        </w:tc>
        <w:tc>
          <w:tcPr>
            <w:tcW w:w="1139" w:type="dxa"/>
          </w:tcPr>
          <w:p>
            <w:pPr>
              <w:pStyle w:val="nTable"/>
              <w:spacing w:after="40"/>
            </w:pPr>
            <w:r>
              <w:t>31 Dec 1987</w:t>
            </w:r>
          </w:p>
        </w:tc>
        <w:tc>
          <w:tcPr>
            <w:tcW w:w="2552" w:type="dxa"/>
            <w:gridSpan w:val="2"/>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(Imprisonment and Parole) Act 1987 </w:t>
            </w:r>
            <w:r>
              <w:t>Pt. III</w:t>
            </w:r>
          </w:p>
        </w:tc>
        <w:tc>
          <w:tcPr>
            <w:tcW w:w="1134" w:type="dxa"/>
          </w:tcPr>
          <w:p>
            <w:pPr>
              <w:pStyle w:val="nTable"/>
              <w:spacing w:after="40"/>
            </w:pPr>
            <w:r>
              <w:t>129 of 1987</w:t>
            </w:r>
          </w:p>
        </w:tc>
        <w:tc>
          <w:tcPr>
            <w:tcW w:w="1139" w:type="dxa"/>
          </w:tcPr>
          <w:p>
            <w:pPr>
              <w:pStyle w:val="nTable"/>
              <w:spacing w:after="40"/>
            </w:pPr>
            <w:r>
              <w:t>21 Jan 1988</w:t>
            </w:r>
          </w:p>
        </w:tc>
        <w:tc>
          <w:tcPr>
            <w:tcW w:w="2552" w:type="dxa"/>
            <w:gridSpan w:val="2"/>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(No. 2) 1991</w:t>
            </w:r>
          </w:p>
        </w:tc>
        <w:tc>
          <w:tcPr>
            <w:tcW w:w="1134" w:type="dxa"/>
          </w:tcPr>
          <w:p>
            <w:pPr>
              <w:pStyle w:val="nTable"/>
              <w:spacing w:after="40"/>
            </w:pPr>
            <w:r>
              <w:t>47 of 1991</w:t>
            </w:r>
          </w:p>
        </w:tc>
        <w:tc>
          <w:tcPr>
            <w:tcW w:w="1139" w:type="dxa"/>
          </w:tcPr>
          <w:p>
            <w:pPr>
              <w:pStyle w:val="nTable"/>
              <w:spacing w:after="40"/>
            </w:pPr>
            <w:r>
              <w:t>17 Dec 1991</w:t>
            </w:r>
          </w:p>
        </w:tc>
        <w:tc>
          <w:tcPr>
            <w:tcW w:w="2552" w:type="dxa"/>
            <w:gridSpan w:val="2"/>
          </w:tcPr>
          <w:p>
            <w:pPr>
              <w:pStyle w:val="nTable"/>
              <w:spacing w:after="40"/>
            </w:pPr>
            <w:r>
              <w:t>Act other than s. 6: 17 Dec 1991 (see s. 2(1));</w:t>
            </w:r>
            <w:r>
              <w:br/>
              <w:t xml:space="preserve">s. 6: 1 Apr 1992 (see s. 2(2) and </w:t>
            </w:r>
            <w:r>
              <w:rPr>
                <w:i/>
              </w:rPr>
              <w:t>Gazette</w:t>
            </w:r>
            <w:r>
              <w:t xml:space="preserve"> 27 Mar 1992 p. 1341)</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Prisons Act 1981</w:t>
            </w:r>
            <w:r>
              <w:rPr>
                <w:b/>
              </w:rPr>
              <w:t xml:space="preserve"> as at 9 Jul 1992</w:t>
            </w:r>
            <w:r>
              <w:t xml:space="preserve"> (includes amendments listed above) (correction: </w:t>
            </w:r>
            <w:r>
              <w:rPr>
                <w:i/>
              </w:rPr>
              <w:t>Gazette</w:t>
            </w:r>
            <w:r>
              <w:t xml:space="preserve"> 18 May 1993 p. 2465)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lastRenderedPageBreak/>
              <w:t xml:space="preserve">Criminal Law Amendment Act (No. 2) 1992 </w:t>
            </w:r>
            <w:r>
              <w:t>s. 16(1)</w:t>
            </w:r>
          </w:p>
        </w:tc>
        <w:tc>
          <w:tcPr>
            <w:tcW w:w="1134" w:type="dxa"/>
          </w:tcPr>
          <w:p>
            <w:pPr>
              <w:pStyle w:val="nTable"/>
              <w:spacing w:after="40"/>
            </w:pPr>
            <w:r>
              <w:t>51 of 1992</w:t>
            </w:r>
          </w:p>
        </w:tc>
        <w:tc>
          <w:tcPr>
            <w:tcW w:w="1139" w:type="dxa"/>
          </w:tcPr>
          <w:p>
            <w:pPr>
              <w:pStyle w:val="nTable"/>
              <w:spacing w:after="40"/>
            </w:pPr>
            <w:r>
              <w:t>9 Dec 1992</w:t>
            </w:r>
          </w:p>
        </w:tc>
        <w:tc>
          <w:tcPr>
            <w:tcW w:w="2552" w:type="dxa"/>
            <w:gridSpan w:val="2"/>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 xml:space="preserve">Acts Amendment (Ministry of Justice) Act 1993 </w:t>
            </w:r>
            <w:r>
              <w:t>Pt. 15</w:t>
            </w:r>
            <w:r>
              <w:rPr>
                <w:vertAlign w:val="superscript"/>
              </w:rPr>
              <w:t> 6</w:t>
            </w:r>
          </w:p>
        </w:tc>
        <w:tc>
          <w:tcPr>
            <w:tcW w:w="1134" w:type="dxa"/>
          </w:tcPr>
          <w:p>
            <w:pPr>
              <w:pStyle w:val="nTable"/>
              <w:spacing w:after="40"/>
            </w:pPr>
            <w:r>
              <w:t>31 of 1993</w:t>
            </w:r>
          </w:p>
        </w:tc>
        <w:tc>
          <w:tcPr>
            <w:tcW w:w="1139" w:type="dxa"/>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(Public Sector Management) </w:t>
            </w:r>
            <w:r>
              <w:rPr>
                <w:i/>
              </w:rPr>
              <w:br/>
              <w:t>Act 1994</w:t>
            </w:r>
            <w:r>
              <w:t xml:space="preserve"> s. 3(2)</w:t>
            </w:r>
          </w:p>
        </w:tc>
        <w:tc>
          <w:tcPr>
            <w:tcW w:w="1134" w:type="dxa"/>
          </w:tcPr>
          <w:p>
            <w:pPr>
              <w:pStyle w:val="nTable"/>
              <w:spacing w:after="40"/>
            </w:pPr>
            <w:r>
              <w:t>32 of 1994</w:t>
            </w:r>
          </w:p>
        </w:tc>
        <w:tc>
          <w:tcPr>
            <w:tcW w:w="1139" w:type="dxa"/>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(Fines, Penalties and Infringement Notices) Act 1994 </w:t>
            </w:r>
            <w:r>
              <w:t>Pt. 18</w:t>
            </w:r>
          </w:p>
        </w:tc>
        <w:tc>
          <w:tcPr>
            <w:tcW w:w="1134" w:type="dxa"/>
          </w:tcPr>
          <w:p>
            <w:pPr>
              <w:pStyle w:val="nTable"/>
              <w:spacing w:after="40"/>
            </w:pPr>
            <w:r>
              <w:t>92 of 1994</w:t>
            </w:r>
          </w:p>
        </w:tc>
        <w:tc>
          <w:tcPr>
            <w:tcW w:w="1139" w:type="dxa"/>
          </w:tcPr>
          <w:p>
            <w:pPr>
              <w:pStyle w:val="nTable"/>
              <w:spacing w:after="40"/>
            </w:pPr>
            <w:r>
              <w:t>23 Dec 1994</w:t>
            </w:r>
          </w:p>
        </w:tc>
        <w:tc>
          <w:tcPr>
            <w:tcW w:w="2552" w:type="dxa"/>
            <w:gridSpan w:val="2"/>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1995</w:t>
            </w:r>
          </w:p>
        </w:tc>
        <w:tc>
          <w:tcPr>
            <w:tcW w:w="1134" w:type="dxa"/>
          </w:tcPr>
          <w:p>
            <w:pPr>
              <w:pStyle w:val="nTable"/>
              <w:spacing w:after="40"/>
            </w:pPr>
            <w:r>
              <w:t>19 of 1995</w:t>
            </w:r>
          </w:p>
        </w:tc>
        <w:tc>
          <w:tcPr>
            <w:tcW w:w="1139" w:type="dxa"/>
          </w:tcPr>
          <w:p>
            <w:pPr>
              <w:pStyle w:val="nTable"/>
              <w:spacing w:after="40"/>
            </w:pPr>
            <w:r>
              <w:t>4 Jul 1995</w:t>
            </w:r>
          </w:p>
        </w:tc>
        <w:tc>
          <w:tcPr>
            <w:tcW w:w="2552" w:type="dxa"/>
            <w:gridSpan w:val="2"/>
          </w:tcPr>
          <w:p>
            <w:pPr>
              <w:pStyle w:val="nTable"/>
              <w:spacing w:after="40"/>
            </w:pPr>
            <w:r>
              <w:t>s. 1 and 2: 4 Jul 1995;</w:t>
            </w:r>
            <w:r>
              <w:br/>
              <w:t xml:space="preserve">Act other than s. 1 and 2: 8 Oct 1997 (see s. 2 and </w:t>
            </w:r>
            <w:r>
              <w:rPr>
                <w:i/>
              </w:rPr>
              <w:t>Gazette</w:t>
            </w:r>
            <w:r>
              <w:t xml:space="preserve"> 7 Oct 1997 p. 5607)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Sentencing (Consequential Provisions) Act 1995 </w:t>
            </w:r>
            <w:r>
              <w:t>Pt. 69</w:t>
            </w:r>
            <w:r>
              <w:rPr>
                <w:vertAlign w:val="superscript"/>
              </w:rPr>
              <w:t> 7</w:t>
            </w:r>
          </w:p>
        </w:tc>
        <w:tc>
          <w:tcPr>
            <w:tcW w:w="1134" w:type="dxa"/>
          </w:tcPr>
          <w:p>
            <w:pPr>
              <w:pStyle w:val="nTable"/>
              <w:spacing w:after="40"/>
            </w:pPr>
            <w:r>
              <w:t>78 of 1995</w:t>
            </w:r>
          </w:p>
        </w:tc>
        <w:tc>
          <w:tcPr>
            <w:tcW w:w="1139" w:type="dxa"/>
          </w:tcPr>
          <w:p>
            <w:pPr>
              <w:pStyle w:val="nTable"/>
              <w:spacing w:after="40"/>
            </w:pPr>
            <w:r>
              <w:t>16 Jan 1996</w:t>
            </w:r>
          </w:p>
        </w:tc>
        <w:tc>
          <w:tcPr>
            <w:tcW w:w="2552" w:type="dxa"/>
            <w:gridSpan w:val="2"/>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Industrial Relations Legislation Amendment and Repeal Act 1995 </w:t>
            </w:r>
            <w:r>
              <w:t>s. 66(3)</w:t>
            </w:r>
          </w:p>
        </w:tc>
        <w:tc>
          <w:tcPr>
            <w:tcW w:w="1134" w:type="dxa"/>
          </w:tcPr>
          <w:p>
            <w:pPr>
              <w:pStyle w:val="nTable"/>
              <w:keepNext/>
              <w:spacing w:after="40"/>
            </w:pPr>
            <w:r>
              <w:t>79 of 1995</w:t>
            </w:r>
          </w:p>
        </w:tc>
        <w:tc>
          <w:tcPr>
            <w:tcW w:w="1139" w:type="dxa"/>
          </w:tcPr>
          <w:p>
            <w:pPr>
              <w:pStyle w:val="nTable"/>
              <w:keepNext/>
              <w:spacing w:after="40"/>
            </w:pPr>
            <w:r>
              <w:t>16 Jan 1996</w:t>
            </w:r>
          </w:p>
        </w:tc>
        <w:tc>
          <w:tcPr>
            <w:tcW w:w="2552" w:type="dxa"/>
            <w:gridSpan w:val="2"/>
          </w:tcPr>
          <w:p>
            <w:pPr>
              <w:pStyle w:val="nTable"/>
              <w:keepNext/>
              <w:spacing w:after="40"/>
            </w:pPr>
            <w:r>
              <w:t xml:space="preserve">18 May 1996 (see s. 3(2) and </w:t>
            </w:r>
            <w:r>
              <w:rPr>
                <w:i/>
              </w:rPr>
              <w:t>Gazette</w:t>
            </w:r>
            <w:r>
              <w:t xml:space="preserve"> 14 May 1996 p. 2019)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Coroners Act 1996 </w:t>
            </w:r>
            <w:r>
              <w:t>s. 61</w:t>
            </w:r>
          </w:p>
        </w:tc>
        <w:tc>
          <w:tcPr>
            <w:tcW w:w="1134" w:type="dxa"/>
          </w:tcPr>
          <w:p>
            <w:pPr>
              <w:pStyle w:val="nTable"/>
              <w:keepNext/>
              <w:keepLines/>
              <w:spacing w:after="40"/>
            </w:pPr>
            <w:r>
              <w:t>2 of 1996</w:t>
            </w:r>
          </w:p>
        </w:tc>
        <w:tc>
          <w:tcPr>
            <w:tcW w:w="1139" w:type="dxa"/>
          </w:tcPr>
          <w:p>
            <w:pPr>
              <w:pStyle w:val="nTable"/>
              <w:keepNext/>
              <w:keepLines/>
              <w:spacing w:after="40"/>
            </w:pPr>
            <w:r>
              <w:t>24 May 1996</w:t>
            </w:r>
          </w:p>
        </w:tc>
        <w:tc>
          <w:tcPr>
            <w:tcW w:w="2552" w:type="dxa"/>
            <w:gridSpan w:val="2"/>
          </w:tcPr>
          <w:p>
            <w:pPr>
              <w:pStyle w:val="nTable"/>
              <w:keepNext/>
              <w:keepLines/>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Mental Health (Consequential Provisions) Act 1996 </w:t>
            </w:r>
            <w:r>
              <w:t>Pt. 16</w:t>
            </w:r>
          </w:p>
        </w:tc>
        <w:tc>
          <w:tcPr>
            <w:tcW w:w="1134" w:type="dxa"/>
          </w:tcPr>
          <w:p>
            <w:pPr>
              <w:pStyle w:val="nTable"/>
              <w:spacing w:after="40"/>
            </w:pPr>
            <w:r>
              <w:t>69 of 1996</w:t>
            </w:r>
          </w:p>
        </w:tc>
        <w:tc>
          <w:tcPr>
            <w:tcW w:w="1139" w:type="dxa"/>
          </w:tcPr>
          <w:p>
            <w:pPr>
              <w:pStyle w:val="nTable"/>
              <w:spacing w:after="40"/>
            </w:pPr>
            <w:r>
              <w:t>13 Nov 1996</w:t>
            </w:r>
          </w:p>
        </w:tc>
        <w:tc>
          <w:tcPr>
            <w:tcW w:w="2552" w:type="dxa"/>
            <w:gridSpan w:val="2"/>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 xml:space="preserve">Prisons Act 1981 </w:t>
            </w:r>
            <w:r>
              <w:rPr>
                <w:b/>
              </w:rPr>
              <w:t>as at 21 Nov 1996</w:t>
            </w:r>
            <w:r>
              <w:t xml:space="preserve"> (includes amendments listed above except those in the </w:t>
            </w:r>
            <w:r>
              <w:rPr>
                <w:i/>
              </w:rPr>
              <w:t>Prisons Amendment Act 1995</w:t>
            </w:r>
            <w:r>
              <w:rPr>
                <w:iCs/>
              </w:rPr>
              <w:t>,</w:t>
            </w:r>
            <w:r>
              <w:rPr>
                <w:i/>
              </w:rPr>
              <w:t xml:space="preserve"> </w:t>
            </w:r>
            <w:r>
              <w:t xml:space="preserve">the </w:t>
            </w:r>
            <w:r>
              <w:rPr>
                <w:i/>
              </w:rPr>
              <w:t xml:space="preserve">Coroners Act 1996 </w:t>
            </w:r>
            <w:r>
              <w:t xml:space="preserve">and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(Auxiliary Judges) Act 1997 </w:t>
            </w:r>
            <w:r>
              <w:t>Pt. 7</w:t>
            </w:r>
          </w:p>
        </w:tc>
        <w:tc>
          <w:tcPr>
            <w:tcW w:w="1134" w:type="dxa"/>
          </w:tcPr>
          <w:p>
            <w:pPr>
              <w:pStyle w:val="nTable"/>
              <w:spacing w:after="40"/>
            </w:pPr>
            <w:r>
              <w:t>23 of 1997</w:t>
            </w:r>
          </w:p>
        </w:tc>
        <w:tc>
          <w:tcPr>
            <w:tcW w:w="1139" w:type="dxa"/>
          </w:tcPr>
          <w:p>
            <w:pPr>
              <w:pStyle w:val="nTable"/>
              <w:spacing w:after="40"/>
            </w:pPr>
            <w:r>
              <w:t>18 Sep 1997</w:t>
            </w:r>
          </w:p>
        </w:tc>
        <w:tc>
          <w:tcPr>
            <w:tcW w:w="2552" w:type="dxa"/>
            <w:gridSpan w:val="2"/>
          </w:tcPr>
          <w:p>
            <w:pPr>
              <w:pStyle w:val="nTable"/>
              <w:spacing w:after="40"/>
            </w:pPr>
            <w:r>
              <w:t>18 Sep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lastRenderedPageBreak/>
              <w:t>Prisons Amendment Act 1999</w:t>
            </w:r>
            <w:r>
              <w:rPr>
                <w:vertAlign w:val="superscript"/>
              </w:rPr>
              <w:t> 8</w:t>
            </w:r>
          </w:p>
        </w:tc>
        <w:tc>
          <w:tcPr>
            <w:tcW w:w="1134" w:type="dxa"/>
          </w:tcPr>
          <w:p>
            <w:pPr>
              <w:pStyle w:val="nTable"/>
              <w:keepNext/>
              <w:keepLines/>
              <w:spacing w:after="40"/>
            </w:pPr>
            <w:r>
              <w:t>43 of 1999</w:t>
            </w:r>
          </w:p>
        </w:tc>
        <w:tc>
          <w:tcPr>
            <w:tcW w:w="1139" w:type="dxa"/>
          </w:tcPr>
          <w:p>
            <w:pPr>
              <w:pStyle w:val="nTable"/>
              <w:keepNext/>
              <w:keepLines/>
              <w:spacing w:after="40"/>
            </w:pPr>
            <w:r>
              <w:t>8 Dec 1999</w:t>
            </w:r>
          </w:p>
        </w:tc>
        <w:tc>
          <w:tcPr>
            <w:tcW w:w="2552" w:type="dxa"/>
            <w:gridSpan w:val="2"/>
          </w:tcPr>
          <w:p>
            <w:pPr>
              <w:pStyle w:val="nTable"/>
              <w:keepNext/>
              <w:keepLines/>
              <w:spacing w:after="40"/>
            </w:pPr>
            <w:r>
              <w:t>s. 1 and 2: 8 Dec 1999;</w:t>
            </w:r>
            <w:r>
              <w:br/>
              <w:t>Act other than s. 1, 2, 4(5), 5(3), 18 and Sch. 1 cl. 1(2)</w:t>
            </w:r>
            <w:r>
              <w:noBreakHyphen/>
              <w:t>(4), 2, 4(2) and 5(2) and (5)</w:t>
            </w:r>
            <w:r>
              <w:noBreakHyphen/>
              <w:t xml:space="preserve">(7): 18 Dec 1999 (see s. 2(1) and </w:t>
            </w:r>
            <w:r>
              <w:rPr>
                <w:i/>
              </w:rPr>
              <w:t>Gazette</w:t>
            </w:r>
            <w:r>
              <w:t xml:space="preserve"> 17 Dec 1999 p. 6175); s. 4(5), 5(3), 18 and Sch. 1 cl. 1(2)</w:t>
            </w:r>
            <w:r>
              <w:noBreakHyphen/>
              <w:t>(4), 2, 4(2) and 5(2) and (5)</w:t>
            </w:r>
            <w:r>
              <w:noBreakHyphen/>
              <w:t xml:space="preserve">(7): 18 Jun 2000 (see s. 2(3) and (4)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Court Security and Custodial Services (Consequential Provisions) Act 1999 </w:t>
            </w:r>
            <w:r>
              <w:t>Pt. 10</w:t>
            </w:r>
          </w:p>
        </w:tc>
        <w:tc>
          <w:tcPr>
            <w:tcW w:w="1134" w:type="dxa"/>
          </w:tcPr>
          <w:p>
            <w:pPr>
              <w:pStyle w:val="nTable"/>
              <w:spacing w:after="40"/>
            </w:pPr>
            <w:r>
              <w:t>47 of 1999</w:t>
            </w:r>
          </w:p>
        </w:tc>
        <w:tc>
          <w:tcPr>
            <w:tcW w:w="1139" w:type="dxa"/>
          </w:tcPr>
          <w:p>
            <w:pPr>
              <w:pStyle w:val="nTable"/>
              <w:spacing w:after="40"/>
            </w:pPr>
            <w:r>
              <w:t>8 Dec 1999</w:t>
            </w:r>
          </w:p>
        </w:tc>
        <w:tc>
          <w:tcPr>
            <w:tcW w:w="2552" w:type="dxa"/>
            <w:gridSpan w:val="2"/>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 xml:space="preserve">Prisons Act 1981 </w:t>
            </w:r>
            <w:r>
              <w:rPr>
                <w:b/>
              </w:rPr>
              <w:t>as at 22 Dec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Royal Commission (Police) Act 2002</w:t>
            </w:r>
            <w:r>
              <w:t xml:space="preserve"> Pt. 10</w:t>
            </w:r>
          </w:p>
        </w:tc>
        <w:tc>
          <w:tcPr>
            <w:tcW w:w="1134" w:type="dxa"/>
          </w:tcPr>
          <w:p>
            <w:pPr>
              <w:pStyle w:val="nTable"/>
              <w:spacing w:after="40"/>
            </w:pPr>
            <w:r>
              <w:t>10 of 2002</w:t>
            </w:r>
          </w:p>
        </w:tc>
        <w:tc>
          <w:tcPr>
            <w:tcW w:w="1139" w:type="dxa"/>
          </w:tcPr>
          <w:p>
            <w:pPr>
              <w:pStyle w:val="nTable"/>
              <w:spacing w:after="40"/>
            </w:pPr>
            <w:r>
              <w:t>28 Jun 2002</w:t>
            </w:r>
          </w:p>
        </w:tc>
        <w:tc>
          <w:tcPr>
            <w:tcW w:w="2552" w:type="dxa"/>
            <w:gridSpan w:val="2"/>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Prisons Amendment Act 2003 </w:t>
            </w:r>
          </w:p>
        </w:tc>
        <w:tc>
          <w:tcPr>
            <w:tcW w:w="1134" w:type="dxa"/>
          </w:tcPr>
          <w:p>
            <w:pPr>
              <w:pStyle w:val="nTable"/>
              <w:spacing w:after="40"/>
            </w:pPr>
            <w:r>
              <w:t>24 of 2003</w:t>
            </w:r>
          </w:p>
        </w:tc>
        <w:tc>
          <w:tcPr>
            <w:tcW w:w="1139" w:type="dxa"/>
          </w:tcPr>
          <w:p>
            <w:pPr>
              <w:pStyle w:val="nTable"/>
              <w:spacing w:after="40"/>
            </w:pPr>
            <w:r>
              <w:t>24 Apr 2003</w:t>
            </w:r>
          </w:p>
        </w:tc>
        <w:tc>
          <w:tcPr>
            <w:tcW w:w="2552" w:type="dxa"/>
            <w:gridSpan w:val="2"/>
          </w:tcPr>
          <w:p>
            <w:pPr>
              <w:pStyle w:val="nTable"/>
              <w:spacing w:after="40"/>
            </w:pPr>
            <w:r>
              <w:t>s. 1 &amp; 2: 24 Apr 2003;</w:t>
            </w:r>
            <w:r>
              <w:br/>
              <w:t xml:space="preserve">s. 3, 4 and 7: 12 Jun 2004 (see s. 2 and </w:t>
            </w:r>
            <w:r>
              <w:rPr>
                <w:i/>
              </w:rPr>
              <w:t>Gazette</w:t>
            </w:r>
            <w:r>
              <w:t xml:space="preserve"> 11 Jun 2004 p. 1999);</w:t>
            </w:r>
            <w:r>
              <w:br/>
              <w:t xml:space="preserve">s. 5, 6 and 8: 4 Apr 2007 (see s. 2 and </w:t>
            </w:r>
            <w:r>
              <w:rPr>
                <w:i/>
                <w:iCs/>
              </w:rPr>
              <w:t>Gazette</w:t>
            </w:r>
            <w:r>
              <w:t xml:space="preserve"> 3 Apr 2007 p. 1491)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Public Interest Disclosure Act 2003</w:t>
            </w:r>
            <w:r>
              <w:t xml:space="preserve"> s. 28</w:t>
            </w:r>
          </w:p>
        </w:tc>
        <w:tc>
          <w:tcPr>
            <w:tcW w:w="1134" w:type="dxa"/>
          </w:tcPr>
          <w:p>
            <w:pPr>
              <w:pStyle w:val="nTable"/>
              <w:spacing w:after="40"/>
            </w:pPr>
            <w:r>
              <w:t>29 of 2003</w:t>
            </w:r>
          </w:p>
        </w:tc>
        <w:tc>
          <w:tcPr>
            <w:tcW w:w="1139" w:type="dxa"/>
          </w:tcPr>
          <w:p>
            <w:pPr>
              <w:pStyle w:val="nTable"/>
              <w:spacing w:after="40"/>
            </w:pPr>
            <w:r>
              <w:t>22 May 2003</w:t>
            </w:r>
          </w:p>
        </w:tc>
        <w:tc>
          <w:tcPr>
            <w:tcW w:w="2552" w:type="dxa"/>
            <w:gridSpan w:val="2"/>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Corruption and Crime Commission Act 2003</w:t>
            </w:r>
            <w:r>
              <w:t xml:space="preserve"> s. 62</w:t>
            </w:r>
            <w:r>
              <w:rPr>
                <w:vertAlign w:val="superscript"/>
              </w:rPr>
              <w:t> 9</w:t>
            </w:r>
          </w:p>
        </w:tc>
        <w:tc>
          <w:tcPr>
            <w:tcW w:w="1134" w:type="dxa"/>
          </w:tcPr>
          <w:p>
            <w:pPr>
              <w:pStyle w:val="nTable"/>
              <w:spacing w:after="40"/>
            </w:pPr>
            <w:r>
              <w:t>48 of 2003</w:t>
            </w:r>
          </w:p>
        </w:tc>
        <w:tc>
          <w:tcPr>
            <w:tcW w:w="1139" w:type="dxa"/>
          </w:tcPr>
          <w:p>
            <w:pPr>
              <w:pStyle w:val="nTable"/>
              <w:spacing w:after="40"/>
            </w:pPr>
            <w:r>
              <w:t>3 Jul 2003</w:t>
            </w:r>
          </w:p>
        </w:tc>
        <w:tc>
          <w:tcPr>
            <w:tcW w:w="2552" w:type="dxa"/>
            <w:gridSpan w:val="2"/>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Sentencing Legislation Amendment and Repeal Act 2003 </w:t>
            </w:r>
            <w:r>
              <w:t>s. 29(3) and 86</w:t>
            </w:r>
          </w:p>
        </w:tc>
        <w:tc>
          <w:tcPr>
            <w:tcW w:w="1134" w:type="dxa"/>
          </w:tcPr>
          <w:p>
            <w:pPr>
              <w:pStyle w:val="nTable"/>
              <w:spacing w:after="40"/>
            </w:pPr>
            <w:r>
              <w:t>50 of 2003</w:t>
            </w:r>
          </w:p>
        </w:tc>
        <w:tc>
          <w:tcPr>
            <w:tcW w:w="1139" w:type="dxa"/>
          </w:tcPr>
          <w:p>
            <w:pPr>
              <w:pStyle w:val="nTable"/>
              <w:spacing w:after="40"/>
            </w:pPr>
            <w:r>
              <w:t>9 Jul 2003</w:t>
            </w:r>
          </w:p>
        </w:tc>
        <w:tc>
          <w:tcPr>
            <w:tcW w:w="2552" w:type="dxa"/>
            <w:gridSpan w:val="2"/>
          </w:tcPr>
          <w:p>
            <w:pPr>
              <w:pStyle w:val="nTable"/>
              <w:spacing w:after="40"/>
              <w:rPr>
                <w:i/>
              </w:rPr>
            </w:pPr>
            <w:r>
              <w:t xml:space="preserve">s. 29(3): 31 Aug 2003 (see s. 2 and </w:t>
            </w:r>
            <w:r>
              <w:rPr>
                <w:i/>
              </w:rPr>
              <w:t>Gazette</w:t>
            </w:r>
            <w:r>
              <w:t xml:space="preserve"> 29 Aug 2003 p. 3833);</w:t>
            </w:r>
            <w:r>
              <w:br/>
              <w:t xml:space="preserve">s. 86: 15 May 2004 (see s.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Statutes (Repeals and Minor Amendments) Act 2003</w:t>
            </w:r>
            <w:r>
              <w:t xml:space="preserve"> s. 94</w:t>
            </w:r>
          </w:p>
        </w:tc>
        <w:tc>
          <w:tcPr>
            <w:tcW w:w="1134" w:type="dxa"/>
          </w:tcPr>
          <w:p>
            <w:pPr>
              <w:pStyle w:val="nTable"/>
              <w:spacing w:after="40"/>
            </w:pPr>
            <w:r>
              <w:t>74 of 2003</w:t>
            </w:r>
          </w:p>
        </w:tc>
        <w:tc>
          <w:tcPr>
            <w:tcW w:w="1139" w:type="dxa"/>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lastRenderedPageBreak/>
              <w:t>Inspector of Custodial Services Act 2003</w:t>
            </w:r>
            <w:r>
              <w:t xml:space="preserve"> s. 56(1)</w:t>
            </w:r>
            <w:r>
              <w:rPr>
                <w:vertAlign w:val="superscript"/>
              </w:rPr>
              <w:t> 10</w:t>
            </w:r>
          </w:p>
        </w:tc>
        <w:tc>
          <w:tcPr>
            <w:tcW w:w="1134" w:type="dxa"/>
          </w:tcPr>
          <w:p>
            <w:pPr>
              <w:pStyle w:val="nTable"/>
              <w:spacing w:after="40"/>
            </w:pPr>
            <w:r>
              <w:t>75 of 2003</w:t>
            </w:r>
          </w:p>
        </w:tc>
        <w:tc>
          <w:tcPr>
            <w:tcW w:w="1139" w:type="dxa"/>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vertAlign w:val="superscript"/>
              </w:rPr>
            </w:pPr>
            <w:r>
              <w:rPr>
                <w:i/>
              </w:rPr>
              <w:t xml:space="preserve">Corruption and Crime Commission Amendment and Repeal Act 2003 </w:t>
            </w:r>
            <w:r>
              <w:t>s. 74(2)</w:t>
            </w:r>
            <w:r>
              <w:rPr>
                <w:vertAlign w:val="superscript"/>
              </w:rPr>
              <w:t> 11</w:t>
            </w:r>
          </w:p>
        </w:tc>
        <w:tc>
          <w:tcPr>
            <w:tcW w:w="1134" w:type="dxa"/>
          </w:tcPr>
          <w:p>
            <w:pPr>
              <w:pStyle w:val="nTable"/>
              <w:spacing w:after="40"/>
            </w:pPr>
            <w:r>
              <w:t>78 of 2003</w:t>
            </w:r>
          </w:p>
        </w:tc>
        <w:tc>
          <w:tcPr>
            <w:tcW w:w="1139" w:type="dxa"/>
          </w:tcPr>
          <w:p>
            <w:pPr>
              <w:pStyle w:val="nTable"/>
              <w:spacing w:after="40"/>
            </w:pPr>
            <w:r>
              <w:t>22 Dec 2003</w:t>
            </w:r>
          </w:p>
        </w:tc>
        <w:tc>
          <w:tcPr>
            <w:tcW w:w="2552" w:type="dxa"/>
            <w:gridSpan w:val="2"/>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4: The </w:t>
            </w:r>
            <w:r>
              <w:rPr>
                <w:b/>
                <w:i/>
              </w:rPr>
              <w:t xml:space="preserve">Prisons Act 1981 </w:t>
            </w:r>
            <w:r>
              <w:rPr>
                <w:b/>
              </w:rPr>
              <w:t>as at 20 Aug 2004</w:t>
            </w:r>
            <w:r>
              <w:t xml:space="preserve"> (includes amendments listed above except those in the </w:t>
            </w:r>
            <w:r>
              <w:rPr>
                <w:i/>
              </w:rPr>
              <w:t>Prisons Amendment Act 2003</w:t>
            </w:r>
            <w:r>
              <w:t xml:space="preserve"> s. 5, 6 and 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napToGrid w:val="0"/>
              </w:rPr>
            </w:pPr>
            <w:r>
              <w:rPr>
                <w:i/>
                <w:snapToGrid w:val="0"/>
              </w:rPr>
              <w:t>Sentencing Legislation Amendment Act 2004</w:t>
            </w:r>
            <w:r>
              <w:rPr>
                <w:snapToGrid w:val="0"/>
              </w:rPr>
              <w:t xml:space="preserve"> s. 16</w:t>
            </w:r>
          </w:p>
        </w:tc>
        <w:tc>
          <w:tcPr>
            <w:tcW w:w="1134" w:type="dxa"/>
          </w:tcPr>
          <w:p>
            <w:pPr>
              <w:pStyle w:val="nTable"/>
              <w:spacing w:after="40"/>
              <w:rPr>
                <w:snapToGrid w:val="0"/>
              </w:rPr>
            </w:pPr>
            <w:r>
              <w:rPr>
                <w:snapToGrid w:val="0"/>
              </w:rPr>
              <w:t>27 of 2004</w:t>
            </w:r>
          </w:p>
        </w:tc>
        <w:tc>
          <w:tcPr>
            <w:tcW w:w="1139" w:type="dxa"/>
          </w:tcPr>
          <w:p>
            <w:pPr>
              <w:pStyle w:val="nTable"/>
              <w:spacing w:after="40"/>
            </w:pPr>
            <w:r>
              <w:t>14 Oct 2004</w:t>
            </w:r>
          </w:p>
        </w:tc>
        <w:tc>
          <w:tcPr>
            <w:tcW w:w="2552" w:type="dxa"/>
            <w:gridSpan w:val="2"/>
          </w:tcPr>
          <w:p>
            <w:pPr>
              <w:pStyle w:val="nTable"/>
              <w:spacing w:after="40"/>
              <w:rPr>
                <w:snapToGrid w:val="0"/>
              </w:rPr>
            </w:pPr>
            <w:r>
              <w:rPr>
                <w:snapToGrid w:val="0"/>
              </w:rPr>
              <w:t xml:space="preserve">31 May 2006 (see s. 2 and </w:t>
            </w:r>
            <w:r>
              <w:rPr>
                <w:i/>
                <w:snapToGrid w:val="0"/>
              </w:rPr>
              <w:t>Gazette</w:t>
            </w:r>
            <w:r>
              <w:rPr>
                <w:snapToGrid w:val="0"/>
              </w:rPr>
              <w:t xml:space="preserve"> 30 May 2006 p.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vertAlign w:val="superscript"/>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9" w:type="dxa"/>
          </w:tcPr>
          <w:p>
            <w:pPr>
              <w:pStyle w:val="nTable"/>
              <w:spacing w:after="40"/>
            </w:pPr>
            <w:r>
              <w:t>9 Nov 2004</w:t>
            </w:r>
          </w:p>
        </w:tc>
        <w:tc>
          <w:tcPr>
            <w:tcW w:w="2552"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9" w:type="dxa"/>
          </w:tcPr>
          <w:p>
            <w:pPr>
              <w:pStyle w:val="nTable"/>
              <w:spacing w:after="40"/>
            </w:pPr>
            <w:r>
              <w:t>23 Nov 2004</w:t>
            </w:r>
          </w:p>
        </w:tc>
        <w:tc>
          <w:tcPr>
            <w:tcW w:w="2552" w:type="dxa"/>
            <w:gridSpan w:val="2"/>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vertAlign w:val="superscript"/>
              </w:rPr>
            </w:pPr>
            <w:r>
              <w:rPr>
                <w:i/>
                <w:snapToGrid w:val="0"/>
              </w:rPr>
              <w:t>Criminal Procedure and Appeals (Consequential and Other Provisions) Act 2004</w:t>
            </w:r>
            <w:r>
              <w:rPr>
                <w:snapToGrid w:val="0"/>
              </w:rPr>
              <w:t xml:space="preserve"> s. 78 and 80</w:t>
            </w:r>
            <w:r>
              <w:rPr>
                <w:snapToGrid w:val="0"/>
                <w:vertAlign w:val="superscript"/>
              </w:rPr>
              <w:t> 12</w:t>
            </w:r>
          </w:p>
        </w:tc>
        <w:tc>
          <w:tcPr>
            <w:tcW w:w="1134" w:type="dxa"/>
          </w:tcPr>
          <w:p>
            <w:pPr>
              <w:pStyle w:val="nTable"/>
              <w:spacing w:after="40"/>
              <w:rPr>
                <w:snapToGrid w:val="0"/>
              </w:rPr>
            </w:pPr>
            <w:r>
              <w:rPr>
                <w:snapToGrid w:val="0"/>
              </w:rPr>
              <w:t>84 of 2004 (as amended by No. 2 of 2008 s. 78(4))</w:t>
            </w:r>
          </w:p>
        </w:tc>
        <w:tc>
          <w:tcPr>
            <w:tcW w:w="1139" w:type="dxa"/>
          </w:tcPr>
          <w:p>
            <w:pPr>
              <w:pStyle w:val="nTable"/>
              <w:spacing w:after="40"/>
            </w:pPr>
            <w:r>
              <w:t>16 Dec 2004</w:t>
            </w:r>
          </w:p>
        </w:tc>
        <w:tc>
          <w:tcPr>
            <w:tcW w:w="2552"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t>Oaths, Affidavits and Statutory Declarations (Consequential Provisions) Act 2005</w:t>
            </w:r>
            <w:r>
              <w:t xml:space="preserve"> s. 63</w:t>
            </w:r>
          </w:p>
        </w:tc>
        <w:tc>
          <w:tcPr>
            <w:tcW w:w="1134" w:type="dxa"/>
          </w:tcPr>
          <w:p>
            <w:pPr>
              <w:pStyle w:val="nTable"/>
              <w:spacing w:after="40"/>
              <w:rPr>
                <w:snapToGrid w:val="0"/>
              </w:rPr>
            </w:pPr>
            <w:r>
              <w:t>24 of 2005</w:t>
            </w:r>
          </w:p>
        </w:tc>
        <w:tc>
          <w:tcPr>
            <w:tcW w:w="1139" w:type="dxa"/>
          </w:tcPr>
          <w:p>
            <w:pPr>
              <w:pStyle w:val="nTable"/>
              <w:spacing w:after="40"/>
            </w:pPr>
            <w:r>
              <w:t>2 Dec 2005</w:t>
            </w:r>
          </w:p>
        </w:tc>
        <w:tc>
          <w:tcPr>
            <w:tcW w:w="2552" w:type="dxa"/>
            <w:gridSpan w:val="2"/>
          </w:tcPr>
          <w:p>
            <w:pPr>
              <w:pStyle w:val="nTable"/>
              <w:spacing w:after="40"/>
              <w:rPr>
                <w:snapToGrid w:val="0"/>
              </w:rPr>
            </w:pPr>
            <w:r>
              <w:t xml:space="preserve">1 Jan 2006 (see s. 2(1) and </w:t>
            </w:r>
            <w:r>
              <w:rPr>
                <w:i/>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5: The </w:t>
            </w:r>
            <w:r>
              <w:rPr>
                <w:b/>
                <w:i/>
              </w:rPr>
              <w:t xml:space="preserve">Prisons Act 1981 </w:t>
            </w:r>
            <w:r>
              <w:rPr>
                <w:b/>
              </w:rPr>
              <w:t>as at 21 Jul 2006</w:t>
            </w:r>
            <w:r>
              <w:t xml:space="preserve"> (includes amendments listed above except those in the </w:t>
            </w:r>
            <w:r>
              <w:rPr>
                <w:i/>
              </w:rPr>
              <w:t>Prisons Amendment Act 2003</w:t>
            </w:r>
            <w:r>
              <w:t xml:space="preserve"> s. 5, 6 and 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9" w:type="dxa"/>
          </w:tcPr>
          <w:p>
            <w:pPr>
              <w:pStyle w:val="nTable"/>
              <w:spacing w:after="40"/>
              <w:rPr>
                <w:snapToGrid w:val="0"/>
              </w:rPr>
            </w:pPr>
            <w:r>
              <w:t>16 Nov 2006</w:t>
            </w:r>
          </w:p>
        </w:tc>
        <w:tc>
          <w:tcPr>
            <w:tcW w:w="2552"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Prisons and Sentencing Legislation Amendment Act 2006 </w:t>
            </w:r>
            <w:r>
              <w:rPr>
                <w:iCs/>
                <w:snapToGrid w:val="0"/>
              </w:rPr>
              <w:t>Pt. 2 </w:t>
            </w:r>
          </w:p>
        </w:tc>
        <w:tc>
          <w:tcPr>
            <w:tcW w:w="1134" w:type="dxa"/>
          </w:tcPr>
          <w:p>
            <w:pPr>
              <w:pStyle w:val="nTable"/>
              <w:spacing w:after="40"/>
              <w:rPr>
                <w:snapToGrid w:val="0"/>
              </w:rPr>
            </w:pPr>
            <w:r>
              <w:rPr>
                <w:snapToGrid w:val="0"/>
              </w:rPr>
              <w:t>65 of 2006</w:t>
            </w:r>
          </w:p>
        </w:tc>
        <w:tc>
          <w:tcPr>
            <w:tcW w:w="1139" w:type="dxa"/>
          </w:tcPr>
          <w:p>
            <w:pPr>
              <w:pStyle w:val="nTable"/>
              <w:spacing w:after="40"/>
              <w:rPr>
                <w:snapToGrid w:val="0"/>
              </w:rPr>
            </w:pPr>
            <w:r>
              <w:rPr>
                <w:snapToGrid w:val="0"/>
              </w:rPr>
              <w:t>8 Dec 2006</w:t>
            </w:r>
          </w:p>
        </w:tc>
        <w:tc>
          <w:tcPr>
            <w:tcW w:w="2552" w:type="dxa"/>
            <w:gridSpan w:val="2"/>
          </w:tcPr>
          <w:p>
            <w:pPr>
              <w:pStyle w:val="nTable"/>
              <w:spacing w:after="40"/>
              <w:rPr>
                <w:snapToGrid w:val="0"/>
              </w:rPr>
            </w:pPr>
            <w:r>
              <w:rPr>
                <w:snapToGrid w:val="0"/>
              </w:rPr>
              <w:t xml:space="preserve">4 Apr 2007 (see s. 2 and </w:t>
            </w:r>
            <w:r>
              <w:rPr>
                <w:i/>
                <w:iCs/>
                <w:snapToGrid w:val="0"/>
              </w:rPr>
              <w:t xml:space="preserve">Gazette </w:t>
            </w:r>
            <w:r>
              <w:rPr>
                <w:snapToGrid w:val="0"/>
              </w:rPr>
              <w:t>3 Apr 2007 p. 1491)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Financial Legislation Amendment and Repeal Act 2006</w:t>
            </w:r>
            <w:r>
              <w:rPr>
                <w:iCs/>
                <w:snapToGrid w:val="0"/>
              </w:rPr>
              <w:t xml:space="preserve"> Sch. 1 cl. 132</w:t>
            </w:r>
          </w:p>
        </w:tc>
        <w:tc>
          <w:tcPr>
            <w:tcW w:w="1134" w:type="dxa"/>
          </w:tcPr>
          <w:p>
            <w:pPr>
              <w:pStyle w:val="nTable"/>
              <w:spacing w:after="40"/>
              <w:rPr>
                <w:snapToGrid w:val="0"/>
              </w:rPr>
            </w:pPr>
            <w:r>
              <w:rPr>
                <w:snapToGrid w:val="0"/>
              </w:rPr>
              <w:t xml:space="preserve">77 of 2006 </w:t>
            </w:r>
          </w:p>
        </w:tc>
        <w:tc>
          <w:tcPr>
            <w:tcW w:w="1139" w:type="dxa"/>
          </w:tcPr>
          <w:p>
            <w:pPr>
              <w:pStyle w:val="nTable"/>
              <w:spacing w:after="40"/>
            </w:pPr>
            <w:r>
              <w:rPr>
                <w:snapToGrid w:val="0"/>
              </w:rPr>
              <w:t>21 Dec 2006</w:t>
            </w:r>
          </w:p>
        </w:tc>
        <w:tc>
          <w:tcPr>
            <w:tcW w:w="2552" w:type="dxa"/>
            <w:gridSpan w:val="2"/>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rPr>
                <w:snapToGrid w:val="0"/>
              </w:rPr>
            </w:pPr>
            <w:r>
              <w:rPr>
                <w:b/>
              </w:rPr>
              <w:t xml:space="preserve">Reprint 6: The </w:t>
            </w:r>
            <w:r>
              <w:rPr>
                <w:b/>
                <w:i/>
              </w:rPr>
              <w:t xml:space="preserve">Prisons Act 1981 </w:t>
            </w:r>
            <w:r>
              <w:rPr>
                <w:b/>
              </w:rPr>
              <w:t>as at 16 Nov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lastRenderedPageBreak/>
              <w:t xml:space="preserve">Police Amendment Act 2008 </w:t>
            </w:r>
            <w:r>
              <w:rPr>
                <w:iCs/>
              </w:rPr>
              <w:t>s. 16 and 23(6)</w:t>
            </w:r>
          </w:p>
        </w:tc>
        <w:tc>
          <w:tcPr>
            <w:tcW w:w="1134" w:type="dxa"/>
          </w:tcPr>
          <w:p>
            <w:pPr>
              <w:pStyle w:val="nTable"/>
              <w:spacing w:after="40"/>
              <w:rPr>
                <w:snapToGrid w:val="0"/>
              </w:rPr>
            </w:pPr>
            <w:r>
              <w:t>8 of 2008</w:t>
            </w:r>
          </w:p>
        </w:tc>
        <w:tc>
          <w:tcPr>
            <w:tcW w:w="1139" w:type="dxa"/>
          </w:tcPr>
          <w:p>
            <w:pPr>
              <w:pStyle w:val="nTable"/>
              <w:spacing w:after="40"/>
            </w:pPr>
            <w:r>
              <w:t>31 Mar 2008</w:t>
            </w:r>
          </w:p>
        </w:tc>
        <w:tc>
          <w:tcPr>
            <w:tcW w:w="2552" w:type="dxa"/>
            <w:gridSpan w:val="2"/>
          </w:tcPr>
          <w:p>
            <w:pPr>
              <w:pStyle w:val="nTable"/>
              <w:spacing w:after="40"/>
              <w:rPr>
                <w:snapToGrid w:val="0"/>
              </w:rPr>
            </w:pPr>
            <w:r>
              <w:t>s. 16: 1 Apr 2008 (see s. 2(1));</w:t>
            </w:r>
            <w:r>
              <w:br/>
              <w:t xml:space="preserve">s. 23(6): 21 Jun 2008 (see s. 2(2) and </w:t>
            </w:r>
            <w:r>
              <w:rPr>
                <w:i/>
                <w:iCs/>
              </w:rPr>
              <w:t>Gazette</w:t>
            </w:r>
            <w:r>
              <w:t xml:space="preserve"> 20 Jun 2008 p. 2706)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Medical Practitioners Act 2008</w:t>
            </w:r>
            <w:r>
              <w:t xml:space="preserve"> Sch. 3 cl. 47</w:t>
            </w:r>
          </w:p>
        </w:tc>
        <w:tc>
          <w:tcPr>
            <w:tcW w:w="1134" w:type="dxa"/>
          </w:tcPr>
          <w:p>
            <w:pPr>
              <w:pStyle w:val="nTable"/>
              <w:spacing w:after="40"/>
            </w:pPr>
            <w:r>
              <w:t>22 of 2008</w:t>
            </w:r>
          </w:p>
        </w:tc>
        <w:tc>
          <w:tcPr>
            <w:tcW w:w="1139" w:type="dxa"/>
          </w:tcPr>
          <w:p>
            <w:pPr>
              <w:pStyle w:val="nTable"/>
              <w:spacing w:after="40"/>
            </w:pPr>
            <w:r>
              <w:t>27 May 2008</w:t>
            </w:r>
          </w:p>
        </w:tc>
        <w:tc>
          <w:tcPr>
            <w:tcW w:w="2552"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Criminal Law Amendment (Homicide) Act 2008</w:t>
            </w:r>
            <w:r>
              <w:rPr>
                <w:iCs/>
                <w:snapToGrid w:val="0"/>
              </w:rPr>
              <w:t xml:space="preserve"> s. 36(1) and (3)</w:t>
            </w:r>
          </w:p>
        </w:tc>
        <w:tc>
          <w:tcPr>
            <w:tcW w:w="1134" w:type="dxa"/>
          </w:tcPr>
          <w:p>
            <w:pPr>
              <w:pStyle w:val="nTable"/>
              <w:spacing w:after="40"/>
            </w:pPr>
            <w:r>
              <w:t>29 of 2008</w:t>
            </w:r>
          </w:p>
        </w:tc>
        <w:tc>
          <w:tcPr>
            <w:tcW w:w="1139" w:type="dxa"/>
          </w:tcPr>
          <w:p>
            <w:pPr>
              <w:pStyle w:val="nTable"/>
              <w:spacing w:after="40"/>
            </w:pPr>
            <w:r>
              <w:t>27 Jun 2008</w:t>
            </w:r>
          </w:p>
        </w:tc>
        <w:tc>
          <w:tcPr>
            <w:tcW w:w="2552"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Health Practitioner Regulation National Law (WA) Act 2010 </w:t>
            </w:r>
            <w:r>
              <w:rPr>
                <w:iCs/>
                <w:snapToGrid w:val="0"/>
              </w:rPr>
              <w:t>Pt. 5 Div. 41</w:t>
            </w:r>
          </w:p>
        </w:tc>
        <w:tc>
          <w:tcPr>
            <w:tcW w:w="1134" w:type="dxa"/>
          </w:tcPr>
          <w:p>
            <w:pPr>
              <w:pStyle w:val="nTable"/>
              <w:spacing w:after="40"/>
            </w:pPr>
            <w:r>
              <w:rPr>
                <w:snapToGrid w:val="0"/>
              </w:rPr>
              <w:t>35 of 2010</w:t>
            </w:r>
          </w:p>
        </w:tc>
        <w:tc>
          <w:tcPr>
            <w:tcW w:w="1139" w:type="dxa"/>
          </w:tcPr>
          <w:p>
            <w:pPr>
              <w:pStyle w:val="nTable"/>
              <w:spacing w:after="40"/>
            </w:pPr>
            <w:r>
              <w:rPr>
                <w:snapToGrid w:val="0"/>
              </w:rPr>
              <w:t>30 Aug 2010</w:t>
            </w:r>
          </w:p>
        </w:tc>
        <w:tc>
          <w:tcPr>
            <w:tcW w:w="2552"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89</w:t>
            </w:r>
          </w:p>
        </w:tc>
        <w:tc>
          <w:tcPr>
            <w:tcW w:w="1134" w:type="dxa"/>
          </w:tcPr>
          <w:p>
            <w:pPr>
              <w:pStyle w:val="nTable"/>
              <w:spacing w:after="40"/>
              <w:rPr>
                <w:snapToGrid w:val="0"/>
              </w:rPr>
            </w:pPr>
            <w:r>
              <w:rPr>
                <w:snapToGrid w:val="0"/>
              </w:rPr>
              <w:t>39 of 2010</w:t>
            </w:r>
          </w:p>
        </w:tc>
        <w:tc>
          <w:tcPr>
            <w:tcW w:w="1139" w:type="dxa"/>
          </w:tcPr>
          <w:p>
            <w:pPr>
              <w:pStyle w:val="nTable"/>
              <w:spacing w:after="40"/>
              <w:rPr>
                <w:snapToGrid w:val="0"/>
              </w:rPr>
            </w:pPr>
            <w:r>
              <w:rPr>
                <w:snapToGrid w:val="0"/>
              </w:rP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rPr>
                <w:snapToGrid w:val="0"/>
              </w:rPr>
            </w:pPr>
            <w:r>
              <w:rPr>
                <w:b/>
              </w:rPr>
              <w:t xml:space="preserve">Reprint 7: The </w:t>
            </w:r>
            <w:r>
              <w:rPr>
                <w:b/>
                <w:i/>
              </w:rPr>
              <w:t xml:space="preserve">Prisons Act 1981 </w:t>
            </w:r>
            <w:r>
              <w:rPr>
                <w:b/>
              </w:rPr>
              <w:t>as at 21 Jan 2011</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Road Traffic Legislation Amendment Act 2012 </w:t>
            </w:r>
            <w:r>
              <w:rPr>
                <w:snapToGrid w:val="0"/>
              </w:rPr>
              <w:t>Pt. 4 Div. 42</w:t>
            </w:r>
          </w:p>
        </w:tc>
        <w:tc>
          <w:tcPr>
            <w:tcW w:w="1134" w:type="dxa"/>
            <w:tcBorders>
              <w:top w:val="nil"/>
              <w:left w:val="nil"/>
              <w:bottom w:val="nil"/>
              <w:right w:val="nil"/>
            </w:tcBorders>
          </w:tcPr>
          <w:p>
            <w:pPr>
              <w:pStyle w:val="nTable"/>
              <w:spacing w:after="40"/>
              <w:rPr>
                <w:snapToGrid w:val="0"/>
              </w:rPr>
            </w:pPr>
            <w:r>
              <w:rPr>
                <w:snapToGrid w:val="0"/>
              </w:rPr>
              <w:t>8 of 2012</w:t>
            </w:r>
          </w:p>
        </w:tc>
        <w:tc>
          <w:tcPr>
            <w:tcW w:w="1139" w:type="dxa"/>
            <w:tcBorders>
              <w:top w:val="nil"/>
              <w:left w:val="nil"/>
              <w:bottom w:val="nil"/>
              <w:right w:val="nil"/>
            </w:tcBorders>
          </w:tcPr>
          <w:p>
            <w:pPr>
              <w:pStyle w:val="nTable"/>
              <w:spacing w:after="40"/>
            </w:pPr>
            <w:r>
              <w:t>21 May 2012</w:t>
            </w:r>
          </w:p>
        </w:tc>
        <w:tc>
          <w:tcPr>
            <w:tcW w:w="2552" w:type="dxa"/>
            <w:gridSpan w:val="2"/>
            <w:tcBorders>
              <w:top w:val="nil"/>
              <w:left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15</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9" w:type="dxa"/>
            <w:tcBorders>
              <w:top w:val="nil"/>
              <w:left w:val="nil"/>
              <w:bottom w:val="nil"/>
              <w:right w:val="nil"/>
            </w:tcBorders>
          </w:tcPr>
          <w:p>
            <w:pPr>
              <w:pStyle w:val="nTable"/>
              <w:spacing w:after="40"/>
            </w:pPr>
            <w:r>
              <w:t>4 Nov 2013</w:t>
            </w:r>
          </w:p>
        </w:tc>
        <w:tc>
          <w:tcPr>
            <w:tcW w:w="2552" w:type="dxa"/>
            <w:gridSpan w:val="2"/>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Custodial Legislation (Officers Discipline)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29 of 2014</w:t>
            </w:r>
          </w:p>
        </w:tc>
        <w:tc>
          <w:tcPr>
            <w:tcW w:w="1139" w:type="dxa"/>
            <w:tcBorders>
              <w:top w:val="nil"/>
              <w:left w:val="nil"/>
              <w:bottom w:val="nil"/>
              <w:right w:val="nil"/>
            </w:tcBorders>
          </w:tcPr>
          <w:p>
            <w:pPr>
              <w:pStyle w:val="nTable"/>
              <w:spacing w:after="40"/>
            </w:pPr>
            <w:r>
              <w:t>3 Dec 2014</w:t>
            </w:r>
          </w:p>
        </w:tc>
        <w:tc>
          <w:tcPr>
            <w:tcW w:w="2552" w:type="dxa"/>
            <w:gridSpan w:val="2"/>
            <w:tcBorders>
              <w:top w:val="nil"/>
              <w:left w:val="nil"/>
              <w:bottom w:val="nil"/>
            </w:tcBorders>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9" w:type="dxa"/>
            <w:tcBorders>
              <w:top w:val="nil"/>
              <w:left w:val="nil"/>
              <w:bottom w:val="nil"/>
              <w:right w:val="nil"/>
            </w:tcBorders>
          </w:tcPr>
          <w:p>
            <w:pPr>
              <w:pStyle w:val="nTable"/>
              <w:spacing w:after="40"/>
            </w:pPr>
            <w:r>
              <w:t>9 Dec 2014</w:t>
            </w:r>
          </w:p>
        </w:tc>
        <w:tc>
          <w:tcPr>
            <w:tcW w:w="2552" w:type="dxa"/>
            <w:gridSpan w:val="2"/>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Declared Places (Mentally Impaired Accused) Act 2015</w:t>
            </w:r>
            <w:r>
              <w:t xml:space="preserve"> s. 88</w:t>
            </w:r>
          </w:p>
        </w:tc>
        <w:tc>
          <w:tcPr>
            <w:tcW w:w="1134" w:type="dxa"/>
            <w:tcBorders>
              <w:top w:val="nil"/>
              <w:left w:val="nil"/>
              <w:bottom w:val="nil"/>
              <w:right w:val="nil"/>
            </w:tcBorders>
            <w:shd w:val="clear" w:color="auto" w:fill="auto"/>
          </w:tcPr>
          <w:p>
            <w:pPr>
              <w:pStyle w:val="nTable"/>
              <w:spacing w:after="40"/>
              <w:rPr>
                <w:snapToGrid w:val="0"/>
              </w:rPr>
            </w:pPr>
            <w:r>
              <w:rPr>
                <w:snapToGrid w:val="0"/>
              </w:rPr>
              <w:t>4 of 2015</w:t>
            </w:r>
          </w:p>
        </w:tc>
        <w:tc>
          <w:tcPr>
            <w:tcW w:w="1139" w:type="dxa"/>
            <w:tcBorders>
              <w:top w:val="nil"/>
              <w:left w:val="nil"/>
              <w:bottom w:val="nil"/>
              <w:right w:val="nil"/>
            </w:tcBorders>
            <w:shd w:val="clear" w:color="auto" w:fill="auto"/>
          </w:tcPr>
          <w:p>
            <w:pPr>
              <w:pStyle w:val="nTable"/>
              <w:spacing w:after="40"/>
            </w:pPr>
            <w:r>
              <w:t>3 Mar 2015</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single" w:sz="4" w:space="0" w:color="auto"/>
            <w:bottom w:val="single" w:sz="4" w:space="0" w:color="auto"/>
            <w:insideH w:val="single" w:sz="4" w:space="0" w:color="auto"/>
          </w:tblBorders>
        </w:tblPrEx>
        <w:trPr>
          <w:cantSplit/>
        </w:trPr>
        <w:tc>
          <w:tcPr>
            <w:tcW w:w="7093" w:type="dxa"/>
            <w:gridSpan w:val="5"/>
            <w:tcBorders>
              <w:top w:val="nil"/>
              <w:bottom w:val="nil"/>
            </w:tcBorders>
            <w:shd w:val="clear" w:color="auto" w:fill="auto"/>
          </w:tcPr>
          <w:p>
            <w:pPr>
              <w:pStyle w:val="nTable"/>
              <w:spacing w:after="40"/>
              <w:rPr>
                <w:snapToGrid w:val="0"/>
              </w:rPr>
            </w:pPr>
            <w:r>
              <w:rPr>
                <w:b/>
                <w:snapToGrid w:val="0"/>
              </w:rPr>
              <w:t xml:space="preserve">Reprint 8: The </w:t>
            </w:r>
            <w:r>
              <w:rPr>
                <w:b/>
                <w:i/>
                <w:noProof/>
                <w:snapToGrid w:val="0"/>
              </w:rPr>
              <w:t>Prisons Act 1981</w:t>
            </w:r>
            <w:r>
              <w:rPr>
                <w:b/>
                <w:snapToGrid w:val="0"/>
              </w:rPr>
              <w:t xml:space="preserve"> as at 12 Feb 2016</w:t>
            </w:r>
            <w:r>
              <w:rPr>
                <w:snapToGrid w:val="0"/>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Dangerous Sexual Offenders Legislation Amendment Act 2016</w:t>
            </w:r>
            <w:r>
              <w:rPr>
                <w:noProof/>
              </w:rPr>
              <w:t xml:space="preserve"> Pt. 5</w:t>
            </w:r>
          </w:p>
        </w:tc>
        <w:tc>
          <w:tcPr>
            <w:tcW w:w="1134" w:type="dxa"/>
            <w:tcBorders>
              <w:top w:val="nil"/>
              <w:left w:val="nil"/>
              <w:bottom w:val="nil"/>
              <w:right w:val="nil"/>
            </w:tcBorders>
            <w:shd w:val="clear" w:color="auto" w:fill="auto"/>
          </w:tcPr>
          <w:p>
            <w:pPr>
              <w:pStyle w:val="nTable"/>
              <w:spacing w:after="40"/>
              <w:rPr>
                <w:snapToGrid w:val="0"/>
              </w:rPr>
            </w:pPr>
            <w:r>
              <w:t>17 of 2016</w:t>
            </w:r>
          </w:p>
        </w:tc>
        <w:tc>
          <w:tcPr>
            <w:tcW w:w="1139" w:type="dxa"/>
            <w:tcBorders>
              <w:top w:val="nil"/>
              <w:left w:val="nil"/>
              <w:bottom w:val="nil"/>
              <w:right w:val="nil"/>
            </w:tcBorders>
            <w:shd w:val="clear" w:color="auto" w:fill="auto"/>
          </w:tcPr>
          <w:p>
            <w:pPr>
              <w:pStyle w:val="nTable"/>
              <w:spacing w:after="40"/>
            </w:pPr>
            <w:r>
              <w:t>11 Jul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Public Health (Consequential Provisions) Act 2016 </w:t>
            </w:r>
            <w:r>
              <w:rPr>
                <w:snapToGrid w:val="0"/>
              </w:rPr>
              <w:t>Pt. 3 Div. 22</w:t>
            </w:r>
          </w:p>
        </w:tc>
        <w:tc>
          <w:tcPr>
            <w:tcW w:w="1134" w:type="dxa"/>
            <w:tcBorders>
              <w:top w:val="nil"/>
              <w:left w:val="nil"/>
              <w:bottom w:val="nil"/>
              <w:right w:val="nil"/>
            </w:tcBorders>
            <w:shd w:val="clear" w:color="auto" w:fill="auto"/>
          </w:tcPr>
          <w:p>
            <w:pPr>
              <w:pStyle w:val="nTable"/>
              <w:spacing w:after="40"/>
            </w:pPr>
            <w:r>
              <w:t>19 of 2016</w:t>
            </w:r>
          </w:p>
        </w:tc>
        <w:tc>
          <w:tcPr>
            <w:tcW w:w="1139" w:type="dxa"/>
            <w:tcBorders>
              <w:top w:val="nil"/>
              <w:left w:val="nil"/>
              <w:bottom w:val="nil"/>
              <w:right w:val="nil"/>
            </w:tcBorders>
            <w:shd w:val="clear" w:color="auto" w:fill="auto"/>
          </w:tcPr>
          <w:p>
            <w:pPr>
              <w:pStyle w:val="nTable"/>
              <w:spacing w:after="40"/>
            </w:pPr>
            <w:r>
              <w:t>25 Jul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lastRenderedPageBreak/>
              <w:t xml:space="preserve">Restraining Orders and Related Legislation Amendment (Family Violence) Act 2016 </w:t>
            </w:r>
            <w:r>
              <w:rPr>
                <w:snapToGrid w:val="0"/>
              </w:rPr>
              <w:t>Pt. 3 Div. 6</w:t>
            </w:r>
          </w:p>
        </w:tc>
        <w:tc>
          <w:tcPr>
            <w:tcW w:w="1134" w:type="dxa"/>
            <w:tcBorders>
              <w:top w:val="nil"/>
              <w:left w:val="nil"/>
              <w:bottom w:val="nil"/>
              <w:right w:val="nil"/>
            </w:tcBorders>
            <w:shd w:val="clear" w:color="auto" w:fill="auto"/>
          </w:tcPr>
          <w:p>
            <w:pPr>
              <w:pStyle w:val="nTable"/>
              <w:spacing w:after="40"/>
            </w:pPr>
            <w:r>
              <w:t>49 of 2016</w:t>
            </w:r>
          </w:p>
        </w:tc>
        <w:tc>
          <w:tcPr>
            <w:tcW w:w="1139" w:type="dxa"/>
            <w:tcBorders>
              <w:top w:val="nil"/>
              <w:left w:val="nil"/>
              <w:bottom w:val="nil"/>
              <w:right w:val="nil"/>
            </w:tcBorders>
            <w:shd w:val="clear" w:color="auto" w:fill="auto"/>
          </w:tcPr>
          <w:p>
            <w:pPr>
              <w:pStyle w:val="nTable"/>
              <w:spacing w:after="40"/>
            </w:pPr>
            <w:r>
              <w:t>29 Nov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Industrial Relations Amendment Act 2018</w:t>
            </w:r>
            <w:r>
              <w:t xml:space="preserve"> s. 71</w:t>
            </w:r>
          </w:p>
        </w:tc>
        <w:tc>
          <w:tcPr>
            <w:tcW w:w="1134" w:type="dxa"/>
            <w:tcBorders>
              <w:top w:val="nil"/>
              <w:left w:val="nil"/>
              <w:bottom w:val="nil"/>
              <w:right w:val="nil"/>
            </w:tcBorders>
            <w:shd w:val="clear" w:color="auto" w:fill="auto"/>
          </w:tcPr>
          <w:p>
            <w:pPr>
              <w:pStyle w:val="nTable"/>
              <w:spacing w:after="40"/>
            </w:pPr>
            <w:r>
              <w:t>39 of 2018</w:t>
            </w:r>
          </w:p>
        </w:tc>
        <w:tc>
          <w:tcPr>
            <w:tcW w:w="1139" w:type="dxa"/>
            <w:tcBorders>
              <w:top w:val="nil"/>
              <w:left w:val="nil"/>
              <w:bottom w:val="nil"/>
              <w:right w:val="nil"/>
            </w:tcBorders>
            <w:shd w:val="clear" w:color="auto" w:fill="auto"/>
          </w:tcPr>
          <w:p>
            <w:pPr>
              <w:pStyle w:val="nTable"/>
              <w:spacing w:after="40"/>
            </w:pPr>
            <w:r>
              <w:t>12 Dec 2018</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blPrEx>
          <w:tblBorders>
            <w:top w:val="single" w:sz="4" w:space="0" w:color="auto"/>
            <w:bottom w:val="single" w:sz="4" w:space="0" w:color="auto"/>
            <w:insideH w:val="single" w:sz="4" w:space="0" w:color="auto"/>
          </w:tblBorders>
        </w:tblPrEx>
        <w:trPr>
          <w:cantSplit/>
        </w:trPr>
        <w:tc>
          <w:tcPr>
            <w:tcW w:w="7093" w:type="dxa"/>
            <w:gridSpan w:val="5"/>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Prisons Act 1981</w:t>
            </w:r>
            <w:r>
              <w:rPr>
                <w:b/>
                <w:snapToGrid w:val="0"/>
              </w:rPr>
              <w:t xml:space="preserve"> as at 9 Aug 2019</w:t>
            </w:r>
            <w:r>
              <w:rPr>
                <w:snapToGrid w:val="0"/>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rPr>
            </w:pPr>
            <w:r>
              <w:rPr>
                <w:i/>
                <w:snapToGrid w:val="0"/>
              </w:rPr>
              <w:t>Prisons Amendment Act 2020</w:t>
            </w:r>
          </w:p>
        </w:tc>
        <w:tc>
          <w:tcPr>
            <w:tcW w:w="1134" w:type="dxa"/>
            <w:tcBorders>
              <w:top w:val="nil"/>
              <w:left w:val="nil"/>
              <w:bottom w:val="nil"/>
              <w:right w:val="nil"/>
            </w:tcBorders>
            <w:shd w:val="clear" w:color="auto" w:fill="auto"/>
          </w:tcPr>
          <w:p>
            <w:pPr>
              <w:pStyle w:val="nTable"/>
              <w:spacing w:after="40"/>
            </w:pPr>
            <w:r>
              <w:t>20 of 2020</w:t>
            </w:r>
          </w:p>
        </w:tc>
        <w:tc>
          <w:tcPr>
            <w:tcW w:w="1181" w:type="dxa"/>
            <w:gridSpan w:val="2"/>
            <w:tcBorders>
              <w:top w:val="nil"/>
              <w:left w:val="nil"/>
              <w:bottom w:val="nil"/>
              <w:right w:val="nil"/>
            </w:tcBorders>
            <w:shd w:val="clear" w:color="auto" w:fill="auto"/>
          </w:tcPr>
          <w:p>
            <w:pPr>
              <w:pStyle w:val="nTable"/>
              <w:spacing w:after="40"/>
            </w:pPr>
            <w:r>
              <w:t>21 May 2020</w:t>
            </w:r>
          </w:p>
        </w:tc>
        <w:tc>
          <w:tcPr>
            <w:tcW w:w="2510" w:type="dxa"/>
            <w:tcBorders>
              <w:top w:val="nil"/>
              <w:left w:val="nil"/>
              <w:bottom w:val="nil"/>
            </w:tcBorders>
            <w:shd w:val="clear" w:color="auto" w:fill="auto"/>
          </w:tcPr>
          <w:p>
            <w:pPr>
              <w:pStyle w:val="nTable"/>
              <w:spacing w:after="40"/>
              <w:rPr>
                <w:snapToGrid w:val="0"/>
              </w:rPr>
            </w:pPr>
            <w:r>
              <w:rPr>
                <w:snapToGrid w:val="0"/>
              </w:rPr>
              <w:t>s. 1 and 2: 21 May 2020 (see s. 2(a));</w:t>
            </w:r>
            <w:r>
              <w:rPr>
                <w:snapToGrid w:val="0"/>
              </w:rPr>
              <w:br/>
              <w:t>Act other than s. 1, 2, 4(1), 12, 19 and 23(1): 27 Jun 2020 (see s. 2(b) and SL 2020/92 cl. 2);</w:t>
            </w:r>
            <w:r>
              <w:rPr>
                <w:snapToGrid w:val="0"/>
              </w:rPr>
              <w:br/>
              <w:t>s. 4(1), 12, 19 and 23(1): 21 Dec 2020 (see s. 2(b) and SL 2020/243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right w:val="nil"/>
            </w:tcBorders>
            <w:shd w:val="clear" w:color="auto" w:fill="auto"/>
          </w:tcPr>
          <w:p>
            <w:pPr>
              <w:pStyle w:val="nTable"/>
              <w:spacing w:after="40"/>
              <w:rPr>
                <w:i/>
                <w:snapToGrid w:val="0"/>
              </w:rPr>
            </w:pPr>
            <w:r>
              <w:rPr>
                <w:i/>
                <w:snapToGrid w:val="0"/>
              </w:rPr>
              <w:t>High Risk Serious Offenders Act 2020</w:t>
            </w:r>
            <w:r>
              <w:rPr>
                <w:snapToGrid w:val="0"/>
              </w:rPr>
              <w:t xml:space="preserve"> s. 119</w:t>
            </w:r>
          </w:p>
        </w:tc>
        <w:tc>
          <w:tcPr>
            <w:tcW w:w="1134" w:type="dxa"/>
            <w:tcBorders>
              <w:top w:val="nil"/>
              <w:left w:val="nil"/>
              <w:bottom w:val="single" w:sz="4" w:space="0" w:color="auto"/>
              <w:right w:val="nil"/>
            </w:tcBorders>
            <w:shd w:val="clear" w:color="auto" w:fill="auto"/>
          </w:tcPr>
          <w:p>
            <w:pPr>
              <w:pStyle w:val="nTable"/>
              <w:spacing w:after="40"/>
            </w:pPr>
            <w:r>
              <w:t>29 of 2020</w:t>
            </w:r>
          </w:p>
        </w:tc>
        <w:tc>
          <w:tcPr>
            <w:tcW w:w="1181" w:type="dxa"/>
            <w:gridSpan w:val="2"/>
            <w:tcBorders>
              <w:top w:val="nil"/>
              <w:left w:val="nil"/>
              <w:bottom w:val="single" w:sz="4" w:space="0" w:color="auto"/>
              <w:right w:val="nil"/>
            </w:tcBorders>
            <w:shd w:val="clear" w:color="auto" w:fill="auto"/>
          </w:tcPr>
          <w:p>
            <w:pPr>
              <w:pStyle w:val="nTable"/>
              <w:spacing w:after="40"/>
            </w:pPr>
            <w:r>
              <w:t>9 Jul 2020</w:t>
            </w:r>
          </w:p>
        </w:tc>
        <w:tc>
          <w:tcPr>
            <w:tcW w:w="2510" w:type="dxa"/>
            <w:tcBorders>
              <w:top w:val="nil"/>
              <w:left w:val="nil"/>
              <w:bottom w:val="single" w:sz="4" w:space="0" w:color="auto"/>
            </w:tcBorders>
            <w:shd w:val="clear" w:color="auto" w:fill="auto"/>
          </w:tcPr>
          <w:p>
            <w:pPr>
              <w:pStyle w:val="nTable"/>
              <w:spacing w:after="40"/>
              <w:rPr>
                <w:snapToGrid w:val="0"/>
              </w:rPr>
            </w:pPr>
            <w:r>
              <w:t>26 Aug 2020 (see s. 2(1)(c) and SL 2020/131 cl. 2)</w:t>
            </w:r>
          </w:p>
        </w:tc>
      </w:tr>
    </w:tbl>
    <w:p>
      <w:pPr>
        <w:pStyle w:val="nHeading3"/>
      </w:pPr>
      <w:bookmarkStart w:id="254" w:name="_Toc103865600"/>
      <w:r>
        <w:t>Uncommenced provisions table</w:t>
      </w:r>
      <w:bookmarkEnd w:id="254"/>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62"/>
        <w:gridCol w:w="2524"/>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62" w:type="dxa"/>
            <w:tcBorders>
              <w:bottom w:val="single" w:sz="8" w:space="0" w:color="auto"/>
            </w:tcBorders>
          </w:tcPr>
          <w:p>
            <w:pPr>
              <w:pStyle w:val="nTable"/>
              <w:spacing w:after="40"/>
              <w:rPr>
                <w:b/>
              </w:rPr>
            </w:pPr>
            <w:r>
              <w:rPr>
                <w:b/>
              </w:rPr>
              <w:t>Assent</w:t>
            </w:r>
          </w:p>
        </w:tc>
        <w:tc>
          <w:tcPr>
            <w:tcW w:w="2524"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Cs/>
                <w:snapToGrid w:val="0"/>
                <w:vertAlign w:val="superscript"/>
              </w:rPr>
            </w:pPr>
            <w:r>
              <w:rPr>
                <w:i/>
                <w:snapToGrid w:val="0"/>
              </w:rPr>
              <w:t>Criminal Law Amendment (Homicide) Act 2008</w:t>
            </w:r>
            <w:r>
              <w:rPr>
                <w:iCs/>
                <w:snapToGrid w:val="0"/>
              </w:rPr>
              <w:t xml:space="preserve"> s. 36(2)</w:t>
            </w:r>
          </w:p>
        </w:tc>
        <w:tc>
          <w:tcPr>
            <w:tcW w:w="1134" w:type="dxa"/>
            <w:tcBorders>
              <w:bottom w:val="nil"/>
            </w:tcBorders>
          </w:tcPr>
          <w:p>
            <w:pPr>
              <w:pStyle w:val="nTable"/>
              <w:spacing w:after="40"/>
            </w:pPr>
            <w:r>
              <w:t>29 of 2008</w:t>
            </w:r>
          </w:p>
        </w:tc>
        <w:tc>
          <w:tcPr>
            <w:tcW w:w="1162" w:type="dxa"/>
            <w:tcBorders>
              <w:bottom w:val="nil"/>
            </w:tcBorders>
          </w:tcPr>
          <w:p>
            <w:pPr>
              <w:pStyle w:val="nTable"/>
              <w:spacing w:after="40"/>
            </w:pPr>
            <w:r>
              <w:t>27 Jun 2008</w:t>
            </w:r>
          </w:p>
        </w:tc>
        <w:tc>
          <w:tcPr>
            <w:tcW w:w="2524" w:type="dxa"/>
            <w:tcBorders>
              <w:bottom w:val="nil"/>
            </w:tcBorders>
          </w:tcPr>
          <w:p>
            <w:pPr>
              <w:pStyle w:val="nTable"/>
              <w:spacing w:after="40"/>
            </w:pPr>
            <w:r>
              <w:t>To be proclaimed (see s. 2(d))</w:t>
            </w:r>
          </w:p>
        </w:tc>
      </w:tr>
      <w:tr>
        <w:tc>
          <w:tcPr>
            <w:tcW w:w="2268" w:type="dxa"/>
            <w:tcBorders>
              <w:top w:val="nil"/>
              <w:bottom w:val="single" w:sz="8" w:space="0" w:color="auto"/>
            </w:tcBorders>
          </w:tcPr>
          <w:p>
            <w:pPr>
              <w:pStyle w:val="nTable"/>
              <w:spacing w:after="40"/>
              <w:rPr>
                <w:snapToGrid w:val="0"/>
              </w:rPr>
            </w:pPr>
            <w:r>
              <w:rPr>
                <w:i/>
                <w:snapToGrid w:val="0"/>
              </w:rPr>
              <w:t>Firearms Amendment Act 2022</w:t>
            </w:r>
            <w:r>
              <w:rPr>
                <w:snapToGrid w:val="0"/>
              </w:rPr>
              <w:t xml:space="preserve"> s. 84</w:t>
            </w:r>
          </w:p>
        </w:tc>
        <w:tc>
          <w:tcPr>
            <w:tcW w:w="1134" w:type="dxa"/>
            <w:tcBorders>
              <w:top w:val="nil"/>
              <w:bottom w:val="single" w:sz="8" w:space="0" w:color="auto"/>
            </w:tcBorders>
          </w:tcPr>
          <w:p>
            <w:pPr>
              <w:pStyle w:val="nTable"/>
              <w:spacing w:after="40"/>
            </w:pPr>
            <w:r>
              <w:t>13 of 2022</w:t>
            </w:r>
          </w:p>
        </w:tc>
        <w:tc>
          <w:tcPr>
            <w:tcW w:w="1162" w:type="dxa"/>
            <w:tcBorders>
              <w:top w:val="nil"/>
              <w:bottom w:val="single" w:sz="8" w:space="0" w:color="auto"/>
            </w:tcBorders>
          </w:tcPr>
          <w:p>
            <w:pPr>
              <w:pStyle w:val="nTable"/>
              <w:spacing w:after="40"/>
            </w:pPr>
            <w:r>
              <w:t>18 May 2022</w:t>
            </w:r>
          </w:p>
        </w:tc>
        <w:tc>
          <w:tcPr>
            <w:tcW w:w="2524" w:type="dxa"/>
            <w:tcBorders>
              <w:top w:val="nil"/>
              <w:bottom w:val="single" w:sz="8" w:space="0" w:color="auto"/>
            </w:tcBorders>
          </w:tcPr>
          <w:p>
            <w:pPr>
              <w:pStyle w:val="nTable"/>
              <w:spacing w:after="40"/>
            </w:pPr>
            <w:r>
              <w:t>To be proclaimed (see s. 2(c))</w:t>
            </w:r>
          </w:p>
        </w:tc>
      </w:tr>
    </w:tbl>
    <w:p>
      <w:pPr>
        <w:pStyle w:val="nHeading3"/>
      </w:pPr>
      <w:bookmarkStart w:id="255" w:name="_Toc103865601"/>
      <w:r>
        <w:t>Other notes</w:t>
      </w:r>
      <w:bookmarkEnd w:id="255"/>
    </w:p>
    <w:p>
      <w:pPr>
        <w:pStyle w:val="nNote"/>
        <w:keepNext/>
        <w:spacing w:before="160"/>
        <w:rPr>
          <w:snapToGrid w:val="0"/>
          <w:vertAlign w:val="superscript"/>
        </w:rPr>
      </w:pPr>
      <w:r>
        <w:rPr>
          <w:snapToGrid w:val="0"/>
          <w:vertAlign w:val="superscript"/>
        </w:rPr>
        <w:t>1M</w:t>
      </w:r>
      <w:r>
        <w:rPr>
          <w:snapToGrid w:val="0"/>
        </w:rPr>
        <w:tab/>
        <w:t>Under</w:t>
      </w:r>
      <w:r>
        <w:t xml:space="preserve">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w:t>
      </w:r>
      <w:r>
        <w:lastRenderedPageBreak/>
        <w:t>number. If a modification is to replace or insert a definition, the new definition is identified by the superscript 1M appearing after the defined term.</w:t>
      </w:r>
    </w:p>
    <w:p>
      <w:pPr>
        <w:pStyle w:val="nNote"/>
        <w:keepNext/>
        <w:spacing w:before="160"/>
        <w:rPr>
          <w:snapToGrid w:val="0"/>
        </w:rPr>
      </w:pPr>
      <w:r>
        <w:rPr>
          <w:snapToGrid w:val="0"/>
          <w:vertAlign w:val="superscript"/>
        </w:rPr>
        <w:t>1</w:t>
      </w:r>
      <w:r>
        <w:rPr>
          <w:snapToGrid w:val="0"/>
        </w:rPr>
        <w:tab/>
        <w:t xml:space="preserve">The </w:t>
      </w:r>
      <w:r>
        <w:rPr>
          <w:i/>
          <w:snapToGrid w:val="0"/>
        </w:rPr>
        <w:t xml:space="preserve">Sentence Administration Act 1995 </w:t>
      </w:r>
      <w:r>
        <w:rPr>
          <w:snapToGrid w:val="0"/>
        </w:rPr>
        <w:t xml:space="preserve">was repealed by the </w:t>
      </w:r>
      <w:r>
        <w:rPr>
          <w:i/>
          <w:snapToGrid w:val="0"/>
        </w:rPr>
        <w:t>Sentencing Legislation Amendment and Repeal Act 2003</w:t>
      </w:r>
      <w:r>
        <w:rPr>
          <w:snapToGrid w:val="0"/>
        </w:rPr>
        <w:t xml:space="preserve"> s. 29(1).</w:t>
      </w:r>
    </w:p>
    <w:p>
      <w:pPr>
        <w:pStyle w:val="nNote"/>
        <w:keepNext/>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Note"/>
        <w:keepNext/>
        <w:keepLines/>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Prisons Department was, unless the contrary intention appears, to be read and construed as a reference to the Department of Justice. See </w:t>
      </w:r>
      <w:r>
        <w:rPr>
          <w:i/>
          <w:snapToGrid w:val="0"/>
        </w:rPr>
        <w:t>Gazette</w:t>
      </w:r>
      <w:r>
        <w:rPr>
          <w:snapToGrid w:val="0"/>
        </w:rPr>
        <w:t xml:space="preserve"> 7 Sep 2001 p. 4994</w:t>
      </w:r>
      <w:r>
        <w:rPr>
          <w:snapToGrid w:val="0"/>
        </w:rPr>
        <w:noBreakHyphen/>
        <w:t>6.</w:t>
      </w:r>
    </w:p>
    <w:p>
      <w:pPr>
        <w:pStyle w:val="nNote"/>
        <w:rPr>
          <w:snapToGrid w:val="0"/>
        </w:rPr>
      </w:pPr>
      <w:r>
        <w:rPr>
          <w:snapToGrid w:val="0"/>
        </w:rPr>
        <w:tab/>
        <w:t xml:space="preserve">Subsequently, the name of the Department of Justice was changed to the Department of the Attorney General, and the Deparment of Corrective Serices was established with effect from 5 Jan 2006. See </w:t>
      </w:r>
      <w:r>
        <w:rPr>
          <w:i/>
          <w:snapToGrid w:val="0"/>
        </w:rPr>
        <w:t>Gazette</w:t>
      </w:r>
      <w:r>
        <w:rPr>
          <w:snapToGrid w:val="0"/>
        </w:rPr>
        <w:t xml:space="preserve"> 10 Jan 2006 p. 39.</w:t>
      </w:r>
    </w:p>
    <w:p>
      <w:pPr>
        <w:pStyle w:val="nNote"/>
        <w:rPr>
          <w:snapToGrid w:val="0"/>
        </w:rPr>
      </w:pPr>
      <w:r>
        <w:rPr>
          <w:snapToGrid w:val="0"/>
        </w:rPr>
        <w:tab/>
        <w:t xml:space="preserve">Subsequent to that, the Departments of the Attorney General and Corrective Serices were amalgamated and designated the Deparment of Justice. See </w:t>
      </w:r>
      <w:r>
        <w:rPr>
          <w:i/>
          <w:snapToGrid w:val="0"/>
        </w:rPr>
        <w:t>Gazette</w:t>
      </w:r>
      <w:r>
        <w:rPr>
          <w:snapToGrid w:val="0"/>
        </w:rPr>
        <w:t xml:space="preserve"> 28 Jun 2017 p. 3503.</w:t>
      </w:r>
    </w:p>
    <w:p>
      <w:pPr>
        <w:pStyle w:val="nNote"/>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Note"/>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includes savings and transitional </w:t>
      </w:r>
      <w:r>
        <w:rPr>
          <w:iCs/>
          <w:snapToGrid w:val="0"/>
        </w:rPr>
        <w:t xml:space="preserve">provisions </w:t>
      </w:r>
      <w:r>
        <w:rPr>
          <w:snapToGrid w:val="0"/>
        </w:rPr>
        <w:t xml:space="preserve">that are of no further effect. </w:t>
      </w:r>
    </w:p>
    <w:p>
      <w:pPr>
        <w:pStyle w:val="nNote"/>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Note"/>
      </w:pPr>
      <w:r>
        <w:rPr>
          <w:vertAlign w:val="superscript"/>
        </w:rPr>
        <w:t>8</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lastRenderedPageBreak/>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Note"/>
        <w:keepNext/>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Note"/>
        <w:keepNext/>
      </w:pPr>
      <w:r>
        <w:rPr>
          <w:vertAlign w:val="superscript"/>
        </w:rPr>
        <w:t>10</w:t>
      </w:r>
      <w:r>
        <w:tab/>
        <w:t>The </w:t>
      </w:r>
      <w:r>
        <w:rPr>
          <w:i/>
        </w:rPr>
        <w:t>Inspector of Custodial Services Act 2003</w:t>
      </w:r>
      <w:r>
        <w:t xml:space="preserve"> Sch. 2 cl. 6(5) reads as follows:</w:t>
      </w:r>
    </w:p>
    <w:p>
      <w:pPr>
        <w:pStyle w:val="BlankOpen"/>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Note"/>
        <w:keepNext/>
        <w:keepLines/>
      </w:pPr>
      <w:r>
        <w:rPr>
          <w:vertAlign w:val="superscript"/>
        </w:rPr>
        <w:t>11</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Note"/>
      </w:pPr>
      <w:r>
        <w:rPr>
          <w:vertAlign w:val="superscript"/>
        </w:rPr>
        <w:t>12</w:t>
      </w:r>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257" w:name="_Toc103862739"/>
      <w:bookmarkStart w:id="258" w:name="_Toc103862931"/>
      <w:bookmarkStart w:id="259" w:name="_Toc103865602"/>
      <w:r>
        <w:rPr>
          <w:sz w:val="28"/>
        </w:rPr>
        <w:lastRenderedPageBreak/>
        <w:t>Defined terms</w:t>
      </w:r>
      <w:bookmarkEnd w:id="257"/>
      <w:bookmarkEnd w:id="258"/>
      <w:bookmarkEnd w:id="2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absence permit</w:t>
      </w:r>
      <w:r>
        <w:tab/>
        <w:t>3(1), 83(2)</w:t>
      </w:r>
    </w:p>
    <w:p>
      <w:pPr>
        <w:pStyle w:val="DefinedTerms"/>
      </w:pPr>
      <w:r>
        <w:t>administrator</w:t>
      </w:r>
      <w:r>
        <w:tab/>
        <w:t>15A</w:t>
      </w:r>
    </w:p>
    <w:p>
      <w:pPr>
        <w:pStyle w:val="DefinedTerms"/>
      </w:pPr>
      <w:r>
        <w:t>appeal</w:t>
      </w:r>
      <w:r>
        <w:tab/>
        <w:t>99</w:t>
      </w:r>
    </w:p>
    <w:p>
      <w:pPr>
        <w:pStyle w:val="DefinedTerms"/>
      </w:pPr>
      <w:r>
        <w:t>appellant</w:t>
      </w:r>
      <w:r>
        <w:tab/>
        <w:t>99</w:t>
      </w:r>
    </w:p>
    <w:p>
      <w:pPr>
        <w:pStyle w:val="DefinedTerms"/>
      </w:pPr>
      <w:r>
        <w:t>bodily fluid</w:t>
      </w:r>
      <w:r>
        <w:tab/>
        <w:t>3(1)</w:t>
      </w:r>
    </w:p>
    <w:p>
      <w:pPr>
        <w:pStyle w:val="DefinedTerms"/>
      </w:pPr>
      <w:r>
        <w:t>cessation declaration</w:t>
      </w:r>
      <w:r>
        <w:tab/>
        <w:t>114(5)</w:t>
      </w:r>
    </w:p>
    <w:p>
      <w:pPr>
        <w:pStyle w:val="DefinedTerms"/>
      </w:pPr>
      <w:r>
        <w:t>Chief Commissioner</w:t>
      </w:r>
      <w:r>
        <w:tab/>
        <w:t>99</w:t>
      </w:r>
    </w:p>
    <w:p>
      <w:pPr>
        <w:pStyle w:val="DefinedTerms"/>
      </w:pPr>
      <w:r>
        <w:t>chief executive officer</w:t>
      </w:r>
      <w:r>
        <w:tab/>
        <w:t>3(1)</w:t>
      </w:r>
    </w:p>
    <w:p>
      <w:pPr>
        <w:pStyle w:val="DefinedTerms"/>
      </w:pPr>
      <w:r>
        <w:t>Chief Health Officer</w:t>
      </w:r>
      <w:r>
        <w:tab/>
        <w:t>95C(1)</w:t>
      </w:r>
    </w:p>
    <w:p>
      <w:pPr>
        <w:pStyle w:val="DefinedTerms"/>
      </w:pPr>
      <w:r>
        <w:t xml:space="preserve">commencement day </w:t>
      </w:r>
      <w:r>
        <w:tab/>
        <w:t>110K(1)</w:t>
      </w:r>
    </w:p>
    <w:p>
      <w:pPr>
        <w:pStyle w:val="DefinedTerms"/>
      </w:pPr>
      <w:r>
        <w:t>commencement day</w:t>
      </w:r>
      <w:r>
        <w:tab/>
        <w:t>119(1)</w:t>
      </w:r>
    </w:p>
    <w:p>
      <w:pPr>
        <w:pStyle w:val="DefinedTerms"/>
      </w:pPr>
      <w:r>
        <w:t>Commission</w:t>
      </w:r>
      <w:r>
        <w:tab/>
        <w:t>114(12)</w:t>
      </w:r>
    </w:p>
    <w:p>
      <w:pPr>
        <w:pStyle w:val="DefinedTerms"/>
      </w:pPr>
      <w:r>
        <w:t>contract</w:t>
      </w:r>
      <w:r>
        <w:tab/>
        <w:t>3(1)</w:t>
      </w:r>
    </w:p>
    <w:p>
      <w:pPr>
        <w:pStyle w:val="DefinedTerms"/>
      </w:pPr>
      <w:r>
        <w:t>contract worker</w:t>
      </w:r>
      <w:r>
        <w:tab/>
        <w:t>15A</w:t>
      </w:r>
    </w:p>
    <w:p>
      <w:pPr>
        <w:pStyle w:val="DefinedTerms"/>
      </w:pPr>
      <w:r>
        <w:t>contractor</w:t>
      </w:r>
      <w:r>
        <w:tab/>
        <w:t>3(1), 113(1)</w:t>
      </w:r>
    </w:p>
    <w:p>
      <w:pPr>
        <w:pStyle w:val="DefinedTerms"/>
      </w:pPr>
      <w:r>
        <w:t>decision notice</w:t>
      </w:r>
      <w:r>
        <w:tab/>
        <w:t>99, 102(3)</w:t>
      </w:r>
    </w:p>
    <w:p>
      <w:pPr>
        <w:pStyle w:val="DefinedTerms"/>
      </w:pPr>
      <w:r>
        <w:t>Department</w:t>
      </w:r>
      <w:r>
        <w:tab/>
        <w:t>3(1)</w:t>
      </w:r>
    </w:p>
    <w:p>
      <w:pPr>
        <w:pStyle w:val="DefinedTerms"/>
      </w:pPr>
      <w:r>
        <w:t>District Court judge</w:t>
      </w:r>
      <w:r>
        <w:tab/>
        <w:t>3(1)</w:t>
      </w:r>
    </w:p>
    <w:p>
      <w:pPr>
        <w:pStyle w:val="DefinedTerms"/>
      </w:pPr>
      <w:r>
        <w:t>drugs search</w:t>
      </w:r>
      <w:r>
        <w:tab/>
        <w:t>49A(1)</w:t>
      </w:r>
    </w:p>
    <w:p>
      <w:pPr>
        <w:pStyle w:val="DefinedTerms"/>
      </w:pPr>
      <w:r>
        <w:t>external facility</w:t>
      </w:r>
      <w:r>
        <w:tab/>
        <w:t>23(1)</w:t>
      </w:r>
    </w:p>
    <w:p>
      <w:pPr>
        <w:pStyle w:val="DefinedTerms"/>
      </w:pPr>
      <w:r>
        <w:t>Family Court judge</w:t>
      </w:r>
      <w:r>
        <w:tab/>
        <w:t>3(1)</w:t>
      </w:r>
    </w:p>
    <w:p>
      <w:pPr>
        <w:pStyle w:val="DefinedTerms"/>
      </w:pPr>
      <w:r>
        <w:t>former disciplinary provisions</w:t>
      </w:r>
      <w:r>
        <w:tab/>
        <w:t>119(1)</w:t>
      </w:r>
    </w:p>
    <w:p>
      <w:pPr>
        <w:pStyle w:val="DefinedTerms"/>
      </w:pPr>
      <w:r>
        <w:t>function</w:t>
      </w:r>
      <w:r>
        <w:tab/>
        <w:t>15A</w:t>
      </w:r>
    </w:p>
    <w:p>
      <w:pPr>
        <w:pStyle w:val="DefinedTerms"/>
      </w:pPr>
      <w:r>
        <w:t>gaol</w:t>
      </w:r>
      <w:r>
        <w:tab/>
        <w:t>Sch. 2</w:t>
      </w:r>
    </w:p>
    <w:p>
      <w:pPr>
        <w:pStyle w:val="DefinedTerms"/>
      </w:pPr>
      <w:r>
        <w:t>hearing officer</w:t>
      </w:r>
      <w:r>
        <w:tab/>
        <w:t>74A(1)</w:t>
      </w:r>
    </w:p>
    <w:p>
      <w:pPr>
        <w:pStyle w:val="DefinedTerms"/>
      </w:pPr>
      <w:r>
        <w:t>high</w:t>
      </w:r>
      <w:r>
        <w:noBreakHyphen/>
        <w:t>level security work</w:t>
      </w:r>
      <w:r>
        <w:tab/>
        <w:t>3(1)</w:t>
      </w:r>
    </w:p>
    <w:p>
      <w:pPr>
        <w:pStyle w:val="DefinedTerms"/>
      </w:pPr>
      <w:r>
        <w:t>independent prison visitor</w:t>
      </w:r>
      <w:r>
        <w:tab/>
        <w:t>3(1)</w:t>
      </w:r>
    </w:p>
    <w:p>
      <w:pPr>
        <w:pStyle w:val="DefinedTerms"/>
      </w:pPr>
      <w:r>
        <w:t>industrial commissioner</w:t>
      </w:r>
      <w:r>
        <w:tab/>
        <w:t>99</w:t>
      </w:r>
    </w:p>
    <w:p>
      <w:pPr>
        <w:pStyle w:val="DefinedTerms"/>
      </w:pPr>
      <w:r>
        <w:t>infectious disease</w:t>
      </w:r>
      <w:r>
        <w:tab/>
        <w:t>3(1)</w:t>
      </w:r>
    </w:p>
    <w:p>
      <w:pPr>
        <w:pStyle w:val="DefinedTerms"/>
      </w:pPr>
      <w:r>
        <w:t>intervene</w:t>
      </w:r>
      <w:r>
        <w:tab/>
        <w:t>15A</w:t>
      </w:r>
    </w:p>
    <w:p>
      <w:pPr>
        <w:pStyle w:val="DefinedTerms"/>
      </w:pPr>
      <w:r>
        <w:t>jail</w:t>
      </w:r>
      <w:r>
        <w:tab/>
        <w:t>Sch. 2</w:t>
      </w:r>
    </w:p>
    <w:p>
      <w:pPr>
        <w:pStyle w:val="DefinedTerms"/>
      </w:pPr>
      <w:r>
        <w:t>judge of the Supreme Court</w:t>
      </w:r>
      <w:r>
        <w:tab/>
        <w:t>3(1)</w:t>
      </w:r>
    </w:p>
    <w:p>
      <w:pPr>
        <w:pStyle w:val="DefinedTerms"/>
      </w:pPr>
      <w:r>
        <w:t>judicial body</w:t>
      </w:r>
      <w:r>
        <w:tab/>
        <w:t>3(1)</w:t>
      </w:r>
    </w:p>
    <w:p>
      <w:pPr>
        <w:pStyle w:val="DefinedTerms"/>
      </w:pPr>
      <w:r>
        <w:t>lock</w:t>
      </w:r>
      <w:r>
        <w:noBreakHyphen/>
        <w:t>up</w:t>
      </w:r>
      <w:r>
        <w:tab/>
        <w:t>3(1)</w:t>
      </w:r>
    </w:p>
    <w:p>
      <w:pPr>
        <w:pStyle w:val="DefinedTerms"/>
      </w:pPr>
      <w:r>
        <w:t>maintenance payment</w:t>
      </w:r>
      <w:r>
        <w:tab/>
        <w:t>99, 103(1)</w:t>
      </w:r>
    </w:p>
    <w:p>
      <w:pPr>
        <w:pStyle w:val="DefinedTerms"/>
      </w:pPr>
      <w:r>
        <w:t>maintenance period</w:t>
      </w:r>
      <w:r>
        <w:tab/>
        <w:t>99, 103(1)</w:t>
      </w:r>
    </w:p>
    <w:p>
      <w:pPr>
        <w:pStyle w:val="DefinedTerms"/>
      </w:pPr>
      <w:r>
        <w:t>medical officer</w:t>
      </w:r>
      <w:r>
        <w:tab/>
        <w:t>3(1)</w:t>
      </w:r>
    </w:p>
    <w:p>
      <w:pPr>
        <w:pStyle w:val="DefinedTerms"/>
      </w:pPr>
      <w:r>
        <w:t>medical practitioner</w:t>
      </w:r>
      <w:r>
        <w:tab/>
        <w:t>3(1)</w:t>
      </w:r>
    </w:p>
    <w:p>
      <w:pPr>
        <w:pStyle w:val="DefinedTerms"/>
      </w:pPr>
      <w:r>
        <w:t>misconduct</w:t>
      </w:r>
      <w:r>
        <w:tab/>
        <w:t>119(1)</w:t>
      </w:r>
    </w:p>
    <w:p>
      <w:pPr>
        <w:pStyle w:val="DefinedTerms"/>
      </w:pPr>
      <w:r>
        <w:t>new evidence</w:t>
      </w:r>
      <w:r>
        <w:tab/>
        <w:t>99</w:t>
      </w:r>
    </w:p>
    <w:p>
      <w:pPr>
        <w:pStyle w:val="DefinedTerms"/>
      </w:pPr>
      <w:r>
        <w:lastRenderedPageBreak/>
        <w:t>officer</w:t>
      </w:r>
      <w:r>
        <w:tab/>
        <w:t>3(1)</w:t>
      </w:r>
    </w:p>
    <w:p>
      <w:pPr>
        <w:pStyle w:val="DefinedTerms"/>
      </w:pPr>
      <w:r>
        <w:t>other officer</w:t>
      </w:r>
      <w:r>
        <w:tab/>
        <w:t>15A</w:t>
      </w:r>
    </w:p>
    <w:p>
      <w:pPr>
        <w:pStyle w:val="DefinedTerms"/>
      </w:pPr>
      <w:r>
        <w:t>penalty</w:t>
      </w:r>
      <w:r>
        <w:tab/>
        <w:t>119(1)</w:t>
      </w:r>
    </w:p>
    <w:p>
      <w:pPr>
        <w:pStyle w:val="DefinedTerms"/>
      </w:pPr>
      <w:r>
        <w:t>perform</w:t>
      </w:r>
      <w:r>
        <w:tab/>
        <w:t>15A</w:t>
      </w:r>
    </w:p>
    <w:p>
      <w:pPr>
        <w:pStyle w:val="DefinedTerms"/>
      </w:pPr>
      <w:r>
        <w:t>permit</w:t>
      </w:r>
      <w:r>
        <w:tab/>
        <w:t>3(1)</w:t>
      </w:r>
    </w:p>
    <w:p>
      <w:pPr>
        <w:pStyle w:val="DefinedTerms"/>
      </w:pPr>
      <w:r>
        <w:t>person</w:t>
      </w:r>
      <w:r>
        <w:tab/>
        <w:t>67A(4)</w:t>
      </w:r>
    </w:p>
    <w:p>
      <w:pPr>
        <w:pStyle w:val="DefinedTerms"/>
      </w:pPr>
      <w:r>
        <w:t>prison</w:t>
      </w:r>
      <w:r>
        <w:tab/>
        <w:t>3(1), Sch. 2</w:t>
      </w:r>
    </w:p>
    <w:p>
      <w:pPr>
        <w:pStyle w:val="DefinedTerms"/>
      </w:pPr>
      <w:r>
        <w:t>prison dog</w:t>
      </w:r>
      <w:r>
        <w:tab/>
        <w:t>49A(1)</w:t>
      </w:r>
    </w:p>
    <w:p>
      <w:pPr>
        <w:pStyle w:val="DefinedTerms"/>
      </w:pPr>
      <w:r>
        <w:t>prison offence</w:t>
      </w:r>
      <w:r>
        <w:tab/>
        <w:t>3(1)</w:t>
      </w:r>
    </w:p>
    <w:p>
      <w:pPr>
        <w:pStyle w:val="DefinedTerms"/>
      </w:pPr>
      <w:r>
        <w:t>prison officer</w:t>
      </w:r>
      <w:r>
        <w:tab/>
        <w:t>3(1), 96, 99, 114(12)</w:t>
      </w:r>
    </w:p>
    <w:p>
      <w:pPr>
        <w:pStyle w:val="DefinedTerms"/>
      </w:pPr>
      <w:r>
        <w:t>prison services</w:t>
      </w:r>
      <w:r>
        <w:tab/>
        <w:t>3(1)</w:t>
      </w:r>
    </w:p>
    <w:p>
      <w:pPr>
        <w:pStyle w:val="DefinedTerms"/>
      </w:pPr>
      <w:r>
        <w:t>prisoner</w:t>
      </w:r>
      <w:r>
        <w:tab/>
        <w:t>3(1)</w:t>
      </w:r>
    </w:p>
    <w:p>
      <w:pPr>
        <w:pStyle w:val="DefinedTerms"/>
      </w:pPr>
      <w:r>
        <w:t>proceedings</w:t>
      </w:r>
      <w:r>
        <w:tab/>
        <w:t>85(4)</w:t>
      </w:r>
    </w:p>
    <w:p>
      <w:pPr>
        <w:pStyle w:val="DefinedTerms"/>
      </w:pPr>
      <w:r>
        <w:t>proof of identity</w:t>
      </w:r>
      <w:r>
        <w:tab/>
        <w:t>60A(1)</w:t>
      </w:r>
    </w:p>
    <w:p>
      <w:pPr>
        <w:pStyle w:val="DefinedTerms"/>
      </w:pPr>
      <w:r>
        <w:t>public authority</w:t>
      </w:r>
      <w:r>
        <w:tab/>
        <w:t>113(1)</w:t>
      </w:r>
    </w:p>
    <w:p>
      <w:pPr>
        <w:pStyle w:val="DefinedTerms"/>
      </w:pPr>
      <w:r>
        <w:t>refusal declaration</w:t>
      </w:r>
      <w:r>
        <w:tab/>
        <w:t>114(3)</w:t>
      </w:r>
    </w:p>
    <w:p>
      <w:pPr>
        <w:pStyle w:val="DefinedTerms"/>
      </w:pPr>
      <w:r>
        <w:t>relevant action</w:t>
      </w:r>
      <w:r>
        <w:tab/>
        <w:t>114(1)</w:t>
      </w:r>
    </w:p>
    <w:p>
      <w:pPr>
        <w:pStyle w:val="DefinedTerms"/>
      </w:pPr>
      <w:r>
        <w:t>relevant information</w:t>
      </w:r>
      <w:r>
        <w:tab/>
        <w:t>113(1)</w:t>
      </w:r>
    </w:p>
    <w:p>
      <w:pPr>
        <w:pStyle w:val="DefinedTerms"/>
      </w:pPr>
      <w:r>
        <w:t>removal action</w:t>
      </w:r>
      <w:r>
        <w:tab/>
        <w:t>99, 101(1)</w:t>
      </w:r>
    </w:p>
    <w:p>
      <w:pPr>
        <w:pStyle w:val="DefinedTerms"/>
      </w:pPr>
      <w:r>
        <w:t>removal decision</w:t>
      </w:r>
      <w:r>
        <w:tab/>
        <w:t>99</w:t>
      </w:r>
    </w:p>
    <w:p>
      <w:pPr>
        <w:pStyle w:val="DefinedTerms"/>
      </w:pPr>
      <w:r>
        <w:t>remove</w:t>
      </w:r>
      <w:r>
        <w:tab/>
        <w:t>3(1)</w:t>
      </w:r>
    </w:p>
    <w:p>
      <w:pPr>
        <w:pStyle w:val="DefinedTerms"/>
      </w:pPr>
      <w:r>
        <w:t>repealed Act</w:t>
      </w:r>
      <w:r>
        <w:tab/>
        <w:t>3(1)</w:t>
      </w:r>
    </w:p>
    <w:p>
      <w:pPr>
        <w:pStyle w:val="DefinedTerms"/>
      </w:pPr>
      <w:r>
        <w:t>research</w:t>
      </w:r>
      <w:r>
        <w:tab/>
        <w:t>113(1)</w:t>
      </w:r>
    </w:p>
    <w:p>
      <w:pPr>
        <w:pStyle w:val="DefinedTerms"/>
      </w:pPr>
      <w:r>
        <w:t>rules</w:t>
      </w:r>
      <w:r>
        <w:tab/>
        <w:t>3(1)</w:t>
      </w:r>
    </w:p>
    <w:p>
      <w:pPr>
        <w:pStyle w:val="DefinedTerms"/>
      </w:pPr>
      <w:r>
        <w:t>salary</w:t>
      </w:r>
      <w:r>
        <w:tab/>
        <w:t>114(12)</w:t>
      </w:r>
    </w:p>
    <w:p>
      <w:pPr>
        <w:pStyle w:val="DefinedTerms"/>
      </w:pPr>
      <w:r>
        <w:t>service provider</w:t>
      </w:r>
      <w:r>
        <w:tab/>
        <w:t>113(1)</w:t>
      </w:r>
    </w:p>
    <w:p>
      <w:pPr>
        <w:pStyle w:val="DefinedTerms"/>
      </w:pPr>
      <w:r>
        <w:t>specified</w:t>
      </w:r>
      <w:r>
        <w:tab/>
        <w:t>110(3)</w:t>
      </w:r>
    </w:p>
    <w:p>
      <w:pPr>
        <w:pStyle w:val="DefinedTerms"/>
      </w:pPr>
      <w:r>
        <w:t>standing orders</w:t>
      </w:r>
      <w:r>
        <w:tab/>
        <w:t>3(1)</w:t>
      </w:r>
    </w:p>
    <w:p>
      <w:pPr>
        <w:pStyle w:val="DefinedTerms"/>
      </w:pPr>
      <w:r>
        <w:t>subcontractor</w:t>
      </w:r>
      <w:r>
        <w:tab/>
        <w:t>3(1)</w:t>
      </w:r>
    </w:p>
    <w:p>
      <w:pPr>
        <w:pStyle w:val="DefinedTerms"/>
      </w:pPr>
      <w:r>
        <w:t>submission period</w:t>
      </w:r>
      <w:r>
        <w:tab/>
        <w:t>102(2)</w:t>
      </w:r>
    </w:p>
    <w:p>
      <w:pPr>
        <w:pStyle w:val="DefinedTerms"/>
      </w:pPr>
      <w:r>
        <w:t>suitability to continue as a prison officer</w:t>
      </w:r>
      <w:r>
        <w:tab/>
        <w:t>99</w:t>
      </w:r>
    </w:p>
    <w:p>
      <w:pPr>
        <w:pStyle w:val="DefinedTerms"/>
      </w:pPr>
      <w:r>
        <w:t>superintendent</w:t>
      </w:r>
      <w:r>
        <w:tab/>
        <w:t>3(1)</w:t>
      </w:r>
    </w:p>
    <w:p>
      <w:pPr>
        <w:pStyle w:val="DefinedTerms"/>
      </w:pPr>
      <w:r>
        <w:t>transfer of bodily fluid</w:t>
      </w:r>
      <w:r>
        <w:tab/>
        <w:t>3(1)</w:t>
      </w:r>
    </w:p>
    <w:p>
      <w:pPr>
        <w:pStyle w:val="DefinedTerms"/>
      </w:pPr>
      <w:r>
        <w:t>victim</w:t>
      </w:r>
      <w:r>
        <w:tab/>
        <w:t>113B(1)</w:t>
      </w:r>
    </w:p>
    <w:p>
      <w:pPr>
        <w:pStyle w:val="DefinedTerms"/>
      </w:pPr>
      <w:r>
        <w:t>video link</w:t>
      </w:r>
      <w:r>
        <w:tab/>
        <w:t>74A(1)</w:t>
      </w:r>
    </w:p>
    <w:p>
      <w:pPr>
        <w:pStyle w:val="DefinedTerms"/>
      </w:pPr>
      <w:r>
        <w:t>violent personal offence</w:t>
      </w:r>
      <w:r>
        <w:tab/>
        <w:t>113B(1)</w:t>
      </w:r>
    </w:p>
    <w:p>
      <w:pPr>
        <w:pStyle w:val="DefinedTerms"/>
      </w:pPr>
      <w:r>
        <w:t>visiting justice</w:t>
      </w:r>
      <w:r>
        <w:tab/>
        <w:t>3(1)</w:t>
      </w:r>
    </w:p>
    <w:p>
      <w:pPr>
        <w:pStyle w:val="DefinedTerms"/>
      </w:pPr>
      <w:r>
        <w:t>WAIRC</w:t>
      </w:r>
      <w:r>
        <w:tab/>
        <w:t>99</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49" w:name="Schedule"/>
    <w:bookmarkEnd w:id="24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56" w:name="Compilation"/>
    <w:bookmarkEnd w:id="25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0" w:name="DefinedTerms"/>
    <w:bookmarkEnd w:id="26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1" w:name="Coversheet"/>
    <w:bookmarkEnd w:id="2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088ADE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09234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ABA3A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FB042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2FA42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64A3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A5CD7C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150E19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9EA5B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E4E5D1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DADEC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19141052"/>
    <w:docVar w:name="WAFER_20131119102823" w:val="RemoveTocBookmarks,RemoveUnusedBookmarks,RemoveLanguageTags,UsedStyles,ResetPageSize"/>
    <w:docVar w:name="WAFER_20131119102823_GUID" w:val="da2b0f4e-dad7-4311-b7b3-14c3c287528e"/>
    <w:docVar w:name="WAFER_20141203140954" w:val="RemoveTocBookmarks,RemoveUnusedBookmarks,RemoveLanguageTags,UsedStyles,ResetPageSize,UpdateArrangement"/>
    <w:docVar w:name="WAFER_20141203140954_GUID" w:val="8c8da3a8-8ce2-484b-9e5e-97be2afe59cc"/>
    <w:docVar w:name="WAFER_20150304144542" w:val="ResetPageSize,UpdateArrangement,UpdateNTable"/>
    <w:docVar w:name="WAFER_20150304144542_GUID" w:val="f409abc6-0458-45f0-aa56-cb518ca6f37d"/>
    <w:docVar w:name="WAFER_20151103094331" w:val="UpdateStyles,UsedStyles"/>
    <w:docVar w:name="WAFER_20151103094331_GUID" w:val="49a0eeff-bb9d-47f0-b489-c52258dff4f0"/>
    <w:docVar w:name="WAFER_20151103095123" w:val="UpdateStyles,UsedStyles"/>
    <w:docVar w:name="WAFER_20151103095123_GUID" w:val="915a1b33-132e-452f-82f6-d08892712b54"/>
    <w:docVar w:name="WAFER_20151105092016" w:val="UpdateStyles"/>
    <w:docVar w:name="WAFER_20151105092016_GUID" w:val="64f80abb-68ae-43b4-af36-626c7fb9b65b"/>
    <w:docVar w:name="WAFER_20151105092034" w:val="UpdateStyles,UsedStyles"/>
    <w:docVar w:name="WAFER_20151105092034_GUID" w:val="b3571eaf-1937-48b1-98f3-a8cb0d941cbd"/>
    <w:docVar w:name="WAFER_20151105095911" w:val="UsedStyles"/>
    <w:docVar w:name="WAFER_20151105095911_GUID" w:val="22c298b2-1884-4ff7-a3de-f7c992f6be28"/>
    <w:docVar w:name="WAFER_20160418110153" w:val="UsedStyles"/>
    <w:docVar w:name="WAFER_20160418110153_GUID" w:val="c341f9d1-90db-4d3f-bb87-18a265121eb1"/>
    <w:docVar w:name="WAFER_20160712104806" w:val="ResetPageSize"/>
    <w:docVar w:name="WAFER_20160712104806_GUID" w:val="5086dad5-7d41-409e-939c-4e28cb5eb0d0"/>
    <w:docVar w:name="WAFER_20161130112806" w:val="RemoveTocBookmarks,RemoveUnusedBookmarks,RemoveLanguageTags,UsedStyles,ResetPageSize"/>
    <w:docVar w:name="WAFER_20161130112806_GUID" w:val="659f0414-79ad-43d6-a0ca-b149cf1c13b6"/>
    <w:docVar w:name="WAFER_20170125083958" w:val="RemoveTocBookmarks,RemoveUnusedBookmarks,RemoveLanguageTags,UsedStyles,ResetPageSize"/>
    <w:docVar w:name="WAFER_20170125083958_GUID" w:val="b6ee0c0b-d3a2-4ebe-8adb-44753e527c38"/>
    <w:docVar w:name="WAFER_20181213102309" w:val="RemoveTocBookmarks,RemoveUnusedBookmarks,RemoveLanguageTags,UsedStyles,ResetPageSize"/>
    <w:docVar w:name="WAFER_20181213102309_GUID" w:val="40079988-bc30-4575-bae0-256d19192aa9"/>
    <w:docVar w:name="WAFER_202002111138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13818_GUID" w:val="e3ef0a85-c964-45ff-b4da-a3d7ce769730"/>
    <w:docVar w:name="WAFER_2020021117532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5320_GUID" w:val="4e3d095f-182d-4973-83a3-f6c43f079e13"/>
    <w:docVar w:name="WAFER_20200521153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1153858_GUID" w:val="15f1512b-51b3-4977-b3a6-187797fe512f"/>
    <w:docVar w:name="WAFER_20200624154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54831_GUID" w:val="9c249c10-eb15-4ada-af0b-d7761314b385"/>
    <w:docVar w:name="WAFER_202007100912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220_GUID" w:val="07eaf10b-9cbc-4888-8794-a5f9781d876a"/>
    <w:docVar w:name="WAFER_202008121144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4407_GUID" w:val="c04736cd-54d2-419a-8600-d7e89db684f1"/>
    <w:docVar w:name="WAFER_202008260955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5504_GUID" w:val="71819dbb-b796-4401-8588-aa99b4866004"/>
    <w:docVar w:name="WAFER_20201215112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12920_GUID" w:val="6754891e-4fa1-44b9-b84d-ac747756c98a"/>
    <w:docVar w:name="WAFER_202205191410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052_GUID" w:val="dba196b7-bf95-4b27-9481-cf57d6533c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15:docId w15:val="{DC43BF97-F8CF-4F34-9E61-7DB0E089F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E85B75-0C2D-49F6-BBB0-4B0DE40B4D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36930</Words>
  <Characters>174680</Characters>
  <Application>Microsoft Office Word</Application>
  <DocSecurity>0</DocSecurity>
  <Lines>4852</Lines>
  <Paragraphs>2678</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208932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1981 - 09-g0-00</dc:title>
  <dc:subject/>
  <dc:creator/>
  <cp:keywords/>
  <dc:description/>
  <cp:lastModifiedBy>Master Repository Process</cp:lastModifiedBy>
  <cp:revision>4</cp:revision>
  <cp:lastPrinted>2020-02-11T10:00:00Z</cp:lastPrinted>
  <dcterms:created xsi:type="dcterms:W3CDTF">2022-05-19T07:23:00Z</dcterms:created>
  <dcterms:modified xsi:type="dcterms:W3CDTF">2022-05-19T07:23:00Z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DocumentType">
    <vt:lpwstr>Act</vt:lpwstr>
  </property>
  <property fmtid="{D5CDD505-2E9C-101B-9397-08002B2CF9AE}" pid="4" name="OwlsUID">
    <vt:i4>633</vt:i4>
  </property>
  <property fmtid="{D5CDD505-2E9C-101B-9397-08002B2CF9AE}" pid="5" name="ReprintedAsAt">
    <vt:filetime>2019-08-08T16:00:00Z</vt:filetime>
  </property>
  <property fmtid="{D5CDD505-2E9C-101B-9397-08002B2CF9AE}" pid="6" name="ReprintNo">
    <vt:lpwstr>9</vt:lpwstr>
  </property>
  <property fmtid="{D5CDD505-2E9C-101B-9397-08002B2CF9AE}" pid="7" name="AsAtDate">
    <vt:lpwstr>18 May 2022</vt:lpwstr>
  </property>
  <property fmtid="{D5CDD505-2E9C-101B-9397-08002B2CF9AE}" pid="8" name="Suffix">
    <vt:lpwstr>09-g0-00</vt:lpwstr>
  </property>
  <property fmtid="{D5CDD505-2E9C-101B-9397-08002B2CF9AE}" pid="9" name="CommencementDate">
    <vt:lpwstr>20220518</vt:lpwstr>
  </property>
</Properties>
</file>