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Restraining Orders Act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_Toc103865134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_Toc103865135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_Toc103865136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family relationship and family member</w:t>
      </w:r>
      <w:r>
        <w:tab/>
      </w:r>
      <w:r>
        <w:fldChar w:fldCharType="begin"/>
      </w:r>
      <w:r>
        <w:instrText xml:space="preserve"> PAGEREF _Toc103865137 \h </w:instrText>
      </w:r>
      <w:r>
        <w:fldChar w:fldCharType="separate"/>
      </w:r>
      <w:r>
        <w:t>7</w:t>
      </w:r>
      <w:r>
        <w:fldChar w:fldCharType="end"/>
      </w:r>
    </w:p>
    <w:p>
      <w:pPr>
        <w:pStyle w:val="TOC8"/>
        <w:rPr>
          <w:rFonts w:asciiTheme="minorHAnsi" w:eastAsiaTheme="minorEastAsia" w:hAnsiTheme="minorHAnsi" w:cstheme="minorBidi"/>
          <w:szCs w:val="22"/>
        </w:rPr>
      </w:pPr>
      <w:r>
        <w:t>5.</w:t>
      </w:r>
      <w:r>
        <w:tab/>
        <w:t>Term used: family order</w:t>
      </w:r>
      <w:r>
        <w:tab/>
      </w:r>
      <w:r>
        <w:fldChar w:fldCharType="begin"/>
      </w:r>
      <w:r>
        <w:instrText xml:space="preserve"> PAGEREF _Toc103865138 \h </w:instrText>
      </w:r>
      <w:r>
        <w:fldChar w:fldCharType="separate"/>
      </w:r>
      <w:r>
        <w:t>8</w:t>
      </w:r>
      <w:r>
        <w:fldChar w:fldCharType="end"/>
      </w:r>
    </w:p>
    <w:p>
      <w:pPr>
        <w:pStyle w:val="TOC8"/>
        <w:rPr>
          <w:rFonts w:asciiTheme="minorHAnsi" w:eastAsiaTheme="minorEastAsia" w:hAnsiTheme="minorHAnsi" w:cstheme="minorBidi"/>
          <w:szCs w:val="22"/>
        </w:rPr>
      </w:pPr>
      <w:r>
        <w:t>5A.</w:t>
      </w:r>
      <w:r>
        <w:tab/>
        <w:t>Term used: family violence</w:t>
      </w:r>
      <w:r>
        <w:tab/>
      </w:r>
      <w:r>
        <w:fldChar w:fldCharType="begin"/>
      </w:r>
      <w:r>
        <w:instrText xml:space="preserve"> PAGEREF _Toc103865139 \h </w:instrText>
      </w:r>
      <w:r>
        <w:fldChar w:fldCharType="separate"/>
      </w:r>
      <w:r>
        <w:t>10</w:t>
      </w:r>
      <w:r>
        <w:fldChar w:fldCharType="end"/>
      </w:r>
    </w:p>
    <w:p>
      <w:pPr>
        <w:pStyle w:val="TOC8"/>
        <w:rPr>
          <w:rFonts w:asciiTheme="minorHAnsi" w:eastAsiaTheme="minorEastAsia" w:hAnsiTheme="minorHAnsi" w:cstheme="minorBidi"/>
          <w:szCs w:val="22"/>
        </w:rPr>
      </w:pPr>
      <w:r>
        <w:t>6.</w:t>
      </w:r>
      <w:r>
        <w:tab/>
        <w:t>Term used: personal violence</w:t>
      </w:r>
      <w:r>
        <w:tab/>
      </w:r>
      <w:r>
        <w:fldChar w:fldCharType="begin"/>
      </w:r>
      <w:r>
        <w:instrText xml:space="preserve"> PAGEREF _Toc103865140 \h </w:instrText>
      </w:r>
      <w:r>
        <w:fldChar w:fldCharType="separate"/>
      </w:r>
      <w:r>
        <w:t>11</w:t>
      </w:r>
      <w:r>
        <w:fldChar w:fldCharType="end"/>
      </w:r>
    </w:p>
    <w:p>
      <w:pPr>
        <w:pStyle w:val="TOC8"/>
        <w:rPr>
          <w:rFonts w:asciiTheme="minorHAnsi" w:eastAsiaTheme="minorEastAsia" w:hAnsiTheme="minorHAnsi" w:cstheme="minorBidi"/>
          <w:szCs w:val="22"/>
        </w:rPr>
      </w:pPr>
      <w:r>
        <w:t>6A.</w:t>
      </w:r>
      <w:r>
        <w:tab/>
        <w:t>Term used: exposed</w:t>
      </w:r>
      <w:r>
        <w:tab/>
      </w:r>
      <w:r>
        <w:fldChar w:fldCharType="begin"/>
      </w:r>
      <w:r>
        <w:instrText xml:space="preserve"> PAGEREF _Toc103865141 \h </w:instrText>
      </w:r>
      <w:r>
        <w:fldChar w:fldCharType="separate"/>
      </w:r>
      <w:r>
        <w:t>12</w:t>
      </w:r>
      <w:r>
        <w:fldChar w:fldCharType="end"/>
      </w:r>
    </w:p>
    <w:p>
      <w:pPr>
        <w:pStyle w:val="TOC8"/>
        <w:rPr>
          <w:rFonts w:asciiTheme="minorHAnsi" w:eastAsiaTheme="minorEastAsia" w:hAnsiTheme="minorHAnsi" w:cstheme="minorBidi"/>
          <w:szCs w:val="22"/>
        </w:rPr>
      </w:pPr>
      <w:r>
        <w:t>7.</w:t>
      </w:r>
      <w:r>
        <w:tab/>
        <w:t>Persons protected, and bound, by order to be natural persons</w:t>
      </w:r>
      <w:r>
        <w:tab/>
      </w:r>
      <w:r>
        <w:fldChar w:fldCharType="begin"/>
      </w:r>
      <w:r>
        <w:instrText xml:space="preserve"> PAGEREF _Toc103865142 \h </w:instrText>
      </w:r>
      <w:r>
        <w:fldChar w:fldCharType="separate"/>
      </w:r>
      <w:r>
        <w:t>12</w:t>
      </w:r>
      <w:r>
        <w:fldChar w:fldCharType="end"/>
      </w:r>
    </w:p>
    <w:p>
      <w:pPr>
        <w:pStyle w:val="TOC8"/>
        <w:rPr>
          <w:rFonts w:asciiTheme="minorHAnsi" w:eastAsiaTheme="minorEastAsia" w:hAnsiTheme="minorHAnsi" w:cstheme="minorBidi"/>
          <w:szCs w:val="22"/>
        </w:rPr>
      </w:pPr>
      <w:r>
        <w:t>7A.</w:t>
      </w:r>
      <w:r>
        <w:tab/>
        <w:t>Orders under this Act imposing restraints</w:t>
      </w:r>
      <w:r>
        <w:tab/>
      </w:r>
      <w:r>
        <w:fldChar w:fldCharType="begin"/>
      </w:r>
      <w:r>
        <w:instrText xml:space="preserve"> PAGEREF _Toc103865143 \h </w:instrText>
      </w:r>
      <w:r>
        <w:fldChar w:fldCharType="separate"/>
      </w:r>
      <w:r>
        <w:t>12</w:t>
      </w:r>
      <w:r>
        <w:fldChar w:fldCharType="end"/>
      </w:r>
    </w:p>
    <w:p>
      <w:pPr>
        <w:pStyle w:val="TOC8"/>
        <w:rPr>
          <w:rFonts w:asciiTheme="minorHAnsi" w:eastAsiaTheme="minorEastAsia" w:hAnsiTheme="minorHAnsi" w:cstheme="minorBidi"/>
          <w:szCs w:val="22"/>
        </w:rPr>
      </w:pPr>
      <w:r>
        <w:t>8A.</w:t>
      </w:r>
      <w:r>
        <w:tab/>
      </w:r>
      <w:r>
        <w:rPr>
          <w:i/>
        </w:rPr>
        <w:t>Courts and Tribunals (Electronic Processes Facilitation) Act 2013</w:t>
      </w:r>
      <w:r>
        <w:t xml:space="preserve"> Part 2 applies</w:t>
      </w:r>
      <w:r>
        <w:tab/>
      </w:r>
      <w:r>
        <w:fldChar w:fldCharType="begin"/>
      </w:r>
      <w:r>
        <w:instrText xml:space="preserve"> PAGEREF _Toc103865144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Restraining orders generally</w:t>
      </w:r>
    </w:p>
    <w:p>
      <w:pPr>
        <w:pStyle w:val="TOC8"/>
        <w:rPr>
          <w:rFonts w:asciiTheme="minorHAnsi" w:eastAsiaTheme="minorEastAsia" w:hAnsiTheme="minorHAnsi" w:cstheme="minorBidi"/>
          <w:szCs w:val="22"/>
        </w:rPr>
      </w:pPr>
      <w:r>
        <w:t>8.</w:t>
      </w:r>
      <w:r>
        <w:tab/>
        <w:t>Explanation about orders to be given</w:t>
      </w:r>
      <w:r>
        <w:tab/>
      </w:r>
      <w:r>
        <w:fldChar w:fldCharType="begin"/>
      </w:r>
      <w:r>
        <w:instrText xml:space="preserve"> PAGEREF _Toc103865146 \h </w:instrText>
      </w:r>
      <w:r>
        <w:fldChar w:fldCharType="separate"/>
      </w:r>
      <w:r>
        <w:t>14</w:t>
      </w:r>
      <w:r>
        <w:fldChar w:fldCharType="end"/>
      </w:r>
    </w:p>
    <w:p>
      <w:pPr>
        <w:pStyle w:val="TOC8"/>
        <w:rPr>
          <w:rFonts w:asciiTheme="minorHAnsi" w:eastAsiaTheme="minorEastAsia" w:hAnsiTheme="minorHAnsi" w:cstheme="minorBidi"/>
          <w:szCs w:val="22"/>
        </w:rPr>
      </w:pPr>
      <w:r>
        <w:t>9.</w:t>
      </w:r>
      <w:r>
        <w:tab/>
        <w:t>Fixing a hearing</w:t>
      </w:r>
      <w:r>
        <w:tab/>
      </w:r>
      <w:r>
        <w:fldChar w:fldCharType="begin"/>
      </w:r>
      <w:r>
        <w:instrText xml:space="preserve"> PAGEREF _Toc103865147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Preparation and service of orders</w:t>
      </w:r>
      <w:r>
        <w:tab/>
      </w:r>
      <w:r>
        <w:fldChar w:fldCharType="begin"/>
      </w:r>
      <w:r>
        <w:instrText xml:space="preserve"> PAGEREF _Toc103865148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1B — Family violence restraining order</w:t>
      </w:r>
    </w:p>
    <w:p>
      <w:pPr>
        <w:pStyle w:val="TOC8"/>
        <w:rPr>
          <w:rFonts w:asciiTheme="minorHAnsi" w:eastAsiaTheme="minorEastAsia" w:hAnsiTheme="minorHAnsi" w:cstheme="minorBidi"/>
          <w:szCs w:val="22"/>
        </w:rPr>
      </w:pPr>
      <w:r>
        <w:t>10A.</w:t>
      </w:r>
      <w:r>
        <w:tab/>
        <w:t>Objects</w:t>
      </w:r>
      <w:r>
        <w:tab/>
      </w:r>
      <w:r>
        <w:fldChar w:fldCharType="begin"/>
      </w:r>
      <w:r>
        <w:instrText xml:space="preserve"> PAGEREF _Toc103865150 \h </w:instrText>
      </w:r>
      <w:r>
        <w:fldChar w:fldCharType="separate"/>
      </w:r>
      <w:r>
        <w:t>19</w:t>
      </w:r>
      <w:r>
        <w:fldChar w:fldCharType="end"/>
      </w:r>
    </w:p>
    <w:p>
      <w:pPr>
        <w:pStyle w:val="TOC8"/>
        <w:rPr>
          <w:rFonts w:asciiTheme="minorHAnsi" w:eastAsiaTheme="minorEastAsia" w:hAnsiTheme="minorHAnsi" w:cstheme="minorBidi"/>
          <w:szCs w:val="22"/>
        </w:rPr>
      </w:pPr>
      <w:r>
        <w:t>10B.</w:t>
      </w:r>
      <w:r>
        <w:tab/>
        <w:t>Principles to be observed in performing functions in relation to FVROs</w:t>
      </w:r>
      <w:r>
        <w:tab/>
      </w:r>
      <w:r>
        <w:fldChar w:fldCharType="begin"/>
      </w:r>
      <w:r>
        <w:instrText xml:space="preserve"> PAGEREF _Toc103865151 \h </w:instrText>
      </w:r>
      <w:r>
        <w:fldChar w:fldCharType="separate"/>
      </w:r>
      <w:r>
        <w:t>19</w:t>
      </w:r>
      <w:r>
        <w:fldChar w:fldCharType="end"/>
      </w:r>
    </w:p>
    <w:p>
      <w:pPr>
        <w:pStyle w:val="TOC8"/>
        <w:rPr>
          <w:rFonts w:asciiTheme="minorHAnsi" w:eastAsiaTheme="minorEastAsia" w:hAnsiTheme="minorHAnsi" w:cstheme="minorBidi"/>
          <w:szCs w:val="22"/>
        </w:rPr>
      </w:pPr>
      <w:r>
        <w:lastRenderedPageBreak/>
        <w:t>10C.</w:t>
      </w:r>
      <w:r>
        <w:tab/>
        <w:t>FVRO to specify names of person bound, and person protected, by order</w:t>
      </w:r>
      <w:r>
        <w:tab/>
      </w:r>
      <w:r>
        <w:fldChar w:fldCharType="begin"/>
      </w:r>
      <w:r>
        <w:instrText xml:space="preserve"> PAGEREF _Toc103865152 \h </w:instrText>
      </w:r>
      <w:r>
        <w:fldChar w:fldCharType="separate"/>
      </w:r>
      <w:r>
        <w:t>21</w:t>
      </w:r>
      <w:r>
        <w:fldChar w:fldCharType="end"/>
      </w:r>
    </w:p>
    <w:p>
      <w:pPr>
        <w:pStyle w:val="TOC8"/>
        <w:rPr>
          <w:rFonts w:asciiTheme="minorHAnsi" w:eastAsiaTheme="minorEastAsia" w:hAnsiTheme="minorHAnsi" w:cstheme="minorBidi"/>
          <w:szCs w:val="22"/>
        </w:rPr>
      </w:pPr>
      <w:r>
        <w:t>10D.</w:t>
      </w:r>
      <w:r>
        <w:tab/>
        <w:t>When FVROs may be made</w:t>
      </w:r>
      <w:r>
        <w:tab/>
      </w:r>
      <w:r>
        <w:fldChar w:fldCharType="begin"/>
      </w:r>
      <w:r>
        <w:instrText xml:space="preserve"> PAGEREF _Toc103865153 \h </w:instrText>
      </w:r>
      <w:r>
        <w:fldChar w:fldCharType="separate"/>
      </w:r>
      <w:r>
        <w:t>21</w:t>
      </w:r>
      <w:r>
        <w:fldChar w:fldCharType="end"/>
      </w:r>
    </w:p>
    <w:p>
      <w:pPr>
        <w:pStyle w:val="TOC8"/>
        <w:rPr>
          <w:rFonts w:asciiTheme="minorHAnsi" w:eastAsiaTheme="minorEastAsia" w:hAnsiTheme="minorHAnsi" w:cstheme="minorBidi"/>
          <w:szCs w:val="22"/>
        </w:rPr>
      </w:pPr>
      <w:r>
        <w:t>10E.</w:t>
      </w:r>
      <w:r>
        <w:tab/>
        <w:t>FVRO may be made for child in circumstances of family violence</w:t>
      </w:r>
      <w:r>
        <w:tab/>
      </w:r>
      <w:r>
        <w:fldChar w:fldCharType="begin"/>
      </w:r>
      <w:r>
        <w:instrText xml:space="preserve"> PAGEREF _Toc103865154 \h </w:instrText>
      </w:r>
      <w:r>
        <w:fldChar w:fldCharType="separate"/>
      </w:r>
      <w:r>
        <w:t>22</w:t>
      </w:r>
      <w:r>
        <w:fldChar w:fldCharType="end"/>
      </w:r>
    </w:p>
    <w:p>
      <w:pPr>
        <w:pStyle w:val="TOC8"/>
        <w:rPr>
          <w:rFonts w:asciiTheme="minorHAnsi" w:eastAsiaTheme="minorEastAsia" w:hAnsiTheme="minorHAnsi" w:cstheme="minorBidi"/>
          <w:szCs w:val="22"/>
        </w:rPr>
      </w:pPr>
      <w:r>
        <w:t>10F.</w:t>
      </w:r>
      <w:r>
        <w:tab/>
        <w:t>Matters to be considered by court generally</w:t>
      </w:r>
      <w:r>
        <w:tab/>
      </w:r>
      <w:r>
        <w:fldChar w:fldCharType="begin"/>
      </w:r>
      <w:r>
        <w:instrText xml:space="preserve"> PAGEREF _Toc103865155 \h </w:instrText>
      </w:r>
      <w:r>
        <w:fldChar w:fldCharType="separate"/>
      </w:r>
      <w:r>
        <w:t>22</w:t>
      </w:r>
      <w:r>
        <w:fldChar w:fldCharType="end"/>
      </w:r>
    </w:p>
    <w:p>
      <w:pPr>
        <w:pStyle w:val="TOC8"/>
        <w:rPr>
          <w:rFonts w:asciiTheme="minorHAnsi" w:eastAsiaTheme="minorEastAsia" w:hAnsiTheme="minorHAnsi" w:cstheme="minorBidi"/>
          <w:szCs w:val="22"/>
        </w:rPr>
      </w:pPr>
      <w:r>
        <w:t>10G.</w:t>
      </w:r>
      <w:r>
        <w:tab/>
        <w:t>Restraints on respondent</w:t>
      </w:r>
      <w:r>
        <w:tab/>
      </w:r>
      <w:r>
        <w:fldChar w:fldCharType="begin"/>
      </w:r>
      <w:r>
        <w:instrText xml:space="preserve"> PAGEREF _Toc103865156 \h </w:instrText>
      </w:r>
      <w:r>
        <w:fldChar w:fldCharType="separate"/>
      </w:r>
      <w:r>
        <w:t>24</w:t>
      </w:r>
      <w:r>
        <w:fldChar w:fldCharType="end"/>
      </w:r>
    </w:p>
    <w:p>
      <w:pPr>
        <w:pStyle w:val="TOC8"/>
        <w:rPr>
          <w:rFonts w:asciiTheme="minorHAnsi" w:eastAsiaTheme="minorEastAsia" w:hAnsiTheme="minorHAnsi" w:cstheme="minorBidi"/>
          <w:szCs w:val="22"/>
        </w:rPr>
      </w:pPr>
      <w:r>
        <w:t>10H.</w:t>
      </w:r>
      <w:r>
        <w:tab/>
        <w:t>Conduct agreement</w:t>
      </w:r>
      <w:r>
        <w:tab/>
      </w:r>
      <w:r>
        <w:fldChar w:fldCharType="begin"/>
      </w:r>
      <w:r>
        <w:instrText xml:space="preserve"> PAGEREF _Toc103865157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1C — Behaviour management order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10I.</w:t>
      </w:r>
      <w:r>
        <w:tab/>
        <w:t>Terms used</w:t>
      </w:r>
      <w:r>
        <w:tab/>
      </w:r>
      <w:r>
        <w:fldChar w:fldCharType="begin"/>
      </w:r>
      <w:r>
        <w:instrText xml:space="preserve"> PAGEREF _Toc103865160 \h </w:instrText>
      </w:r>
      <w:r>
        <w:fldChar w:fldCharType="separate"/>
      </w:r>
      <w:r>
        <w:t>27</w:t>
      </w:r>
      <w:r>
        <w:fldChar w:fldCharType="end"/>
      </w:r>
    </w:p>
    <w:p>
      <w:pPr>
        <w:pStyle w:val="TOC8"/>
        <w:rPr>
          <w:rFonts w:asciiTheme="minorHAnsi" w:eastAsiaTheme="minorEastAsia" w:hAnsiTheme="minorHAnsi" w:cstheme="minorBidi"/>
          <w:szCs w:val="22"/>
        </w:rPr>
      </w:pPr>
      <w:r>
        <w:t>10J.</w:t>
      </w:r>
      <w:r>
        <w:tab/>
        <w:t>Objects</w:t>
      </w:r>
      <w:r>
        <w:tab/>
      </w:r>
      <w:r>
        <w:fldChar w:fldCharType="begin"/>
      </w:r>
      <w:r>
        <w:instrText xml:space="preserve"> PAGEREF _Toc103865161 \h </w:instrText>
      </w:r>
      <w:r>
        <w:fldChar w:fldCharType="separate"/>
      </w:r>
      <w:r>
        <w:t>28</w:t>
      </w:r>
      <w:r>
        <w:fldChar w:fldCharType="end"/>
      </w:r>
    </w:p>
    <w:p>
      <w:pPr>
        <w:pStyle w:val="TOC8"/>
        <w:rPr>
          <w:rFonts w:asciiTheme="minorHAnsi" w:eastAsiaTheme="minorEastAsia" w:hAnsiTheme="minorHAnsi" w:cstheme="minorBidi"/>
          <w:szCs w:val="22"/>
        </w:rPr>
      </w:pPr>
      <w:r>
        <w:t>10K.</w:t>
      </w:r>
      <w:r>
        <w:tab/>
        <w:t>Application of Part</w:t>
      </w:r>
      <w:r>
        <w:tab/>
      </w:r>
      <w:r>
        <w:fldChar w:fldCharType="begin"/>
      </w:r>
      <w:r>
        <w:instrText xml:space="preserve"> PAGEREF _Toc103865162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Eligibility assessment order</w:t>
      </w:r>
    </w:p>
    <w:p>
      <w:pPr>
        <w:pStyle w:val="TOC8"/>
        <w:rPr>
          <w:rFonts w:asciiTheme="minorHAnsi" w:eastAsiaTheme="minorEastAsia" w:hAnsiTheme="minorHAnsi" w:cstheme="minorBidi"/>
          <w:szCs w:val="22"/>
        </w:rPr>
      </w:pPr>
      <w:r>
        <w:t>10L.</w:t>
      </w:r>
      <w:r>
        <w:tab/>
        <w:t>Making an eligibility assessment order</w:t>
      </w:r>
      <w:r>
        <w:tab/>
      </w:r>
      <w:r>
        <w:fldChar w:fldCharType="begin"/>
      </w:r>
      <w:r>
        <w:instrText xml:space="preserve"> PAGEREF _Toc103865164 \h </w:instrText>
      </w:r>
      <w:r>
        <w:fldChar w:fldCharType="separate"/>
      </w:r>
      <w:r>
        <w:t>28</w:t>
      </w:r>
      <w:r>
        <w:fldChar w:fldCharType="end"/>
      </w:r>
    </w:p>
    <w:p>
      <w:pPr>
        <w:pStyle w:val="TOC8"/>
        <w:rPr>
          <w:rFonts w:asciiTheme="minorHAnsi" w:eastAsiaTheme="minorEastAsia" w:hAnsiTheme="minorHAnsi" w:cstheme="minorBidi"/>
          <w:szCs w:val="22"/>
        </w:rPr>
      </w:pPr>
      <w:r>
        <w:t>10M.</w:t>
      </w:r>
      <w:r>
        <w:tab/>
        <w:t>Order to attend behaviour change programme</w:t>
      </w:r>
      <w:r>
        <w:tab/>
      </w:r>
      <w:r>
        <w:fldChar w:fldCharType="begin"/>
      </w:r>
      <w:r>
        <w:instrText xml:space="preserve"> PAGEREF _Toc103865165 \h </w:instrText>
      </w:r>
      <w:r>
        <w:fldChar w:fldCharType="separate"/>
      </w:r>
      <w:r>
        <w:t>30</w:t>
      </w:r>
      <w:r>
        <w:fldChar w:fldCharType="end"/>
      </w:r>
    </w:p>
    <w:p>
      <w:pPr>
        <w:pStyle w:val="TOC8"/>
        <w:rPr>
          <w:rFonts w:asciiTheme="minorHAnsi" w:eastAsiaTheme="minorEastAsia" w:hAnsiTheme="minorHAnsi" w:cstheme="minorBidi"/>
          <w:szCs w:val="22"/>
        </w:rPr>
      </w:pPr>
      <w:r>
        <w:t>10N.</w:t>
      </w:r>
      <w:r>
        <w:tab/>
        <w:t>Effect of appeal against final order</w:t>
      </w:r>
      <w:r>
        <w:tab/>
      </w:r>
      <w:r>
        <w:fldChar w:fldCharType="begin"/>
      </w:r>
      <w:r>
        <w:instrText xml:space="preserve"> PAGEREF _Toc103865166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Procedures relating to behaviour management order</w:t>
      </w:r>
    </w:p>
    <w:p>
      <w:pPr>
        <w:pStyle w:val="TOC8"/>
        <w:rPr>
          <w:rFonts w:asciiTheme="minorHAnsi" w:eastAsiaTheme="minorEastAsia" w:hAnsiTheme="minorHAnsi" w:cstheme="minorBidi"/>
          <w:szCs w:val="22"/>
        </w:rPr>
      </w:pPr>
      <w:r>
        <w:t>10O.</w:t>
      </w:r>
      <w:r>
        <w:tab/>
        <w:t>Notice of hearings</w:t>
      </w:r>
      <w:r>
        <w:tab/>
      </w:r>
      <w:r>
        <w:fldChar w:fldCharType="begin"/>
      </w:r>
      <w:r>
        <w:instrText xml:space="preserve"> PAGEREF _Toc103865168 \h </w:instrText>
      </w:r>
      <w:r>
        <w:fldChar w:fldCharType="separate"/>
      </w:r>
      <w:r>
        <w:t>32</w:t>
      </w:r>
      <w:r>
        <w:fldChar w:fldCharType="end"/>
      </w:r>
    </w:p>
    <w:p>
      <w:pPr>
        <w:pStyle w:val="TOC8"/>
        <w:rPr>
          <w:rFonts w:asciiTheme="minorHAnsi" w:eastAsiaTheme="minorEastAsia" w:hAnsiTheme="minorHAnsi" w:cstheme="minorBidi"/>
          <w:szCs w:val="22"/>
        </w:rPr>
      </w:pPr>
      <w:r>
        <w:t>10P.</w:t>
      </w:r>
      <w:r>
        <w:tab/>
        <w:t>Approval of persons and of behaviour change programme</w:t>
      </w:r>
      <w:r>
        <w:tab/>
      </w:r>
      <w:r>
        <w:fldChar w:fldCharType="begin"/>
      </w:r>
      <w:r>
        <w:instrText xml:space="preserve"> PAGEREF _Toc103865169 \h </w:instrText>
      </w:r>
      <w:r>
        <w:fldChar w:fldCharType="separate"/>
      </w:r>
      <w:r>
        <w:t>32</w:t>
      </w:r>
      <w:r>
        <w:fldChar w:fldCharType="end"/>
      </w:r>
    </w:p>
    <w:p>
      <w:pPr>
        <w:pStyle w:val="TOC8"/>
        <w:rPr>
          <w:rFonts w:asciiTheme="minorHAnsi" w:eastAsiaTheme="minorEastAsia" w:hAnsiTheme="minorHAnsi" w:cstheme="minorBidi"/>
          <w:szCs w:val="22"/>
        </w:rPr>
      </w:pPr>
      <w:r>
        <w:t>10Q.</w:t>
      </w:r>
      <w:r>
        <w:tab/>
        <w:t>Eligibility assessor may be required to attend hearing</w:t>
      </w:r>
      <w:r>
        <w:tab/>
      </w:r>
      <w:r>
        <w:fldChar w:fldCharType="begin"/>
      </w:r>
      <w:r>
        <w:instrText xml:space="preserve"> PAGEREF _Toc103865170 \h </w:instrText>
      </w:r>
      <w:r>
        <w:fldChar w:fldCharType="separate"/>
      </w:r>
      <w:r>
        <w:t>33</w:t>
      </w:r>
      <w:r>
        <w:fldChar w:fldCharType="end"/>
      </w:r>
    </w:p>
    <w:p>
      <w:pPr>
        <w:pStyle w:val="TOC8"/>
        <w:rPr>
          <w:rFonts w:asciiTheme="minorHAnsi" w:eastAsiaTheme="minorEastAsia" w:hAnsiTheme="minorHAnsi" w:cstheme="minorBidi"/>
          <w:szCs w:val="22"/>
        </w:rPr>
      </w:pPr>
      <w:r>
        <w:t>10R.</w:t>
      </w:r>
      <w:r>
        <w:tab/>
        <w:t>Disputed eligibility assessment report</w:t>
      </w:r>
      <w:r>
        <w:tab/>
      </w:r>
      <w:r>
        <w:fldChar w:fldCharType="begin"/>
      </w:r>
      <w:r>
        <w:instrText xml:space="preserve"> PAGEREF _Toc103865171 \h </w:instrText>
      </w:r>
      <w:r>
        <w:fldChar w:fldCharType="separate"/>
      </w:r>
      <w:r>
        <w:t>33</w:t>
      </w:r>
      <w:r>
        <w:fldChar w:fldCharType="end"/>
      </w:r>
    </w:p>
    <w:p>
      <w:pPr>
        <w:pStyle w:val="TOC8"/>
        <w:rPr>
          <w:rFonts w:asciiTheme="minorHAnsi" w:eastAsiaTheme="minorEastAsia" w:hAnsiTheme="minorHAnsi" w:cstheme="minorBidi"/>
          <w:szCs w:val="22"/>
        </w:rPr>
      </w:pPr>
      <w:r>
        <w:t>10S.</w:t>
      </w:r>
      <w:r>
        <w:tab/>
        <w:t>Explanation of behaviour management orders</w:t>
      </w:r>
      <w:r>
        <w:tab/>
      </w:r>
      <w:r>
        <w:fldChar w:fldCharType="begin"/>
      </w:r>
      <w:r>
        <w:instrText xml:space="preserve"> PAGEREF _Toc103865172 \h </w:instrText>
      </w:r>
      <w:r>
        <w:fldChar w:fldCharType="separate"/>
      </w:r>
      <w:r>
        <w:t>34</w:t>
      </w:r>
      <w:r>
        <w:fldChar w:fldCharType="end"/>
      </w:r>
    </w:p>
    <w:p>
      <w:pPr>
        <w:pStyle w:val="TOC8"/>
        <w:rPr>
          <w:rFonts w:asciiTheme="minorHAnsi" w:eastAsiaTheme="minorEastAsia" w:hAnsiTheme="minorHAnsi" w:cstheme="minorBidi"/>
          <w:szCs w:val="22"/>
        </w:rPr>
      </w:pPr>
      <w:r>
        <w:t>10T.</w:t>
      </w:r>
      <w:r>
        <w:tab/>
        <w:t>Variation or cancellation of behaviour management orders</w:t>
      </w:r>
      <w:r>
        <w:tab/>
      </w:r>
      <w:r>
        <w:fldChar w:fldCharType="begin"/>
      </w:r>
      <w:r>
        <w:instrText xml:space="preserve"> PAGEREF _Toc103865173 \h </w:instrText>
      </w:r>
      <w:r>
        <w:fldChar w:fldCharType="separate"/>
      </w:r>
      <w:r>
        <w:t>34</w:t>
      </w:r>
      <w:r>
        <w:fldChar w:fldCharType="end"/>
      </w:r>
    </w:p>
    <w:p>
      <w:pPr>
        <w:pStyle w:val="TOC8"/>
        <w:rPr>
          <w:rFonts w:asciiTheme="minorHAnsi" w:eastAsiaTheme="minorEastAsia" w:hAnsiTheme="minorHAnsi" w:cstheme="minorBidi"/>
          <w:szCs w:val="22"/>
        </w:rPr>
      </w:pPr>
      <w:r>
        <w:t>10U.</w:t>
      </w:r>
      <w:r>
        <w:tab/>
        <w:t>Service of orders</w:t>
      </w:r>
      <w:r>
        <w:tab/>
      </w:r>
      <w:r>
        <w:fldChar w:fldCharType="begin"/>
      </w:r>
      <w:r>
        <w:instrText xml:space="preserve"> PAGEREF _Toc103865174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Other matters</w:t>
      </w:r>
    </w:p>
    <w:p>
      <w:pPr>
        <w:pStyle w:val="TOC8"/>
        <w:rPr>
          <w:rFonts w:asciiTheme="minorHAnsi" w:eastAsiaTheme="minorEastAsia" w:hAnsiTheme="minorHAnsi" w:cstheme="minorBidi"/>
          <w:szCs w:val="22"/>
        </w:rPr>
      </w:pPr>
      <w:r>
        <w:t>10V.</w:t>
      </w:r>
      <w:r>
        <w:tab/>
        <w:t>Respondent’s participation in behaviour change programme</w:t>
      </w:r>
      <w:r>
        <w:tab/>
      </w:r>
      <w:r>
        <w:fldChar w:fldCharType="begin"/>
      </w:r>
      <w:r>
        <w:instrText xml:space="preserve"> PAGEREF _Toc103865176 \h </w:instrText>
      </w:r>
      <w:r>
        <w:fldChar w:fldCharType="separate"/>
      </w:r>
      <w:r>
        <w:t>36</w:t>
      </w:r>
      <w:r>
        <w:fldChar w:fldCharType="end"/>
      </w:r>
    </w:p>
    <w:p>
      <w:pPr>
        <w:pStyle w:val="TOC8"/>
        <w:rPr>
          <w:rFonts w:asciiTheme="minorHAnsi" w:eastAsiaTheme="minorEastAsia" w:hAnsiTheme="minorHAnsi" w:cstheme="minorBidi"/>
          <w:szCs w:val="22"/>
        </w:rPr>
      </w:pPr>
      <w:r>
        <w:t>10W.</w:t>
      </w:r>
      <w:r>
        <w:tab/>
        <w:t>Respondent’s contravention of behaviour management order</w:t>
      </w:r>
      <w:r>
        <w:tab/>
      </w:r>
      <w:r>
        <w:fldChar w:fldCharType="begin"/>
      </w:r>
      <w:r>
        <w:instrText xml:space="preserve"> PAGEREF _Toc103865177 \h </w:instrText>
      </w:r>
      <w:r>
        <w:fldChar w:fldCharType="separate"/>
      </w:r>
      <w:r>
        <w:t>37</w:t>
      </w:r>
      <w:r>
        <w:fldChar w:fldCharType="end"/>
      </w:r>
    </w:p>
    <w:p>
      <w:pPr>
        <w:pStyle w:val="TOC8"/>
        <w:rPr>
          <w:rFonts w:asciiTheme="minorHAnsi" w:eastAsiaTheme="minorEastAsia" w:hAnsiTheme="minorHAnsi" w:cstheme="minorBidi"/>
          <w:szCs w:val="22"/>
        </w:rPr>
      </w:pPr>
      <w:r>
        <w:t>10X.</w:t>
      </w:r>
      <w:r>
        <w:tab/>
        <w:t>Confidentiality of interviews and reports</w:t>
      </w:r>
      <w:r>
        <w:tab/>
      </w:r>
      <w:r>
        <w:fldChar w:fldCharType="begin"/>
      </w:r>
      <w:r>
        <w:instrText xml:space="preserve"> PAGEREF _Toc103865178 \h </w:instrText>
      </w:r>
      <w:r>
        <w:fldChar w:fldCharType="separate"/>
      </w:r>
      <w:r>
        <w:t>37</w:t>
      </w:r>
      <w:r>
        <w:fldChar w:fldCharType="end"/>
      </w:r>
    </w:p>
    <w:p>
      <w:pPr>
        <w:pStyle w:val="TOC8"/>
        <w:rPr>
          <w:rFonts w:asciiTheme="minorHAnsi" w:eastAsiaTheme="minorEastAsia" w:hAnsiTheme="minorHAnsi" w:cstheme="minorBidi"/>
          <w:szCs w:val="22"/>
        </w:rPr>
      </w:pPr>
      <w:r>
        <w:t>10Y.</w:t>
      </w:r>
      <w:r>
        <w:tab/>
        <w:t>Confidentiality of behaviour change programme</w:t>
      </w:r>
      <w:r>
        <w:tab/>
      </w:r>
      <w:r>
        <w:fldChar w:fldCharType="begin"/>
      </w:r>
      <w:r>
        <w:instrText xml:space="preserve"> PAGEREF _Toc103865179 \h </w:instrText>
      </w:r>
      <w:r>
        <w:fldChar w:fldCharType="separate"/>
      </w:r>
      <w:r>
        <w:t>39</w:t>
      </w:r>
      <w:r>
        <w:fldChar w:fldCharType="end"/>
      </w:r>
    </w:p>
    <w:p>
      <w:pPr>
        <w:pStyle w:val="TOC8"/>
        <w:rPr>
          <w:rFonts w:asciiTheme="minorHAnsi" w:eastAsiaTheme="minorEastAsia" w:hAnsiTheme="minorHAnsi" w:cstheme="minorBidi"/>
          <w:szCs w:val="22"/>
        </w:rPr>
      </w:pPr>
      <w:r>
        <w:t>10Z.</w:t>
      </w:r>
      <w:r>
        <w:tab/>
        <w:t>Delegation</w:t>
      </w:r>
      <w:r>
        <w:tab/>
      </w:r>
      <w:r>
        <w:fldChar w:fldCharType="begin"/>
      </w:r>
      <w:r>
        <w:instrText xml:space="preserve"> PAGEREF _Toc103865180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 — Violence restraining order</w:t>
      </w:r>
    </w:p>
    <w:p>
      <w:pPr>
        <w:pStyle w:val="TOC8"/>
        <w:rPr>
          <w:rFonts w:asciiTheme="minorHAnsi" w:eastAsiaTheme="minorEastAsia" w:hAnsiTheme="minorHAnsi" w:cstheme="minorBidi"/>
          <w:szCs w:val="22"/>
        </w:rPr>
      </w:pPr>
      <w:r>
        <w:t>11.</w:t>
      </w:r>
      <w:r>
        <w:tab/>
        <w:t>VRO to specify names of person bound, and person protected, by order</w:t>
      </w:r>
      <w:r>
        <w:tab/>
      </w:r>
      <w:r>
        <w:fldChar w:fldCharType="begin"/>
      </w:r>
      <w:r>
        <w:instrText xml:space="preserve"> PAGEREF _Toc103865182 \h </w:instrText>
      </w:r>
      <w:r>
        <w:fldChar w:fldCharType="separate"/>
      </w:r>
      <w:r>
        <w:t>40</w:t>
      </w:r>
      <w:r>
        <w:fldChar w:fldCharType="end"/>
      </w:r>
    </w:p>
    <w:p>
      <w:pPr>
        <w:pStyle w:val="TOC8"/>
        <w:rPr>
          <w:rFonts w:asciiTheme="minorHAnsi" w:eastAsiaTheme="minorEastAsia" w:hAnsiTheme="minorHAnsi" w:cstheme="minorBidi"/>
          <w:szCs w:val="22"/>
        </w:rPr>
      </w:pPr>
      <w:r>
        <w:t>11A.</w:t>
      </w:r>
      <w:r>
        <w:tab/>
        <w:t>When VROs may be made</w:t>
      </w:r>
      <w:r>
        <w:tab/>
      </w:r>
      <w:r>
        <w:fldChar w:fldCharType="begin"/>
      </w:r>
      <w:r>
        <w:instrText xml:space="preserve"> PAGEREF _Toc103865183 \h </w:instrText>
      </w:r>
      <w:r>
        <w:fldChar w:fldCharType="separate"/>
      </w:r>
      <w:r>
        <w:t>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Matters to be considered by court generally</w:t>
      </w:r>
      <w:r>
        <w:tab/>
      </w:r>
      <w:r>
        <w:fldChar w:fldCharType="begin"/>
      </w:r>
      <w:r>
        <w:instrText xml:space="preserve"> PAGEREF _Toc103865184 \h </w:instrText>
      </w:r>
      <w:r>
        <w:fldChar w:fldCharType="separate"/>
      </w:r>
      <w:r>
        <w:t>41</w:t>
      </w:r>
      <w:r>
        <w:fldChar w:fldCharType="end"/>
      </w:r>
    </w:p>
    <w:p>
      <w:pPr>
        <w:pStyle w:val="TOC8"/>
        <w:rPr>
          <w:rFonts w:asciiTheme="minorHAnsi" w:eastAsiaTheme="minorEastAsia" w:hAnsiTheme="minorHAnsi" w:cstheme="minorBidi"/>
          <w:szCs w:val="22"/>
        </w:rPr>
      </w:pPr>
      <w:r>
        <w:t>12A.</w:t>
      </w:r>
      <w:r>
        <w:tab/>
        <w:t>VROs not for persons in family relationship</w:t>
      </w:r>
      <w:r>
        <w:tab/>
      </w:r>
      <w:r>
        <w:fldChar w:fldCharType="begin"/>
      </w:r>
      <w:r>
        <w:instrText xml:space="preserve"> PAGEREF _Toc103865185 \h </w:instrText>
      </w:r>
      <w:r>
        <w:fldChar w:fldCharType="separate"/>
      </w:r>
      <w:r>
        <w:t>42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Restraints on respondent</w:t>
      </w:r>
      <w:r>
        <w:tab/>
      </w:r>
      <w:r>
        <w:fldChar w:fldCharType="begin"/>
      </w:r>
      <w:r>
        <w:instrText xml:space="preserve"> PAGEREF _Toc103865186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2A — Provisions for FVRO and VRO</w:t>
      </w:r>
    </w:p>
    <w:p>
      <w:pPr>
        <w:pStyle w:val="TOC4"/>
        <w:tabs>
          <w:tab w:val="right" w:leader="dot" w:pos="7077"/>
        </w:tabs>
        <w:rPr>
          <w:rFonts w:asciiTheme="minorHAnsi" w:eastAsiaTheme="minorEastAsia" w:hAnsiTheme="minorHAnsi" w:cstheme="minorBidi"/>
          <w:b w:val="0"/>
          <w:szCs w:val="22"/>
        </w:rPr>
      </w:pPr>
      <w:r>
        <w:t>Division 1AA — Additional circumstances where orders may be made</w:t>
      </w:r>
    </w:p>
    <w:p>
      <w:pPr>
        <w:pStyle w:val="TOC8"/>
        <w:rPr>
          <w:rFonts w:asciiTheme="minorHAnsi" w:eastAsiaTheme="minorEastAsia" w:hAnsiTheme="minorHAnsi" w:cstheme="minorBidi"/>
          <w:szCs w:val="22"/>
        </w:rPr>
      </w:pPr>
      <w:r>
        <w:t>13A.</w:t>
      </w:r>
      <w:r>
        <w:tab/>
        <w:t>Cases involving violent offences</w:t>
      </w:r>
      <w:r>
        <w:tab/>
      </w:r>
      <w:r>
        <w:fldChar w:fldCharType="begin"/>
      </w:r>
      <w:r>
        <w:instrText xml:space="preserve"> PAGEREF _Toc103865189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1 — Orders relating to firearms and explosives</w:t>
      </w:r>
    </w:p>
    <w:p>
      <w:pPr>
        <w:pStyle w:val="TOC8"/>
        <w:rPr>
          <w:rFonts w:asciiTheme="minorHAnsi" w:eastAsiaTheme="minorEastAsia" w:hAnsiTheme="minorHAnsi" w:cstheme="minorBidi"/>
          <w:szCs w:val="22"/>
        </w:rPr>
      </w:pPr>
      <w:r>
        <w:t>14</w:t>
      </w:r>
      <w:r>
        <w:rPr>
          <w:snapToGrid w:val="0"/>
        </w:rPr>
        <w:t>.</w:t>
      </w:r>
      <w:r>
        <w:rPr>
          <w:snapToGrid w:val="0"/>
        </w:rPr>
        <w:tab/>
        <w:t>Firearms order</w:t>
      </w:r>
      <w:r>
        <w:tab/>
      </w:r>
      <w:r>
        <w:fldChar w:fldCharType="begin"/>
      </w:r>
      <w:r>
        <w:instrText xml:space="preserve"> PAGEREF _Toc103865191 \h </w:instrText>
      </w:r>
      <w:r>
        <w:fldChar w:fldCharType="separate"/>
      </w:r>
      <w:r>
        <w:t>46</w:t>
      </w:r>
      <w:r>
        <w:fldChar w:fldCharType="end"/>
      </w:r>
    </w:p>
    <w:p>
      <w:pPr>
        <w:pStyle w:val="TOC8"/>
        <w:rPr>
          <w:rFonts w:asciiTheme="minorHAnsi" w:eastAsiaTheme="minorEastAsia" w:hAnsiTheme="minorHAnsi" w:cstheme="minorBidi"/>
          <w:szCs w:val="22"/>
        </w:rPr>
      </w:pPr>
      <w:r>
        <w:t>14A.</w:t>
      </w:r>
      <w:r>
        <w:tab/>
        <w:t>Explosives order</w:t>
      </w:r>
      <w:r>
        <w:tab/>
      </w:r>
      <w:r>
        <w:fldChar w:fldCharType="begin"/>
      </w:r>
      <w:r>
        <w:instrText xml:space="preserve"> PAGEREF _Toc103865192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1A — Duration of orders</w:t>
      </w:r>
    </w:p>
    <w:p>
      <w:pPr>
        <w:pStyle w:val="TOC8"/>
        <w:rPr>
          <w:rFonts w:asciiTheme="minorHAnsi" w:eastAsiaTheme="minorEastAsia" w:hAnsiTheme="minorHAnsi" w:cstheme="minorBidi"/>
          <w:szCs w:val="22"/>
        </w:rPr>
      </w:pPr>
      <w:r>
        <w:t>16</w:t>
      </w:r>
      <w:r>
        <w:rPr>
          <w:snapToGrid w:val="0"/>
        </w:rPr>
        <w:t>.</w:t>
      </w:r>
      <w:r>
        <w:rPr>
          <w:snapToGrid w:val="0"/>
        </w:rPr>
        <w:tab/>
        <w:t>Duration of FVRO or VRO generally</w:t>
      </w:r>
      <w:r>
        <w:tab/>
      </w:r>
      <w:r>
        <w:fldChar w:fldCharType="begin"/>
      </w:r>
      <w:r>
        <w:instrText xml:space="preserve"> PAGEREF _Toc103865194 \h </w:instrText>
      </w:r>
      <w:r>
        <w:fldChar w:fldCharType="separate"/>
      </w:r>
      <w:r>
        <w:t>49</w:t>
      </w:r>
      <w:r>
        <w:fldChar w:fldCharType="end"/>
      </w:r>
    </w:p>
    <w:p>
      <w:pPr>
        <w:pStyle w:val="TOC8"/>
        <w:rPr>
          <w:rFonts w:asciiTheme="minorHAnsi" w:eastAsiaTheme="minorEastAsia" w:hAnsiTheme="minorHAnsi" w:cstheme="minorBidi"/>
          <w:szCs w:val="22"/>
        </w:rPr>
      </w:pPr>
      <w:r>
        <w:t>16A.</w:t>
      </w:r>
      <w:r>
        <w:tab/>
        <w:t>Duration of FVRO</w:t>
      </w:r>
      <w:r>
        <w:tab/>
      </w:r>
      <w:r>
        <w:fldChar w:fldCharType="begin"/>
      </w:r>
      <w:r>
        <w:instrText xml:space="preserve"> PAGEREF _Toc103865195 \h </w:instrText>
      </w:r>
      <w:r>
        <w:fldChar w:fldCharType="separate"/>
      </w:r>
      <w:r>
        <w:t>50</w:t>
      </w:r>
      <w:r>
        <w:fldChar w:fldCharType="end"/>
      </w:r>
    </w:p>
    <w:p>
      <w:pPr>
        <w:pStyle w:val="TOC8"/>
        <w:rPr>
          <w:rFonts w:asciiTheme="minorHAnsi" w:eastAsiaTheme="minorEastAsia" w:hAnsiTheme="minorHAnsi" w:cstheme="minorBidi"/>
          <w:szCs w:val="22"/>
        </w:rPr>
      </w:pPr>
      <w:r>
        <w:t>16B.</w:t>
      </w:r>
      <w:r>
        <w:tab/>
        <w:t>Duration of VRO</w:t>
      </w:r>
      <w:r>
        <w:tab/>
      </w:r>
      <w:r>
        <w:fldChar w:fldCharType="begin"/>
      </w:r>
      <w:r>
        <w:instrText xml:space="preserve"> PAGEREF _Toc103865196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Telephone applications</w:t>
      </w:r>
    </w:p>
    <w:p>
      <w:pPr>
        <w:pStyle w:val="TOC8"/>
        <w:rPr>
          <w:rFonts w:asciiTheme="minorHAnsi" w:eastAsiaTheme="minorEastAsia" w:hAnsiTheme="minorHAnsi" w:cstheme="minorBidi"/>
          <w:szCs w:val="22"/>
        </w:rPr>
      </w:pPr>
      <w:r>
        <w:t>17</w:t>
      </w:r>
      <w:r>
        <w:rPr>
          <w:snapToGrid w:val="0"/>
        </w:rPr>
        <w:t>.</w:t>
      </w:r>
      <w:r>
        <w:rPr>
          <w:snapToGrid w:val="0"/>
        </w:rPr>
        <w:tab/>
        <w:t>Authorised magistrates</w:t>
      </w:r>
      <w:r>
        <w:tab/>
      </w:r>
      <w:r>
        <w:fldChar w:fldCharType="begin"/>
      </w:r>
      <w:r>
        <w:instrText xml:space="preserve"> PAGEREF _Toc103865198 \h </w:instrText>
      </w:r>
      <w:r>
        <w:fldChar w:fldCharType="separate"/>
      </w:r>
      <w:r>
        <w:t>52</w:t>
      </w:r>
      <w:r>
        <w:fldChar w:fldCharType="end"/>
      </w:r>
    </w:p>
    <w:p>
      <w:pPr>
        <w:pStyle w:val="TOC8"/>
        <w:rPr>
          <w:rFonts w:asciiTheme="minorHAnsi" w:eastAsiaTheme="minorEastAsia" w:hAnsiTheme="minorHAnsi" w:cstheme="minorBidi"/>
          <w:szCs w:val="22"/>
        </w:rPr>
      </w:pPr>
      <w:r>
        <w:t>18.</w:t>
      </w:r>
      <w:r>
        <w:tab/>
        <w:t>Who can apply</w:t>
      </w:r>
      <w:r>
        <w:tab/>
      </w:r>
      <w:r>
        <w:fldChar w:fldCharType="begin"/>
      </w:r>
      <w:r>
        <w:instrText xml:space="preserve"> PAGEREF _Toc103865199 \h </w:instrText>
      </w:r>
      <w:r>
        <w:fldChar w:fldCharType="separate"/>
      </w:r>
      <w:r>
        <w:t>52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How to make telephone application</w:t>
      </w:r>
      <w:r>
        <w:tab/>
      </w:r>
      <w:r>
        <w:fldChar w:fldCharType="begin"/>
      </w:r>
      <w:r>
        <w:instrText xml:space="preserve"> PAGEREF _Toc103865200 \h </w:instrText>
      </w:r>
      <w:r>
        <w:fldChar w:fldCharType="separate"/>
      </w:r>
      <w:r>
        <w:t>53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When telephone application may be heard</w:t>
      </w:r>
      <w:r>
        <w:tab/>
      </w:r>
      <w:r>
        <w:fldChar w:fldCharType="begin"/>
      </w:r>
      <w:r>
        <w:instrText xml:space="preserve"> PAGEREF _Toc103865201 \h </w:instrText>
      </w:r>
      <w:r>
        <w:fldChar w:fldCharType="separate"/>
      </w:r>
      <w:r>
        <w:t>54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hearing to be conducted</w:t>
      </w:r>
      <w:r>
        <w:tab/>
      </w:r>
      <w:r>
        <w:fldChar w:fldCharType="begin"/>
      </w:r>
      <w:r>
        <w:instrText xml:space="preserve"> PAGEREF _Toc103865202 \h </w:instrText>
      </w:r>
      <w:r>
        <w:fldChar w:fldCharType="separate"/>
      </w:r>
      <w:r>
        <w:t>54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Orders at telephone hearing</w:t>
      </w:r>
      <w:r>
        <w:tab/>
      </w:r>
      <w:r>
        <w:fldChar w:fldCharType="begin"/>
      </w:r>
      <w:r>
        <w:instrText xml:space="preserve"> PAGEREF _Toc103865203 \h </w:instrText>
      </w:r>
      <w:r>
        <w:fldChar w:fldCharType="separate"/>
      </w:r>
      <w:r>
        <w:t>55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Telephone order to be prepared and served</w:t>
      </w:r>
      <w:r>
        <w:tab/>
      </w:r>
      <w:r>
        <w:fldChar w:fldCharType="begin"/>
      </w:r>
      <w:r>
        <w:instrText xml:space="preserve"> PAGEREF _Toc103865204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Applications in person to a court</w:t>
      </w:r>
    </w:p>
    <w:p>
      <w:pPr>
        <w:pStyle w:val="TOC8"/>
        <w:rPr>
          <w:rFonts w:asciiTheme="minorHAnsi" w:eastAsiaTheme="minorEastAsia" w:hAnsiTheme="minorHAnsi" w:cstheme="minorBidi"/>
          <w:szCs w:val="22"/>
        </w:rPr>
      </w:pPr>
      <w:r>
        <w:t>24A.</w:t>
      </w:r>
      <w:r>
        <w:tab/>
        <w:t>Application for FVRO</w:t>
      </w:r>
      <w:r>
        <w:tab/>
      </w:r>
      <w:r>
        <w:fldChar w:fldCharType="begin"/>
      </w:r>
      <w:r>
        <w:instrText xml:space="preserve"> PAGEREF _Toc103865206 \h </w:instrText>
      </w:r>
      <w:r>
        <w:fldChar w:fldCharType="separate"/>
      </w:r>
      <w:r>
        <w:t>56</w:t>
      </w:r>
      <w:r>
        <w:fldChar w:fldCharType="end"/>
      </w:r>
    </w:p>
    <w:p>
      <w:pPr>
        <w:pStyle w:val="TOC8"/>
        <w:rPr>
          <w:rFonts w:asciiTheme="minorHAnsi" w:eastAsiaTheme="minorEastAsia" w:hAnsiTheme="minorHAnsi" w:cstheme="minorBidi"/>
          <w:szCs w:val="22"/>
        </w:rPr>
      </w:pPr>
      <w:r>
        <w:t>25.</w:t>
      </w:r>
      <w:r>
        <w:tab/>
        <w:t>Application for VRO</w:t>
      </w:r>
      <w:r>
        <w:tab/>
      </w:r>
      <w:r>
        <w:fldChar w:fldCharType="begin"/>
      </w:r>
      <w:r>
        <w:instrText xml:space="preserve"> PAGEREF _Toc103865207 \h </w:instrText>
      </w:r>
      <w:r>
        <w:fldChar w:fldCharType="separate"/>
      </w:r>
      <w:r>
        <w:t>58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Applicant to choose whether to have hearing in absence of respondent</w:t>
      </w:r>
      <w:r>
        <w:tab/>
      </w:r>
      <w:r>
        <w:fldChar w:fldCharType="begin"/>
      </w:r>
      <w:r>
        <w:instrText xml:space="preserve"> PAGEREF _Toc103865208 \h </w:instrText>
      </w:r>
      <w:r>
        <w:fldChar w:fldCharType="separate"/>
      </w:r>
      <w:r>
        <w:t>59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Attendance at hearing in absence of respondent</w:t>
      </w:r>
      <w:r>
        <w:tab/>
      </w:r>
      <w:r>
        <w:fldChar w:fldCharType="begin"/>
      </w:r>
      <w:r>
        <w:instrText xml:space="preserve"> PAGEREF _Toc103865209 \h </w:instrText>
      </w:r>
      <w:r>
        <w:fldChar w:fldCharType="separate"/>
      </w:r>
      <w:r>
        <w:t>59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Affidavit evidence</w:t>
      </w:r>
      <w:r>
        <w:tab/>
      </w:r>
      <w:r>
        <w:fldChar w:fldCharType="begin"/>
      </w:r>
      <w:r>
        <w:instrText xml:space="preserve"> PAGEREF _Toc103865210 \h </w:instrText>
      </w:r>
      <w:r>
        <w:fldChar w:fldCharType="separate"/>
      </w:r>
      <w:r>
        <w:t>60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Order at hearing in absence of respondent</w:t>
      </w:r>
      <w:r>
        <w:tab/>
      </w:r>
      <w:r>
        <w:fldChar w:fldCharType="begin"/>
      </w:r>
      <w:r>
        <w:instrText xml:space="preserve"> PAGEREF _Toc103865211 \h </w:instrText>
      </w:r>
      <w:r>
        <w:fldChar w:fldCharType="separate"/>
      </w:r>
      <w:r>
        <w:t>60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Order to be prepared and served</w:t>
      </w:r>
      <w:r>
        <w:tab/>
      </w:r>
      <w:r>
        <w:fldChar w:fldCharType="begin"/>
      </w:r>
      <w:r>
        <w:instrText xml:space="preserve"> PAGEREF _Toc103865212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3A — Police officers may make police orders where family violence</w:t>
      </w:r>
    </w:p>
    <w:p>
      <w:pPr>
        <w:pStyle w:val="TOC8"/>
        <w:rPr>
          <w:rFonts w:asciiTheme="minorHAnsi" w:eastAsiaTheme="minorEastAsia" w:hAnsiTheme="minorHAnsi" w:cstheme="minorBidi"/>
          <w:szCs w:val="22"/>
        </w:rPr>
      </w:pPr>
      <w:r>
        <w:t>30A.</w:t>
      </w:r>
      <w:r>
        <w:tab/>
        <w:t>When police order may be made</w:t>
      </w:r>
      <w:r>
        <w:tab/>
      </w:r>
      <w:r>
        <w:fldChar w:fldCharType="begin"/>
      </w:r>
      <w:r>
        <w:instrText xml:space="preserve"> PAGEREF _Toc103865214 \h </w:instrText>
      </w:r>
      <w:r>
        <w:fldChar w:fldCharType="separate"/>
      </w:r>
      <w:r>
        <w:t>61</w:t>
      </w:r>
      <w:r>
        <w:fldChar w:fldCharType="end"/>
      </w:r>
    </w:p>
    <w:p>
      <w:pPr>
        <w:pStyle w:val="TOC8"/>
        <w:rPr>
          <w:rFonts w:asciiTheme="minorHAnsi" w:eastAsiaTheme="minorEastAsia" w:hAnsiTheme="minorHAnsi" w:cstheme="minorBidi"/>
          <w:szCs w:val="22"/>
        </w:rPr>
      </w:pPr>
      <w:r>
        <w:t>30B.</w:t>
      </w:r>
      <w:r>
        <w:tab/>
        <w:t>Matters to be considered by police officer generally</w:t>
      </w:r>
      <w:r>
        <w:tab/>
      </w:r>
      <w:r>
        <w:fldChar w:fldCharType="begin"/>
      </w:r>
      <w:r>
        <w:instrText xml:space="preserve"> PAGEREF _Toc103865215 \h </w:instrText>
      </w:r>
      <w:r>
        <w:fldChar w:fldCharType="separate"/>
      </w:r>
      <w:r>
        <w:t>62</w:t>
      </w:r>
      <w:r>
        <w:fldChar w:fldCharType="end"/>
      </w:r>
    </w:p>
    <w:p>
      <w:pPr>
        <w:pStyle w:val="TOC8"/>
        <w:rPr>
          <w:rFonts w:asciiTheme="minorHAnsi" w:eastAsiaTheme="minorEastAsia" w:hAnsiTheme="minorHAnsi" w:cstheme="minorBidi"/>
          <w:szCs w:val="22"/>
        </w:rPr>
      </w:pPr>
      <w:r>
        <w:t>30C.</w:t>
      </w:r>
      <w:r>
        <w:tab/>
        <w:t>Restraints that may be imposed</w:t>
      </w:r>
      <w:r>
        <w:tab/>
      </w:r>
      <w:r>
        <w:fldChar w:fldCharType="begin"/>
      </w:r>
      <w:r>
        <w:instrText xml:space="preserve"> PAGEREF _Toc103865216 \h </w:instrText>
      </w:r>
      <w:r>
        <w:fldChar w:fldCharType="separate"/>
      </w:r>
      <w:r>
        <w:t>63</w:t>
      </w:r>
      <w:r>
        <w:fldChar w:fldCharType="end"/>
      </w:r>
    </w:p>
    <w:p>
      <w:pPr>
        <w:pStyle w:val="TOC8"/>
        <w:rPr>
          <w:rFonts w:asciiTheme="minorHAnsi" w:eastAsiaTheme="minorEastAsia" w:hAnsiTheme="minorHAnsi" w:cstheme="minorBidi"/>
          <w:szCs w:val="22"/>
        </w:rPr>
      </w:pPr>
      <w:r>
        <w:t>30D.</w:t>
      </w:r>
      <w:r>
        <w:tab/>
        <w:t>Police orders against children</w:t>
      </w:r>
      <w:r>
        <w:tab/>
      </w:r>
      <w:r>
        <w:fldChar w:fldCharType="begin"/>
      </w:r>
      <w:r>
        <w:instrText xml:space="preserve"> PAGEREF _Toc103865217 \h </w:instrText>
      </w:r>
      <w:r>
        <w:fldChar w:fldCharType="separate"/>
      </w:r>
      <w:r>
        <w:t>64</w:t>
      </w:r>
      <w:r>
        <w:fldChar w:fldCharType="end"/>
      </w:r>
    </w:p>
    <w:p>
      <w:pPr>
        <w:pStyle w:val="TOC8"/>
        <w:rPr>
          <w:rFonts w:asciiTheme="minorHAnsi" w:eastAsiaTheme="minorEastAsia" w:hAnsiTheme="minorHAnsi" w:cstheme="minorBidi"/>
          <w:szCs w:val="22"/>
        </w:rPr>
      </w:pPr>
      <w:r>
        <w:t>30E.</w:t>
      </w:r>
      <w:r>
        <w:tab/>
        <w:t>Police order to be served and explained</w:t>
      </w:r>
      <w:r>
        <w:tab/>
      </w:r>
      <w:r>
        <w:fldChar w:fldCharType="begin"/>
      </w:r>
      <w:r>
        <w:instrText xml:space="preserve"> PAGEREF _Toc103865218 \h </w:instrText>
      </w:r>
      <w:r>
        <w:fldChar w:fldCharType="separate"/>
      </w:r>
      <w:r>
        <w:t>64</w:t>
      </w:r>
      <w:r>
        <w:fldChar w:fldCharType="end"/>
      </w:r>
    </w:p>
    <w:p>
      <w:pPr>
        <w:pStyle w:val="TOC8"/>
        <w:rPr>
          <w:rFonts w:asciiTheme="minorHAnsi" w:eastAsiaTheme="minorEastAsia" w:hAnsiTheme="minorHAnsi" w:cstheme="minorBidi"/>
          <w:szCs w:val="22"/>
        </w:rPr>
      </w:pPr>
      <w:r>
        <w:t>30F.</w:t>
      </w:r>
      <w:r>
        <w:tab/>
        <w:t>Duration of police orders</w:t>
      </w:r>
      <w:r>
        <w:tab/>
      </w:r>
      <w:r>
        <w:fldChar w:fldCharType="begin"/>
      </w:r>
      <w:r>
        <w:instrText xml:space="preserve"> PAGEREF _Toc103865219 \h </w:instrText>
      </w:r>
      <w:r>
        <w:fldChar w:fldCharType="separate"/>
      </w:r>
      <w:r>
        <w:t>65</w:t>
      </w:r>
      <w:r>
        <w:fldChar w:fldCharType="end"/>
      </w:r>
    </w:p>
    <w:p>
      <w:pPr>
        <w:pStyle w:val="TOC8"/>
        <w:rPr>
          <w:rFonts w:asciiTheme="minorHAnsi" w:eastAsiaTheme="minorEastAsia" w:hAnsiTheme="minorHAnsi" w:cstheme="minorBidi"/>
          <w:szCs w:val="22"/>
        </w:rPr>
      </w:pPr>
      <w:r>
        <w:t>30H.</w:t>
      </w:r>
      <w:r>
        <w:tab/>
        <w:t>Order not to be renewed by police officer</w:t>
      </w:r>
      <w:r>
        <w:tab/>
      </w:r>
      <w:r>
        <w:fldChar w:fldCharType="begin"/>
      </w:r>
      <w:r>
        <w:instrText xml:space="preserve"> PAGEREF _Toc103865220 \h </w:instrText>
      </w:r>
      <w:r>
        <w:fldChar w:fldCharType="separate"/>
      </w:r>
      <w:r>
        <w:t>65</w:t>
      </w:r>
      <w:r>
        <w:fldChar w:fldCharType="end"/>
      </w:r>
    </w:p>
    <w:p>
      <w:pPr>
        <w:pStyle w:val="TOC8"/>
        <w:rPr>
          <w:rFonts w:asciiTheme="minorHAnsi" w:eastAsiaTheme="minorEastAsia" w:hAnsiTheme="minorHAnsi" w:cstheme="minorBidi"/>
          <w:szCs w:val="22"/>
        </w:rPr>
      </w:pPr>
      <w:r>
        <w:t>30I.</w:t>
      </w:r>
      <w:r>
        <w:tab/>
        <w:t>Review of Division</w:t>
      </w:r>
      <w:r>
        <w:tab/>
      </w:r>
      <w:r>
        <w:fldChar w:fldCharType="begin"/>
      </w:r>
      <w:r>
        <w:instrText xml:space="preserve"> PAGEREF _Toc103865221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Procedure when interim order made</w:t>
      </w:r>
    </w:p>
    <w:p>
      <w:pPr>
        <w:pStyle w:val="TOC8"/>
        <w:rPr>
          <w:rFonts w:asciiTheme="minorHAnsi" w:eastAsiaTheme="minorEastAsia" w:hAnsiTheme="minorHAnsi" w:cstheme="minorBidi"/>
          <w:szCs w:val="22"/>
        </w:rPr>
      </w:pPr>
      <w:r>
        <w:t>31A.</w:t>
      </w:r>
      <w:r>
        <w:tab/>
        <w:t>Term used: respondent</w:t>
      </w:r>
      <w:r>
        <w:tab/>
      </w:r>
      <w:r>
        <w:fldChar w:fldCharType="begin"/>
      </w:r>
      <w:r>
        <w:instrText xml:space="preserve"> PAGEREF _Toc103865223 \h </w:instrText>
      </w:r>
      <w:r>
        <w:fldChar w:fldCharType="separate"/>
      </w:r>
      <w:r>
        <w:t>66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21 days for respondent to object</w:t>
      </w:r>
      <w:r>
        <w:tab/>
      </w:r>
      <w:r>
        <w:fldChar w:fldCharType="begin"/>
      </w:r>
      <w:r>
        <w:instrText xml:space="preserve"> PAGEREF _Toc103865224 \h </w:instrText>
      </w:r>
      <w:r>
        <w:fldChar w:fldCharType="separate"/>
      </w:r>
      <w:r>
        <w:t>66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Respondent does not object to final order being made</w:t>
      </w:r>
      <w:r>
        <w:tab/>
      </w:r>
      <w:r>
        <w:fldChar w:fldCharType="begin"/>
      </w:r>
      <w:r>
        <w:instrText xml:space="preserve"> PAGEREF _Toc103865225 \h </w:instrText>
      </w:r>
      <w:r>
        <w:fldChar w:fldCharType="separate"/>
      </w:r>
      <w:r>
        <w:t>67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Respondent objects to final order being made</w:t>
      </w:r>
      <w:r>
        <w:tab/>
      </w:r>
      <w:r>
        <w:fldChar w:fldCharType="begin"/>
      </w:r>
      <w:r>
        <w:instrText xml:space="preserve"> PAGEREF _Toc103865226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3 — Misconduct restraining order</w:t>
      </w:r>
    </w:p>
    <w:p>
      <w:pPr>
        <w:pStyle w:val="TOC8"/>
        <w:rPr>
          <w:rFonts w:asciiTheme="minorHAnsi" w:eastAsiaTheme="minorEastAsia" w:hAnsiTheme="minorHAnsi" w:cstheme="minorBidi"/>
          <w:szCs w:val="22"/>
        </w:rPr>
      </w:pPr>
      <w:r>
        <w:t>34</w:t>
      </w:r>
      <w:r>
        <w:rPr>
          <w:snapToGrid w:val="0"/>
        </w:rPr>
        <w:t>.</w:t>
      </w:r>
      <w:r>
        <w:rPr>
          <w:snapToGrid w:val="0"/>
        </w:rPr>
        <w:tab/>
        <w:t>Grounds for misconduct restraining order</w:t>
      </w:r>
      <w:r>
        <w:tab/>
      </w:r>
      <w:r>
        <w:fldChar w:fldCharType="begin"/>
      </w:r>
      <w:r>
        <w:instrText xml:space="preserve"> PAGEREF _Toc103865228 \h </w:instrText>
      </w:r>
      <w:r>
        <w:fldChar w:fldCharType="separate"/>
      </w:r>
      <w:r>
        <w:t>71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Matters to be considered by court generally</w:t>
      </w:r>
      <w:r>
        <w:tab/>
      </w:r>
      <w:r>
        <w:fldChar w:fldCharType="begin"/>
      </w:r>
      <w:r>
        <w:instrText xml:space="preserve"> PAGEREF _Toc103865229 \h </w:instrText>
      </w:r>
      <w:r>
        <w:fldChar w:fldCharType="separate"/>
      </w:r>
      <w:r>
        <w:t>71</w:t>
      </w:r>
      <w:r>
        <w:fldChar w:fldCharType="end"/>
      </w:r>
    </w:p>
    <w:p>
      <w:pPr>
        <w:pStyle w:val="TOC8"/>
        <w:rPr>
          <w:rFonts w:asciiTheme="minorHAnsi" w:eastAsiaTheme="minorEastAsia" w:hAnsiTheme="minorHAnsi" w:cstheme="minorBidi"/>
          <w:szCs w:val="22"/>
        </w:rPr>
      </w:pPr>
      <w:r>
        <w:t>35A.</w:t>
      </w:r>
      <w:r>
        <w:tab/>
        <w:t>MROs not for persons in family relationship</w:t>
      </w:r>
      <w:r>
        <w:tab/>
      </w:r>
      <w:r>
        <w:fldChar w:fldCharType="begin"/>
      </w:r>
      <w:r>
        <w:instrText xml:space="preserve"> PAGEREF _Toc103865230 \h </w:instrText>
      </w:r>
      <w:r>
        <w:fldChar w:fldCharType="separate"/>
      </w:r>
      <w:r>
        <w:t>73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Restraints on respondent</w:t>
      </w:r>
      <w:r>
        <w:tab/>
      </w:r>
      <w:r>
        <w:fldChar w:fldCharType="begin"/>
      </w:r>
      <w:r>
        <w:instrText xml:space="preserve"> PAGEREF _Toc103865231 \h </w:instrText>
      </w:r>
      <w:r>
        <w:fldChar w:fldCharType="separate"/>
      </w:r>
      <w:r>
        <w:t>73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Duration of MRO</w:t>
      </w:r>
      <w:r>
        <w:tab/>
      </w:r>
      <w:r>
        <w:fldChar w:fldCharType="begin"/>
      </w:r>
      <w:r>
        <w:instrText xml:space="preserve"> PAGEREF _Toc103865232 \h </w:instrText>
      </w:r>
      <w:r>
        <w:fldChar w:fldCharType="separate"/>
      </w:r>
      <w:r>
        <w:t>75</w:t>
      </w:r>
      <w:r>
        <w:fldChar w:fldCharType="end"/>
      </w:r>
    </w:p>
    <w:p>
      <w:pPr>
        <w:pStyle w:val="TOC8"/>
        <w:rPr>
          <w:rFonts w:asciiTheme="minorHAnsi" w:eastAsiaTheme="minorEastAsia" w:hAnsiTheme="minorHAnsi" w:cstheme="minorBidi"/>
          <w:szCs w:val="22"/>
        </w:rPr>
      </w:pPr>
      <w:r>
        <w:t>38.</w:t>
      </w:r>
      <w:r>
        <w:tab/>
        <w:t>Application for MRO</w:t>
      </w:r>
      <w:r>
        <w:tab/>
      </w:r>
      <w:r>
        <w:fldChar w:fldCharType="begin"/>
      </w:r>
      <w:r>
        <w:instrText xml:space="preserve"> PAGEREF _Toc103865233 \h </w:instrText>
      </w:r>
      <w:r>
        <w:fldChar w:fldCharType="separate"/>
      </w:r>
      <w:r>
        <w:t>75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r>
      <w:r>
        <w:t xml:space="preserve">Registrar </w:t>
      </w:r>
      <w:r>
        <w:rPr>
          <w:snapToGrid w:val="0"/>
        </w:rPr>
        <w:t>to fix hearing and issue summons</w:t>
      </w:r>
      <w:r>
        <w:tab/>
      </w:r>
      <w:r>
        <w:fldChar w:fldCharType="begin"/>
      </w:r>
      <w:r>
        <w:instrText xml:space="preserve"> PAGEREF _Toc103865234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4 — Hearings and evidence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Mention hearings</w:t>
      </w:r>
    </w:p>
    <w:p>
      <w:pPr>
        <w:pStyle w:val="TOC8"/>
        <w:rPr>
          <w:rFonts w:asciiTheme="minorHAnsi" w:eastAsiaTheme="minorEastAsia" w:hAnsiTheme="minorHAnsi" w:cstheme="minorBidi"/>
          <w:szCs w:val="22"/>
        </w:rPr>
      </w:pPr>
      <w:r>
        <w:t>40</w:t>
      </w:r>
      <w:r>
        <w:rPr>
          <w:snapToGrid w:val="0"/>
        </w:rPr>
        <w:t>.</w:t>
      </w:r>
      <w:r>
        <w:rPr>
          <w:snapToGrid w:val="0"/>
        </w:rPr>
        <w:tab/>
        <w:t>Attendance at hearing</w:t>
      </w:r>
      <w:r>
        <w:tab/>
      </w:r>
      <w:r>
        <w:fldChar w:fldCharType="begin"/>
      </w:r>
      <w:r>
        <w:instrText xml:space="preserve"> PAGEREF _Toc103865237 \h </w:instrText>
      </w:r>
      <w:r>
        <w:fldChar w:fldCharType="separate"/>
      </w:r>
      <w:r>
        <w:t>77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Consent order or final order hearing to be fixed</w:t>
      </w:r>
      <w:r>
        <w:tab/>
      </w:r>
      <w:r>
        <w:fldChar w:fldCharType="begin"/>
      </w:r>
      <w:r>
        <w:instrText xml:space="preserve"> PAGEREF _Toc103865238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Final order hearings</w:t>
      </w:r>
    </w:p>
    <w:p>
      <w:pPr>
        <w:pStyle w:val="TOC8"/>
        <w:rPr>
          <w:rFonts w:asciiTheme="minorHAnsi" w:eastAsiaTheme="minorEastAsia" w:hAnsiTheme="minorHAnsi" w:cstheme="minorBidi"/>
          <w:szCs w:val="22"/>
        </w:rPr>
      </w:pPr>
      <w:r>
        <w:t>42</w:t>
      </w:r>
      <w:r>
        <w:rPr>
          <w:snapToGrid w:val="0"/>
        </w:rPr>
        <w:t>.</w:t>
      </w:r>
      <w:r>
        <w:rPr>
          <w:snapToGrid w:val="0"/>
        </w:rPr>
        <w:tab/>
        <w:t>Attendance at final order hearing</w:t>
      </w:r>
      <w:r>
        <w:tab/>
      </w:r>
      <w:r>
        <w:fldChar w:fldCharType="begin"/>
      </w:r>
      <w:r>
        <w:instrText xml:space="preserve"> PAGEREF _Toc103865240 \h </w:instrText>
      </w:r>
      <w:r>
        <w:fldChar w:fldCharType="separate"/>
      </w:r>
      <w:r>
        <w:t>78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Making final order</w:t>
      </w:r>
      <w:r>
        <w:tab/>
      </w:r>
      <w:r>
        <w:fldChar w:fldCharType="begin"/>
      </w:r>
      <w:r>
        <w:instrText xml:space="preserve"> PAGEREF _Toc103865241 \h </w:instrText>
      </w:r>
      <w:r>
        <w:fldChar w:fldCharType="separate"/>
      </w:r>
      <w:r>
        <w:t>79</w:t>
      </w:r>
      <w:r>
        <w:fldChar w:fldCharType="end"/>
      </w:r>
    </w:p>
    <w:p>
      <w:pPr>
        <w:pStyle w:val="TOC8"/>
        <w:rPr>
          <w:rFonts w:asciiTheme="minorHAnsi" w:eastAsiaTheme="minorEastAsia" w:hAnsiTheme="minorHAnsi" w:cstheme="minorBidi"/>
          <w:szCs w:val="22"/>
        </w:rPr>
      </w:pPr>
      <w:r>
        <w:t>43A.</w:t>
      </w:r>
      <w:r>
        <w:tab/>
        <w:t>Decision under s. 42 in default of appearance may be set aside</w:t>
      </w:r>
      <w:r>
        <w:tab/>
      </w:r>
      <w:r>
        <w:fldChar w:fldCharType="begin"/>
      </w:r>
      <w:r>
        <w:instrText xml:space="preserve"> PAGEREF _Toc103865242 \h </w:instrText>
      </w:r>
      <w:r>
        <w:fldChar w:fldCharType="separate"/>
      </w:r>
      <w:r>
        <w:t>80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Order to be prepared and served</w:t>
      </w:r>
      <w:r>
        <w:tab/>
      </w:r>
      <w:r>
        <w:fldChar w:fldCharType="begin"/>
      </w:r>
      <w:r>
        <w:instrText xml:space="preserve"> PAGEREF _Toc103865243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Evidence</w:t>
      </w:r>
    </w:p>
    <w:p>
      <w:pPr>
        <w:pStyle w:val="TOC8"/>
        <w:rPr>
          <w:rFonts w:asciiTheme="minorHAnsi" w:eastAsiaTheme="minorEastAsia" w:hAnsiTheme="minorHAnsi" w:cstheme="minorBidi"/>
          <w:szCs w:val="22"/>
        </w:rPr>
      </w:pPr>
      <w:r>
        <w:t>44A.</w:t>
      </w:r>
      <w:r>
        <w:tab/>
        <w:t>Rules of evidence not to apply in certain circumstances</w:t>
      </w:r>
      <w:r>
        <w:tab/>
      </w:r>
      <w:r>
        <w:fldChar w:fldCharType="begin"/>
      </w:r>
      <w:r>
        <w:instrText xml:space="preserve"> PAGEREF _Toc103865245 \h </w:instrText>
      </w:r>
      <w:r>
        <w:fldChar w:fldCharType="separate"/>
      </w:r>
      <w:r>
        <w:t>83</w:t>
      </w:r>
      <w:r>
        <w:fldChar w:fldCharType="end"/>
      </w:r>
    </w:p>
    <w:p>
      <w:pPr>
        <w:pStyle w:val="TOC8"/>
        <w:rPr>
          <w:rFonts w:asciiTheme="minorHAnsi" w:eastAsiaTheme="minorEastAsia" w:hAnsiTheme="minorHAnsi" w:cstheme="minorBidi"/>
          <w:szCs w:val="22"/>
        </w:rPr>
      </w:pPr>
      <w:r>
        <w:t>44B.</w:t>
      </w:r>
      <w:r>
        <w:tab/>
        <w:t>Access to affidavit evidence</w:t>
      </w:r>
      <w:r>
        <w:tab/>
      </w:r>
      <w:r>
        <w:fldChar w:fldCharType="begin"/>
      </w:r>
      <w:r>
        <w:instrText xml:space="preserve"> PAGEREF _Toc103865246 \h </w:instrText>
      </w:r>
      <w:r>
        <w:fldChar w:fldCharType="separate"/>
      </w:r>
      <w:r>
        <w:t>84</w:t>
      </w:r>
      <w:r>
        <w:fldChar w:fldCharType="end"/>
      </w:r>
    </w:p>
    <w:p>
      <w:pPr>
        <w:pStyle w:val="TOC8"/>
        <w:rPr>
          <w:rFonts w:asciiTheme="minorHAnsi" w:eastAsiaTheme="minorEastAsia" w:hAnsiTheme="minorHAnsi" w:cstheme="minorBidi"/>
          <w:szCs w:val="22"/>
        </w:rPr>
      </w:pPr>
      <w:r>
        <w:t>44C.</w:t>
      </w:r>
      <w:r>
        <w:tab/>
        <w:t>Cross</w:t>
      </w:r>
      <w:r>
        <w:noBreakHyphen/>
        <w:t>examination of certain persons</w:t>
      </w:r>
      <w:r>
        <w:tab/>
      </w:r>
      <w:r>
        <w:fldChar w:fldCharType="begin"/>
      </w:r>
      <w:r>
        <w:instrText xml:space="preserve"> PAGEREF _Toc103865247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4 — Other provisions to protect applicants</w:t>
      </w:r>
    </w:p>
    <w:p>
      <w:pPr>
        <w:pStyle w:val="TOC8"/>
        <w:rPr>
          <w:rFonts w:asciiTheme="minorHAnsi" w:eastAsiaTheme="minorEastAsia" w:hAnsiTheme="minorHAnsi" w:cstheme="minorBidi"/>
          <w:szCs w:val="22"/>
        </w:rPr>
      </w:pPr>
      <w:r>
        <w:t>44D.</w:t>
      </w:r>
      <w:r>
        <w:tab/>
        <w:t>Support and other persons who may be present</w:t>
      </w:r>
      <w:r>
        <w:tab/>
      </w:r>
      <w:r>
        <w:fldChar w:fldCharType="begin"/>
      </w:r>
      <w:r>
        <w:instrText xml:space="preserve"> PAGEREF _Toc103865249 \h </w:instrText>
      </w:r>
      <w:r>
        <w:fldChar w:fldCharType="separate"/>
      </w:r>
      <w:r>
        <w:t>85</w:t>
      </w:r>
      <w:r>
        <w:fldChar w:fldCharType="end"/>
      </w:r>
    </w:p>
    <w:p>
      <w:pPr>
        <w:pStyle w:val="TOC8"/>
        <w:rPr>
          <w:rFonts w:asciiTheme="minorHAnsi" w:eastAsiaTheme="minorEastAsia" w:hAnsiTheme="minorHAnsi" w:cstheme="minorBidi"/>
          <w:szCs w:val="22"/>
        </w:rPr>
      </w:pPr>
      <w:r>
        <w:t>44E.</w:t>
      </w:r>
      <w:r>
        <w:tab/>
        <w:t>Use of closed circuit television or screening arrangements</w:t>
      </w:r>
      <w:r>
        <w:tab/>
      </w:r>
      <w:r>
        <w:fldChar w:fldCharType="begin"/>
      </w:r>
      <w:r>
        <w:instrText xml:space="preserve"> PAGEREF _Toc103865250 \h </w:instrText>
      </w:r>
      <w:r>
        <w:fldChar w:fldCharType="separate"/>
      </w:r>
      <w:r>
        <w:t>85</w:t>
      </w:r>
      <w:r>
        <w:fldChar w:fldCharType="end"/>
      </w:r>
    </w:p>
    <w:p>
      <w:pPr>
        <w:pStyle w:val="TOC8"/>
        <w:rPr>
          <w:rFonts w:asciiTheme="minorHAnsi" w:eastAsiaTheme="minorEastAsia" w:hAnsiTheme="minorHAnsi" w:cstheme="minorBidi"/>
          <w:szCs w:val="22"/>
        </w:rPr>
      </w:pPr>
      <w:r>
        <w:t>44F.</w:t>
      </w:r>
      <w:r>
        <w:tab/>
        <w:t>Additional provisions relating to FVROs</w:t>
      </w:r>
      <w:r>
        <w:tab/>
      </w:r>
      <w:r>
        <w:fldChar w:fldCharType="begin"/>
      </w:r>
      <w:r>
        <w:instrText xml:space="preserve"> PAGEREF _Toc103865251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5 — Variation or cancellation</w:t>
      </w:r>
    </w:p>
    <w:p>
      <w:pPr>
        <w:pStyle w:val="TOC8"/>
        <w:rPr>
          <w:rFonts w:asciiTheme="minorHAnsi" w:eastAsiaTheme="minorEastAsia" w:hAnsiTheme="minorHAnsi" w:cstheme="minorBidi"/>
          <w:szCs w:val="22"/>
        </w:rPr>
      </w:pPr>
      <w:r>
        <w:t>45.</w:t>
      </w:r>
      <w:r>
        <w:tab/>
        <w:t>Application</w:t>
      </w:r>
      <w:r>
        <w:tab/>
      </w:r>
      <w:r>
        <w:fldChar w:fldCharType="begin"/>
      </w:r>
      <w:r>
        <w:instrText xml:space="preserve"> PAGEREF _Toc103865253 \h </w:instrText>
      </w:r>
      <w:r>
        <w:fldChar w:fldCharType="separate"/>
      </w:r>
      <w:r>
        <w:t>88</w:t>
      </w:r>
      <w:r>
        <w:fldChar w:fldCharType="end"/>
      </w:r>
    </w:p>
    <w:p>
      <w:pPr>
        <w:pStyle w:val="TOC8"/>
        <w:rPr>
          <w:rFonts w:asciiTheme="minorHAnsi" w:eastAsiaTheme="minorEastAsia" w:hAnsiTheme="minorHAnsi" w:cstheme="minorBidi"/>
          <w:szCs w:val="22"/>
        </w:rPr>
      </w:pPr>
      <w:r>
        <w:t>45A.</w:t>
      </w:r>
      <w:r>
        <w:tab/>
        <w:t>Application by CEO (child welfare)</w:t>
      </w:r>
      <w:r>
        <w:tab/>
      </w:r>
      <w:r>
        <w:fldChar w:fldCharType="begin"/>
      </w:r>
      <w:r>
        <w:instrText xml:space="preserve"> PAGEREF _Toc103865254 \h </w:instrText>
      </w:r>
      <w:r>
        <w:fldChar w:fldCharType="separate"/>
      </w:r>
      <w:r>
        <w:t>90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Leave hearing</w:t>
      </w:r>
      <w:r>
        <w:tab/>
      </w:r>
      <w:r>
        <w:fldChar w:fldCharType="begin"/>
      </w:r>
      <w:r>
        <w:instrText xml:space="preserve"> PAGEREF _Toc103865255 \h </w:instrText>
      </w:r>
      <w:r>
        <w:fldChar w:fldCharType="separate"/>
      </w:r>
      <w:r>
        <w:t>90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 xml:space="preserve">Registrar </w:t>
      </w:r>
      <w:r>
        <w:rPr>
          <w:snapToGrid w:val="0"/>
        </w:rPr>
        <w:t>to issue summons</w:t>
      </w:r>
      <w:r>
        <w:tab/>
      </w:r>
      <w:r>
        <w:fldChar w:fldCharType="begin"/>
      </w:r>
      <w:r>
        <w:instrText xml:space="preserve"> PAGEREF _Toc103865256 \h </w:instrText>
      </w:r>
      <w:r>
        <w:fldChar w:fldCharType="separate"/>
      </w:r>
      <w:r>
        <w:t>91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Attendance at hearing</w:t>
      </w:r>
      <w:r>
        <w:tab/>
      </w:r>
      <w:r>
        <w:fldChar w:fldCharType="begin"/>
      </w:r>
      <w:r>
        <w:instrText xml:space="preserve"> PAGEREF _Toc103865257 \h </w:instrText>
      </w:r>
      <w:r>
        <w:fldChar w:fldCharType="separate"/>
      </w:r>
      <w:r>
        <w:t>92</w:t>
      </w:r>
      <w:r>
        <w:fldChar w:fldCharType="end"/>
      </w:r>
    </w:p>
    <w:p>
      <w:pPr>
        <w:pStyle w:val="TOC8"/>
        <w:rPr>
          <w:rFonts w:asciiTheme="minorHAnsi" w:eastAsiaTheme="minorEastAsia" w:hAnsiTheme="minorHAnsi" w:cstheme="minorBidi"/>
          <w:szCs w:val="22"/>
        </w:rPr>
      </w:pPr>
      <w:r>
        <w:t>48A.</w:t>
      </w:r>
      <w:r>
        <w:tab/>
        <w:t>Ex parte application to cancel order by person protected by order</w:t>
      </w:r>
      <w:r>
        <w:tab/>
      </w:r>
      <w:r>
        <w:fldChar w:fldCharType="begin"/>
      </w:r>
      <w:r>
        <w:instrText xml:space="preserve"> PAGEREF _Toc103865258 \h </w:instrText>
      </w:r>
      <w:r>
        <w:fldChar w:fldCharType="separate"/>
      </w:r>
      <w:r>
        <w:t>93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Variation or cancellation</w:t>
      </w:r>
      <w:r>
        <w:tab/>
      </w:r>
      <w:r>
        <w:fldChar w:fldCharType="begin"/>
      </w:r>
      <w:r>
        <w:instrText xml:space="preserve"> PAGEREF _Toc103865259 \h </w:instrText>
      </w:r>
      <w:r>
        <w:fldChar w:fldCharType="separate"/>
      </w:r>
      <w:r>
        <w:t>94</w:t>
      </w:r>
      <w:r>
        <w:fldChar w:fldCharType="end"/>
      </w:r>
    </w:p>
    <w:p>
      <w:pPr>
        <w:pStyle w:val="TOC8"/>
        <w:rPr>
          <w:rFonts w:asciiTheme="minorHAnsi" w:eastAsiaTheme="minorEastAsia" w:hAnsiTheme="minorHAnsi" w:cstheme="minorBidi"/>
          <w:szCs w:val="22"/>
        </w:rPr>
      </w:pPr>
      <w:r>
        <w:t>49A.</w:t>
      </w:r>
      <w:r>
        <w:tab/>
        <w:t>Correcting minor errors in restraining orders</w:t>
      </w:r>
      <w:r>
        <w:tab/>
      </w:r>
      <w:r>
        <w:fldChar w:fldCharType="begin"/>
      </w:r>
      <w:r>
        <w:instrText xml:space="preserve"> PAGEREF _Toc103865260 \h </w:instrText>
      </w:r>
      <w:r>
        <w:fldChar w:fldCharType="separate"/>
      </w:r>
      <w:r>
        <w:t>95</w:t>
      </w:r>
      <w:r>
        <w:fldChar w:fldCharType="end"/>
      </w:r>
    </w:p>
    <w:p>
      <w:pPr>
        <w:pStyle w:val="TOC8"/>
        <w:rPr>
          <w:rFonts w:asciiTheme="minorHAnsi" w:eastAsiaTheme="minorEastAsia" w:hAnsiTheme="minorHAnsi" w:cstheme="minorBidi"/>
          <w:szCs w:val="22"/>
        </w:rPr>
      </w:pPr>
      <w:r>
        <w:t>49B.</w:t>
      </w:r>
      <w:r>
        <w:tab/>
        <w:t>Matters to be considered by court generally</w:t>
      </w:r>
      <w:r>
        <w:tab/>
      </w:r>
      <w:r>
        <w:fldChar w:fldCharType="begin"/>
      </w:r>
      <w:r>
        <w:instrText xml:space="preserve"> PAGEREF _Toc103865261 \h </w:instrText>
      </w:r>
      <w:r>
        <w:fldChar w:fldCharType="separate"/>
      </w:r>
      <w:r>
        <w:t>95</w:t>
      </w:r>
      <w:r>
        <w:fldChar w:fldCharType="end"/>
      </w:r>
    </w:p>
    <w:p>
      <w:pPr>
        <w:pStyle w:val="TOC8"/>
        <w:rPr>
          <w:rFonts w:asciiTheme="minorHAnsi" w:eastAsiaTheme="minorEastAsia" w:hAnsiTheme="minorHAnsi" w:cstheme="minorBidi"/>
          <w:szCs w:val="22"/>
        </w:rPr>
      </w:pPr>
      <w:r>
        <w:t>49C.</w:t>
      </w:r>
      <w:r>
        <w:tab/>
        <w:t>Variation of application to allow a different order to be sought</w:t>
      </w:r>
      <w:r>
        <w:tab/>
      </w:r>
      <w:r>
        <w:fldChar w:fldCharType="begin"/>
      </w:r>
      <w:r>
        <w:instrText xml:space="preserve"> PAGEREF _Toc103865262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5A — Conferences</w:t>
      </w:r>
    </w:p>
    <w:p>
      <w:pPr>
        <w:pStyle w:val="TOC8"/>
        <w:rPr>
          <w:rFonts w:asciiTheme="minorHAnsi" w:eastAsiaTheme="minorEastAsia" w:hAnsiTheme="minorHAnsi" w:cstheme="minorBidi"/>
          <w:szCs w:val="22"/>
        </w:rPr>
      </w:pPr>
      <w:r>
        <w:t>49D.</w:t>
      </w:r>
      <w:r>
        <w:tab/>
        <w:t>Special conference procedures</w:t>
      </w:r>
      <w:r>
        <w:tab/>
      </w:r>
      <w:r>
        <w:fldChar w:fldCharType="begin"/>
      </w:r>
      <w:r>
        <w:instrText xml:space="preserve"> PAGEREF _Toc103865264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4"/>
        <w:tabs>
          <w:tab w:val="right" w:leader="dot" w:pos="7077"/>
        </w:tabs>
        <w:rPr>
          <w:rFonts w:asciiTheme="minorHAnsi" w:eastAsiaTheme="minorEastAsia" w:hAnsiTheme="minorHAnsi" w:cstheme="minorBidi"/>
          <w:b w:val="0"/>
          <w:szCs w:val="22"/>
        </w:rPr>
      </w:pPr>
      <w:r>
        <w:t>Division 1 — Children</w:t>
      </w:r>
    </w:p>
    <w:p>
      <w:pPr>
        <w:pStyle w:val="TOC8"/>
        <w:rPr>
          <w:rFonts w:asciiTheme="minorHAnsi" w:eastAsiaTheme="minorEastAsia" w:hAnsiTheme="minorHAnsi" w:cstheme="minorBidi"/>
          <w:szCs w:val="22"/>
        </w:rPr>
      </w:pPr>
      <w:r>
        <w:t>50</w:t>
      </w:r>
      <w:r>
        <w:rPr>
          <w:snapToGrid w:val="0"/>
        </w:rPr>
        <w:t>.</w:t>
      </w:r>
      <w:r>
        <w:rPr>
          <w:snapToGrid w:val="0"/>
        </w:rPr>
        <w:tab/>
        <w:t>No restraining orders against children under 10</w:t>
      </w:r>
      <w:r>
        <w:tab/>
      </w:r>
      <w:r>
        <w:fldChar w:fldCharType="begin"/>
      </w:r>
      <w:r>
        <w:instrText xml:space="preserve"> PAGEREF _Toc103865267 \h </w:instrText>
      </w:r>
      <w:r>
        <w:fldChar w:fldCharType="separate"/>
      </w:r>
      <w:r>
        <w:t>100</w:t>
      </w:r>
      <w:r>
        <w:fldChar w:fldCharType="end"/>
      </w:r>
    </w:p>
    <w:p>
      <w:pPr>
        <w:pStyle w:val="TOC8"/>
        <w:rPr>
          <w:rFonts w:asciiTheme="minorHAnsi" w:eastAsiaTheme="minorEastAsia" w:hAnsiTheme="minorHAnsi" w:cstheme="minorBidi"/>
          <w:szCs w:val="22"/>
        </w:rPr>
      </w:pPr>
      <w:r>
        <w:t>50A.</w:t>
      </w:r>
      <w:r>
        <w:tab/>
        <w:t>Restraining order against child not to exceed 6 months</w:t>
      </w:r>
      <w:r>
        <w:tab/>
      </w:r>
      <w:r>
        <w:fldChar w:fldCharType="begin"/>
      </w:r>
      <w:r>
        <w:instrText xml:space="preserve"> PAGEREF _Toc103865268 \h </w:instrText>
      </w:r>
      <w:r>
        <w:fldChar w:fldCharType="separate"/>
      </w:r>
      <w:r>
        <w:t>100</w:t>
      </w:r>
      <w:r>
        <w:fldChar w:fldCharType="end"/>
      </w:r>
    </w:p>
    <w:p>
      <w:pPr>
        <w:pStyle w:val="TOC8"/>
        <w:rPr>
          <w:rFonts w:asciiTheme="minorHAnsi" w:eastAsiaTheme="minorEastAsia" w:hAnsiTheme="minorHAnsi" w:cstheme="minorBidi"/>
          <w:szCs w:val="22"/>
        </w:rPr>
      </w:pPr>
      <w:r>
        <w:t>50B.</w:t>
      </w:r>
      <w:r>
        <w:tab/>
        <w:t>Child welfare laws not affected</w:t>
      </w:r>
      <w:r>
        <w:tab/>
      </w:r>
      <w:r>
        <w:fldChar w:fldCharType="begin"/>
      </w:r>
      <w:r>
        <w:instrText xml:space="preserve"> PAGEREF _Toc103865269 \h </w:instrText>
      </w:r>
      <w:r>
        <w:fldChar w:fldCharType="separate"/>
      </w:r>
      <w:r>
        <w:t>100</w:t>
      </w:r>
      <w:r>
        <w:fldChar w:fldCharType="end"/>
      </w:r>
    </w:p>
    <w:p>
      <w:pPr>
        <w:pStyle w:val="TOC8"/>
        <w:rPr>
          <w:rFonts w:asciiTheme="minorHAnsi" w:eastAsiaTheme="minorEastAsia" w:hAnsiTheme="minorHAnsi" w:cstheme="minorBidi"/>
          <w:szCs w:val="22"/>
        </w:rPr>
      </w:pPr>
      <w:r>
        <w:t>50C.</w:t>
      </w:r>
      <w:r>
        <w:tab/>
        <w:t>CEO (child welfare) to be notified before certain FVROs or VROs are made</w:t>
      </w:r>
      <w:r>
        <w:tab/>
      </w:r>
      <w:r>
        <w:fldChar w:fldCharType="begin"/>
      </w:r>
      <w:r>
        <w:instrText xml:space="preserve"> PAGEREF _Toc103865270 \h </w:instrText>
      </w:r>
      <w:r>
        <w:fldChar w:fldCharType="separate"/>
      </w:r>
      <w:r>
        <w:t>101</w:t>
      </w:r>
      <w:r>
        <w:fldChar w:fldCharType="end"/>
      </w:r>
    </w:p>
    <w:p>
      <w:pPr>
        <w:pStyle w:val="TOC8"/>
        <w:rPr>
          <w:rFonts w:asciiTheme="minorHAnsi" w:eastAsiaTheme="minorEastAsia" w:hAnsiTheme="minorHAnsi" w:cstheme="minorBidi"/>
          <w:szCs w:val="22"/>
        </w:rPr>
      </w:pPr>
      <w:r>
        <w:t>50D.</w:t>
      </w:r>
      <w:r>
        <w:tab/>
        <w:t>Intervention by CEO (child welfare)</w:t>
      </w:r>
      <w:r>
        <w:tab/>
      </w:r>
      <w:r>
        <w:fldChar w:fldCharType="begin"/>
      </w:r>
      <w:r>
        <w:instrText xml:space="preserve"> PAGEREF _Toc103865271 \h </w:instrText>
      </w:r>
      <w:r>
        <w:fldChar w:fldCharType="separate"/>
      </w:r>
      <w:r>
        <w:t>102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attend</w:t>
      </w:r>
      <w:r>
        <w:tab/>
      </w:r>
      <w:r>
        <w:fldChar w:fldCharType="begin"/>
      </w:r>
      <w:r>
        <w:instrText xml:space="preserve"> PAGEREF _Toc103865272 \h </w:instrText>
      </w:r>
      <w:r>
        <w:fldChar w:fldCharType="separate"/>
      </w:r>
      <w:r>
        <w:t>102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Transfer between courts</w:t>
      </w:r>
      <w:r>
        <w:tab/>
      </w:r>
      <w:r>
        <w:fldChar w:fldCharType="begin"/>
      </w:r>
      <w:r>
        <w:instrText xml:space="preserve"> PAGEREF _Toc103865273 \h </w:instrText>
      </w:r>
      <w:r>
        <w:fldChar w:fldCharType="separate"/>
      </w:r>
      <w:r>
        <w:t>102</w:t>
      </w:r>
      <w:r>
        <w:fldChar w:fldCharType="end"/>
      </w:r>
    </w:p>
    <w:p>
      <w:pPr>
        <w:pStyle w:val="TOC8"/>
        <w:rPr>
          <w:rFonts w:asciiTheme="minorHAnsi" w:eastAsiaTheme="minorEastAsia" w:hAnsiTheme="minorHAnsi" w:cstheme="minorBidi"/>
          <w:szCs w:val="22"/>
        </w:rPr>
      </w:pPr>
      <w:r>
        <w:lastRenderedPageBreak/>
        <w:t>53</w:t>
      </w:r>
      <w:r>
        <w:rPr>
          <w:snapToGrid w:val="0"/>
        </w:rPr>
        <w:t>.</w:t>
      </w:r>
      <w:r>
        <w:rPr>
          <w:snapToGrid w:val="0"/>
        </w:rPr>
        <w:tab/>
        <w:t>Telephone order made against child</w:t>
      </w:r>
      <w:r>
        <w:tab/>
      </w:r>
      <w:r>
        <w:fldChar w:fldCharType="begin"/>
      </w:r>
      <w:r>
        <w:instrText xml:space="preserve"> PAGEREF _Toc103865274 \h </w:instrText>
      </w:r>
      <w:r>
        <w:fldChar w:fldCharType="separate"/>
      </w:r>
      <w:r>
        <w:t>103</w:t>
      </w:r>
      <w:r>
        <w:fldChar w:fldCharType="end"/>
      </w:r>
    </w:p>
    <w:p>
      <w:pPr>
        <w:pStyle w:val="TOC8"/>
        <w:rPr>
          <w:rFonts w:asciiTheme="minorHAnsi" w:eastAsiaTheme="minorEastAsia" w:hAnsiTheme="minorHAnsi" w:cstheme="minorBidi"/>
          <w:szCs w:val="22"/>
        </w:rPr>
      </w:pPr>
      <w:r>
        <w:t>53A.</w:t>
      </w:r>
      <w:r>
        <w:tab/>
        <w:t>Children not to give oral evidence without leave of court, other than in Children’s Court</w:t>
      </w:r>
      <w:r>
        <w:tab/>
      </w:r>
      <w:r>
        <w:fldChar w:fldCharType="begin"/>
      </w:r>
      <w:r>
        <w:instrText xml:space="preserve"> PAGEREF _Toc103865275 \h </w:instrText>
      </w:r>
      <w:r>
        <w:fldChar w:fldCharType="separate"/>
      </w:r>
      <w:r>
        <w:t>104</w:t>
      </w:r>
      <w:r>
        <w:fldChar w:fldCharType="end"/>
      </w:r>
    </w:p>
    <w:p>
      <w:pPr>
        <w:pStyle w:val="TOC8"/>
        <w:rPr>
          <w:rFonts w:asciiTheme="minorHAnsi" w:eastAsiaTheme="minorEastAsia" w:hAnsiTheme="minorHAnsi" w:cstheme="minorBidi"/>
          <w:szCs w:val="22"/>
        </w:rPr>
      </w:pPr>
      <w:r>
        <w:t>53B.</w:t>
      </w:r>
      <w:r>
        <w:tab/>
        <w:t>Evidence of children</w:t>
      </w:r>
      <w:r>
        <w:tab/>
      </w:r>
      <w:r>
        <w:fldChar w:fldCharType="begin"/>
      </w:r>
      <w:r>
        <w:instrText xml:space="preserve"> PAGEREF _Toc103865276 \h </w:instrText>
      </w:r>
      <w:r>
        <w:fldChar w:fldCharType="separate"/>
      </w:r>
      <w:r>
        <w:t>104</w:t>
      </w:r>
      <w:r>
        <w:fldChar w:fldCharType="end"/>
      </w:r>
    </w:p>
    <w:p>
      <w:pPr>
        <w:pStyle w:val="TOC8"/>
        <w:rPr>
          <w:rFonts w:asciiTheme="minorHAnsi" w:eastAsiaTheme="minorEastAsia" w:hAnsiTheme="minorHAnsi" w:cstheme="minorBidi"/>
          <w:szCs w:val="22"/>
        </w:rPr>
      </w:pPr>
      <w:r>
        <w:t>53C.</w:t>
      </w:r>
      <w:r>
        <w:tab/>
        <w:t>Child who gives evidence entitled to support</w:t>
      </w:r>
      <w:r>
        <w:tab/>
      </w:r>
      <w:r>
        <w:fldChar w:fldCharType="begin"/>
      </w:r>
      <w:r>
        <w:instrText xml:space="preserve"> PAGEREF _Toc103865277 \h </w:instrText>
      </w:r>
      <w:r>
        <w:fldChar w:fldCharType="separate"/>
      </w:r>
      <w:r>
        <w:t>105</w:t>
      </w:r>
      <w:r>
        <w:fldChar w:fldCharType="end"/>
      </w:r>
    </w:p>
    <w:p>
      <w:pPr>
        <w:pStyle w:val="TOC8"/>
        <w:rPr>
          <w:rFonts w:asciiTheme="minorHAnsi" w:eastAsiaTheme="minorEastAsia" w:hAnsiTheme="minorHAnsi" w:cstheme="minorBidi"/>
          <w:szCs w:val="22"/>
        </w:rPr>
      </w:pPr>
      <w:r>
        <w:t>53D.</w:t>
      </w:r>
      <w:r>
        <w:tab/>
        <w:t>Cross</w:t>
      </w:r>
      <w:r>
        <w:noBreakHyphen/>
        <w:t>examination of child by unrepresented person</w:t>
      </w:r>
      <w:r>
        <w:tab/>
      </w:r>
      <w:r>
        <w:fldChar w:fldCharType="begin"/>
      </w:r>
      <w:r>
        <w:instrText xml:space="preserve"> PAGEREF _Toc103865278 \h </w:instrText>
      </w:r>
      <w:r>
        <w:fldChar w:fldCharType="separate"/>
      </w:r>
      <w:r>
        <w:t>105</w:t>
      </w:r>
      <w:r>
        <w:fldChar w:fldCharType="end"/>
      </w:r>
    </w:p>
    <w:p>
      <w:pPr>
        <w:pStyle w:val="TOC8"/>
        <w:rPr>
          <w:rFonts w:asciiTheme="minorHAnsi" w:eastAsiaTheme="minorEastAsia" w:hAnsiTheme="minorHAnsi" w:cstheme="minorBidi"/>
          <w:szCs w:val="22"/>
        </w:rPr>
      </w:pPr>
      <w:r>
        <w:t>53E.</w:t>
      </w:r>
      <w:r>
        <w:tab/>
        <w:t>Admissibility of evidence of representations made by children</w:t>
      </w:r>
      <w:r>
        <w:tab/>
      </w:r>
      <w:r>
        <w:fldChar w:fldCharType="begin"/>
      </w:r>
      <w:r>
        <w:instrText xml:space="preserve"> PAGEREF _Toc103865279 \h </w:instrText>
      </w:r>
      <w:r>
        <w:fldChar w:fldCharType="separate"/>
      </w:r>
      <w:r>
        <w:t>105</w:t>
      </w:r>
      <w:r>
        <w:fldChar w:fldCharType="end"/>
      </w:r>
    </w:p>
    <w:p>
      <w:pPr>
        <w:pStyle w:val="TOC8"/>
        <w:rPr>
          <w:rFonts w:asciiTheme="minorHAnsi" w:eastAsiaTheme="minorEastAsia" w:hAnsiTheme="minorHAnsi" w:cstheme="minorBidi"/>
          <w:szCs w:val="22"/>
        </w:rPr>
      </w:pPr>
      <w:r>
        <w:t>53F.</w:t>
      </w:r>
      <w:r>
        <w:tab/>
        <w:t>Summonsing of children</w:t>
      </w:r>
      <w:r>
        <w:tab/>
      </w:r>
      <w:r>
        <w:fldChar w:fldCharType="begin"/>
      </w:r>
      <w:r>
        <w:instrText xml:space="preserve"> PAGEREF _Toc103865280 \h </w:instrText>
      </w:r>
      <w:r>
        <w:fldChar w:fldCharType="separate"/>
      </w:r>
      <w:r>
        <w:t>106</w:t>
      </w:r>
      <w:r>
        <w:fldChar w:fldCharType="end"/>
      </w:r>
    </w:p>
    <w:p>
      <w:pPr>
        <w:pStyle w:val="TOC8"/>
        <w:rPr>
          <w:rFonts w:asciiTheme="minorHAnsi" w:eastAsiaTheme="minorEastAsia" w:hAnsiTheme="minorHAnsi" w:cstheme="minorBidi"/>
          <w:szCs w:val="22"/>
        </w:rPr>
      </w:pPr>
      <w:r>
        <w:t>53G.</w:t>
      </w:r>
      <w:r>
        <w:tab/>
        <w:t>Arrangements for care and wellbeing of children bound by restraining orders</w:t>
      </w:r>
      <w:r>
        <w:tab/>
      </w:r>
      <w:r>
        <w:fldChar w:fldCharType="begin"/>
      </w:r>
      <w:r>
        <w:instrText xml:space="preserve"> PAGEREF _Toc103865281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Service</w:t>
      </w:r>
    </w:p>
    <w:p>
      <w:pPr>
        <w:pStyle w:val="TOC8"/>
        <w:rPr>
          <w:rFonts w:asciiTheme="minorHAnsi" w:eastAsiaTheme="minorEastAsia" w:hAnsiTheme="minorHAnsi" w:cstheme="minorBidi"/>
          <w:szCs w:val="22"/>
        </w:rPr>
      </w:pPr>
      <w:r>
        <w:t>54</w:t>
      </w:r>
      <w:r>
        <w:rPr>
          <w:snapToGrid w:val="0"/>
        </w:rPr>
        <w:t>.</w:t>
      </w:r>
      <w:r>
        <w:rPr>
          <w:snapToGrid w:val="0"/>
        </w:rPr>
        <w:tab/>
        <w:t>Service of summons</w:t>
      </w:r>
      <w:r>
        <w:tab/>
      </w:r>
      <w:r>
        <w:fldChar w:fldCharType="begin"/>
      </w:r>
      <w:r>
        <w:instrText xml:space="preserve"> PAGEREF _Toc103865283 \h </w:instrText>
      </w:r>
      <w:r>
        <w:fldChar w:fldCharType="separate"/>
      </w:r>
      <w:r>
        <w:t>107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Service of restraining order</w:t>
      </w:r>
      <w:r>
        <w:tab/>
      </w:r>
      <w:r>
        <w:fldChar w:fldCharType="begin"/>
      </w:r>
      <w:r>
        <w:instrText xml:space="preserve"> PAGEREF _Toc103865284 \h </w:instrText>
      </w:r>
      <w:r>
        <w:fldChar w:fldCharType="separate"/>
      </w:r>
      <w:r>
        <w:t>107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Delivery or notification</w:t>
      </w:r>
      <w:r>
        <w:tab/>
      </w:r>
      <w:r>
        <w:fldChar w:fldCharType="begin"/>
      </w:r>
      <w:r>
        <w:instrText xml:space="preserve"> PAGEREF _Toc103865285 \h </w:instrText>
      </w:r>
      <w:r>
        <w:fldChar w:fldCharType="separate"/>
      </w:r>
      <w:r>
        <w:t>109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Copy of document sufficient for service</w:t>
      </w:r>
      <w:r>
        <w:tab/>
      </w:r>
      <w:r>
        <w:fldChar w:fldCharType="begin"/>
      </w:r>
      <w:r>
        <w:instrText xml:space="preserve"> PAGEREF _Toc103865286 \h </w:instrText>
      </w:r>
      <w:r>
        <w:fldChar w:fldCharType="separate"/>
      </w:r>
      <w:r>
        <w:t>109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Proof of service</w:t>
      </w:r>
      <w:r>
        <w:tab/>
      </w:r>
      <w:r>
        <w:fldChar w:fldCharType="begin"/>
      </w:r>
      <w:r>
        <w:instrText xml:space="preserve"> PAGEREF _Toc103865287 \h </w:instrText>
      </w:r>
      <w:r>
        <w:fldChar w:fldCharType="separate"/>
      </w:r>
      <w:r>
        <w:t>110</w:t>
      </w:r>
      <w:r>
        <w:fldChar w:fldCharType="end"/>
      </w:r>
    </w:p>
    <w:p>
      <w:pPr>
        <w:pStyle w:val="TOC8"/>
        <w:rPr>
          <w:rFonts w:asciiTheme="minorHAnsi" w:eastAsiaTheme="minorEastAsia" w:hAnsiTheme="minorHAnsi" w:cstheme="minorBidi"/>
          <w:szCs w:val="22"/>
        </w:rPr>
      </w:pPr>
      <w:r>
        <w:t>59.</w:t>
      </w:r>
      <w:r>
        <w:tab/>
        <w:t>Service of restraining order, certain people to be notified of</w:t>
      </w:r>
      <w:r>
        <w:tab/>
      </w:r>
      <w:r>
        <w:fldChar w:fldCharType="begin"/>
      </w:r>
      <w:r>
        <w:instrText xml:space="preserve"> PAGEREF _Toc103865288 \h </w:instrText>
      </w:r>
      <w:r>
        <w:fldChar w:fldCharType="separate"/>
      </w:r>
      <w:r>
        <w:t>111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Substituted service</w:t>
      </w:r>
      <w:r>
        <w:tab/>
      </w:r>
      <w:r>
        <w:fldChar w:fldCharType="begin"/>
      </w:r>
      <w:r>
        <w:instrText xml:space="preserve"> PAGEREF _Toc103865289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Breach of restraining order or police order</w:t>
      </w:r>
    </w:p>
    <w:p>
      <w:pPr>
        <w:pStyle w:val="TOC8"/>
        <w:rPr>
          <w:rFonts w:asciiTheme="minorHAnsi" w:eastAsiaTheme="minorEastAsia" w:hAnsiTheme="minorHAnsi" w:cstheme="minorBidi"/>
          <w:szCs w:val="22"/>
        </w:rPr>
      </w:pPr>
      <w:r>
        <w:t>61</w:t>
      </w:r>
      <w:r>
        <w:rPr>
          <w:snapToGrid w:val="0"/>
        </w:rPr>
        <w:t>.</w:t>
      </w:r>
      <w:r>
        <w:rPr>
          <w:snapToGrid w:val="0"/>
        </w:rPr>
        <w:tab/>
        <w:t>Breach of restraining order</w:t>
      </w:r>
      <w:r>
        <w:tab/>
      </w:r>
      <w:r>
        <w:fldChar w:fldCharType="begin"/>
      </w:r>
      <w:r>
        <w:instrText xml:space="preserve"> PAGEREF _Toc103865291 \h </w:instrText>
      </w:r>
      <w:r>
        <w:fldChar w:fldCharType="separate"/>
      </w:r>
      <w:r>
        <w:t>113</w:t>
      </w:r>
      <w:r>
        <w:fldChar w:fldCharType="end"/>
      </w:r>
    </w:p>
    <w:p>
      <w:pPr>
        <w:pStyle w:val="TOC8"/>
        <w:rPr>
          <w:rFonts w:asciiTheme="minorHAnsi" w:eastAsiaTheme="minorEastAsia" w:hAnsiTheme="minorHAnsi" w:cstheme="minorBidi"/>
          <w:szCs w:val="22"/>
        </w:rPr>
      </w:pPr>
      <w:r>
        <w:t>61A.</w:t>
      </w:r>
      <w:r>
        <w:tab/>
        <w:t>Penalty for repeated breach of restraining order</w:t>
      </w:r>
      <w:r>
        <w:tab/>
      </w:r>
      <w:r>
        <w:fldChar w:fldCharType="begin"/>
      </w:r>
      <w:r>
        <w:instrText xml:space="preserve"> PAGEREF _Toc103865292 \h </w:instrText>
      </w:r>
      <w:r>
        <w:fldChar w:fldCharType="separate"/>
      </w:r>
      <w:r>
        <w:t>114</w:t>
      </w:r>
      <w:r>
        <w:fldChar w:fldCharType="end"/>
      </w:r>
    </w:p>
    <w:p>
      <w:pPr>
        <w:pStyle w:val="TOC8"/>
        <w:rPr>
          <w:rFonts w:asciiTheme="minorHAnsi" w:eastAsiaTheme="minorEastAsia" w:hAnsiTheme="minorHAnsi" w:cstheme="minorBidi"/>
          <w:szCs w:val="22"/>
        </w:rPr>
      </w:pPr>
      <w:r>
        <w:t>61B.</w:t>
      </w:r>
      <w:r>
        <w:tab/>
        <w:t>Protected person aiding breach of restraining order or police order</w:t>
      </w:r>
      <w:r>
        <w:tab/>
      </w:r>
      <w:r>
        <w:fldChar w:fldCharType="begin"/>
      </w:r>
      <w:r>
        <w:instrText xml:space="preserve"> PAGEREF _Toc103865293 \h </w:instrText>
      </w:r>
      <w:r>
        <w:fldChar w:fldCharType="separate"/>
      </w:r>
      <w:r>
        <w:t>116</w:t>
      </w:r>
      <w:r>
        <w:fldChar w:fldCharType="end"/>
      </w:r>
    </w:p>
    <w:p>
      <w:pPr>
        <w:pStyle w:val="TOC8"/>
        <w:rPr>
          <w:rFonts w:asciiTheme="minorHAnsi" w:eastAsiaTheme="minorEastAsia" w:hAnsiTheme="minorHAnsi" w:cstheme="minorBidi"/>
          <w:szCs w:val="22"/>
        </w:rPr>
      </w:pPr>
      <w:r>
        <w:t>61C.</w:t>
      </w:r>
      <w:r>
        <w:tab/>
        <w:t>Report under s. 10V to be considered in sentencing for breach of FVRO</w:t>
      </w:r>
      <w:r>
        <w:tab/>
      </w:r>
      <w:r>
        <w:fldChar w:fldCharType="begin"/>
      </w:r>
      <w:r>
        <w:instrText xml:space="preserve"> PAGEREF _Toc103865294 \h </w:instrText>
      </w:r>
      <w:r>
        <w:fldChar w:fldCharType="separate"/>
      </w:r>
      <w:r>
        <w:t>117</w:t>
      </w:r>
      <w:r>
        <w:fldChar w:fldCharType="end"/>
      </w:r>
    </w:p>
    <w:p>
      <w:pPr>
        <w:pStyle w:val="TOC8"/>
        <w:rPr>
          <w:rFonts w:asciiTheme="minorHAnsi" w:eastAsiaTheme="minorEastAsia" w:hAnsiTheme="minorHAnsi" w:cstheme="minorBidi"/>
          <w:szCs w:val="22"/>
        </w:rPr>
      </w:pPr>
      <w:r>
        <w:t>62.</w:t>
      </w:r>
      <w:r>
        <w:tab/>
        <w:t>Defence</w:t>
      </w:r>
      <w:r>
        <w:tab/>
      </w:r>
      <w:r>
        <w:fldChar w:fldCharType="begin"/>
      </w:r>
      <w:r>
        <w:instrText xml:space="preserve"> PAGEREF _Toc103865295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3A — Police functions</w:t>
      </w:r>
    </w:p>
    <w:p>
      <w:pPr>
        <w:pStyle w:val="TOC8"/>
        <w:rPr>
          <w:rFonts w:asciiTheme="minorHAnsi" w:eastAsiaTheme="minorEastAsia" w:hAnsiTheme="minorHAnsi" w:cstheme="minorBidi"/>
          <w:szCs w:val="22"/>
        </w:rPr>
      </w:pPr>
      <w:r>
        <w:t>62A.</w:t>
      </w:r>
      <w:r>
        <w:tab/>
        <w:t>Investigation of suspected family violence</w:t>
      </w:r>
      <w:r>
        <w:tab/>
      </w:r>
      <w:r>
        <w:fldChar w:fldCharType="begin"/>
      </w:r>
      <w:r>
        <w:instrText xml:space="preserve"> PAGEREF _Toc103865297 \h </w:instrText>
      </w:r>
      <w:r>
        <w:fldChar w:fldCharType="separate"/>
      </w:r>
      <w:r>
        <w:t>118</w:t>
      </w:r>
      <w:r>
        <w:fldChar w:fldCharType="end"/>
      </w:r>
    </w:p>
    <w:p>
      <w:pPr>
        <w:pStyle w:val="TOC8"/>
        <w:rPr>
          <w:rFonts w:asciiTheme="minorHAnsi" w:eastAsiaTheme="minorEastAsia" w:hAnsiTheme="minorHAnsi" w:cstheme="minorBidi"/>
          <w:szCs w:val="22"/>
        </w:rPr>
      </w:pPr>
      <w:r>
        <w:t>62B.</w:t>
      </w:r>
      <w:r>
        <w:tab/>
        <w:t>Entry and search of premises if family violence suspected</w:t>
      </w:r>
      <w:r>
        <w:tab/>
      </w:r>
      <w:r>
        <w:fldChar w:fldCharType="begin"/>
      </w:r>
      <w:r>
        <w:instrText xml:space="preserve"> PAGEREF _Toc103865298 \h </w:instrText>
      </w:r>
      <w:r>
        <w:fldChar w:fldCharType="separate"/>
      </w:r>
      <w:r>
        <w:t>119</w:t>
      </w:r>
      <w:r>
        <w:fldChar w:fldCharType="end"/>
      </w:r>
    </w:p>
    <w:p>
      <w:pPr>
        <w:pStyle w:val="TOC8"/>
        <w:rPr>
          <w:rFonts w:asciiTheme="minorHAnsi" w:eastAsiaTheme="minorEastAsia" w:hAnsiTheme="minorHAnsi" w:cstheme="minorBidi"/>
          <w:szCs w:val="22"/>
        </w:rPr>
      </w:pPr>
      <w:r>
        <w:t>62C.</w:t>
      </w:r>
      <w:r>
        <w:tab/>
        <w:t>Action to be taken by police officer after investigating suspected family violence</w:t>
      </w:r>
      <w:r>
        <w:tab/>
      </w:r>
      <w:r>
        <w:fldChar w:fldCharType="begin"/>
      </w:r>
      <w:r>
        <w:instrText xml:space="preserve"> PAGEREF _Toc103865299 \h </w:instrText>
      </w:r>
      <w:r>
        <w:fldChar w:fldCharType="separate"/>
      </w:r>
      <w:r>
        <w:t>120</w:t>
      </w:r>
      <w:r>
        <w:fldChar w:fldCharType="end"/>
      </w:r>
    </w:p>
    <w:p>
      <w:pPr>
        <w:pStyle w:val="TOC8"/>
        <w:rPr>
          <w:rFonts w:asciiTheme="minorHAnsi" w:eastAsiaTheme="minorEastAsia" w:hAnsiTheme="minorHAnsi" w:cstheme="minorBidi"/>
          <w:szCs w:val="22"/>
        </w:rPr>
      </w:pPr>
      <w:r>
        <w:t>62D.</w:t>
      </w:r>
      <w:r>
        <w:tab/>
        <w:t>Approval of senior officer</w:t>
      </w:r>
      <w:r>
        <w:tab/>
      </w:r>
      <w:r>
        <w:fldChar w:fldCharType="begin"/>
      </w:r>
      <w:r>
        <w:instrText xml:space="preserve"> PAGEREF _Toc103865300 \h </w:instrText>
      </w:r>
      <w:r>
        <w:fldChar w:fldCharType="separate"/>
      </w:r>
      <w:r>
        <w:t>121</w:t>
      </w:r>
      <w:r>
        <w:fldChar w:fldCharType="end"/>
      </w:r>
    </w:p>
    <w:p>
      <w:pPr>
        <w:pStyle w:val="TOC8"/>
        <w:rPr>
          <w:rFonts w:asciiTheme="minorHAnsi" w:eastAsiaTheme="minorEastAsia" w:hAnsiTheme="minorHAnsi" w:cstheme="minorBidi"/>
          <w:szCs w:val="22"/>
        </w:rPr>
      </w:pPr>
      <w:r>
        <w:t>62E.</w:t>
      </w:r>
      <w:r>
        <w:tab/>
        <w:t>Seizure of firearms and explosives</w:t>
      </w:r>
      <w:r>
        <w:tab/>
      </w:r>
      <w:r>
        <w:fldChar w:fldCharType="begin"/>
      </w:r>
      <w:r>
        <w:instrText xml:space="preserve"> PAGEREF _Toc103865301 \h </w:instrText>
      </w:r>
      <w:r>
        <w:fldChar w:fldCharType="separate"/>
      </w:r>
      <w:r>
        <w:t>122</w:t>
      </w:r>
      <w:r>
        <w:fldChar w:fldCharType="end"/>
      </w:r>
    </w:p>
    <w:p>
      <w:pPr>
        <w:pStyle w:val="TOC8"/>
        <w:rPr>
          <w:rFonts w:asciiTheme="minorHAnsi" w:eastAsiaTheme="minorEastAsia" w:hAnsiTheme="minorHAnsi" w:cstheme="minorBidi"/>
          <w:szCs w:val="22"/>
        </w:rPr>
      </w:pPr>
      <w:r>
        <w:lastRenderedPageBreak/>
        <w:t>62F.</w:t>
      </w:r>
      <w:r>
        <w:tab/>
        <w:t>Detention of respondent during telephone hearing or while police order is being made</w:t>
      </w:r>
      <w:r>
        <w:tab/>
      </w:r>
      <w:r>
        <w:fldChar w:fldCharType="begin"/>
      </w:r>
      <w:r>
        <w:instrText xml:space="preserve"> PAGEREF _Toc103865302 \h </w:instrText>
      </w:r>
      <w:r>
        <w:fldChar w:fldCharType="separate"/>
      </w:r>
      <w:r>
        <w:t>123</w:t>
      </w:r>
      <w:r>
        <w:fldChar w:fldCharType="end"/>
      </w:r>
    </w:p>
    <w:p>
      <w:pPr>
        <w:pStyle w:val="TOC8"/>
        <w:rPr>
          <w:rFonts w:asciiTheme="minorHAnsi" w:eastAsiaTheme="minorEastAsia" w:hAnsiTheme="minorHAnsi" w:cstheme="minorBidi"/>
          <w:szCs w:val="22"/>
        </w:rPr>
      </w:pPr>
      <w:r>
        <w:t>62G.</w:t>
      </w:r>
      <w:r>
        <w:tab/>
        <w:t>Police officer may conduct hearing for applicant</w:t>
      </w:r>
      <w:r>
        <w:tab/>
      </w:r>
      <w:r>
        <w:fldChar w:fldCharType="begin"/>
      </w:r>
      <w:r>
        <w:instrText xml:space="preserve"> PAGEREF _Toc103865303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63</w:t>
      </w:r>
      <w:r>
        <w:rPr>
          <w:snapToGrid w:val="0"/>
        </w:rPr>
        <w:t>.</w:t>
      </w:r>
      <w:r>
        <w:rPr>
          <w:snapToGrid w:val="0"/>
        </w:rPr>
        <w:tab/>
        <w:t>Making restraining orders during other proceedings</w:t>
      </w:r>
      <w:r>
        <w:tab/>
      </w:r>
      <w:r>
        <w:fldChar w:fldCharType="begin"/>
      </w:r>
      <w:r>
        <w:instrText xml:space="preserve"> PAGEREF _Toc103865305 \h </w:instrText>
      </w:r>
      <w:r>
        <w:fldChar w:fldCharType="separate"/>
      </w:r>
      <w:r>
        <w:t>125</w:t>
      </w:r>
      <w:r>
        <w:fldChar w:fldCharType="end"/>
      </w:r>
    </w:p>
    <w:p>
      <w:pPr>
        <w:pStyle w:val="TOC8"/>
        <w:rPr>
          <w:rFonts w:asciiTheme="minorHAnsi" w:eastAsiaTheme="minorEastAsia" w:hAnsiTheme="minorHAnsi" w:cstheme="minorBidi"/>
          <w:szCs w:val="22"/>
        </w:rPr>
      </w:pPr>
      <w:r>
        <w:t>63A.</w:t>
      </w:r>
      <w:r>
        <w:tab/>
        <w:t>FVRO or VRO made if certain violent personal offences committed</w:t>
      </w:r>
      <w:r>
        <w:tab/>
      </w:r>
      <w:r>
        <w:fldChar w:fldCharType="begin"/>
      </w:r>
      <w:r>
        <w:instrText xml:space="preserve"> PAGEREF _Toc103865306 \h </w:instrText>
      </w:r>
      <w:r>
        <w:fldChar w:fldCharType="separate"/>
      </w:r>
      <w:r>
        <w:t>129</w:t>
      </w:r>
      <w:r>
        <w:fldChar w:fldCharType="end"/>
      </w:r>
    </w:p>
    <w:p>
      <w:pPr>
        <w:pStyle w:val="TOC8"/>
        <w:rPr>
          <w:rFonts w:asciiTheme="minorHAnsi" w:eastAsiaTheme="minorEastAsia" w:hAnsiTheme="minorHAnsi" w:cstheme="minorBidi"/>
          <w:szCs w:val="22"/>
        </w:rPr>
      </w:pPr>
      <w:r>
        <w:t>63B.</w:t>
      </w:r>
      <w:r>
        <w:tab/>
        <w:t>Circumstances to be taken into account when sentencing for certain offences</w:t>
      </w:r>
      <w:r>
        <w:tab/>
      </w:r>
      <w:r>
        <w:fldChar w:fldCharType="begin"/>
      </w:r>
      <w:r>
        <w:instrText xml:space="preserve"> PAGEREF _Toc103865307 \h </w:instrText>
      </w:r>
      <w:r>
        <w:fldChar w:fldCharType="separate"/>
      </w:r>
      <w:r>
        <w:t>130</w:t>
      </w:r>
      <w:r>
        <w:fldChar w:fldCharType="end"/>
      </w:r>
    </w:p>
    <w:p>
      <w:pPr>
        <w:pStyle w:val="TOC8"/>
        <w:rPr>
          <w:rFonts w:asciiTheme="minorHAnsi" w:eastAsiaTheme="minorEastAsia" w:hAnsiTheme="minorHAnsi" w:cstheme="minorBidi"/>
          <w:szCs w:val="22"/>
        </w:rPr>
      </w:pPr>
      <w:r>
        <w:t>63C.</w:t>
      </w:r>
      <w:r>
        <w:tab/>
        <w:t>Criminal and civil liability not affected by restraining orders</w:t>
      </w:r>
      <w:r>
        <w:tab/>
      </w:r>
      <w:r>
        <w:fldChar w:fldCharType="begin"/>
      </w:r>
      <w:r>
        <w:instrText xml:space="preserve"> PAGEREF _Toc103865308 \h </w:instrText>
      </w:r>
      <w:r>
        <w:fldChar w:fldCharType="separate"/>
      </w:r>
      <w:r>
        <w:t>131</w:t>
      </w:r>
      <w:r>
        <w:fldChar w:fldCharType="end"/>
      </w:r>
    </w:p>
    <w:p>
      <w:pPr>
        <w:pStyle w:val="TOC8"/>
        <w:rPr>
          <w:rFonts w:asciiTheme="minorHAnsi" w:eastAsiaTheme="minorEastAsia" w:hAnsiTheme="minorHAnsi" w:cstheme="minorBidi"/>
          <w:szCs w:val="22"/>
        </w:rPr>
      </w:pPr>
      <w:r>
        <w:t>63D.</w:t>
      </w:r>
      <w:r>
        <w:tab/>
        <w:t>Court to give reasons for certain decisions</w:t>
      </w:r>
      <w:r>
        <w:tab/>
      </w:r>
      <w:r>
        <w:fldChar w:fldCharType="begin"/>
      </w:r>
      <w:r>
        <w:instrText xml:space="preserve"> PAGEREF _Toc103865309 \h </w:instrText>
      </w:r>
      <w:r>
        <w:fldChar w:fldCharType="separate"/>
      </w:r>
      <w:r>
        <w:t>131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Appeals</w:t>
      </w:r>
      <w:r>
        <w:tab/>
      </w:r>
      <w:r>
        <w:fldChar w:fldCharType="begin"/>
      </w:r>
      <w:r>
        <w:instrText xml:space="preserve"> PAGEREF _Toc103865310 \h </w:instrText>
      </w:r>
      <w:r>
        <w:fldChar w:fldCharType="separate"/>
      </w:r>
      <w:r>
        <w:t>131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Orders not to conflict with certain family orders</w:t>
      </w:r>
      <w:r>
        <w:tab/>
      </w:r>
      <w:r>
        <w:fldChar w:fldCharType="begin"/>
      </w:r>
      <w:r>
        <w:instrText xml:space="preserve"> PAGEREF _Toc103865311 \h </w:instrText>
      </w:r>
      <w:r>
        <w:fldChar w:fldCharType="separate"/>
      </w:r>
      <w:r>
        <w:t>133</w:t>
      </w:r>
      <w:r>
        <w:fldChar w:fldCharType="end"/>
      </w:r>
    </w:p>
    <w:p>
      <w:pPr>
        <w:pStyle w:val="TOC8"/>
        <w:rPr>
          <w:rFonts w:asciiTheme="minorHAnsi" w:eastAsiaTheme="minorEastAsia" w:hAnsiTheme="minorHAnsi" w:cstheme="minorBidi"/>
          <w:szCs w:val="22"/>
        </w:rPr>
      </w:pPr>
      <w:r>
        <w:t>66.</w:t>
      </w:r>
      <w:r>
        <w:tab/>
        <w:t>Information about family orders</w:t>
      </w:r>
      <w:r>
        <w:tab/>
      </w:r>
      <w:r>
        <w:fldChar w:fldCharType="begin"/>
      </w:r>
      <w:r>
        <w:instrText xml:space="preserve"> PAGEREF _Toc103865312 \h </w:instrText>
      </w:r>
      <w:r>
        <w:fldChar w:fldCharType="separate"/>
      </w:r>
      <w:r>
        <w:t>133</w:t>
      </w:r>
      <w:r>
        <w:fldChar w:fldCharType="end"/>
      </w:r>
    </w:p>
    <w:p>
      <w:pPr>
        <w:pStyle w:val="TOC8"/>
        <w:rPr>
          <w:rFonts w:asciiTheme="minorHAnsi" w:eastAsiaTheme="minorEastAsia" w:hAnsiTheme="minorHAnsi" w:cstheme="minorBidi"/>
          <w:szCs w:val="22"/>
        </w:rPr>
      </w:pPr>
      <w:r>
        <w:t>67.</w:t>
      </w:r>
      <w:r>
        <w:tab/>
        <w:t>Adjournments</w:t>
      </w:r>
      <w:r>
        <w:tab/>
      </w:r>
      <w:r>
        <w:fldChar w:fldCharType="begin"/>
      </w:r>
      <w:r>
        <w:instrText xml:space="preserve"> PAGEREF _Toc103865313 \h </w:instrText>
      </w:r>
      <w:r>
        <w:fldChar w:fldCharType="separate"/>
      </w:r>
      <w:r>
        <w:t>134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Orders may be extended to apply to other people</w:t>
      </w:r>
      <w:r>
        <w:tab/>
      </w:r>
      <w:r>
        <w:fldChar w:fldCharType="begin"/>
      </w:r>
      <w:r>
        <w:instrText xml:space="preserve"> PAGEREF _Toc103865314 \h </w:instrText>
      </w:r>
      <w:r>
        <w:fldChar w:fldCharType="separate"/>
      </w:r>
      <w:r>
        <w:t>135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Costs</w:t>
      </w:r>
      <w:r>
        <w:tab/>
      </w:r>
      <w:r>
        <w:fldChar w:fldCharType="begin"/>
      </w:r>
      <w:r>
        <w:instrText xml:space="preserve"> PAGEREF _Toc103865315 \h </w:instrText>
      </w:r>
      <w:r>
        <w:fldChar w:fldCharType="separate"/>
      </w:r>
      <w:r>
        <w:t>136</w:t>
      </w:r>
      <w:r>
        <w:fldChar w:fldCharType="end"/>
      </w:r>
    </w:p>
    <w:p>
      <w:pPr>
        <w:pStyle w:val="TOC8"/>
        <w:rPr>
          <w:rFonts w:asciiTheme="minorHAnsi" w:eastAsiaTheme="minorEastAsia" w:hAnsiTheme="minorHAnsi" w:cstheme="minorBidi"/>
          <w:szCs w:val="22"/>
        </w:rPr>
      </w:pPr>
      <w:r>
        <w:t>70.</w:t>
      </w:r>
      <w:r>
        <w:tab/>
        <w:t>Information on identity of certain person restricted</w:t>
      </w:r>
      <w:r>
        <w:tab/>
      </w:r>
      <w:r>
        <w:fldChar w:fldCharType="begin"/>
      </w:r>
      <w:r>
        <w:instrText xml:space="preserve"> PAGEREF _Toc103865316 \h </w:instrText>
      </w:r>
      <w:r>
        <w:fldChar w:fldCharType="separate"/>
      </w:r>
      <w:r>
        <w:t>136</w:t>
      </w:r>
      <w:r>
        <w:fldChar w:fldCharType="end"/>
      </w:r>
    </w:p>
    <w:p>
      <w:pPr>
        <w:pStyle w:val="TOC8"/>
        <w:rPr>
          <w:rFonts w:asciiTheme="minorHAnsi" w:eastAsiaTheme="minorEastAsia" w:hAnsiTheme="minorHAnsi" w:cstheme="minorBidi"/>
          <w:szCs w:val="22"/>
        </w:rPr>
      </w:pPr>
      <w:r>
        <w:t>70A.</w:t>
      </w:r>
      <w:r>
        <w:tab/>
        <w:t>Exchange of information</w:t>
      </w:r>
      <w:r>
        <w:tab/>
      </w:r>
      <w:r>
        <w:fldChar w:fldCharType="begin"/>
      </w:r>
      <w:r>
        <w:instrText xml:space="preserve"> PAGEREF _Toc103865317 \h </w:instrText>
      </w:r>
      <w:r>
        <w:fldChar w:fldCharType="separate"/>
      </w:r>
      <w:r>
        <w:t>138</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Notification when firearms order made</w:t>
      </w:r>
      <w:r>
        <w:tab/>
      </w:r>
      <w:r>
        <w:fldChar w:fldCharType="begin"/>
      </w:r>
      <w:r>
        <w:instrText xml:space="preserve"> PAGEREF _Toc103865318 \h </w:instrText>
      </w:r>
      <w:r>
        <w:fldChar w:fldCharType="separate"/>
      </w:r>
      <w:r>
        <w:t>139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Practice and procedure generally</w:t>
      </w:r>
      <w:r>
        <w:tab/>
      </w:r>
      <w:r>
        <w:fldChar w:fldCharType="begin"/>
      </w:r>
      <w:r>
        <w:instrText xml:space="preserve"> PAGEREF _Toc103865319 \h </w:instrText>
      </w:r>
      <w:r>
        <w:fldChar w:fldCharType="separate"/>
      </w:r>
      <w:r>
        <w:t>142</w:t>
      </w:r>
      <w:r>
        <w:fldChar w:fldCharType="end"/>
      </w:r>
    </w:p>
    <w:p>
      <w:pPr>
        <w:pStyle w:val="TOC8"/>
        <w:rPr>
          <w:rFonts w:asciiTheme="minorHAnsi" w:eastAsiaTheme="minorEastAsia" w:hAnsiTheme="minorHAnsi" w:cstheme="minorBidi"/>
          <w:szCs w:val="22"/>
        </w:rPr>
      </w:pPr>
      <w:r>
        <w:t>72A.</w:t>
      </w:r>
      <w:r>
        <w:tab/>
        <w:t>Forms</w:t>
      </w:r>
      <w:r>
        <w:tab/>
      </w:r>
      <w:r>
        <w:fldChar w:fldCharType="begin"/>
      </w:r>
      <w:r>
        <w:instrText xml:space="preserve"> PAGEREF _Toc103865320 \h </w:instrText>
      </w:r>
      <w:r>
        <w:fldChar w:fldCharType="separate"/>
      </w:r>
      <w:r>
        <w:t>142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Regulation making power</w:t>
      </w:r>
      <w:r>
        <w:tab/>
      </w:r>
      <w:r>
        <w:fldChar w:fldCharType="begin"/>
      </w:r>
      <w:r>
        <w:instrText xml:space="preserve"> PAGEREF _Toc103865321 \h </w:instrText>
      </w:r>
      <w:r>
        <w:fldChar w:fldCharType="separate"/>
      </w:r>
      <w:r>
        <w:t>143</w:t>
      </w:r>
      <w:r>
        <w:fldChar w:fldCharType="end"/>
      </w:r>
    </w:p>
    <w:p>
      <w:pPr>
        <w:pStyle w:val="TOC8"/>
        <w:rPr>
          <w:rFonts w:asciiTheme="minorHAnsi" w:eastAsiaTheme="minorEastAsia" w:hAnsiTheme="minorHAnsi" w:cstheme="minorBidi"/>
          <w:szCs w:val="22"/>
        </w:rPr>
      </w:pPr>
      <w:r>
        <w:t>73A.</w:t>
      </w:r>
      <w:r>
        <w:tab/>
        <w:t>Review of certain amendments relating to FVROs</w:t>
      </w:r>
      <w:r>
        <w:tab/>
      </w:r>
      <w:r>
        <w:fldChar w:fldCharType="begin"/>
      </w:r>
      <w:r>
        <w:instrText xml:space="preserve"> PAGEREF _Toc103865322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7 — Interstate restraining orders</w:t>
      </w:r>
    </w:p>
    <w:p>
      <w:pPr>
        <w:pStyle w:val="TOC8"/>
        <w:rPr>
          <w:rFonts w:asciiTheme="minorHAnsi" w:eastAsiaTheme="minorEastAsia" w:hAnsiTheme="minorHAnsi" w:cstheme="minorBidi"/>
          <w:szCs w:val="22"/>
        </w:rPr>
      </w:pPr>
      <w:r>
        <w:t>74</w:t>
      </w:r>
      <w:r>
        <w:rPr>
          <w:snapToGrid w:val="0"/>
        </w:rPr>
        <w:t>.</w:t>
      </w:r>
      <w:r>
        <w:rPr>
          <w:snapToGrid w:val="0"/>
        </w:rPr>
        <w:tab/>
        <w:t>Terms used</w:t>
      </w:r>
      <w:r>
        <w:tab/>
      </w:r>
      <w:r>
        <w:fldChar w:fldCharType="begin"/>
      </w:r>
      <w:r>
        <w:instrText xml:space="preserve"> PAGEREF _Toc103865324 \h </w:instrText>
      </w:r>
      <w:r>
        <w:fldChar w:fldCharType="separate"/>
      </w:r>
      <w:r>
        <w:t>145</w:t>
      </w:r>
      <w:r>
        <w:fldChar w:fldCharType="end"/>
      </w:r>
    </w:p>
    <w:p>
      <w:pPr>
        <w:pStyle w:val="TOC8"/>
        <w:rPr>
          <w:rFonts w:asciiTheme="minorHAnsi" w:eastAsiaTheme="minorEastAsia" w:hAnsiTheme="minorHAnsi" w:cstheme="minorBidi"/>
          <w:szCs w:val="22"/>
        </w:rPr>
      </w:pPr>
      <w:r>
        <w:t>74A.</w:t>
      </w:r>
      <w:r>
        <w:tab/>
        <w:t xml:space="preserve">Interstate DVOs under </w:t>
      </w:r>
      <w:r>
        <w:rPr>
          <w:i/>
        </w:rPr>
        <w:t xml:space="preserve">Domestic Violence Orders (National Recognition) Act 2017 </w:t>
      </w:r>
      <w:r>
        <w:t>cannot be registered</w:t>
      </w:r>
      <w:r>
        <w:tab/>
      </w:r>
      <w:r>
        <w:fldChar w:fldCharType="begin"/>
      </w:r>
      <w:r>
        <w:instrText xml:space="preserve"> PAGEREF _Toc103865325 \h </w:instrText>
      </w:r>
      <w:r>
        <w:fldChar w:fldCharType="separate"/>
      </w:r>
      <w:r>
        <w:t>145</w:t>
      </w:r>
      <w:r>
        <w:fldChar w:fldCharType="end"/>
      </w:r>
    </w:p>
    <w:p>
      <w:pPr>
        <w:pStyle w:val="TOC8"/>
        <w:rPr>
          <w:rFonts w:asciiTheme="minorHAnsi" w:eastAsiaTheme="minorEastAsia" w:hAnsiTheme="minorHAnsi" w:cstheme="minorBidi"/>
          <w:szCs w:val="22"/>
        </w:rPr>
      </w:pPr>
      <w:r>
        <w:t>74B.</w:t>
      </w:r>
      <w:r>
        <w:tab/>
        <w:t xml:space="preserve">Interstate orders registered before commencement of </w:t>
      </w:r>
      <w:r>
        <w:rPr>
          <w:i/>
        </w:rPr>
        <w:t>Domestic Violence Orders (National Recognition) Act 2017</w:t>
      </w:r>
      <w:r>
        <w:tab/>
      </w:r>
      <w:r>
        <w:fldChar w:fldCharType="begin"/>
      </w:r>
      <w:r>
        <w:instrText xml:space="preserve"> PAGEREF _Toc103865326 \h </w:instrText>
      </w:r>
      <w:r>
        <w:fldChar w:fldCharType="separate"/>
      </w:r>
      <w:r>
        <w:t>145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Application for registration of interstate order</w:t>
      </w:r>
      <w:r>
        <w:tab/>
      </w:r>
      <w:r>
        <w:fldChar w:fldCharType="begin"/>
      </w:r>
      <w:r>
        <w:instrText xml:space="preserve"> PAGEREF _Toc103865327 \h </w:instrText>
      </w:r>
      <w:r>
        <w:fldChar w:fldCharType="separate"/>
      </w:r>
      <w:r>
        <w:t>146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Registration</w:t>
      </w:r>
      <w:r>
        <w:tab/>
      </w:r>
      <w:r>
        <w:fldChar w:fldCharType="begin"/>
      </w:r>
      <w:r>
        <w:instrText xml:space="preserve"> PAGEREF _Toc103865328 \h </w:instrText>
      </w:r>
      <w:r>
        <w:fldChar w:fldCharType="separate"/>
      </w:r>
      <w:r>
        <w:t>147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registration</w:t>
      </w:r>
      <w:r>
        <w:tab/>
      </w:r>
      <w:r>
        <w:fldChar w:fldCharType="begin"/>
      </w:r>
      <w:r>
        <w:instrText xml:space="preserve"> PAGEREF _Toc103865329 \h </w:instrText>
      </w:r>
      <w:r>
        <w:fldChar w:fldCharType="separate"/>
      </w:r>
      <w:r>
        <w:t>148</w:t>
      </w:r>
      <w:r>
        <w:fldChar w:fldCharType="end"/>
      </w:r>
    </w:p>
    <w:p>
      <w:pPr>
        <w:pStyle w:val="TOC8"/>
        <w:rPr>
          <w:rFonts w:asciiTheme="minorHAnsi" w:eastAsiaTheme="minorEastAsia" w:hAnsiTheme="minorHAnsi" w:cstheme="minorBidi"/>
          <w:szCs w:val="22"/>
        </w:rPr>
      </w:pPr>
      <w:r>
        <w:lastRenderedPageBreak/>
        <w:t>78</w:t>
      </w:r>
      <w:r>
        <w:rPr>
          <w:snapToGrid w:val="0"/>
        </w:rPr>
        <w:t>.</w:t>
      </w:r>
      <w:r>
        <w:rPr>
          <w:snapToGrid w:val="0"/>
        </w:rPr>
        <w:tab/>
        <w:t>Variation or cancellation in another State or Territory</w:t>
      </w:r>
      <w:r>
        <w:tab/>
      </w:r>
      <w:r>
        <w:fldChar w:fldCharType="begin"/>
      </w:r>
      <w:r>
        <w:instrText xml:space="preserve"> PAGEREF _Toc103865330 \h </w:instrText>
      </w:r>
      <w:r>
        <w:fldChar w:fldCharType="separate"/>
      </w:r>
      <w:r>
        <w:t>148</w:t>
      </w:r>
      <w:r>
        <w:fldChar w:fldCharType="end"/>
      </w:r>
    </w:p>
    <w:p>
      <w:pPr>
        <w:pStyle w:val="TOC8"/>
        <w:rPr>
          <w:rFonts w:asciiTheme="minorHAnsi" w:eastAsiaTheme="minorEastAsia" w:hAnsiTheme="minorHAnsi" w:cstheme="minorBidi"/>
          <w:szCs w:val="22"/>
        </w:rPr>
      </w:pPr>
      <w:r>
        <w:t>79.</w:t>
      </w:r>
      <w:r>
        <w:tab/>
        <w:t>Variation or cancellation in this State</w:t>
      </w:r>
      <w:r>
        <w:tab/>
      </w:r>
      <w:r>
        <w:fldChar w:fldCharType="begin"/>
      </w:r>
      <w:r>
        <w:instrText xml:space="preserve"> PAGEREF _Toc103865331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7A — Foreign restraining orders</w:t>
      </w:r>
    </w:p>
    <w:p>
      <w:pPr>
        <w:pStyle w:val="TOC8"/>
        <w:rPr>
          <w:rFonts w:asciiTheme="minorHAnsi" w:eastAsiaTheme="minorEastAsia" w:hAnsiTheme="minorHAnsi" w:cstheme="minorBidi"/>
          <w:szCs w:val="22"/>
        </w:rPr>
      </w:pPr>
      <w:r>
        <w:t>79A.</w:t>
      </w:r>
      <w:r>
        <w:tab/>
        <w:t>Recognition of foreign restraining orders</w:t>
      </w:r>
      <w:r>
        <w:tab/>
      </w:r>
      <w:r>
        <w:fldChar w:fldCharType="begin"/>
      </w:r>
      <w:r>
        <w:instrText xml:space="preserve"> PAGEREF _Toc103865333 \h </w:instrText>
      </w:r>
      <w:r>
        <w:fldChar w:fldCharType="separate"/>
      </w:r>
      <w:r>
        <w:t>151</w:t>
      </w:r>
      <w:r>
        <w:fldChar w:fldCharType="end"/>
      </w:r>
    </w:p>
    <w:p>
      <w:pPr>
        <w:pStyle w:val="TOC8"/>
        <w:rPr>
          <w:rFonts w:asciiTheme="minorHAnsi" w:eastAsiaTheme="minorEastAsia" w:hAnsiTheme="minorHAnsi" w:cstheme="minorBidi"/>
          <w:szCs w:val="22"/>
        </w:rPr>
      </w:pPr>
      <w:r>
        <w:t>79B.</w:t>
      </w:r>
      <w:r>
        <w:tab/>
        <w:t>Applying for registration of foreign restraining orders</w:t>
      </w:r>
      <w:r>
        <w:tab/>
      </w:r>
      <w:r>
        <w:fldChar w:fldCharType="begin"/>
      </w:r>
      <w:r>
        <w:instrText xml:space="preserve"> PAGEREF _Toc103865334 \h </w:instrText>
      </w:r>
      <w:r>
        <w:fldChar w:fldCharType="separate"/>
      </w:r>
      <w:r>
        <w:t>151</w:t>
      </w:r>
      <w:r>
        <w:fldChar w:fldCharType="end"/>
      </w:r>
    </w:p>
    <w:p>
      <w:pPr>
        <w:pStyle w:val="TOC8"/>
        <w:rPr>
          <w:rFonts w:asciiTheme="minorHAnsi" w:eastAsiaTheme="minorEastAsia" w:hAnsiTheme="minorHAnsi" w:cstheme="minorBidi"/>
          <w:szCs w:val="22"/>
        </w:rPr>
      </w:pPr>
      <w:r>
        <w:t>79C.</w:t>
      </w:r>
      <w:r>
        <w:tab/>
        <w:t>Registration of foreign restraining orders</w:t>
      </w:r>
      <w:r>
        <w:tab/>
      </w:r>
      <w:r>
        <w:fldChar w:fldCharType="begin"/>
      </w:r>
      <w:r>
        <w:instrText xml:space="preserve"> PAGEREF _Toc103865335 \h </w:instrText>
      </w:r>
      <w:r>
        <w:fldChar w:fldCharType="separate"/>
      </w:r>
      <w:r>
        <w:t>152</w:t>
      </w:r>
      <w:r>
        <w:fldChar w:fldCharType="end"/>
      </w:r>
    </w:p>
    <w:p>
      <w:pPr>
        <w:pStyle w:val="TOC8"/>
        <w:rPr>
          <w:rFonts w:asciiTheme="minorHAnsi" w:eastAsiaTheme="minorEastAsia" w:hAnsiTheme="minorHAnsi" w:cstheme="minorBidi"/>
          <w:szCs w:val="22"/>
        </w:rPr>
      </w:pPr>
      <w:r>
        <w:t>79D.</w:t>
      </w:r>
      <w:r>
        <w:tab/>
        <w:t>Effect of registration</w:t>
      </w:r>
      <w:r>
        <w:tab/>
      </w:r>
      <w:r>
        <w:fldChar w:fldCharType="begin"/>
      </w:r>
      <w:r>
        <w:instrText xml:space="preserve"> PAGEREF _Toc103865336 \h </w:instrText>
      </w:r>
      <w:r>
        <w:fldChar w:fldCharType="separate"/>
      </w:r>
      <w:r>
        <w:t>152</w:t>
      </w:r>
      <w:r>
        <w:fldChar w:fldCharType="end"/>
      </w:r>
    </w:p>
    <w:p>
      <w:pPr>
        <w:pStyle w:val="TOC8"/>
        <w:rPr>
          <w:rFonts w:asciiTheme="minorHAnsi" w:eastAsiaTheme="minorEastAsia" w:hAnsiTheme="minorHAnsi" w:cstheme="minorBidi"/>
          <w:szCs w:val="22"/>
        </w:rPr>
      </w:pPr>
      <w:r>
        <w:t>79E.</w:t>
      </w:r>
      <w:r>
        <w:tab/>
        <w:t>Variation or cancellation in foreign country</w:t>
      </w:r>
      <w:r>
        <w:tab/>
      </w:r>
      <w:r>
        <w:fldChar w:fldCharType="begin"/>
      </w:r>
      <w:r>
        <w:instrText xml:space="preserve"> PAGEREF _Toc103865337 \h </w:instrText>
      </w:r>
      <w:r>
        <w:fldChar w:fldCharType="separate"/>
      </w:r>
      <w:r>
        <w:t>153</w:t>
      </w:r>
      <w:r>
        <w:fldChar w:fldCharType="end"/>
      </w:r>
    </w:p>
    <w:p>
      <w:pPr>
        <w:pStyle w:val="TOC8"/>
        <w:rPr>
          <w:rFonts w:asciiTheme="minorHAnsi" w:eastAsiaTheme="minorEastAsia" w:hAnsiTheme="minorHAnsi" w:cstheme="minorBidi"/>
          <w:szCs w:val="22"/>
        </w:rPr>
      </w:pPr>
      <w:r>
        <w:t>79F.</w:t>
      </w:r>
      <w:r>
        <w:tab/>
        <w:t>Variation or cancellation in this State</w:t>
      </w:r>
      <w:r>
        <w:tab/>
      </w:r>
      <w:r>
        <w:fldChar w:fldCharType="begin"/>
      </w:r>
      <w:r>
        <w:instrText xml:space="preserve"> PAGEREF _Toc103865338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_Toc103865340 \h </w:instrText>
      </w:r>
      <w:r>
        <w:fldChar w:fldCharType="separate"/>
      </w:r>
      <w:r>
        <w:t>155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_Toc103865341 \h </w:instrText>
      </w:r>
      <w:r>
        <w:fldChar w:fldCharType="separate"/>
      </w:r>
      <w:r>
        <w:t>158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_Toc103865342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NameofActReg"/>
        <w:spacing w:before="1400" w:after="880"/>
      </w:pPr>
      <w:r>
        <w:lastRenderedPageBreak/>
        <w:t>Restraining Orders Act 1997</w:t>
      </w:r>
    </w:p>
    <w:p>
      <w:pPr>
        <w:pStyle w:val="LongTitle"/>
        <w:spacing w:before="400"/>
        <w:rPr>
          <w:snapToGrid w:val="0"/>
        </w:rPr>
      </w:pPr>
      <w:r>
        <w:rPr>
          <w:snapToGrid w:val="0"/>
        </w:rPr>
        <w:t>An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No. 38 of 2004 s. 4; No. 49 of 2016 s. 4.]</w:t>
      </w:r>
    </w:p>
    <w:p>
      <w:pPr>
        <w:pStyle w:val="Heading2"/>
      </w:pPr>
      <w:bookmarkStart w:id="3" w:name="_Toc103862986"/>
      <w:bookmarkStart w:id="4" w:name="_Toc103863197"/>
      <w:bookmarkStart w:id="5" w:name="_Toc10386513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103865134"/>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w:t>
      </w:r>
    </w:p>
    <w:p>
      <w:pPr>
        <w:pStyle w:val="Heading5"/>
        <w:rPr>
          <w:snapToGrid w:val="0"/>
        </w:rPr>
      </w:pPr>
      <w:bookmarkStart w:id="7" w:name="_Toc103865135"/>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8" w:name="_Toc103865136"/>
      <w:r>
        <w:rPr>
          <w:rStyle w:val="CharSectno"/>
        </w:rPr>
        <w:t>3</w:t>
      </w:r>
      <w:r>
        <w:rPr>
          <w:snapToGrid w:val="0"/>
        </w:rPr>
        <w:t>.</w:t>
      </w:r>
      <w:r>
        <w:rPr>
          <w:snapToGrid w:val="0"/>
        </w:rPr>
        <w:tab/>
        <w:t>Terms used</w:t>
      </w:r>
      <w:bookmarkEnd w:id="8"/>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tab/>
      </w:r>
      <w:r>
        <w:rPr>
          <w:rStyle w:val="CharDefText"/>
        </w:rPr>
        <w:t>affidavit</w:t>
      </w:r>
      <w:r>
        <w:t xml:space="preserve"> includes an electronic declaration made in accordance with the rules of court;</w:t>
      </w:r>
    </w:p>
    <w:p>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lastRenderedPageBreak/>
        <w:tab/>
      </w:r>
      <w:r>
        <w:rPr>
          <w:rStyle w:val="CharDefText"/>
        </w:rPr>
        <w:t>conduct agreement order</w:t>
      </w:r>
      <w:r>
        <w:t xml:space="preserve"> has the meaning given in section 10H(1);</w:t>
      </w:r>
    </w:p>
    <w:p>
      <w:pPr>
        <w:pStyle w:val="Defstart"/>
      </w:pPr>
      <w:r>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distributes</w:t>
      </w:r>
      <w:r>
        <w:t xml:space="preserve"> has the meaning given in </w:t>
      </w:r>
      <w:r>
        <w:rPr>
          <w:i/>
        </w:rPr>
        <w:t>The Criminal Code</w:t>
      </w:r>
      <w:r>
        <w:t xml:space="preserve"> section 221BA;</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explosives licence</w:t>
      </w:r>
      <w:r>
        <w:t xml:space="preserve"> means a licence, permit or authorisation to hold an explosive under the </w:t>
      </w:r>
      <w:r>
        <w:rPr>
          <w:i/>
        </w:rPr>
        <w:t>Dangerous Goods Safety Act 2004</w:t>
      </w:r>
      <w:r>
        <w:t>;</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court proceedings</w:t>
      </w:r>
      <w:r>
        <w:t xml:space="preserve"> means proceedings under the </w:t>
      </w:r>
      <w:r>
        <w:rPr>
          <w:i/>
        </w:rPr>
        <w:t>Family Law Act 1975</w:t>
      </w:r>
      <w:r>
        <w:t xml:space="preserve"> (Commonwealth) or the </w:t>
      </w:r>
      <w:r>
        <w:rPr>
          <w:i/>
        </w:rPr>
        <w:t>Family Court Act 1997</w:t>
      </w:r>
      <w:r>
        <w:t>;</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tab/>
        <w:t>(b)</w:t>
      </w:r>
      <w:r>
        <w:tab/>
        <w:t>in relation to a VRO or MRO, a consent order;</w:t>
      </w:r>
    </w:p>
    <w:p>
      <w:pPr>
        <w:pStyle w:val="Defpara"/>
      </w:pPr>
      <w:r>
        <w:lastRenderedPageBreak/>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intimate image</w:t>
      </w:r>
      <w:r>
        <w:t xml:space="preserve"> has the meaning given in </w:t>
      </w:r>
      <w:r>
        <w:rPr>
          <w:i/>
        </w:rPr>
        <w:t>The Criminal Code</w:t>
      </w:r>
      <w:r>
        <w:t xml:space="preserve"> section 221BA;</w:t>
      </w:r>
    </w:p>
    <w:p>
      <w:pPr>
        <w:pStyle w:val="Defstart"/>
      </w:pPr>
      <w:r>
        <w:lastRenderedPageBreak/>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lastRenderedPageBreak/>
        <w:tab/>
        <w:t>(d)</w:t>
      </w:r>
      <w:r>
        <w:tab/>
        <w:t>at premises where the person lives or works;</w:t>
      </w:r>
    </w:p>
    <w:p>
      <w:pPr>
        <w:pStyle w:val="Defstart"/>
      </w:pPr>
      <w:r>
        <w:tab/>
      </w:r>
      <w:r>
        <w:rPr>
          <w:rStyle w:val="CharDefText"/>
        </w:rPr>
        <w:t>Public Advocate</w:t>
      </w:r>
      <w:r>
        <w:t xml:space="preserve"> means the person holding or acting in the office of Public Advocate under the </w:t>
      </w:r>
      <w:r>
        <w:rPr>
          <w:i/>
        </w:rPr>
        <w:t>Guardianship and Administration Act 1990</w:t>
      </w:r>
      <w:r>
        <w:t>;</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Subsection"/>
      </w:pPr>
      <w:r>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pPr>
      <w:r>
        <w:tab/>
      </w:r>
      <w:r>
        <w:rPr>
          <w:rStyle w:val="CharDefText"/>
        </w:rPr>
        <w:t>VRO</w:t>
      </w:r>
      <w:r>
        <w:t xml:space="preserve"> for violence restraining order.</w:t>
      </w:r>
    </w:p>
    <w:p>
      <w:pPr>
        <w:pStyle w:val="Footnotesection"/>
      </w:pPr>
      <w:r>
        <w:lastRenderedPageBreak/>
        <w:tab/>
        <w:t xml:space="preserve">[Section 3 amended: No. 10 of 1998 s. 62(1); No. 11 of 1999 s. 4; No. 22 of 2000 s. 4; </w:t>
      </w:r>
      <w:r>
        <w:rPr>
          <w:spacing w:val="-6"/>
        </w:rPr>
        <w:t>No. 34 of 2004 Sch. 2 cl. 23(2)</w:t>
      </w:r>
      <w:r>
        <w:t>; No. 38 of 2004 s. 5, 18(2), 25(2) and (3) and 57(2)</w:t>
      </w:r>
      <w:r>
        <w:noBreakHyphen/>
        <w:t>(4); No. 59 of 2004 s. 124; No. 5 of 2008 s. 90; No. 49 of 2016 s. 5; No. 10 of 2017 s. 45; No. 4 of 2019 s. 9; No. 13 of 2020 s. 30; No. 30 of 2020 s. 52.]</w:t>
      </w:r>
    </w:p>
    <w:p>
      <w:pPr>
        <w:pStyle w:val="Heading5"/>
      </w:pPr>
      <w:bookmarkStart w:id="9" w:name="_Toc103865137"/>
      <w:r>
        <w:rPr>
          <w:rStyle w:val="CharSectno"/>
        </w:rPr>
        <w:t>4</w:t>
      </w:r>
      <w:r>
        <w:t>.</w:t>
      </w:r>
      <w:r>
        <w:tab/>
        <w:t>Terms used: family relationship and family member</w:t>
      </w:r>
      <w:bookmarkEnd w:id="9"/>
    </w:p>
    <w:p>
      <w:pPr>
        <w:pStyle w:val="Subsection"/>
        <w:keepNext/>
        <w:keepLines/>
      </w:pPr>
      <w:r>
        <w:tab/>
        <w:t>(1)</w:t>
      </w:r>
      <w:r>
        <w:tab/>
        <w:t xml:space="preserve">In this Act — </w:t>
      </w:r>
    </w:p>
    <w:p>
      <w:pPr>
        <w:pStyle w:val="Defstart"/>
        <w:keepNext/>
        <w:keepLines/>
      </w:pPr>
      <w:r>
        <w:rPr>
          <w:b/>
        </w:rPr>
        <w:tab/>
      </w:r>
      <w:r>
        <w:rPr>
          <w:rStyle w:val="CharDefText"/>
        </w:rPr>
        <w:t>family relationship</w:t>
      </w:r>
      <w:r>
        <w:t xml:space="preserve"> means a relationship between 2 persons — </w:t>
      </w:r>
    </w:p>
    <w:p>
      <w:pPr>
        <w:pStyle w:val="Defpara"/>
        <w:keepNext/>
        <w:keepLines/>
      </w:pPr>
      <w:r>
        <w:tab/>
        <w:t>(a)</w:t>
      </w:r>
      <w:r>
        <w:tab/>
        <w:t>who are, or were, married to each other; or</w:t>
      </w:r>
    </w:p>
    <w:p>
      <w:pPr>
        <w:pStyle w:val="Defpara"/>
        <w:keepNext/>
        <w:keepLines/>
      </w:pPr>
      <w:r>
        <w:tab/>
        <w:t>(b)</w:t>
      </w:r>
      <w:r>
        <w:tab/>
        <w:t>who are, or were, in a de facto relationship with each other; or</w:t>
      </w:r>
    </w:p>
    <w:p>
      <w:pPr>
        <w:pStyle w:val="Defpara"/>
        <w:keepNext/>
        <w:keepLines/>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 or</w:t>
      </w:r>
    </w:p>
    <w:p>
      <w:pPr>
        <w:pStyle w:val="Defpara"/>
      </w:pPr>
      <w:r>
        <w:tab/>
        <w:t>(g)</w:t>
      </w:r>
      <w:r>
        <w:tab/>
        <w:t>one of whom is the former spouse or former de facto partner of the other person’s current spouse or current de facto partner.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lastRenderedPageBreak/>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keepNext/>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No. 38 of 2004 s. 6; amended: No. 49 of 2016 s. 6; No. 30 of 2020 s. 53.]</w:t>
      </w:r>
    </w:p>
    <w:p>
      <w:pPr>
        <w:pStyle w:val="Heading5"/>
      </w:pPr>
      <w:bookmarkStart w:id="10" w:name="_Toc103865138"/>
      <w:r>
        <w:rPr>
          <w:rStyle w:val="CharSectno"/>
        </w:rPr>
        <w:t>5</w:t>
      </w:r>
      <w:r>
        <w:t>.</w:t>
      </w:r>
      <w:r>
        <w:tab/>
        <w:t>Term used: family order</w:t>
      </w:r>
      <w:bookmarkEnd w:id="10"/>
    </w:p>
    <w:p>
      <w:pPr>
        <w:pStyle w:val="Subsection"/>
        <w:keepNext/>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lastRenderedPageBreak/>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No. 41 of 1997 s. 36; amended: No. 35 of 2006 s. 207.]</w:t>
      </w:r>
    </w:p>
    <w:p>
      <w:pPr>
        <w:pStyle w:val="Heading5"/>
      </w:pPr>
      <w:bookmarkStart w:id="11" w:name="_Toc103865139"/>
      <w:r>
        <w:rPr>
          <w:rStyle w:val="CharSectno"/>
        </w:rPr>
        <w:lastRenderedPageBreak/>
        <w:t>5A</w:t>
      </w:r>
      <w:r>
        <w:t>.</w:t>
      </w:r>
      <w:r>
        <w:tab/>
        <w:t>Term used: family violence</w:t>
      </w:r>
      <w:bookmarkEnd w:id="11"/>
    </w:p>
    <w:p>
      <w:pPr>
        <w:pStyle w:val="Subsection"/>
        <w:keepNext/>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by the person that coerces or controls the family member or causes the member to be fearful.</w:t>
      </w:r>
    </w:p>
    <w:p>
      <w:pPr>
        <w:pStyle w:val="Subsection"/>
        <w:keepNext/>
      </w:pPr>
      <w:r>
        <w:tab/>
        <w:t>(2)</w:t>
      </w:r>
      <w:r>
        <w:tab/>
        <w:t xml:space="preserve">Examples of behaviour that may constitute family violence include (but are not limited to) the following — </w:t>
      </w:r>
    </w:p>
    <w:p>
      <w:pPr>
        <w:pStyle w:val="Indenta"/>
      </w:pPr>
      <w:r>
        <w:tab/>
        <w:t>(a)</w:t>
      </w:r>
      <w:r>
        <w:tab/>
        <w:t>an assault against the family member;</w:t>
      </w:r>
    </w:p>
    <w:p>
      <w:pPr>
        <w:pStyle w:val="Indenta"/>
        <w:keepNext/>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Indenta"/>
      </w:pPr>
      <w:r>
        <w:tab/>
        <w:t>(ha)</w:t>
      </w:r>
      <w:r>
        <w:tab/>
        <w:t xml:space="preserve">coercing, threatening, or causing physical abuse, emotional or psychological abuse or financial abuse, in connection with demanding or receiving dowry, whether before or after any marriage; </w:t>
      </w:r>
    </w:p>
    <w:p>
      <w:pPr>
        <w:pStyle w:val="Indenta"/>
      </w:pPr>
      <w:r>
        <w:tab/>
        <w:t>(i)</w:t>
      </w:r>
      <w:r>
        <w:tab/>
        <w:t>preventing the family member from making or keeping connections with the member’s family, friends or culture;</w:t>
      </w:r>
    </w:p>
    <w:p>
      <w:pPr>
        <w:pStyle w:val="Defpara"/>
      </w:pPr>
      <w:r>
        <w:lastRenderedPageBreak/>
        <w:tab/>
        <w:t>(j)</w:t>
      </w:r>
      <w:r>
        <w:tab/>
        <w:t>kidnapping, or depriving the liberty of, the family member, or any other person with whom the member has a family relationship;</w:t>
      </w:r>
    </w:p>
    <w:p>
      <w:pPr>
        <w:pStyle w:val="Indenta"/>
      </w:pPr>
      <w:r>
        <w:tab/>
        <w:t>(k)</w:t>
      </w:r>
      <w:r>
        <w:tab/>
        <w:t>distributing an intimate image of the family member without the family member’s consent, or threatening to distribute the image;</w:t>
      </w:r>
    </w:p>
    <w:p>
      <w:pPr>
        <w:pStyle w:val="Indenta"/>
      </w:pPr>
      <w:r>
        <w:tab/>
        <w:t>(l)</w:t>
      </w:r>
      <w:r>
        <w:tab/>
        <w:t>causing any family member who is a child to be exposed to behaviour referred to in this section.</w:t>
      </w:r>
    </w:p>
    <w:p>
      <w:pPr>
        <w:pStyle w:val="Subsection"/>
        <w:keepNext/>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No. 49 of 2016 s. 7; amended: No. 4 of 2019 s. 10; No. 30 of 2020 s. 54.]</w:t>
      </w:r>
    </w:p>
    <w:p>
      <w:pPr>
        <w:pStyle w:val="Heading5"/>
      </w:pPr>
      <w:bookmarkStart w:id="12" w:name="_Toc103865140"/>
      <w:r>
        <w:rPr>
          <w:rStyle w:val="CharSectno"/>
        </w:rPr>
        <w:t>6</w:t>
      </w:r>
      <w:r>
        <w:t>.</w:t>
      </w:r>
      <w:r>
        <w:tab/>
        <w:t>Term used: personal violence</w:t>
      </w:r>
      <w:bookmarkEnd w:id="12"/>
    </w:p>
    <w:p>
      <w:pPr>
        <w:pStyle w:val="Ednotesubsection"/>
        <w:keepNext/>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pPr>
      <w:r>
        <w:tab/>
        <w:t>(3)</w:t>
      </w:r>
      <w:r>
        <w:tab/>
        <w:t>For the purposes of this Act, a person who procures another person to commit personal violence is taken to have also committed the personal violence.</w:t>
      </w:r>
    </w:p>
    <w:p>
      <w:pPr>
        <w:pStyle w:val="Footnotesection"/>
      </w:pPr>
      <w:r>
        <w:lastRenderedPageBreak/>
        <w:tab/>
        <w:t>[Section 6 inserted: No. 38 of 2004 s. 7; amended: No. 5 of 2008 s. 91; No. 49 of 2016 s. 8.]</w:t>
      </w:r>
    </w:p>
    <w:p>
      <w:pPr>
        <w:pStyle w:val="Heading5"/>
      </w:pPr>
      <w:bookmarkStart w:id="13" w:name="_Toc103865141"/>
      <w:r>
        <w:rPr>
          <w:rStyle w:val="CharSectno"/>
        </w:rPr>
        <w:t>6A</w:t>
      </w:r>
      <w:r>
        <w:t>.</w:t>
      </w:r>
      <w:r>
        <w:tab/>
        <w:t>Term used: exposed</w:t>
      </w:r>
      <w:bookmarkEnd w:id="13"/>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No. 49 of 2016 s. 9.]</w:t>
      </w:r>
    </w:p>
    <w:p>
      <w:pPr>
        <w:pStyle w:val="Heading5"/>
      </w:pPr>
      <w:bookmarkStart w:id="14" w:name="_Toc103865142"/>
      <w:r>
        <w:rPr>
          <w:rStyle w:val="CharSectno"/>
        </w:rPr>
        <w:t>7</w:t>
      </w:r>
      <w:r>
        <w:t>.</w:t>
      </w:r>
      <w:r>
        <w:tab/>
        <w:t>Persons protected, and bound, by order to be natural persons</w:t>
      </w:r>
      <w:bookmarkEnd w:id="14"/>
    </w:p>
    <w:p>
      <w:pPr>
        <w:pStyle w:val="Subsection"/>
      </w:pPr>
      <w:r>
        <w:tab/>
      </w:r>
      <w:r>
        <w:tab/>
        <w:t>A person protected by an order under this Act, and a person who is bound by an order under this Act, must be natural persons.</w:t>
      </w:r>
    </w:p>
    <w:p>
      <w:pPr>
        <w:pStyle w:val="Footnotesection"/>
      </w:pPr>
      <w:r>
        <w:tab/>
        <w:t>[Section 7 inserted: No. 38 of 2004 s. 8; amended: No. 49 of 2016 s. 10.]</w:t>
      </w:r>
    </w:p>
    <w:p>
      <w:pPr>
        <w:pStyle w:val="Heading5"/>
      </w:pPr>
      <w:bookmarkStart w:id="15" w:name="_Toc103865143"/>
      <w:r>
        <w:rPr>
          <w:rStyle w:val="CharSectno"/>
        </w:rPr>
        <w:t>7A</w:t>
      </w:r>
      <w:r>
        <w:t>.</w:t>
      </w:r>
      <w:r>
        <w:tab/>
        <w:t>Orders under this Act imposing restraints</w:t>
      </w:r>
      <w:bookmarkEnd w:id="15"/>
    </w:p>
    <w:p>
      <w:pPr>
        <w:pStyle w:val="Subsection"/>
      </w:pPr>
      <w:r>
        <w:tab/>
      </w:r>
      <w:r>
        <w:tab/>
        <w:t xml:space="preserve">An order imposing restraints may be made under this Act by — </w:t>
      </w:r>
    </w:p>
    <w:p>
      <w:pPr>
        <w:pStyle w:val="Indenta"/>
      </w:pPr>
      <w:r>
        <w:tab/>
        <w:t>(a)</w:t>
      </w:r>
      <w:r>
        <w:tab/>
        <w:t>the Magistrates Court hearing an application under section 24A, 25, 38 or 45; or</w:t>
      </w:r>
    </w:p>
    <w:p>
      <w:pPr>
        <w:pStyle w:val="Indenta"/>
      </w:pPr>
      <w:r>
        <w:tab/>
        <w:t>(b)</w:t>
      </w:r>
      <w:r>
        <w:tab/>
        <w:t>the Children’s Court hearing an application under section 24A, 25, 38 or 45; or</w:t>
      </w:r>
    </w:p>
    <w:p>
      <w:pPr>
        <w:pStyle w:val="Indenta"/>
      </w:pPr>
      <w:r>
        <w:lastRenderedPageBreak/>
        <w:tab/>
        <w:t>(c)</w:t>
      </w:r>
      <w:r>
        <w:tab/>
        <w:t>an authorised magistrate hearing a telephone application; or</w:t>
      </w:r>
    </w:p>
    <w:p>
      <w:pPr>
        <w:pStyle w:val="Indenta"/>
      </w:pPr>
      <w:r>
        <w:tab/>
        <w:t>(d)</w:t>
      </w:r>
      <w:r>
        <w:tab/>
        <w:t>a court acting under section 63 or 63A; or</w:t>
      </w:r>
    </w:p>
    <w:p>
      <w:pPr>
        <w:pStyle w:val="Indenta"/>
      </w:pPr>
      <w:r>
        <w:tab/>
        <w:t>(e)</w:t>
      </w:r>
      <w:r>
        <w:tab/>
        <w:t xml:space="preserve">a police officer acting under Part 2 Division 3A; or </w:t>
      </w:r>
    </w:p>
    <w:p>
      <w:pPr>
        <w:pStyle w:val="Indenta"/>
      </w:pPr>
      <w:r>
        <w:tab/>
        <w:t>(f)</w:t>
      </w:r>
      <w:r>
        <w:tab/>
        <w:t>a registrar acting under Part 5A.</w:t>
      </w:r>
    </w:p>
    <w:p>
      <w:pPr>
        <w:pStyle w:val="Footnotesection"/>
      </w:pPr>
      <w:r>
        <w:tab/>
        <w:t>[Section 7A inserted: No. 38 of 2004 s. 8; amended: No. 59 of 2004 s. 124; No. 49 of 2016 s. 11; No. 30 of 2020 s. 55.]</w:t>
      </w:r>
    </w:p>
    <w:p>
      <w:pPr>
        <w:pStyle w:val="Heading5"/>
      </w:pPr>
      <w:bookmarkStart w:id="16" w:name="_Toc103865144"/>
      <w:r>
        <w:rPr>
          <w:rStyle w:val="CharSectno"/>
        </w:rPr>
        <w:t>8A</w:t>
      </w:r>
      <w:r>
        <w:t>.</w:t>
      </w:r>
      <w:r>
        <w:tab/>
      </w:r>
      <w:r>
        <w:rPr>
          <w:i/>
        </w:rPr>
        <w:t>Courts and Tribunals (Electronic Processes Facilitation) Act 2013</w:t>
      </w:r>
      <w:r>
        <w:t xml:space="preserve"> Part 2 applies</w:t>
      </w:r>
      <w:bookmarkEnd w:id="1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109.]</w:t>
      </w:r>
    </w:p>
    <w:p>
      <w:pPr>
        <w:pStyle w:val="Heading2"/>
      </w:pPr>
      <w:bookmarkStart w:id="17" w:name="_Toc103862998"/>
      <w:bookmarkStart w:id="18" w:name="_Toc103863209"/>
      <w:bookmarkStart w:id="19" w:name="_Toc103865145"/>
      <w:r>
        <w:rPr>
          <w:rStyle w:val="CharPartNo"/>
        </w:rPr>
        <w:lastRenderedPageBreak/>
        <w:t>Part 1A</w:t>
      </w:r>
      <w:r>
        <w:rPr>
          <w:b w:val="0"/>
        </w:rPr>
        <w:t> </w:t>
      </w:r>
      <w:r>
        <w:t>—</w:t>
      </w:r>
      <w:r>
        <w:rPr>
          <w:b w:val="0"/>
        </w:rPr>
        <w:t> </w:t>
      </w:r>
      <w:r>
        <w:rPr>
          <w:rStyle w:val="CharPartText"/>
        </w:rPr>
        <w:t>Restraining orders generally</w:t>
      </w:r>
      <w:bookmarkEnd w:id="17"/>
      <w:bookmarkEnd w:id="18"/>
      <w:bookmarkEnd w:id="19"/>
    </w:p>
    <w:p>
      <w:pPr>
        <w:pStyle w:val="Footnoteheading"/>
        <w:tabs>
          <w:tab w:val="left" w:pos="851"/>
        </w:tabs>
      </w:pPr>
      <w:r>
        <w:tab/>
        <w:t>[Heading inserted: No. 38 of 2004 s. 9.]</w:t>
      </w:r>
    </w:p>
    <w:p>
      <w:pPr>
        <w:pStyle w:val="Heading5"/>
      </w:pPr>
      <w:bookmarkStart w:id="20" w:name="_Toc103865146"/>
      <w:r>
        <w:rPr>
          <w:rStyle w:val="CharSectno"/>
        </w:rPr>
        <w:t>8</w:t>
      </w:r>
      <w:r>
        <w:t>.</w:t>
      </w:r>
      <w:r>
        <w:tab/>
        <w:t>Explanation about orders to be given</w:t>
      </w:r>
      <w:bookmarkEnd w:id="20"/>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lastRenderedPageBreak/>
        <w:tab/>
        <w:t>(h)</w:t>
      </w:r>
      <w:r>
        <w:tab/>
        <w:t xml:space="preserve">if the order is an FVRO or VRO, the effects of sections 14, 14A and 62E relating to firearms and explosives; and </w:t>
      </w:r>
    </w:p>
    <w:p>
      <w:pPr>
        <w:pStyle w:val="Indenta"/>
      </w:pPr>
      <w:r>
        <w:tab/>
        <w:t>(ha)</w:t>
      </w:r>
      <w:r>
        <w:tab/>
        <w:t xml:space="preserve">if the order is an FVRO, the effect of the </w:t>
      </w:r>
      <w:r>
        <w:rPr>
          <w:i/>
        </w:rPr>
        <w:t>Domestic Violence Orders (National Recognition) Act 2017</w:t>
      </w:r>
      <w:r>
        <w:t>;</w:t>
      </w:r>
    </w:p>
    <w:p>
      <w:pPr>
        <w:pStyle w:val="Indenta"/>
      </w:pPr>
      <w:r>
        <w:tab/>
        <w:t>(i)</w:t>
      </w:r>
      <w:r>
        <w:tab/>
        <w:t>that counselling and support services may be of assistance, and where appropriate, the court is to refer the person to specific services.</w:t>
      </w:r>
    </w:p>
    <w:p>
      <w:pPr>
        <w:pStyle w:val="Subsection"/>
      </w:pPr>
      <w:r>
        <w:tab/>
        <w:t>(2)</w:t>
      </w:r>
      <w:r>
        <w:tab/>
        <w:t xml:space="preserve">If a person to whom an explanation is to be given under subsection (1) does not readily understand English, or the court is not satisfied that the person understood the explanation, the court is, as far as practicable, to arrange for someone else who is 18 years of age or older to give the explanation to the person in a way that the person can understand. </w:t>
      </w:r>
    </w:p>
    <w:p>
      <w:pPr>
        <w:pStyle w:val="Subsection"/>
      </w:pPr>
      <w:r>
        <w:tab/>
        <w:t>(2A)</w:t>
      </w:r>
      <w:r>
        <w:tab/>
        <w:t>However, a person giving an explanation under subsection (2) must not be a person of a class prescribed in the regulations.</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No. 38 of 2004 s. 9; amended: No. 59 of 2004 s. 123; No. 49 of 2016 s. 12; No. 10 of 2017 s. 46; No. 30 of 2020 s. 56.]</w:t>
      </w:r>
    </w:p>
    <w:p>
      <w:pPr>
        <w:pStyle w:val="Heading5"/>
      </w:pPr>
      <w:bookmarkStart w:id="21" w:name="_Toc103865147"/>
      <w:r>
        <w:rPr>
          <w:rStyle w:val="CharSectno"/>
        </w:rPr>
        <w:lastRenderedPageBreak/>
        <w:t>9</w:t>
      </w:r>
      <w:r>
        <w:t>.</w:t>
      </w:r>
      <w:r>
        <w:tab/>
        <w:t>Fixing a hearing</w:t>
      </w:r>
      <w:bookmarkEnd w:id="21"/>
    </w:p>
    <w:p>
      <w:pPr>
        <w:pStyle w:val="Subsection"/>
        <w:keepNext/>
        <w:keepLines/>
      </w:pPr>
      <w:r>
        <w:tab/>
      </w:r>
      <w:r>
        <w:tab/>
        <w:t xml:space="preserve">The rules of court may make provision for — </w:t>
      </w:r>
    </w:p>
    <w:p>
      <w:pPr>
        <w:pStyle w:val="Indenta"/>
        <w:keepNext/>
        <w:keepLines/>
      </w:pPr>
      <w:r>
        <w:tab/>
        <w:t>(a)</w:t>
      </w:r>
      <w:r>
        <w:tab/>
        <w:t>fixing, selecting or arranging a day, time and place for a hearing; and</w:t>
      </w:r>
    </w:p>
    <w:p>
      <w:pPr>
        <w:pStyle w:val="Indenta"/>
        <w:keepNext/>
        <w:keepLines/>
      </w:pPr>
      <w:r>
        <w:tab/>
        <w:t>(b)</w:t>
      </w:r>
      <w:r>
        <w:tab/>
        <w:t>requiring a person to attend a hearing; and</w:t>
      </w:r>
    </w:p>
    <w:p>
      <w:pPr>
        <w:pStyle w:val="Indenta"/>
      </w:pPr>
      <w:r>
        <w:tab/>
        <w:t>(c)</w:t>
      </w:r>
      <w:r>
        <w:tab/>
        <w:t>preparing, or arranging for the preparation of, a summons in the prescribed form; and</w:t>
      </w:r>
    </w:p>
    <w:p>
      <w:pPr>
        <w:pStyle w:val="Indenta"/>
      </w:pPr>
      <w:r>
        <w:tab/>
        <w:t>(d)</w:t>
      </w:r>
      <w:r>
        <w:tab/>
        <w:t>causing a summons to be served on a person; and</w:t>
      </w:r>
    </w:p>
    <w:p>
      <w:pPr>
        <w:pStyle w:val="Indenta"/>
      </w:pPr>
      <w:r>
        <w:tab/>
        <w:t>(e)</w:t>
      </w:r>
      <w:r>
        <w:tab/>
        <w:t>notifying all other parties of the hearing.</w:t>
      </w:r>
    </w:p>
    <w:p>
      <w:pPr>
        <w:pStyle w:val="Footnotesection"/>
      </w:pPr>
      <w:r>
        <w:tab/>
        <w:t>[Section 9 inserted: No. 13 of 2020 s. 31.]</w:t>
      </w:r>
    </w:p>
    <w:p>
      <w:pPr>
        <w:pStyle w:val="Heading5"/>
        <w:spacing w:before="200"/>
        <w:rPr>
          <w:snapToGrid w:val="0"/>
        </w:rPr>
      </w:pPr>
      <w:bookmarkStart w:id="22" w:name="_Toc103865148"/>
      <w:r>
        <w:rPr>
          <w:rStyle w:val="CharSectno"/>
        </w:rPr>
        <w:t>10</w:t>
      </w:r>
      <w:r>
        <w:rPr>
          <w:snapToGrid w:val="0"/>
        </w:rPr>
        <w:t>.</w:t>
      </w:r>
      <w:r>
        <w:rPr>
          <w:snapToGrid w:val="0"/>
        </w:rPr>
        <w:tab/>
        <w:t>Preparation and service of orders</w:t>
      </w:r>
      <w:bookmarkEnd w:id="22"/>
      <w:r>
        <w:rPr>
          <w:snapToGrid w:val="0"/>
        </w:rPr>
        <w:t xml:space="preserve"> </w:t>
      </w:r>
    </w:p>
    <w:p>
      <w:pPr>
        <w:pStyle w:val="Subsection"/>
      </w:pPr>
      <w:r>
        <w:tab/>
        <w:t>(1)</w:t>
      </w:r>
      <w:r>
        <w:tab/>
        <w:t xml:space="preserve">A restraining order may be prepared in a manner authorised under the rules of court and the rules may make provision for — </w:t>
      </w:r>
    </w:p>
    <w:p>
      <w:pPr>
        <w:pStyle w:val="Indenta"/>
      </w:pPr>
      <w:r>
        <w:tab/>
        <w:t>(a)</w:t>
      </w:r>
      <w:r>
        <w:tab/>
        <w:t>serving the respondent’s copy and the respondent’s endorsement copy (if 1 is required to be served) of the order on the person who is bound by the order; and</w:t>
      </w:r>
    </w:p>
    <w:p>
      <w:pPr>
        <w:pStyle w:val="Indenta"/>
      </w:pPr>
      <w:r>
        <w:tab/>
        <w:t>(b)</w:t>
      </w:r>
      <w:r>
        <w:tab/>
        <w:t xml:space="preserve">delivering the applicant’s copy of the order to — </w:t>
      </w:r>
    </w:p>
    <w:p>
      <w:pPr>
        <w:pStyle w:val="Indenti"/>
      </w:pPr>
      <w:r>
        <w:tab/>
        <w:t>(i)</w:t>
      </w:r>
      <w:r>
        <w:tab/>
        <w:t>the person seeking to be protected by the order; or</w:t>
      </w:r>
    </w:p>
    <w:p>
      <w:pPr>
        <w:pStyle w:val="Indenti"/>
      </w:pPr>
      <w:r>
        <w:tab/>
        <w:t>(ii)</w:t>
      </w:r>
      <w:r>
        <w:tab/>
        <w:t>the parent or guardian of that person, if the parent or guardian made the application for the order on behalf of that person;</w:t>
      </w:r>
    </w:p>
    <w:p>
      <w:pPr>
        <w:pStyle w:val="Indenta"/>
      </w:pPr>
      <w:r>
        <w:tab/>
      </w:r>
      <w:r>
        <w:tab/>
        <w:t>and</w:t>
      </w:r>
    </w:p>
    <w:p>
      <w:pPr>
        <w:pStyle w:val="Indenta"/>
      </w:pPr>
      <w:r>
        <w:tab/>
        <w:t>(c)</w:t>
      </w:r>
      <w:r>
        <w:tab/>
        <w:t>delivering the police copy of the order to the Commissioner of Police; and</w:t>
      </w:r>
    </w:p>
    <w:p>
      <w:pPr>
        <w:pStyle w:val="Indenta"/>
      </w:pPr>
      <w:r>
        <w:tab/>
        <w:t>(d)</w:t>
      </w:r>
      <w:r>
        <w:tab/>
        <w:t>placing the court copy of the order on the court’s records.</w:t>
      </w:r>
    </w:p>
    <w:p>
      <w:pPr>
        <w:pStyle w:val="Subsection"/>
        <w:keepNext/>
      </w:pPr>
      <w:r>
        <w:tab/>
        <w:t>(1A)</w:t>
      </w:r>
      <w:r>
        <w:tab/>
        <w:t xml:space="preserve">If a restraining order is taken to have been served under section 55(3a), the respondent’s copy and the respondent’s </w:t>
      </w:r>
      <w:r>
        <w:lastRenderedPageBreak/>
        <w:t xml:space="preserve">endorsement copy are not required to be served under rules of court made under subsection (1)(a) but are to be — </w:t>
      </w:r>
    </w:p>
    <w:p>
      <w:pPr>
        <w:pStyle w:val="Indenta"/>
      </w:pPr>
      <w:r>
        <w:tab/>
        <w:t>(a)</w:t>
      </w:r>
      <w:r>
        <w:tab/>
        <w:t>delivered to the respondent; and</w:t>
      </w:r>
    </w:p>
    <w:p>
      <w:pPr>
        <w:pStyle w:val="Indenta"/>
      </w:pPr>
      <w:r>
        <w:tab/>
        <w:t>(b)</w:t>
      </w:r>
      <w:r>
        <w:tab/>
        <w:t>if rules of court make provision for delivery under paragraph (a) — delivered in accordance with those rules.</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keepNext/>
      </w:pPr>
      <w:r>
        <w:tab/>
        <w:t>(b)</w:t>
      </w:r>
      <w:r>
        <w:tab/>
        <w:t>otherwise, to the Magistrates Court,</w:t>
      </w:r>
    </w:p>
    <w:p>
      <w:pPr>
        <w:pStyle w:val="Subsection"/>
      </w:pPr>
      <w:r>
        <w:tab/>
      </w:r>
      <w:r>
        <w:tab/>
        <w:t>at the place nearest to where the respondent lives.</w:t>
      </w:r>
    </w:p>
    <w:p>
      <w:pPr>
        <w:pStyle w:val="Subsection"/>
      </w:pPr>
      <w:r>
        <w:lastRenderedPageBreak/>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No. 38 of 2004 s. 10, 18(3) and 38(4); No. 59 of 2004 s. 123 and 124; No. 5 of 2008 s. 92; No. 49 of 2016 s. 13; No. 13 of 2020 s. 32.]</w:t>
      </w:r>
    </w:p>
    <w:p>
      <w:pPr>
        <w:pStyle w:val="Heading2"/>
      </w:pPr>
      <w:bookmarkStart w:id="23" w:name="_Toc103863002"/>
      <w:bookmarkStart w:id="24" w:name="_Toc103863213"/>
      <w:bookmarkStart w:id="25" w:name="_Toc103865149"/>
      <w:r>
        <w:rPr>
          <w:rStyle w:val="CharPartNo"/>
        </w:rPr>
        <w:lastRenderedPageBreak/>
        <w:t>Part 1B</w:t>
      </w:r>
      <w:r>
        <w:rPr>
          <w:rStyle w:val="CharDivNo"/>
        </w:rPr>
        <w:t> </w:t>
      </w:r>
      <w:r>
        <w:t>—</w:t>
      </w:r>
      <w:r>
        <w:rPr>
          <w:rStyle w:val="CharDivText"/>
        </w:rPr>
        <w:t> </w:t>
      </w:r>
      <w:r>
        <w:rPr>
          <w:rStyle w:val="CharPartText"/>
        </w:rPr>
        <w:t>Family violence restraining order</w:t>
      </w:r>
      <w:bookmarkEnd w:id="23"/>
      <w:bookmarkEnd w:id="24"/>
      <w:bookmarkEnd w:id="25"/>
      <w:r>
        <w:t xml:space="preserve"> </w:t>
      </w:r>
    </w:p>
    <w:p>
      <w:pPr>
        <w:pStyle w:val="Footnoteheading"/>
      </w:pPr>
      <w:r>
        <w:tab/>
        <w:t>[Heading inserted: No. 49 of 2016 s. 14.]</w:t>
      </w:r>
    </w:p>
    <w:p>
      <w:pPr>
        <w:pStyle w:val="Heading5"/>
      </w:pPr>
      <w:bookmarkStart w:id="26" w:name="_Toc103865150"/>
      <w:r>
        <w:rPr>
          <w:rStyle w:val="CharSectno"/>
        </w:rPr>
        <w:t>10A</w:t>
      </w:r>
      <w:r>
        <w:t>.</w:t>
      </w:r>
      <w:r>
        <w:tab/>
        <w:t>Objects</w:t>
      </w:r>
      <w:bookmarkEnd w:id="26"/>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No. 49 of 2016 s. 14.]</w:t>
      </w:r>
    </w:p>
    <w:p>
      <w:pPr>
        <w:pStyle w:val="Heading5"/>
      </w:pPr>
      <w:bookmarkStart w:id="27" w:name="_Toc103865151"/>
      <w:r>
        <w:rPr>
          <w:rStyle w:val="CharSectno"/>
        </w:rPr>
        <w:t>10B</w:t>
      </w:r>
      <w:r>
        <w:t>.</w:t>
      </w:r>
      <w:r>
        <w:tab/>
        <w:t>Principles to be observed in performing functions in relation to FVROs</w:t>
      </w:r>
      <w:bookmarkEnd w:id="27"/>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the particular need to ensure the wellbeing of children by protecting them from family violence, behaviour referred to in paragraph (b) or otherwise being subjected or exposed to family violence;</w:t>
      </w:r>
    </w:p>
    <w:p>
      <w:pPr>
        <w:pStyle w:val="Indenta"/>
      </w:pPr>
      <w:r>
        <w:lastRenderedPageBreak/>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lastRenderedPageBreak/>
        <w:tab/>
        <w:t>(2)</w:t>
      </w:r>
      <w:r>
        <w:tab/>
        <w:t>The person, court or other body is to have regard to the matters set out in subsection (1)(a), (b) and (c) as being of primary importance.</w:t>
      </w:r>
    </w:p>
    <w:p>
      <w:pPr>
        <w:pStyle w:val="Footnotesection"/>
        <w:ind w:left="890" w:hanging="890"/>
      </w:pPr>
      <w:r>
        <w:tab/>
        <w:t>[Section 10B inserted: No. 49 of 2016 s. 14.]</w:t>
      </w:r>
    </w:p>
    <w:p>
      <w:pPr>
        <w:pStyle w:val="Heading5"/>
      </w:pPr>
      <w:bookmarkStart w:id="28" w:name="_Toc103865152"/>
      <w:r>
        <w:rPr>
          <w:rStyle w:val="CharSectno"/>
        </w:rPr>
        <w:t>10C</w:t>
      </w:r>
      <w:r>
        <w:t>.</w:t>
      </w:r>
      <w:r>
        <w:tab/>
        <w:t>FVRO to specify names of person bound, and person protected, by order</w:t>
      </w:r>
      <w:bookmarkEnd w:id="28"/>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No. 49 of 2016 s. 14.]</w:t>
      </w:r>
    </w:p>
    <w:p>
      <w:pPr>
        <w:pStyle w:val="Heading5"/>
      </w:pPr>
      <w:bookmarkStart w:id="29" w:name="_Toc103865153"/>
      <w:r>
        <w:rPr>
          <w:rStyle w:val="CharSectno"/>
        </w:rPr>
        <w:t>10D</w:t>
      </w:r>
      <w:r>
        <w:t>.</w:t>
      </w:r>
      <w:r>
        <w:tab/>
        <w:t>When FVROs may be made</w:t>
      </w:r>
      <w:bookmarkEnd w:id="29"/>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No. 49 of 2016 s. 14.]</w:t>
      </w:r>
    </w:p>
    <w:p>
      <w:pPr>
        <w:pStyle w:val="Heading5"/>
      </w:pPr>
      <w:bookmarkStart w:id="30" w:name="_Toc103865154"/>
      <w:r>
        <w:rPr>
          <w:rStyle w:val="CharSectno"/>
        </w:rPr>
        <w:lastRenderedPageBreak/>
        <w:t>10E</w:t>
      </w:r>
      <w:r>
        <w:t>.</w:t>
      </w:r>
      <w:r>
        <w:tab/>
        <w:t>FVRO may be made for child in circumstances of family violence</w:t>
      </w:r>
      <w:bookmarkEnd w:id="30"/>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No. 49 of 2016 s. 14.]</w:t>
      </w:r>
    </w:p>
    <w:p>
      <w:pPr>
        <w:pStyle w:val="Heading5"/>
      </w:pPr>
      <w:bookmarkStart w:id="31" w:name="_Toc103865155"/>
      <w:r>
        <w:rPr>
          <w:rStyle w:val="CharSectno"/>
        </w:rPr>
        <w:t>10F</w:t>
      </w:r>
      <w:r>
        <w:t>.</w:t>
      </w:r>
      <w:r>
        <w:tab/>
        <w:t>Matters to be considered by court generally</w:t>
      </w:r>
      <w:bookmarkEnd w:id="31"/>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 xml:space="preserve">the need to ensure the wellbeing of children by protecting them from family violence, behaviour </w:t>
      </w:r>
      <w:r>
        <w:lastRenderedPageBreak/>
        <w:t>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 xml:space="preserve">The Commissioner of Police, is, where practicable, to provide to a court any information in the possession of the Police Force of </w:t>
      </w:r>
      <w:r>
        <w:lastRenderedPageBreak/>
        <w:t>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No. 49 of 2016 s. 14.]</w:t>
      </w:r>
    </w:p>
    <w:p>
      <w:pPr>
        <w:pStyle w:val="Heading5"/>
      </w:pPr>
      <w:bookmarkStart w:id="32" w:name="_Toc103865156"/>
      <w:r>
        <w:rPr>
          <w:rStyle w:val="CharSectno"/>
        </w:rPr>
        <w:t>10G</w:t>
      </w:r>
      <w:r>
        <w:t>.</w:t>
      </w:r>
      <w:r>
        <w:tab/>
        <w:t>Restraints on respondent</w:t>
      </w:r>
      <w:bookmarkEnd w:id="32"/>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lastRenderedPageBreak/>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an intimate image of the person seeking to be protected, or threatening to distribute the image;</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lastRenderedPageBreak/>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No. 49 of 2016 s. 14; amended: No. 4 of 2019 s. 11.]</w:t>
      </w:r>
    </w:p>
    <w:p>
      <w:pPr>
        <w:pStyle w:val="Heading5"/>
      </w:pPr>
      <w:bookmarkStart w:id="33" w:name="_Toc103865157"/>
      <w:r>
        <w:rPr>
          <w:rStyle w:val="CharSectno"/>
        </w:rPr>
        <w:t>10H</w:t>
      </w:r>
      <w:r>
        <w:t>.</w:t>
      </w:r>
      <w:r>
        <w:tab/>
        <w:t>Conduct agreement</w:t>
      </w:r>
      <w:bookmarkEnd w:id="33"/>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No. 49 of 2016 s. 14.]</w:t>
      </w:r>
    </w:p>
    <w:p>
      <w:pPr>
        <w:pStyle w:val="Heading2"/>
      </w:pPr>
      <w:bookmarkStart w:id="34" w:name="_Toc103863011"/>
      <w:bookmarkStart w:id="35" w:name="_Toc103863222"/>
      <w:bookmarkStart w:id="36" w:name="_Toc103865158"/>
      <w:r>
        <w:rPr>
          <w:rStyle w:val="CharPartNo"/>
        </w:rPr>
        <w:lastRenderedPageBreak/>
        <w:t>Part 1C</w:t>
      </w:r>
      <w:r>
        <w:t> — </w:t>
      </w:r>
      <w:r>
        <w:rPr>
          <w:rStyle w:val="CharPartText"/>
        </w:rPr>
        <w:t>Behaviour management order</w:t>
      </w:r>
      <w:bookmarkEnd w:id="34"/>
      <w:bookmarkEnd w:id="35"/>
      <w:bookmarkEnd w:id="36"/>
    </w:p>
    <w:p>
      <w:pPr>
        <w:pStyle w:val="Footnoteheading"/>
      </w:pPr>
      <w:r>
        <w:tab/>
        <w:t>[Heading inserted: No. 49 of 2016 s. 14.]</w:t>
      </w:r>
    </w:p>
    <w:p>
      <w:pPr>
        <w:pStyle w:val="Heading3"/>
      </w:pPr>
      <w:bookmarkStart w:id="37" w:name="_Toc103863012"/>
      <w:bookmarkStart w:id="38" w:name="_Toc103863223"/>
      <w:bookmarkStart w:id="39" w:name="_Toc103865159"/>
      <w:r>
        <w:rPr>
          <w:rStyle w:val="CharDivNo"/>
        </w:rPr>
        <w:t>Division 1</w:t>
      </w:r>
      <w:r>
        <w:t> — </w:t>
      </w:r>
      <w:r>
        <w:rPr>
          <w:rStyle w:val="CharDivText"/>
        </w:rPr>
        <w:t>Preliminary</w:t>
      </w:r>
      <w:bookmarkEnd w:id="37"/>
      <w:bookmarkEnd w:id="38"/>
      <w:bookmarkEnd w:id="39"/>
    </w:p>
    <w:p>
      <w:pPr>
        <w:pStyle w:val="Footnoteheading"/>
      </w:pPr>
      <w:r>
        <w:tab/>
        <w:t>[Heading inserted: No. 49 of 2016 s. 14.]</w:t>
      </w:r>
    </w:p>
    <w:p>
      <w:pPr>
        <w:pStyle w:val="Heading5"/>
      </w:pPr>
      <w:bookmarkStart w:id="40" w:name="_Toc103865160"/>
      <w:r>
        <w:rPr>
          <w:rStyle w:val="CharSectno"/>
        </w:rPr>
        <w:t>10I</w:t>
      </w:r>
      <w:r>
        <w:t>.</w:t>
      </w:r>
      <w:r>
        <w:tab/>
        <w:t>Terms used</w:t>
      </w:r>
      <w:bookmarkEnd w:id="40"/>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No. 49 of 2016 s. 14.]</w:t>
      </w:r>
    </w:p>
    <w:p>
      <w:pPr>
        <w:pStyle w:val="Heading5"/>
      </w:pPr>
      <w:bookmarkStart w:id="41" w:name="_Toc103865161"/>
      <w:r>
        <w:rPr>
          <w:rStyle w:val="CharSectno"/>
        </w:rPr>
        <w:lastRenderedPageBreak/>
        <w:t>10J</w:t>
      </w:r>
      <w:r>
        <w:t>.</w:t>
      </w:r>
      <w:r>
        <w:tab/>
        <w:t>Objects</w:t>
      </w:r>
      <w:bookmarkEnd w:id="41"/>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No. 49 of 2016 s. 14.]</w:t>
      </w:r>
    </w:p>
    <w:p>
      <w:pPr>
        <w:pStyle w:val="Heading5"/>
      </w:pPr>
      <w:bookmarkStart w:id="42" w:name="_Toc103865162"/>
      <w:r>
        <w:rPr>
          <w:rStyle w:val="CharSectno"/>
        </w:rPr>
        <w:t>10K</w:t>
      </w:r>
      <w:r>
        <w:t>.</w:t>
      </w:r>
      <w:r>
        <w:tab/>
        <w:t>Application of Part</w:t>
      </w:r>
      <w:bookmarkEnd w:id="42"/>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No. 49 of 2016 s. 14.]</w:t>
      </w:r>
    </w:p>
    <w:p>
      <w:pPr>
        <w:pStyle w:val="Heading3"/>
      </w:pPr>
      <w:bookmarkStart w:id="43" w:name="_Toc103863016"/>
      <w:bookmarkStart w:id="44" w:name="_Toc103863227"/>
      <w:bookmarkStart w:id="45" w:name="_Toc103865163"/>
      <w:r>
        <w:rPr>
          <w:rStyle w:val="CharDivNo"/>
        </w:rPr>
        <w:t>Division 2</w:t>
      </w:r>
      <w:r>
        <w:t> — </w:t>
      </w:r>
      <w:r>
        <w:rPr>
          <w:rStyle w:val="CharDivText"/>
        </w:rPr>
        <w:t>Eligibility assessment order</w:t>
      </w:r>
      <w:bookmarkEnd w:id="43"/>
      <w:bookmarkEnd w:id="44"/>
      <w:bookmarkEnd w:id="45"/>
    </w:p>
    <w:p>
      <w:pPr>
        <w:pStyle w:val="Footnoteheading"/>
      </w:pPr>
      <w:r>
        <w:tab/>
        <w:t>[Heading inserted: No. 49 of 2016 s. 14.]</w:t>
      </w:r>
    </w:p>
    <w:p>
      <w:pPr>
        <w:pStyle w:val="Heading5"/>
      </w:pPr>
      <w:bookmarkStart w:id="46" w:name="_Toc103865164"/>
      <w:r>
        <w:rPr>
          <w:rStyle w:val="CharSectno"/>
        </w:rPr>
        <w:t>10L</w:t>
      </w:r>
      <w:r>
        <w:t>.</w:t>
      </w:r>
      <w:r>
        <w:tab/>
        <w:t>Making an eligibility assessment order</w:t>
      </w:r>
      <w:bookmarkEnd w:id="46"/>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lastRenderedPageBreak/>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tab/>
        <w:t>(c)</w:t>
      </w:r>
      <w:r>
        <w:tab/>
        <w:t>require the respondent to attend that interview.</w:t>
      </w:r>
    </w:p>
    <w:p>
      <w:pPr>
        <w:pStyle w:val="Subsection"/>
      </w:pPr>
      <w:r>
        <w:lastRenderedPageBreak/>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No. 49 of 2016 s. 14.]</w:t>
      </w:r>
    </w:p>
    <w:p>
      <w:pPr>
        <w:pStyle w:val="Heading5"/>
      </w:pPr>
      <w:bookmarkStart w:id="47" w:name="_Toc103865165"/>
      <w:r>
        <w:rPr>
          <w:rStyle w:val="CharSectno"/>
        </w:rPr>
        <w:t>10M</w:t>
      </w:r>
      <w:r>
        <w:t>.</w:t>
      </w:r>
      <w:r>
        <w:tab/>
        <w:t>Order to attend behaviour change programme</w:t>
      </w:r>
      <w:bookmarkEnd w:id="47"/>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Indenta"/>
      </w:pPr>
      <w:r>
        <w:lastRenderedPageBreak/>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No. 49 of 2016 s. 14.]</w:t>
      </w:r>
    </w:p>
    <w:p>
      <w:pPr>
        <w:pStyle w:val="Heading5"/>
      </w:pPr>
      <w:bookmarkStart w:id="48" w:name="_Toc103865166"/>
      <w:r>
        <w:rPr>
          <w:rStyle w:val="CharSectno"/>
        </w:rPr>
        <w:t>10N</w:t>
      </w:r>
      <w:r>
        <w:t>.</w:t>
      </w:r>
      <w:r>
        <w:tab/>
        <w:t>Effect of appeal against final order</w:t>
      </w:r>
      <w:bookmarkEnd w:id="48"/>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tab/>
        <w:t>[Section 10N inserted: No. 49 of 2016 s. 14.]</w:t>
      </w:r>
    </w:p>
    <w:p>
      <w:pPr>
        <w:pStyle w:val="Heading3"/>
      </w:pPr>
      <w:bookmarkStart w:id="49" w:name="_Toc103863020"/>
      <w:bookmarkStart w:id="50" w:name="_Toc103863231"/>
      <w:bookmarkStart w:id="51" w:name="_Toc103865167"/>
      <w:r>
        <w:rPr>
          <w:rStyle w:val="CharDivNo"/>
        </w:rPr>
        <w:lastRenderedPageBreak/>
        <w:t>Division 3</w:t>
      </w:r>
      <w:r>
        <w:t> — </w:t>
      </w:r>
      <w:r>
        <w:rPr>
          <w:rStyle w:val="CharDivText"/>
        </w:rPr>
        <w:t>Procedures relating to behaviour management order</w:t>
      </w:r>
      <w:bookmarkEnd w:id="49"/>
      <w:bookmarkEnd w:id="50"/>
      <w:bookmarkEnd w:id="51"/>
    </w:p>
    <w:p>
      <w:pPr>
        <w:pStyle w:val="Footnoteheading"/>
      </w:pPr>
      <w:r>
        <w:tab/>
        <w:t>[Heading inserted: No. 49 of 2016 s. 14.]</w:t>
      </w:r>
    </w:p>
    <w:p>
      <w:pPr>
        <w:pStyle w:val="Heading5"/>
      </w:pPr>
      <w:bookmarkStart w:id="52" w:name="_Toc103865168"/>
      <w:r>
        <w:rPr>
          <w:rStyle w:val="CharSectno"/>
        </w:rPr>
        <w:t>10O</w:t>
      </w:r>
      <w:r>
        <w:t>.</w:t>
      </w:r>
      <w:r>
        <w:tab/>
        <w:t>Notice of hearings</w:t>
      </w:r>
      <w:bookmarkEnd w:id="52"/>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No. 49 of 2016 s. 14.]</w:t>
      </w:r>
    </w:p>
    <w:p>
      <w:pPr>
        <w:pStyle w:val="Heading5"/>
      </w:pPr>
      <w:bookmarkStart w:id="53" w:name="_Toc103865169"/>
      <w:r>
        <w:rPr>
          <w:rStyle w:val="CharSectno"/>
        </w:rPr>
        <w:t>10P</w:t>
      </w:r>
      <w:r>
        <w:t>.</w:t>
      </w:r>
      <w:r>
        <w:tab/>
        <w:t>Approval of persons and of behaviour change programme</w:t>
      </w:r>
      <w:bookmarkEnd w:id="53"/>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tab/>
        <w:t>(c)</w:t>
      </w:r>
      <w:r>
        <w:tab/>
        <w:t>deal with any other issues relating to the perpetrators of family violence.</w:t>
      </w:r>
    </w:p>
    <w:p>
      <w:pPr>
        <w:pStyle w:val="Subsection"/>
      </w:pPr>
      <w:r>
        <w:lastRenderedPageBreak/>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No. 49 of 2016 s. 14.]</w:t>
      </w:r>
    </w:p>
    <w:p>
      <w:pPr>
        <w:pStyle w:val="Heading5"/>
      </w:pPr>
      <w:bookmarkStart w:id="54" w:name="_Toc103865170"/>
      <w:r>
        <w:rPr>
          <w:rStyle w:val="CharSectno"/>
        </w:rPr>
        <w:t>10Q</w:t>
      </w:r>
      <w:r>
        <w:t>.</w:t>
      </w:r>
      <w:r>
        <w:tab/>
        <w:t>Eligibility assessor may be required to attend hearing</w:t>
      </w:r>
      <w:bookmarkEnd w:id="54"/>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No. 49 of 2016 s. 14.]</w:t>
      </w:r>
    </w:p>
    <w:p>
      <w:pPr>
        <w:pStyle w:val="Heading5"/>
      </w:pPr>
      <w:bookmarkStart w:id="55" w:name="_Toc103865171"/>
      <w:r>
        <w:rPr>
          <w:rStyle w:val="CharSectno"/>
        </w:rPr>
        <w:t>10R</w:t>
      </w:r>
      <w:r>
        <w:t>.</w:t>
      </w:r>
      <w:r>
        <w:tab/>
        <w:t>Disputed eligibility assessment report</w:t>
      </w:r>
      <w:bookmarkEnd w:id="55"/>
    </w:p>
    <w:p>
      <w:pPr>
        <w:pStyle w:val="Subsection"/>
      </w:pPr>
      <w:r>
        <w:tab/>
        <w:t>(1)</w:t>
      </w:r>
      <w:r>
        <w:tab/>
        <w:t xml:space="preserve">If the respondent disputes any matter in an eligibility assessment report, the court must not take the disputed matter into </w:t>
      </w:r>
      <w:r>
        <w:lastRenderedPageBreak/>
        <w:t xml:space="preserve">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No. 49 of 2016 s. 14.]</w:t>
      </w:r>
    </w:p>
    <w:p>
      <w:pPr>
        <w:pStyle w:val="Heading5"/>
      </w:pPr>
      <w:bookmarkStart w:id="56" w:name="_Toc103865172"/>
      <w:r>
        <w:rPr>
          <w:rStyle w:val="CharSectno"/>
        </w:rPr>
        <w:t>10S</w:t>
      </w:r>
      <w:r>
        <w:t>.</w:t>
      </w:r>
      <w:r>
        <w:tab/>
        <w:t>Explanation of behaviour management orders</w:t>
      </w:r>
      <w:bookmarkEnd w:id="56"/>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No. 49 of 2016 s. 14.]</w:t>
      </w:r>
    </w:p>
    <w:p>
      <w:pPr>
        <w:pStyle w:val="Heading5"/>
      </w:pPr>
      <w:bookmarkStart w:id="57" w:name="_Toc103865173"/>
      <w:r>
        <w:rPr>
          <w:rStyle w:val="CharSectno"/>
        </w:rPr>
        <w:t>10T</w:t>
      </w:r>
      <w:r>
        <w:t>.</w:t>
      </w:r>
      <w:r>
        <w:tab/>
        <w:t>Variation or cancellation of behaviour management orders</w:t>
      </w:r>
      <w:bookmarkEnd w:id="57"/>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tab/>
        <w:t>(ii)</w:t>
      </w:r>
      <w:r>
        <w:tab/>
        <w:t>in all the circumstances of the case, the order is no longer appropriate for any other reason;</w:t>
      </w:r>
    </w:p>
    <w:p>
      <w:pPr>
        <w:pStyle w:val="Indenta"/>
      </w:pPr>
      <w:r>
        <w:tab/>
      </w:r>
      <w:r>
        <w:tab/>
        <w:t>or</w:t>
      </w:r>
    </w:p>
    <w:p>
      <w:pPr>
        <w:pStyle w:val="Indenta"/>
      </w:pPr>
      <w:r>
        <w:lastRenderedPageBreak/>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No. 49 of 2016 s. 14.]</w:t>
      </w:r>
    </w:p>
    <w:p>
      <w:pPr>
        <w:pStyle w:val="Heading5"/>
      </w:pPr>
      <w:bookmarkStart w:id="58" w:name="_Toc103865174"/>
      <w:r>
        <w:rPr>
          <w:rStyle w:val="CharSectno"/>
        </w:rPr>
        <w:t>10U</w:t>
      </w:r>
      <w:r>
        <w:t>.</w:t>
      </w:r>
      <w:r>
        <w:tab/>
        <w:t>Service of orders</w:t>
      </w:r>
      <w:bookmarkEnd w:id="58"/>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w:t>
      </w:r>
      <w:r>
        <w:lastRenderedPageBreak/>
        <w:t xml:space="preserve">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No. 49 of 2016 s. 14.]</w:t>
      </w:r>
    </w:p>
    <w:p>
      <w:pPr>
        <w:pStyle w:val="Heading3"/>
      </w:pPr>
      <w:bookmarkStart w:id="59" w:name="_Toc103863028"/>
      <w:bookmarkStart w:id="60" w:name="_Toc103863239"/>
      <w:bookmarkStart w:id="61" w:name="_Toc103865175"/>
      <w:r>
        <w:rPr>
          <w:rStyle w:val="CharDivNo"/>
        </w:rPr>
        <w:t>Division 4</w:t>
      </w:r>
      <w:r>
        <w:t> — </w:t>
      </w:r>
      <w:r>
        <w:rPr>
          <w:rStyle w:val="CharDivText"/>
        </w:rPr>
        <w:t>Other matters</w:t>
      </w:r>
      <w:bookmarkEnd w:id="59"/>
      <w:bookmarkEnd w:id="60"/>
      <w:bookmarkEnd w:id="61"/>
    </w:p>
    <w:p>
      <w:pPr>
        <w:pStyle w:val="Footnoteheading"/>
      </w:pPr>
      <w:r>
        <w:tab/>
        <w:t>[Heading inserted: No. 49 of 2016 s. 14.]</w:t>
      </w:r>
    </w:p>
    <w:p>
      <w:pPr>
        <w:pStyle w:val="Heading5"/>
      </w:pPr>
      <w:bookmarkStart w:id="62" w:name="_Toc103865176"/>
      <w:r>
        <w:rPr>
          <w:rStyle w:val="CharSectno"/>
        </w:rPr>
        <w:t>10V</w:t>
      </w:r>
      <w:r>
        <w:t>.</w:t>
      </w:r>
      <w:r>
        <w:tab/>
        <w:t>Respondent’s participation in behaviour change programme</w:t>
      </w:r>
      <w:bookmarkEnd w:id="62"/>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Indenta"/>
        <w:keepNext/>
      </w:pPr>
      <w:r>
        <w:lastRenderedPageBreak/>
        <w:tab/>
        <w:t>(d)</w:t>
      </w:r>
      <w:r>
        <w:tab/>
        <w:t>any known views of the victim regarding the matters referred to in paragraphs (a) to (c).</w:t>
      </w:r>
    </w:p>
    <w:p>
      <w:pPr>
        <w:pStyle w:val="Footnotesection"/>
        <w:ind w:left="890" w:hanging="890"/>
      </w:pPr>
      <w:r>
        <w:tab/>
        <w:t>[Section 10V inserted: No. 49 of 2016 s. 14.]</w:t>
      </w:r>
    </w:p>
    <w:p>
      <w:pPr>
        <w:pStyle w:val="Heading5"/>
      </w:pPr>
      <w:bookmarkStart w:id="63" w:name="_Toc103865177"/>
      <w:r>
        <w:rPr>
          <w:rStyle w:val="CharSectno"/>
        </w:rPr>
        <w:t>10W</w:t>
      </w:r>
      <w:r>
        <w:t>.</w:t>
      </w:r>
      <w:r>
        <w:tab/>
        <w:t>Respondent’s contravention of behaviour management order</w:t>
      </w:r>
      <w:bookmarkEnd w:id="63"/>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No. 49 of 2016 s. 14.]</w:t>
      </w:r>
    </w:p>
    <w:p>
      <w:pPr>
        <w:pStyle w:val="Heading5"/>
      </w:pPr>
      <w:bookmarkStart w:id="64" w:name="_Toc103865178"/>
      <w:r>
        <w:rPr>
          <w:rStyle w:val="CharSectno"/>
        </w:rPr>
        <w:t>10X</w:t>
      </w:r>
      <w:r>
        <w:t>.</w:t>
      </w:r>
      <w:r>
        <w:tab/>
        <w:t>Confidentiality of interviews and reports</w:t>
      </w:r>
      <w:bookmarkEnd w:id="64"/>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lastRenderedPageBreak/>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No. 49 of 2016 s. 14.]</w:t>
      </w:r>
    </w:p>
    <w:p>
      <w:pPr>
        <w:pStyle w:val="Heading5"/>
      </w:pPr>
      <w:bookmarkStart w:id="65" w:name="_Toc103865179"/>
      <w:r>
        <w:rPr>
          <w:rStyle w:val="CharSectno"/>
        </w:rPr>
        <w:lastRenderedPageBreak/>
        <w:t>10Y</w:t>
      </w:r>
      <w:r>
        <w:t>.</w:t>
      </w:r>
      <w:r>
        <w:tab/>
        <w:t>Confidentiality of behaviour change programme</w:t>
      </w:r>
      <w:bookmarkEnd w:id="65"/>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No. 49 of 2016 s. 14.]</w:t>
      </w:r>
    </w:p>
    <w:p>
      <w:pPr>
        <w:pStyle w:val="Heading5"/>
      </w:pPr>
      <w:bookmarkStart w:id="66" w:name="_Toc103865180"/>
      <w:r>
        <w:rPr>
          <w:rStyle w:val="CharSectno"/>
        </w:rPr>
        <w:t>10Z</w:t>
      </w:r>
      <w:r>
        <w:t>.</w:t>
      </w:r>
      <w:r>
        <w:tab/>
        <w:t>Delegation</w:t>
      </w:r>
      <w:bookmarkEnd w:id="66"/>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No. 49 of 2016 s. 14.]</w:t>
      </w:r>
    </w:p>
    <w:p>
      <w:pPr>
        <w:pStyle w:val="Heading2"/>
      </w:pPr>
      <w:bookmarkStart w:id="67" w:name="_Toc103863034"/>
      <w:bookmarkStart w:id="68" w:name="_Toc103863245"/>
      <w:bookmarkStart w:id="69" w:name="_Toc103865181"/>
      <w:r>
        <w:rPr>
          <w:rStyle w:val="CharPartNo"/>
        </w:rPr>
        <w:lastRenderedPageBreak/>
        <w:t>Part 2</w:t>
      </w:r>
      <w:r>
        <w:rPr>
          <w:rStyle w:val="CharDivNo"/>
        </w:rPr>
        <w:t> </w:t>
      </w:r>
      <w:r>
        <w:t>—</w:t>
      </w:r>
      <w:r>
        <w:rPr>
          <w:rStyle w:val="CharDivText"/>
        </w:rPr>
        <w:t> </w:t>
      </w:r>
      <w:r>
        <w:rPr>
          <w:rStyle w:val="CharPartText"/>
        </w:rPr>
        <w:t>Violence restraining order</w:t>
      </w:r>
      <w:bookmarkEnd w:id="67"/>
      <w:bookmarkEnd w:id="68"/>
      <w:bookmarkEnd w:id="69"/>
      <w:r>
        <w:rPr>
          <w:rStyle w:val="CharPartText"/>
        </w:rPr>
        <w:t xml:space="preserve"> </w:t>
      </w:r>
    </w:p>
    <w:p>
      <w:pPr>
        <w:pStyle w:val="Ednotedivision"/>
      </w:pPr>
      <w:r>
        <w:tab/>
        <w:t>[Division heading deleted: No. 49 of 2016 s. 15.]</w:t>
      </w:r>
    </w:p>
    <w:p>
      <w:pPr>
        <w:pStyle w:val="Heading5"/>
      </w:pPr>
      <w:bookmarkStart w:id="70" w:name="_Toc103865182"/>
      <w:r>
        <w:rPr>
          <w:rStyle w:val="CharSectno"/>
        </w:rPr>
        <w:t>11</w:t>
      </w:r>
      <w:r>
        <w:t>.</w:t>
      </w:r>
      <w:r>
        <w:tab/>
        <w:t>VRO to specify names of person bound, and person protected, by order</w:t>
      </w:r>
      <w:bookmarkEnd w:id="70"/>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No. 38 of 2004 s. 11; amended: No. 49 of 2016 s. 16.]</w:t>
      </w:r>
    </w:p>
    <w:p>
      <w:pPr>
        <w:pStyle w:val="Heading5"/>
      </w:pPr>
      <w:bookmarkStart w:id="71" w:name="_Toc103865183"/>
      <w:r>
        <w:rPr>
          <w:rStyle w:val="CharSectno"/>
        </w:rPr>
        <w:t>11A</w:t>
      </w:r>
      <w:r>
        <w:t>.</w:t>
      </w:r>
      <w:r>
        <w:tab/>
        <w:t>When VROs may be made</w:t>
      </w:r>
      <w:bookmarkEnd w:id="71"/>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No. 38 of 2004 s. 11; amended: No. 49 of 2016 s. 17.]</w:t>
      </w:r>
    </w:p>
    <w:p>
      <w:pPr>
        <w:pStyle w:val="Ednotesection"/>
        <w:spacing w:before="200"/>
      </w:pPr>
      <w:r>
        <w:t>[</w:t>
      </w:r>
      <w:r>
        <w:rPr>
          <w:b/>
        </w:rPr>
        <w:t>11B.</w:t>
      </w:r>
      <w:r>
        <w:tab/>
        <w:t>Deleted: No. 49 of 2016 s. 18.]</w:t>
      </w:r>
    </w:p>
    <w:p>
      <w:pPr>
        <w:pStyle w:val="Heading5"/>
        <w:rPr>
          <w:snapToGrid w:val="0"/>
        </w:rPr>
      </w:pPr>
      <w:bookmarkStart w:id="72" w:name="_Toc103865184"/>
      <w:r>
        <w:rPr>
          <w:rStyle w:val="CharSectno"/>
        </w:rPr>
        <w:lastRenderedPageBreak/>
        <w:t>12</w:t>
      </w:r>
      <w:r>
        <w:rPr>
          <w:snapToGrid w:val="0"/>
        </w:rPr>
        <w:t>.</w:t>
      </w:r>
      <w:r>
        <w:rPr>
          <w:snapToGrid w:val="0"/>
        </w:rPr>
        <w:tab/>
        <w:t>Matters to be considered by court generally</w:t>
      </w:r>
      <w:bookmarkEnd w:id="72"/>
    </w:p>
    <w:p>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lastRenderedPageBreak/>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No. 38 of 2004 s. 12, 54, 55, 56 and 57(5); No. 32 of 2011 s. 4; No. 49 of 2016 s. 19.]</w:t>
      </w:r>
    </w:p>
    <w:p>
      <w:pPr>
        <w:pStyle w:val="Heading5"/>
      </w:pPr>
      <w:bookmarkStart w:id="73" w:name="_Toc103865185"/>
      <w:r>
        <w:rPr>
          <w:rStyle w:val="CharSectno"/>
        </w:rPr>
        <w:t>12A</w:t>
      </w:r>
      <w:r>
        <w:t>.</w:t>
      </w:r>
      <w:r>
        <w:tab/>
        <w:t>VROs not for persons in family relationship</w:t>
      </w:r>
      <w:bookmarkEnd w:id="73"/>
    </w:p>
    <w:p>
      <w:pPr>
        <w:pStyle w:val="Subsection"/>
      </w:pPr>
      <w:r>
        <w:tab/>
      </w:r>
      <w:r>
        <w:tab/>
        <w:t xml:space="preserve">A court is not to make a VRO unless it is satisfied that the person seeking to be protected by the order and the person </w:t>
      </w:r>
      <w:r>
        <w:lastRenderedPageBreak/>
        <w:t>bound by the order are not in a family relationship with each other.</w:t>
      </w:r>
    </w:p>
    <w:p>
      <w:pPr>
        <w:pStyle w:val="Footnotesection"/>
        <w:ind w:left="890" w:hanging="890"/>
      </w:pPr>
      <w:r>
        <w:tab/>
        <w:t>[Section 12A inserted: No. 49 of 2016 s. 20.]</w:t>
      </w:r>
    </w:p>
    <w:p>
      <w:pPr>
        <w:pStyle w:val="Heading5"/>
        <w:rPr>
          <w:snapToGrid w:val="0"/>
        </w:rPr>
      </w:pPr>
      <w:bookmarkStart w:id="74" w:name="_Toc103865186"/>
      <w:r>
        <w:rPr>
          <w:rStyle w:val="CharSectno"/>
        </w:rPr>
        <w:t>13</w:t>
      </w:r>
      <w:r>
        <w:rPr>
          <w:snapToGrid w:val="0"/>
        </w:rPr>
        <w:t>.</w:t>
      </w:r>
      <w:r>
        <w:rPr>
          <w:snapToGrid w:val="0"/>
        </w:rPr>
        <w:tab/>
        <w:t>Restraints on respondent</w:t>
      </w:r>
      <w:bookmarkEnd w:id="74"/>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an personal violence against the person seeking to be protected; or</w:t>
      </w:r>
    </w:p>
    <w:p>
      <w:pPr>
        <w:pStyle w:val="Indenta"/>
      </w:pPr>
      <w:r>
        <w:tab/>
        <w:t>(aa)</w:t>
      </w:r>
      <w:r>
        <w:tab/>
        <w:t>if the person seeking to be protected by the order is a child, exposing a child to an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xml:space="preserve">, even if the </w:t>
      </w:r>
      <w:r>
        <w:rPr>
          <w:snapToGrid w:val="0"/>
        </w:rPr>
        <w:lastRenderedPageBreak/>
        <w:t>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No. 38 of 2004 s. 13, 54 and 56; No. 32 of 2011 s. 5; No. 49 of 2016 s. 21.]</w:t>
      </w:r>
    </w:p>
    <w:p>
      <w:pPr>
        <w:pStyle w:val="Heading2"/>
      </w:pPr>
      <w:bookmarkStart w:id="75" w:name="_Toc103863040"/>
      <w:bookmarkStart w:id="76" w:name="_Toc103863251"/>
      <w:bookmarkStart w:id="77" w:name="_Toc103865187"/>
      <w:r>
        <w:rPr>
          <w:rStyle w:val="CharPartNo"/>
        </w:rPr>
        <w:lastRenderedPageBreak/>
        <w:t>Part 2A</w:t>
      </w:r>
      <w:r>
        <w:t> — </w:t>
      </w:r>
      <w:r>
        <w:rPr>
          <w:rStyle w:val="CharPartText"/>
        </w:rPr>
        <w:t>Provisions for FVRO and VRO</w:t>
      </w:r>
      <w:bookmarkEnd w:id="75"/>
      <w:bookmarkEnd w:id="76"/>
      <w:bookmarkEnd w:id="77"/>
    </w:p>
    <w:p>
      <w:pPr>
        <w:pStyle w:val="Footnoteheading"/>
      </w:pPr>
      <w:r>
        <w:tab/>
        <w:t>[Heading inserted: No. 49 of 2016 s. 22.]</w:t>
      </w:r>
    </w:p>
    <w:p>
      <w:pPr>
        <w:pStyle w:val="Heading3"/>
      </w:pPr>
      <w:bookmarkStart w:id="78" w:name="_Toc103863041"/>
      <w:bookmarkStart w:id="79" w:name="_Toc103863252"/>
      <w:bookmarkStart w:id="80" w:name="_Toc103865188"/>
      <w:r>
        <w:rPr>
          <w:rStyle w:val="CharDivNo"/>
        </w:rPr>
        <w:t>Division 1AA</w:t>
      </w:r>
      <w:r>
        <w:t> — </w:t>
      </w:r>
      <w:r>
        <w:rPr>
          <w:rStyle w:val="CharDivText"/>
        </w:rPr>
        <w:t>Additional circumstances where orders may be made</w:t>
      </w:r>
      <w:bookmarkEnd w:id="78"/>
      <w:bookmarkEnd w:id="79"/>
      <w:bookmarkEnd w:id="80"/>
    </w:p>
    <w:p>
      <w:pPr>
        <w:pStyle w:val="Footnoteheading"/>
      </w:pPr>
      <w:r>
        <w:tab/>
        <w:t>[Heading inserted: No. 30 of 2020 s. 57.]</w:t>
      </w:r>
    </w:p>
    <w:p>
      <w:pPr>
        <w:pStyle w:val="Heading5"/>
      </w:pPr>
      <w:bookmarkStart w:id="81" w:name="_Toc103865189"/>
      <w:r>
        <w:rPr>
          <w:rStyle w:val="CharSectno"/>
        </w:rPr>
        <w:t>13A</w:t>
      </w:r>
      <w:r>
        <w:t>.</w:t>
      </w:r>
      <w:r>
        <w:tab/>
        <w:t>Cases involving violent offences</w:t>
      </w:r>
      <w:bookmarkEnd w:id="81"/>
    </w:p>
    <w:p>
      <w:pPr>
        <w:pStyle w:val="Subsection"/>
      </w:pPr>
      <w:r>
        <w:tab/>
        <w:t>(1)</w:t>
      </w:r>
      <w:r>
        <w:tab/>
        <w:t>This section applies to an application for an FVRO or VRO if — </w:t>
      </w:r>
    </w:p>
    <w:p>
      <w:pPr>
        <w:pStyle w:val="Indenta"/>
      </w:pPr>
      <w:r>
        <w:tab/>
        <w:t>(a)</w:t>
      </w:r>
      <w:r>
        <w:tab/>
        <w:t>a person has been convicted of — </w:t>
      </w:r>
    </w:p>
    <w:p>
      <w:pPr>
        <w:pStyle w:val="Indenti"/>
      </w:pPr>
      <w:r>
        <w:tab/>
        <w:t>(i)</w:t>
      </w:r>
      <w:r>
        <w:tab/>
        <w:t xml:space="preserve">an offence referred to in section 63(4AA)(a) (in the case of an application for an FVRO); or </w:t>
      </w:r>
    </w:p>
    <w:p>
      <w:pPr>
        <w:pStyle w:val="Indenti"/>
      </w:pPr>
      <w:r>
        <w:tab/>
        <w:t>(ii)</w:t>
      </w:r>
      <w:r>
        <w:tab/>
        <w:t>a violent personal offence under section 63A(1A) (in the case of an application for either order);</w:t>
      </w:r>
    </w:p>
    <w:p>
      <w:pPr>
        <w:pStyle w:val="Indenta"/>
      </w:pPr>
      <w:r>
        <w:tab/>
      </w:r>
      <w:r>
        <w:tab/>
        <w:t>and</w:t>
      </w:r>
    </w:p>
    <w:p>
      <w:pPr>
        <w:pStyle w:val="Indenta"/>
      </w:pPr>
      <w:r>
        <w:tab/>
        <w:t>(b)</w:t>
      </w:r>
      <w:r>
        <w:tab/>
        <w:t>an FVRO or VRO, as appropriate in the case, has not been made against the convicted person (including because the offence for which the person was convicted was committed before the offence became subject to section 63(4AA) or 63A (as the case may be)); and</w:t>
      </w:r>
    </w:p>
    <w:p>
      <w:pPr>
        <w:pStyle w:val="Indenta"/>
      </w:pPr>
      <w:r>
        <w:tab/>
        <w:t>(c)</w:t>
      </w:r>
      <w:r>
        <w:tab/>
        <w:t>the application is being made against the convicted person by or on behalf of a victim of the offence.</w:t>
      </w:r>
    </w:p>
    <w:p>
      <w:pPr>
        <w:pStyle w:val="Subsection"/>
      </w:pPr>
      <w:r>
        <w:tab/>
        <w:t>(2)</w:t>
      </w:r>
      <w:r>
        <w:tab/>
        <w:t>In the case of an application where the person has been convicted of an offence referred to in section 63(4AA)(a), the court is, in the absence of exceptional circumstances, taken to have grounds for making an FVRO against the person.</w:t>
      </w:r>
    </w:p>
    <w:p>
      <w:pPr>
        <w:pStyle w:val="Subsection"/>
      </w:pPr>
      <w:r>
        <w:tab/>
        <w:t>(3)</w:t>
      </w:r>
      <w:r>
        <w:tab/>
        <w:t>In the case of an application where the person has been convicted of a violent personal offence under section 63A(1A), the court must make an FVRO or VRO, as is appropriate in the case, against the person.</w:t>
      </w:r>
    </w:p>
    <w:p>
      <w:pPr>
        <w:pStyle w:val="Subsection"/>
      </w:pPr>
      <w:r>
        <w:lastRenderedPageBreak/>
        <w:tab/>
        <w:t>(4)</w:t>
      </w:r>
      <w:r>
        <w:tab/>
        <w:t>An order under this section may be made on an ex parte application and in the absence of the person who is to be bound by the order.</w:t>
      </w:r>
    </w:p>
    <w:p>
      <w:pPr>
        <w:pStyle w:val="Subsection"/>
      </w:pPr>
      <w:r>
        <w:tab/>
        <w:t>(5)</w:t>
      </w:r>
      <w:r>
        <w:tab/>
        <w:t>Except as provided in subsection (6), an order will be made for a period specified by the court.</w:t>
      </w:r>
    </w:p>
    <w:p>
      <w:pPr>
        <w:pStyle w:val="Subsection"/>
      </w:pPr>
      <w:r>
        <w:tab/>
        <w:t>(6)</w:t>
      </w:r>
      <w:r>
        <w:tab/>
        <w:t>An order under subsection (3) is to be made for the period of the life of the person who committed the offence.</w:t>
      </w:r>
    </w:p>
    <w:p>
      <w:pPr>
        <w:pStyle w:val="Subsection"/>
      </w:pPr>
      <w:r>
        <w:tab/>
        <w:t>(7)</w:t>
      </w:r>
      <w:r>
        <w:tab/>
        <w:t xml:space="preserve">Despite a preceding subsection, if the relevant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in the case of a conviction for a violent personal offence under section 63A(1A), not for the period of the life of the person who committed the offence).</w:t>
      </w:r>
    </w:p>
    <w:p>
      <w:pPr>
        <w:pStyle w:val="Subsection"/>
      </w:pPr>
      <w:r>
        <w:tab/>
        <w:t>(8)</w:t>
      </w:r>
      <w:r>
        <w:tab/>
        <w:t>The person bound by an order under this section may apply to vary or cancel the order on the ground that exceptional circumstances exist which justify the variation or cancellation (as the case may be).</w:t>
      </w:r>
    </w:p>
    <w:p>
      <w:pPr>
        <w:pStyle w:val="Footnotesection"/>
      </w:pPr>
      <w:r>
        <w:tab/>
        <w:t>[Section 13A inserted: No. 30 of 2020 s. 57.]</w:t>
      </w:r>
    </w:p>
    <w:p>
      <w:pPr>
        <w:pStyle w:val="Heading3"/>
      </w:pPr>
      <w:bookmarkStart w:id="82" w:name="_Toc103863043"/>
      <w:bookmarkStart w:id="83" w:name="_Toc103863254"/>
      <w:bookmarkStart w:id="84" w:name="_Toc103865190"/>
      <w:r>
        <w:rPr>
          <w:rStyle w:val="CharDivNo"/>
        </w:rPr>
        <w:t>Division 1</w:t>
      </w:r>
      <w:r>
        <w:t> — </w:t>
      </w:r>
      <w:r>
        <w:rPr>
          <w:rStyle w:val="CharDivText"/>
        </w:rPr>
        <w:t>Orders relating to firearms and explosives</w:t>
      </w:r>
      <w:bookmarkEnd w:id="82"/>
      <w:bookmarkEnd w:id="83"/>
      <w:bookmarkEnd w:id="84"/>
    </w:p>
    <w:p>
      <w:pPr>
        <w:pStyle w:val="Footnoteheading"/>
      </w:pPr>
      <w:r>
        <w:tab/>
        <w:t>[Heading inserted: No. 49 of 2016 s. 22; amended: No. 30 of 2020 s. 58.]</w:t>
      </w:r>
    </w:p>
    <w:p>
      <w:pPr>
        <w:pStyle w:val="Heading5"/>
        <w:spacing w:before="120"/>
        <w:rPr>
          <w:snapToGrid w:val="0"/>
        </w:rPr>
      </w:pPr>
      <w:bookmarkStart w:id="85" w:name="_Toc103865191"/>
      <w:r>
        <w:rPr>
          <w:rStyle w:val="CharSectno"/>
        </w:rPr>
        <w:t>14</w:t>
      </w:r>
      <w:r>
        <w:rPr>
          <w:snapToGrid w:val="0"/>
        </w:rPr>
        <w:t>.</w:t>
      </w:r>
      <w:r>
        <w:rPr>
          <w:snapToGrid w:val="0"/>
        </w:rPr>
        <w:tab/>
        <w:t>Firearms order</w:t>
      </w:r>
      <w:bookmarkEnd w:id="85"/>
      <w:r>
        <w:rPr>
          <w:snapToGrid w:val="0"/>
        </w:rPr>
        <w:t xml:space="preserve"> </w:t>
      </w:r>
    </w:p>
    <w:p>
      <w:pPr>
        <w:pStyle w:val="Subsection"/>
        <w:spacing w:before="120"/>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120"/>
        <w:rPr>
          <w:snapToGrid w:val="0"/>
        </w:rPr>
      </w:pPr>
      <w:r>
        <w:rPr>
          <w:snapToGrid w:val="0"/>
        </w:rPr>
        <w:lastRenderedPageBreak/>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firearms and firearms licences held by the person. </w:t>
      </w:r>
    </w:p>
    <w:p>
      <w:pPr>
        <w:pStyle w:val="Subsection"/>
        <w:spacing w:before="120"/>
        <w:rPr>
          <w:snapToGrid w:val="0"/>
        </w:rPr>
      </w:pPr>
      <w:r>
        <w:rPr>
          <w:snapToGrid w:val="0"/>
        </w:rPr>
        <w:tab/>
        <w:t>(3)</w:t>
      </w:r>
      <w:r>
        <w:rPr>
          <w:snapToGrid w:val="0"/>
        </w:rPr>
        <w:tab/>
        <w:t xml:space="preserve">A firearm or firearms licence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12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120"/>
        <w:rPr>
          <w:snapToGrid w:val="0"/>
        </w:rPr>
      </w:pPr>
      <w:r>
        <w:rPr>
          <w:snapToGrid w:val="0"/>
        </w:rPr>
        <w:tab/>
        <w:t>(5)</w:t>
      </w:r>
      <w:r>
        <w:rPr>
          <w:snapToGrid w:val="0"/>
        </w:rPr>
        <w:tab/>
        <w:t xml:space="preserve">When making </w:t>
      </w:r>
      <w:r>
        <w:t xml:space="preserve">an FVRO or VRO </w:t>
      </w:r>
      <w:r>
        <w:rPr>
          <w:snapToGrid w:val="0"/>
        </w:rPr>
        <w:t>a court may permit the respondent to have possession of a firearm, and, if necessary, a firearms licence relating to it, on such conditions as the court thinks fit, if the court is satisfied that — </w:t>
      </w:r>
    </w:p>
    <w:p>
      <w:pPr>
        <w:pStyle w:val="Indenta"/>
        <w:spacing w:before="60"/>
        <w:rPr>
          <w:snapToGrid w:val="0"/>
        </w:rPr>
      </w:pPr>
      <w:r>
        <w:rPr>
          <w:snapToGrid w:val="0"/>
        </w:rPr>
        <w:tab/>
        <w:t>(a)</w:t>
      </w:r>
      <w:r>
        <w:rPr>
          <w:snapToGrid w:val="0"/>
        </w:rPr>
        <w:tab/>
        <w:t>the respondent cannot carry on the respondent’s usual occupation unless the respondent is permitted to have possession of a firearm; and</w:t>
      </w:r>
    </w:p>
    <w:p>
      <w:pPr>
        <w:pStyle w:val="Indenta"/>
        <w:spacing w:before="60"/>
        <w:rPr>
          <w:snapToGrid w:val="0"/>
        </w:rPr>
      </w:pPr>
      <w:r>
        <w:rPr>
          <w:snapToGrid w:val="0"/>
        </w:rPr>
        <w:tab/>
        <w:t>(b)</w:t>
      </w:r>
      <w:r>
        <w:rPr>
          <w:snapToGrid w:val="0"/>
        </w:rPr>
        <w:tab/>
        <w:t>the behaviour in relation to which the order was sought did not involve the use, or threatened use, of a firearm; and</w:t>
      </w:r>
    </w:p>
    <w:p>
      <w:pPr>
        <w:pStyle w:val="Indenta"/>
        <w:spacing w:before="60"/>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spacing w:before="120"/>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spacing w:before="120"/>
        <w:rPr>
          <w:snapToGrid w:val="0"/>
        </w:rPr>
      </w:pPr>
      <w:r>
        <w:rPr>
          <w:snapToGrid w:val="0"/>
        </w:rPr>
        <w:lastRenderedPageBreak/>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within which the respondent must give up possession of firearms and firearms licences.</w:t>
      </w:r>
    </w:p>
    <w:p>
      <w:pPr>
        <w:pStyle w:val="Footnotesection"/>
        <w:spacing w:before="80"/>
        <w:ind w:left="890" w:hanging="890"/>
      </w:pPr>
      <w:r>
        <w:tab/>
        <w:t>[Section 14 amended: No. 38 of 2004 s. 55; No. 49 of 2016 s. 23.]</w:t>
      </w:r>
    </w:p>
    <w:p>
      <w:pPr>
        <w:pStyle w:val="Heading5"/>
      </w:pPr>
      <w:bookmarkStart w:id="86" w:name="_Toc103865192"/>
      <w:r>
        <w:rPr>
          <w:rStyle w:val="CharSectno"/>
        </w:rPr>
        <w:t>14A</w:t>
      </w:r>
      <w:r>
        <w:t>.</w:t>
      </w:r>
      <w:r>
        <w:tab/>
        <w:t>Explosives order</w:t>
      </w:r>
      <w:bookmarkEnd w:id="86"/>
      <w:r>
        <w:t xml:space="preserve"> </w:t>
      </w:r>
    </w:p>
    <w:p>
      <w:pPr>
        <w:pStyle w:val="Subsection"/>
      </w:pPr>
      <w:r>
        <w:tab/>
        <w:t>(1)</w:t>
      </w:r>
      <w:r>
        <w:tab/>
        <w:t>A court making an FVRO or VRO must consider whether it should include a restraint prohibiting the person who is bound by the order from — </w:t>
      </w:r>
    </w:p>
    <w:p>
      <w:pPr>
        <w:pStyle w:val="Indenta"/>
      </w:pPr>
      <w:r>
        <w:tab/>
        <w:t>(a)</w:t>
      </w:r>
      <w:r>
        <w:tab/>
        <w:t>being in possession of any explosives; or</w:t>
      </w:r>
    </w:p>
    <w:p>
      <w:pPr>
        <w:pStyle w:val="Indenta"/>
      </w:pPr>
      <w:r>
        <w:tab/>
        <w:t>(b)</w:t>
      </w:r>
      <w:r>
        <w:tab/>
        <w:t>obtaining, or being in possession of, an explosives licence.</w:t>
      </w:r>
    </w:p>
    <w:p>
      <w:pPr>
        <w:pStyle w:val="Subsection"/>
      </w:pPr>
      <w:r>
        <w:tab/>
        <w:t>(2)</w:t>
      </w:r>
      <w:r>
        <w:tab/>
        <w:t>A person who is bound by a restraint under subsection (1) must give up possession, to a person and in a manner prescribed by the regulations, of all explosives and explosives licences held by the person who is bound.</w:t>
      </w:r>
    </w:p>
    <w:p>
      <w:pPr>
        <w:pStyle w:val="Subsection"/>
      </w:pPr>
      <w:r>
        <w:tab/>
        <w:t>(3)</w:t>
      </w:r>
      <w:r>
        <w:tab/>
        <w:t>A person who is subject to the operation of subsection (2) and who is lawfully in possession of explosives or an explosives licence immediately before the order is made under subsection (1) is not in breach of the order if the person is in possession of the explosives or explosives licence during the period necessary to comply with the terms of the order.</w:t>
      </w:r>
    </w:p>
    <w:p>
      <w:pPr>
        <w:pStyle w:val="Subsection"/>
      </w:pPr>
      <w:r>
        <w:tab/>
        <w:t>(4)</w:t>
      </w:r>
      <w:r>
        <w:tab/>
        <w:t>In addition to the operation of subsection (1), a court may permit the person who is bound by an FVRO or VRO to have possession of explosives, and, if necessary, an explosives licence relating to the explosives, on such conditions as the court thinks fit and specifies as part of the FVRO or VRO.</w:t>
      </w:r>
    </w:p>
    <w:p>
      <w:pPr>
        <w:pStyle w:val="Footnotesection"/>
        <w:spacing w:before="80"/>
        <w:ind w:left="890" w:hanging="890"/>
      </w:pPr>
      <w:r>
        <w:tab/>
        <w:t>[Section 14A inserted: No. 30 of 2020 s. 59.]</w:t>
      </w:r>
    </w:p>
    <w:p>
      <w:pPr>
        <w:pStyle w:val="Heading3"/>
      </w:pPr>
      <w:bookmarkStart w:id="87" w:name="_Toc103863046"/>
      <w:bookmarkStart w:id="88" w:name="_Toc103863257"/>
      <w:bookmarkStart w:id="89" w:name="_Toc103865193"/>
      <w:r>
        <w:rPr>
          <w:rStyle w:val="CharDivNo"/>
        </w:rPr>
        <w:lastRenderedPageBreak/>
        <w:t>Division 1A</w:t>
      </w:r>
      <w:r>
        <w:t> — </w:t>
      </w:r>
      <w:r>
        <w:rPr>
          <w:rStyle w:val="CharDivText"/>
        </w:rPr>
        <w:t>Duration of orders</w:t>
      </w:r>
      <w:bookmarkEnd w:id="87"/>
      <w:bookmarkEnd w:id="88"/>
      <w:bookmarkEnd w:id="89"/>
    </w:p>
    <w:p>
      <w:pPr>
        <w:pStyle w:val="Footnoteheading"/>
        <w:keepNext/>
      </w:pPr>
      <w:r>
        <w:tab/>
        <w:t>[Heading inserted: No. 49 of 2016 s. 24.]</w:t>
      </w:r>
    </w:p>
    <w:p>
      <w:pPr>
        <w:pStyle w:val="Ednotesection"/>
        <w:keepNext/>
        <w:spacing w:before="200"/>
      </w:pPr>
      <w:r>
        <w:t>[</w:t>
      </w:r>
      <w:r>
        <w:rPr>
          <w:b/>
        </w:rPr>
        <w:t>15.</w:t>
      </w:r>
      <w:r>
        <w:tab/>
        <w:t>Deleted: No. 38 of 2004 s. 43(2).]</w:t>
      </w:r>
    </w:p>
    <w:p>
      <w:pPr>
        <w:pStyle w:val="Heading5"/>
        <w:spacing w:before="200"/>
        <w:rPr>
          <w:snapToGrid w:val="0"/>
        </w:rPr>
      </w:pPr>
      <w:bookmarkStart w:id="90" w:name="_Toc103865194"/>
      <w:r>
        <w:rPr>
          <w:rStyle w:val="CharSectno"/>
        </w:rPr>
        <w:t>16</w:t>
      </w:r>
      <w:r>
        <w:rPr>
          <w:snapToGrid w:val="0"/>
        </w:rPr>
        <w:t>.</w:t>
      </w:r>
      <w:r>
        <w:rPr>
          <w:snapToGrid w:val="0"/>
        </w:rPr>
        <w:tab/>
        <w:t>Duration of FVRO or VRO generally</w:t>
      </w:r>
      <w:bookmarkEnd w:id="90"/>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 xml:space="preserve">the interim order is </w:t>
      </w:r>
      <w:r>
        <w:t>cancelled; or</w:t>
      </w:r>
    </w:p>
    <w:p>
      <w:pPr>
        <w:pStyle w:val="Indenta"/>
        <w:rPr>
          <w:snapToGrid w:val="0"/>
        </w:rPr>
      </w:pPr>
      <w:r>
        <w:rPr>
          <w:snapToGrid w:val="0"/>
        </w:rPr>
        <w:tab/>
        <w:t>(d)</w:t>
      </w:r>
      <w:r>
        <w:rPr>
          <w:snapToGrid w:val="0"/>
        </w:rPr>
        <w:tab/>
        <w:t>in the case of a telephone order, 3 months elapse from the time the order came into force.</w:t>
      </w:r>
    </w:p>
    <w:p>
      <w:pPr>
        <w:pStyle w:val="Footnotesection"/>
        <w:ind w:left="890" w:hanging="890"/>
      </w:pPr>
      <w:r>
        <w:tab/>
        <w:t>[Section 16 amended: No. 38 of 2004 s. 14; No. 32 of 2011 s. 6; No. 49 of 2016 s. 25; No. 13 of 2020 s. 33.]</w:t>
      </w:r>
    </w:p>
    <w:p>
      <w:pPr>
        <w:pStyle w:val="Heading5"/>
      </w:pPr>
      <w:bookmarkStart w:id="91" w:name="_Toc103865195"/>
      <w:r>
        <w:rPr>
          <w:rStyle w:val="CharSectno"/>
        </w:rPr>
        <w:lastRenderedPageBreak/>
        <w:t>16A</w:t>
      </w:r>
      <w:r>
        <w:t>.</w:t>
      </w:r>
      <w:r>
        <w:tab/>
        <w:t>Duration of FVRO</w:t>
      </w:r>
      <w:bookmarkEnd w:id="91"/>
    </w:p>
    <w:p>
      <w:pPr>
        <w:pStyle w:val="Subsection"/>
        <w:keepNext/>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pPr>
      <w:r>
        <w:tab/>
        <w:t>(2)</w:t>
      </w:r>
      <w:r>
        <w:tab/>
        <w:t>Unless varied or cancelled under Part 5, a final order that is an FVRO made against a respondent who is not a prisoner remains in force for — </w:t>
      </w:r>
    </w:p>
    <w:p>
      <w:pPr>
        <w:pStyle w:val="Indenta"/>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keepLines/>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pPr>
      <w:r>
        <w:tab/>
        <w:t>(3)</w:t>
      </w:r>
      <w:r>
        <w:tab/>
        <w:t>Unless varied or cancelled under Part 5, a final order that is an FVRO made against a respondent who is a prisoner at the time of service of the order remains in force from the date on which the final order comes into force for a period of — </w:t>
      </w:r>
    </w:p>
    <w:p>
      <w:pPr>
        <w:pStyle w:val="Indenta"/>
      </w:pPr>
      <w:r>
        <w:tab/>
        <w:t>(a)</w:t>
      </w:r>
      <w:r>
        <w:tab/>
        <w:t xml:space="preserve">in the case of an order made at a final order hearing or under section 10H, or any interim order which becomes a final order under section 32 — 2 years, or such longer </w:t>
      </w:r>
      <w:r>
        <w:lastRenderedPageBreak/>
        <w:t>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Ednotesubsection"/>
      </w:pPr>
      <w:r>
        <w:tab/>
        <w:t>[(4)</w:t>
      </w:r>
      <w:r>
        <w:tab/>
        <w:t>deleted]</w:t>
      </w:r>
    </w:p>
    <w:p>
      <w:pPr>
        <w:pStyle w:val="Subsection"/>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pPr>
      <w:r>
        <w:tab/>
        <w:t>(7)</w:t>
      </w:r>
      <w:r>
        <w:tab/>
        <w:t>Nothing in this section affects the operation of section 50A.</w:t>
      </w:r>
    </w:p>
    <w:p>
      <w:pPr>
        <w:pStyle w:val="Footnotesection"/>
        <w:ind w:left="890" w:hanging="890"/>
      </w:pPr>
      <w:r>
        <w:tab/>
        <w:t>[Section 16A inserted: No. 49 of 2016 s. 26; amended: No. 30 of 2020 s. 60.]</w:t>
      </w:r>
    </w:p>
    <w:p>
      <w:pPr>
        <w:pStyle w:val="Heading5"/>
      </w:pPr>
      <w:bookmarkStart w:id="92" w:name="_Toc103865196"/>
      <w:r>
        <w:rPr>
          <w:rStyle w:val="CharSectno"/>
        </w:rPr>
        <w:t>16B</w:t>
      </w:r>
      <w:r>
        <w:t>.</w:t>
      </w:r>
      <w:r>
        <w:tab/>
        <w:t>Duration of VRO</w:t>
      </w:r>
      <w:bookmarkEnd w:id="92"/>
    </w:p>
    <w:p>
      <w:pPr>
        <w:pStyle w:val="Subsection"/>
      </w:pPr>
      <w:r>
        <w:tab/>
      </w:r>
      <w:r>
        <w:tab/>
        <w:t>Unless varied or cancelled under Part 5, a final order that is a VRO remains in force for — </w:t>
      </w:r>
    </w:p>
    <w:p>
      <w:pPr>
        <w:pStyle w:val="Indenta"/>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pPr>
      <w:r>
        <w:tab/>
        <w:t>(b)</w:t>
      </w:r>
      <w:r>
        <w:tab/>
        <w:t xml:space="preserve">in the case of a telephone order which became a final order under section 32 — 3 months from when the </w:t>
      </w:r>
      <w:r>
        <w:lastRenderedPageBreak/>
        <w:t>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Footnotesection"/>
        <w:ind w:left="890" w:hanging="890"/>
      </w:pPr>
      <w:r>
        <w:tab/>
        <w:t>[Section 16B inserted: No. 49 of 2016 s. 26.]</w:t>
      </w:r>
    </w:p>
    <w:p>
      <w:pPr>
        <w:pStyle w:val="Heading3"/>
        <w:spacing w:before="260"/>
        <w:rPr>
          <w:snapToGrid w:val="0"/>
        </w:rPr>
      </w:pPr>
      <w:bookmarkStart w:id="93" w:name="_Toc103863050"/>
      <w:bookmarkStart w:id="94" w:name="_Toc103863261"/>
      <w:bookmarkStart w:id="95" w:name="_Toc103865197"/>
      <w:r>
        <w:rPr>
          <w:rStyle w:val="CharDivNo"/>
        </w:rPr>
        <w:t>Division 2</w:t>
      </w:r>
      <w:r>
        <w:rPr>
          <w:snapToGrid w:val="0"/>
        </w:rPr>
        <w:t> — </w:t>
      </w:r>
      <w:r>
        <w:rPr>
          <w:rStyle w:val="CharDivText"/>
        </w:rPr>
        <w:t>Telephone applications</w:t>
      </w:r>
      <w:bookmarkEnd w:id="93"/>
      <w:bookmarkEnd w:id="94"/>
      <w:bookmarkEnd w:id="95"/>
      <w:r>
        <w:rPr>
          <w:rStyle w:val="CharDivText"/>
        </w:rPr>
        <w:t xml:space="preserve"> </w:t>
      </w:r>
    </w:p>
    <w:p>
      <w:pPr>
        <w:pStyle w:val="Heading5"/>
        <w:rPr>
          <w:snapToGrid w:val="0"/>
        </w:rPr>
      </w:pPr>
      <w:bookmarkStart w:id="96" w:name="_Toc103865198"/>
      <w:r>
        <w:rPr>
          <w:rStyle w:val="CharSectno"/>
        </w:rPr>
        <w:t>17</w:t>
      </w:r>
      <w:r>
        <w:rPr>
          <w:snapToGrid w:val="0"/>
        </w:rPr>
        <w:t>.</w:t>
      </w:r>
      <w:r>
        <w:rPr>
          <w:snapToGrid w:val="0"/>
        </w:rPr>
        <w:tab/>
        <w:t>Authorised magistrates</w:t>
      </w:r>
      <w:bookmarkEnd w:id="96"/>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No. 59 of 2004 s. 124.]</w:t>
      </w:r>
    </w:p>
    <w:p>
      <w:pPr>
        <w:pStyle w:val="Heading5"/>
      </w:pPr>
      <w:bookmarkStart w:id="97" w:name="_Toc103865199"/>
      <w:r>
        <w:rPr>
          <w:rStyle w:val="CharSectno"/>
        </w:rPr>
        <w:t>18</w:t>
      </w:r>
      <w:r>
        <w:t>.</w:t>
      </w:r>
      <w:r>
        <w:tab/>
        <w:t>Who can apply</w:t>
      </w:r>
      <w:bookmarkEnd w:id="97"/>
    </w:p>
    <w:p>
      <w:pPr>
        <w:pStyle w:val="Subsection"/>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keepNext/>
      </w:pPr>
      <w:r>
        <w:lastRenderedPageBreak/>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No. 22 of 2000 s. 6; amended: No. 38 of 2004 s. 18(4) and 55; No. 49 of 2016 s. 27.]</w:t>
      </w:r>
    </w:p>
    <w:p>
      <w:pPr>
        <w:pStyle w:val="Heading5"/>
        <w:rPr>
          <w:snapToGrid w:val="0"/>
        </w:rPr>
      </w:pPr>
      <w:bookmarkStart w:id="98" w:name="_Toc103865200"/>
      <w:r>
        <w:rPr>
          <w:rStyle w:val="CharSectno"/>
        </w:rPr>
        <w:t>19</w:t>
      </w:r>
      <w:r>
        <w:rPr>
          <w:snapToGrid w:val="0"/>
        </w:rPr>
        <w:t>.</w:t>
      </w:r>
      <w:r>
        <w:rPr>
          <w:snapToGrid w:val="0"/>
        </w:rPr>
        <w:tab/>
        <w:t>How to make telephone application</w:t>
      </w:r>
      <w:bookmarkEnd w:id="98"/>
      <w:r>
        <w:rPr>
          <w:snapToGrid w:val="0"/>
        </w:rPr>
        <w:t xml:space="preserve"> </w:t>
      </w:r>
    </w:p>
    <w:p>
      <w:pPr>
        <w:pStyle w:val="Subsection"/>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 and</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Footnotesection"/>
        <w:ind w:left="890" w:hanging="890"/>
      </w:pPr>
      <w:r>
        <w:tab/>
        <w:t>[Section 19 amended: No. 49 of 2016 s. 28.]</w:t>
      </w:r>
    </w:p>
    <w:p>
      <w:pPr>
        <w:pStyle w:val="Heading5"/>
        <w:rPr>
          <w:snapToGrid w:val="0"/>
        </w:rPr>
      </w:pPr>
      <w:bookmarkStart w:id="99" w:name="_Toc103865201"/>
      <w:r>
        <w:rPr>
          <w:rStyle w:val="CharSectno"/>
        </w:rPr>
        <w:lastRenderedPageBreak/>
        <w:t>20</w:t>
      </w:r>
      <w:r>
        <w:rPr>
          <w:snapToGrid w:val="0"/>
        </w:rPr>
        <w:t>.</w:t>
      </w:r>
      <w:r>
        <w:rPr>
          <w:snapToGrid w:val="0"/>
        </w:rPr>
        <w:tab/>
        <w:t>When telephone application may be heard</w:t>
      </w:r>
      <w:bookmarkEnd w:id="99"/>
      <w:r>
        <w:rPr>
          <w:snapToGrid w:val="0"/>
        </w:rPr>
        <w:t xml:space="preserve"> </w:t>
      </w:r>
    </w:p>
    <w:p>
      <w:pPr>
        <w:pStyle w:val="Subsection"/>
        <w:keepNext/>
        <w:rPr>
          <w:snapToGrid w:val="0"/>
        </w:rPr>
      </w:pPr>
      <w:r>
        <w:rPr>
          <w:snapToGrid w:val="0"/>
        </w:rPr>
        <w:tab/>
        <w:t>(1)</w:t>
      </w:r>
      <w:r>
        <w:rPr>
          <w:snapToGrid w:val="0"/>
        </w:rPr>
        <w:tab/>
        <w:t>An authorised magistrate may hear a telephone application if the authorised magistrate is satisfied that — </w:t>
      </w:r>
    </w:p>
    <w:p>
      <w:pPr>
        <w:pStyle w:val="Indenta"/>
        <w:keepNext/>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No. 38 of 2004 s. 18(5); No. 49 of 2016 s. 29.]</w:t>
      </w:r>
    </w:p>
    <w:p>
      <w:pPr>
        <w:pStyle w:val="Heading5"/>
        <w:rPr>
          <w:snapToGrid w:val="0"/>
        </w:rPr>
      </w:pPr>
      <w:bookmarkStart w:id="100" w:name="_Toc103865202"/>
      <w:r>
        <w:rPr>
          <w:rStyle w:val="CharSectno"/>
        </w:rPr>
        <w:t>21</w:t>
      </w:r>
      <w:r>
        <w:rPr>
          <w:snapToGrid w:val="0"/>
        </w:rPr>
        <w:t>.</w:t>
      </w:r>
      <w:r>
        <w:rPr>
          <w:snapToGrid w:val="0"/>
        </w:rPr>
        <w:tab/>
        <w:t>How hearing to be conducted</w:t>
      </w:r>
      <w:bookmarkEnd w:id="100"/>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lastRenderedPageBreak/>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No. 38 of 2004 s. 18(6).]</w:t>
      </w:r>
    </w:p>
    <w:p>
      <w:pPr>
        <w:pStyle w:val="Ednotesection"/>
      </w:pPr>
      <w:r>
        <w:t>[</w:t>
      </w:r>
      <w:r>
        <w:rPr>
          <w:b/>
        </w:rPr>
        <w:t>22.</w:t>
      </w:r>
      <w:r>
        <w:tab/>
        <w:t>Deleted: No. 38 of 2004 s. 43(3).]</w:t>
      </w:r>
    </w:p>
    <w:p>
      <w:pPr>
        <w:pStyle w:val="Heading5"/>
        <w:keepNext w:val="0"/>
        <w:keepLines w:val="0"/>
        <w:rPr>
          <w:snapToGrid w:val="0"/>
        </w:rPr>
      </w:pPr>
      <w:bookmarkStart w:id="101" w:name="_Toc103865203"/>
      <w:r>
        <w:rPr>
          <w:rStyle w:val="CharSectno"/>
        </w:rPr>
        <w:t>23</w:t>
      </w:r>
      <w:r>
        <w:rPr>
          <w:snapToGrid w:val="0"/>
        </w:rPr>
        <w:t>.</w:t>
      </w:r>
      <w:r>
        <w:rPr>
          <w:snapToGrid w:val="0"/>
        </w:rPr>
        <w:tab/>
        <w:t>Orders at telephone hearing</w:t>
      </w:r>
      <w:bookmarkEnd w:id="101"/>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No. 59 of 2004 s. 123.] </w:t>
      </w:r>
    </w:p>
    <w:p>
      <w:pPr>
        <w:pStyle w:val="Heading5"/>
        <w:rPr>
          <w:snapToGrid w:val="0"/>
        </w:rPr>
      </w:pPr>
      <w:bookmarkStart w:id="102" w:name="_Toc103865204"/>
      <w:r>
        <w:rPr>
          <w:rStyle w:val="CharSectno"/>
        </w:rPr>
        <w:lastRenderedPageBreak/>
        <w:t>24</w:t>
      </w:r>
      <w:r>
        <w:rPr>
          <w:snapToGrid w:val="0"/>
        </w:rPr>
        <w:t>.</w:t>
      </w:r>
      <w:r>
        <w:rPr>
          <w:snapToGrid w:val="0"/>
        </w:rPr>
        <w:tab/>
        <w:t>Telephone order to be prepared and served</w:t>
      </w:r>
      <w:bookmarkEnd w:id="102"/>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No. 59 of 2004 s. 123.] </w:t>
      </w:r>
    </w:p>
    <w:p>
      <w:pPr>
        <w:pStyle w:val="Heading3"/>
      </w:pPr>
      <w:bookmarkStart w:id="103" w:name="_Toc103863058"/>
      <w:bookmarkStart w:id="104" w:name="_Toc103863269"/>
      <w:bookmarkStart w:id="105" w:name="_Toc103865205"/>
      <w:r>
        <w:rPr>
          <w:rStyle w:val="CharDivNo"/>
        </w:rPr>
        <w:t>Division 3</w:t>
      </w:r>
      <w:r>
        <w:rPr>
          <w:snapToGrid w:val="0"/>
        </w:rPr>
        <w:t> — </w:t>
      </w:r>
      <w:r>
        <w:rPr>
          <w:rStyle w:val="CharDivText"/>
        </w:rPr>
        <w:t>Applications in person to a court</w:t>
      </w:r>
      <w:bookmarkEnd w:id="103"/>
      <w:bookmarkEnd w:id="104"/>
      <w:bookmarkEnd w:id="105"/>
    </w:p>
    <w:p>
      <w:pPr>
        <w:pStyle w:val="Footnoteheading"/>
        <w:tabs>
          <w:tab w:val="left" w:pos="851"/>
        </w:tabs>
      </w:pPr>
      <w:r>
        <w:tab/>
        <w:t>[Heading amended: No. 38 of 2004 s. 18(7).]</w:t>
      </w:r>
    </w:p>
    <w:p>
      <w:pPr>
        <w:pStyle w:val="Heading5"/>
      </w:pPr>
      <w:bookmarkStart w:id="106" w:name="_Toc103865206"/>
      <w:r>
        <w:rPr>
          <w:rStyle w:val="CharSectno"/>
        </w:rPr>
        <w:t>24A</w:t>
      </w:r>
      <w:r>
        <w:t>.</w:t>
      </w:r>
      <w:r>
        <w:tab/>
        <w:t>Application for FVRO</w:t>
      </w:r>
      <w:bookmarkEnd w:id="106"/>
    </w:p>
    <w:p>
      <w:pPr>
        <w:pStyle w:val="Subsection"/>
      </w:pPr>
      <w:r>
        <w:tab/>
        <w:t>(1)</w:t>
      </w:r>
      <w:r>
        <w:tab/>
        <w:t xml:space="preserve">An </w:t>
      </w:r>
      <w:r>
        <w:rPr>
          <w:snapToGrid w:val="0"/>
        </w:rPr>
        <w:t>application</w:t>
      </w:r>
      <w:r>
        <w:t xml:space="preserve"> for an FVRO may be made by —</w:t>
      </w:r>
    </w:p>
    <w:p>
      <w:pPr>
        <w:pStyle w:val="Indenta"/>
      </w:pPr>
      <w:r>
        <w:tab/>
        <w:t>(a)</w:t>
      </w:r>
      <w:r>
        <w:tab/>
        <w:t xml:space="preserve">the person seeking to be protected, if the person is 16 years of age or older; or </w:t>
      </w:r>
    </w:p>
    <w:p>
      <w:pPr>
        <w:pStyle w:val="Indenta"/>
      </w:pPr>
      <w:r>
        <w:lastRenderedPageBreak/>
        <w:tab/>
        <w:t>(b)</w:t>
      </w:r>
      <w:r>
        <w:tab/>
        <w:t>a police officer on behalf of the person seeking to be protected, regardless of the age of the person.</w:t>
      </w:r>
    </w:p>
    <w:p>
      <w:pPr>
        <w:pStyle w:val="Subsection"/>
      </w:pPr>
      <w:r>
        <w:tab/>
        <w:t>(2)</w:t>
      </w:r>
      <w:r>
        <w:tab/>
        <w:t xml:space="preserve">An </w:t>
      </w:r>
      <w:r>
        <w:rPr>
          <w:snapToGrid w:val="0"/>
        </w:rPr>
        <w:t>application</w:t>
      </w:r>
      <w:r>
        <w:t xml:space="preserve"> for an FVRO may also be made —</w:t>
      </w:r>
    </w:p>
    <w:p>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 or</w:t>
      </w:r>
    </w:p>
    <w:p>
      <w:pPr>
        <w:pStyle w:val="Indenta"/>
      </w:pPr>
      <w:r>
        <w:tab/>
        <w:t>(c)</w:t>
      </w:r>
      <w:r>
        <w:tab/>
        <w:t>if the regulations so provide, by a person acting on behalf of another person in circumstances prescribed by the regulations for the purposes of this paragraph.</w:t>
      </w:r>
    </w:p>
    <w:p>
      <w:pPr>
        <w:pStyle w:val="Subsection"/>
      </w:pPr>
      <w:r>
        <w:tab/>
        <w:t>(2A)</w:t>
      </w:r>
      <w:r>
        <w:tab/>
        <w:t>In connection with the operation of subsections (1) and (2) —</w:t>
      </w:r>
    </w:p>
    <w:p>
      <w:pPr>
        <w:pStyle w:val="Indenta"/>
      </w:pPr>
      <w:r>
        <w:tab/>
        <w:t>(a)</w:t>
      </w:r>
      <w:r>
        <w:tab/>
        <w:t>an application by a police officer under subsection (1)(b) is taken to have been made in the name of the Commissioner of Police; and</w:t>
      </w:r>
    </w:p>
    <w:p>
      <w:pPr>
        <w:pStyle w:val="Indenta"/>
      </w:pPr>
      <w:r>
        <w:tab/>
        <w:t>(b)</w:t>
      </w:r>
      <w:r>
        <w:tab/>
        <w:t>an application by a child welfare officer under subsection (2)(a) will be taken to have been made in the name of the CEO (child welfare); and</w:t>
      </w:r>
    </w:p>
    <w:p>
      <w:pPr>
        <w:pStyle w:val="Indenta"/>
      </w:pPr>
      <w:r>
        <w:tab/>
        <w:t>(c)</w:t>
      </w:r>
      <w:r>
        <w:tab/>
        <w:t>an application by a guardian under subsection (2)(b) will be taken to have been made in the name of the Public Advocate; and</w:t>
      </w:r>
    </w:p>
    <w:p>
      <w:pPr>
        <w:pStyle w:val="Indenta"/>
      </w:pPr>
      <w:r>
        <w:tab/>
        <w:t>(d)</w:t>
      </w:r>
      <w:r>
        <w:tab/>
        <w:t>if the regulations so provide, an application by a person under subsection (2)(c) will, in circumstances prescribed by the regulations, be taken to have been made in the name of an officer or authority prescribed by the regulations.</w:t>
      </w:r>
    </w:p>
    <w:p>
      <w:pPr>
        <w:pStyle w:val="Subsection"/>
      </w:pPr>
      <w:r>
        <w:tab/>
        <w:t>(3)</w:t>
      </w:r>
      <w:r>
        <w:tab/>
        <w:t xml:space="preserve">An </w:t>
      </w:r>
      <w:r>
        <w:rPr>
          <w:snapToGrid w:val="0"/>
        </w:rPr>
        <w:t>application</w:t>
      </w:r>
      <w:r>
        <w:t xml:space="preserve"> for an FVRO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lastRenderedPageBreak/>
        <w:tab/>
        <w:t>(b)</w:t>
      </w:r>
      <w:r>
        <w:tab/>
        <w:t xml:space="preserve">if the respondent is not a child and the person </w:t>
      </w:r>
      <w:r>
        <w:rPr>
          <w:snapToGrid w:val="0"/>
        </w:rPr>
        <w:t>seeking</w:t>
      </w:r>
      <w:r>
        <w:t xml:space="preserve"> to be protected is a child, the Children’s Court or the Magistrates Court; or</w:t>
      </w:r>
    </w:p>
    <w:p>
      <w:pPr>
        <w:pStyle w:val="Indenta"/>
        <w:keepNext/>
      </w:pPr>
      <w:r>
        <w:tab/>
        <w:t>(c)</w:t>
      </w:r>
      <w:r>
        <w:tab/>
      </w:r>
      <w:r>
        <w:rPr>
          <w:snapToGrid w:val="0"/>
        </w:rPr>
        <w:t>otherwise</w:t>
      </w:r>
      <w:r>
        <w:t>, the Magistrates Court.</w:t>
      </w:r>
    </w:p>
    <w:p>
      <w:pPr>
        <w:pStyle w:val="Footnotesection"/>
        <w:keepNext/>
      </w:pPr>
      <w:r>
        <w:tab/>
        <w:t>[Section 24A inserted: No. 49 of 2016 s. 30; amended: No. 13 of 2020 s. 34.]</w:t>
      </w:r>
    </w:p>
    <w:p>
      <w:pPr>
        <w:pStyle w:val="Heading5"/>
      </w:pPr>
      <w:bookmarkStart w:id="107" w:name="_Toc103865207"/>
      <w:r>
        <w:rPr>
          <w:rStyle w:val="CharSectno"/>
        </w:rPr>
        <w:t>25</w:t>
      </w:r>
      <w:r>
        <w:t>.</w:t>
      </w:r>
      <w:r>
        <w:tab/>
        <w:t>Application for VRO</w:t>
      </w:r>
      <w:bookmarkEnd w:id="107"/>
    </w:p>
    <w:p>
      <w:pPr>
        <w:pStyle w:val="Subsection"/>
      </w:pPr>
      <w:r>
        <w:tab/>
        <w:t>(1)</w:t>
      </w:r>
      <w:r>
        <w:tab/>
        <w:t>An application for a VRO may be made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keepLines/>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pPr>
      <w:r>
        <w:tab/>
        <w:t>(c)</w:t>
      </w:r>
      <w:r>
        <w:tab/>
        <w:t>otherwise, the Magistrates Court.</w:t>
      </w:r>
    </w:p>
    <w:p>
      <w:pPr>
        <w:pStyle w:val="Footnotesection"/>
        <w:ind w:left="890" w:hanging="890"/>
      </w:pPr>
      <w:r>
        <w:tab/>
        <w:t>[Section 25 inserted: No. 22 of 2000 s. 7; amended: No. 38 of 2004 s. 55; No. 59 of 2004 s. 124; No. 32 of 2011 s. 7; No. 14 of 2013 s. 4; No. 49 of 2016 s. 31; No. 13 of 2020 s. 35.]</w:t>
      </w:r>
    </w:p>
    <w:p>
      <w:pPr>
        <w:pStyle w:val="Heading5"/>
        <w:rPr>
          <w:snapToGrid w:val="0"/>
        </w:rPr>
      </w:pPr>
      <w:bookmarkStart w:id="108" w:name="_Toc103865208"/>
      <w:r>
        <w:rPr>
          <w:rStyle w:val="CharSectno"/>
        </w:rPr>
        <w:lastRenderedPageBreak/>
        <w:t>26</w:t>
      </w:r>
      <w:r>
        <w:rPr>
          <w:snapToGrid w:val="0"/>
        </w:rPr>
        <w:t>.</w:t>
      </w:r>
      <w:r>
        <w:rPr>
          <w:snapToGrid w:val="0"/>
        </w:rPr>
        <w:tab/>
        <w:t>Applicant to choose whether to have hearing in absence of respondent</w:t>
      </w:r>
      <w:bookmarkEnd w:id="108"/>
      <w:r>
        <w:rPr>
          <w:snapToGrid w:val="0"/>
        </w:rPr>
        <w:t xml:space="preserve"> </w:t>
      </w:r>
    </w:p>
    <w:p>
      <w:pPr>
        <w:pStyle w:val="Subsection"/>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w:t>
      </w:r>
      <w:r>
        <w:t>a hearing for that purpose must be fixed in accordance with the rules of court.</w:t>
      </w:r>
    </w:p>
    <w:p>
      <w:pPr>
        <w:pStyle w:val="Subsection"/>
        <w:rPr>
          <w:snapToGrid w:val="0"/>
        </w:rPr>
      </w:pPr>
      <w:r>
        <w:rPr>
          <w:snapToGrid w:val="0"/>
        </w:rPr>
        <w:tab/>
        <w:t>(3)</w:t>
      </w:r>
      <w:r>
        <w:rPr>
          <w:snapToGrid w:val="0"/>
        </w:rPr>
        <w:tab/>
        <w:t xml:space="preserve">If the applicant wishes to proceed directly to a defended hearing, </w:t>
      </w:r>
      <w:r>
        <w:t>a hearing must be fixed, and a summons served on the respondent, in accordance with the rules of court.</w:t>
      </w:r>
    </w:p>
    <w:p>
      <w:pPr>
        <w:pStyle w:val="Footnotesection"/>
      </w:pPr>
      <w:r>
        <w:tab/>
        <w:t xml:space="preserve">[Section 26 amended: No. 59 of 2004 s. 123; No. 49 of 2016 s. 32; No. 13 of 2020 s. 36.] </w:t>
      </w:r>
    </w:p>
    <w:p>
      <w:pPr>
        <w:pStyle w:val="Heading5"/>
        <w:rPr>
          <w:snapToGrid w:val="0"/>
        </w:rPr>
      </w:pPr>
      <w:bookmarkStart w:id="109" w:name="_Toc103865209"/>
      <w:r>
        <w:rPr>
          <w:rStyle w:val="CharSectno"/>
        </w:rPr>
        <w:t>27</w:t>
      </w:r>
      <w:r>
        <w:rPr>
          <w:snapToGrid w:val="0"/>
        </w:rPr>
        <w:t>.</w:t>
      </w:r>
      <w:r>
        <w:rPr>
          <w:snapToGrid w:val="0"/>
        </w:rPr>
        <w:tab/>
        <w:t>Attendance at hearing in absence of respondent</w:t>
      </w:r>
      <w:bookmarkEnd w:id="109"/>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Ednotesubsection"/>
        <w:tabs>
          <w:tab w:val="clear" w:pos="879"/>
          <w:tab w:val="left" w:pos="1134"/>
        </w:tabs>
        <w:ind w:left="1134" w:hanging="1134"/>
      </w:pPr>
      <w:r>
        <w:tab/>
        <w:t>[(4a), (5)</w:t>
      </w:r>
      <w:r>
        <w:tab/>
        <w:t>deleted]</w:t>
      </w:r>
    </w:p>
    <w:p>
      <w:pPr>
        <w:pStyle w:val="Footnotesection"/>
      </w:pPr>
      <w:r>
        <w:lastRenderedPageBreak/>
        <w:tab/>
        <w:t>[Section 27 amended: No. 38 of 2004 s. 15; No. 5 of 2008 s. 93; No. 30 of 2020 s. 61.]</w:t>
      </w:r>
    </w:p>
    <w:p>
      <w:pPr>
        <w:pStyle w:val="Heading5"/>
        <w:rPr>
          <w:snapToGrid w:val="0"/>
        </w:rPr>
      </w:pPr>
      <w:bookmarkStart w:id="110" w:name="_Toc103865210"/>
      <w:r>
        <w:rPr>
          <w:rStyle w:val="CharSectno"/>
        </w:rPr>
        <w:t>28</w:t>
      </w:r>
      <w:r>
        <w:rPr>
          <w:snapToGrid w:val="0"/>
        </w:rPr>
        <w:t>.</w:t>
      </w:r>
      <w:r>
        <w:rPr>
          <w:snapToGrid w:val="0"/>
        </w:rPr>
        <w:tab/>
        <w:t>Affidavit evidence</w:t>
      </w:r>
      <w:bookmarkEnd w:id="110"/>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No. 38 of 2004 s. 16.]</w:t>
      </w:r>
    </w:p>
    <w:p>
      <w:pPr>
        <w:pStyle w:val="Heading5"/>
        <w:rPr>
          <w:snapToGrid w:val="0"/>
        </w:rPr>
      </w:pPr>
      <w:bookmarkStart w:id="111" w:name="_Toc103865211"/>
      <w:r>
        <w:rPr>
          <w:rStyle w:val="CharSectno"/>
        </w:rPr>
        <w:t>29</w:t>
      </w:r>
      <w:r>
        <w:rPr>
          <w:snapToGrid w:val="0"/>
        </w:rPr>
        <w:t>.</w:t>
      </w:r>
      <w:r>
        <w:rPr>
          <w:snapToGrid w:val="0"/>
        </w:rPr>
        <w:tab/>
        <w:t>Order at hearing in absence of respondent</w:t>
      </w:r>
      <w:bookmarkEnd w:id="111"/>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No. 38 of 2004 s. 17; No. 59 of 2004 s. 123; No. 49 of 2016 s. 33.]</w:t>
      </w:r>
    </w:p>
    <w:p>
      <w:pPr>
        <w:pStyle w:val="Heading5"/>
        <w:spacing w:before="180"/>
        <w:rPr>
          <w:snapToGrid w:val="0"/>
        </w:rPr>
      </w:pPr>
      <w:bookmarkStart w:id="112" w:name="_Toc103865212"/>
      <w:r>
        <w:rPr>
          <w:rStyle w:val="CharSectno"/>
        </w:rPr>
        <w:lastRenderedPageBreak/>
        <w:t>30</w:t>
      </w:r>
      <w:r>
        <w:rPr>
          <w:snapToGrid w:val="0"/>
        </w:rPr>
        <w:t>.</w:t>
      </w:r>
      <w:r>
        <w:rPr>
          <w:snapToGrid w:val="0"/>
        </w:rPr>
        <w:tab/>
        <w:t>Order to be prepared and served</w:t>
      </w:r>
      <w:bookmarkEnd w:id="112"/>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No. 59 of 2004 s. 123.] </w:t>
      </w:r>
    </w:p>
    <w:p>
      <w:pPr>
        <w:pStyle w:val="Heading3"/>
        <w:keepLines/>
      </w:pPr>
      <w:bookmarkStart w:id="113" w:name="_Toc103863066"/>
      <w:bookmarkStart w:id="114" w:name="_Toc103863277"/>
      <w:bookmarkStart w:id="115" w:name="_Toc103865213"/>
      <w:r>
        <w:rPr>
          <w:rStyle w:val="CharDivNo"/>
        </w:rPr>
        <w:t>Division 3A</w:t>
      </w:r>
      <w:r>
        <w:t> — </w:t>
      </w:r>
      <w:r>
        <w:rPr>
          <w:rStyle w:val="CharDivText"/>
        </w:rPr>
        <w:t>Police officers may make police orders where family violence</w:t>
      </w:r>
      <w:bookmarkEnd w:id="113"/>
      <w:bookmarkEnd w:id="114"/>
      <w:bookmarkEnd w:id="115"/>
    </w:p>
    <w:p>
      <w:pPr>
        <w:pStyle w:val="Footnoteheading"/>
        <w:keepNext/>
        <w:keepLines/>
        <w:tabs>
          <w:tab w:val="left" w:pos="851"/>
        </w:tabs>
      </w:pPr>
      <w:r>
        <w:tab/>
        <w:t>[Heading inserted: No. 38 of 2004 s. 18(1); amended: No. 49 of 2016 s. 34.]</w:t>
      </w:r>
    </w:p>
    <w:p>
      <w:pPr>
        <w:pStyle w:val="Heading5"/>
        <w:spacing w:before="180"/>
      </w:pPr>
      <w:bookmarkStart w:id="116" w:name="_Toc103865214"/>
      <w:r>
        <w:rPr>
          <w:rStyle w:val="CharSectno"/>
        </w:rPr>
        <w:t>30A</w:t>
      </w:r>
      <w:r>
        <w:t>.</w:t>
      </w:r>
      <w:r>
        <w:tab/>
        <w:t>When police order may be made</w:t>
      </w:r>
      <w:bookmarkEnd w:id="116"/>
    </w:p>
    <w:p>
      <w:pPr>
        <w:pStyle w:val="Subsection"/>
        <w:keepNext/>
        <w:keepLines/>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keepNext/>
        <w:keepLines/>
      </w:pPr>
      <w:r>
        <w:tab/>
        <w:t>(a)</w:t>
      </w:r>
      <w:r>
        <w:tab/>
        <w:t xml:space="preserve">if the officer reasonably believes that — </w:t>
      </w:r>
    </w:p>
    <w:p>
      <w:pPr>
        <w:pStyle w:val="Indenti"/>
        <w:keepNext/>
        <w:keepLines/>
      </w:pPr>
      <w:r>
        <w:tab/>
        <w:t>(i)</w:t>
      </w:r>
      <w:r>
        <w:tab/>
        <w:t>a person has committed family violence and is likely again to commit that violence; or</w:t>
      </w:r>
    </w:p>
    <w:p>
      <w:pPr>
        <w:pStyle w:val="Indenti"/>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Lines/>
      </w:pPr>
      <w:r>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pPr>
      <w:r>
        <w:tab/>
        <w:t>(ii)</w:t>
      </w:r>
      <w:r>
        <w:tab/>
        <w:t>a child will be exposed to family violence committed by or against a person with whom the child is in a family relationship,</w:t>
      </w:r>
    </w:p>
    <w:p>
      <w:pPr>
        <w:pStyle w:val="Subsection"/>
      </w:pPr>
      <w:r>
        <w:tab/>
      </w:r>
      <w:r>
        <w:tab/>
        <w:t>and that making a police order is necessary to ensure the safety of a person.</w:t>
      </w:r>
    </w:p>
    <w:p>
      <w:pPr>
        <w:pStyle w:val="Subsection"/>
      </w:pPr>
      <w:r>
        <w:lastRenderedPageBreak/>
        <w:tab/>
        <w:t>(2)</w:t>
      </w:r>
      <w:r>
        <w:tab/>
        <w:t>A police officer may make a police order whether or not an application for an order has been made.</w:t>
      </w:r>
    </w:p>
    <w:p>
      <w:pPr>
        <w:pStyle w:val="Subsection"/>
        <w:keepNext/>
      </w:pPr>
      <w:r>
        <w:tab/>
        <w:t>(3)</w:t>
      </w:r>
      <w:r>
        <w:tab/>
        <w:t>A police officer must not make a police order if a telephone application has been dismissed under section 23(1)(b) in relation to the same facts.</w:t>
      </w:r>
    </w:p>
    <w:p>
      <w:pPr>
        <w:pStyle w:val="Footnotesection"/>
      </w:pPr>
      <w:r>
        <w:tab/>
        <w:t>[Section 30A inserted: No. 38 of 2004 s. 18(1); amended: No. 49 of 2016 s. 35; No. 4 of 2019 s. 12.]</w:t>
      </w:r>
    </w:p>
    <w:p>
      <w:pPr>
        <w:pStyle w:val="Heading5"/>
      </w:pPr>
      <w:bookmarkStart w:id="117" w:name="_Toc103865215"/>
      <w:r>
        <w:rPr>
          <w:rStyle w:val="CharSectno"/>
        </w:rPr>
        <w:t>30B</w:t>
      </w:r>
      <w:r>
        <w:t>.</w:t>
      </w:r>
      <w:r>
        <w:tab/>
        <w:t>Matters to be considered by police officer generally</w:t>
      </w:r>
      <w:bookmarkEnd w:id="117"/>
    </w:p>
    <w:p>
      <w:pPr>
        <w:pStyle w:val="Subsection"/>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No. 38 of 2004 s. 18(1); amended: No. 38 of 2004 s. 57(5); No. 49 of 2016 s. 36.]</w:t>
      </w:r>
    </w:p>
    <w:p>
      <w:pPr>
        <w:pStyle w:val="Heading5"/>
      </w:pPr>
      <w:bookmarkStart w:id="118" w:name="_Toc103865216"/>
      <w:r>
        <w:rPr>
          <w:rStyle w:val="CharSectno"/>
        </w:rPr>
        <w:lastRenderedPageBreak/>
        <w:t>30C</w:t>
      </w:r>
      <w:r>
        <w:t>.</w:t>
      </w:r>
      <w:r>
        <w:tab/>
        <w:t>Restraints that may be imposed</w:t>
      </w:r>
      <w:bookmarkEnd w:id="118"/>
    </w:p>
    <w:p>
      <w:pPr>
        <w:pStyle w:val="Subsection"/>
        <w:keepNext/>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No. 38 of 2004 s. 18(1); amended: No. 49 of 2016 s. 37.]</w:t>
      </w:r>
    </w:p>
    <w:p>
      <w:pPr>
        <w:pStyle w:val="Heading5"/>
      </w:pPr>
      <w:bookmarkStart w:id="119" w:name="_Toc103865217"/>
      <w:r>
        <w:rPr>
          <w:rStyle w:val="CharSectno"/>
        </w:rPr>
        <w:lastRenderedPageBreak/>
        <w:t>30D</w:t>
      </w:r>
      <w:r>
        <w:t>.</w:t>
      </w:r>
      <w:r>
        <w:tab/>
        <w:t>Police orders against children</w:t>
      </w:r>
      <w:bookmarkEnd w:id="119"/>
    </w:p>
    <w:p>
      <w:pPr>
        <w:pStyle w:val="Subsection"/>
      </w:pPr>
      <w:r>
        <w:tab/>
        <w:t>(1)</w:t>
      </w:r>
      <w:r>
        <w:tab/>
        <w:t>A police order cannot impose restraints on a child unless the child is in a family relationship with the person for whose benefit the order is made.</w:t>
      </w:r>
    </w:p>
    <w:p>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No. 32 of 2011 s. 8; No. 49 of 2016 s. 38.]</w:t>
      </w:r>
    </w:p>
    <w:p>
      <w:pPr>
        <w:pStyle w:val="Heading5"/>
      </w:pPr>
      <w:bookmarkStart w:id="120" w:name="_Toc103865218"/>
      <w:r>
        <w:rPr>
          <w:rStyle w:val="CharSectno"/>
        </w:rPr>
        <w:t>30E</w:t>
      </w:r>
      <w:r>
        <w:t>.</w:t>
      </w:r>
      <w:r>
        <w:tab/>
        <w:t>Police order to be served and explained</w:t>
      </w:r>
      <w:bookmarkEnd w:id="120"/>
    </w:p>
    <w:p>
      <w:pPr>
        <w:pStyle w:val="Subsection"/>
      </w:pPr>
      <w:r>
        <w:tab/>
        <w:t>(1)</w:t>
      </w:r>
      <w:r>
        <w:tab/>
        <w:t>Any police officer may serve a police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 xml:space="preserve">If a person to whom an explanation is to be given under subsection (3) does not readily understand English, or the police officer is not satisfied that the person understood the explanation, the officer is, as far as practicable, to arrange for someone else who is 18 years of age or older to give the </w:t>
      </w:r>
      <w:r>
        <w:lastRenderedPageBreak/>
        <w:t>explanation to the person in a way that the person can understand.</w:t>
      </w:r>
    </w:p>
    <w:p>
      <w:pPr>
        <w:pStyle w:val="Subsection"/>
      </w:pPr>
      <w:r>
        <w:tab/>
        <w:t>(4A)</w:t>
      </w:r>
      <w:r>
        <w:tab/>
        <w:t>However, a person giving an explanation under subsection (4) must not be a person of a class prescribed in the regulations.</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No. 38 of 2004 s. 18(1); amended: No. 5 of 2008 s. 94; No. 49 of 2016 s. 39; No. 30 of 2020 s. 62.]</w:t>
      </w:r>
    </w:p>
    <w:p>
      <w:pPr>
        <w:pStyle w:val="Heading5"/>
      </w:pPr>
      <w:bookmarkStart w:id="121" w:name="_Toc103865219"/>
      <w:r>
        <w:rPr>
          <w:rStyle w:val="CharSectno"/>
        </w:rPr>
        <w:t>30F</w:t>
      </w:r>
      <w:r>
        <w:t>.</w:t>
      </w:r>
      <w:r>
        <w:tab/>
        <w:t>Duration of police orders</w:t>
      </w:r>
      <w:bookmarkEnd w:id="121"/>
    </w:p>
    <w:p>
      <w:pPr>
        <w:pStyle w:val="Subsection"/>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No. 32 of 2011 s. 9.]</w:t>
      </w:r>
    </w:p>
    <w:p>
      <w:pPr>
        <w:pStyle w:val="Ednotesection"/>
      </w:pPr>
      <w:r>
        <w:t>[</w:t>
      </w:r>
      <w:r>
        <w:rPr>
          <w:b/>
        </w:rPr>
        <w:t>30G.</w:t>
      </w:r>
      <w:r>
        <w:tab/>
        <w:t>Deleted: No. 32 of 2011 s. 10.]</w:t>
      </w:r>
    </w:p>
    <w:p>
      <w:pPr>
        <w:pStyle w:val="Heading5"/>
      </w:pPr>
      <w:bookmarkStart w:id="122" w:name="_Toc103865220"/>
      <w:r>
        <w:rPr>
          <w:rStyle w:val="CharSectno"/>
        </w:rPr>
        <w:t>30H</w:t>
      </w:r>
      <w:r>
        <w:t>.</w:t>
      </w:r>
      <w:r>
        <w:tab/>
        <w:t>Order not to be renewed by police officer</w:t>
      </w:r>
      <w:bookmarkEnd w:id="122"/>
    </w:p>
    <w:p>
      <w:pPr>
        <w:pStyle w:val="Subsection"/>
      </w:pPr>
      <w:r>
        <w:tab/>
      </w:r>
      <w:r>
        <w:tab/>
        <w:t>The duration of a police order cannot be extended or renewed and another police order cannot be made in relation to the same facts.</w:t>
      </w:r>
    </w:p>
    <w:p>
      <w:pPr>
        <w:pStyle w:val="Footnotesection"/>
        <w:spacing w:before="100"/>
      </w:pPr>
      <w:r>
        <w:lastRenderedPageBreak/>
        <w:tab/>
        <w:t>[Section 30H inserted: No. 38 of 2004 s. 18(1).]</w:t>
      </w:r>
    </w:p>
    <w:p>
      <w:pPr>
        <w:pStyle w:val="Heading5"/>
      </w:pPr>
      <w:bookmarkStart w:id="123" w:name="_Toc103865221"/>
      <w:r>
        <w:rPr>
          <w:rStyle w:val="CharSectno"/>
        </w:rPr>
        <w:t>30I</w:t>
      </w:r>
      <w:r>
        <w:t>.</w:t>
      </w:r>
      <w:r>
        <w:tab/>
        <w:t>Review of Division</w:t>
      </w:r>
      <w:bookmarkEnd w:id="123"/>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No. 38 of 2004 s. 18(1).]</w:t>
      </w:r>
    </w:p>
    <w:p>
      <w:pPr>
        <w:pStyle w:val="Heading3"/>
        <w:rPr>
          <w:snapToGrid w:val="0"/>
        </w:rPr>
      </w:pPr>
      <w:bookmarkStart w:id="124" w:name="_Toc103863075"/>
      <w:bookmarkStart w:id="125" w:name="_Toc103863286"/>
      <w:bookmarkStart w:id="126" w:name="_Toc103865222"/>
      <w:r>
        <w:rPr>
          <w:rStyle w:val="CharDivNo"/>
        </w:rPr>
        <w:t>Division 4</w:t>
      </w:r>
      <w:r>
        <w:rPr>
          <w:snapToGrid w:val="0"/>
        </w:rPr>
        <w:t> — </w:t>
      </w:r>
      <w:r>
        <w:rPr>
          <w:rStyle w:val="CharDivText"/>
        </w:rPr>
        <w:t>Procedure when interim order made</w:t>
      </w:r>
      <w:bookmarkEnd w:id="124"/>
      <w:bookmarkEnd w:id="125"/>
      <w:bookmarkEnd w:id="126"/>
      <w:r>
        <w:rPr>
          <w:rStyle w:val="CharDivText"/>
        </w:rPr>
        <w:t xml:space="preserve"> </w:t>
      </w:r>
    </w:p>
    <w:p>
      <w:pPr>
        <w:pStyle w:val="Heading5"/>
      </w:pPr>
      <w:bookmarkStart w:id="127" w:name="_Toc103865223"/>
      <w:r>
        <w:rPr>
          <w:rStyle w:val="CharSectno"/>
        </w:rPr>
        <w:t>31A</w:t>
      </w:r>
      <w:r>
        <w:t>.</w:t>
      </w:r>
      <w:r>
        <w:tab/>
        <w:t>Term used: respondent</w:t>
      </w:r>
      <w:bookmarkEnd w:id="127"/>
    </w:p>
    <w:p>
      <w:pPr>
        <w:pStyle w:val="Subsection"/>
      </w:pPr>
      <w:r>
        <w:tab/>
      </w:r>
      <w:r>
        <w:tab/>
        <w:t>In this Division —</w:t>
      </w:r>
    </w:p>
    <w:p>
      <w:pPr>
        <w:pStyle w:val="Defstart"/>
      </w:pPr>
      <w:r>
        <w:tab/>
      </w:r>
      <w:r>
        <w:rPr>
          <w:rStyle w:val="CharDefText"/>
        </w:rPr>
        <w:t>respondent</w:t>
      </w:r>
      <w:r>
        <w:t>, in respect of an interim order or final order, means the person bound by the order.</w:t>
      </w:r>
    </w:p>
    <w:p>
      <w:pPr>
        <w:pStyle w:val="Footnotesection"/>
        <w:spacing w:before="100"/>
      </w:pPr>
      <w:r>
        <w:tab/>
        <w:t>[Section 31A inserted: No. 32 of 2011 s. 11.]</w:t>
      </w:r>
    </w:p>
    <w:p>
      <w:pPr>
        <w:pStyle w:val="Heading5"/>
        <w:rPr>
          <w:snapToGrid w:val="0"/>
        </w:rPr>
      </w:pPr>
      <w:bookmarkStart w:id="128" w:name="_Toc103865224"/>
      <w:r>
        <w:rPr>
          <w:rStyle w:val="CharSectno"/>
        </w:rPr>
        <w:t>31</w:t>
      </w:r>
      <w:r>
        <w:rPr>
          <w:snapToGrid w:val="0"/>
        </w:rPr>
        <w:t>.</w:t>
      </w:r>
      <w:r>
        <w:rPr>
          <w:snapToGrid w:val="0"/>
        </w:rPr>
        <w:tab/>
        <w:t>21 days for respondent to object</w:t>
      </w:r>
      <w:bookmarkEnd w:id="128"/>
      <w:r>
        <w:rPr>
          <w:snapToGrid w:val="0"/>
        </w:rPr>
        <w:t xml:space="preserve"> </w:t>
      </w:r>
    </w:p>
    <w:p>
      <w:pPr>
        <w:pStyle w:val="Subsection"/>
        <w:keepNext/>
        <w:rPr>
          <w:snapToGrid w:val="0"/>
        </w:rPr>
      </w:pPr>
      <w:r>
        <w:rPr>
          <w:snapToGrid w:val="0"/>
        </w:rPr>
        <w:tab/>
      </w:r>
      <w:r>
        <w:rPr>
          <w:snapToGrid w:val="0"/>
        </w:rPr>
        <w:tab/>
        <w:t xml:space="preserve">Within 21 days of being served with an interim order a respondent must complete the respondent’s endorsement copy </w:t>
      </w:r>
      <w:r>
        <w:rPr>
          <w:snapToGrid w:val="0"/>
        </w:rPr>
        <w:lastRenderedPageBreak/>
        <w:t>of the order in accordance with the instructions on it, and return it to the</w:t>
      </w:r>
      <w:r>
        <w:t xml:space="preserve"> registrar</w:t>
      </w:r>
      <w:r>
        <w:rPr>
          <w:snapToGrid w:val="0"/>
        </w:rPr>
        <w:t xml:space="preserve">. </w:t>
      </w:r>
    </w:p>
    <w:p>
      <w:pPr>
        <w:pStyle w:val="Footnotesection"/>
        <w:keepNext/>
      </w:pPr>
      <w:r>
        <w:tab/>
        <w:t xml:space="preserve">[Section 31 amended: No. 59 of 2004 s. 123.] </w:t>
      </w:r>
    </w:p>
    <w:p>
      <w:pPr>
        <w:pStyle w:val="Heading5"/>
        <w:rPr>
          <w:snapToGrid w:val="0"/>
        </w:rPr>
      </w:pPr>
      <w:bookmarkStart w:id="129" w:name="_Toc103865225"/>
      <w:r>
        <w:rPr>
          <w:rStyle w:val="CharSectno"/>
        </w:rPr>
        <w:t>32</w:t>
      </w:r>
      <w:r>
        <w:rPr>
          <w:snapToGrid w:val="0"/>
        </w:rPr>
        <w:t>.</w:t>
      </w:r>
      <w:r>
        <w:rPr>
          <w:snapToGrid w:val="0"/>
        </w:rPr>
        <w:tab/>
        <w:t>Respondent does not object to final order being made</w:t>
      </w:r>
      <w:bookmarkEnd w:id="129"/>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spacing w:before="140"/>
      </w:pPr>
      <w:r>
        <w:lastRenderedPageBreak/>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keepNext/>
      </w:pPr>
      <w:r>
        <w:lastRenderedPageBreak/>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pPr>
      <w:r>
        <w:tab/>
        <w:t>(ii)</w:t>
      </w:r>
      <w:r>
        <w:tab/>
        <w:t>indicated on it that the respondent objected to the interim order becoming final.</w:t>
      </w:r>
    </w:p>
    <w:p>
      <w:pPr>
        <w:pStyle w:val="Footnotesection"/>
      </w:pPr>
      <w:r>
        <w:tab/>
        <w:t xml:space="preserve">[Section 32 amended: No. 59 of 2004 s. 123; No. 32 of 2011 s. 12.] </w:t>
      </w:r>
    </w:p>
    <w:p>
      <w:pPr>
        <w:pStyle w:val="Heading5"/>
        <w:rPr>
          <w:snapToGrid w:val="0"/>
        </w:rPr>
      </w:pPr>
      <w:bookmarkStart w:id="130" w:name="_Toc103865226"/>
      <w:r>
        <w:rPr>
          <w:rStyle w:val="CharSectno"/>
        </w:rPr>
        <w:t>33</w:t>
      </w:r>
      <w:r>
        <w:rPr>
          <w:snapToGrid w:val="0"/>
        </w:rPr>
        <w:t>.</w:t>
      </w:r>
      <w:r>
        <w:rPr>
          <w:snapToGrid w:val="0"/>
        </w:rPr>
        <w:tab/>
        <w:t>Respondent objects to final order being made</w:t>
      </w:r>
      <w:bookmarkEnd w:id="130"/>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lastRenderedPageBreak/>
        <w:tab/>
        <w:t>(d)</w:t>
      </w:r>
      <w:r>
        <w:rPr>
          <w:snapToGrid w:val="0"/>
        </w:rPr>
        <w:tab/>
        <w:t xml:space="preserve">being in possession of a firearm that the respondent reasonably needs in order to carry on the respondent’s usual </w:t>
      </w:r>
      <w:r>
        <w:t>occupation; or</w:t>
      </w:r>
      <w:r>
        <w:rPr>
          <w:snapToGrid w:val="0"/>
        </w:rPr>
        <w:t xml:space="preserve"> </w:t>
      </w:r>
    </w:p>
    <w:p>
      <w:pPr>
        <w:pStyle w:val="Indenta"/>
      </w:pPr>
      <w:r>
        <w:tab/>
        <w:t>(e)</w:t>
      </w:r>
      <w:r>
        <w:tab/>
        <w:t>being in possession of explosives or an explosives licence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Subsection"/>
      </w:pPr>
      <w:r>
        <w:tab/>
        <w:t>(3)</w:t>
      </w:r>
      <w:r>
        <w:tab/>
        <w:t>Subsections (1) and (2) apply subject to the referral of the matter to a conference under Part 5A.</w:t>
      </w:r>
    </w:p>
    <w:p>
      <w:pPr>
        <w:pStyle w:val="Footnotesection"/>
      </w:pPr>
      <w:r>
        <w:tab/>
        <w:t xml:space="preserve">[Section 33 amended: No. 59 of 2004 s. 123; No. 30 of 2020 s. 63.] </w:t>
      </w:r>
    </w:p>
    <w:p>
      <w:pPr>
        <w:pStyle w:val="Heading2"/>
      </w:pPr>
      <w:bookmarkStart w:id="131" w:name="_Toc103863080"/>
      <w:bookmarkStart w:id="132" w:name="_Toc103863291"/>
      <w:bookmarkStart w:id="133" w:name="_Toc103865227"/>
      <w:r>
        <w:rPr>
          <w:rStyle w:val="CharPartNo"/>
        </w:rPr>
        <w:lastRenderedPageBreak/>
        <w:t>Part 3</w:t>
      </w:r>
      <w:r>
        <w:rPr>
          <w:rStyle w:val="CharDivNo"/>
        </w:rPr>
        <w:t> </w:t>
      </w:r>
      <w:r>
        <w:t>—</w:t>
      </w:r>
      <w:r>
        <w:rPr>
          <w:rStyle w:val="CharDivText"/>
        </w:rPr>
        <w:t> </w:t>
      </w:r>
      <w:r>
        <w:rPr>
          <w:rStyle w:val="CharPartText"/>
        </w:rPr>
        <w:t>Misconduct restraining order</w:t>
      </w:r>
      <w:bookmarkEnd w:id="131"/>
      <w:bookmarkEnd w:id="132"/>
      <w:bookmarkEnd w:id="133"/>
      <w:r>
        <w:rPr>
          <w:rStyle w:val="CharPartText"/>
        </w:rPr>
        <w:t xml:space="preserve"> </w:t>
      </w:r>
    </w:p>
    <w:p>
      <w:pPr>
        <w:pStyle w:val="Heading5"/>
        <w:rPr>
          <w:snapToGrid w:val="0"/>
        </w:rPr>
      </w:pPr>
      <w:bookmarkStart w:id="134" w:name="_Toc103865228"/>
      <w:r>
        <w:rPr>
          <w:rStyle w:val="CharSectno"/>
        </w:rPr>
        <w:t>34</w:t>
      </w:r>
      <w:r>
        <w:rPr>
          <w:snapToGrid w:val="0"/>
        </w:rPr>
        <w:t>.</w:t>
      </w:r>
      <w:r>
        <w:rPr>
          <w:snapToGrid w:val="0"/>
        </w:rPr>
        <w:tab/>
        <w:t>Grounds for misconduct restraining order</w:t>
      </w:r>
      <w:bookmarkEnd w:id="134"/>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No. 38 of 2004 s. 54 and 56; No. 49 of 2016 s. 40.]</w:t>
      </w:r>
    </w:p>
    <w:p>
      <w:pPr>
        <w:pStyle w:val="Heading5"/>
        <w:rPr>
          <w:snapToGrid w:val="0"/>
        </w:rPr>
      </w:pPr>
      <w:bookmarkStart w:id="135" w:name="_Toc103865229"/>
      <w:r>
        <w:rPr>
          <w:rStyle w:val="CharSectno"/>
        </w:rPr>
        <w:t>35</w:t>
      </w:r>
      <w:r>
        <w:rPr>
          <w:snapToGrid w:val="0"/>
        </w:rPr>
        <w:t>.</w:t>
      </w:r>
      <w:r>
        <w:rPr>
          <w:snapToGrid w:val="0"/>
        </w:rPr>
        <w:tab/>
        <w:t>Matters to be considered by court generally</w:t>
      </w:r>
      <w:bookmarkEnd w:id="135"/>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lastRenderedPageBreak/>
        <w:tab/>
        <w:t>(3)</w:t>
      </w:r>
      <w:r>
        <w:rPr>
          <w:snapToGrid w:val="0"/>
        </w:rPr>
        <w:tab/>
        <w:t>A court is to have regard to the matters set out in subsection (1)(a) and (b) or (2)(a) and (b) as being of primary importance.</w:t>
      </w:r>
    </w:p>
    <w:p>
      <w:pPr>
        <w:pStyle w:val="Footnotesection"/>
        <w:ind w:left="890" w:hanging="890"/>
      </w:pPr>
      <w:r>
        <w:tab/>
        <w:t>[Section 35 amended: No. 38 of 2004 s. 19, 54, 55, 56 and 57(5); No. 49 of 2016 s. 41.]</w:t>
      </w:r>
    </w:p>
    <w:p>
      <w:pPr>
        <w:pStyle w:val="Heading5"/>
      </w:pPr>
      <w:bookmarkStart w:id="136" w:name="_Toc103865230"/>
      <w:r>
        <w:rPr>
          <w:rStyle w:val="CharSectno"/>
        </w:rPr>
        <w:t>35A</w:t>
      </w:r>
      <w:r>
        <w:t>.</w:t>
      </w:r>
      <w:r>
        <w:tab/>
        <w:t>MROs not for persons in family relationship</w:t>
      </w:r>
      <w:bookmarkEnd w:id="136"/>
    </w:p>
    <w:p>
      <w:pPr>
        <w:pStyle w:val="Subsection"/>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No. 38 of 2004 s. 20; amended: No. 49 of 2016 s. 42.]</w:t>
      </w:r>
    </w:p>
    <w:p>
      <w:pPr>
        <w:pStyle w:val="Heading5"/>
        <w:rPr>
          <w:snapToGrid w:val="0"/>
        </w:rPr>
      </w:pPr>
      <w:bookmarkStart w:id="137" w:name="_Toc103865231"/>
      <w:r>
        <w:rPr>
          <w:rStyle w:val="CharSectno"/>
        </w:rPr>
        <w:t>36</w:t>
      </w:r>
      <w:r>
        <w:rPr>
          <w:snapToGrid w:val="0"/>
        </w:rPr>
        <w:t>.</w:t>
      </w:r>
      <w:r>
        <w:rPr>
          <w:snapToGrid w:val="0"/>
        </w:rPr>
        <w:tab/>
        <w:t>Restraints on respondent</w:t>
      </w:r>
      <w:bookmarkEnd w:id="137"/>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lastRenderedPageBreak/>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pPr>
      <w:r>
        <w:tab/>
        <w:t>(fa)</w:t>
      </w:r>
      <w:r>
        <w:tab/>
        <w:t xml:space="preserve">being in possession of any explosives or an explosives licence, or applying for an explosives licence; </w:t>
      </w:r>
    </w:p>
    <w:p>
      <w:pPr>
        <w:pStyle w:val="Indenta"/>
        <w:rPr>
          <w:snapToGrid w:val="0"/>
        </w:rPr>
      </w:pPr>
      <w:r>
        <w:rPr>
          <w:snapToGrid w:val="0"/>
        </w:rPr>
        <w:tab/>
        <w:t>(g)</w:t>
      </w:r>
      <w:r>
        <w:rPr>
          <w:snapToGrid w:val="0"/>
        </w:rPr>
        <w:tab/>
        <w:t xml:space="preserve">causing or allowing another person to engage in conduct of a type referred to in paragraphs (a) to </w:t>
      </w:r>
      <w:r>
        <w:t>(fa).</w:t>
      </w:r>
      <w:r>
        <w:rPr>
          <w:snapToGrid w:val="0"/>
        </w:rPr>
        <w:t xml:space="preserve"> </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w:t>
      </w:r>
      <w:r>
        <w:t>licence; or</w:t>
      </w:r>
      <w:r>
        <w:rPr>
          <w:snapToGrid w:val="0"/>
        </w:rPr>
        <w:t xml:space="preserve"> </w:t>
      </w:r>
    </w:p>
    <w:p>
      <w:pPr>
        <w:pStyle w:val="Indenta"/>
      </w:pPr>
      <w:r>
        <w:tab/>
        <w:t>(d)</w:t>
      </w:r>
      <w:r>
        <w:tab/>
        <w:t>being in possession of any explosives or an explosives licence, or applying for an explosives licence.</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lastRenderedPageBreak/>
        <w:tab/>
        <w:t>(6)</w:t>
      </w:r>
      <w:r>
        <w:rPr>
          <w:snapToGrid w:val="0"/>
        </w:rPr>
        <w:tab/>
        <w:t xml:space="preserve">If </w:t>
      </w:r>
      <w:r>
        <w:t>an MRO</w:t>
      </w:r>
      <w:r>
        <w:rPr>
          <w:snapToGrid w:val="0"/>
        </w:rPr>
        <w:t xml:space="preserve"> restrains the respondent from being in possession of a firearm or firearms licence, or applying for a firearms licence, sections 14 and 62E apply as if the </w:t>
      </w:r>
      <w:r>
        <w:t>MRO were a VRO (as those sections apply in relation to firearms and firearms licences).</w:t>
      </w:r>
    </w:p>
    <w:p>
      <w:pPr>
        <w:pStyle w:val="Subsection"/>
      </w:pPr>
      <w:r>
        <w:tab/>
        <w:t>(7)</w:t>
      </w:r>
      <w:r>
        <w:tab/>
        <w:t>If an MRO restrains the respondent from being in possession of any explosives or an explosives licence, or applying for an explosives licence, sections 14A and 62E apply as if the MRO were a VRO (as those sections apply in relation to explosives and explosives licences).</w:t>
      </w:r>
    </w:p>
    <w:p>
      <w:pPr>
        <w:pStyle w:val="Footnotesection"/>
        <w:ind w:left="890" w:hanging="890"/>
      </w:pPr>
      <w:r>
        <w:tab/>
        <w:t>[Section 36 amended: No. 38 of 2004 s. 21, 43(4), 54 and 56; No. 49 of 2016 s. 43; No. 30 of 2020 s. 64.]</w:t>
      </w:r>
    </w:p>
    <w:p>
      <w:pPr>
        <w:pStyle w:val="Heading5"/>
        <w:rPr>
          <w:snapToGrid w:val="0"/>
        </w:rPr>
      </w:pPr>
      <w:bookmarkStart w:id="138" w:name="_Toc103865232"/>
      <w:r>
        <w:rPr>
          <w:rStyle w:val="CharSectno"/>
        </w:rPr>
        <w:t>37</w:t>
      </w:r>
      <w:r>
        <w:rPr>
          <w:snapToGrid w:val="0"/>
        </w:rPr>
        <w:t>.</w:t>
      </w:r>
      <w:r>
        <w:rPr>
          <w:snapToGrid w:val="0"/>
        </w:rPr>
        <w:tab/>
        <w:t>Duration of MRO</w:t>
      </w:r>
      <w:bookmarkEnd w:id="138"/>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No. 49 of 2016 s. 44.]</w:t>
      </w:r>
    </w:p>
    <w:p>
      <w:pPr>
        <w:pStyle w:val="Heading5"/>
      </w:pPr>
      <w:bookmarkStart w:id="139" w:name="_Toc103865233"/>
      <w:r>
        <w:rPr>
          <w:rStyle w:val="CharSectno"/>
        </w:rPr>
        <w:t>38</w:t>
      </w:r>
      <w:r>
        <w:t>.</w:t>
      </w:r>
      <w:r>
        <w:tab/>
        <w:t>Application for MRO</w:t>
      </w:r>
      <w:bookmarkEnd w:id="139"/>
    </w:p>
    <w:p>
      <w:pPr>
        <w:pStyle w:val="Subsection"/>
      </w:pPr>
      <w:r>
        <w:tab/>
        <w:t>(1)</w:t>
      </w:r>
      <w:r>
        <w:tab/>
        <w:t>An application for an MRO may be made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lastRenderedPageBreak/>
        <w:tab/>
        <w:t>(3)</w:t>
      </w:r>
      <w:r>
        <w:tab/>
        <w:t>If there is no particular person seeking to be protected an application for an MRO may be made by a police officer on behalf of the public generally.</w:t>
      </w:r>
    </w:p>
    <w:p>
      <w:pPr>
        <w:pStyle w:val="Subsection"/>
      </w:pPr>
      <w:r>
        <w:tab/>
        <w:t>(4)</w:t>
      </w:r>
      <w:r>
        <w:tab/>
        <w:t xml:space="preserve">An application for an MRO is to be made in accordance with the rules of court (using, if the regulations so require,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No. 22 of 2000 s. 8; amended: No. 38 of 2004 s. 55; No. 59 of 2004 s. 124; No. 49 of 2016 s. 45; No. 30 of 2020 s. 65.]</w:t>
      </w:r>
    </w:p>
    <w:p>
      <w:pPr>
        <w:pStyle w:val="Heading5"/>
        <w:rPr>
          <w:snapToGrid w:val="0"/>
        </w:rPr>
      </w:pPr>
      <w:bookmarkStart w:id="140" w:name="_Toc103865234"/>
      <w:r>
        <w:rPr>
          <w:rStyle w:val="CharSectno"/>
        </w:rPr>
        <w:t>39</w:t>
      </w:r>
      <w:r>
        <w:rPr>
          <w:snapToGrid w:val="0"/>
        </w:rPr>
        <w:t>.</w:t>
      </w:r>
      <w:r>
        <w:rPr>
          <w:snapToGrid w:val="0"/>
        </w:rPr>
        <w:tab/>
      </w:r>
      <w:r>
        <w:t xml:space="preserve">Registrar </w:t>
      </w:r>
      <w:r>
        <w:rPr>
          <w:snapToGrid w:val="0"/>
        </w:rPr>
        <w:t>to fix hearing and issue summons</w:t>
      </w:r>
      <w:bookmarkEnd w:id="140"/>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No. 59 of 2004 s. 123; No. 49 of 2016 s. 46.] </w:t>
      </w:r>
    </w:p>
    <w:p>
      <w:pPr>
        <w:pStyle w:val="Heading2"/>
      </w:pPr>
      <w:bookmarkStart w:id="141" w:name="_Toc103863088"/>
      <w:bookmarkStart w:id="142" w:name="_Toc103863299"/>
      <w:bookmarkStart w:id="143" w:name="_Toc103865235"/>
      <w:r>
        <w:rPr>
          <w:rStyle w:val="CharPartNo"/>
        </w:rPr>
        <w:lastRenderedPageBreak/>
        <w:t>Part 4</w:t>
      </w:r>
      <w:r>
        <w:t> — </w:t>
      </w:r>
      <w:r>
        <w:rPr>
          <w:rStyle w:val="CharPartText"/>
        </w:rPr>
        <w:t>Hearings and evidence</w:t>
      </w:r>
      <w:bookmarkEnd w:id="141"/>
      <w:bookmarkEnd w:id="142"/>
      <w:bookmarkEnd w:id="143"/>
    </w:p>
    <w:p>
      <w:pPr>
        <w:pStyle w:val="Footnoteheading"/>
        <w:tabs>
          <w:tab w:val="left" w:pos="851"/>
        </w:tabs>
      </w:pPr>
      <w:r>
        <w:tab/>
        <w:t>[Heading amended: No. 38 of 2004 s. 22.]</w:t>
      </w:r>
    </w:p>
    <w:p>
      <w:pPr>
        <w:pStyle w:val="Heading3"/>
        <w:rPr>
          <w:snapToGrid w:val="0"/>
        </w:rPr>
      </w:pPr>
      <w:bookmarkStart w:id="144" w:name="_Toc103863089"/>
      <w:bookmarkStart w:id="145" w:name="_Toc103863300"/>
      <w:bookmarkStart w:id="146" w:name="_Toc103865236"/>
      <w:r>
        <w:rPr>
          <w:rStyle w:val="CharDivNo"/>
        </w:rPr>
        <w:t>Division 1</w:t>
      </w:r>
      <w:r>
        <w:rPr>
          <w:snapToGrid w:val="0"/>
        </w:rPr>
        <w:t> — </w:t>
      </w:r>
      <w:r>
        <w:rPr>
          <w:rStyle w:val="CharDivText"/>
        </w:rPr>
        <w:t>Mention hearings</w:t>
      </w:r>
      <w:bookmarkEnd w:id="144"/>
      <w:bookmarkEnd w:id="145"/>
      <w:bookmarkEnd w:id="146"/>
      <w:r>
        <w:rPr>
          <w:rStyle w:val="CharDivText"/>
        </w:rPr>
        <w:t xml:space="preserve"> </w:t>
      </w:r>
    </w:p>
    <w:p>
      <w:pPr>
        <w:pStyle w:val="Heading5"/>
        <w:spacing w:before="200"/>
        <w:rPr>
          <w:snapToGrid w:val="0"/>
        </w:rPr>
      </w:pPr>
      <w:bookmarkStart w:id="147" w:name="_Toc103865237"/>
      <w:r>
        <w:rPr>
          <w:rStyle w:val="CharSectno"/>
        </w:rPr>
        <w:t>40</w:t>
      </w:r>
      <w:r>
        <w:rPr>
          <w:snapToGrid w:val="0"/>
        </w:rPr>
        <w:t>.</w:t>
      </w:r>
      <w:r>
        <w:rPr>
          <w:snapToGrid w:val="0"/>
        </w:rPr>
        <w:tab/>
        <w:t>Attendance at hearing</w:t>
      </w:r>
      <w:bookmarkEnd w:id="147"/>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No. 10 of 1998 s. 62(2); No. 59 of 2004 s. 123.]</w:t>
      </w:r>
    </w:p>
    <w:p>
      <w:pPr>
        <w:pStyle w:val="Heading5"/>
        <w:keepLines w:val="0"/>
        <w:rPr>
          <w:snapToGrid w:val="0"/>
        </w:rPr>
      </w:pPr>
      <w:bookmarkStart w:id="148" w:name="_Toc103865238"/>
      <w:r>
        <w:rPr>
          <w:rStyle w:val="CharSectno"/>
        </w:rPr>
        <w:t>41</w:t>
      </w:r>
      <w:r>
        <w:rPr>
          <w:snapToGrid w:val="0"/>
        </w:rPr>
        <w:t>.</w:t>
      </w:r>
      <w:r>
        <w:rPr>
          <w:snapToGrid w:val="0"/>
        </w:rPr>
        <w:tab/>
        <w:t>Consent order or final order hearing to be fixed</w:t>
      </w:r>
      <w:bookmarkEnd w:id="148"/>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w:t>
      </w:r>
      <w:r>
        <w:rPr>
          <w:snapToGrid w:val="0"/>
        </w:rPr>
        <w:lastRenderedPageBreak/>
        <w:t>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No. 59 of 2004 s. 123; No. 49 of 2016 s. 47.] </w:t>
      </w:r>
    </w:p>
    <w:p>
      <w:pPr>
        <w:pStyle w:val="Heading3"/>
        <w:rPr>
          <w:snapToGrid w:val="0"/>
        </w:rPr>
      </w:pPr>
      <w:bookmarkStart w:id="149" w:name="_Toc103863092"/>
      <w:bookmarkStart w:id="150" w:name="_Toc103863303"/>
      <w:bookmarkStart w:id="151" w:name="_Toc103865239"/>
      <w:r>
        <w:rPr>
          <w:rStyle w:val="CharDivNo"/>
        </w:rPr>
        <w:t>Division 2</w:t>
      </w:r>
      <w:r>
        <w:rPr>
          <w:snapToGrid w:val="0"/>
        </w:rPr>
        <w:t> — </w:t>
      </w:r>
      <w:r>
        <w:rPr>
          <w:rStyle w:val="CharDivText"/>
        </w:rPr>
        <w:t>Final order hearings</w:t>
      </w:r>
      <w:bookmarkEnd w:id="149"/>
      <w:bookmarkEnd w:id="150"/>
      <w:bookmarkEnd w:id="151"/>
      <w:r>
        <w:rPr>
          <w:rStyle w:val="CharDivText"/>
        </w:rPr>
        <w:t xml:space="preserve"> </w:t>
      </w:r>
    </w:p>
    <w:p>
      <w:pPr>
        <w:pStyle w:val="Heading5"/>
        <w:rPr>
          <w:snapToGrid w:val="0"/>
        </w:rPr>
      </w:pPr>
      <w:bookmarkStart w:id="152" w:name="_Toc103865240"/>
      <w:r>
        <w:rPr>
          <w:rStyle w:val="CharSectno"/>
        </w:rPr>
        <w:t>42</w:t>
      </w:r>
      <w:r>
        <w:rPr>
          <w:snapToGrid w:val="0"/>
        </w:rPr>
        <w:t>.</w:t>
      </w:r>
      <w:r>
        <w:rPr>
          <w:snapToGrid w:val="0"/>
        </w:rPr>
        <w:tab/>
        <w:t>Attendance at final order hearing</w:t>
      </w:r>
      <w:bookmarkEnd w:id="152"/>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lastRenderedPageBreak/>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No. 22 of 2000 s. 9; No. 38 of 2004 s. 23 and 25(4); No. 5 of 2008 s. 95.]</w:t>
      </w:r>
    </w:p>
    <w:p>
      <w:pPr>
        <w:pStyle w:val="Heading5"/>
        <w:rPr>
          <w:snapToGrid w:val="0"/>
        </w:rPr>
      </w:pPr>
      <w:bookmarkStart w:id="153" w:name="_Toc103865241"/>
      <w:r>
        <w:rPr>
          <w:rStyle w:val="CharSectno"/>
        </w:rPr>
        <w:t>43</w:t>
      </w:r>
      <w:r>
        <w:rPr>
          <w:snapToGrid w:val="0"/>
        </w:rPr>
        <w:t>.</w:t>
      </w:r>
      <w:r>
        <w:rPr>
          <w:snapToGrid w:val="0"/>
        </w:rPr>
        <w:tab/>
        <w:t>Making final order</w:t>
      </w:r>
      <w:bookmarkEnd w:id="153"/>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lastRenderedPageBreak/>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No. 38 of 2004 s. 24; No. 5 of 2008 s. 96; No. 49 of 2016 s. 48.]</w:t>
      </w:r>
    </w:p>
    <w:p>
      <w:pPr>
        <w:pStyle w:val="Heading5"/>
      </w:pPr>
      <w:bookmarkStart w:id="154" w:name="_Toc103865242"/>
      <w:r>
        <w:rPr>
          <w:rStyle w:val="CharSectno"/>
        </w:rPr>
        <w:t>43A</w:t>
      </w:r>
      <w:r>
        <w:t>.</w:t>
      </w:r>
      <w:r>
        <w:tab/>
        <w:t>Decision under s. 42 in default of appearance may be set aside</w:t>
      </w:r>
      <w:bookmarkEnd w:id="154"/>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lastRenderedPageBreak/>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w:t>
      </w:r>
      <w:r>
        <w:rPr>
          <w:snapToGrid w:val="0"/>
        </w:rPr>
        <w:lastRenderedPageBreak/>
        <w:t xml:space="preserve">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No. 38 of 2004 s. 25(1); amended: No. 59 of 2004 s. 123.]</w:t>
      </w:r>
    </w:p>
    <w:p>
      <w:pPr>
        <w:pStyle w:val="Heading5"/>
        <w:rPr>
          <w:snapToGrid w:val="0"/>
        </w:rPr>
      </w:pPr>
      <w:bookmarkStart w:id="155" w:name="_Toc103865243"/>
      <w:r>
        <w:rPr>
          <w:rStyle w:val="CharSectno"/>
        </w:rPr>
        <w:t>44</w:t>
      </w:r>
      <w:r>
        <w:rPr>
          <w:snapToGrid w:val="0"/>
        </w:rPr>
        <w:t>.</w:t>
      </w:r>
      <w:r>
        <w:rPr>
          <w:snapToGrid w:val="0"/>
        </w:rPr>
        <w:tab/>
        <w:t>Order to be prepared and served</w:t>
      </w:r>
      <w:bookmarkEnd w:id="155"/>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No. 59 of 2004 s. 123.] </w:t>
      </w:r>
    </w:p>
    <w:p>
      <w:pPr>
        <w:pStyle w:val="Heading3"/>
        <w:keepLines/>
      </w:pPr>
      <w:bookmarkStart w:id="156" w:name="_Toc103863097"/>
      <w:bookmarkStart w:id="157" w:name="_Toc103863308"/>
      <w:bookmarkStart w:id="158" w:name="_Toc103865244"/>
      <w:r>
        <w:rPr>
          <w:rStyle w:val="CharDivNo"/>
        </w:rPr>
        <w:lastRenderedPageBreak/>
        <w:t>Division 3</w:t>
      </w:r>
      <w:r>
        <w:t> — </w:t>
      </w:r>
      <w:r>
        <w:rPr>
          <w:rStyle w:val="CharDivText"/>
        </w:rPr>
        <w:t>Evidence</w:t>
      </w:r>
      <w:bookmarkEnd w:id="156"/>
      <w:bookmarkEnd w:id="157"/>
      <w:bookmarkEnd w:id="158"/>
    </w:p>
    <w:p>
      <w:pPr>
        <w:pStyle w:val="Footnoteheading"/>
        <w:keepNext/>
        <w:keepLines/>
        <w:tabs>
          <w:tab w:val="left" w:pos="851"/>
        </w:tabs>
      </w:pPr>
      <w:r>
        <w:tab/>
        <w:t>[Heading inserted: No. 38 of 2004 s. 26.]</w:t>
      </w:r>
    </w:p>
    <w:p>
      <w:pPr>
        <w:pStyle w:val="Heading5"/>
      </w:pPr>
      <w:bookmarkStart w:id="159" w:name="_Toc103865245"/>
      <w:r>
        <w:rPr>
          <w:rStyle w:val="CharSectno"/>
        </w:rPr>
        <w:t>44A</w:t>
      </w:r>
      <w:r>
        <w:t>.</w:t>
      </w:r>
      <w:r>
        <w:tab/>
        <w:t>Rules of evidence not to apply in certain circumstances</w:t>
      </w:r>
      <w:bookmarkEnd w:id="159"/>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No. 38 of 2004 s. 26; amended: No. 49 of 2016 s. 49.]</w:t>
      </w:r>
    </w:p>
    <w:p>
      <w:pPr>
        <w:pStyle w:val="Heading5"/>
      </w:pPr>
      <w:bookmarkStart w:id="160" w:name="_Toc103865246"/>
      <w:r>
        <w:rPr>
          <w:rStyle w:val="CharSectno"/>
        </w:rPr>
        <w:lastRenderedPageBreak/>
        <w:t>44B</w:t>
      </w:r>
      <w:r>
        <w:t>.</w:t>
      </w:r>
      <w:r>
        <w:tab/>
        <w:t>Access to affidavit evidence</w:t>
      </w:r>
      <w:bookmarkEnd w:id="160"/>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No. 38 of 2004 s. 26; amended: No. 59 of 2004 s. 123.]</w:t>
      </w:r>
    </w:p>
    <w:p>
      <w:pPr>
        <w:pStyle w:val="Heading5"/>
        <w:spacing w:before="180"/>
      </w:pPr>
      <w:bookmarkStart w:id="161" w:name="_Toc103865247"/>
      <w:r>
        <w:rPr>
          <w:rStyle w:val="CharSectno"/>
        </w:rPr>
        <w:t>44C</w:t>
      </w:r>
      <w:r>
        <w:t>.</w:t>
      </w:r>
      <w:r>
        <w:tab/>
        <w:t>Cross</w:t>
      </w:r>
      <w:r>
        <w:noBreakHyphen/>
        <w:t>examination of certain persons</w:t>
      </w:r>
      <w:bookmarkEnd w:id="161"/>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lastRenderedPageBreak/>
        <w:tab/>
        <w:t>(b)</w:t>
      </w:r>
      <w:r>
        <w:tab/>
        <w:t>if the court is of the opinion that it is not just or desirable for such an order to be made.</w:t>
      </w:r>
    </w:p>
    <w:p>
      <w:pPr>
        <w:pStyle w:val="Subsection"/>
      </w:pPr>
      <w:r>
        <w:tab/>
        <w:t>(3)</w:t>
      </w:r>
      <w:r>
        <w:tab/>
        <w:t>This section does not derogate from the operation of section 44F.</w:t>
      </w:r>
    </w:p>
    <w:p>
      <w:pPr>
        <w:pStyle w:val="Footnotesection"/>
        <w:spacing w:before="100"/>
        <w:ind w:left="890" w:hanging="890"/>
      </w:pPr>
      <w:r>
        <w:tab/>
        <w:t>[Section 44C inserted: No. 38 of 2004 s. 26; amended: No. 49 of 2016 s. 50; No. 30 of 2020 s. 66.]</w:t>
      </w:r>
    </w:p>
    <w:p>
      <w:pPr>
        <w:pStyle w:val="Heading3"/>
      </w:pPr>
      <w:bookmarkStart w:id="162" w:name="_Toc103863101"/>
      <w:bookmarkStart w:id="163" w:name="_Toc103863312"/>
      <w:bookmarkStart w:id="164" w:name="_Toc103865248"/>
      <w:r>
        <w:rPr>
          <w:rStyle w:val="CharDivNo"/>
        </w:rPr>
        <w:t>Division 4</w:t>
      </w:r>
      <w:r>
        <w:t> — </w:t>
      </w:r>
      <w:r>
        <w:rPr>
          <w:rStyle w:val="CharDivText"/>
        </w:rPr>
        <w:t>Other provisions to protect applicants</w:t>
      </w:r>
      <w:bookmarkEnd w:id="162"/>
      <w:bookmarkEnd w:id="163"/>
      <w:bookmarkEnd w:id="164"/>
    </w:p>
    <w:p>
      <w:pPr>
        <w:pStyle w:val="Footnoteheading"/>
        <w:keepNext/>
        <w:keepLines/>
        <w:tabs>
          <w:tab w:val="left" w:pos="851"/>
        </w:tabs>
      </w:pPr>
      <w:r>
        <w:tab/>
        <w:t>[Heading inserted: No. 30 of 2020 s. 67.]</w:t>
      </w:r>
    </w:p>
    <w:p>
      <w:pPr>
        <w:pStyle w:val="Heading5"/>
      </w:pPr>
      <w:bookmarkStart w:id="165" w:name="_Toc103865249"/>
      <w:r>
        <w:rPr>
          <w:rStyle w:val="CharSectno"/>
        </w:rPr>
        <w:t>44D</w:t>
      </w:r>
      <w:r>
        <w:t>.</w:t>
      </w:r>
      <w:r>
        <w:tab/>
        <w:t>Support and other persons who may be present</w:t>
      </w:r>
      <w:bookmarkEnd w:id="165"/>
    </w:p>
    <w:p>
      <w:pPr>
        <w:pStyle w:val="Subsection"/>
      </w:pPr>
      <w:r>
        <w:tab/>
        <w:t>(1)</w:t>
      </w:r>
      <w:r>
        <w:tab/>
        <w:t>In any proceedings under this Act (including in relation to a hearing in closed court) —</w:t>
      </w:r>
    </w:p>
    <w:p>
      <w:pPr>
        <w:pStyle w:val="Indenta"/>
      </w:pPr>
      <w:r>
        <w:tab/>
        <w:t>(a)</w:t>
      </w:r>
      <w:r>
        <w:tab/>
        <w:t>the person seeking to be protected by an order (or on whose behalf an order is sought) is entitled to have 1 or more persons near to provide support; and</w:t>
      </w:r>
    </w:p>
    <w:p>
      <w:pPr>
        <w:pStyle w:val="Indenta"/>
      </w:pPr>
      <w:r>
        <w:tab/>
        <w:t>(b)</w:t>
      </w:r>
      <w:r>
        <w:tab/>
        <w:t>the court may permit any person who is not a party to the proceedings to be in court.</w:t>
      </w:r>
    </w:p>
    <w:p>
      <w:pPr>
        <w:pStyle w:val="Subsection"/>
      </w:pPr>
      <w:r>
        <w:tab/>
        <w:t>(2)</w:t>
      </w:r>
      <w:r>
        <w:tab/>
        <w:t>A person to provide support is to be approved by the court and is not to be a person who is a witness in, or a party to, the proceedings.</w:t>
      </w:r>
    </w:p>
    <w:p>
      <w:pPr>
        <w:pStyle w:val="Footnotesection"/>
      </w:pPr>
      <w:r>
        <w:tab/>
        <w:t>[Section 44D inserted: No. 30 of 2020 s. 67.]</w:t>
      </w:r>
    </w:p>
    <w:p>
      <w:pPr>
        <w:pStyle w:val="Heading5"/>
      </w:pPr>
      <w:bookmarkStart w:id="166" w:name="_Toc103865250"/>
      <w:r>
        <w:rPr>
          <w:rStyle w:val="CharSectno"/>
        </w:rPr>
        <w:t>44E</w:t>
      </w:r>
      <w:r>
        <w:t>.</w:t>
      </w:r>
      <w:r>
        <w:tab/>
        <w:t>Use of closed circuit television or screening arrangements</w:t>
      </w:r>
      <w:bookmarkEnd w:id="166"/>
    </w:p>
    <w:p>
      <w:pPr>
        <w:pStyle w:val="Subsection"/>
      </w:pPr>
      <w:r>
        <w:tab/>
        <w:t>(1)</w:t>
      </w:r>
      <w:r>
        <w:tab/>
        <w:t>A court may make arrangements under this section in any proceedings under this Act if it is of the opinion that, if those arrangements are not made, a party to the proceedings or a witness would be likely —</w:t>
      </w:r>
    </w:p>
    <w:p>
      <w:pPr>
        <w:pStyle w:val="Indenta"/>
      </w:pPr>
      <w:r>
        <w:tab/>
        <w:t>(a)</w:t>
      </w:r>
      <w:r>
        <w:tab/>
        <w:t>to be unable to give evidence, or to give evidence satisfactorily; or</w:t>
      </w:r>
    </w:p>
    <w:p>
      <w:pPr>
        <w:pStyle w:val="Indenta"/>
      </w:pPr>
      <w:r>
        <w:tab/>
        <w:t>(b)</w:t>
      </w:r>
      <w:r>
        <w:tab/>
        <w:t>to suffer severe emotional trauma or be unnecessarily intimidated or distressed.</w:t>
      </w:r>
    </w:p>
    <w:p>
      <w:pPr>
        <w:pStyle w:val="Subsection"/>
      </w:pPr>
      <w:r>
        <w:lastRenderedPageBreak/>
        <w:tab/>
        <w:t>(2)</w:t>
      </w:r>
      <w:r>
        <w:tab/>
        <w:t>In acting under this section, the court may make such arrangements as it thinks fit, including by using closed circuit television or screens, one</w:t>
      </w:r>
      <w:r>
        <w:noBreakHyphen/>
        <w:t>way glass or other suitable shielding devices.</w:t>
      </w:r>
    </w:p>
    <w:p>
      <w:pPr>
        <w:pStyle w:val="Subsection"/>
      </w:pPr>
      <w:r>
        <w:tab/>
        <w:t>(3)</w:t>
      </w:r>
      <w:r>
        <w:tab/>
        <w:t>When considering whether to make arrangements under this section in respect of a person, the court may have regard to —</w:t>
      </w:r>
    </w:p>
    <w:p>
      <w:pPr>
        <w:pStyle w:val="Indenta"/>
      </w:pPr>
      <w:r>
        <w:tab/>
        <w:t>(a)</w:t>
      </w:r>
      <w:r>
        <w:tab/>
        <w:t>the person’s age; and</w:t>
      </w:r>
    </w:p>
    <w:p>
      <w:pPr>
        <w:pStyle w:val="Indenta"/>
      </w:pPr>
      <w:r>
        <w:tab/>
        <w:t>(b)</w:t>
      </w:r>
      <w:r>
        <w:tab/>
        <w:t>the person’s cultural background; and</w:t>
      </w:r>
    </w:p>
    <w:p>
      <w:pPr>
        <w:pStyle w:val="Indenta"/>
      </w:pPr>
      <w:r>
        <w:tab/>
        <w:t>(c)</w:t>
      </w:r>
      <w:r>
        <w:tab/>
        <w:t xml:space="preserve">any physical disability or mental impairment (as defined in the </w:t>
      </w:r>
      <w:r>
        <w:rPr>
          <w:i/>
        </w:rPr>
        <w:t>Criminal Law (Mentally Impaired Accused) Act 1996</w:t>
      </w:r>
      <w:r>
        <w:t xml:space="preserve"> section 8) of the person; and</w:t>
      </w:r>
    </w:p>
    <w:p>
      <w:pPr>
        <w:pStyle w:val="Indenta"/>
      </w:pPr>
      <w:r>
        <w:tab/>
        <w:t>(d)</w:t>
      </w:r>
      <w:r>
        <w:tab/>
        <w:t>the relationship of the person to any other person involved in the proceedings; and</w:t>
      </w:r>
    </w:p>
    <w:p>
      <w:pPr>
        <w:pStyle w:val="Indenta"/>
      </w:pPr>
      <w:r>
        <w:tab/>
        <w:t>(e)</w:t>
      </w:r>
      <w:r>
        <w:tab/>
        <w:t>the effect on the person of the presence of another person; and</w:t>
      </w:r>
    </w:p>
    <w:p>
      <w:pPr>
        <w:pStyle w:val="Indenta"/>
      </w:pPr>
      <w:r>
        <w:tab/>
        <w:t>(f)</w:t>
      </w:r>
      <w:r>
        <w:tab/>
        <w:t>the nature of the subject</w:t>
      </w:r>
      <w:r>
        <w:noBreakHyphen/>
        <w:t>matter of the proceedings; and</w:t>
      </w:r>
    </w:p>
    <w:p>
      <w:pPr>
        <w:pStyle w:val="Indenta"/>
      </w:pPr>
      <w:r>
        <w:tab/>
        <w:t>(g)</w:t>
      </w:r>
      <w:r>
        <w:tab/>
        <w:t>the expressed views of the person; and</w:t>
      </w:r>
    </w:p>
    <w:p>
      <w:pPr>
        <w:pStyle w:val="Indenta"/>
      </w:pPr>
      <w:r>
        <w:tab/>
        <w:t>(h)</w:t>
      </w:r>
      <w:r>
        <w:tab/>
        <w:t>any other factor the court considers relevant.</w:t>
      </w:r>
    </w:p>
    <w:p>
      <w:pPr>
        <w:pStyle w:val="Subsection"/>
      </w:pPr>
      <w:r>
        <w:tab/>
        <w:t>(4)</w:t>
      </w:r>
      <w:r>
        <w:tab/>
        <w:t>When making arrangements under this section, the court must ensure that —</w:t>
      </w:r>
    </w:p>
    <w:p>
      <w:pPr>
        <w:pStyle w:val="Indenta"/>
      </w:pPr>
      <w:r>
        <w:tab/>
        <w:t>(a)</w:t>
      </w:r>
      <w:r>
        <w:tab/>
        <w:t>the judicial officer and all parties to the matter (or their counsel, if any) are able to see, hear and speak to each witness while the witness is giving evidence; and</w:t>
      </w:r>
    </w:p>
    <w:p>
      <w:pPr>
        <w:pStyle w:val="Indenta"/>
      </w:pPr>
      <w:r>
        <w:tab/>
        <w:t>(b)</w:t>
      </w:r>
      <w:r>
        <w:tab/>
        <w:t>each party to the matter has the means of communicating with their counsel at all times; and</w:t>
      </w:r>
    </w:p>
    <w:p>
      <w:pPr>
        <w:pStyle w:val="Indenta"/>
      </w:pPr>
      <w:r>
        <w:tab/>
        <w:t>(c)</w:t>
      </w:r>
      <w:r>
        <w:tab/>
        <w:t>if a person takes part in the proceedings from outside the court room, the person is able to see, hear and speak to the judicial officer at all times.</w:t>
      </w:r>
    </w:p>
    <w:p>
      <w:pPr>
        <w:pStyle w:val="Subsection"/>
      </w:pPr>
      <w:r>
        <w:tab/>
        <w:t>(5)</w:t>
      </w:r>
      <w:r>
        <w:tab/>
        <w:t>The court may make arrangements under this section —</w:t>
      </w:r>
    </w:p>
    <w:p>
      <w:pPr>
        <w:pStyle w:val="Indenta"/>
      </w:pPr>
      <w:r>
        <w:tab/>
        <w:t>(a)</w:t>
      </w:r>
      <w:r>
        <w:tab/>
        <w:t>on the application of a party to the proceedings, at the request of a witness, or of its own motion; and</w:t>
      </w:r>
    </w:p>
    <w:p>
      <w:pPr>
        <w:pStyle w:val="Indenta"/>
      </w:pPr>
      <w:r>
        <w:tab/>
        <w:t>(b)</w:t>
      </w:r>
      <w:r>
        <w:tab/>
        <w:t>at any stage of proceedings.</w:t>
      </w:r>
    </w:p>
    <w:p>
      <w:pPr>
        <w:pStyle w:val="Subsection"/>
      </w:pPr>
      <w:r>
        <w:lastRenderedPageBreak/>
        <w:tab/>
        <w:t>(6)</w:t>
      </w:r>
      <w:r>
        <w:tab/>
        <w:t>Whenever a matter relating to an FVRO or VRO comes before a court, the court must consider whether it ought to make arrangements under this section.</w:t>
      </w:r>
    </w:p>
    <w:p>
      <w:pPr>
        <w:pStyle w:val="Subsection"/>
      </w:pPr>
      <w:r>
        <w:tab/>
        <w:t>(7)</w:t>
      </w:r>
      <w:r>
        <w:tab/>
        <w:t>If a court considers that arrangements ought to be made under this section but the necessary facilities are not available, the court may transfer the matter to another court where those facilities are available if to do so is practicable and will not unfairly prejudice any party in the proceedings.</w:t>
      </w:r>
    </w:p>
    <w:p>
      <w:pPr>
        <w:pStyle w:val="Footnotesection"/>
      </w:pPr>
      <w:r>
        <w:tab/>
        <w:t>[Section 44E inserted: No. 30 of 2020 s. 67.]</w:t>
      </w:r>
    </w:p>
    <w:p>
      <w:pPr>
        <w:pStyle w:val="Heading5"/>
      </w:pPr>
      <w:bookmarkStart w:id="167" w:name="_Toc103865251"/>
      <w:r>
        <w:rPr>
          <w:rStyle w:val="CharSectno"/>
        </w:rPr>
        <w:t>44F</w:t>
      </w:r>
      <w:r>
        <w:t>.</w:t>
      </w:r>
      <w:r>
        <w:tab/>
        <w:t>Additional provisions relating to FVROs</w:t>
      </w:r>
      <w:bookmarkEnd w:id="167"/>
    </w:p>
    <w:p>
      <w:pPr>
        <w:pStyle w:val="Subsection"/>
      </w:pPr>
      <w:r>
        <w:tab/>
      </w:r>
      <w:r>
        <w:tab/>
        <w:t>A court conducting proceedings relating to an FVRO is to take such steps as are reasonably practicable and appropriate to ensure that a person who has (or who may have) experienced family violence feels safe during the course of those proceedings, including by —</w:t>
      </w:r>
    </w:p>
    <w:p>
      <w:pPr>
        <w:pStyle w:val="Indenta"/>
      </w:pPr>
      <w:r>
        <w:tab/>
        <w:t>(a)</w:t>
      </w:r>
      <w:r>
        <w:tab/>
        <w:t>actively directing, controlling and managing the conduct of the proceedings; and</w:t>
      </w:r>
    </w:p>
    <w:p>
      <w:pPr>
        <w:pStyle w:val="Indenta"/>
      </w:pPr>
      <w:r>
        <w:tab/>
        <w:t>(b)</w:t>
      </w:r>
      <w:r>
        <w:tab/>
        <w:t>without limiting paragraph (a), limiting cross</w:t>
      </w:r>
      <w:r>
        <w:noBreakHyphen/>
        <w:t>examination of a person.</w:t>
      </w:r>
    </w:p>
    <w:p>
      <w:pPr>
        <w:pStyle w:val="Footnotesection"/>
      </w:pPr>
      <w:r>
        <w:tab/>
        <w:t>[Section 44F inserted: No. 30 of 2020 s. 67.]</w:t>
      </w:r>
    </w:p>
    <w:p>
      <w:pPr>
        <w:pStyle w:val="Heading2"/>
      </w:pPr>
      <w:bookmarkStart w:id="168" w:name="_Toc103863105"/>
      <w:bookmarkStart w:id="169" w:name="_Toc103863316"/>
      <w:bookmarkStart w:id="170" w:name="_Toc103865252"/>
      <w:r>
        <w:rPr>
          <w:rStyle w:val="CharPartNo"/>
        </w:rPr>
        <w:lastRenderedPageBreak/>
        <w:t>Part 5</w:t>
      </w:r>
      <w:r>
        <w:rPr>
          <w:rStyle w:val="CharDivNo"/>
        </w:rPr>
        <w:t> </w:t>
      </w:r>
      <w:r>
        <w:t>—</w:t>
      </w:r>
      <w:r>
        <w:rPr>
          <w:rStyle w:val="CharDivText"/>
        </w:rPr>
        <w:t> </w:t>
      </w:r>
      <w:r>
        <w:rPr>
          <w:rStyle w:val="CharPartText"/>
        </w:rPr>
        <w:t>Variation or cancellation</w:t>
      </w:r>
      <w:bookmarkEnd w:id="168"/>
      <w:bookmarkEnd w:id="169"/>
      <w:bookmarkEnd w:id="170"/>
    </w:p>
    <w:p>
      <w:pPr>
        <w:pStyle w:val="Heading5"/>
      </w:pPr>
      <w:bookmarkStart w:id="171" w:name="_Toc103865253"/>
      <w:r>
        <w:rPr>
          <w:rStyle w:val="CharSectno"/>
        </w:rPr>
        <w:t>45</w:t>
      </w:r>
      <w:r>
        <w:t>.</w:t>
      </w:r>
      <w:r>
        <w:tab/>
        <w:t>Application</w:t>
      </w:r>
      <w:bookmarkEnd w:id="171"/>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pPr>
      <w:r>
        <w:tab/>
        <w:t>(ba)</w:t>
      </w:r>
      <w:r>
        <w:tab/>
        <w:t>in the case of an application to a court exercising criminal jurisdiction, the person conducting the prosecution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 or</w:t>
      </w:r>
    </w:p>
    <w:p>
      <w:pPr>
        <w:pStyle w:val="Indenta"/>
      </w:pPr>
      <w:r>
        <w:tab/>
        <w:t>(c)</w:t>
      </w:r>
      <w:r>
        <w:tab/>
        <w:t>in the case of an FVRO, by a person who is able to make an application for an order under section 24A(2).</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(3A)</w:t>
      </w:r>
      <w:r>
        <w:tab/>
        <w:t>An application to vary a restraining order may be an application to vary a VRO made before 1 July 2017 to an FVRO.</w:t>
      </w:r>
    </w:p>
    <w:p>
      <w:pPr>
        <w:pStyle w:val="Subsection"/>
      </w:pPr>
      <w:r>
        <w:lastRenderedPageBreak/>
        <w:tab/>
        <w:t>(3B)</w:t>
      </w:r>
      <w:r>
        <w:tab/>
        <w:t>An application to vary or cancel a restraining order may be made to any court with jurisdiction to make such an order (including a court that is different to the court that made the order but not including a court that is an inferior court to the court that made the order).</w:t>
      </w:r>
    </w:p>
    <w:p>
      <w:pPr>
        <w:pStyle w:val="Subsection"/>
        <w:spacing w:before="200"/>
      </w:pPr>
      <w:r>
        <w:tab/>
        <w:t>(4)</w:t>
      </w:r>
      <w:r>
        <w:tab/>
        <w:t>Except as provided in subsection (7), an application to vary or cancel a restraining order is to be made in the prescribed form.</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Subsection"/>
      </w:pPr>
      <w:r>
        <w:tab/>
        <w:t>(7)</w:t>
      </w:r>
      <w:r>
        <w:tab/>
        <w:t>Except as provided in subsection (8), an application to vary or cancel a restraining order made to a court exercising criminal jurisdiction may be made as part of the criminal proceedings and without the need to comply with subsection (4).</w:t>
      </w:r>
    </w:p>
    <w:p>
      <w:pPr>
        <w:pStyle w:val="Subsection"/>
      </w:pPr>
      <w:r>
        <w:tab/>
        <w:t>(8)</w:t>
      </w:r>
      <w:r>
        <w:tab/>
        <w:t>A court exercising criminal jurisdiction must not vary or cancel a restraining order as part of the criminal proceedings unless the person bound by the order is present and that person, and the person protected by the order, have had an opportunity to make submissions on the matter.</w:t>
      </w:r>
    </w:p>
    <w:p>
      <w:pPr>
        <w:pStyle w:val="Subsection"/>
      </w:pPr>
      <w:r>
        <w:tab/>
        <w:t>(9)</w:t>
      </w:r>
      <w:r>
        <w:tab/>
        <w:t>Subsection (8) does not apply in the circumstances applying under section 63A.</w:t>
      </w:r>
    </w:p>
    <w:p>
      <w:pPr>
        <w:pStyle w:val="Footnotesection"/>
      </w:pPr>
      <w:r>
        <w:tab/>
        <w:t>[Section 45 inserted: No. 22 of 2000 s. 10(1); amended: No. 38 of 2004 s. 27; No. 32 of 2011 s. 13; No. 49 of 2016 s. 51; No. 30 of 2020 s. 68.]</w:t>
      </w:r>
    </w:p>
    <w:p>
      <w:pPr>
        <w:pStyle w:val="Heading5"/>
        <w:spacing w:before="240"/>
      </w:pPr>
      <w:bookmarkStart w:id="172" w:name="_Toc103865254"/>
      <w:r>
        <w:rPr>
          <w:rStyle w:val="CharSectno"/>
        </w:rPr>
        <w:lastRenderedPageBreak/>
        <w:t>45A</w:t>
      </w:r>
      <w:r>
        <w:t>.</w:t>
      </w:r>
      <w:r>
        <w:tab/>
        <w:t>Application by CEO (child welfare)</w:t>
      </w:r>
      <w:bookmarkEnd w:id="172"/>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No. 38 of 2004 s. 28; amended: No. 59 of 2004 s. 123; No. 49 of 2016 s. 52.]</w:t>
      </w:r>
    </w:p>
    <w:p>
      <w:pPr>
        <w:pStyle w:val="Heading5"/>
        <w:spacing w:before="240"/>
        <w:rPr>
          <w:snapToGrid w:val="0"/>
        </w:rPr>
      </w:pPr>
      <w:bookmarkStart w:id="173" w:name="_Toc103865255"/>
      <w:r>
        <w:rPr>
          <w:rStyle w:val="CharSectno"/>
        </w:rPr>
        <w:t>46</w:t>
      </w:r>
      <w:r>
        <w:rPr>
          <w:snapToGrid w:val="0"/>
        </w:rPr>
        <w:t>.</w:t>
      </w:r>
      <w:r>
        <w:rPr>
          <w:snapToGrid w:val="0"/>
        </w:rPr>
        <w:tab/>
        <w:t>Leave hearing</w:t>
      </w:r>
      <w:bookmarkEnd w:id="173"/>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lastRenderedPageBreak/>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Subsection"/>
      </w:pPr>
      <w:r>
        <w:tab/>
        <w:t>(5)</w:t>
      </w:r>
      <w:r>
        <w:tab/>
        <w:t>Subsection (4) operates subject to the operation of section 13A(8).</w:t>
      </w:r>
    </w:p>
    <w:p>
      <w:pPr>
        <w:pStyle w:val="Footnotesection"/>
      </w:pPr>
      <w:r>
        <w:tab/>
        <w:t>[Section 46 amended: No. 22 of 2000 s. 10(2); No. 38 of 2004 s. 29; No. 59 of 2004 s. 123; No. 30 of 2020 s. 69.]</w:t>
      </w:r>
    </w:p>
    <w:p>
      <w:pPr>
        <w:pStyle w:val="Heading5"/>
        <w:rPr>
          <w:snapToGrid w:val="0"/>
        </w:rPr>
      </w:pPr>
      <w:bookmarkStart w:id="174" w:name="_Toc103865256"/>
      <w:r>
        <w:rPr>
          <w:rStyle w:val="CharSectno"/>
        </w:rPr>
        <w:t>47</w:t>
      </w:r>
      <w:r>
        <w:rPr>
          <w:snapToGrid w:val="0"/>
        </w:rPr>
        <w:t>.</w:t>
      </w:r>
      <w:r>
        <w:rPr>
          <w:snapToGrid w:val="0"/>
        </w:rPr>
        <w:tab/>
      </w:r>
      <w:r>
        <w:t xml:space="preserve">Registrar </w:t>
      </w:r>
      <w:r>
        <w:rPr>
          <w:snapToGrid w:val="0"/>
        </w:rPr>
        <w:t>to issue summons</w:t>
      </w:r>
      <w:bookmarkEnd w:id="174"/>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lastRenderedPageBreak/>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No. 22 of 2000 s. 10(3) and 11; No. 38 of 2004 s. 30; No. 59 of 2004 s. 123; No. 49 of 2016 s. 53.]</w:t>
      </w:r>
    </w:p>
    <w:p>
      <w:pPr>
        <w:pStyle w:val="Heading5"/>
        <w:rPr>
          <w:snapToGrid w:val="0"/>
        </w:rPr>
      </w:pPr>
      <w:bookmarkStart w:id="175" w:name="_Toc103865257"/>
      <w:r>
        <w:rPr>
          <w:rStyle w:val="CharSectno"/>
        </w:rPr>
        <w:t>48</w:t>
      </w:r>
      <w:r>
        <w:rPr>
          <w:snapToGrid w:val="0"/>
        </w:rPr>
        <w:t>.</w:t>
      </w:r>
      <w:r>
        <w:rPr>
          <w:snapToGrid w:val="0"/>
        </w:rPr>
        <w:tab/>
        <w:t>Attendance at hearing</w:t>
      </w:r>
      <w:bookmarkEnd w:id="175"/>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 xml:space="preserve">if it is satisfied the summonsed person was served with the summons, or that the Commissioner of Police was notified of the hearing, is to hear the matter in the </w:t>
      </w:r>
      <w:r>
        <w:rPr>
          <w:snapToGrid w:val="0"/>
        </w:rPr>
        <w:lastRenderedPageBreak/>
        <w:t>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No. 22 of 2000 s. 10(4); No. 38 of 2004 s. 31; No. 5 of 2008 s. 97.]</w:t>
      </w:r>
    </w:p>
    <w:p>
      <w:pPr>
        <w:pStyle w:val="Heading5"/>
        <w:spacing w:before="260"/>
      </w:pPr>
      <w:bookmarkStart w:id="176" w:name="_Toc103865258"/>
      <w:r>
        <w:rPr>
          <w:rStyle w:val="CharSectno"/>
        </w:rPr>
        <w:t>48A</w:t>
      </w:r>
      <w:r>
        <w:t>.</w:t>
      </w:r>
      <w:r>
        <w:tab/>
        <w:t>Ex parte application to cancel order by person protected by order</w:t>
      </w:r>
      <w:bookmarkEnd w:id="176"/>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lastRenderedPageBreak/>
        <w:tab/>
        <w:t>[Section 48A inserted: No. 38 of 2004 s. 32; amended: No. 59 of 2004 s. 123.]</w:t>
      </w:r>
    </w:p>
    <w:p>
      <w:pPr>
        <w:pStyle w:val="Heading5"/>
        <w:rPr>
          <w:snapToGrid w:val="0"/>
        </w:rPr>
      </w:pPr>
      <w:bookmarkStart w:id="177" w:name="_Toc103865259"/>
      <w:r>
        <w:rPr>
          <w:rStyle w:val="CharSectno"/>
        </w:rPr>
        <w:t>49</w:t>
      </w:r>
      <w:r>
        <w:rPr>
          <w:snapToGrid w:val="0"/>
        </w:rPr>
        <w:t>.</w:t>
      </w:r>
      <w:r>
        <w:rPr>
          <w:snapToGrid w:val="0"/>
        </w:rPr>
        <w:tab/>
        <w:t>Variation or cancellation</w:t>
      </w:r>
      <w:bookmarkEnd w:id="177"/>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w:t>
      </w:r>
    </w:p>
    <w:p>
      <w:pPr>
        <w:pStyle w:val="Ednotesubpara"/>
      </w:pPr>
      <w:r>
        <w:tab/>
        <w:t>[(ii)</w:t>
      </w:r>
      <w:r>
        <w:tab/>
        <w:t>deleted]</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lastRenderedPageBreak/>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No. 38 of 2004 s. 33; No. 59 of 2004 s. 123; No. 5 of 2008 s. 98; No. 30 of 2020 s. 70.]</w:t>
      </w:r>
    </w:p>
    <w:p>
      <w:pPr>
        <w:pStyle w:val="Heading5"/>
      </w:pPr>
      <w:bookmarkStart w:id="178" w:name="_Toc103865260"/>
      <w:r>
        <w:rPr>
          <w:rStyle w:val="CharSectno"/>
        </w:rPr>
        <w:t>49A</w:t>
      </w:r>
      <w:r>
        <w:t>.</w:t>
      </w:r>
      <w:r>
        <w:tab/>
        <w:t>Correcting minor errors in restraining orders</w:t>
      </w:r>
      <w:bookmarkEnd w:id="178"/>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No. 38 of 2004 s. 34; amended: No. 59 of 2004 s. 123.]</w:t>
      </w:r>
    </w:p>
    <w:p>
      <w:pPr>
        <w:pStyle w:val="Heading5"/>
      </w:pPr>
      <w:bookmarkStart w:id="179" w:name="_Toc103865261"/>
      <w:r>
        <w:rPr>
          <w:rStyle w:val="CharSectno"/>
        </w:rPr>
        <w:t>49B</w:t>
      </w:r>
      <w:r>
        <w:t>.</w:t>
      </w:r>
      <w:r>
        <w:tab/>
        <w:t>Matters to be considered by court generally</w:t>
      </w:r>
      <w:bookmarkEnd w:id="179"/>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 xml:space="preserve">if the application for the variation or cancellation is made by the person protected, whether or not it is </w:t>
      </w:r>
      <w:r>
        <w:lastRenderedPageBreak/>
        <w:t>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No. 49 of 2016 s. 54.]</w:t>
      </w:r>
    </w:p>
    <w:p>
      <w:pPr>
        <w:pStyle w:val="Heading5"/>
      </w:pPr>
      <w:bookmarkStart w:id="180" w:name="_Toc103865262"/>
      <w:r>
        <w:rPr>
          <w:rStyle w:val="CharSectno"/>
        </w:rPr>
        <w:t>49C</w:t>
      </w:r>
      <w:r>
        <w:t>.</w:t>
      </w:r>
      <w:r>
        <w:tab/>
        <w:t>Variation of application to allow a different order to be sought</w:t>
      </w:r>
      <w:bookmarkEnd w:id="180"/>
    </w:p>
    <w:p>
      <w:pPr>
        <w:pStyle w:val="Subsection"/>
      </w:pPr>
      <w:r>
        <w:tab/>
      </w:r>
      <w:r>
        <w:tab/>
        <w:t xml:space="preserve">The court may, if it is satisfied that an applicant has made a mistake as to the nature of their relationship with the respondent for the purposes of this Act, permit an applicant — </w:t>
      </w:r>
    </w:p>
    <w:p>
      <w:pPr>
        <w:pStyle w:val="Indenta"/>
      </w:pPr>
      <w:r>
        <w:tab/>
        <w:t>(a)</w:t>
      </w:r>
      <w:r>
        <w:tab/>
        <w:t>to vary an application for a VRO to an application for an FVRO; or</w:t>
      </w:r>
    </w:p>
    <w:p>
      <w:pPr>
        <w:pStyle w:val="Indenta"/>
      </w:pPr>
      <w:r>
        <w:tab/>
        <w:t>(b)</w:t>
      </w:r>
      <w:r>
        <w:tab/>
        <w:t>to vary an application for an FVRO to an application for a VRO.</w:t>
      </w:r>
    </w:p>
    <w:p>
      <w:pPr>
        <w:pStyle w:val="Footnotesection"/>
      </w:pPr>
      <w:r>
        <w:tab/>
        <w:t>[Section 49C inserted: No. 30 of 2020 s. 71.]</w:t>
      </w:r>
    </w:p>
    <w:p>
      <w:pPr>
        <w:pStyle w:val="Heading2"/>
      </w:pPr>
      <w:bookmarkStart w:id="181" w:name="_Toc103863116"/>
      <w:bookmarkStart w:id="182" w:name="_Toc103863327"/>
      <w:bookmarkStart w:id="183" w:name="_Toc103865263"/>
      <w:r>
        <w:rPr>
          <w:rStyle w:val="CharPartNo"/>
        </w:rPr>
        <w:lastRenderedPageBreak/>
        <w:t>Part 5A</w:t>
      </w:r>
      <w:r>
        <w:rPr>
          <w:rStyle w:val="CharDivNo"/>
        </w:rPr>
        <w:t> </w:t>
      </w:r>
      <w:r>
        <w:t>—</w:t>
      </w:r>
      <w:r>
        <w:rPr>
          <w:rStyle w:val="CharDivText"/>
        </w:rPr>
        <w:t> </w:t>
      </w:r>
      <w:r>
        <w:rPr>
          <w:rStyle w:val="CharPartText"/>
        </w:rPr>
        <w:t>Conferences</w:t>
      </w:r>
      <w:bookmarkEnd w:id="181"/>
      <w:bookmarkEnd w:id="182"/>
      <w:bookmarkEnd w:id="183"/>
    </w:p>
    <w:p>
      <w:pPr>
        <w:pStyle w:val="Footnoteheading"/>
        <w:tabs>
          <w:tab w:val="left" w:pos="851"/>
        </w:tabs>
        <w:spacing w:before="100"/>
      </w:pPr>
      <w:r>
        <w:tab/>
        <w:t>[Heading inserted: No. 30 of 2020 s. 72.]</w:t>
      </w:r>
    </w:p>
    <w:p>
      <w:pPr>
        <w:pStyle w:val="Heading5"/>
      </w:pPr>
      <w:bookmarkStart w:id="184" w:name="_Toc103865264"/>
      <w:r>
        <w:rPr>
          <w:rStyle w:val="CharSectno"/>
        </w:rPr>
        <w:t>49D</w:t>
      </w:r>
      <w:r>
        <w:t>.</w:t>
      </w:r>
      <w:r>
        <w:tab/>
        <w:t>Special conference procedures</w:t>
      </w:r>
      <w:bookmarkEnd w:id="184"/>
    </w:p>
    <w:p>
      <w:pPr>
        <w:pStyle w:val="Subsection"/>
      </w:pPr>
      <w:r>
        <w:tab/>
        <w:t>(1)</w:t>
      </w:r>
      <w:r>
        <w:tab/>
        <w:t>A registrar may convene a conference under this section at the request of the court, or on the registrar’s own initiative —</w:t>
      </w:r>
    </w:p>
    <w:p>
      <w:pPr>
        <w:pStyle w:val="Indenta"/>
      </w:pPr>
      <w:r>
        <w:tab/>
        <w:t>(a)</w:t>
      </w:r>
      <w:r>
        <w:tab/>
        <w:t xml:space="preserve">in relation to an application for an FVRO, if — </w:t>
      </w:r>
    </w:p>
    <w:p>
      <w:pPr>
        <w:pStyle w:val="Indenti"/>
      </w:pPr>
      <w:r>
        <w:tab/>
        <w:t>(i)</w:t>
      </w:r>
      <w:r>
        <w:tab/>
        <w:t>the applicant has indicated a wish to proceed to a defended hearing under section 26(1)(b); or</w:t>
      </w:r>
    </w:p>
    <w:p>
      <w:pPr>
        <w:pStyle w:val="Indenti"/>
      </w:pPr>
      <w:r>
        <w:tab/>
        <w:t>(ii)</w:t>
      </w:r>
      <w:r>
        <w:tab/>
        <w:t>the court has made an FVRO under section 29(1)(a) which is an interim order under section 29(3) and the respondent has indicated an objection to the interim order becoming final; or</w:t>
      </w:r>
    </w:p>
    <w:p>
      <w:pPr>
        <w:pStyle w:val="Indenti"/>
      </w:pPr>
      <w:r>
        <w:tab/>
        <w:t>(iii)</w:t>
      </w:r>
      <w:r>
        <w:tab/>
        <w:t>the matter has been adjourned under section 29(1)(c);</w:t>
      </w:r>
    </w:p>
    <w:p>
      <w:pPr>
        <w:pStyle w:val="Indenta"/>
      </w:pPr>
      <w:r>
        <w:tab/>
      </w:r>
      <w:r>
        <w:tab/>
        <w:t>or</w:t>
      </w:r>
    </w:p>
    <w:p>
      <w:pPr>
        <w:pStyle w:val="Indenta"/>
      </w:pPr>
      <w:r>
        <w:tab/>
        <w:t>(b)</w:t>
      </w:r>
      <w:r>
        <w:tab/>
        <w:t>in relation to an application to vary or cancel an FVRO.</w:t>
      </w:r>
    </w:p>
    <w:p>
      <w:pPr>
        <w:pStyle w:val="Subsection"/>
      </w:pPr>
      <w:r>
        <w:tab/>
        <w:t>(2)</w:t>
      </w:r>
      <w:r>
        <w:tab/>
        <w:t>However, a conference will not be convened if a party objects to participating in a conference under this section.</w:t>
      </w:r>
    </w:p>
    <w:p>
      <w:pPr>
        <w:pStyle w:val="Subsection"/>
      </w:pPr>
      <w:r>
        <w:tab/>
        <w:t>(3)</w:t>
      </w:r>
      <w:r>
        <w:tab/>
        <w:t xml:space="preserve">If a conference is to be convened, the registrar is to fix a day, time and place for the conference. </w:t>
      </w:r>
    </w:p>
    <w:p>
      <w:pPr>
        <w:pStyle w:val="Subsection"/>
      </w:pPr>
      <w:r>
        <w:tab/>
        <w:t>(4)</w:t>
      </w:r>
      <w:r>
        <w:tab/>
        <w:t>The purpose of a conference is to provide a procedure through which an appropriate outcome to the proceedings, including by the making of orders, may be achieved without the parties being together during the conduct of the conference.</w:t>
      </w:r>
    </w:p>
    <w:p>
      <w:pPr>
        <w:pStyle w:val="Subsection"/>
      </w:pPr>
      <w:r>
        <w:tab/>
        <w:t>(5)</w:t>
      </w:r>
      <w:r>
        <w:tab/>
        <w:t>In particular —</w:t>
      </w:r>
    </w:p>
    <w:p>
      <w:pPr>
        <w:pStyle w:val="Indenta"/>
      </w:pPr>
      <w:r>
        <w:tab/>
        <w:t>(a)</w:t>
      </w:r>
      <w:r>
        <w:tab/>
        <w:t>a conference will be conducted by a registrar of the court; and</w:t>
      </w:r>
    </w:p>
    <w:p>
      <w:pPr>
        <w:pStyle w:val="Indenta"/>
      </w:pPr>
      <w:r>
        <w:tab/>
        <w:t>(b)</w:t>
      </w:r>
      <w:r>
        <w:tab/>
        <w:t xml:space="preserve">the registrar must ensure that the applicant and the respondent remain in separate rooms during a conference; and </w:t>
      </w:r>
    </w:p>
    <w:p>
      <w:pPr>
        <w:pStyle w:val="Indenta"/>
      </w:pPr>
      <w:r>
        <w:lastRenderedPageBreak/>
        <w:tab/>
        <w:t>(c)</w:t>
      </w:r>
      <w:r>
        <w:tab/>
        <w:t xml:space="preserve">the applicant and the respondent may each be represented by a legal practitioner, and have 1 or more other persons present or available to provide support; and </w:t>
      </w:r>
    </w:p>
    <w:p>
      <w:pPr>
        <w:pStyle w:val="Indenta"/>
      </w:pPr>
      <w:r>
        <w:tab/>
        <w:t>(d)</w:t>
      </w:r>
      <w:r>
        <w:tab/>
        <w:t xml:space="preserve">the registrar conducting a conference may — </w:t>
      </w:r>
    </w:p>
    <w:p>
      <w:pPr>
        <w:pStyle w:val="Indenti"/>
      </w:pPr>
      <w:r>
        <w:tab/>
        <w:t>(i)</w:t>
      </w:r>
      <w:r>
        <w:tab/>
        <w:t>require a party to furnish such information as the registrar thinks fit; and</w:t>
      </w:r>
    </w:p>
    <w:p>
      <w:pPr>
        <w:pStyle w:val="Indenti"/>
      </w:pPr>
      <w:r>
        <w:tab/>
        <w:t>(ii)</w:t>
      </w:r>
      <w:r>
        <w:tab/>
        <w:t>record any agreement reached at the conference and, to the extent provided by such an agreement, make any determination (including a determination that the proceedings be discontinued), or make any order (including an FVRO or a behaviour management order), on behalf of the court; and</w:t>
      </w:r>
    </w:p>
    <w:p>
      <w:pPr>
        <w:pStyle w:val="Indenti"/>
      </w:pPr>
      <w:r>
        <w:tab/>
        <w:t>(iii)</w:t>
      </w:r>
      <w:r>
        <w:tab/>
        <w:t>close the conference at any time if, in the registrar’s opinion, an agreement (or an appropriate agreement) cannot be reached; and</w:t>
      </w:r>
    </w:p>
    <w:p>
      <w:pPr>
        <w:pStyle w:val="Indenti"/>
      </w:pPr>
      <w:r>
        <w:tab/>
        <w:t>(iv)</w:t>
      </w:r>
      <w:r>
        <w:tab/>
        <w:t>refer the matter back to the court for the purposes of any proceedings, including by taking steps to list the matter for hearing; and</w:t>
      </w:r>
    </w:p>
    <w:p>
      <w:pPr>
        <w:pStyle w:val="Indenti"/>
      </w:pPr>
      <w:r>
        <w:tab/>
        <w:t>(v)</w:t>
      </w:r>
      <w:r>
        <w:tab/>
        <w:t>otherwise conduct the conference as the registrar thinks fit.</w:t>
      </w:r>
    </w:p>
    <w:p>
      <w:pPr>
        <w:pStyle w:val="Subsection"/>
      </w:pPr>
      <w:r>
        <w:tab/>
        <w:t>(6)</w:t>
      </w:r>
      <w:r>
        <w:tab/>
        <w:t>An agreement reached at a conference may include an unenforceable undertaking by a party to attend a behaviour change programme approved by the Minister as envisaged by section 10P, subject to the following qualifications —</w:t>
      </w:r>
    </w:p>
    <w:p>
      <w:pPr>
        <w:pStyle w:val="Indenta"/>
      </w:pPr>
      <w:r>
        <w:tab/>
        <w:t>(a)</w:t>
      </w:r>
      <w:r>
        <w:tab/>
        <w:t>the undertaking will be unenforceable even if the agreement is incorporated into a determination or order of the court;</w:t>
      </w:r>
    </w:p>
    <w:p>
      <w:pPr>
        <w:pStyle w:val="Indenta"/>
      </w:pPr>
      <w:r>
        <w:tab/>
        <w:t>(b)</w:t>
      </w:r>
      <w:r>
        <w:tab/>
        <w:t>Part 1C will not apply in relation to the undertaking even though the party has agreed to attend a behaviour change programme.</w:t>
      </w:r>
    </w:p>
    <w:p>
      <w:pPr>
        <w:pStyle w:val="Subsection"/>
      </w:pPr>
      <w:r>
        <w:tab/>
        <w:t>(7)</w:t>
      </w:r>
      <w:r>
        <w:tab/>
        <w:t xml:space="preserve">The registrar conducting a conference must, before making an order that gives effect to an agreement proposed or reached at </w:t>
      </w:r>
      <w:r>
        <w:lastRenderedPageBreak/>
        <w:t>the conference, have regard to the matters set out in section 10F and may decline to accept or give effect to an agreement if the registrar considers that the agreement is inappropriate in the circumstances.</w:t>
      </w:r>
    </w:p>
    <w:p>
      <w:pPr>
        <w:pStyle w:val="Subsection"/>
      </w:pPr>
      <w:r>
        <w:tab/>
        <w:t>(8)</w:t>
      </w:r>
      <w:r>
        <w:tab/>
        <w:t>If a party does not attend a conference, the registrar may, if satisfied that the party was notified of the conference —</w:t>
      </w:r>
    </w:p>
    <w:p>
      <w:pPr>
        <w:pStyle w:val="Indenta"/>
      </w:pPr>
      <w:r>
        <w:tab/>
        <w:t>(a)</w:t>
      </w:r>
      <w:r>
        <w:tab/>
        <w:t>adjourn the conference to another day and time; or</w:t>
      </w:r>
    </w:p>
    <w:p>
      <w:pPr>
        <w:pStyle w:val="Indenta"/>
      </w:pPr>
      <w:r>
        <w:tab/>
        <w:t>(b)</w:t>
      </w:r>
      <w:r>
        <w:tab/>
        <w:t xml:space="preserve">if the party is the applicant, dismiss the application; or </w:t>
      </w:r>
    </w:p>
    <w:p>
      <w:pPr>
        <w:pStyle w:val="Indenta"/>
      </w:pPr>
      <w:r>
        <w:tab/>
        <w:t>(c)</w:t>
      </w:r>
      <w:r>
        <w:tab/>
        <w:t>if the party is the respondent, proceed to hear the applicant and, if the registrar thinks fit, make an order on behalf of the court (including a final FVRO); or</w:t>
      </w:r>
    </w:p>
    <w:p>
      <w:pPr>
        <w:pStyle w:val="Indenta"/>
      </w:pPr>
      <w:r>
        <w:tab/>
        <w:t>(d)</w:t>
      </w:r>
      <w:r>
        <w:tab/>
        <w:t>refer the matter back to the court.</w:t>
      </w:r>
    </w:p>
    <w:p>
      <w:pPr>
        <w:pStyle w:val="Subsection"/>
      </w:pPr>
      <w:r>
        <w:tab/>
        <w:t>(9)</w:t>
      </w:r>
      <w:r>
        <w:tab/>
        <w:t>A person to provide support under subsection (5)(c) is to be approved by the registrar and is not to be a person who is a witness in, or a party to, the proceedings.</w:t>
      </w:r>
    </w:p>
    <w:p>
      <w:pPr>
        <w:pStyle w:val="Subsection"/>
      </w:pPr>
      <w:r>
        <w:tab/>
        <w:t>(10)</w:t>
      </w:r>
      <w:r>
        <w:tab/>
        <w:t>Evidence of anything said or done in the course of a conference is inadmissible in civil proceedings before a court except by consent of all parties to the proceedings.</w:t>
      </w:r>
    </w:p>
    <w:p>
      <w:pPr>
        <w:pStyle w:val="Footnotesection"/>
      </w:pPr>
      <w:r>
        <w:tab/>
        <w:t>[Section 49D inserted: No. 30 of 2020 s. 72.]</w:t>
      </w:r>
    </w:p>
    <w:p>
      <w:pPr>
        <w:pStyle w:val="Heading2"/>
      </w:pPr>
      <w:bookmarkStart w:id="185" w:name="_Toc103863118"/>
      <w:bookmarkStart w:id="186" w:name="_Toc103863329"/>
      <w:bookmarkStart w:id="187" w:name="_Toc103865265"/>
      <w:r>
        <w:rPr>
          <w:rStyle w:val="CharPartNo"/>
        </w:rPr>
        <w:lastRenderedPageBreak/>
        <w:t>Part 6</w:t>
      </w:r>
      <w:r>
        <w:t> — </w:t>
      </w:r>
      <w:r>
        <w:rPr>
          <w:rStyle w:val="CharPartText"/>
        </w:rPr>
        <w:t>General</w:t>
      </w:r>
      <w:bookmarkEnd w:id="185"/>
      <w:bookmarkEnd w:id="186"/>
      <w:bookmarkEnd w:id="187"/>
      <w:r>
        <w:rPr>
          <w:rStyle w:val="CharPartText"/>
        </w:rPr>
        <w:t xml:space="preserve"> </w:t>
      </w:r>
    </w:p>
    <w:p>
      <w:pPr>
        <w:pStyle w:val="Heading3"/>
      </w:pPr>
      <w:bookmarkStart w:id="188" w:name="_Toc103863119"/>
      <w:bookmarkStart w:id="189" w:name="_Toc103863330"/>
      <w:bookmarkStart w:id="190" w:name="_Toc103865266"/>
      <w:r>
        <w:rPr>
          <w:rStyle w:val="CharDivNo"/>
        </w:rPr>
        <w:t>Division 1</w:t>
      </w:r>
      <w:r>
        <w:t> — </w:t>
      </w:r>
      <w:r>
        <w:rPr>
          <w:rStyle w:val="CharDivText"/>
        </w:rPr>
        <w:t>Children</w:t>
      </w:r>
      <w:bookmarkEnd w:id="188"/>
      <w:bookmarkEnd w:id="189"/>
      <w:bookmarkEnd w:id="190"/>
    </w:p>
    <w:p>
      <w:pPr>
        <w:pStyle w:val="Footnoteheading"/>
        <w:tabs>
          <w:tab w:val="left" w:pos="851"/>
        </w:tabs>
        <w:spacing w:before="100"/>
      </w:pPr>
      <w:r>
        <w:tab/>
        <w:t>[Heading inserted: No. 38 of 2004 s. 35.]</w:t>
      </w:r>
    </w:p>
    <w:p>
      <w:pPr>
        <w:pStyle w:val="Heading5"/>
        <w:rPr>
          <w:snapToGrid w:val="0"/>
        </w:rPr>
      </w:pPr>
      <w:bookmarkStart w:id="191" w:name="_Toc103865267"/>
      <w:r>
        <w:rPr>
          <w:rStyle w:val="CharSectno"/>
        </w:rPr>
        <w:t>50</w:t>
      </w:r>
      <w:r>
        <w:rPr>
          <w:snapToGrid w:val="0"/>
        </w:rPr>
        <w:t>.</w:t>
      </w:r>
      <w:r>
        <w:rPr>
          <w:snapToGrid w:val="0"/>
        </w:rPr>
        <w:tab/>
        <w:t>No restraining orders against children under 10</w:t>
      </w:r>
      <w:bookmarkEnd w:id="191"/>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192" w:name="_Toc103865268"/>
      <w:r>
        <w:rPr>
          <w:rStyle w:val="CharSectno"/>
        </w:rPr>
        <w:t>50A</w:t>
      </w:r>
      <w:r>
        <w:t>.</w:t>
      </w:r>
      <w:r>
        <w:tab/>
        <w:t>Restraining order against child not to exceed 6 months</w:t>
      </w:r>
      <w:bookmarkEnd w:id="192"/>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No. 38 of 2004 s. 36.]</w:t>
      </w:r>
    </w:p>
    <w:p>
      <w:pPr>
        <w:pStyle w:val="Heading5"/>
      </w:pPr>
      <w:bookmarkStart w:id="193" w:name="_Toc103865269"/>
      <w:r>
        <w:rPr>
          <w:rStyle w:val="CharSectno"/>
        </w:rPr>
        <w:t>50B</w:t>
      </w:r>
      <w:r>
        <w:t>.</w:t>
      </w:r>
      <w:r>
        <w:tab/>
        <w:t>Child welfare laws not affected</w:t>
      </w:r>
      <w:bookmarkEnd w:id="193"/>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lastRenderedPageBreak/>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No. 38 of 2004 s. 36.]</w:t>
      </w:r>
    </w:p>
    <w:p>
      <w:pPr>
        <w:pStyle w:val="Heading5"/>
      </w:pPr>
      <w:bookmarkStart w:id="194" w:name="_Toc103865270"/>
      <w:r>
        <w:rPr>
          <w:rStyle w:val="CharSectno"/>
        </w:rPr>
        <w:t>50C</w:t>
      </w:r>
      <w:r>
        <w:t>.</w:t>
      </w:r>
      <w:r>
        <w:tab/>
        <w:t>CEO (child welfare) to be notified before certain FVROs or VROs are made</w:t>
      </w:r>
      <w:bookmarkEnd w:id="194"/>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No. 38 of 2004 s. 36; amended: No. 59 of 2004 s. 123; No. 49 of 2016 s. 55.]</w:t>
      </w:r>
    </w:p>
    <w:p>
      <w:pPr>
        <w:pStyle w:val="Heading5"/>
      </w:pPr>
      <w:bookmarkStart w:id="195" w:name="_Toc103865271"/>
      <w:r>
        <w:rPr>
          <w:rStyle w:val="CharSectno"/>
        </w:rPr>
        <w:lastRenderedPageBreak/>
        <w:t>50D</w:t>
      </w:r>
      <w:r>
        <w:t>.</w:t>
      </w:r>
      <w:r>
        <w:tab/>
        <w:t>Intervention by CEO (child welfare)</w:t>
      </w:r>
      <w:bookmarkEnd w:id="195"/>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No. 38 of 2004 s. 36; amended: No. 38 of 2004 s. 57(5); No. 20 of 2013 s. 113.]</w:t>
      </w:r>
    </w:p>
    <w:p>
      <w:pPr>
        <w:pStyle w:val="Heading5"/>
        <w:rPr>
          <w:snapToGrid w:val="0"/>
        </w:rPr>
      </w:pPr>
      <w:bookmarkStart w:id="196" w:name="_Toc103865272"/>
      <w:r>
        <w:rPr>
          <w:rStyle w:val="CharSectno"/>
        </w:rPr>
        <w:t>51</w:t>
      </w:r>
      <w:r>
        <w:rPr>
          <w:snapToGrid w:val="0"/>
        </w:rPr>
        <w:t>.</w:t>
      </w:r>
      <w:r>
        <w:rPr>
          <w:snapToGrid w:val="0"/>
        </w:rPr>
        <w:tab/>
        <w:t>Responsible adult to attend</w:t>
      </w:r>
      <w:bookmarkEnd w:id="196"/>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197" w:name="_Toc103865273"/>
      <w:r>
        <w:rPr>
          <w:rStyle w:val="CharSectno"/>
        </w:rPr>
        <w:t>52</w:t>
      </w:r>
      <w:r>
        <w:rPr>
          <w:snapToGrid w:val="0"/>
        </w:rPr>
        <w:t>.</w:t>
      </w:r>
      <w:r>
        <w:rPr>
          <w:snapToGrid w:val="0"/>
        </w:rPr>
        <w:tab/>
        <w:t>Transfer between courts</w:t>
      </w:r>
      <w:bookmarkEnd w:id="197"/>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and</w:t>
      </w:r>
    </w:p>
    <w:p>
      <w:pPr>
        <w:pStyle w:val="Indenta"/>
        <w:rPr>
          <w:snapToGrid w:val="0"/>
        </w:rPr>
      </w:pPr>
      <w:r>
        <w:rPr>
          <w:snapToGrid w:val="0"/>
        </w:rPr>
        <w:lastRenderedPageBreak/>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No. 59 of 2004 s. 124.] </w:t>
      </w:r>
    </w:p>
    <w:p>
      <w:pPr>
        <w:pStyle w:val="Heading5"/>
        <w:rPr>
          <w:snapToGrid w:val="0"/>
        </w:rPr>
      </w:pPr>
      <w:bookmarkStart w:id="198" w:name="_Toc103865274"/>
      <w:r>
        <w:rPr>
          <w:rStyle w:val="CharSectno"/>
        </w:rPr>
        <w:t>53</w:t>
      </w:r>
      <w:r>
        <w:rPr>
          <w:snapToGrid w:val="0"/>
        </w:rPr>
        <w:t>.</w:t>
      </w:r>
      <w:r>
        <w:rPr>
          <w:snapToGrid w:val="0"/>
        </w:rPr>
        <w:tab/>
        <w:t>Telephone order made against child</w:t>
      </w:r>
      <w:bookmarkEnd w:id="198"/>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199" w:name="_Toc103865275"/>
      <w:r>
        <w:rPr>
          <w:rStyle w:val="CharSectno"/>
        </w:rPr>
        <w:lastRenderedPageBreak/>
        <w:t>53A</w:t>
      </w:r>
      <w:r>
        <w:t>.</w:t>
      </w:r>
      <w:r>
        <w:tab/>
        <w:t>Children not to give oral evidence without leave of court, other than in Children’s Court</w:t>
      </w:r>
      <w:bookmarkEnd w:id="199"/>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No. 38 of 2004 s. 37.]</w:t>
      </w:r>
    </w:p>
    <w:p>
      <w:pPr>
        <w:pStyle w:val="Heading5"/>
      </w:pPr>
      <w:bookmarkStart w:id="200" w:name="_Toc103865276"/>
      <w:r>
        <w:rPr>
          <w:rStyle w:val="CharSectno"/>
        </w:rPr>
        <w:t>53B</w:t>
      </w:r>
      <w:r>
        <w:t>.</w:t>
      </w:r>
      <w:r>
        <w:tab/>
        <w:t>Evidence of children</w:t>
      </w:r>
      <w:bookmarkEnd w:id="200"/>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No. 38 of 2004 s. 37.]</w:t>
      </w:r>
    </w:p>
    <w:p>
      <w:pPr>
        <w:pStyle w:val="Heading5"/>
        <w:keepLines w:val="0"/>
      </w:pPr>
      <w:bookmarkStart w:id="201" w:name="_Toc103865277"/>
      <w:r>
        <w:rPr>
          <w:rStyle w:val="CharSectno"/>
        </w:rPr>
        <w:lastRenderedPageBreak/>
        <w:t>53C</w:t>
      </w:r>
      <w:r>
        <w:t>.</w:t>
      </w:r>
      <w:r>
        <w:tab/>
        <w:t>Child who gives evidence entitled to support</w:t>
      </w:r>
      <w:bookmarkEnd w:id="201"/>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No. 38 of 2004 s. 37.]</w:t>
      </w:r>
    </w:p>
    <w:p>
      <w:pPr>
        <w:pStyle w:val="Heading5"/>
      </w:pPr>
      <w:bookmarkStart w:id="202" w:name="_Toc103865278"/>
      <w:r>
        <w:rPr>
          <w:rStyle w:val="CharSectno"/>
        </w:rPr>
        <w:t>53D</w:t>
      </w:r>
      <w:r>
        <w:t>.</w:t>
      </w:r>
      <w:r>
        <w:tab/>
        <w:t>Cross</w:t>
      </w:r>
      <w:r>
        <w:noBreakHyphen/>
        <w:t>examination of child by unrepresented person</w:t>
      </w:r>
      <w:bookmarkEnd w:id="202"/>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No. 38 of 2004 s. 37.]</w:t>
      </w:r>
    </w:p>
    <w:p>
      <w:pPr>
        <w:pStyle w:val="Heading5"/>
      </w:pPr>
      <w:bookmarkStart w:id="203" w:name="_Toc103865279"/>
      <w:r>
        <w:rPr>
          <w:rStyle w:val="CharSectno"/>
        </w:rPr>
        <w:t>53E</w:t>
      </w:r>
      <w:r>
        <w:t>.</w:t>
      </w:r>
      <w:r>
        <w:tab/>
        <w:t>Admissibility of evidence of representations made by children</w:t>
      </w:r>
      <w:bookmarkEnd w:id="203"/>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lastRenderedPageBreak/>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No. 38 of 2004 s. 37; amended: No. 5 of 2008 s. 99.]</w:t>
      </w:r>
    </w:p>
    <w:p>
      <w:pPr>
        <w:pStyle w:val="Heading5"/>
      </w:pPr>
      <w:bookmarkStart w:id="204" w:name="_Toc103865280"/>
      <w:r>
        <w:rPr>
          <w:rStyle w:val="CharSectno"/>
        </w:rPr>
        <w:t>53F</w:t>
      </w:r>
      <w:r>
        <w:t>.</w:t>
      </w:r>
      <w:r>
        <w:tab/>
        <w:t>Summonsing of children</w:t>
      </w:r>
      <w:bookmarkEnd w:id="204"/>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No. 38 of 2004 s. 37.]</w:t>
      </w:r>
    </w:p>
    <w:p>
      <w:pPr>
        <w:pStyle w:val="Heading5"/>
      </w:pPr>
      <w:bookmarkStart w:id="205" w:name="_Toc103865281"/>
      <w:r>
        <w:rPr>
          <w:rStyle w:val="CharSectno"/>
        </w:rPr>
        <w:t>53G</w:t>
      </w:r>
      <w:r>
        <w:t>.</w:t>
      </w:r>
      <w:r>
        <w:tab/>
        <w:t>Arrangements for care and wellbeing of children bound by restraining orders</w:t>
      </w:r>
      <w:bookmarkEnd w:id="205"/>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No. 32 of 2011 s. 14.]</w:t>
      </w:r>
    </w:p>
    <w:p>
      <w:pPr>
        <w:pStyle w:val="Heading3"/>
        <w:spacing w:before="800"/>
        <w:rPr>
          <w:snapToGrid w:val="0"/>
        </w:rPr>
      </w:pPr>
      <w:bookmarkStart w:id="206" w:name="_Toc103863135"/>
      <w:bookmarkStart w:id="207" w:name="_Toc103863346"/>
      <w:bookmarkStart w:id="208" w:name="_Toc103865282"/>
      <w:r>
        <w:rPr>
          <w:rStyle w:val="CharDivNo"/>
        </w:rPr>
        <w:lastRenderedPageBreak/>
        <w:t>Division 2</w:t>
      </w:r>
      <w:r>
        <w:rPr>
          <w:snapToGrid w:val="0"/>
        </w:rPr>
        <w:t> — </w:t>
      </w:r>
      <w:r>
        <w:rPr>
          <w:rStyle w:val="CharDivText"/>
        </w:rPr>
        <w:t>Service</w:t>
      </w:r>
      <w:bookmarkEnd w:id="206"/>
      <w:bookmarkEnd w:id="207"/>
      <w:bookmarkEnd w:id="208"/>
      <w:r>
        <w:rPr>
          <w:rStyle w:val="CharDivText"/>
        </w:rPr>
        <w:t xml:space="preserve"> </w:t>
      </w:r>
    </w:p>
    <w:p>
      <w:pPr>
        <w:pStyle w:val="Heading5"/>
        <w:rPr>
          <w:snapToGrid w:val="0"/>
        </w:rPr>
      </w:pPr>
      <w:bookmarkStart w:id="209" w:name="_Toc103865283"/>
      <w:r>
        <w:rPr>
          <w:rStyle w:val="CharSectno"/>
        </w:rPr>
        <w:t>54</w:t>
      </w:r>
      <w:r>
        <w:rPr>
          <w:snapToGrid w:val="0"/>
        </w:rPr>
        <w:t>.</w:t>
      </w:r>
      <w:r>
        <w:rPr>
          <w:snapToGrid w:val="0"/>
        </w:rPr>
        <w:tab/>
        <w:t>Service of summons</w:t>
      </w:r>
      <w:bookmarkEnd w:id="209"/>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No. 59 of 2004 s. 123.] </w:t>
      </w:r>
    </w:p>
    <w:p>
      <w:pPr>
        <w:pStyle w:val="Heading5"/>
        <w:rPr>
          <w:snapToGrid w:val="0"/>
        </w:rPr>
      </w:pPr>
      <w:bookmarkStart w:id="210" w:name="_Toc103865284"/>
      <w:r>
        <w:rPr>
          <w:rStyle w:val="CharSectno"/>
        </w:rPr>
        <w:t>55</w:t>
      </w:r>
      <w:r>
        <w:rPr>
          <w:snapToGrid w:val="0"/>
        </w:rPr>
        <w:t>.</w:t>
      </w:r>
      <w:r>
        <w:rPr>
          <w:snapToGrid w:val="0"/>
        </w:rPr>
        <w:tab/>
        <w:t>Service of restraining order</w:t>
      </w:r>
      <w:bookmarkEnd w:id="210"/>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pPr>
      <w:r>
        <w:tab/>
        <w:t>(c)</w:t>
      </w:r>
      <w:r>
        <w:tab/>
        <w:t>substituted service is allowed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keepNext/>
        <w:rPr>
          <w:snapToGrid w:val="0"/>
        </w:rPr>
      </w:pPr>
      <w:r>
        <w:lastRenderedPageBreak/>
        <w:tab/>
        <w:t>(c)</w:t>
      </w:r>
      <w:r>
        <w:tab/>
        <w:t>a conduct agreement order or a consent order; and</w:t>
      </w:r>
    </w:p>
    <w:p>
      <w:pPr>
        <w:pStyle w:val="Indenta"/>
        <w:keepNext/>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18 years of age or older to give the information to the person in a way that the person can understand.</w:t>
      </w:r>
    </w:p>
    <w:p>
      <w:pPr>
        <w:pStyle w:val="Subsection"/>
      </w:pPr>
      <w:r>
        <w:tab/>
        <w:t>(5B)</w:t>
      </w:r>
      <w:r>
        <w:tab/>
        <w:t>However, a person giving an explanation under subsection (5A) must not be a person of a class prescribed in the regulations.</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rPr>
          <w:snapToGrid w:val="0"/>
        </w:rPr>
      </w:pPr>
      <w:r>
        <w:lastRenderedPageBreak/>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No. 38 of 2004 s. 38(1)</w:t>
      </w:r>
      <w:r>
        <w:noBreakHyphen/>
        <w:t>(3); No. 59 of 2004 s. 123; No. 49 of 2016 s. 56; No. 13 of 2020 s. 37; No. 30 of 2020 s. 73.]</w:t>
      </w:r>
    </w:p>
    <w:p>
      <w:pPr>
        <w:pStyle w:val="Heading5"/>
        <w:rPr>
          <w:snapToGrid w:val="0"/>
        </w:rPr>
      </w:pPr>
      <w:bookmarkStart w:id="211" w:name="_Toc103865285"/>
      <w:r>
        <w:rPr>
          <w:rStyle w:val="CharSectno"/>
        </w:rPr>
        <w:t>56</w:t>
      </w:r>
      <w:r>
        <w:rPr>
          <w:snapToGrid w:val="0"/>
        </w:rPr>
        <w:t>.</w:t>
      </w:r>
      <w:r>
        <w:rPr>
          <w:snapToGrid w:val="0"/>
        </w:rPr>
        <w:tab/>
        <w:t>Delivery or notification</w:t>
      </w:r>
      <w:bookmarkEnd w:id="211"/>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212" w:name="_Toc103865286"/>
      <w:r>
        <w:rPr>
          <w:rStyle w:val="CharSectno"/>
        </w:rPr>
        <w:t>57</w:t>
      </w:r>
      <w:r>
        <w:rPr>
          <w:snapToGrid w:val="0"/>
        </w:rPr>
        <w:t>.</w:t>
      </w:r>
      <w:r>
        <w:rPr>
          <w:snapToGrid w:val="0"/>
        </w:rPr>
        <w:tab/>
        <w:t>Copy of document sufficient for service</w:t>
      </w:r>
      <w:bookmarkEnd w:id="212"/>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213" w:name="_Toc103865287"/>
      <w:r>
        <w:rPr>
          <w:rStyle w:val="CharSectno"/>
        </w:rPr>
        <w:lastRenderedPageBreak/>
        <w:t>58</w:t>
      </w:r>
      <w:r>
        <w:rPr>
          <w:snapToGrid w:val="0"/>
        </w:rPr>
        <w:t>.</w:t>
      </w:r>
      <w:r>
        <w:rPr>
          <w:snapToGrid w:val="0"/>
        </w:rPr>
        <w:tab/>
        <w:t>Proof of service</w:t>
      </w:r>
      <w:bookmarkEnd w:id="213"/>
      <w:r>
        <w:rPr>
          <w:snapToGrid w:val="0"/>
        </w:rPr>
        <w:t xml:space="preserve"> </w:t>
      </w:r>
    </w:p>
    <w:p>
      <w:pPr>
        <w:pStyle w:val="Subsection"/>
        <w:keepNext/>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No. 49 of 2016 s. 57.]</w:t>
      </w:r>
    </w:p>
    <w:p>
      <w:pPr>
        <w:pStyle w:val="Heading5"/>
      </w:pPr>
      <w:bookmarkStart w:id="214" w:name="_Toc103865288"/>
      <w:r>
        <w:rPr>
          <w:rStyle w:val="CharSectno"/>
        </w:rPr>
        <w:lastRenderedPageBreak/>
        <w:t>59</w:t>
      </w:r>
      <w:r>
        <w:t>.</w:t>
      </w:r>
      <w:r>
        <w:tab/>
        <w:t>Service of restraining order, certain people to be notified of</w:t>
      </w:r>
      <w:bookmarkEnd w:id="214"/>
    </w:p>
    <w:p>
      <w:pPr>
        <w:pStyle w:val="Subsection"/>
        <w:keepNext/>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and in the case of an application under section 24A(1)(b) or (2), the person on whose behalf the application was made, that the order has been served.</w:t>
      </w:r>
    </w:p>
    <w:p>
      <w:pPr>
        <w:pStyle w:val="Subsection"/>
      </w:pPr>
      <w:r>
        <w:tab/>
        <w:t>(3)</w:t>
      </w:r>
      <w:r>
        <w:tab/>
        <w:t>A notification under subsection (2) may be given in such manner as the registrar thinks fit, including, if authorised by the person who is to receive the notification, by email, text message to a mobile phone number or some other form of electronic communication using contact details provided by the person.</w:t>
      </w:r>
    </w:p>
    <w:p>
      <w:pPr>
        <w:pStyle w:val="Footnotesection"/>
      </w:pPr>
      <w:r>
        <w:tab/>
        <w:t>[Section 59 inserted: No. 5 of 2008 s. 100; amended: No. 13 of 2020 s. 38.]</w:t>
      </w:r>
    </w:p>
    <w:p>
      <w:pPr>
        <w:pStyle w:val="Heading5"/>
        <w:rPr>
          <w:snapToGrid w:val="0"/>
        </w:rPr>
      </w:pPr>
      <w:bookmarkStart w:id="215" w:name="_Toc103865289"/>
      <w:r>
        <w:rPr>
          <w:rStyle w:val="CharSectno"/>
        </w:rPr>
        <w:t>60</w:t>
      </w:r>
      <w:r>
        <w:rPr>
          <w:snapToGrid w:val="0"/>
        </w:rPr>
        <w:t>.</w:t>
      </w:r>
      <w:r>
        <w:rPr>
          <w:snapToGrid w:val="0"/>
        </w:rPr>
        <w:tab/>
        <w:t>Substituted service</w:t>
      </w:r>
      <w:bookmarkEnd w:id="215"/>
      <w:r>
        <w:rPr>
          <w:snapToGrid w:val="0"/>
        </w:rPr>
        <w:t xml:space="preserve"> </w:t>
      </w:r>
    </w:p>
    <w:p>
      <w:pPr>
        <w:pStyle w:val="Subsection"/>
      </w:pPr>
      <w:r>
        <w:tab/>
        <w:t>(1)</w:t>
      </w:r>
      <w:r>
        <w:tab/>
        <w:t>Substituted service of a document may occur by order of a court if the court is satisfied that a person is deliberately avoiding being served with the document.</w:t>
      </w:r>
    </w:p>
    <w:p>
      <w:pPr>
        <w:pStyle w:val="Subsection"/>
      </w:pPr>
      <w:r>
        <w:tab/>
        <w:t>(1A)</w:t>
      </w:r>
      <w:r>
        <w:tab/>
        <w:t xml:space="preserve">Substituted service of an FVRO may also occur — </w:t>
      </w:r>
    </w:p>
    <w:p>
      <w:pPr>
        <w:pStyle w:val="Indenta"/>
      </w:pPr>
      <w:r>
        <w:tab/>
        <w:t>(a)</w:t>
      </w:r>
      <w:r>
        <w:tab/>
        <w:t xml:space="preserve">by order of a court if — </w:t>
      </w:r>
    </w:p>
    <w:p>
      <w:pPr>
        <w:pStyle w:val="Indenti"/>
      </w:pPr>
      <w:r>
        <w:tab/>
        <w:t>(i)</w:t>
      </w:r>
      <w:r>
        <w:tab/>
        <w:t>the court is satisfied that personal service or service by post is impracticable for any reason (including that the person to be served does not have a fixed address or is located at a place that is too remote to reasonably permit personal service or service by post); or</w:t>
      </w:r>
    </w:p>
    <w:p>
      <w:pPr>
        <w:pStyle w:val="Indenti"/>
      </w:pPr>
      <w:r>
        <w:lastRenderedPageBreak/>
        <w:tab/>
        <w:t>(ii)</w:t>
      </w:r>
      <w:r>
        <w:tab/>
        <w:t>the court is satisfied that the person to be served is likely to avoid personal service or service by post; or</w:t>
      </w:r>
    </w:p>
    <w:p>
      <w:pPr>
        <w:pStyle w:val="Indenti"/>
      </w:pPr>
      <w:r>
        <w:tab/>
        <w:t>(iii)</w:t>
      </w:r>
      <w:r>
        <w:tab/>
        <w:t>the court considers that substituted service is necessary, appropriate or advisable in the circumstances of the particular case (including that any delay in service is likely to put at risk the safety of the person seeking to be protected);</w:t>
      </w:r>
    </w:p>
    <w:p>
      <w:pPr>
        <w:pStyle w:val="Indenta"/>
      </w:pPr>
      <w:r>
        <w:tab/>
      </w:r>
      <w:r>
        <w:tab/>
        <w:t xml:space="preserve">or </w:t>
      </w:r>
    </w:p>
    <w:p>
      <w:pPr>
        <w:pStyle w:val="Indenta"/>
      </w:pPr>
      <w:r>
        <w:tab/>
        <w:t>(b)</w:t>
      </w:r>
      <w:r>
        <w:tab/>
        <w:t>if a person attempting to serve the order has failed to achieve personal service after taking the steps prescribed by the regulations (including on the basis that substituted service may only occur with the approval of a person of a prescribed class or holding a prescribed office).</w:t>
      </w:r>
    </w:p>
    <w:p>
      <w:pPr>
        <w:pStyle w:val="Subsection"/>
      </w:pPr>
      <w:r>
        <w:tab/>
        <w:t>(2)</w:t>
      </w:r>
      <w:r>
        <w:tab/>
        <w:t xml:space="preserve">A document is served by substituted service if the person serving it — </w:t>
      </w:r>
    </w:p>
    <w:p>
      <w:pPr>
        <w:pStyle w:val="Indenta"/>
      </w:pPr>
      <w:r>
        <w:tab/>
        <w:t>(a)</w:t>
      </w:r>
      <w:r>
        <w:tab/>
        <w:t>takes such steps as a court directs to bring the document to the attention of the person being served; or</w:t>
      </w:r>
    </w:p>
    <w:p>
      <w:pPr>
        <w:pStyle w:val="Indenta"/>
      </w:pPr>
      <w:r>
        <w:tab/>
        <w:t>(b)</w:t>
      </w:r>
      <w:r>
        <w:tab/>
        <w:t>in a case where subsection (1A)(b) applies, takes the steps prescribed by the regulations.</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No. 49 of 2016 s. 58; No. 13 of 2020 s. 39.]</w:t>
      </w:r>
    </w:p>
    <w:p>
      <w:pPr>
        <w:pStyle w:val="Heading3"/>
        <w:keepLines/>
        <w:rPr>
          <w:snapToGrid w:val="0"/>
        </w:rPr>
      </w:pPr>
      <w:bookmarkStart w:id="216" w:name="_Toc103863143"/>
      <w:bookmarkStart w:id="217" w:name="_Toc103863354"/>
      <w:bookmarkStart w:id="218" w:name="_Toc103865290"/>
      <w:r>
        <w:rPr>
          <w:rStyle w:val="CharDivNo"/>
        </w:rPr>
        <w:lastRenderedPageBreak/>
        <w:t>Division 3</w:t>
      </w:r>
      <w:r>
        <w:rPr>
          <w:snapToGrid w:val="0"/>
        </w:rPr>
        <w:t> — </w:t>
      </w:r>
      <w:r>
        <w:rPr>
          <w:rStyle w:val="CharDivText"/>
        </w:rPr>
        <w:t>Breach of restraining order or police order</w:t>
      </w:r>
      <w:bookmarkEnd w:id="216"/>
      <w:bookmarkEnd w:id="217"/>
      <w:bookmarkEnd w:id="218"/>
      <w:r>
        <w:rPr>
          <w:rStyle w:val="CharDivText"/>
        </w:rPr>
        <w:t xml:space="preserve"> </w:t>
      </w:r>
    </w:p>
    <w:p>
      <w:pPr>
        <w:pStyle w:val="Footnoteheading"/>
        <w:keepNext/>
        <w:keepLines/>
        <w:tabs>
          <w:tab w:val="left" w:pos="851"/>
        </w:tabs>
      </w:pPr>
      <w:r>
        <w:tab/>
        <w:t>[Heading amended: No. 38 of 2004 s. 40.]</w:t>
      </w:r>
    </w:p>
    <w:p>
      <w:pPr>
        <w:pStyle w:val="Heading5"/>
        <w:rPr>
          <w:snapToGrid w:val="0"/>
        </w:rPr>
      </w:pPr>
      <w:bookmarkStart w:id="219" w:name="_Toc103865291"/>
      <w:r>
        <w:rPr>
          <w:rStyle w:val="CharSectno"/>
        </w:rPr>
        <w:t>61</w:t>
      </w:r>
      <w:r>
        <w:rPr>
          <w:snapToGrid w:val="0"/>
        </w:rPr>
        <w:t>.</w:t>
      </w:r>
      <w:r>
        <w:rPr>
          <w:snapToGrid w:val="0"/>
        </w:rPr>
        <w:tab/>
        <w:t>Breach of restraining order</w:t>
      </w:r>
      <w:bookmarkEnd w:id="219"/>
      <w:r>
        <w:rPr>
          <w:snapToGrid w:val="0"/>
        </w:rPr>
        <w:t xml:space="preserve"> </w:t>
      </w:r>
    </w:p>
    <w:p>
      <w:pPr>
        <w:pStyle w:val="Subsection"/>
        <w:keepNext/>
        <w:keepLines/>
      </w:pPr>
      <w:r>
        <w:tab/>
        <w:t>(1)</w:t>
      </w:r>
      <w:r>
        <w:tab/>
        <w:t>A person who is bound by an FVRO and who breaches that order commits an offence.</w:t>
      </w:r>
    </w:p>
    <w:p>
      <w:pPr>
        <w:pStyle w:val="Penstart"/>
        <w:keepNext/>
        <w:keepLines/>
      </w:pPr>
      <w:r>
        <w:tab/>
        <w:t>Penalty for this subsection: a fine of $10 000 or imprisonment for 2 years, or both.</w:t>
      </w:r>
    </w:p>
    <w:p>
      <w:pPr>
        <w:pStyle w:val="Subsection"/>
      </w:pPr>
      <w:r>
        <w:tab/>
        <w:t>(1A)</w:t>
      </w:r>
      <w:r>
        <w:tab/>
        <w:t>A person who is bound by a VRO and who breaches that order commits an offence.</w:t>
      </w:r>
    </w:p>
    <w:p>
      <w:pPr>
        <w:pStyle w:val="Penstart"/>
      </w:pPr>
      <w:r>
        <w:tab/>
        <w:t>Penalty for this subsection: a fine of $10 000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a fine of $10 000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otherwise, in the Magistrates Court.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keepNext/>
        <w:spacing w:before="140"/>
      </w:pPr>
      <w:r>
        <w:lastRenderedPageBreak/>
        <w:tab/>
        <w:t>(5)</w:t>
      </w:r>
      <w:r>
        <w:tab/>
        <w:t>For the avoidance of doubt, subsection (4) does not affect the discretion of a court to decide whether or not any factor is an aggravating factor for the purposes of any offence.</w:t>
      </w:r>
    </w:p>
    <w:p>
      <w:pPr>
        <w:pStyle w:val="Subsection"/>
      </w:pPr>
      <w:r>
        <w:tab/>
        <w:t>(6)</w:t>
      </w:r>
      <w:r>
        <w:tab/>
        <w:t>A prosecution for an offence under subsection (1), (1A) or (2a) must be commenced within 2 years after the day on which the offence is alleged to have been committed.</w:t>
      </w:r>
    </w:p>
    <w:p>
      <w:pPr>
        <w:pStyle w:val="Footnotesection"/>
      </w:pPr>
      <w:r>
        <w:tab/>
        <w:t>[Section 61 amended: No. 22 of 2000 s. 12; No. 50 of 2003 s. 90(2); No. 38 of 2004 s. 41; No. 59 of 2004 s. 124; No. 49 of 2016 s. 59; No. 13 of 2020 s. 40.]</w:t>
      </w:r>
    </w:p>
    <w:p>
      <w:pPr>
        <w:pStyle w:val="Heading5"/>
      </w:pPr>
      <w:bookmarkStart w:id="220" w:name="_Toc103865292"/>
      <w:r>
        <w:rPr>
          <w:rStyle w:val="CharSectno"/>
        </w:rPr>
        <w:t>61A</w:t>
      </w:r>
      <w:r>
        <w:t>.</w:t>
      </w:r>
      <w:r>
        <w:tab/>
        <w:t>Penalty for repeated breach of restraining order</w:t>
      </w:r>
      <w:bookmarkEnd w:id="220"/>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Defstart"/>
      </w:pPr>
      <w:r>
        <w:tab/>
      </w:r>
      <w:r>
        <w:rPr>
          <w:rStyle w:val="CharDefText"/>
        </w:rPr>
        <w:t>relevant offence</w:t>
      </w:r>
      <w:r>
        <w:t> means —</w:t>
      </w:r>
    </w:p>
    <w:p>
      <w:pPr>
        <w:pStyle w:val="Defpara"/>
      </w:pPr>
      <w:r>
        <w:tab/>
        <w:t>(a)</w:t>
      </w:r>
      <w:r>
        <w:tab/>
        <w:t xml:space="preserve">an offence under section 61(1), (1A) or (2a); or </w:t>
      </w:r>
    </w:p>
    <w:p>
      <w:pPr>
        <w:pStyle w:val="Defpara"/>
      </w:pPr>
      <w:r>
        <w:tab/>
        <w:t>(b)</w:t>
      </w:r>
      <w:r>
        <w:tab/>
        <w:t xml:space="preserve">an offence under </w:t>
      </w:r>
      <w:r>
        <w:rPr>
          <w:i/>
        </w:rPr>
        <w:t>The Criminal Code</w:t>
      </w:r>
      <w:r>
        <w:t xml:space="preserve"> section 338E committed in the circumstances of aggravation in which the conduct of the offender in committing the offence constituted the breach of an order, other than an order under Part 1C, made or registered under this Act or to which this Act applies.</w:t>
      </w:r>
    </w:p>
    <w:p>
      <w:pPr>
        <w:pStyle w:val="Subsection"/>
        <w:keepNext/>
        <w:spacing w:before="140"/>
      </w:pPr>
      <w:r>
        <w:tab/>
        <w:t>(2)</w:t>
      </w:r>
      <w:r>
        <w:tab/>
        <w:t>This section applies if a person —</w:t>
      </w:r>
    </w:p>
    <w:p>
      <w:pPr>
        <w:pStyle w:val="Indenta"/>
      </w:pPr>
      <w:r>
        <w:tab/>
        <w:t>(a)</w:t>
      </w:r>
      <w:r>
        <w:tab/>
        <w:t xml:space="preserve">is convicted of a relevant offence (the </w:t>
      </w:r>
      <w:r>
        <w:rPr>
          <w:rStyle w:val="CharDefText"/>
        </w:rPr>
        <w:t>qualifying relevant offence</w:t>
      </w:r>
      <w:r>
        <w:t>); and</w:t>
      </w:r>
    </w:p>
    <w:p>
      <w:pPr>
        <w:pStyle w:val="Indenta"/>
      </w:pPr>
      <w:r>
        <w:tab/>
        <w:t>(b)</w:t>
      </w:r>
      <w:r>
        <w:tab/>
        <w:t xml:space="preserve">has committed, and been convicted of, at least 2 offences that are also relevant offences (the </w:t>
      </w:r>
      <w:r>
        <w:rPr>
          <w:rStyle w:val="CharDefText"/>
        </w:rPr>
        <w:t>previous relevant offences</w:t>
      </w:r>
      <w:r>
        <w:t xml:space="preserve">) within the period of 2 years before </w:t>
      </w:r>
      <w:r>
        <w:lastRenderedPageBreak/>
        <w:t>the person’s conviction of the qualifying relevant offence.</w:t>
      </w:r>
    </w:p>
    <w:p>
      <w:pPr>
        <w:pStyle w:val="Subsection"/>
      </w:pPr>
      <w:r>
        <w:tab/>
        <w:t>(2A)</w:t>
      </w:r>
      <w:r>
        <w:tab/>
        <w:t xml:space="preserve">For the purposes of subsection (2)(b) each of the previous </w:t>
      </w:r>
      <w:r>
        <w:rPr>
          <w:szCs w:val="24"/>
        </w:rPr>
        <w:t xml:space="preserve">relevant </w:t>
      </w:r>
      <w:r>
        <w:t>offences is to be counted, regardless of whether the convictions for them —</w:t>
      </w:r>
    </w:p>
    <w:p>
      <w:pPr>
        <w:pStyle w:val="Indenta"/>
      </w:pPr>
      <w:r>
        <w:tab/>
        <w:t>(a)</w:t>
      </w:r>
      <w:r>
        <w:tab/>
        <w:t>were recorded before or after the date on which the qualifying relevant offence, or any of the previous relevant offences, was committed; or</w:t>
      </w:r>
    </w:p>
    <w:p>
      <w:pPr>
        <w:pStyle w:val="Indenta"/>
      </w:pPr>
      <w:r>
        <w:tab/>
        <w:t>(b)</w:t>
      </w:r>
      <w:r>
        <w:tab/>
        <w:t>have been counted in sentencing under this section for a different relevant offence.</w:t>
      </w:r>
    </w:p>
    <w:p>
      <w:pPr>
        <w:pStyle w:val="Subsection"/>
      </w:pPr>
      <w:r>
        <w:tab/>
        <w:t>(2B)</w:t>
      </w:r>
      <w:r>
        <w:tab/>
        <w:t>For the purposes of subsection (2)(b), convictions for 2 or more previous relevant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qualifying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qualifying relevant offence that is or includes imprisonment.</w:t>
      </w:r>
    </w:p>
    <w:p>
      <w:pPr>
        <w:pStyle w:val="Subsection"/>
        <w:keepNext/>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lastRenderedPageBreak/>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No. 32 of 2011 s. 15; amended: No. 20 of 2013 s. 118; No. 49 of 2016 s. 60; No. 30 of 2020 s. 74.]</w:t>
      </w:r>
    </w:p>
    <w:p>
      <w:pPr>
        <w:pStyle w:val="Heading5"/>
        <w:keepNext w:val="0"/>
        <w:keepLines w:val="0"/>
      </w:pPr>
      <w:bookmarkStart w:id="221" w:name="_Toc103865293"/>
      <w:r>
        <w:rPr>
          <w:rStyle w:val="CharSectno"/>
        </w:rPr>
        <w:t>61B</w:t>
      </w:r>
      <w:r>
        <w:t>.</w:t>
      </w:r>
      <w:r>
        <w:tab/>
        <w:t>Protected person aiding breach of restraining order or police order</w:t>
      </w:r>
      <w:bookmarkEnd w:id="221"/>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 if the protected person is in a family relationship with the bound person.</w:t>
      </w:r>
    </w:p>
    <w:p>
      <w:pPr>
        <w:pStyle w:val="Subsection"/>
      </w:pPr>
      <w:r>
        <w:lastRenderedPageBreak/>
        <w:tab/>
        <w:t>(2A)</w:t>
      </w:r>
      <w:r>
        <w:tab/>
        <w:t>However, subsection (2) does not apply if —</w:t>
      </w:r>
    </w:p>
    <w:p>
      <w:pPr>
        <w:pStyle w:val="Indenta"/>
      </w:pPr>
      <w:r>
        <w:tab/>
        <w:t>(a)</w:t>
      </w:r>
      <w:r>
        <w:tab/>
        <w:t>the protected person, without any influence on the part of the bound person (including any influence attributable to family violence), initiated the breach of the order; and</w:t>
      </w:r>
    </w:p>
    <w:p>
      <w:pPr>
        <w:pStyle w:val="Indenta"/>
      </w:pPr>
      <w:r>
        <w:tab/>
        <w:t>(b)</w:t>
      </w:r>
      <w:r>
        <w:tab/>
        <w:t>at the time of the commission of the offence, no conduct of the bound person (whether or not constituting part of the offence) constituted family violence).</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No. 32 of 2011 s. 15; amended: No. 30 of 2020 s. 75.]</w:t>
      </w:r>
    </w:p>
    <w:p>
      <w:pPr>
        <w:pStyle w:val="Heading5"/>
      </w:pPr>
      <w:bookmarkStart w:id="222" w:name="_Toc103865294"/>
      <w:r>
        <w:rPr>
          <w:rStyle w:val="CharSectno"/>
        </w:rPr>
        <w:t>61C</w:t>
      </w:r>
      <w:r>
        <w:t>.</w:t>
      </w:r>
      <w:r>
        <w:tab/>
        <w:t>Report under s. 10V to be considered in sentencing for breach of FVRO</w:t>
      </w:r>
      <w:bookmarkEnd w:id="222"/>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No. 49 of 2016 s. 61.]</w:t>
      </w:r>
    </w:p>
    <w:p>
      <w:pPr>
        <w:pStyle w:val="Heading5"/>
      </w:pPr>
      <w:bookmarkStart w:id="223" w:name="_Toc103865295"/>
      <w:r>
        <w:rPr>
          <w:rStyle w:val="CharSectno"/>
        </w:rPr>
        <w:t>62</w:t>
      </w:r>
      <w:r>
        <w:t>.</w:t>
      </w:r>
      <w:r>
        <w:tab/>
        <w:t>Defence</w:t>
      </w:r>
      <w:bookmarkEnd w:id="223"/>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lastRenderedPageBreak/>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No. 38 of 2004 s. 42; amended: No. 35 of 2006 s. 208; No. 21 of 2008 s. 699; No. 49 of 2016 s. 62.]</w:t>
      </w:r>
    </w:p>
    <w:p>
      <w:pPr>
        <w:pStyle w:val="Heading3"/>
      </w:pPr>
      <w:bookmarkStart w:id="224" w:name="_Toc103863149"/>
      <w:bookmarkStart w:id="225" w:name="_Toc103863360"/>
      <w:bookmarkStart w:id="226" w:name="_Toc103865296"/>
      <w:r>
        <w:rPr>
          <w:rStyle w:val="CharDivNo"/>
        </w:rPr>
        <w:t>Division 3A</w:t>
      </w:r>
      <w:r>
        <w:t> — </w:t>
      </w:r>
      <w:r>
        <w:rPr>
          <w:rStyle w:val="CharDivText"/>
        </w:rPr>
        <w:t>Police functions</w:t>
      </w:r>
      <w:bookmarkEnd w:id="224"/>
      <w:bookmarkEnd w:id="225"/>
      <w:bookmarkEnd w:id="226"/>
    </w:p>
    <w:p>
      <w:pPr>
        <w:pStyle w:val="Footnoteheading"/>
        <w:tabs>
          <w:tab w:val="left" w:pos="851"/>
        </w:tabs>
      </w:pPr>
      <w:r>
        <w:tab/>
        <w:t>[Heading inserted: No. 38 of 2004 s. 43(1).]</w:t>
      </w:r>
    </w:p>
    <w:p>
      <w:pPr>
        <w:pStyle w:val="Heading5"/>
      </w:pPr>
      <w:bookmarkStart w:id="227" w:name="_Toc103865297"/>
      <w:r>
        <w:rPr>
          <w:rStyle w:val="CharSectno"/>
        </w:rPr>
        <w:t>62A</w:t>
      </w:r>
      <w:r>
        <w:t>.</w:t>
      </w:r>
      <w:r>
        <w:tab/>
        <w:t>Investigation of suspected family violence</w:t>
      </w:r>
      <w:bookmarkEnd w:id="227"/>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No. 38 of 2004 s. 43(1); amended: No. 49 of 2016 s. 63.]</w:t>
      </w:r>
    </w:p>
    <w:p>
      <w:pPr>
        <w:pStyle w:val="Heading5"/>
      </w:pPr>
      <w:bookmarkStart w:id="228" w:name="_Toc103865298"/>
      <w:r>
        <w:rPr>
          <w:rStyle w:val="CharSectno"/>
        </w:rPr>
        <w:lastRenderedPageBreak/>
        <w:t>62B</w:t>
      </w:r>
      <w:r>
        <w:t>.</w:t>
      </w:r>
      <w:r>
        <w:tab/>
        <w:t>Entry and search of premises if family violence suspected</w:t>
      </w:r>
      <w:bookmarkEnd w:id="228"/>
    </w:p>
    <w:p>
      <w:pPr>
        <w:pStyle w:val="Subsection"/>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lastRenderedPageBreak/>
        <w:tab/>
        <w:t>(ii)</w:t>
      </w:r>
      <w:r>
        <w:tab/>
        <w:t>is in possession of a weapon;</w:t>
      </w:r>
    </w:p>
    <w:p>
      <w:pPr>
        <w:pStyle w:val="Indenta"/>
      </w:pPr>
      <w:r>
        <w:tab/>
      </w:r>
      <w:r>
        <w:tab/>
        <w:t>and</w:t>
      </w:r>
    </w:p>
    <w:p>
      <w:pPr>
        <w:pStyle w:val="Indenta"/>
        <w:keepNext/>
      </w:pPr>
      <w:r>
        <w:tab/>
        <w:t>(b)</w:t>
      </w:r>
      <w:r>
        <w:tab/>
        <w:t xml:space="preserve">search — </w:t>
      </w:r>
    </w:p>
    <w:p>
      <w:pPr>
        <w:pStyle w:val="Indenti"/>
        <w:keepNext/>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No. 38 of 2004 s. 43(1); amended: No. 5 of 2008 s. 101; No. 49 of 2016 s. 64.]</w:t>
      </w:r>
    </w:p>
    <w:p>
      <w:pPr>
        <w:pStyle w:val="Heading5"/>
      </w:pPr>
      <w:bookmarkStart w:id="229" w:name="_Toc103865299"/>
      <w:r>
        <w:rPr>
          <w:rStyle w:val="CharSectno"/>
        </w:rPr>
        <w:t>62C</w:t>
      </w:r>
      <w:r>
        <w:t>.</w:t>
      </w:r>
      <w:r>
        <w:tab/>
        <w:t>Action to be taken by police officer after investigating suspected family violence</w:t>
      </w:r>
      <w:bookmarkEnd w:id="229"/>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24A(1)(b) or 25(1)(b); or</w:t>
      </w:r>
    </w:p>
    <w:p>
      <w:pPr>
        <w:pStyle w:val="Indenta"/>
        <w:spacing w:before="60"/>
      </w:pPr>
      <w:r>
        <w:lastRenderedPageBreak/>
        <w:tab/>
        <w:t>(b)</w:t>
      </w:r>
      <w:r>
        <w:tab/>
        <w:t>a police order; or</w:t>
      </w:r>
    </w:p>
    <w:p>
      <w:pPr>
        <w:pStyle w:val="Indenta"/>
        <w:keepNext/>
        <w:spacing w:before="60"/>
      </w:pPr>
      <w:r>
        <w:tab/>
        <w:t>(c)</w:t>
      </w:r>
      <w:r>
        <w:tab/>
        <w:t>a written record of the reasons why he or she did not take either of the actions set out in paragraph (a) or (b).</w:t>
      </w:r>
    </w:p>
    <w:p>
      <w:pPr>
        <w:pStyle w:val="Footnotesection"/>
        <w:spacing w:before="80"/>
      </w:pPr>
      <w:r>
        <w:tab/>
        <w:t>[Section 62C inserted: No. 38 of 2004 s. 43(1); amended: amended: No. 49 of 2016 s. 65.]</w:t>
      </w:r>
    </w:p>
    <w:p>
      <w:pPr>
        <w:pStyle w:val="Heading5"/>
      </w:pPr>
      <w:bookmarkStart w:id="230" w:name="_Toc103865300"/>
      <w:r>
        <w:rPr>
          <w:rStyle w:val="CharSectno"/>
        </w:rPr>
        <w:t>62D</w:t>
      </w:r>
      <w:r>
        <w:t>.</w:t>
      </w:r>
      <w:r>
        <w:tab/>
        <w:t>Approval of senior officer</w:t>
      </w:r>
      <w:bookmarkEnd w:id="230"/>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lastRenderedPageBreak/>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No. 38 of 2004 s. 43(1); amended: No. 49 of 2016 s. 66.]</w:t>
      </w:r>
    </w:p>
    <w:p>
      <w:pPr>
        <w:pStyle w:val="Heading5"/>
      </w:pPr>
      <w:bookmarkStart w:id="231" w:name="_Toc103865301"/>
      <w:r>
        <w:rPr>
          <w:rStyle w:val="CharSectno"/>
        </w:rPr>
        <w:t>62E</w:t>
      </w:r>
      <w:r>
        <w:t>.</w:t>
      </w:r>
      <w:r>
        <w:tab/>
        <w:t>Seizure of firearms and explosives</w:t>
      </w:r>
      <w:bookmarkEnd w:id="231"/>
    </w:p>
    <w:p>
      <w:pPr>
        <w:pStyle w:val="Subsection"/>
      </w:pPr>
      <w:r>
        <w:tab/>
        <w:t>(1)</w:t>
      </w:r>
      <w:r>
        <w:tab/>
        <w:t xml:space="preserve">If a person who is bound by an FVRO or VRO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keepNext/>
      </w:pPr>
      <w:r>
        <w:tab/>
        <w:t>(b)</w:t>
      </w:r>
      <w:r>
        <w:tab/>
        <w:t>a firearms licence held by the person,</w:t>
      </w:r>
    </w:p>
    <w:p>
      <w:pPr>
        <w:pStyle w:val="Subsection"/>
      </w:pPr>
      <w:r>
        <w:tab/>
      </w:r>
      <w:r>
        <w:tab/>
        <w:t>is reasonably suspected to be, and search for and seize the firearm or firearms licence.</w:t>
      </w:r>
    </w:p>
    <w:p>
      <w:pPr>
        <w:pStyle w:val="Subsection"/>
      </w:pPr>
      <w:r>
        <w:tab/>
        <w:t>(1AA)</w:t>
      </w:r>
      <w:r>
        <w:tab/>
        <w:t xml:space="preserve">If a person who is bound by a restraint under section 14A in relation to an FVRO or VRO does not give up possession of any explosives or an explosives licence in accordance with that section, a police officer may, without a warrant — </w:t>
      </w:r>
    </w:p>
    <w:p>
      <w:pPr>
        <w:pStyle w:val="Indenta"/>
      </w:pPr>
      <w:r>
        <w:tab/>
        <w:t>(a)</w:t>
      </w:r>
      <w:r>
        <w:tab/>
        <w:t xml:space="preserve">enter a place where any explosives that are, or are reasonably suspected to be, in the possession of the person are reasonably suspected to be, and search for and seize the explosives; or </w:t>
      </w:r>
    </w:p>
    <w:p>
      <w:pPr>
        <w:pStyle w:val="Indenta"/>
      </w:pPr>
      <w:r>
        <w:lastRenderedPageBreak/>
        <w:tab/>
        <w:t>(b)</w:t>
      </w:r>
      <w:r>
        <w:tab/>
        <w:t>enter a place where an explosives licence held by the person is reasonably suspected to be, and search for and seize the licence.</w:t>
      </w:r>
    </w:p>
    <w:p>
      <w:pPr>
        <w:pStyle w:val="Subsection"/>
      </w:pPr>
      <w:r>
        <w:tab/>
        <w:t>(1a)</w:t>
      </w:r>
      <w:r>
        <w:tab/>
        <w:t>In order to exercise a power under subsection (1) or (1AA), a police officer may use any force against any person or thing that it is reasonably necessary to use in the circumstances.</w:t>
      </w:r>
    </w:p>
    <w:p>
      <w:pPr>
        <w:pStyle w:val="Subsection"/>
      </w:pPr>
      <w:r>
        <w:tab/>
        <w:t>(1B)</w:t>
      </w:r>
      <w:r>
        <w:tab/>
        <w:t xml:space="preserve">In the exercise of a power under subsection (1AA), a police officer may be accompanied and assisted by a dangerous goods officer under the </w:t>
      </w:r>
      <w:r>
        <w:rPr>
          <w:i/>
          <w:iCs/>
        </w:rPr>
        <w:t>Dangerous Goods Safety Act 2004</w:t>
      </w:r>
      <w:r>
        <w:rPr>
          <w:iCs/>
        </w:rPr>
        <w:t>.</w:t>
      </w:r>
    </w:p>
    <w:p>
      <w:pPr>
        <w:pStyle w:val="Subsection"/>
      </w:pPr>
      <w:r>
        <w:tab/>
        <w:t>(2)</w:t>
      </w:r>
      <w:r>
        <w:tab/>
        <w:t>A firearm or firearms licence seized under subsection (1), or any explosives or an explosives licence seized under subsection (1AA), are to be delivered to the Commissioner of Police, and dealt with, in the manner prescribed in the regulations.</w:t>
      </w:r>
    </w:p>
    <w:p>
      <w:pPr>
        <w:pStyle w:val="Footnotesection"/>
      </w:pPr>
      <w:r>
        <w:tab/>
        <w:t>[Section 62E inserted: No. 38 of 2004 s. 43(1); amended: No. 5 of 2008 s. 102; No. 49 of 2016 s. 67; No. 30 of 2020 s. 76.]</w:t>
      </w:r>
    </w:p>
    <w:p>
      <w:pPr>
        <w:pStyle w:val="Footnotesection"/>
      </w:pPr>
      <w:r>
        <w:tab/>
        <w:t>[Section 62E. Modifications to be applied in order to give effect to Cross-border Justice Act 2008: section altered 1 Nov 2009. See endnote 1M.]</w:t>
      </w:r>
    </w:p>
    <w:p>
      <w:pPr>
        <w:pStyle w:val="Heading5"/>
      </w:pPr>
      <w:bookmarkStart w:id="232" w:name="_Toc103865302"/>
      <w:r>
        <w:rPr>
          <w:rStyle w:val="CharSectno"/>
        </w:rPr>
        <w:t>62F</w:t>
      </w:r>
      <w:r>
        <w:t>.</w:t>
      </w:r>
      <w:r>
        <w:tab/>
        <w:t>Detention of respondent during telephone hearing or while police order is being made</w:t>
      </w:r>
      <w:bookmarkEnd w:id="232"/>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order that person to remain in a place designated by the police officer, or accompany the police officer to a police station or some other place and wait at that place, while — </w:t>
      </w:r>
    </w:p>
    <w:p>
      <w:pPr>
        <w:pStyle w:val="Indenti"/>
      </w:pPr>
      <w:r>
        <w:lastRenderedPageBreak/>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keepNext/>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 No. 38 of 2004 s. 43(1); amended: No. 5 of 2008 s. 103; No. 49 of 2016 s. 68.]</w:t>
      </w:r>
    </w:p>
    <w:p>
      <w:pPr>
        <w:pStyle w:val="Footnotesection"/>
      </w:pPr>
      <w:r>
        <w:tab/>
        <w:t>[Section 62F. Modifications to be applied in order to give effect to Cross-border Justice Act 2008: section altered 1 Nov 2009. See endnote 1M.]</w:t>
      </w:r>
    </w:p>
    <w:p>
      <w:pPr>
        <w:pStyle w:val="Heading5"/>
      </w:pPr>
      <w:bookmarkStart w:id="233" w:name="_Toc103865303"/>
      <w:r>
        <w:rPr>
          <w:rStyle w:val="CharSectno"/>
        </w:rPr>
        <w:lastRenderedPageBreak/>
        <w:t>62G</w:t>
      </w:r>
      <w:r>
        <w:t>.</w:t>
      </w:r>
      <w:r>
        <w:tab/>
        <w:t>Police officer may conduct hearing for applicant</w:t>
      </w:r>
      <w:bookmarkEnd w:id="233"/>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No. 38 of 2004 s. 43(1).]</w:t>
      </w:r>
    </w:p>
    <w:p>
      <w:pPr>
        <w:pStyle w:val="Heading3"/>
        <w:rPr>
          <w:snapToGrid w:val="0"/>
        </w:rPr>
      </w:pPr>
      <w:bookmarkStart w:id="234" w:name="_Toc103863157"/>
      <w:bookmarkStart w:id="235" w:name="_Toc103863368"/>
      <w:bookmarkStart w:id="236" w:name="_Toc103865304"/>
      <w:r>
        <w:rPr>
          <w:rStyle w:val="CharDivNo"/>
        </w:rPr>
        <w:t>Division 4</w:t>
      </w:r>
      <w:r>
        <w:rPr>
          <w:snapToGrid w:val="0"/>
        </w:rPr>
        <w:t> — </w:t>
      </w:r>
      <w:r>
        <w:rPr>
          <w:rStyle w:val="CharDivText"/>
        </w:rPr>
        <w:t>General</w:t>
      </w:r>
      <w:bookmarkEnd w:id="234"/>
      <w:bookmarkEnd w:id="235"/>
      <w:bookmarkEnd w:id="236"/>
      <w:r>
        <w:rPr>
          <w:rStyle w:val="CharDivText"/>
        </w:rPr>
        <w:t xml:space="preserve"> </w:t>
      </w:r>
    </w:p>
    <w:p>
      <w:pPr>
        <w:pStyle w:val="Heading5"/>
        <w:rPr>
          <w:snapToGrid w:val="0"/>
        </w:rPr>
      </w:pPr>
      <w:bookmarkStart w:id="237" w:name="_Toc103865305"/>
      <w:r>
        <w:rPr>
          <w:rStyle w:val="CharSectno"/>
        </w:rPr>
        <w:t>63</w:t>
      </w:r>
      <w:r>
        <w:rPr>
          <w:snapToGrid w:val="0"/>
        </w:rPr>
        <w:t>.</w:t>
      </w:r>
      <w:r>
        <w:rPr>
          <w:snapToGrid w:val="0"/>
        </w:rPr>
        <w:tab/>
        <w:t>Making restraining orders during other proceedings</w:t>
      </w:r>
      <w:bookmarkEnd w:id="237"/>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(3AA)</w:t>
      </w:r>
      <w:r>
        <w:tab/>
        <w:t>To avoid doubt, a court acting under subsection (2) or (3) may make a restraining order in the absence of the person against whom the order is made if the court is satisfied that the order should be made in the circumstances.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lastRenderedPageBreak/>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w:t>
      </w:r>
      <w:r>
        <w:t>case.</w:t>
      </w:r>
    </w:p>
    <w:p>
      <w:pPr>
        <w:pStyle w:val="Subsection"/>
      </w:pP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298, 300, 301, 304(1), 313, 317, 317A, 323, 324, 333, 338A, 338B, 338C or 338E; or</w:t>
      </w:r>
    </w:p>
    <w:p>
      <w:pPr>
        <w:pStyle w:val="Indenti"/>
      </w:pPr>
      <w:r>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lastRenderedPageBreak/>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 that is specified by the court in the FVRO.</w:t>
      </w:r>
    </w:p>
    <w:p>
      <w:pPr>
        <w:pStyle w:val="Subsection"/>
      </w:pPr>
      <w:r>
        <w:tab/>
        <w:t>(4a)</w:t>
      </w:r>
      <w:r>
        <w:tab/>
        <w:t>Subject to subsection (4B) a restraining order made under this section is a final order.</w:t>
      </w:r>
    </w:p>
    <w:p>
      <w:pPr>
        <w:pStyle w:val="Subsection"/>
      </w:pPr>
      <w:r>
        <w:tab/>
        <w:t>(4B)</w:t>
      </w:r>
      <w:r>
        <w:tab/>
        <w:t xml:space="preserve">A restraining order made by a court under subsection (2) or (3) will be an interim restraining order if — </w:t>
      </w:r>
    </w:p>
    <w:p>
      <w:pPr>
        <w:pStyle w:val="Indenta"/>
      </w:pPr>
      <w:r>
        <w:tab/>
        <w:t>(a)</w:t>
      </w:r>
      <w:r>
        <w:tab/>
        <w:t>the person who would be bound by the order objects to it being made and the court considers that the order should be an interim order in the circumstances; or</w:t>
      </w:r>
    </w:p>
    <w:p>
      <w:pPr>
        <w:pStyle w:val="Indenta"/>
      </w:pPr>
      <w:r>
        <w:tab/>
        <w:t>(b)</w:t>
      </w:r>
      <w:r>
        <w:tab/>
        <w:t>the person against whom the order is made is not present when the order is made.</w:t>
      </w:r>
    </w:p>
    <w:p>
      <w:pPr>
        <w:pStyle w:val="Subsection"/>
      </w:pPr>
      <w:r>
        <w:tab/>
        <w:t>(4c)</w:t>
      </w:r>
      <w:r>
        <w:tab/>
        <w:t>Sections 33, 42, 43 and 44 apply to an interim order made under subsection (4B)(a)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lastRenderedPageBreak/>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keepNext/>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No. 22 of 2000 s. 13; </w:t>
      </w:r>
      <w:r>
        <w:rPr>
          <w:spacing w:val="-6"/>
        </w:rPr>
        <w:t>No. 34 of 2004 Sch. 2 cl. 23(3)</w:t>
      </w:r>
      <w:r>
        <w:t>; No. 38 of 2004 s. 44 and 55; No. 59 of 2004 s. 123 and 124; No. 5 of 2008 s. 104; No. 49 of 2016 s. 69; No. 13 of 2020 s. 41; No. 30 of 2020 s. 77.]</w:t>
      </w:r>
    </w:p>
    <w:p>
      <w:pPr>
        <w:pStyle w:val="Heading5"/>
      </w:pPr>
      <w:bookmarkStart w:id="238" w:name="_Toc103865306"/>
      <w:r>
        <w:rPr>
          <w:rStyle w:val="CharSectno"/>
        </w:rPr>
        <w:lastRenderedPageBreak/>
        <w:t>63A</w:t>
      </w:r>
      <w:r>
        <w:t>.</w:t>
      </w:r>
      <w:r>
        <w:tab/>
        <w:t>FVRO or VRO made if certain violent personal offences committed</w:t>
      </w:r>
      <w:bookmarkEnd w:id="238"/>
    </w:p>
    <w:p>
      <w:pPr>
        <w:pStyle w:val="Subsection"/>
        <w:keepNext/>
      </w:pPr>
      <w:r>
        <w:tab/>
        <w:t>(1A)</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292, 293, 294, 297, 304(2), 320, 321, 321A, 325, 326, 327, 328, 329 or 332; or</w:t>
      </w:r>
    </w:p>
    <w:p>
      <w:pPr>
        <w:pStyle w:val="Defpara"/>
      </w:pPr>
      <w:r>
        <w:tab/>
        <w:t>(b)</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Except as provided in subsection (2A), an order made, or varied, under subsection (1) is to be made for the period of the life of the person who committed the offence.</w:t>
      </w:r>
    </w:p>
    <w:p>
      <w:pPr>
        <w:pStyle w:val="Subsection"/>
      </w:pPr>
      <w:r>
        <w:tab/>
        <w:t>(2A)</w:t>
      </w:r>
      <w:r>
        <w:tab/>
        <w:t xml:space="preserve">If the violent personal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not for the period of the life of the person who committed the offence).</w:t>
      </w:r>
    </w:p>
    <w:p>
      <w:pPr>
        <w:pStyle w:val="Subsection"/>
      </w:pPr>
      <w:r>
        <w:tab/>
        <w:t>(3)</w:t>
      </w:r>
      <w:r>
        <w:tab/>
        <w:t>A restraining order made under this section is a final order.</w:t>
      </w:r>
    </w:p>
    <w:p>
      <w:pPr>
        <w:pStyle w:val="Subsection"/>
        <w:keepNext/>
      </w:pPr>
      <w:r>
        <w:lastRenderedPageBreak/>
        <w:tab/>
        <w:t>(4)</w:t>
      </w:r>
      <w:r>
        <w:tab/>
        <w:t xml:space="preserve">A court must not make an order under this section if a request not to make the order is made by — </w:t>
      </w:r>
    </w:p>
    <w:p>
      <w:pPr>
        <w:pStyle w:val="Indenta"/>
      </w:pPr>
      <w:r>
        <w:tab/>
        <w:t>(a)</w:t>
      </w:r>
      <w:r>
        <w:tab/>
        <w:t>the victim of the offence for whose benefit the order would be made; or</w:t>
      </w:r>
    </w:p>
    <w:p>
      <w:pPr>
        <w:pStyle w:val="Indenta"/>
      </w:pPr>
      <w:r>
        <w:tab/>
        <w:t>(b)</w:t>
      </w:r>
      <w:r>
        <w:tab/>
        <w:t>a parent or guardian acting on behalf of a child who is the victim of the offence for whose benefit the order would be made.</w:t>
      </w:r>
    </w:p>
    <w:p>
      <w:pPr>
        <w:pStyle w:val="Subsection"/>
      </w:pPr>
      <w:r>
        <w:tab/>
        <w:t>(5)</w:t>
      </w:r>
      <w:r>
        <w:tab/>
        <w:t>The person who committed the offence cannot act on behalf of a child under subsection (4)(b).</w:t>
      </w:r>
    </w:p>
    <w:p>
      <w:pPr>
        <w:pStyle w:val="Footnotesection"/>
      </w:pPr>
      <w:r>
        <w:tab/>
        <w:t>[Section 63A inserted: No. 38 of 2004 s. 45; amended: No. 49 of 2016 s. 70; No. 30 of 2020 s. 78.]</w:t>
      </w:r>
    </w:p>
    <w:p>
      <w:pPr>
        <w:pStyle w:val="Heading5"/>
      </w:pPr>
      <w:bookmarkStart w:id="239" w:name="_Toc103865307"/>
      <w:r>
        <w:rPr>
          <w:rStyle w:val="CharSectno"/>
        </w:rPr>
        <w:t>63B</w:t>
      </w:r>
      <w:r>
        <w:t>.</w:t>
      </w:r>
      <w:r>
        <w:tab/>
        <w:t>Circumstances to be taken into account when sentencing for certain offences</w:t>
      </w:r>
      <w:bookmarkEnd w:id="239"/>
    </w:p>
    <w:p>
      <w:pPr>
        <w:pStyle w:val="Subsection"/>
        <w:keepNext/>
      </w:pPr>
      <w:r>
        <w:tab/>
        <w:t>(1)</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or 332.</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pPr>
      <w:r>
        <w:tab/>
        <w:t>(3)</w:t>
      </w:r>
      <w:r>
        <w:tab/>
        <w:t>Nothing in subsection (2) affects the discretion of a court to decide whether or not a circumstance set out in that subsection is a circumstance to take into account in sentencing an offender for any other offence.</w:t>
      </w:r>
    </w:p>
    <w:p>
      <w:pPr>
        <w:pStyle w:val="Footnotesection"/>
      </w:pPr>
      <w:r>
        <w:lastRenderedPageBreak/>
        <w:tab/>
        <w:t>[Section 63B inserted: No. 49 of 2016 s. 71; amended: No. 30 of 2020 s. 79.]</w:t>
      </w:r>
    </w:p>
    <w:p>
      <w:pPr>
        <w:pStyle w:val="Heading5"/>
      </w:pPr>
      <w:bookmarkStart w:id="240" w:name="_Toc103865308"/>
      <w:r>
        <w:rPr>
          <w:rStyle w:val="CharSectno"/>
        </w:rPr>
        <w:t>63C</w:t>
      </w:r>
      <w:r>
        <w:t>.</w:t>
      </w:r>
      <w:r>
        <w:tab/>
        <w:t>Criminal and civil liability not affected by restraining orders</w:t>
      </w:r>
      <w:bookmarkEnd w:id="240"/>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No. 38 of 2004 s. 45.]</w:t>
      </w:r>
    </w:p>
    <w:p>
      <w:pPr>
        <w:pStyle w:val="Heading5"/>
      </w:pPr>
      <w:bookmarkStart w:id="241" w:name="_Toc103865309"/>
      <w:r>
        <w:rPr>
          <w:rStyle w:val="CharSectno"/>
        </w:rPr>
        <w:t>63D</w:t>
      </w:r>
      <w:r>
        <w:t>.</w:t>
      </w:r>
      <w:r>
        <w:tab/>
        <w:t>Court to give reasons for certain decisions</w:t>
      </w:r>
      <w:bookmarkEnd w:id="241"/>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No. 49 of 2016 s. 72.]</w:t>
      </w:r>
    </w:p>
    <w:p>
      <w:pPr>
        <w:pStyle w:val="Heading5"/>
        <w:rPr>
          <w:snapToGrid w:val="0"/>
        </w:rPr>
      </w:pPr>
      <w:bookmarkStart w:id="242" w:name="_Toc103865310"/>
      <w:r>
        <w:rPr>
          <w:rStyle w:val="CharSectno"/>
        </w:rPr>
        <w:t>64</w:t>
      </w:r>
      <w:r>
        <w:rPr>
          <w:snapToGrid w:val="0"/>
        </w:rPr>
        <w:t>.</w:t>
      </w:r>
      <w:r>
        <w:rPr>
          <w:snapToGrid w:val="0"/>
        </w:rPr>
        <w:tab/>
        <w:t>Appeals</w:t>
      </w:r>
      <w:bookmarkEnd w:id="242"/>
      <w:r>
        <w:rPr>
          <w:snapToGrid w:val="0"/>
        </w:rPr>
        <w:t xml:space="preserve"> </w:t>
      </w:r>
    </w:p>
    <w:p>
      <w:pPr>
        <w:pStyle w:val="Subsection"/>
        <w:keepNext/>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pPr>
      <w:r>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lastRenderedPageBreak/>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keepNext/>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keepNext/>
        <w:spacing w:before="140"/>
      </w:pPr>
      <w:r>
        <w:lastRenderedPageBreak/>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No. 22 of 2000 s. 14; No. 45 of 2004 s. 37; No. 59 of 2004 s. 124; No. 14 of 2013 s. 5; No. 49 of 2016 s. 73.]</w:t>
      </w:r>
    </w:p>
    <w:p>
      <w:pPr>
        <w:pStyle w:val="Heading5"/>
        <w:rPr>
          <w:snapToGrid w:val="0"/>
        </w:rPr>
      </w:pPr>
      <w:bookmarkStart w:id="243" w:name="_Toc103865311"/>
      <w:r>
        <w:rPr>
          <w:rStyle w:val="CharSectno"/>
        </w:rPr>
        <w:t>65</w:t>
      </w:r>
      <w:r>
        <w:rPr>
          <w:snapToGrid w:val="0"/>
        </w:rPr>
        <w:t>.</w:t>
      </w:r>
      <w:r>
        <w:rPr>
          <w:snapToGrid w:val="0"/>
        </w:rPr>
        <w:tab/>
        <w:t>Orders not to conflict with certain family orders</w:t>
      </w:r>
      <w:bookmarkEnd w:id="243"/>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pPr>
      <w:bookmarkStart w:id="244" w:name="_Toc103865312"/>
      <w:r>
        <w:rPr>
          <w:rStyle w:val="CharSectno"/>
        </w:rPr>
        <w:t>66</w:t>
      </w:r>
      <w:r>
        <w:t>.</w:t>
      </w:r>
      <w:r>
        <w:tab/>
        <w:t>Information about family orders</w:t>
      </w:r>
      <w:bookmarkEnd w:id="244"/>
    </w:p>
    <w:p>
      <w:pPr>
        <w:pStyle w:val="Subsection"/>
      </w:pPr>
      <w:r>
        <w:tab/>
        <w:t>(1)</w:t>
      </w:r>
      <w:r>
        <w:tab/>
        <w:t>A court before which an application for a restraining order has been made must, at a time determined by the court to be appropriate in the circumstances, request the applicant to provide information (being information of which the applicant is aware) — </w:t>
      </w:r>
    </w:p>
    <w:p>
      <w:pPr>
        <w:pStyle w:val="Indenta"/>
      </w:pPr>
      <w:r>
        <w:tab/>
        <w:t>(a)</w:t>
      </w:r>
      <w:r>
        <w:tab/>
        <w:t>about the existence of —</w:t>
      </w:r>
    </w:p>
    <w:p>
      <w:pPr>
        <w:pStyle w:val="Indenti"/>
      </w:pPr>
      <w:r>
        <w:tab/>
        <w:t>(i)</w:t>
      </w:r>
      <w:r>
        <w:tab/>
        <w:t>unless subparagraph (ii) applies, any family order to which the applicant is a party; or</w:t>
      </w:r>
    </w:p>
    <w:p>
      <w:pPr>
        <w:pStyle w:val="Indenti"/>
      </w:pPr>
      <w:r>
        <w:tab/>
        <w:t>(ii)</w:t>
      </w:r>
      <w:r>
        <w:tab/>
        <w:t>if the application is being made on behalf of another person, any family order to which the person for whose benefit the order would be made is a party;</w:t>
      </w:r>
    </w:p>
    <w:p>
      <w:pPr>
        <w:pStyle w:val="Indenta"/>
      </w:pPr>
      <w:r>
        <w:tab/>
      </w:r>
      <w:r>
        <w:tab/>
        <w:t>and</w:t>
      </w:r>
    </w:p>
    <w:p>
      <w:pPr>
        <w:pStyle w:val="Indenta"/>
      </w:pPr>
      <w:r>
        <w:lastRenderedPageBreak/>
        <w:tab/>
        <w:t>(b)</w:t>
      </w:r>
      <w:r>
        <w:tab/>
        <w:t>about the existence of —</w:t>
      </w:r>
    </w:p>
    <w:p>
      <w:pPr>
        <w:pStyle w:val="Indenti"/>
      </w:pPr>
      <w:r>
        <w:tab/>
        <w:t>(i)</w:t>
      </w:r>
      <w:r>
        <w:tab/>
        <w:t>unless subparagraph (ii) applies, any pending application for a family order in which the applicant is a party to the family court proceedings; or</w:t>
      </w:r>
    </w:p>
    <w:p>
      <w:pPr>
        <w:pStyle w:val="Indenti"/>
      </w:pPr>
      <w:r>
        <w:tab/>
        <w:t>(ii)</w:t>
      </w:r>
      <w:r>
        <w:tab/>
        <w:t>if the application is being made on behalf of another person, any pending application for a family order in which the person for whose benefit the order would be made is a party to the family court proceedings.</w:t>
      </w:r>
    </w:p>
    <w:p>
      <w:pPr>
        <w:pStyle w:val="Subsection"/>
      </w:pPr>
      <w:r>
        <w:tab/>
        <w:t>(2)</w:t>
      </w:r>
      <w:r>
        <w:tab/>
        <w:t>If a court, on making a request under subsection (1), or in any other circumstances, becomes aware of an existing family order, or proceedings for a family order, the court must — </w:t>
      </w:r>
    </w:p>
    <w:p>
      <w:pPr>
        <w:pStyle w:val="Indenta"/>
      </w:pPr>
      <w:r>
        <w:tab/>
        <w:t>(a)</w:t>
      </w:r>
      <w:r>
        <w:tab/>
        <w:t>take steps to obtain a copy of any family order or, if that is not reasonably practicable in the circumstances, information about the terms of any family order; and</w:t>
      </w:r>
    </w:p>
    <w:p>
      <w:pPr>
        <w:pStyle w:val="Indenta"/>
      </w:pPr>
      <w:r>
        <w:tab/>
        <w:t>(b)</w:t>
      </w:r>
      <w:r>
        <w:tab/>
        <w:t>without derogating from section 65, take the terms of any family order, or the terms of a family order that are being sought in a pending application for a family order, into account (to the extent that those terms are known to the court) when making a restraining order (including an order agreed between the parties) under this Act.</w:t>
      </w:r>
    </w:p>
    <w:p>
      <w:pPr>
        <w:pStyle w:val="Subsection"/>
      </w:pPr>
      <w:r>
        <w:tab/>
        <w:t>(3)</w:t>
      </w:r>
      <w:r>
        <w:tab/>
        <w:t xml:space="preserve">A restraining order is not invalid merely because of any failure to comply with this section. </w:t>
      </w:r>
    </w:p>
    <w:p>
      <w:pPr>
        <w:pStyle w:val="Footnotesection"/>
      </w:pPr>
      <w:r>
        <w:tab/>
        <w:t>[Section 66 inserted: No. 30 of 2020 s. 80.]</w:t>
      </w:r>
    </w:p>
    <w:p>
      <w:pPr>
        <w:pStyle w:val="Heading5"/>
        <w:spacing w:before="180"/>
      </w:pPr>
      <w:bookmarkStart w:id="245" w:name="_Toc103865313"/>
      <w:r>
        <w:rPr>
          <w:rStyle w:val="CharSectno"/>
        </w:rPr>
        <w:t>67</w:t>
      </w:r>
      <w:r>
        <w:t>.</w:t>
      </w:r>
      <w:r>
        <w:tab/>
        <w:t>Adjournments</w:t>
      </w:r>
      <w:bookmarkEnd w:id="245"/>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lastRenderedPageBreak/>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No. 38 of 2004 s. 46; amended: No. 59 of 2004 s. 123; No. 20 of 2013 s. 120; No. 49 of 2016 s. 74.]</w:t>
      </w:r>
    </w:p>
    <w:p>
      <w:pPr>
        <w:pStyle w:val="Heading5"/>
        <w:rPr>
          <w:snapToGrid w:val="0"/>
        </w:rPr>
      </w:pPr>
      <w:bookmarkStart w:id="246" w:name="_Toc103865314"/>
      <w:r>
        <w:rPr>
          <w:rStyle w:val="CharSectno"/>
        </w:rPr>
        <w:t>68</w:t>
      </w:r>
      <w:r>
        <w:rPr>
          <w:snapToGrid w:val="0"/>
        </w:rPr>
        <w:t>.</w:t>
      </w:r>
      <w:r>
        <w:rPr>
          <w:snapToGrid w:val="0"/>
        </w:rPr>
        <w:tab/>
        <w:t>Orders may be extended to apply to other people</w:t>
      </w:r>
      <w:bookmarkEnd w:id="246"/>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No. 49 of 2016 s. 75.]</w:t>
      </w:r>
    </w:p>
    <w:p>
      <w:pPr>
        <w:pStyle w:val="Heading5"/>
        <w:rPr>
          <w:snapToGrid w:val="0"/>
        </w:rPr>
      </w:pPr>
      <w:bookmarkStart w:id="247" w:name="_Toc103865315"/>
      <w:r>
        <w:rPr>
          <w:rStyle w:val="CharSectno"/>
        </w:rPr>
        <w:lastRenderedPageBreak/>
        <w:t>69</w:t>
      </w:r>
      <w:r>
        <w:rPr>
          <w:snapToGrid w:val="0"/>
        </w:rPr>
        <w:t>.</w:t>
      </w:r>
      <w:r>
        <w:rPr>
          <w:snapToGrid w:val="0"/>
        </w:rPr>
        <w:tab/>
        <w:t>Costs</w:t>
      </w:r>
      <w:bookmarkEnd w:id="247"/>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keepNext/>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No. 38 of 2004 s. 47.]</w:t>
      </w:r>
    </w:p>
    <w:p>
      <w:pPr>
        <w:pStyle w:val="Heading5"/>
      </w:pPr>
      <w:bookmarkStart w:id="248" w:name="_Toc103865316"/>
      <w:r>
        <w:rPr>
          <w:rStyle w:val="CharSectno"/>
        </w:rPr>
        <w:t>70</w:t>
      </w:r>
      <w:r>
        <w:t>.</w:t>
      </w:r>
      <w:r>
        <w:tab/>
        <w:t>Information on identity of certain person restricted</w:t>
      </w:r>
      <w:bookmarkEnd w:id="248"/>
    </w:p>
    <w:p>
      <w:pPr>
        <w:pStyle w:val="Subsection"/>
      </w:pPr>
      <w:r>
        <w:tab/>
        <w:t>(1)</w:t>
      </w:r>
      <w:r>
        <w:tab/>
        <w:t xml:space="preserve">Subject to subsection (1A), (3) or (3A),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keepNext/>
      </w:pPr>
      <w:r>
        <w:lastRenderedPageBreak/>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keepNext/>
      </w:pPr>
      <w:r>
        <w:lastRenderedPageBreak/>
        <w:tab/>
        <w:t>(3A)</w:t>
      </w:r>
      <w:r>
        <w:tab/>
        <w:t xml:space="preserve">This section does not prevent — </w:t>
      </w:r>
    </w:p>
    <w:p>
      <w:pPr>
        <w:pStyle w:val="Indenta"/>
      </w:pPr>
      <w:r>
        <w:tab/>
        <w:t>(a)</w:t>
      </w:r>
      <w:r>
        <w:tab/>
        <w:t xml:space="preserve">the matter number of any proceedings (whether under this Act or otherwise) being displayed by a court in the precincts of the court; or </w:t>
      </w:r>
    </w:p>
    <w:p>
      <w:pPr>
        <w:pStyle w:val="Indenta"/>
      </w:pPr>
      <w:r>
        <w:tab/>
        <w:t>(b)</w:t>
      </w:r>
      <w:r>
        <w:tab/>
        <w:t>the name of a party to any proceedings (whether under this Act or otherwise), or the name of any other person who is to give evidence in any such proceedings, being revealed by or on behalf of a court in the precincts of the court.</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No. 38 of 2004 s. 48; amended: No. 5 of 2008 s. 105; No. 49 of 2016 s. 76; No. 30 of 2020 s. 81.]</w:t>
      </w:r>
    </w:p>
    <w:p>
      <w:pPr>
        <w:pStyle w:val="Heading5"/>
      </w:pPr>
      <w:bookmarkStart w:id="249" w:name="_Toc103865317"/>
      <w:r>
        <w:rPr>
          <w:rStyle w:val="CharSectno"/>
        </w:rPr>
        <w:t>70A</w:t>
      </w:r>
      <w:r>
        <w:t>.</w:t>
      </w:r>
      <w:r>
        <w:tab/>
        <w:t>Exchange of information</w:t>
      </w:r>
      <w:bookmarkEnd w:id="249"/>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w:t>
      </w:r>
      <w:r>
        <w:rPr>
          <w:snapToGrid w:val="0"/>
        </w:rPr>
        <w:lastRenderedPageBreak/>
        <w:t xml:space="preserve">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No. 38 of 2004 s. 48; amended: No. 65 of 2006 s. 68; No. 49 of 2016 s. 77.]</w:t>
      </w:r>
    </w:p>
    <w:p>
      <w:pPr>
        <w:pStyle w:val="Heading5"/>
        <w:rPr>
          <w:snapToGrid w:val="0"/>
        </w:rPr>
      </w:pPr>
      <w:bookmarkStart w:id="250" w:name="_Toc103865318"/>
      <w:r>
        <w:rPr>
          <w:rStyle w:val="CharSectno"/>
        </w:rPr>
        <w:t>71</w:t>
      </w:r>
      <w:r>
        <w:rPr>
          <w:snapToGrid w:val="0"/>
        </w:rPr>
        <w:t>.</w:t>
      </w:r>
      <w:r>
        <w:rPr>
          <w:snapToGrid w:val="0"/>
        </w:rPr>
        <w:tab/>
        <w:t>Notification when firearms order made</w:t>
      </w:r>
      <w:bookmarkEnd w:id="25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w:t>
      </w:r>
    </w:p>
    <w:p>
      <w:pPr>
        <w:pStyle w:val="Defstart"/>
        <w:keepNex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w:t>
      </w:r>
      <w:r>
        <w:lastRenderedPageBreak/>
        <w:t>the equivalent under a law of another State or Territory) for that firearm,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lastRenderedPageBreak/>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that the order prohibits the restrained person from being in possession of a firearm (or if the court acted under section 14(5), that the restrained person is prohibited from being in possession of a firearm 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 xml:space="preserve">licensee notified under subsection (4) or (5) who allows the restrained person to use or </w:t>
      </w:r>
      <w:r>
        <w:rPr>
          <w:snapToGrid w:val="0"/>
        </w:rPr>
        <w:lastRenderedPageBreak/>
        <w:t>have access to a firearm, except as permitted under the firearms order, commits an offence.</w:t>
      </w:r>
    </w:p>
    <w:p>
      <w:pPr>
        <w:pStyle w:val="Penstart"/>
      </w:pPr>
      <w:r>
        <w:tab/>
        <w:t xml:space="preserve">Penalty for this subsection: </w:t>
      </w:r>
    </w:p>
    <w:p>
      <w:pPr>
        <w:pStyle w:val="Penpara"/>
      </w:pPr>
      <w:r>
        <w:tab/>
        <w:t>(a)</w:t>
      </w:r>
      <w:r>
        <w:tab/>
        <w:t>in the case of a responsible person — a fine of $4 000;</w:t>
      </w:r>
    </w:p>
    <w:p>
      <w:pPr>
        <w:pStyle w:val="Penpara"/>
        <w:rPr>
          <w:snapToGrid w:val="0"/>
        </w:rPr>
      </w:pPr>
      <w:r>
        <w:tab/>
        <w:t>(b)</w:t>
      </w:r>
      <w:r>
        <w:tab/>
        <w:t>in the case of a co</w:t>
      </w:r>
      <w:r>
        <w:noBreakHyphen/>
        <w:t>licensee — a fine of $4 000 or imprisonment for 12 months.</w:t>
      </w:r>
    </w:p>
    <w:p>
      <w:pPr>
        <w:pStyle w:val="Footnotesection"/>
      </w:pPr>
      <w:r>
        <w:tab/>
        <w:t>[Section 71 amended: No. 50 of 2003 s. 90(3); No. 49 of 2016 s. 78.]</w:t>
      </w:r>
    </w:p>
    <w:p>
      <w:pPr>
        <w:pStyle w:val="Heading5"/>
        <w:rPr>
          <w:snapToGrid w:val="0"/>
        </w:rPr>
      </w:pPr>
      <w:bookmarkStart w:id="251" w:name="_Toc103865319"/>
      <w:r>
        <w:rPr>
          <w:rStyle w:val="CharSectno"/>
        </w:rPr>
        <w:t>72</w:t>
      </w:r>
      <w:r>
        <w:rPr>
          <w:snapToGrid w:val="0"/>
        </w:rPr>
        <w:t>.</w:t>
      </w:r>
      <w:r>
        <w:rPr>
          <w:snapToGrid w:val="0"/>
        </w:rPr>
        <w:tab/>
        <w:t>Practice and procedure generally</w:t>
      </w:r>
      <w:bookmarkEnd w:id="251"/>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No. 59 of 2004 s. 124.] </w:t>
      </w:r>
    </w:p>
    <w:p>
      <w:pPr>
        <w:pStyle w:val="Heading5"/>
      </w:pPr>
      <w:bookmarkStart w:id="252" w:name="_Toc103865320"/>
      <w:r>
        <w:rPr>
          <w:rStyle w:val="CharSectno"/>
        </w:rPr>
        <w:t>72A</w:t>
      </w:r>
      <w:r>
        <w:t>.</w:t>
      </w:r>
      <w:r>
        <w:tab/>
        <w:t>Forms</w:t>
      </w:r>
      <w:bookmarkEnd w:id="252"/>
    </w:p>
    <w:p>
      <w:pPr>
        <w:pStyle w:val="Subsection"/>
      </w:pPr>
      <w:r>
        <w:tab/>
      </w:r>
      <w:r>
        <w:tab/>
        <w:t>The prescribed forms for a restraining order and a telephone order must contain a brief summary of the effect of section 44B.</w:t>
      </w:r>
    </w:p>
    <w:p>
      <w:pPr>
        <w:pStyle w:val="Footnotesection"/>
      </w:pPr>
      <w:r>
        <w:tab/>
        <w:t>[Section 72A inserted: No. 49 of 2016 s. 79.]</w:t>
      </w:r>
    </w:p>
    <w:p>
      <w:pPr>
        <w:pStyle w:val="Ednotesection"/>
      </w:pPr>
      <w:r>
        <w:t>[</w:t>
      </w:r>
      <w:r>
        <w:rPr>
          <w:b/>
          <w:bCs/>
        </w:rPr>
        <w:t>72AA.</w:t>
      </w:r>
      <w:r>
        <w:rPr>
          <w:i w:val="0"/>
          <w:iCs/>
          <w:vertAlign w:val="superscript"/>
        </w:rPr>
        <w:t xml:space="preserve"> 1M</w:t>
      </w:r>
      <w:r>
        <w:tab/>
        <w:t>Modifications to be applied in order to give effect to Cross</w:t>
      </w:r>
      <w:r>
        <w:noBreakHyphen/>
        <w:t>border Justice Act 2008: section inserted 1 Nov 2009 and amended 1 Jul 2017. See endnote 1M.]</w:t>
      </w:r>
    </w:p>
    <w:p>
      <w:pPr>
        <w:pStyle w:val="Heading5"/>
        <w:spacing w:before="260"/>
        <w:rPr>
          <w:snapToGrid w:val="0"/>
        </w:rPr>
      </w:pPr>
      <w:bookmarkStart w:id="253" w:name="_Toc103865321"/>
      <w:r>
        <w:rPr>
          <w:rStyle w:val="CharSectno"/>
        </w:rPr>
        <w:lastRenderedPageBreak/>
        <w:t>73</w:t>
      </w:r>
      <w:r>
        <w:rPr>
          <w:snapToGrid w:val="0"/>
        </w:rPr>
        <w:t>.</w:t>
      </w:r>
      <w:r>
        <w:rPr>
          <w:snapToGrid w:val="0"/>
        </w:rPr>
        <w:tab/>
        <w:t>Regulation making power</w:t>
      </w:r>
      <w:bookmarkEnd w:id="253"/>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keepNext/>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 xml:space="preserve">the manner in which firearms and firearms </w:t>
      </w:r>
      <w:r>
        <w:t xml:space="preserve">licenses, and explosives and explosives licences, </w:t>
      </w:r>
      <w:r>
        <w:rPr>
          <w:snapToGrid w:val="0"/>
        </w:rPr>
        <w:t>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facilitating the effective operation of restraining orders which prohibit or restrict a person from being in possession of a </w:t>
      </w:r>
      <w:r>
        <w:t>firearm or any explosives;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p>
    <w:p>
      <w:pPr>
        <w:pStyle w:val="Footnotesection"/>
      </w:pPr>
      <w:r>
        <w:tab/>
        <w:t>[Section 73 amended: No. 38 of 2004 s. 49; No. 49 of 2016 s. 80; No. 30 of 2020 s. 82.]</w:t>
      </w:r>
    </w:p>
    <w:p>
      <w:pPr>
        <w:pStyle w:val="Heading5"/>
      </w:pPr>
      <w:bookmarkStart w:id="254" w:name="_Toc103865322"/>
      <w:r>
        <w:rPr>
          <w:rStyle w:val="CharSectno"/>
        </w:rPr>
        <w:t>73A</w:t>
      </w:r>
      <w:r>
        <w:t>.</w:t>
      </w:r>
      <w:r>
        <w:tab/>
        <w:t>Review of certain amendments relating to FVROs</w:t>
      </w:r>
      <w:bookmarkEnd w:id="254"/>
    </w:p>
    <w:p>
      <w:pPr>
        <w:pStyle w:val="Subsection"/>
        <w:keepNext/>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w:t>
      </w:r>
      <w:r>
        <w:lastRenderedPageBreak/>
        <w:t xml:space="preserve">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No. 49 of 2016 s. 81.]</w:t>
      </w:r>
    </w:p>
    <w:p>
      <w:pPr>
        <w:pStyle w:val="Heading2"/>
      </w:pPr>
      <w:bookmarkStart w:id="255" w:name="_Toc103863176"/>
      <w:bookmarkStart w:id="256" w:name="_Toc103863387"/>
      <w:bookmarkStart w:id="257" w:name="_Toc103865323"/>
      <w:r>
        <w:rPr>
          <w:rStyle w:val="CharPartNo"/>
        </w:rPr>
        <w:lastRenderedPageBreak/>
        <w:t>Part 7</w:t>
      </w:r>
      <w:r>
        <w:rPr>
          <w:rStyle w:val="CharDivNo"/>
        </w:rPr>
        <w:t> </w:t>
      </w:r>
      <w:r>
        <w:t>—</w:t>
      </w:r>
      <w:r>
        <w:rPr>
          <w:rStyle w:val="CharDivText"/>
        </w:rPr>
        <w:t> </w:t>
      </w:r>
      <w:r>
        <w:rPr>
          <w:rStyle w:val="CharPartText"/>
        </w:rPr>
        <w:t>Interstate restraining orders</w:t>
      </w:r>
      <w:bookmarkEnd w:id="255"/>
      <w:bookmarkEnd w:id="256"/>
      <w:bookmarkEnd w:id="257"/>
      <w:r>
        <w:rPr>
          <w:rStyle w:val="CharPartText"/>
        </w:rPr>
        <w:t xml:space="preserve"> </w:t>
      </w:r>
    </w:p>
    <w:p>
      <w:pPr>
        <w:pStyle w:val="Heading5"/>
        <w:rPr>
          <w:snapToGrid w:val="0"/>
        </w:rPr>
      </w:pPr>
      <w:bookmarkStart w:id="258" w:name="_Toc103865324"/>
      <w:r>
        <w:rPr>
          <w:rStyle w:val="CharSectno"/>
        </w:rPr>
        <w:t>74</w:t>
      </w:r>
      <w:r>
        <w:rPr>
          <w:snapToGrid w:val="0"/>
        </w:rPr>
        <w:t>.</w:t>
      </w:r>
      <w:r>
        <w:rPr>
          <w:snapToGrid w:val="0"/>
        </w:rPr>
        <w:tab/>
        <w:t>Terms used</w:t>
      </w:r>
      <w:bookmarkEnd w:id="25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No. 38 of 2004 s. 50; No. 59 of 2004 s. 124.]</w:t>
      </w:r>
    </w:p>
    <w:p>
      <w:pPr>
        <w:pStyle w:val="Heading5"/>
      </w:pPr>
      <w:bookmarkStart w:id="259" w:name="_Toc103865325"/>
      <w:r>
        <w:rPr>
          <w:rStyle w:val="CharSectno"/>
        </w:rPr>
        <w:t>74A</w:t>
      </w:r>
      <w:r>
        <w:t>.</w:t>
      </w:r>
      <w:r>
        <w:tab/>
        <w:t xml:space="preserve">Interstate DVOs under </w:t>
      </w:r>
      <w:r>
        <w:rPr>
          <w:i/>
        </w:rPr>
        <w:t xml:space="preserve">Domestic Violence Orders (National Recognition) Act 2017 </w:t>
      </w:r>
      <w:r>
        <w:t>cannot be registered</w:t>
      </w:r>
      <w:bookmarkEnd w:id="259"/>
    </w:p>
    <w:p>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Footnotesection"/>
        <w:ind w:left="890" w:hanging="890"/>
      </w:pPr>
      <w:r>
        <w:tab/>
        <w:t>[Section 74A inserted: No. 10 of 2017 s. 47.]</w:t>
      </w:r>
    </w:p>
    <w:p>
      <w:pPr>
        <w:pStyle w:val="Heading5"/>
      </w:pPr>
      <w:bookmarkStart w:id="260" w:name="_Toc103865326"/>
      <w:r>
        <w:rPr>
          <w:rStyle w:val="CharSectno"/>
        </w:rPr>
        <w:t>74B</w:t>
      </w:r>
      <w:r>
        <w:t>.</w:t>
      </w:r>
      <w:r>
        <w:tab/>
        <w:t xml:space="preserve">Interstate orders registered before commencement of </w:t>
      </w:r>
      <w:r>
        <w:rPr>
          <w:i/>
        </w:rPr>
        <w:t>Domestic Violence Orders (National Recognition) Act 2017</w:t>
      </w:r>
      <w:bookmarkEnd w:id="260"/>
    </w:p>
    <w:p>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Subsection"/>
      </w:pPr>
      <w:r>
        <w:lastRenderedPageBreak/>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Subsection"/>
      </w:pPr>
      <w:r>
        <w:tab/>
        <w:t>(3)</w:t>
      </w:r>
      <w:r>
        <w:tab/>
        <w:t xml:space="preserve">The order is not a local DVO for the purposes of the </w:t>
      </w:r>
      <w:r>
        <w:rPr>
          <w:i/>
        </w:rPr>
        <w:t>Domestic Violence Orders (National Recognition) Act 2017</w:t>
      </w:r>
      <w:r>
        <w:t>.</w:t>
      </w:r>
    </w:p>
    <w:p>
      <w:pPr>
        <w:pStyle w:val="Subsection"/>
      </w:pPr>
      <w:r>
        <w:tab/>
        <w:t>(4)</w:t>
      </w:r>
      <w:r>
        <w:tab/>
        <w:t xml:space="preserve">If, under the </w:t>
      </w:r>
      <w:r>
        <w:rPr>
          <w:i/>
        </w:rPr>
        <w:t>Domestic Violence Orders (National Recognition) Act 2017</w:t>
      </w:r>
      <w:r>
        <w:t xml:space="preserve">, the order becomes a recognised DVO in Western Australia — </w:t>
      </w:r>
    </w:p>
    <w:p>
      <w:pPr>
        <w:pStyle w:val="Indenta"/>
      </w:pPr>
      <w:r>
        <w:tab/>
        <w:t>(a)</w:t>
      </w:r>
      <w:r>
        <w:tab/>
        <w:t>the order ceases to be registered under this Part; and</w:t>
      </w:r>
    </w:p>
    <w:p>
      <w:pPr>
        <w:pStyle w:val="Indenta"/>
      </w:pPr>
      <w:r>
        <w:tab/>
        <w:t>(b)</w:t>
      </w:r>
      <w:r>
        <w:tab/>
        <w:t>that Act applies to the order in the same way as it applies to another recognised DVO that, under that Act, is a non</w:t>
      </w:r>
      <w:r>
        <w:noBreakHyphen/>
        <w:t>local DVO.</w:t>
      </w:r>
    </w:p>
    <w:p>
      <w:pPr>
        <w:pStyle w:val="Footnotesection"/>
        <w:ind w:left="890" w:hanging="890"/>
      </w:pPr>
      <w:r>
        <w:tab/>
        <w:t>[Section 74B inserted: No. 10 of 2017 s. 47.]</w:t>
      </w:r>
    </w:p>
    <w:p>
      <w:pPr>
        <w:pStyle w:val="Heading5"/>
        <w:rPr>
          <w:snapToGrid w:val="0"/>
        </w:rPr>
      </w:pPr>
      <w:bookmarkStart w:id="261" w:name="_Toc103865327"/>
      <w:r>
        <w:rPr>
          <w:rStyle w:val="CharSectno"/>
        </w:rPr>
        <w:t>75</w:t>
      </w:r>
      <w:r>
        <w:rPr>
          <w:snapToGrid w:val="0"/>
        </w:rPr>
        <w:t>.</w:t>
      </w:r>
      <w:r>
        <w:rPr>
          <w:snapToGrid w:val="0"/>
        </w:rPr>
        <w:tab/>
        <w:t>Application for registration of interstate order</w:t>
      </w:r>
      <w:bookmarkEnd w:id="261"/>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lastRenderedPageBreak/>
        <w:tab/>
        <w:t>(2)</w:t>
      </w:r>
      <w:r>
        <w:rPr>
          <w:snapToGrid w:val="0"/>
        </w:rPr>
        <w:tab/>
        <w:t xml:space="preserve">An application for registration is to be made in the prescribed </w:t>
      </w:r>
      <w:r>
        <w:t>form</w:t>
      </w:r>
      <w:r>
        <w:rPr>
          <w:snapToGrid w:val="0"/>
        </w:rPr>
        <w:t xml:space="preserve"> to </w:t>
      </w:r>
      <w:r>
        <w:t>a registrar of the Magistrates Court</w:t>
      </w:r>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262" w:name="_Toc103865328"/>
      <w:r>
        <w:rPr>
          <w:rStyle w:val="CharSectno"/>
        </w:rPr>
        <w:t>76</w:t>
      </w:r>
      <w:r>
        <w:rPr>
          <w:snapToGrid w:val="0"/>
        </w:rPr>
        <w:t>.</w:t>
      </w:r>
      <w:r>
        <w:rPr>
          <w:snapToGrid w:val="0"/>
        </w:rPr>
        <w:tab/>
        <w:t>Registration</w:t>
      </w:r>
      <w:bookmarkEnd w:id="262"/>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263" w:name="_Toc103865329"/>
      <w:r>
        <w:rPr>
          <w:rStyle w:val="CharSectno"/>
        </w:rPr>
        <w:lastRenderedPageBreak/>
        <w:t>77</w:t>
      </w:r>
      <w:r>
        <w:rPr>
          <w:snapToGrid w:val="0"/>
        </w:rPr>
        <w:t>.</w:t>
      </w:r>
      <w:r>
        <w:rPr>
          <w:snapToGrid w:val="0"/>
        </w:rPr>
        <w:tab/>
        <w:t>Effect of registration</w:t>
      </w:r>
      <w:bookmarkEnd w:id="263"/>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No. 11 of 1999 s. 5; No. 49 of 2016 s. 83.]</w:t>
      </w:r>
    </w:p>
    <w:p>
      <w:pPr>
        <w:pStyle w:val="Heading5"/>
        <w:rPr>
          <w:snapToGrid w:val="0"/>
        </w:rPr>
      </w:pPr>
      <w:bookmarkStart w:id="264" w:name="_Toc103865330"/>
      <w:r>
        <w:rPr>
          <w:rStyle w:val="CharSectno"/>
        </w:rPr>
        <w:t>78</w:t>
      </w:r>
      <w:r>
        <w:rPr>
          <w:snapToGrid w:val="0"/>
        </w:rPr>
        <w:t>.</w:t>
      </w:r>
      <w:r>
        <w:rPr>
          <w:snapToGrid w:val="0"/>
        </w:rPr>
        <w:tab/>
        <w:t>Variation or cancellation in another State or Territory</w:t>
      </w:r>
      <w:bookmarkEnd w:id="26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lastRenderedPageBreak/>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No. 59 of 2004 s. 123.] </w:t>
      </w:r>
    </w:p>
    <w:p>
      <w:pPr>
        <w:pStyle w:val="Footnotesection"/>
      </w:pPr>
      <w:r>
        <w:tab/>
        <w:t>[Section 78. Modifications to be applied in order to give effect to Cross-border Justice Act 2008: section altered 1 Nov 2009. See endnote 1M.]</w:t>
      </w:r>
    </w:p>
    <w:p>
      <w:pPr>
        <w:pStyle w:val="Heading5"/>
      </w:pPr>
      <w:bookmarkStart w:id="265" w:name="_Toc103865331"/>
      <w:r>
        <w:rPr>
          <w:rStyle w:val="CharSectno"/>
        </w:rPr>
        <w:t>79</w:t>
      </w:r>
      <w:r>
        <w:t>.</w:t>
      </w:r>
      <w:r>
        <w:tab/>
        <w:t>Variation or cancellation in this State</w:t>
      </w:r>
      <w:bookmarkEnd w:id="265"/>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lastRenderedPageBreak/>
        <w:tab/>
        <w:t>(c)</w:t>
      </w:r>
      <w:r>
        <w:tab/>
        <w:t>alter the registration accordingly.</w:t>
      </w:r>
    </w:p>
    <w:p>
      <w:pPr>
        <w:pStyle w:val="Footnotesection"/>
      </w:pPr>
      <w:r>
        <w:tab/>
        <w:t>[Section 79 inserted: No. 11 of 1999 s. 6; amended: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266" w:name="_Toc103863185"/>
      <w:bookmarkStart w:id="267" w:name="_Toc103863396"/>
      <w:bookmarkStart w:id="268" w:name="_Toc103865332"/>
      <w:r>
        <w:rPr>
          <w:rStyle w:val="CharPartNo"/>
        </w:rPr>
        <w:lastRenderedPageBreak/>
        <w:t>Part 7A</w:t>
      </w:r>
      <w:r>
        <w:rPr>
          <w:rStyle w:val="CharDivNo"/>
        </w:rPr>
        <w:t xml:space="preserve"> </w:t>
      </w:r>
      <w:r>
        <w:t>—</w:t>
      </w:r>
      <w:r>
        <w:rPr>
          <w:rStyle w:val="CharDivText"/>
        </w:rPr>
        <w:t xml:space="preserve"> </w:t>
      </w:r>
      <w:r>
        <w:rPr>
          <w:rStyle w:val="CharPartText"/>
        </w:rPr>
        <w:t>Foreign restraining orders</w:t>
      </w:r>
      <w:bookmarkEnd w:id="266"/>
      <w:bookmarkEnd w:id="267"/>
      <w:bookmarkEnd w:id="268"/>
    </w:p>
    <w:p>
      <w:pPr>
        <w:pStyle w:val="Footnoteheading"/>
      </w:pPr>
      <w:r>
        <w:tab/>
        <w:t>[Heading inserted: No. 11 of 1999 s. 7.]</w:t>
      </w:r>
    </w:p>
    <w:p>
      <w:pPr>
        <w:pStyle w:val="Heading5"/>
        <w:spacing w:before="120"/>
      </w:pPr>
      <w:bookmarkStart w:id="269" w:name="_Toc103865333"/>
      <w:r>
        <w:rPr>
          <w:rStyle w:val="CharSectno"/>
        </w:rPr>
        <w:t>79A</w:t>
      </w:r>
      <w:r>
        <w:t>.</w:t>
      </w:r>
      <w:r>
        <w:tab/>
        <w:t>Recognition of foreign restraining orders</w:t>
      </w:r>
      <w:bookmarkEnd w:id="269"/>
    </w:p>
    <w:p>
      <w:pPr>
        <w:pStyle w:val="Subsection"/>
      </w:pPr>
      <w:r>
        <w:tab/>
      </w:r>
      <w:r>
        <w:tab/>
        <w:t>A foreign restraining order that is in force under a corresponding law of New Zealand or a country prescribed in the regulations may be registered and enforced under this Part.</w:t>
      </w:r>
    </w:p>
    <w:p>
      <w:pPr>
        <w:pStyle w:val="Footnotesection"/>
      </w:pPr>
      <w:r>
        <w:tab/>
        <w:t>[Section 79A inserted: No. 11 of 1999 s. 7; amended: No. 49 of 2016 s. 84.]</w:t>
      </w:r>
    </w:p>
    <w:p>
      <w:pPr>
        <w:pStyle w:val="Heading5"/>
        <w:spacing w:before="120"/>
      </w:pPr>
      <w:bookmarkStart w:id="270" w:name="_Toc103865334"/>
      <w:r>
        <w:rPr>
          <w:rStyle w:val="CharSectno"/>
        </w:rPr>
        <w:t>79B</w:t>
      </w:r>
      <w:r>
        <w:t>.</w:t>
      </w:r>
      <w:r>
        <w:tab/>
        <w:t>Applying for registration of foreign restraining orders</w:t>
      </w:r>
      <w:bookmarkEnd w:id="270"/>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prescribed form referred to in section 75(2).</w:t>
      </w:r>
    </w:p>
    <w:p>
      <w:pPr>
        <w:pStyle w:val="Subsection"/>
      </w:pPr>
      <w:r>
        <w:tab/>
        <w:t>(3)</w:t>
      </w:r>
      <w:r>
        <w:tab/>
        <w:t>An application need not be served on the person who is bound by the order.</w:t>
      </w:r>
    </w:p>
    <w:p>
      <w:pPr>
        <w:pStyle w:val="Footnotesection"/>
      </w:pPr>
      <w:r>
        <w:tab/>
        <w:t>[Section 79B inserted: No. 11 of 1999 s. 7; amended: No. 22 of 2000 s. 16; No. 38 of 2004 s. 52; No. 59 of 2004 s. 124; No. 49 of 2016 s. 85.]</w:t>
      </w:r>
    </w:p>
    <w:p>
      <w:pPr>
        <w:pStyle w:val="Heading5"/>
      </w:pPr>
      <w:bookmarkStart w:id="271" w:name="_Toc103865335"/>
      <w:r>
        <w:rPr>
          <w:rStyle w:val="CharSectno"/>
        </w:rPr>
        <w:lastRenderedPageBreak/>
        <w:t>79C</w:t>
      </w:r>
      <w:r>
        <w:t>.</w:t>
      </w:r>
      <w:r>
        <w:tab/>
        <w:t>Registration of foreign restraining orders</w:t>
      </w:r>
      <w:bookmarkEnd w:id="271"/>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No. 11 of 1999 s. 7; amended: No. 59 of 2004 s. 123.]</w:t>
      </w:r>
    </w:p>
    <w:p>
      <w:pPr>
        <w:pStyle w:val="Heading5"/>
      </w:pPr>
      <w:bookmarkStart w:id="272" w:name="_Toc103865336"/>
      <w:r>
        <w:rPr>
          <w:rStyle w:val="CharSectno"/>
        </w:rPr>
        <w:t>79D</w:t>
      </w:r>
      <w:r>
        <w:t>.</w:t>
      </w:r>
      <w:r>
        <w:tab/>
        <w:t>Effect of registration</w:t>
      </w:r>
      <w:bookmarkEnd w:id="272"/>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lastRenderedPageBreak/>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No. 11 of 1999 s. 7; amended: No. 49 of 2016 s. 86.]</w:t>
      </w:r>
    </w:p>
    <w:p>
      <w:pPr>
        <w:pStyle w:val="Heading5"/>
      </w:pPr>
      <w:bookmarkStart w:id="273" w:name="_Toc103865337"/>
      <w:r>
        <w:rPr>
          <w:rStyle w:val="CharSectno"/>
        </w:rPr>
        <w:t>79E</w:t>
      </w:r>
      <w:r>
        <w:t>.</w:t>
      </w:r>
      <w:r>
        <w:tab/>
        <w:t>Variation or cancellation in foreign country</w:t>
      </w:r>
      <w:bookmarkEnd w:id="273"/>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lastRenderedPageBreak/>
        <w:tab/>
        <w:t>(b)</w:t>
      </w:r>
      <w:r>
        <w:tab/>
        <w:t>notify the Commissioner of Police and give the Commissioner a copy of the order of variation or cancellation if one is available.</w:t>
      </w:r>
    </w:p>
    <w:p>
      <w:pPr>
        <w:pStyle w:val="Footnotesection"/>
      </w:pPr>
      <w:r>
        <w:tab/>
        <w:t>[Section 79E inserted: No. 11 of 1999 s. 7; amended: No. 59 of 2004 s. 123.]</w:t>
      </w:r>
    </w:p>
    <w:p>
      <w:pPr>
        <w:pStyle w:val="Heading5"/>
      </w:pPr>
      <w:bookmarkStart w:id="274" w:name="_Toc103865338"/>
      <w:r>
        <w:rPr>
          <w:rStyle w:val="CharSectno"/>
        </w:rPr>
        <w:t>79F</w:t>
      </w:r>
      <w:r>
        <w:t>.</w:t>
      </w:r>
      <w:r>
        <w:tab/>
        <w:t>Variation or cancellation in this State</w:t>
      </w:r>
      <w:bookmarkEnd w:id="274"/>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No. 11 of 1999 s. 7; amended: No. 59 of 2004 s. 123.]</w:t>
      </w:r>
    </w:p>
    <w:p>
      <w:pPr>
        <w:pStyle w:val="Ednotepart"/>
      </w:pPr>
      <w:r>
        <w:t>[Part 8 (s. 80</w:t>
      </w:r>
      <w:r>
        <w:noBreakHyphen/>
        <w:t>84) deleted: No. 38 of 2004 s. 53.]</w:t>
      </w:r>
    </w:p>
    <w:p>
      <w:pPr>
        <w:pStyle w:val="Ednotepart"/>
      </w:pPr>
      <w:r>
        <w:t>[Part 9 (s. 85</w:t>
      </w:r>
      <w:r>
        <w:noBreakHyphen/>
        <w:t>90) omitted under Reprints Act 1984 s. 7(4)(e)</w:t>
      </w:r>
      <w:r>
        <w:rPr>
          <w:i w:val="0"/>
          <w:vertAlign w:val="superscript"/>
        </w:rPr>
        <w:t> 1</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75" w:name="_Toc103863192"/>
      <w:bookmarkStart w:id="276" w:name="_Toc103863403"/>
      <w:bookmarkStart w:id="277" w:name="_Toc103865339"/>
      <w:r>
        <w:lastRenderedPageBreak/>
        <w:t>Notes</w:t>
      </w:r>
      <w:bookmarkEnd w:id="275"/>
      <w:bookmarkEnd w:id="276"/>
      <w:bookmarkEnd w:id="277"/>
    </w:p>
    <w:p>
      <w:pPr>
        <w:pStyle w:val="nStatement"/>
      </w:pPr>
      <w:r>
        <w:t xml:space="preserve">This is a compilation of the </w:t>
      </w:r>
      <w:r>
        <w:rPr>
          <w:i/>
          <w:noProof/>
        </w:rPr>
        <w:t>Restraining Orders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78" w:name="_Toc103865340"/>
      <w:r>
        <w:t>Compilation table</w:t>
      </w:r>
      <w:bookmarkEnd w:id="278"/>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spacing w:before="60" w:after="60"/>
              <w:ind w:right="113"/>
              <w:rPr>
                <w:i/>
              </w:rPr>
            </w:pPr>
            <w:r>
              <w:rPr>
                <w:i/>
                <w:snapToGrid w:val="0"/>
              </w:rPr>
              <w:lastRenderedPageBreak/>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w:t>
            </w:r>
            <w:r>
              <w:rPr>
                <w:snapToGrid w:val="0"/>
                <w:vertAlign w:val="superscript"/>
              </w:rPr>
              <w:t> 2</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shd w:val="clear" w:color="auto" w:fill="auto"/>
          </w:tcPr>
          <w:p>
            <w:pPr>
              <w:pStyle w:val="nTable"/>
              <w:spacing w:before="60" w:after="60"/>
              <w:ind w:right="113"/>
              <w:rPr>
                <w:i/>
                <w:snapToGrid w:val="0"/>
              </w:rPr>
            </w:pPr>
            <w:r>
              <w:rPr>
                <w:i/>
              </w:rPr>
              <w:lastRenderedPageBreak/>
              <w:t>Restraining Orders and Related Legislation Amendment (Family Violence) Act 2016</w:t>
            </w:r>
            <w:r>
              <w:t xml:space="preserve"> Pt. 2 (s. 3-86)</w:t>
            </w:r>
          </w:p>
        </w:tc>
        <w:tc>
          <w:tcPr>
            <w:tcW w:w="1134" w:type="dxa"/>
            <w:shd w:val="clear" w:color="auto" w:fill="auto"/>
          </w:tcPr>
          <w:p>
            <w:pPr>
              <w:pStyle w:val="nTable"/>
              <w:spacing w:before="60" w:after="60"/>
            </w:pPr>
            <w:r>
              <w:t>49 of 2016</w:t>
            </w:r>
          </w:p>
        </w:tc>
        <w:tc>
          <w:tcPr>
            <w:tcW w:w="1134" w:type="dxa"/>
            <w:shd w:val="clear" w:color="auto" w:fill="auto"/>
          </w:tcPr>
          <w:p>
            <w:pPr>
              <w:pStyle w:val="nTable"/>
              <w:spacing w:before="60" w:after="60"/>
            </w:pPr>
            <w:r>
              <w:t>29 Nov 2016</w:t>
            </w:r>
          </w:p>
        </w:tc>
        <w:tc>
          <w:tcPr>
            <w:tcW w:w="2552" w:type="dxa"/>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r>
        <w:trPr>
          <w:cantSplit/>
        </w:trPr>
        <w:tc>
          <w:tcPr>
            <w:tcW w:w="2268" w:type="dxa"/>
            <w:shd w:val="clear" w:color="auto" w:fill="auto"/>
          </w:tcPr>
          <w:p>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pPr>
              <w:pStyle w:val="nTable"/>
              <w:spacing w:before="60" w:after="60"/>
            </w:pPr>
            <w:r>
              <w:t>10 of 2017</w:t>
            </w:r>
          </w:p>
        </w:tc>
        <w:tc>
          <w:tcPr>
            <w:tcW w:w="1134" w:type="dxa"/>
            <w:shd w:val="clear" w:color="auto" w:fill="auto"/>
          </w:tcPr>
          <w:p>
            <w:pPr>
              <w:pStyle w:val="nTable"/>
              <w:spacing w:before="60" w:after="60"/>
            </w:pPr>
            <w:r>
              <w:t>8 Nov 2017</w:t>
            </w:r>
          </w:p>
        </w:tc>
        <w:tc>
          <w:tcPr>
            <w:tcW w:w="2552" w:type="dxa"/>
            <w:shd w:val="clear" w:color="auto" w:fill="auto"/>
          </w:tcPr>
          <w:p>
            <w:pPr>
              <w:pStyle w:val="nTable"/>
              <w:spacing w:before="60" w:after="60"/>
            </w:pPr>
            <w:r>
              <w:rPr>
                <w:snapToGrid w:val="0"/>
              </w:rPr>
              <w:t xml:space="preserve">25 Nov 2017 (see s. 2(b) and </w:t>
            </w:r>
            <w:r>
              <w:rPr>
                <w:i/>
                <w:snapToGrid w:val="0"/>
              </w:rPr>
              <w:t>Gazette</w:t>
            </w:r>
            <w:r>
              <w:rPr>
                <w:snapToGrid w:val="0"/>
              </w:rPr>
              <w:t xml:space="preserve"> 24 Nov 2017 p. 5671)</w:t>
            </w:r>
          </w:p>
        </w:tc>
      </w:tr>
      <w:tr>
        <w:trPr>
          <w:cantSplit/>
        </w:trPr>
        <w:tc>
          <w:tcPr>
            <w:tcW w:w="7088" w:type="dxa"/>
            <w:gridSpan w:val="4"/>
            <w:shd w:val="clear" w:color="auto" w:fill="auto"/>
          </w:tcPr>
          <w:p>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3</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right w:val="nil"/>
            </w:tcBorders>
            <w:shd w:val="clear" w:color="auto" w:fill="auto"/>
          </w:tcPr>
          <w:p>
            <w:pPr>
              <w:pStyle w:val="nTable"/>
              <w:spacing w:after="40"/>
              <w:rPr>
                <w:snapToGrid w:val="0"/>
              </w:rPr>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pPr>
            <w:r>
              <w:rPr>
                <w:i/>
              </w:rPr>
              <w:t>Family Violence Legislation Reform (COVID-19 Response) Act 2020</w:t>
            </w:r>
            <w:r>
              <w:t xml:space="preserve"> Pt. 5</w:t>
            </w:r>
          </w:p>
        </w:tc>
        <w:tc>
          <w:tcPr>
            <w:tcW w:w="1134" w:type="dxa"/>
            <w:tcBorders>
              <w:top w:val="nil"/>
              <w:bottom w:val="nil"/>
            </w:tcBorders>
            <w:shd w:val="clear" w:color="auto" w:fill="auto"/>
          </w:tcPr>
          <w:p>
            <w:pPr>
              <w:pStyle w:val="nTable"/>
              <w:spacing w:after="40"/>
            </w:pPr>
            <w:r>
              <w:t>13 of 2020</w:t>
            </w:r>
          </w:p>
        </w:tc>
        <w:tc>
          <w:tcPr>
            <w:tcW w:w="1134" w:type="dxa"/>
            <w:tcBorders>
              <w:top w:val="nil"/>
              <w:bottom w:val="nil"/>
            </w:tcBorders>
            <w:shd w:val="clear" w:color="auto" w:fill="auto"/>
          </w:tcPr>
          <w:p>
            <w:pPr>
              <w:pStyle w:val="nTable"/>
              <w:spacing w:after="40"/>
            </w:pPr>
            <w:r>
              <w:t>6 Apr 2020</w:t>
            </w:r>
          </w:p>
        </w:tc>
        <w:tc>
          <w:tcPr>
            <w:tcW w:w="2552" w:type="dxa"/>
            <w:tcBorders>
              <w:top w:val="nil"/>
              <w:bottom w:val="nil"/>
              <w:right w:val="nil"/>
            </w:tcBorders>
            <w:shd w:val="clear" w:color="auto" w:fill="auto"/>
          </w:tcPr>
          <w:p>
            <w:pPr>
              <w:pStyle w:val="nTable"/>
              <w:spacing w:after="40"/>
            </w:pPr>
            <w:r>
              <w:t>7 Apr 2020 (see s. 2(b))</w:t>
            </w:r>
          </w:p>
        </w:tc>
      </w:tr>
      <w:tr>
        <w:tblPrEx>
          <w:tblBorders>
            <w:top w:val="single" w:sz="4" w:space="0" w:color="auto"/>
            <w:bottom w:val="single" w:sz="4" w:space="0" w:color="auto"/>
            <w:insideH w:val="single" w:sz="4" w:space="0" w:color="auto"/>
          </w:tblBorders>
        </w:tblPrEx>
        <w:tc>
          <w:tcPr>
            <w:tcW w:w="2268" w:type="dxa"/>
            <w:tcBorders>
              <w:top w:val="nil"/>
              <w:left w:val="nil"/>
              <w:bottom w:val="single" w:sz="4" w:space="0" w:color="auto"/>
            </w:tcBorders>
            <w:shd w:val="clear" w:color="auto" w:fill="auto"/>
          </w:tcPr>
          <w:p>
            <w:pPr>
              <w:pStyle w:val="nTable"/>
              <w:spacing w:after="40"/>
              <w:rPr>
                <w:i/>
              </w:rPr>
            </w:pPr>
            <w:r>
              <w:rPr>
                <w:i/>
              </w:rPr>
              <w:t>Family Violence Legislation Reform Act 2020</w:t>
            </w:r>
            <w:r>
              <w:t xml:space="preserve"> Pt. 6</w:t>
            </w:r>
          </w:p>
        </w:tc>
        <w:tc>
          <w:tcPr>
            <w:tcW w:w="1134" w:type="dxa"/>
            <w:tcBorders>
              <w:top w:val="nil"/>
              <w:bottom w:val="single" w:sz="4" w:space="0" w:color="auto"/>
            </w:tcBorders>
            <w:shd w:val="clear" w:color="auto" w:fill="auto"/>
          </w:tcPr>
          <w:p>
            <w:pPr>
              <w:pStyle w:val="nTable"/>
              <w:spacing w:after="40"/>
            </w:pPr>
            <w:r>
              <w:t>30 of 2020</w:t>
            </w:r>
          </w:p>
        </w:tc>
        <w:tc>
          <w:tcPr>
            <w:tcW w:w="1134" w:type="dxa"/>
            <w:tcBorders>
              <w:top w:val="nil"/>
              <w:bottom w:val="single" w:sz="4" w:space="0" w:color="auto"/>
            </w:tcBorders>
            <w:shd w:val="clear" w:color="auto" w:fill="auto"/>
          </w:tcPr>
          <w:p>
            <w:pPr>
              <w:pStyle w:val="nTable"/>
              <w:spacing w:after="40"/>
            </w:pPr>
            <w:r>
              <w:t>9 Jul 2020</w:t>
            </w:r>
          </w:p>
        </w:tc>
        <w:tc>
          <w:tcPr>
            <w:tcW w:w="2552" w:type="dxa"/>
            <w:tcBorders>
              <w:top w:val="nil"/>
              <w:bottom w:val="single" w:sz="4" w:space="0" w:color="auto"/>
              <w:right w:val="nil"/>
            </w:tcBorders>
            <w:shd w:val="clear" w:color="auto" w:fill="auto"/>
          </w:tcPr>
          <w:p>
            <w:pPr>
              <w:pStyle w:val="nTable"/>
              <w:spacing w:after="40"/>
            </w:pPr>
            <w:r>
              <w:t>Pt. 6 (other than s. 52, 55, 56, 58, 59, 63, 64, 72, 76, 77 and 82): 6 Aug 2020 (see s. 2(1)(c) and SL 2020/125 cl. 2(a)(iv));</w:t>
            </w:r>
            <w:r>
              <w:br/>
            </w:r>
            <w:r>
              <w:rPr>
                <w:snapToGrid w:val="0"/>
              </w:rPr>
              <w:t>s. 77: 1 Oct 2020 (see s. 2(1)(c) and SL 2020/125 cl. 2(b)(i));</w:t>
            </w:r>
            <w:r>
              <w:rPr>
                <w:snapToGrid w:val="0"/>
              </w:rPr>
              <w:br/>
            </w:r>
            <w:r>
              <w:t>s. 52, 55, 56, 58, 59, 63, 64, 72, 76 and 82: 1 Jan 2021 (see s. 2(1)(c) and SL 2020/125 cl. 2(c)(iii))</w:t>
            </w:r>
          </w:p>
        </w:tc>
      </w:tr>
    </w:tbl>
    <w:p>
      <w:pPr>
        <w:pStyle w:val="nHeading3"/>
      </w:pPr>
      <w:bookmarkStart w:id="279" w:name="_Toc103865341"/>
      <w:r>
        <w:lastRenderedPageBreak/>
        <w:t>Uncommenced provisions table</w:t>
      </w:r>
      <w:bookmarkEnd w:id="279"/>
    </w:p>
    <w:p>
      <w:pPr>
        <w:pStyle w:val="nStatement"/>
        <w:keepNext/>
        <w:spacing w:after="240"/>
      </w:pPr>
      <w:r>
        <w:t xml:space="preserve">To view the text of the uncommenced provisions see </w:t>
      </w:r>
      <w:r>
        <w:rPr>
          <w:i/>
        </w:rPr>
        <w:t>Acts as passed</w:t>
      </w:r>
      <w:r>
        <w:t xml:space="preserve"> on the WA Legislation website.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4"/>
        <w:gridCol w:w="1109"/>
        <w:gridCol w:w="1230"/>
        <w:gridCol w:w="2534"/>
      </w:tblGrid>
      <w:tr>
        <w:trPr>
          <w:cantSplit/>
          <w:tblHeader/>
        </w:trPr>
        <w:tc>
          <w:tcPr>
            <w:tcW w:w="2224" w:type="dxa"/>
            <w:tcBorders>
              <w:top w:val="single" w:sz="4" w:space="0" w:color="auto"/>
              <w:bottom w:val="single" w:sz="4" w:space="0" w:color="auto"/>
            </w:tcBorders>
          </w:tcPr>
          <w:p>
            <w:pPr>
              <w:pStyle w:val="nStatement"/>
              <w:keepNext/>
              <w:spacing w:after="240"/>
            </w:pPr>
            <w:r>
              <w:rPr>
                <w:b/>
              </w:rPr>
              <w:t>Short</w:t>
            </w:r>
            <w:r>
              <w:rPr>
                <w:b/>
                <w:snapToGrid w:val="0"/>
              </w:rPr>
              <w:t xml:space="preserve"> title</w:t>
            </w:r>
          </w:p>
        </w:tc>
        <w:tc>
          <w:tcPr>
            <w:tcW w:w="1109" w:type="dxa"/>
            <w:tcBorders>
              <w:top w:val="single" w:sz="4" w:space="0" w:color="auto"/>
              <w:bottom w:val="single" w:sz="4" w:space="0" w:color="auto"/>
            </w:tcBorders>
          </w:tcPr>
          <w:p>
            <w:pPr>
              <w:pStyle w:val="nStatement"/>
              <w:keepNext/>
              <w:spacing w:after="240"/>
            </w:pPr>
            <w:r>
              <w:rPr>
                <w:b/>
                <w:snapToGrid w:val="0"/>
              </w:rPr>
              <w:t>Number and year</w:t>
            </w:r>
          </w:p>
        </w:tc>
        <w:tc>
          <w:tcPr>
            <w:tcW w:w="1230" w:type="dxa"/>
            <w:tcBorders>
              <w:top w:val="single" w:sz="4" w:space="0" w:color="auto"/>
              <w:bottom w:val="single" w:sz="4" w:space="0" w:color="auto"/>
            </w:tcBorders>
          </w:tcPr>
          <w:p>
            <w:pPr>
              <w:pStyle w:val="nStatement"/>
              <w:keepNext/>
              <w:spacing w:after="240"/>
            </w:pPr>
            <w:r>
              <w:rPr>
                <w:b/>
                <w:snapToGrid w:val="0"/>
              </w:rPr>
              <w:t>Assent</w:t>
            </w:r>
          </w:p>
        </w:tc>
        <w:tc>
          <w:tcPr>
            <w:tcW w:w="2534" w:type="dxa"/>
            <w:tcBorders>
              <w:top w:val="single" w:sz="4" w:space="0" w:color="auto"/>
              <w:bottom w:val="single" w:sz="4" w:space="0" w:color="auto"/>
            </w:tcBorders>
          </w:tcPr>
          <w:p>
            <w:pPr>
              <w:pStyle w:val="nStatement"/>
              <w:keepNext/>
              <w:spacing w:after="240"/>
            </w:pPr>
            <w:r>
              <w:rPr>
                <w:b/>
                <w:snapToGrid w:val="0"/>
              </w:rPr>
              <w:t>Commencement</w:t>
            </w:r>
          </w:p>
        </w:tc>
      </w:tr>
      <w:tr>
        <w:trPr>
          <w:cantSplit/>
        </w:trPr>
        <w:tc>
          <w:tcPr>
            <w:tcW w:w="2224" w:type="dxa"/>
            <w:tcBorders>
              <w:top w:val="single" w:sz="4" w:space="0" w:color="auto"/>
              <w:bottom w:val="nil"/>
            </w:tcBorders>
          </w:tcPr>
          <w:p>
            <w:pPr>
              <w:pStyle w:val="nTable"/>
              <w:spacing w:after="40"/>
            </w:pPr>
            <w:r>
              <w:rPr>
                <w:i/>
              </w:rPr>
              <w:t>Courts and Tribunals (Electronic Processes Facilitation) Act 2013</w:t>
            </w:r>
            <w:r>
              <w:t xml:space="preserve"> s. 108, 110</w:t>
            </w:r>
            <w:r>
              <w:noBreakHyphen/>
              <w:t>112, 114</w:t>
            </w:r>
            <w:r>
              <w:noBreakHyphen/>
              <w:t>117, 119 and 121</w:t>
            </w:r>
          </w:p>
        </w:tc>
        <w:tc>
          <w:tcPr>
            <w:tcW w:w="1109" w:type="dxa"/>
            <w:tcBorders>
              <w:top w:val="single" w:sz="4" w:space="0" w:color="auto"/>
              <w:bottom w:val="nil"/>
            </w:tcBorders>
          </w:tcPr>
          <w:p>
            <w:pPr>
              <w:pStyle w:val="nTable"/>
              <w:spacing w:after="40"/>
            </w:pPr>
            <w:r>
              <w:t>20 of 2013</w:t>
            </w:r>
          </w:p>
        </w:tc>
        <w:tc>
          <w:tcPr>
            <w:tcW w:w="1230" w:type="dxa"/>
            <w:tcBorders>
              <w:top w:val="single" w:sz="4" w:space="0" w:color="auto"/>
              <w:bottom w:val="nil"/>
            </w:tcBorders>
          </w:tcPr>
          <w:p>
            <w:pPr>
              <w:pStyle w:val="nTable"/>
              <w:spacing w:after="40"/>
            </w:pPr>
            <w:r>
              <w:t>4 Nov 2013</w:t>
            </w:r>
          </w:p>
        </w:tc>
        <w:tc>
          <w:tcPr>
            <w:tcW w:w="2534" w:type="dxa"/>
            <w:tcBorders>
              <w:top w:val="single" w:sz="4" w:space="0" w:color="auto"/>
              <w:bottom w:val="nil"/>
            </w:tcBorders>
          </w:tcPr>
          <w:p>
            <w:pPr>
              <w:pStyle w:val="nTable"/>
              <w:spacing w:after="40"/>
              <w:rPr>
                <w:snapToGrid w:val="0"/>
              </w:rPr>
            </w:pPr>
            <w:r>
              <w:rPr>
                <w:snapToGrid w:val="0"/>
              </w:rPr>
              <w:t>To be proclaimed (see s. 2(b))</w:t>
            </w:r>
          </w:p>
        </w:tc>
      </w:tr>
      <w:tr>
        <w:trPr>
          <w:cantSplit/>
        </w:trPr>
        <w:tc>
          <w:tcPr>
            <w:tcW w:w="2224" w:type="dxa"/>
            <w:tcBorders>
              <w:top w:val="nil"/>
              <w:bottom w:val="nil"/>
            </w:tcBorders>
          </w:tcPr>
          <w:p>
            <w:pPr>
              <w:pStyle w:val="nTable"/>
              <w:spacing w:after="40"/>
              <w:rPr>
                <w:i/>
              </w:rPr>
            </w:pPr>
            <w:r>
              <w:rPr>
                <w:i/>
              </w:rPr>
              <w:t>Legal Profession Uniform Law Application Act 2022</w:t>
            </w:r>
            <w:r>
              <w:t xml:space="preserve"> s. 424</w:t>
            </w:r>
          </w:p>
        </w:tc>
        <w:tc>
          <w:tcPr>
            <w:tcW w:w="1109" w:type="dxa"/>
            <w:tcBorders>
              <w:top w:val="nil"/>
              <w:bottom w:val="nil"/>
            </w:tcBorders>
          </w:tcPr>
          <w:p>
            <w:pPr>
              <w:pStyle w:val="nTable"/>
              <w:spacing w:after="40"/>
            </w:pPr>
            <w:r>
              <w:t>9 of 2022</w:t>
            </w:r>
          </w:p>
        </w:tc>
        <w:tc>
          <w:tcPr>
            <w:tcW w:w="1230" w:type="dxa"/>
            <w:tcBorders>
              <w:top w:val="nil"/>
              <w:bottom w:val="nil"/>
            </w:tcBorders>
          </w:tcPr>
          <w:p>
            <w:pPr>
              <w:pStyle w:val="nTable"/>
              <w:spacing w:after="40"/>
            </w:pPr>
            <w:r>
              <w:t>14 Apr 2022</w:t>
            </w:r>
          </w:p>
        </w:tc>
        <w:tc>
          <w:tcPr>
            <w:tcW w:w="2534" w:type="dxa"/>
            <w:tcBorders>
              <w:top w:val="nil"/>
              <w:bottom w:val="nil"/>
            </w:tcBorders>
          </w:tcPr>
          <w:p>
            <w:pPr>
              <w:pStyle w:val="nTable"/>
              <w:spacing w:after="40"/>
              <w:rPr>
                <w:snapToGrid w:val="0"/>
              </w:rPr>
            </w:pPr>
            <w:r>
              <w:t>To be proclaimed (see s. 2(c))</w:t>
            </w:r>
          </w:p>
        </w:tc>
      </w:tr>
      <w:tr>
        <w:trPr>
          <w:cantSplit/>
        </w:trPr>
        <w:tc>
          <w:tcPr>
            <w:tcW w:w="2224" w:type="dxa"/>
            <w:tcBorders>
              <w:top w:val="nil"/>
              <w:bottom w:val="single" w:sz="4" w:space="0" w:color="auto"/>
            </w:tcBorders>
          </w:tcPr>
          <w:p>
            <w:pPr>
              <w:pStyle w:val="nTable"/>
              <w:spacing w:after="40"/>
            </w:pPr>
            <w:r>
              <w:rPr>
                <w:i/>
              </w:rPr>
              <w:t>Firearms Amendment Act 2022</w:t>
            </w:r>
            <w:r>
              <w:t xml:space="preserve"> Pt. 3 Div. 4</w:t>
            </w:r>
          </w:p>
        </w:tc>
        <w:tc>
          <w:tcPr>
            <w:tcW w:w="1109" w:type="dxa"/>
            <w:tcBorders>
              <w:top w:val="nil"/>
              <w:bottom w:val="single" w:sz="4" w:space="0" w:color="auto"/>
            </w:tcBorders>
          </w:tcPr>
          <w:p>
            <w:pPr>
              <w:pStyle w:val="nTable"/>
              <w:spacing w:after="40"/>
            </w:pPr>
            <w:r>
              <w:t>13 of 2022</w:t>
            </w:r>
          </w:p>
        </w:tc>
        <w:tc>
          <w:tcPr>
            <w:tcW w:w="1230" w:type="dxa"/>
            <w:tcBorders>
              <w:top w:val="nil"/>
              <w:bottom w:val="single" w:sz="4" w:space="0" w:color="auto"/>
            </w:tcBorders>
          </w:tcPr>
          <w:p>
            <w:pPr>
              <w:pStyle w:val="nTable"/>
              <w:spacing w:after="40"/>
            </w:pPr>
            <w:r>
              <w:t>18 May 2022</w:t>
            </w:r>
          </w:p>
        </w:tc>
        <w:tc>
          <w:tcPr>
            <w:tcW w:w="2534" w:type="dxa"/>
            <w:tcBorders>
              <w:top w:val="nil"/>
              <w:bottom w:val="single" w:sz="4" w:space="0" w:color="auto"/>
            </w:tcBorders>
          </w:tcPr>
          <w:p>
            <w:pPr>
              <w:pStyle w:val="nTable"/>
              <w:spacing w:after="40"/>
            </w:pPr>
            <w:r>
              <w:t>To be proclaimed (see s. 2(c))</w:t>
            </w:r>
          </w:p>
        </w:tc>
      </w:tr>
    </w:tbl>
    <w:p>
      <w:pPr>
        <w:pStyle w:val="nHeading3"/>
      </w:pPr>
      <w:bookmarkStart w:id="280" w:name="_Toc103865342"/>
      <w:r>
        <w:t>Other notes</w:t>
      </w:r>
      <w:bookmarkEnd w:id="280"/>
    </w:p>
    <w:p>
      <w:pPr>
        <w:pStyle w:val="nNote"/>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Note"/>
        <w:spacing w:before="160"/>
        <w:rPr>
          <w:snapToGrid w:val="0"/>
        </w:rPr>
      </w:pPr>
      <w:r>
        <w:rPr>
          <w:snapToGrid w:val="0"/>
          <w:vertAlign w:val="superscript"/>
        </w:rPr>
        <w:t>2</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282" w:name="_Toc103863196"/>
      <w:bookmarkStart w:id="283" w:name="_Toc103863407"/>
      <w:bookmarkStart w:id="284" w:name="_Toc103865343"/>
      <w:r>
        <w:rPr>
          <w:sz w:val="28"/>
        </w:rPr>
        <w:lastRenderedPageBreak/>
        <w:t>Defined terms</w:t>
      </w:r>
      <w:bookmarkEnd w:id="282"/>
      <w:bookmarkEnd w:id="283"/>
      <w:bookmarkEnd w:id="2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affidavit</w:t>
      </w:r>
      <w:r>
        <w:tab/>
        <w:t>3(1)</w:t>
      </w:r>
    </w:p>
    <w:p>
      <w:pPr>
        <w:pStyle w:val="DefinedTerms"/>
      </w:pPr>
      <w:r>
        <w:t>aid</w:t>
      </w:r>
      <w:r>
        <w:tab/>
        <w:t>61B(1)</w:t>
      </w:r>
    </w:p>
    <w:p>
      <w:pPr>
        <w:pStyle w:val="DefinedTerms"/>
      </w:pPr>
      <w:r>
        <w:t>application</w:t>
      </w:r>
      <w:r>
        <w:tab/>
        <w:t>3(1)</w:t>
      </w:r>
    </w:p>
    <w:p>
      <w:pPr>
        <w:pStyle w:val="DefinedTerms"/>
      </w:pPr>
      <w:r>
        <w:t>assault</w:t>
      </w:r>
      <w:r>
        <w:tab/>
        <w:t>3(1)</w:t>
      </w:r>
    </w:p>
    <w:p>
      <w:pPr>
        <w:pStyle w:val="DefinedTerms"/>
      </w:pPr>
      <w:r>
        <w:t>authorised magistrate</w:t>
      </w:r>
      <w:r>
        <w:tab/>
        <w:t>3(1)</w:t>
      </w:r>
    </w:p>
    <w:p>
      <w:pPr>
        <w:pStyle w:val="DefinedTerms"/>
      </w:pPr>
      <w:r>
        <w:t>authorised person</w:t>
      </w:r>
      <w:r>
        <w:tab/>
        <w:t>3(1)</w:t>
      </w:r>
    </w:p>
    <w:p>
      <w:pPr>
        <w:pStyle w:val="DefinedTerms"/>
      </w:pPr>
      <w:r>
        <w:t>behaviour change order</w:t>
      </w:r>
      <w:r>
        <w:tab/>
        <w:t>10I, 10M(1)</w:t>
      </w:r>
    </w:p>
    <w:p>
      <w:pPr>
        <w:pStyle w:val="DefinedTerms"/>
      </w:pPr>
      <w:r>
        <w:t>behaviour change programme</w:t>
      </w:r>
      <w:r>
        <w:tab/>
        <w:t>10I, 10P(2)</w:t>
      </w:r>
    </w:p>
    <w:p>
      <w:pPr>
        <w:pStyle w:val="DefinedTerms"/>
      </w:pPr>
      <w:r>
        <w:t>behaviour change programme provider</w:t>
      </w:r>
      <w:r>
        <w:tab/>
        <w:t>10I, 10P(3)</w:t>
      </w:r>
    </w:p>
    <w:p>
      <w:pPr>
        <w:pStyle w:val="DefinedTerms"/>
      </w:pPr>
      <w:r>
        <w:t>behaviour management order</w:t>
      </w:r>
      <w:r>
        <w:tab/>
        <w:t>10I</w:t>
      </w:r>
    </w:p>
    <w:p>
      <w:pPr>
        <w:pStyle w:val="DefinedTerms"/>
      </w:pPr>
      <w:r>
        <w:t>bound person</w:t>
      </w:r>
      <w:r>
        <w:tab/>
        <w:t>61B(1)</w:t>
      </w:r>
    </w:p>
    <w:p>
      <w:pPr>
        <w:pStyle w:val="DefinedTerms"/>
      </w:pPr>
      <w:r>
        <w:t>CEO (child welfare)</w:t>
      </w:r>
      <w:r>
        <w:tab/>
        <w:t>3(1)</w:t>
      </w:r>
    </w:p>
    <w:p>
      <w:pPr>
        <w:pStyle w:val="DefinedTerms"/>
      </w:pPr>
      <w:r>
        <w:t>child</w:t>
      </w:r>
      <w:r>
        <w:tab/>
        <w:t>3(1)</w:t>
      </w:r>
    </w:p>
    <w:p>
      <w:pPr>
        <w:pStyle w:val="DefinedTerms"/>
      </w:pPr>
      <w:r>
        <w:t>child welfare law</w:t>
      </w:r>
      <w:r>
        <w:tab/>
        <w:t>50B(4)</w:t>
      </w:r>
    </w:p>
    <w:p>
      <w:pPr>
        <w:pStyle w:val="DefinedTerms"/>
      </w:pPr>
      <w:r>
        <w:t>child welfare officer</w:t>
      </w:r>
      <w:r>
        <w:tab/>
        <w:t>3(1)</w:t>
      </w:r>
    </w:p>
    <w:p>
      <w:pPr>
        <w:pStyle w:val="DefinedTerms"/>
      </w:pPr>
      <w:r>
        <w:t>co</w:t>
      </w:r>
      <w:r>
        <w:noBreakHyphen/>
        <w:t>licensee</w:t>
      </w:r>
      <w:r>
        <w:tab/>
        <w:t>71(2)</w:t>
      </w:r>
    </w:p>
    <w:p>
      <w:pPr>
        <w:pStyle w:val="DefinedTerms"/>
      </w:pPr>
      <w:r>
        <w:t>Commissioner of Police</w:t>
      </w:r>
      <w:r>
        <w:tab/>
        <w:t>3(1)</w:t>
      </w:r>
    </w:p>
    <w:p>
      <w:pPr>
        <w:pStyle w:val="DefinedTerms"/>
      </w:pPr>
      <w:r>
        <w:t>conduct agreement</w:t>
      </w:r>
      <w:r>
        <w:tab/>
        <w:t>10H(1)</w:t>
      </w:r>
    </w:p>
    <w:p>
      <w:pPr>
        <w:pStyle w:val="DefinedTerms"/>
      </w:pPr>
      <w:r>
        <w:t>conduct agreement order</w:t>
      </w:r>
      <w:r>
        <w:tab/>
        <w:t>3(1), 10H(1)</w:t>
      </w:r>
    </w:p>
    <w:p>
      <w:pPr>
        <w:pStyle w:val="DefinedTerms"/>
      </w:pPr>
      <w:r>
        <w:t>consent order</w:t>
      </w:r>
      <w:r>
        <w:tab/>
        <w:t>3(1)</w:t>
      </w:r>
    </w:p>
    <w:p>
      <w:pPr>
        <w:pStyle w:val="DefinedTerms"/>
      </w:pPr>
      <w:r>
        <w:t>conviction</w:t>
      </w:r>
      <w:r>
        <w:tab/>
        <w:t>61A(1)</w:t>
      </w:r>
    </w:p>
    <w:p>
      <w:pPr>
        <w:pStyle w:val="DefinedTerms"/>
      </w:pPr>
      <w:r>
        <w:t>corresponding law</w:t>
      </w:r>
      <w:r>
        <w:tab/>
        <w:t>3(1)</w:t>
      </w:r>
    </w:p>
    <w:p>
      <w:pPr>
        <w:pStyle w:val="DefinedTerms"/>
      </w:pPr>
      <w:r>
        <w:t>court</w:t>
      </w:r>
      <w:r>
        <w:tab/>
        <w:t>3(1), 10I</w:t>
      </w:r>
    </w:p>
    <w:p>
      <w:pPr>
        <w:pStyle w:val="DefinedTerms"/>
      </w:pPr>
      <w:r>
        <w:t>cyber</w:t>
      </w:r>
      <w:r>
        <w:noBreakHyphen/>
        <w:t>stalking</w:t>
      </w:r>
      <w:r>
        <w:tab/>
        <w:t>3(1)</w:t>
      </w:r>
    </w:p>
    <w:p>
      <w:pPr>
        <w:pStyle w:val="DefinedTerms"/>
      </w:pPr>
      <w:r>
        <w:t>distributes</w:t>
      </w:r>
      <w:r>
        <w:tab/>
        <w:t>3(1)</w:t>
      </w:r>
    </w:p>
    <w:p>
      <w:pPr>
        <w:pStyle w:val="DefinedTerms"/>
      </w:pPr>
      <w:r>
        <w:t>earlier order</w:t>
      </w:r>
      <w:r>
        <w:tab/>
        <w:t>32(5)</w:t>
      </w:r>
    </w:p>
    <w:p>
      <w:pPr>
        <w:pStyle w:val="DefinedTerms"/>
      </w:pPr>
      <w:r>
        <w:t>eligibility assessment interview</w:t>
      </w:r>
      <w:r>
        <w:tab/>
        <w:t>10I, 10L(1)</w:t>
      </w:r>
    </w:p>
    <w:p>
      <w:pPr>
        <w:pStyle w:val="DefinedTerms"/>
      </w:pPr>
      <w:r>
        <w:t>eligibility assessment order</w:t>
      </w:r>
      <w:r>
        <w:tab/>
        <w:t>10I</w:t>
      </w:r>
    </w:p>
    <w:p>
      <w:pPr>
        <w:pStyle w:val="DefinedTerms"/>
      </w:pPr>
      <w:r>
        <w:t>eligibility assessment report</w:t>
      </w:r>
      <w:r>
        <w:tab/>
        <w:t>10I, 10L(1)</w:t>
      </w:r>
    </w:p>
    <w:p>
      <w:pPr>
        <w:pStyle w:val="DefinedTerms"/>
      </w:pPr>
      <w:r>
        <w:t>eligibility assessor</w:t>
      </w:r>
      <w:r>
        <w:tab/>
        <w:t>10I, 10P(1)</w:t>
      </w:r>
    </w:p>
    <w:p>
      <w:pPr>
        <w:pStyle w:val="DefinedTerms"/>
      </w:pPr>
      <w:r>
        <w:t>explosive</w:t>
      </w:r>
      <w:r>
        <w:tab/>
        <w:t>3(1)</w:t>
      </w:r>
    </w:p>
    <w:p>
      <w:pPr>
        <w:pStyle w:val="DefinedTerms"/>
      </w:pPr>
      <w:r>
        <w:t>explosives licence</w:t>
      </w:r>
      <w:r>
        <w:tab/>
        <w:t>3(1)</w:t>
      </w:r>
    </w:p>
    <w:p>
      <w:pPr>
        <w:pStyle w:val="DefinedTerms"/>
      </w:pPr>
      <w:r>
        <w:t>exposed</w:t>
      </w:r>
      <w:r>
        <w:tab/>
        <w:t>3(1), 6A(1)</w:t>
      </w:r>
    </w:p>
    <w:p>
      <w:pPr>
        <w:pStyle w:val="DefinedTerms"/>
      </w:pPr>
      <w:r>
        <w:t>family court proceedings</w:t>
      </w:r>
      <w:r>
        <w:tab/>
        <w:t>3(1)</w:t>
      </w:r>
    </w:p>
    <w:p>
      <w:pPr>
        <w:pStyle w:val="DefinedTerms"/>
      </w:pPr>
      <w:r>
        <w:t>family member</w:t>
      </w:r>
      <w:r>
        <w:tab/>
        <w:t>3(1), 4(3)</w:t>
      </w:r>
    </w:p>
    <w:p>
      <w:pPr>
        <w:pStyle w:val="DefinedTerms"/>
      </w:pPr>
      <w:r>
        <w:t>family order</w:t>
      </w:r>
      <w:r>
        <w:tab/>
        <w:t>3(1), 5(1)</w:t>
      </w:r>
    </w:p>
    <w:p>
      <w:pPr>
        <w:pStyle w:val="DefinedTerms"/>
      </w:pPr>
      <w:r>
        <w:t>family relationship</w:t>
      </w:r>
      <w:r>
        <w:tab/>
        <w:t>4(1)</w:t>
      </w:r>
    </w:p>
    <w:p>
      <w:pPr>
        <w:pStyle w:val="DefinedTerms"/>
      </w:pPr>
      <w:r>
        <w:t>family violence</w:t>
      </w:r>
      <w:r>
        <w:tab/>
        <w:t>3(1), 5A(1)</w:t>
      </w:r>
    </w:p>
    <w:p>
      <w:pPr>
        <w:pStyle w:val="DefinedTerms"/>
      </w:pPr>
      <w:r>
        <w:t>family violence restraining order</w:t>
      </w:r>
      <w:r>
        <w:tab/>
        <w:t>3(1)</w:t>
      </w:r>
    </w:p>
    <w:p>
      <w:pPr>
        <w:pStyle w:val="DefinedTerms"/>
      </w:pPr>
      <w:r>
        <w:t>final order</w:t>
      </w:r>
      <w:r>
        <w:tab/>
        <w:t>3(1)</w:t>
      </w:r>
    </w:p>
    <w:p>
      <w:pPr>
        <w:pStyle w:val="DefinedTerms"/>
      </w:pPr>
      <w:r>
        <w:lastRenderedPageBreak/>
        <w:t>final order hearing</w:t>
      </w:r>
      <w:r>
        <w:tab/>
        <w:t>3(1)</w:t>
      </w:r>
    </w:p>
    <w:p>
      <w:pPr>
        <w:pStyle w:val="DefinedTerms"/>
      </w:pPr>
      <w:r>
        <w:t>firearm</w:t>
      </w:r>
      <w:r>
        <w:tab/>
        <w:t>3(1)</w:t>
      </w:r>
    </w:p>
    <w:p>
      <w:pPr>
        <w:pStyle w:val="DefinedTerms"/>
      </w:pPr>
      <w:r>
        <w:t>firearms licence</w:t>
      </w:r>
      <w:r>
        <w:tab/>
        <w:t>3(1)</w:t>
      </w:r>
    </w:p>
    <w:p>
      <w:pPr>
        <w:pStyle w:val="DefinedTerms"/>
      </w:pPr>
      <w:r>
        <w:t>firearms order</w:t>
      </w:r>
      <w:r>
        <w:tab/>
        <w:t>71(1)</w:t>
      </w:r>
    </w:p>
    <w:p>
      <w:pPr>
        <w:pStyle w:val="DefinedTerms"/>
      </w:pPr>
      <w:r>
        <w:t>fix a hearing</w:t>
      </w:r>
      <w:r>
        <w:tab/>
        <w:t>3(1)</w:t>
      </w:r>
    </w:p>
    <w:p>
      <w:pPr>
        <w:pStyle w:val="DefinedTerms"/>
      </w:pPr>
      <w:r>
        <w:t>foreign restraining order</w:t>
      </w:r>
      <w:r>
        <w:tab/>
        <w:t>3(1)</w:t>
      </w:r>
    </w:p>
    <w:p>
      <w:pPr>
        <w:pStyle w:val="DefinedTerms"/>
      </w:pPr>
      <w:r>
        <w:t>FVRO</w:t>
      </w:r>
      <w:r>
        <w:tab/>
        <w:t>3(2)</w:t>
      </w:r>
    </w:p>
    <w:p>
      <w:pPr>
        <w:pStyle w:val="DefinedTerms"/>
      </w:pPr>
      <w:r>
        <w:t>imagined personal relationship</w:t>
      </w:r>
      <w:r>
        <w:tab/>
        <w:t>3(1)</w:t>
      </w:r>
    </w:p>
    <w:p>
      <w:pPr>
        <w:pStyle w:val="DefinedTerms"/>
      </w:pPr>
      <w:r>
        <w:t>interested party</w:t>
      </w:r>
      <w:r>
        <w:tab/>
        <w:t>70A(1)</w:t>
      </w:r>
    </w:p>
    <w:p>
      <w:pPr>
        <w:pStyle w:val="DefinedTerms"/>
      </w:pPr>
      <w:r>
        <w:t>interim order</w:t>
      </w:r>
      <w:r>
        <w:tab/>
        <w:t>3(1)</w:t>
      </w:r>
    </w:p>
    <w:p>
      <w:pPr>
        <w:pStyle w:val="DefinedTerms"/>
      </w:pPr>
      <w:r>
        <w:t>interstate order</w:t>
      </w:r>
      <w:r>
        <w:tab/>
        <w:t>74</w:t>
      </w:r>
    </w:p>
    <w:p>
      <w:pPr>
        <w:pStyle w:val="DefinedTerms"/>
      </w:pPr>
      <w:r>
        <w:t>intimate image</w:t>
      </w:r>
      <w:r>
        <w:tab/>
        <w:t>3(1)</w:t>
      </w:r>
    </w:p>
    <w:p>
      <w:pPr>
        <w:pStyle w:val="DefinedTerms"/>
      </w:pPr>
      <w:r>
        <w:t>kidnapping, or depriving the liberty of</w:t>
      </w:r>
      <w:r>
        <w:tab/>
        <w:t>3(1)</w:t>
      </w:r>
    </w:p>
    <w:p>
      <w:pPr>
        <w:pStyle w:val="DefinedTerms"/>
      </w:pPr>
      <w:r>
        <w:t>legal practitioner</w:t>
      </w:r>
      <w:r>
        <w:tab/>
        <w:t>3(1)</w:t>
      </w:r>
    </w:p>
    <w:p>
      <w:pPr>
        <w:pStyle w:val="DefinedTerms"/>
      </w:pPr>
      <w:r>
        <w:t>mention hearing</w:t>
      </w:r>
      <w:r>
        <w:tab/>
        <w:t>3(1)</w:t>
      </w:r>
    </w:p>
    <w:p>
      <w:pPr>
        <w:pStyle w:val="DefinedTerms"/>
      </w:pPr>
      <w:r>
        <w:t>misconduct restraining order</w:t>
      </w:r>
      <w:r>
        <w:tab/>
        <w:t>3(1)</w:t>
      </w:r>
    </w:p>
    <w:p>
      <w:pPr>
        <w:pStyle w:val="DefinedTerms"/>
      </w:pPr>
      <w:r>
        <w:t>MRO</w:t>
      </w:r>
      <w:r>
        <w:tab/>
        <w:t>3(2)</w:t>
      </w:r>
    </w:p>
    <w:p>
      <w:pPr>
        <w:pStyle w:val="DefinedTerms"/>
      </w:pPr>
      <w:r>
        <w:t>order</w:t>
      </w:r>
      <w:r>
        <w:tab/>
        <w:t>61B(1)</w:t>
      </w:r>
    </w:p>
    <w:p>
      <w:pPr>
        <w:pStyle w:val="DefinedTerms"/>
      </w:pPr>
      <w:r>
        <w:t>other personal relationship</w:t>
      </w:r>
      <w:r>
        <w:tab/>
        <w:t>4(2)</w:t>
      </w:r>
    </w:p>
    <w:p>
      <w:pPr>
        <w:pStyle w:val="DefinedTerms"/>
      </w:pPr>
      <w:r>
        <w:t>person protected</w:t>
      </w:r>
      <w:r>
        <w:tab/>
        <w:t>3(1)</w:t>
      </w:r>
    </w:p>
    <w:p>
      <w:pPr>
        <w:pStyle w:val="DefinedTerms"/>
      </w:pPr>
      <w:r>
        <w:t>person seeking to be protected</w:t>
      </w:r>
      <w:r>
        <w:tab/>
        <w:t>3(1)</w:t>
      </w:r>
    </w:p>
    <w:p>
      <w:pPr>
        <w:pStyle w:val="DefinedTerms"/>
      </w:pPr>
      <w:r>
        <w:t>person who is bound</w:t>
      </w:r>
      <w:r>
        <w:tab/>
        <w:t>3(1)</w:t>
      </w:r>
    </w:p>
    <w:p>
      <w:pPr>
        <w:pStyle w:val="DefinedTerms"/>
      </w:pPr>
      <w:r>
        <w:t>personal violence</w:t>
      </w:r>
      <w:r>
        <w:tab/>
        <w:t>3(1), 6(2)</w:t>
      </w:r>
    </w:p>
    <w:p>
      <w:pPr>
        <w:pStyle w:val="DefinedTerms"/>
      </w:pPr>
      <w:r>
        <w:t>police order</w:t>
      </w:r>
      <w:r>
        <w:tab/>
        <w:t>3(1)</w:t>
      </w:r>
    </w:p>
    <w:p>
      <w:pPr>
        <w:pStyle w:val="DefinedTerms"/>
      </w:pPr>
      <w:r>
        <w:t>prepare and serve</w:t>
      </w:r>
      <w:r>
        <w:tab/>
        <w:t>3(1)</w:t>
      </w:r>
    </w:p>
    <w:p>
      <w:pPr>
        <w:pStyle w:val="DefinedTerms"/>
      </w:pPr>
      <w:r>
        <w:t>prescribed form</w:t>
      </w:r>
      <w:r>
        <w:tab/>
        <w:t>3(1)</w:t>
      </w:r>
    </w:p>
    <w:p>
      <w:pPr>
        <w:pStyle w:val="DefinedTerms"/>
      </w:pPr>
      <w:r>
        <w:t>prescribed information</w:t>
      </w:r>
      <w:r>
        <w:tab/>
        <w:t>70A(1)</w:t>
      </w:r>
    </w:p>
    <w:p>
      <w:pPr>
        <w:pStyle w:val="DefinedTerms"/>
      </w:pPr>
      <w:r>
        <w:t>previous relevant offences</w:t>
      </w:r>
      <w:r>
        <w:tab/>
        <w:t>61A(2)</w:t>
      </w:r>
    </w:p>
    <w:p>
      <w:pPr>
        <w:pStyle w:val="DefinedTerms"/>
      </w:pPr>
      <w:r>
        <w:t>prisoner</w:t>
      </w:r>
      <w:r>
        <w:tab/>
        <w:t>16A(1)</w:t>
      </w:r>
    </w:p>
    <w:p>
      <w:pPr>
        <w:pStyle w:val="DefinedTerms"/>
      </w:pPr>
      <w:r>
        <w:t>proceeding</w:t>
      </w:r>
      <w:r>
        <w:tab/>
        <w:t>10I</w:t>
      </w:r>
    </w:p>
    <w:p>
      <w:pPr>
        <w:pStyle w:val="DefinedTerms"/>
      </w:pPr>
      <w:r>
        <w:t>proceedings under this Act</w:t>
      </w:r>
      <w:r>
        <w:tab/>
        <w:t>3(1)</w:t>
      </w:r>
    </w:p>
    <w:p>
      <w:pPr>
        <w:pStyle w:val="DefinedTerms"/>
      </w:pPr>
      <w:r>
        <w:t>property</w:t>
      </w:r>
      <w:r>
        <w:tab/>
        <w:t>3(1)</w:t>
      </w:r>
    </w:p>
    <w:p>
      <w:pPr>
        <w:pStyle w:val="DefinedTerms"/>
      </w:pPr>
      <w:r>
        <w:t>protected person</w:t>
      </w:r>
      <w:r>
        <w:tab/>
        <w:t>61B(1)</w:t>
      </w:r>
    </w:p>
    <w:p>
      <w:pPr>
        <w:pStyle w:val="DefinedTerms"/>
      </w:pPr>
      <w:r>
        <w:t>Public Advocate</w:t>
      </w:r>
      <w:r>
        <w:tab/>
        <w:t>3(1)</w:t>
      </w:r>
    </w:p>
    <w:p>
      <w:pPr>
        <w:pStyle w:val="DefinedTerms"/>
      </w:pPr>
      <w:r>
        <w:t>qualifying relevant offence</w:t>
      </w:r>
      <w:r>
        <w:tab/>
        <w:t>61A(2)</w:t>
      </w:r>
    </w:p>
    <w:p>
      <w:pPr>
        <w:pStyle w:val="DefinedTerms"/>
      </w:pPr>
      <w:r>
        <w:t>registered</w:t>
      </w:r>
      <w:r>
        <w:tab/>
        <w:t>3(1)</w:t>
      </w:r>
    </w:p>
    <w:p>
      <w:pPr>
        <w:pStyle w:val="DefinedTerms"/>
      </w:pPr>
      <w:r>
        <w:t>registered order</w:t>
      </w:r>
      <w:r>
        <w:tab/>
        <w:t>74</w:t>
      </w:r>
    </w:p>
    <w:p>
      <w:pPr>
        <w:pStyle w:val="DefinedTerms"/>
      </w:pPr>
      <w:r>
        <w:t>registrar</w:t>
      </w:r>
      <w:r>
        <w:tab/>
        <w:t>3(1), 74</w:t>
      </w:r>
    </w:p>
    <w:p>
      <w:pPr>
        <w:pStyle w:val="DefinedTerms"/>
      </w:pPr>
      <w:r>
        <w:t>related</w:t>
      </w:r>
      <w:r>
        <w:tab/>
        <w:t>4(2)</w:t>
      </w:r>
    </w:p>
    <w:p>
      <w:pPr>
        <w:pStyle w:val="DefinedTerms"/>
      </w:pPr>
      <w:r>
        <w:t>relevant offence</w:t>
      </w:r>
      <w:r>
        <w:tab/>
        <w:t>61A(1)</w:t>
      </w:r>
    </w:p>
    <w:p>
      <w:pPr>
        <w:pStyle w:val="DefinedTerms"/>
      </w:pPr>
      <w:r>
        <w:t>remote communication</w:t>
      </w:r>
      <w:r>
        <w:tab/>
        <w:t>62D(8)</w:t>
      </w:r>
    </w:p>
    <w:p>
      <w:pPr>
        <w:pStyle w:val="DefinedTerms"/>
      </w:pPr>
      <w:r>
        <w:t>representation</w:t>
      </w:r>
      <w:r>
        <w:tab/>
        <w:t>44A(3), 53E(4)</w:t>
      </w:r>
    </w:p>
    <w:p>
      <w:pPr>
        <w:pStyle w:val="DefinedTerms"/>
      </w:pPr>
      <w:r>
        <w:t>respondent</w:t>
      </w:r>
      <w:r>
        <w:tab/>
        <w:t>3(1), 31A, 43A(1)</w:t>
      </w:r>
    </w:p>
    <w:p>
      <w:pPr>
        <w:pStyle w:val="DefinedTerms"/>
      </w:pPr>
      <w:r>
        <w:t>responsible person</w:t>
      </w:r>
      <w:r>
        <w:tab/>
        <w:t>71(1)</w:t>
      </w:r>
    </w:p>
    <w:p>
      <w:pPr>
        <w:pStyle w:val="DefinedTerms"/>
      </w:pPr>
      <w:r>
        <w:t>restrained person</w:t>
      </w:r>
      <w:r>
        <w:tab/>
        <w:t>71(1)</w:t>
      </w:r>
    </w:p>
    <w:p>
      <w:pPr>
        <w:pStyle w:val="DefinedTerms"/>
      </w:pPr>
      <w:r>
        <w:lastRenderedPageBreak/>
        <w:t>restraining order</w:t>
      </w:r>
      <w:r>
        <w:tab/>
        <w:t>3(1)</w:t>
      </w:r>
    </w:p>
    <w:p>
      <w:pPr>
        <w:pStyle w:val="DefinedTerms"/>
      </w:pPr>
      <w:r>
        <w:t>review date</w:t>
      </w:r>
      <w:r>
        <w:tab/>
        <w:t>73A(1)</w:t>
      </w:r>
    </w:p>
    <w:p>
      <w:pPr>
        <w:pStyle w:val="DefinedTerms"/>
      </w:pPr>
      <w:r>
        <w:t>satisfied</w:t>
      </w:r>
      <w:r>
        <w:tab/>
        <w:t>3(1)</w:t>
      </w:r>
    </w:p>
    <w:p>
      <w:pPr>
        <w:pStyle w:val="DefinedTerms"/>
      </w:pPr>
      <w:r>
        <w:t>senior officer</w:t>
      </w:r>
      <w:r>
        <w:tab/>
        <w:t>62D(8)</w:t>
      </w:r>
    </w:p>
    <w:p>
      <w:pPr>
        <w:pStyle w:val="DefinedTerms"/>
      </w:pPr>
      <w:r>
        <w:t>sexual assault</w:t>
      </w:r>
      <w:r>
        <w:tab/>
        <w:t>3(1)</w:t>
      </w:r>
    </w:p>
    <w:p>
      <w:pPr>
        <w:pStyle w:val="DefinedTerms"/>
      </w:pPr>
      <w:r>
        <w:t>specified</w:t>
      </w:r>
      <w:r>
        <w:tab/>
        <w:t>3(1)</w:t>
      </w:r>
    </w:p>
    <w:p>
      <w:pPr>
        <w:pStyle w:val="DefinedTerms"/>
      </w:pPr>
      <w:r>
        <w:t>stalking</w:t>
      </w:r>
      <w:r>
        <w:tab/>
        <w:t>3(1)</w:t>
      </w:r>
    </w:p>
    <w:p>
      <w:pPr>
        <w:pStyle w:val="DefinedTerms"/>
      </w:pPr>
      <w:r>
        <w:t>telephone application</w:t>
      </w:r>
      <w:r>
        <w:tab/>
        <w:t>3(1)</w:t>
      </w:r>
    </w:p>
    <w:p>
      <w:pPr>
        <w:pStyle w:val="DefinedTerms"/>
      </w:pPr>
      <w:r>
        <w:t>telephone order</w:t>
      </w:r>
      <w:r>
        <w:tab/>
        <w:t>3(1)</w:t>
      </w:r>
    </w:p>
    <w:p>
      <w:pPr>
        <w:pStyle w:val="DefinedTerms"/>
      </w:pPr>
      <w:r>
        <w:t>third party</w:t>
      </w:r>
      <w:r>
        <w:tab/>
        <w:t>68(1)</w:t>
      </w:r>
    </w:p>
    <w:p>
      <w:pPr>
        <w:pStyle w:val="DefinedTerms"/>
      </w:pPr>
      <w:r>
        <w:t>under this Act</w:t>
      </w:r>
      <w:r>
        <w:tab/>
        <w:t>70(4)</w:t>
      </w:r>
    </w:p>
    <w:p>
      <w:pPr>
        <w:pStyle w:val="DefinedTerms"/>
      </w:pPr>
      <w:r>
        <w:t>variation or cancellation order</w:t>
      </w:r>
      <w:r>
        <w:tab/>
        <w:t>10I, 10T(1)</w:t>
      </w:r>
    </w:p>
    <w:p>
      <w:pPr>
        <w:pStyle w:val="DefinedTerms"/>
      </w:pPr>
      <w:r>
        <w:t>victim</w:t>
      </w:r>
      <w:r>
        <w:tab/>
        <w:t>10V(2)</w:t>
      </w:r>
    </w:p>
    <w:p>
      <w:pPr>
        <w:pStyle w:val="DefinedTerms"/>
      </w:pPr>
      <w:r>
        <w:t>video link</w:t>
      </w:r>
      <w:r>
        <w:tab/>
        <w:t>53B(4)</w:t>
      </w:r>
    </w:p>
    <w:p>
      <w:pPr>
        <w:pStyle w:val="DefinedTerms"/>
      </w:pPr>
      <w:r>
        <w:t>violence restraining order</w:t>
      </w:r>
      <w:r>
        <w:tab/>
        <w:t>3(1)</w:t>
      </w:r>
    </w:p>
    <w:p>
      <w:pPr>
        <w:pStyle w:val="DefinedTerms"/>
      </w:pPr>
      <w:r>
        <w:t>violent personal offence</w:t>
      </w:r>
      <w:r>
        <w:tab/>
        <w:t>63A(1A), 63B(1)</w:t>
      </w:r>
    </w:p>
    <w:p>
      <w:pPr>
        <w:pStyle w:val="DefinedTerms"/>
      </w:pPr>
      <w:r>
        <w:t>VRO</w:t>
      </w:r>
      <w:r>
        <w:tab/>
        <w:t>3(2)</w:t>
      </w:r>
    </w:p>
    <w:p>
      <w:pPr>
        <w:pStyle w:val="DefinedTerms"/>
      </w:pPr>
      <w:r>
        <w:t>wellbeing</w:t>
      </w:r>
      <w:r>
        <w:tab/>
        <w:t>3(1)</w:t>
      </w:r>
    </w:p>
    <w:p>
      <w:pPr>
        <w:pStyle w:val="DefinedTerms"/>
      </w:pPr>
      <w:r>
        <w:t>written reasons</w:t>
      </w:r>
      <w:r>
        <w:tab/>
        <w:t>61A(8), 67(3A)</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1" w:name="Compilation"/>
    <w:bookmarkEnd w:id="2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5" w:name="DefinedTerms"/>
    <w:bookmarkEnd w:id="28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6" w:name="Coversheet"/>
    <w:bookmarkEnd w:id="2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46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9141121"/>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 w:name="WAFER_20190227085058" w:val="RemoveTocBookmarks,RemoveUnusedBookmarks,RemoveLanguageTags,UpdateStyles,UsedStyles,ResetPageSize"/>
    <w:docVar w:name="WAFER_20190227085058_GUID" w:val="ddd93c9e-3117-476d-8b6f-9a40a99f8547"/>
    <w:docVar w:name="WAFER_20190227085147" w:val="RemoveTocBookmarks,RemoveUnusedBookmarks,RemoveLanguageTags,UpdateStyles,UsedStyles,ResetPageSize"/>
    <w:docVar w:name="WAFER_20190227085147_GUID" w:val="7f0cf878-08c5-473d-a8f7-da03c554ea7b"/>
    <w:docVar w:name="WAFER_20190227113905" w:val="RemoveTocBookmarks,RemoveUnusedBookmarks,RemoveLanguageTags,UpdateStyles,UsedStyles,ResetPageSize"/>
    <w:docVar w:name="WAFER_20190227113905_GUID" w:val="ac2bbd3e-6d56-46c1-9f9c-327184410f1e"/>
    <w:docVar w:name="WAFER_20190409092401" w:val="RemoveTocBookmarks,RemoveUnusedBookmarks,RemoveLanguageTags,ResetPageSize,RunningHeaders,UpdateStyles,UsedStyles"/>
    <w:docVar w:name="WAFER_20190409092401_GUID" w:val="ea1ba02a-357f-4436-b214-4c57cee9256a"/>
    <w:docVar w:name="WAFER_202002121622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2208_GUID" w:val="a22d93c6-e726-46a2-917c-18e350f90d4f"/>
    <w:docVar w:name="WAFER_20200407100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00155_GUID" w:val="93baebba-23e2-433d-9cde-38285b73f2e9"/>
    <w:docVar w:name="WAFER_202007100922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250_GUID" w:val="de7c0b83-0abe-4cf4-866c-12ea2bf35228"/>
    <w:docVar w:name="WAFER_20200728150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0716_GUID" w:val="d20d901b-e268-4c97-8e36-b4498c658544"/>
    <w:docVar w:name="WAFER_202009300911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1136_GUID" w:val="58cb3d31-7b4b-42d3-90c0-c39708594682"/>
    <w:docVar w:name="WAFER_2020112611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0944_GUID" w:val="30f6aa7f-debb-4c89-a76c-91c86725983a"/>
    <w:docVar w:name="WAFER_2022040814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134_GUID" w:val="721aa1f9-a418-41bc-b463-6260379c85b6"/>
    <w:docVar w:name="WAFER_20220519141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21_GUID" w:val="50817ab9-191d-495b-9f36-d59f8da28f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o:shapelayout v:ext="edit">
      <o:idmap v:ext="edit" data="1"/>
    </o:shapelayout>
  </w:shapeDefaults>
  <w:decimalSymbol w:val="."/>
  <w:listSeparator w:val=","/>
  <w15:docId w15:val="{E2B40325-0E82-4B3E-A9B9-E4F2B5D33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6DFD4C-BF4E-4D76-8111-5FBBBB373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42320</Words>
  <Characters>195945</Characters>
  <Application>Microsoft Office Word</Application>
  <DocSecurity>0</DocSecurity>
  <Lines>5295</Lines>
  <Paragraphs>3176</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235089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1997 - 05-j0-00</dc:title>
  <dc:subject/>
  <dc:creator/>
  <cp:keywords/>
  <dc:description/>
  <cp:lastModifiedBy>Master Repository Process</cp:lastModifiedBy>
  <cp:revision>4</cp:revision>
  <cp:lastPrinted>2019-02-27T04:33:00Z</cp:lastPrinted>
  <dcterms:created xsi:type="dcterms:W3CDTF">2022-05-19T07:25:00Z</dcterms:created>
  <dcterms:modified xsi:type="dcterms:W3CDTF">2022-05-19T07:25:00Z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18 May 2022</vt:lpwstr>
  </property>
  <property fmtid="{D5CDD505-2E9C-101B-9397-08002B2CF9AE}" pid="8" name="Suffix">
    <vt:lpwstr>05-j0-00</vt:lpwstr>
  </property>
  <property fmtid="{D5CDD505-2E9C-101B-9397-08002B2CF9AE}" pid="9" name="CommencementDate">
    <vt:lpwstr>20220518</vt:lpwstr>
  </property>
</Properties>
</file>