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Petroleum Pipelines Act 1969</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Petroleum Pipelines Regulations 1970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Petroleum Pipelines Regulations 1970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_Toc103757952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Fees</w:t>
      </w:r>
      <w:r>
        <w:tab/>
      </w:r>
      <w:r>
        <w:fldChar w:fldCharType="begin"/>
      </w:r>
      <w:r>
        <w:instrText xml:space="preserve"> PAGEREF _Toc103757953 \h </w:instrText>
      </w:r>
      <w:r>
        <w:fldChar w:fldCharType="separate"/>
      </w:r>
      <w:r>
        <w:t>1</w:t>
      </w:r>
      <w:r>
        <w:fldChar w:fldCharType="end"/>
      </w:r>
    </w:p>
    <w:p>
      <w:pPr>
        <w:pStyle w:val="TOC8"/>
        <w:rPr>
          <w:rFonts w:asciiTheme="minorHAnsi" w:eastAsiaTheme="minorEastAsia" w:hAnsiTheme="minorHAnsi" w:cstheme="minorBidi"/>
          <w:szCs w:val="22"/>
        </w:rPr>
      </w:pPr>
      <w:r>
        <w:t>4B</w:t>
      </w:r>
      <w:r>
        <w:rPr>
          <w:snapToGrid w:val="0"/>
        </w:rPr>
        <w:t>.</w:t>
      </w:r>
      <w:r>
        <w:rPr>
          <w:snapToGrid w:val="0"/>
        </w:rPr>
        <w:tab/>
        <w:t>Prescribed amount for Act s. 29(1)</w:t>
      </w:r>
      <w:r>
        <w:tab/>
      </w:r>
      <w:r>
        <w:fldChar w:fldCharType="begin"/>
      </w:r>
      <w:r>
        <w:instrText xml:space="preserve"> PAGEREF _Toc103757954 \h </w:instrText>
      </w:r>
      <w:r>
        <w:fldChar w:fldCharType="separate"/>
      </w:r>
      <w:r>
        <w:t>1</w:t>
      </w:r>
      <w:r>
        <w:fldChar w:fldCharType="end"/>
      </w:r>
    </w:p>
    <w:p>
      <w:pPr>
        <w:pStyle w:val="TOC8"/>
        <w:rPr>
          <w:rFonts w:asciiTheme="minorHAnsi" w:eastAsiaTheme="minorEastAsia" w:hAnsiTheme="minorHAnsi" w:cstheme="minorBidi"/>
          <w:szCs w:val="22"/>
        </w:rPr>
      </w:pPr>
      <w:r>
        <w:t>4C</w:t>
      </w:r>
      <w:r>
        <w:rPr>
          <w:snapToGrid w:val="0"/>
        </w:rPr>
        <w:t>.</w:t>
      </w:r>
      <w:r>
        <w:rPr>
          <w:snapToGrid w:val="0"/>
        </w:rPr>
        <w:tab/>
        <w:t>Instrument of transfer under Act s. 44(3)(a)</w:t>
      </w:r>
      <w:r>
        <w:tab/>
      </w:r>
      <w:r>
        <w:fldChar w:fldCharType="begin"/>
      </w:r>
      <w:r>
        <w:instrText xml:space="preserve"> PAGEREF _Toc103757955 \h </w:instrText>
      </w:r>
      <w:r>
        <w:fldChar w:fldCharType="separate"/>
      </w:r>
      <w:r>
        <w:t>2</w:t>
      </w:r>
      <w:r>
        <w:fldChar w:fldCharType="end"/>
      </w:r>
    </w:p>
    <w:p>
      <w:pPr>
        <w:pStyle w:val="TOC8"/>
        <w:rPr>
          <w:rFonts w:asciiTheme="minorHAnsi" w:eastAsiaTheme="minorEastAsia" w:hAnsiTheme="minorHAnsi" w:cstheme="minorBidi"/>
          <w:szCs w:val="22"/>
        </w:rPr>
      </w:pPr>
      <w:r>
        <w:t>4D</w:t>
      </w:r>
      <w:r>
        <w:rPr>
          <w:snapToGrid w:val="0"/>
        </w:rPr>
        <w:t>.</w:t>
      </w:r>
      <w:r>
        <w:rPr>
          <w:snapToGrid w:val="0"/>
        </w:rPr>
        <w:tab/>
        <w:t>Instrument under Act s. 47(4)(b)</w:t>
      </w:r>
      <w:r>
        <w:tab/>
      </w:r>
      <w:r>
        <w:fldChar w:fldCharType="begin"/>
      </w:r>
      <w:r>
        <w:instrText xml:space="preserve"> PAGEREF _Toc103757956 \h </w:instrText>
      </w:r>
      <w:r>
        <w:fldChar w:fldCharType="separate"/>
      </w:r>
      <w:r>
        <w:t>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Surveys of pipelines to be made and lodged</w:t>
      </w:r>
      <w:r>
        <w:tab/>
      </w:r>
      <w:r>
        <w:fldChar w:fldCharType="begin"/>
      </w:r>
      <w:r>
        <w:instrText xml:space="preserve"> PAGEREF _Toc103757957 \h </w:instrText>
      </w:r>
      <w:r>
        <w:fldChar w:fldCharType="separate"/>
      </w:r>
      <w:r>
        <w:t>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Pipeline’s position to be signposted</w:t>
      </w:r>
      <w:r>
        <w:tab/>
      </w:r>
      <w:r>
        <w:fldChar w:fldCharType="begin"/>
      </w:r>
      <w:r>
        <w:instrText xml:space="preserve"> PAGEREF _Toc103757958 \h </w:instrText>
      </w:r>
      <w:r>
        <w:fldChar w:fldCharType="separate"/>
      </w:r>
      <w:r>
        <w:t>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Inspector’s powers</w:t>
      </w:r>
      <w:r>
        <w:tab/>
      </w:r>
      <w:r>
        <w:fldChar w:fldCharType="begin"/>
      </w:r>
      <w:r>
        <w:instrText xml:space="preserve"> PAGEREF _Toc103757959 \h </w:instrText>
      </w:r>
      <w:r>
        <w:fldChar w:fldCharType="separate"/>
      </w:r>
      <w:r>
        <w:t>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Disobeying inspector, consequence of</w:t>
      </w:r>
      <w:r>
        <w:tab/>
      </w:r>
      <w:r>
        <w:fldChar w:fldCharType="begin"/>
      </w:r>
      <w:r>
        <w:instrText xml:space="preserve"> PAGEREF _Toc103757960 \h </w:instrText>
      </w:r>
      <w:r>
        <w:fldChar w:fldCharType="separate"/>
      </w:r>
      <w:r>
        <w:t>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Pipeline failures and fires, duties of licensee</w:t>
      </w:r>
      <w:r>
        <w:tab/>
      </w:r>
      <w:r>
        <w:fldChar w:fldCharType="begin"/>
      </w:r>
      <w:r>
        <w:instrText xml:space="preserve"> PAGEREF _Toc103757961 \h </w:instrText>
      </w:r>
      <w:r>
        <w:fldChar w:fldCharType="separate"/>
      </w:r>
      <w:r>
        <w:t>5</w:t>
      </w:r>
      <w:r>
        <w:fldChar w:fldCharType="end"/>
      </w:r>
    </w:p>
    <w:p>
      <w:pPr>
        <w:pStyle w:val="TOC8"/>
        <w:rPr>
          <w:rFonts w:asciiTheme="minorHAnsi" w:eastAsiaTheme="minorEastAsia" w:hAnsiTheme="minorHAnsi" w:cstheme="minorBidi"/>
          <w:szCs w:val="22"/>
        </w:rPr>
      </w:pPr>
      <w:r>
        <w:t>24.</w:t>
      </w:r>
      <w:r>
        <w:tab/>
        <w:t>Transitional provision — time for bringing proceedings for offences committed before certain amendments</w:t>
      </w:r>
      <w:r>
        <w:tab/>
      </w:r>
      <w:r>
        <w:fldChar w:fldCharType="begin"/>
      </w:r>
      <w:r>
        <w:instrText xml:space="preserve"> PAGEREF _Toc103757962 \h </w:instrText>
      </w:r>
      <w:r>
        <w:fldChar w:fldCharType="separate"/>
      </w:r>
      <w:r>
        <w:t>5</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Plan of operational procedure to be submitted with application under Act s. 36</w:t>
      </w:r>
      <w:r>
        <w:tab/>
      </w:r>
      <w:r>
        <w:fldChar w:fldCharType="begin"/>
      </w:r>
      <w:r>
        <w:instrText xml:space="preserve"> PAGEREF _Toc103757963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Third Schedule — Fees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_Toc103757967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_Toc103757968 \h </w:instrText>
      </w:r>
      <w:r>
        <w:fldChar w:fldCharType="separate"/>
      </w:r>
      <w:r>
        <w:t>11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_Toc103757969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Petroleum Pipelines Act 1969</w:t>
      </w:r>
    </w:p>
    <w:p>
      <w:pPr>
        <w:pStyle w:val="NameofActReg"/>
        <w:spacing w:before="600"/>
      </w:pPr>
      <w:r>
        <w:t>Petroleum Pipelines Regulations 1970</w:t>
      </w:r>
    </w:p>
    <w:p>
      <w:pPr>
        <w:pStyle w:val="Heading5"/>
        <w:spacing w:before="240"/>
        <w:rPr>
          <w:snapToGrid w:val="0"/>
        </w:rPr>
      </w:pPr>
      <w:bookmarkStart w:id="3" w:name="_Toc103757952"/>
      <w:r>
        <w:rPr>
          <w:rStyle w:val="CharSectno"/>
        </w:rPr>
        <w:t>1</w:t>
      </w:r>
      <w:r>
        <w:rPr>
          <w:snapToGrid w:val="0"/>
        </w:rPr>
        <w:t>.</w:t>
      </w:r>
      <w:r>
        <w:rPr>
          <w:snapToGrid w:val="0"/>
        </w:rPr>
        <w:tab/>
        <w:t>Citation</w:t>
      </w:r>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w:t>
      </w:r>
    </w:p>
    <w:p>
      <w:pPr>
        <w:pStyle w:val="Ednotesection"/>
        <w:spacing w:before="240"/>
      </w:pPr>
      <w:r>
        <w:t>[</w:t>
      </w:r>
      <w:r>
        <w:rPr>
          <w:b/>
        </w:rPr>
        <w:t>2.</w:t>
      </w:r>
      <w:r>
        <w:tab/>
        <w:t>Deleted: Gazette 14 May 2010 p. 2019.]</w:t>
      </w:r>
    </w:p>
    <w:p>
      <w:pPr>
        <w:pStyle w:val="Ednotesection"/>
        <w:spacing w:before="240"/>
      </w:pPr>
      <w:r>
        <w:t>[</w:t>
      </w:r>
      <w:r>
        <w:rPr>
          <w:b/>
        </w:rPr>
        <w:t>3.</w:t>
      </w:r>
      <w:r>
        <w:tab/>
        <w:t xml:space="preserve">Deleted: Gazette 22 Jul 1994 p. 3780.] </w:t>
      </w:r>
    </w:p>
    <w:p>
      <w:pPr>
        <w:pStyle w:val="Heading5"/>
        <w:spacing w:before="240"/>
        <w:rPr>
          <w:snapToGrid w:val="0"/>
        </w:rPr>
      </w:pPr>
      <w:bookmarkStart w:id="4" w:name="_Toc103757953"/>
      <w:r>
        <w:rPr>
          <w:rStyle w:val="CharSectno"/>
        </w:rPr>
        <w:t>4</w:t>
      </w:r>
      <w:r>
        <w:rPr>
          <w:snapToGrid w:val="0"/>
        </w:rPr>
        <w:t>.</w:t>
      </w:r>
      <w:r>
        <w:rPr>
          <w:snapToGrid w:val="0"/>
        </w:rPr>
        <w:tab/>
        <w:t>Fees</w:t>
      </w:r>
      <w:bookmarkEnd w:id="4"/>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Gazette 11 Nov 1983 p. 4543.] </w:t>
      </w:r>
    </w:p>
    <w:p>
      <w:pPr>
        <w:pStyle w:val="Ednotesection"/>
        <w:spacing w:before="240"/>
        <w:ind w:left="890" w:hanging="890"/>
      </w:pPr>
      <w:r>
        <w:t>[</w:t>
      </w:r>
      <w:r>
        <w:rPr>
          <w:b/>
        </w:rPr>
        <w:t>4A.</w:t>
      </w:r>
      <w:r>
        <w:tab/>
        <w:t xml:space="preserve">Deleted: Gazette 22 Jul 1994 p. 3780.] </w:t>
      </w:r>
    </w:p>
    <w:p>
      <w:pPr>
        <w:pStyle w:val="Heading5"/>
        <w:rPr>
          <w:snapToGrid w:val="0"/>
        </w:rPr>
      </w:pPr>
      <w:bookmarkStart w:id="5" w:name="_Toc103757954"/>
      <w:r>
        <w:rPr>
          <w:rStyle w:val="CharSectno"/>
        </w:rPr>
        <w:t>4B</w:t>
      </w:r>
      <w:r>
        <w:rPr>
          <w:snapToGrid w:val="0"/>
        </w:rPr>
        <w:t>.</w:t>
      </w:r>
      <w:r>
        <w:rPr>
          <w:snapToGrid w:val="0"/>
        </w:rPr>
        <w:tab/>
        <w:t>Prescribed amount for Act s. 29(1)</w:t>
      </w:r>
      <w:bookmarkEnd w:id="5"/>
    </w:p>
    <w:p>
      <w:pPr>
        <w:pStyle w:val="Subsection"/>
        <w:keepNext/>
        <w:keepLines/>
        <w:rPr>
          <w:snapToGrid w:val="0"/>
        </w:rPr>
      </w:pPr>
      <w:r>
        <w:rPr>
          <w:snapToGrid w:val="0"/>
        </w:rPr>
        <w:tab/>
      </w:r>
      <w:r>
        <w:rPr>
          <w:snapToGrid w:val="0"/>
        </w:rPr>
        <w:tab/>
        <w:t xml:space="preserve">For the purposes of section 29(1) of the Act, the prescribed amount is an amount of </w:t>
      </w:r>
      <w:r>
        <w:t>$228.00.</w:t>
      </w:r>
    </w:p>
    <w:p>
      <w:pPr>
        <w:pStyle w:val="Footnotesection"/>
      </w:pPr>
      <w:r>
        <w:tab/>
        <w:t xml:space="preserve">[Regulation 4B inserted: Gazette 28 Sep 1990 p. 5103; amended: Gazette 27 Jun 2000 p. 3251; 28 June 2002 p. 3096; 28 Feb 2003 p. 671; 23 Jun 2009 p. 2479; 9 Feb 2010 p. 269; 11 May 2010 p. 1823; 1 Jul 2011 p. 2740; 12 Jun 2012 p. 2458; 25 Feb 2014 p. 503; </w:t>
      </w:r>
      <w:r>
        <w:rPr>
          <w:spacing w:val="-4"/>
        </w:rPr>
        <w:t>17 Jun 2014 p. 1</w:t>
      </w:r>
      <w:r>
        <w:t xml:space="preserve">987; 30 Jun 2015 p. 2351; 24 Jun 2016 p. 2334; 23 Jun 2017 p. 3308; 25 Jun 2018 p. 2323; 18 Jun 2019 p. 2055; SL 2020/93 r. 20.] </w:t>
      </w:r>
    </w:p>
    <w:p>
      <w:pPr>
        <w:pStyle w:val="Ednotesection"/>
      </w:pPr>
      <w:r>
        <w:t>[</w:t>
      </w:r>
      <w:r>
        <w:rPr>
          <w:b/>
        </w:rPr>
        <w:t>4BA.</w:t>
      </w:r>
      <w:r>
        <w:tab/>
        <w:t>Deleted: Gazette 14 May 2010 p. 2019.]</w:t>
      </w:r>
    </w:p>
    <w:p>
      <w:pPr>
        <w:pStyle w:val="Heading5"/>
        <w:rPr>
          <w:snapToGrid w:val="0"/>
        </w:rPr>
      </w:pPr>
      <w:bookmarkStart w:id="6" w:name="_Toc103757955"/>
      <w:r>
        <w:rPr>
          <w:rStyle w:val="CharSectno"/>
        </w:rPr>
        <w:lastRenderedPageBreak/>
        <w:t>4C</w:t>
      </w:r>
      <w:r>
        <w:rPr>
          <w:snapToGrid w:val="0"/>
        </w:rPr>
        <w:t>.</w:t>
      </w:r>
      <w:r>
        <w:rPr>
          <w:snapToGrid w:val="0"/>
        </w:rPr>
        <w:tab/>
        <w:t>Instrument of transfer under Act s. 44(3)(a)</w:t>
      </w:r>
      <w:bookmarkEnd w:id="6"/>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Gazette 28 Sep 1990 p. 5103.] </w:t>
      </w:r>
    </w:p>
    <w:p>
      <w:pPr>
        <w:pStyle w:val="Heading5"/>
        <w:rPr>
          <w:snapToGrid w:val="0"/>
        </w:rPr>
      </w:pPr>
      <w:bookmarkStart w:id="7" w:name="_Toc103757956"/>
      <w:r>
        <w:rPr>
          <w:rStyle w:val="CharSectno"/>
        </w:rPr>
        <w:t>4D</w:t>
      </w:r>
      <w:r>
        <w:rPr>
          <w:snapToGrid w:val="0"/>
        </w:rPr>
        <w:t>.</w:t>
      </w:r>
      <w:r>
        <w:rPr>
          <w:snapToGrid w:val="0"/>
        </w:rPr>
        <w:tab/>
        <w:t>Instrument under Act s. 47(4)(b)</w:t>
      </w:r>
      <w:bookmarkEnd w:id="7"/>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the </w:t>
      </w:r>
      <w:r>
        <w:rPr>
          <w:rStyle w:val="CharDefText"/>
        </w:rPr>
        <w:t>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keepNext/>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tabs>
          <w:tab w:val="left" w:pos="6096"/>
        </w:tabs>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1</w:t>
      </w:r>
      <w:r>
        <w:rPr>
          <w:snapToGrid w:val="0"/>
        </w:rPr>
        <w:t>) — </w:t>
      </w:r>
    </w:p>
    <w:p>
      <w:pPr>
        <w:pStyle w:val="Indenti"/>
        <w:rPr>
          <w:snapToGrid w:val="0"/>
        </w:rPr>
      </w:pPr>
      <w:r>
        <w:rPr>
          <w:snapToGrid w:val="0"/>
        </w:rPr>
        <w:tab/>
        <w:t>(i)</w:t>
      </w:r>
      <w:r>
        <w:rPr>
          <w:snapToGrid w:val="0"/>
        </w:rPr>
        <w:tab/>
        <w:t>description and date of execution of the instrument evidencing the dealing; and</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lastRenderedPageBreak/>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pPr>
      <w:r>
        <w:tab/>
        <w:t>(i)</w:t>
      </w:r>
      <w:r>
        <w:tab/>
        <w:t>creates or assigns an option to enter into the dealing referred to in subregulation (1)(a); or</w:t>
      </w:r>
    </w:p>
    <w:p>
      <w:pPr>
        <w:pStyle w:val="Defsubpara"/>
      </w:pPr>
      <w:r>
        <w:tab/>
        <w:t>(ii)</w:t>
      </w:r>
      <w:r>
        <w:tab/>
        <w:t>creates or assigns a right to enter into the dealing referred to in subregulation (1)(a); or</w:t>
      </w:r>
    </w:p>
    <w:p>
      <w:pPr>
        <w:pStyle w:val="Defsubpara"/>
      </w:pPr>
      <w:r>
        <w:tab/>
        <w:t>(iii)</w:t>
      </w:r>
      <w: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1</w:t>
      </w:r>
      <w:r>
        <w:t>.</w:t>
      </w:r>
    </w:p>
    <w:p>
      <w:pPr>
        <w:pStyle w:val="Footnotesection"/>
      </w:pPr>
      <w:r>
        <w:tab/>
        <w:t>[Regulation 4D inserted: Gazette 28 Sep 1990 p. 5103</w:t>
      </w:r>
      <w:r>
        <w:noBreakHyphen/>
        <w:t xml:space="preserve">4.] </w:t>
      </w:r>
    </w:p>
    <w:p>
      <w:pPr>
        <w:pStyle w:val="Ednotesection"/>
      </w:pPr>
      <w:r>
        <w:t>[</w:t>
      </w:r>
      <w:r>
        <w:rPr>
          <w:b/>
        </w:rPr>
        <w:t>4E, 4F.</w:t>
      </w:r>
      <w:r>
        <w:tab/>
        <w:t>Deleted: Gazette 14 May 2010 p. 2019.]</w:t>
      </w:r>
    </w:p>
    <w:p>
      <w:pPr>
        <w:pStyle w:val="Ednotesection"/>
      </w:pPr>
      <w:r>
        <w:t>[</w:t>
      </w:r>
      <w:r>
        <w:rPr>
          <w:b/>
        </w:rPr>
        <w:t>5</w:t>
      </w:r>
      <w:r>
        <w:rPr>
          <w:b/>
        </w:rPr>
        <w:noBreakHyphen/>
        <w:t>8.</w:t>
      </w:r>
      <w:r>
        <w:rPr>
          <w:b/>
        </w:rPr>
        <w:tab/>
      </w:r>
      <w:r>
        <w:t xml:space="preserve">Deleted: Gazette 11 Nov 1983 p. 4543.] </w:t>
      </w:r>
    </w:p>
    <w:p>
      <w:pPr>
        <w:pStyle w:val="Ednotesection"/>
      </w:pPr>
      <w:r>
        <w:t>[</w:t>
      </w:r>
      <w:r>
        <w:rPr>
          <w:b/>
        </w:rPr>
        <w:t>9</w:t>
      </w:r>
      <w:r>
        <w:rPr>
          <w:b/>
        </w:rPr>
        <w:noBreakHyphen/>
        <w:t>17.</w:t>
      </w:r>
      <w:r>
        <w:tab/>
        <w:t>Deleted: Gazette 14 May 2010 p. 2019.]</w:t>
      </w:r>
    </w:p>
    <w:p>
      <w:pPr>
        <w:pStyle w:val="Heading5"/>
        <w:rPr>
          <w:snapToGrid w:val="0"/>
        </w:rPr>
      </w:pPr>
      <w:bookmarkStart w:id="8" w:name="_Toc103757957"/>
      <w:r>
        <w:rPr>
          <w:rStyle w:val="CharSectno"/>
        </w:rPr>
        <w:t>18</w:t>
      </w:r>
      <w:r>
        <w:rPr>
          <w:snapToGrid w:val="0"/>
        </w:rPr>
        <w:t>.</w:t>
      </w:r>
      <w:r>
        <w:rPr>
          <w:snapToGrid w:val="0"/>
        </w:rPr>
        <w:tab/>
        <w:t>Surveys of pipelines to be made and lodged</w:t>
      </w:r>
      <w:bookmarkEnd w:id="8"/>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Minister.</w:t>
      </w:r>
    </w:p>
    <w:p>
      <w:pPr>
        <w:pStyle w:val="Penstart"/>
      </w:pPr>
      <w:r>
        <w:tab/>
        <w:t>Penalty: a fine of $5 000.</w:t>
      </w:r>
    </w:p>
    <w:p>
      <w:pPr>
        <w:pStyle w:val="Footnotesection"/>
      </w:pPr>
      <w:r>
        <w:lastRenderedPageBreak/>
        <w:tab/>
        <w:t>[Regulation 18 amended: Gazette 14 May 2010 p. 2019.]</w:t>
      </w:r>
    </w:p>
    <w:p>
      <w:pPr>
        <w:pStyle w:val="Ednotesection"/>
      </w:pPr>
      <w:r>
        <w:t>[</w:t>
      </w:r>
      <w:r>
        <w:rPr>
          <w:b/>
          <w:bCs/>
        </w:rPr>
        <w:t>1</w:t>
      </w:r>
      <w:r>
        <w:rPr>
          <w:b/>
        </w:rPr>
        <w:t>9.</w:t>
      </w:r>
      <w:r>
        <w:tab/>
        <w:t>Deleted: Gazette 14 May 2010 p. 2019.]</w:t>
      </w:r>
    </w:p>
    <w:p>
      <w:pPr>
        <w:pStyle w:val="Heading5"/>
        <w:rPr>
          <w:snapToGrid w:val="0"/>
        </w:rPr>
      </w:pPr>
      <w:bookmarkStart w:id="9" w:name="_Toc103757958"/>
      <w:r>
        <w:rPr>
          <w:rStyle w:val="CharSectno"/>
        </w:rPr>
        <w:t>20</w:t>
      </w:r>
      <w:r>
        <w:rPr>
          <w:snapToGrid w:val="0"/>
        </w:rPr>
        <w:t>.</w:t>
      </w:r>
      <w:r>
        <w:rPr>
          <w:snapToGrid w:val="0"/>
        </w:rPr>
        <w:tab/>
        <w:t>Pipeline’s position to be signposted</w:t>
      </w:r>
      <w:bookmarkEnd w:id="9"/>
    </w:p>
    <w:p>
      <w:pPr>
        <w:pStyle w:val="Subsection"/>
        <w:rPr>
          <w:snapToGrid w:val="0"/>
        </w:rPr>
      </w:pPr>
      <w:r>
        <w:rPr>
          <w:snapToGrid w:val="0"/>
        </w:rPr>
        <w:tab/>
        <w:t>(1)</w:t>
      </w:r>
      <w:r>
        <w:rPr>
          <w:snapToGrid w:val="0"/>
        </w:rPr>
        <w:tab/>
        <w:t>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Penstart"/>
      </w:pPr>
      <w:r>
        <w:tab/>
        <w:t>Penalty applicable to subregulations (1) and (2): a fine of $5 000.</w:t>
      </w:r>
    </w:p>
    <w:p>
      <w:pPr>
        <w:pStyle w:val="Footnotesection"/>
      </w:pPr>
      <w:r>
        <w:tab/>
        <w:t xml:space="preserve">[Regulation 20 amended: Gazette 22 Jul 1994 p. 3780; 14 May 2010 p. 2019.] </w:t>
      </w:r>
    </w:p>
    <w:p>
      <w:pPr>
        <w:pStyle w:val="Heading5"/>
        <w:spacing w:before="180"/>
        <w:rPr>
          <w:snapToGrid w:val="0"/>
        </w:rPr>
      </w:pPr>
      <w:bookmarkStart w:id="10" w:name="_Toc103757959"/>
      <w:r>
        <w:rPr>
          <w:rStyle w:val="CharSectno"/>
        </w:rPr>
        <w:t>21</w:t>
      </w:r>
      <w:r>
        <w:rPr>
          <w:snapToGrid w:val="0"/>
        </w:rPr>
        <w:t>.</w:t>
      </w:r>
      <w:r>
        <w:rPr>
          <w:snapToGrid w:val="0"/>
        </w:rPr>
        <w:tab/>
        <w:t>Inspector’s powers</w:t>
      </w:r>
      <w:bookmarkEnd w:id="10"/>
    </w:p>
    <w:p>
      <w:pPr>
        <w:pStyle w:val="Subsection"/>
        <w:rPr>
          <w:snapToGrid w:val="0"/>
        </w:rPr>
      </w:pPr>
      <w:r>
        <w:rPr>
          <w:snapToGrid w:val="0"/>
        </w:rPr>
        <w:tab/>
      </w:r>
      <w:r>
        <w:rPr>
          <w:snapToGrid w:val="0"/>
        </w:rPr>
        <w:tab/>
        <w:t xml:space="preserve">An </w:t>
      </w:r>
      <w:r>
        <w:t xml:space="preserve">inspector, for the purposes of the Act other than a listed OSH law, </w:t>
      </w:r>
      <w:r>
        <w:rPr>
          <w:snapToGrid w:val="0"/>
        </w:rPr>
        <w:t xml:space="preserve">may examine or inquire into any phase of </w:t>
      </w:r>
      <w:r>
        <w:t>a construction, modification or reconstruction</w:t>
      </w:r>
      <w:r>
        <w:rPr>
          <w:snapToGrid w:val="0"/>
        </w:rPr>
        <w:t xml:space="preserve"> of a pipeline or the installation of any component part of any pipeline, and may request rectification by the licensee of any part of </w:t>
      </w:r>
      <w:r>
        <w:t>the construction, modification, reconstruction</w:t>
      </w:r>
      <w:r>
        <w:rPr>
          <w:snapToGrid w:val="0"/>
        </w:rPr>
        <w:t xml:space="preserve"> or installation that is not in accord with the Act.</w:t>
      </w:r>
    </w:p>
    <w:p>
      <w:pPr>
        <w:pStyle w:val="Footnotesection"/>
      </w:pPr>
      <w:r>
        <w:tab/>
        <w:t>[Regulation 21 amended: Gazette 14 May 2010 p. 2020.]</w:t>
      </w:r>
    </w:p>
    <w:p>
      <w:pPr>
        <w:pStyle w:val="Heading5"/>
        <w:spacing w:before="180"/>
        <w:rPr>
          <w:snapToGrid w:val="0"/>
        </w:rPr>
      </w:pPr>
      <w:bookmarkStart w:id="11" w:name="_Toc103757960"/>
      <w:r>
        <w:rPr>
          <w:rStyle w:val="CharSectno"/>
        </w:rPr>
        <w:t>22</w:t>
      </w:r>
      <w:r>
        <w:rPr>
          <w:snapToGrid w:val="0"/>
        </w:rPr>
        <w:t>.</w:t>
      </w:r>
      <w:r>
        <w:rPr>
          <w:snapToGrid w:val="0"/>
        </w:rPr>
        <w:tab/>
        <w:t>Disobeying inspector, consequence of</w:t>
      </w:r>
      <w:bookmarkEnd w:id="1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2" w:name="_Toc103757961"/>
      <w:r>
        <w:rPr>
          <w:rStyle w:val="CharSectno"/>
        </w:rPr>
        <w:lastRenderedPageBreak/>
        <w:t>23</w:t>
      </w:r>
      <w:r>
        <w:rPr>
          <w:snapToGrid w:val="0"/>
        </w:rPr>
        <w:t>.</w:t>
      </w:r>
      <w:r>
        <w:rPr>
          <w:snapToGrid w:val="0"/>
        </w:rPr>
        <w:tab/>
        <w:t>Pipeline failures and fires, duties of licensee</w:t>
      </w:r>
      <w:bookmarkEnd w:id="12"/>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take such action as is necessary to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Minister giving full information as to — </w:t>
      </w:r>
    </w:p>
    <w:p>
      <w:pPr>
        <w:pStyle w:val="Indenta"/>
        <w:rPr>
          <w:snapToGrid w:val="0"/>
        </w:rPr>
      </w:pPr>
      <w:r>
        <w:rPr>
          <w:snapToGrid w:val="0"/>
        </w:rPr>
        <w:tab/>
        <w:t>(a)</w:t>
      </w:r>
      <w:r>
        <w:rPr>
          <w:snapToGrid w:val="0"/>
        </w:rPr>
        <w:tab/>
        <w:t>the time and place of the escape or ignition of the petroleum; and</w:t>
      </w:r>
    </w:p>
    <w:p>
      <w:pPr>
        <w:pStyle w:val="Indenta"/>
        <w:rPr>
          <w:snapToGrid w:val="0"/>
        </w:rPr>
      </w:pPr>
      <w:r>
        <w:rPr>
          <w:snapToGrid w:val="0"/>
        </w:rPr>
        <w:tab/>
        <w:t>(b)</w:t>
      </w:r>
      <w:r>
        <w:rPr>
          <w:snapToGrid w:val="0"/>
        </w:rPr>
        <w:tab/>
        <w:t>the approximate quantity of petroleum that escaped; and</w:t>
      </w:r>
    </w:p>
    <w:p>
      <w:pPr>
        <w:pStyle w:val="Indenta"/>
        <w:rPr>
          <w:snapToGrid w:val="0"/>
        </w:rPr>
      </w:pPr>
      <w:r>
        <w:rPr>
          <w:snapToGrid w:val="0"/>
        </w:rPr>
        <w:tab/>
        <w:t>(c)</w:t>
      </w:r>
      <w:r>
        <w:rPr>
          <w:snapToGrid w:val="0"/>
        </w:rPr>
        <w:tab/>
        <w:t>the damage resulting from the escape or ignition of the petroleum; and</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keepNext/>
        <w:keepLines/>
        <w:rPr>
          <w:snapToGrid w:val="0"/>
        </w:rPr>
      </w:pPr>
      <w:r>
        <w:rPr>
          <w:snapToGrid w:val="0"/>
        </w:rPr>
        <w:tab/>
        <w:t>(e)</w:t>
      </w:r>
      <w:r>
        <w:rPr>
          <w:snapToGrid w:val="0"/>
        </w:rPr>
        <w:tab/>
        <w:t>the methods adopted to carry out the repairs to the pipeline.</w:t>
      </w:r>
    </w:p>
    <w:p>
      <w:pPr>
        <w:pStyle w:val="Penstart"/>
      </w:pPr>
      <w:r>
        <w:tab/>
        <w:t>Penalty applicable to subregulations (1) and (2): a fine of $5 000.</w:t>
      </w:r>
    </w:p>
    <w:p>
      <w:pPr>
        <w:pStyle w:val="Footnotesection"/>
      </w:pPr>
      <w:r>
        <w:tab/>
        <w:t>[Regulation 23 amended: Gazette 14 May 2010 p. 2020.]</w:t>
      </w:r>
    </w:p>
    <w:p>
      <w:pPr>
        <w:pStyle w:val="Heading5"/>
      </w:pPr>
      <w:bookmarkStart w:id="13" w:name="_Toc103757962"/>
      <w:r>
        <w:rPr>
          <w:rStyle w:val="CharSectno"/>
        </w:rPr>
        <w:t>24</w:t>
      </w:r>
      <w:r>
        <w:t>.</w:t>
      </w:r>
      <w:r>
        <w:tab/>
        <w:t>Transitional provision — time for bringing proceedings for offences committed before certain amendments</w:t>
      </w:r>
      <w:bookmarkEnd w:id="13"/>
    </w:p>
    <w:p>
      <w:pPr>
        <w:pStyle w:val="Subsection"/>
      </w:pPr>
      <w:r>
        <w:tab/>
        <w:t>(1)</w:t>
      </w:r>
      <w:r>
        <w:tab/>
        <w:t xml:space="preserve">In this regulation — </w:t>
      </w:r>
    </w:p>
    <w:p>
      <w:pPr>
        <w:pStyle w:val="Defstart"/>
      </w:pPr>
      <w:r>
        <w:rPr>
          <w:b/>
        </w:rPr>
        <w:tab/>
      </w:r>
      <w:r>
        <w:rPr>
          <w:rStyle w:val="CharDefText"/>
        </w:rPr>
        <w:t>section 29(1)</w:t>
      </w:r>
      <w:r>
        <w:t xml:space="preserve"> means the </w:t>
      </w:r>
      <w:r>
        <w:rPr>
          <w:i/>
          <w:iCs/>
        </w:rPr>
        <w:t xml:space="preserve">Petroleum Legislation Amendment and Repeal Act 2005 </w:t>
      </w:r>
      <w:r>
        <w:t>section 29(1) (which inserts section 66BA of the Act).</w:t>
      </w:r>
    </w:p>
    <w:p>
      <w:pPr>
        <w:pStyle w:val="Subsection"/>
      </w:pPr>
      <w:r>
        <w:lastRenderedPageBreak/>
        <w:tab/>
        <w:t>(2)</w:t>
      </w:r>
      <w:r>
        <w:tab/>
        <w:t xml:space="preserve">The </w:t>
      </w:r>
      <w:r>
        <w:rPr>
          <w:i/>
        </w:rPr>
        <w:t>Criminal Procedure Act 2004</w:t>
      </w:r>
      <w:r>
        <w:t xml:space="preserve"> section 21(2) as in effect immediately before the commencement of section 29(1) applies to an offence against the </w:t>
      </w:r>
      <w:r>
        <w:rPr>
          <w:i/>
        </w:rPr>
        <w:t>Petroleum Pipelines Act 1969</w:t>
      </w:r>
      <w:r>
        <w:t xml:space="preserve"> committed before that commencement as if section 29(1) had not been enacted.</w:t>
      </w:r>
    </w:p>
    <w:p>
      <w:pPr>
        <w:pStyle w:val="Footnotesection"/>
      </w:pPr>
      <w:r>
        <w:tab/>
        <w:t>[Regulation 24 inserted: Gazette 14 May 2010 p. 2020</w:t>
      </w:r>
      <w:r>
        <w:noBreakHyphen/>
        <w:t>1.]</w:t>
      </w:r>
    </w:p>
    <w:p>
      <w:pPr>
        <w:pStyle w:val="Ednotesection"/>
      </w:pPr>
      <w:r>
        <w:t>[</w:t>
      </w:r>
      <w:r>
        <w:rPr>
          <w:b/>
        </w:rPr>
        <w:t>25.</w:t>
      </w:r>
      <w:r>
        <w:tab/>
        <w:t>Deleted: Gazette 14 May 2010 p. 2021.]</w:t>
      </w:r>
    </w:p>
    <w:p>
      <w:pPr>
        <w:pStyle w:val="Heading5"/>
        <w:rPr>
          <w:snapToGrid w:val="0"/>
        </w:rPr>
      </w:pPr>
      <w:bookmarkStart w:id="14" w:name="_Toc103757963"/>
      <w:r>
        <w:rPr>
          <w:rStyle w:val="CharSectno"/>
        </w:rPr>
        <w:t>26</w:t>
      </w:r>
      <w:r>
        <w:rPr>
          <w:snapToGrid w:val="0"/>
        </w:rPr>
        <w:t>.</w:t>
      </w:r>
      <w:r>
        <w:rPr>
          <w:snapToGrid w:val="0"/>
        </w:rPr>
        <w:tab/>
        <w:t>Plan of operational procedure to be submitted with application under Act s. 36</w:t>
      </w:r>
      <w:bookmarkEnd w:id="14"/>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Ednotesection"/>
      </w:pPr>
      <w:r>
        <w:t>[</w:t>
      </w:r>
      <w:r>
        <w:rPr>
          <w:b/>
        </w:rPr>
        <w:t>27.</w:t>
      </w:r>
      <w:r>
        <w:tab/>
        <w:t>Deleted: Gazette 14 May 2010 p. 2021.]</w:t>
      </w:r>
    </w:p>
    <w:p>
      <w:pPr>
        <w:pStyle w:val="yEdnoteschedule"/>
      </w:pPr>
      <w:r>
        <w:t>[First Schedule deleted: Gazette 22 Jul 1994 p. 3780.]</w:t>
      </w:r>
    </w:p>
    <w:p>
      <w:pPr>
        <w:pStyle w:val="yEdnoteschedule"/>
      </w:pPr>
      <w:r>
        <w:t>[Second Schedule deleted: Gazette 14 May 2010 p. 2021.]</w:t>
      </w:r>
    </w:p>
    <w:p>
      <w:pPr>
        <w:rPr>
          <w:rStyle w:val="CharDivText"/>
        </w:rPr>
        <w:sectPr>
          <w:headerReference w:type="even" r:id="rId21"/>
          <w:headerReference w:type="default" r:id="rId22"/>
          <w:headerReference w:type="first" r:id="rId23"/>
          <w:pgSz w:w="11907" w:h="16840" w:code="9"/>
          <w:pgMar w:top="2381" w:right="2409" w:bottom="3543" w:left="2409" w:header="720" w:footer="3380" w:gutter="0"/>
          <w:pgNumType w:start="1"/>
          <w:cols w:space="720"/>
          <w:noEndnote/>
          <w:titlePg/>
          <w:docGrid w:linePitch="326"/>
        </w:sectPr>
      </w:pPr>
    </w:p>
    <w:p>
      <w:pPr>
        <w:pStyle w:val="yScheduleHeading"/>
      </w:pPr>
      <w:bookmarkStart w:id="15" w:name="_Toc103696437"/>
      <w:bookmarkStart w:id="16" w:name="_Toc103696561"/>
      <w:bookmarkStart w:id="17" w:name="_Toc103757964"/>
      <w:r>
        <w:rPr>
          <w:rStyle w:val="CharSchNo"/>
        </w:rPr>
        <w:lastRenderedPageBreak/>
        <w:t>Third Schedule</w:t>
      </w:r>
      <w:r>
        <w:t> — </w:t>
      </w:r>
      <w:r>
        <w:rPr>
          <w:rStyle w:val="CharSchText"/>
        </w:rPr>
        <w:t>Fees</w:t>
      </w:r>
      <w:bookmarkEnd w:id="15"/>
      <w:bookmarkEnd w:id="16"/>
      <w:bookmarkEnd w:id="17"/>
    </w:p>
    <w:p>
      <w:pPr>
        <w:pStyle w:val="yShoulderClause"/>
      </w:pPr>
      <w:r>
        <w:t>[r. 4]</w:t>
      </w:r>
    </w:p>
    <w:p>
      <w:pPr>
        <w:pStyle w:val="yFootnoteheading"/>
        <w:spacing w:after="120"/>
      </w:pPr>
      <w:r>
        <w:tab/>
        <w:t>[Heading inserted: SL 2021/85 r. 32.]</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3543"/>
        <w:gridCol w:w="1276"/>
        <w:gridCol w:w="1134"/>
      </w:tblGrid>
      <w:tr>
        <w:trPr>
          <w:cantSplit/>
          <w:tblHeader/>
        </w:trPr>
        <w:tc>
          <w:tcPr>
            <w:tcW w:w="851" w:type="dxa"/>
            <w:noWrap/>
          </w:tcPr>
          <w:p>
            <w:pPr>
              <w:pStyle w:val="yTableNAm"/>
              <w:rPr>
                <w:b/>
              </w:rPr>
            </w:pPr>
            <w:r>
              <w:rPr>
                <w:b/>
              </w:rPr>
              <w:t>Item</w:t>
            </w:r>
          </w:p>
        </w:tc>
        <w:tc>
          <w:tcPr>
            <w:tcW w:w="3543" w:type="dxa"/>
            <w:noWrap/>
          </w:tcPr>
          <w:p>
            <w:pPr>
              <w:pStyle w:val="yTableNAm"/>
              <w:rPr>
                <w:b/>
              </w:rPr>
            </w:pPr>
            <w:r>
              <w:rPr>
                <w:b/>
              </w:rPr>
              <w:t>Purpose</w:t>
            </w:r>
          </w:p>
        </w:tc>
        <w:tc>
          <w:tcPr>
            <w:tcW w:w="1276" w:type="dxa"/>
            <w:noWrap/>
          </w:tcPr>
          <w:p>
            <w:pPr>
              <w:pStyle w:val="yTableNAm"/>
              <w:rPr>
                <w:b/>
              </w:rPr>
            </w:pPr>
            <w:r>
              <w:rPr>
                <w:b/>
              </w:rPr>
              <w:t>Provision of Act</w:t>
            </w:r>
          </w:p>
        </w:tc>
        <w:tc>
          <w:tcPr>
            <w:tcW w:w="1134" w:type="dxa"/>
            <w:noWrap/>
            <w:vAlign w:val="center"/>
          </w:tcPr>
          <w:p>
            <w:pPr>
              <w:pStyle w:val="yTableNAm"/>
              <w:jc w:val="center"/>
              <w:rPr>
                <w:b/>
              </w:rPr>
            </w:pPr>
            <w:r>
              <w:rPr>
                <w:b/>
              </w:rPr>
              <w:t>Fee</w:t>
            </w:r>
            <w:r>
              <w:rPr>
                <w:b/>
              </w:rPr>
              <w:br/>
              <w:t>($)</w:t>
            </w:r>
          </w:p>
        </w:tc>
      </w:tr>
      <w:tr>
        <w:trPr>
          <w:cantSplit/>
        </w:trPr>
        <w:tc>
          <w:tcPr>
            <w:tcW w:w="851" w:type="dxa"/>
            <w:noWrap/>
          </w:tcPr>
          <w:p>
            <w:pPr>
              <w:pStyle w:val="yTableNAm"/>
            </w:pPr>
            <w:r>
              <w:t>1.</w:t>
            </w:r>
          </w:p>
        </w:tc>
        <w:tc>
          <w:tcPr>
            <w:tcW w:w="3543" w:type="dxa"/>
            <w:noWrap/>
          </w:tcPr>
          <w:p>
            <w:pPr>
              <w:pStyle w:val="yTableNAm"/>
            </w:pPr>
            <w:r>
              <w:t>Application for licence</w:t>
            </w:r>
          </w:p>
        </w:tc>
        <w:tc>
          <w:tcPr>
            <w:tcW w:w="1276" w:type="dxa"/>
            <w:noWrap/>
            <w:vAlign w:val="bottom"/>
          </w:tcPr>
          <w:p>
            <w:pPr>
              <w:pStyle w:val="yTableNAm"/>
            </w:pPr>
            <w:r>
              <w:t>s. 8(l)(j)</w:t>
            </w:r>
          </w:p>
        </w:tc>
        <w:tc>
          <w:tcPr>
            <w:tcW w:w="1134" w:type="dxa"/>
            <w:noWrap/>
            <w:vAlign w:val="bottom"/>
          </w:tcPr>
          <w:p>
            <w:pPr>
              <w:pStyle w:val="yTableNAm"/>
              <w:tabs>
                <w:tab w:val="clear" w:pos="567"/>
              </w:tabs>
              <w:ind w:right="98"/>
              <w:jc w:val="right"/>
              <w:rPr>
                <w:szCs w:val="22"/>
              </w:rPr>
            </w:pPr>
            <w:r>
              <w:rPr>
                <w:szCs w:val="22"/>
              </w:rPr>
              <w:t>7 550.00</w:t>
            </w:r>
          </w:p>
        </w:tc>
      </w:tr>
      <w:tr>
        <w:trPr>
          <w:cantSplit/>
        </w:trPr>
        <w:tc>
          <w:tcPr>
            <w:tcW w:w="851" w:type="dxa"/>
            <w:noWrap/>
          </w:tcPr>
          <w:p>
            <w:pPr>
              <w:pStyle w:val="yTableNAm"/>
            </w:pPr>
            <w:r>
              <w:t>2.</w:t>
            </w:r>
          </w:p>
        </w:tc>
        <w:tc>
          <w:tcPr>
            <w:tcW w:w="3543" w:type="dxa"/>
            <w:noWrap/>
          </w:tcPr>
          <w:p>
            <w:pPr>
              <w:pStyle w:val="yTableNAm"/>
            </w:pPr>
            <w:r>
              <w:t>Application for variation of licence</w:t>
            </w:r>
          </w:p>
        </w:tc>
        <w:tc>
          <w:tcPr>
            <w:tcW w:w="1276" w:type="dxa"/>
            <w:noWrap/>
            <w:vAlign w:val="bottom"/>
          </w:tcPr>
          <w:p>
            <w:pPr>
              <w:pStyle w:val="yTableNAm"/>
            </w:pPr>
            <w:r>
              <w:t>s. 15(2)(d)</w:t>
            </w:r>
          </w:p>
        </w:tc>
        <w:tc>
          <w:tcPr>
            <w:tcW w:w="1134" w:type="dxa"/>
            <w:noWrap/>
            <w:vAlign w:val="bottom"/>
          </w:tcPr>
          <w:p>
            <w:pPr>
              <w:pStyle w:val="yTableNAm"/>
              <w:tabs>
                <w:tab w:val="clear" w:pos="567"/>
              </w:tabs>
              <w:ind w:right="98"/>
              <w:jc w:val="right"/>
              <w:rPr>
                <w:szCs w:val="22"/>
              </w:rPr>
            </w:pPr>
            <w:r>
              <w:rPr>
                <w:szCs w:val="22"/>
              </w:rPr>
              <w:t>7 550.00</w:t>
            </w:r>
          </w:p>
        </w:tc>
      </w:tr>
      <w:tr>
        <w:trPr>
          <w:cantSplit/>
        </w:trPr>
        <w:tc>
          <w:tcPr>
            <w:tcW w:w="851" w:type="dxa"/>
            <w:noWrap/>
          </w:tcPr>
          <w:p>
            <w:pPr>
              <w:pStyle w:val="yTableNAm"/>
            </w:pPr>
            <w:r>
              <w:t>3.</w:t>
            </w:r>
          </w:p>
        </w:tc>
        <w:tc>
          <w:tcPr>
            <w:tcW w:w="3543" w:type="dxa"/>
            <w:noWrap/>
          </w:tcPr>
          <w:p>
            <w:pPr>
              <w:pStyle w:val="yTableNAm"/>
            </w:pPr>
            <w:r>
              <w:t>Registration of memorandum of transfer and name of transferee</w:t>
            </w:r>
          </w:p>
        </w:tc>
        <w:tc>
          <w:tcPr>
            <w:tcW w:w="1276" w:type="dxa"/>
            <w:noWrap/>
            <w:vAlign w:val="bottom"/>
          </w:tcPr>
          <w:p>
            <w:pPr>
              <w:pStyle w:val="yTableNAm"/>
            </w:pPr>
            <w:r>
              <w:t>s. 44(9)</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4.</w:t>
            </w:r>
          </w:p>
        </w:tc>
        <w:tc>
          <w:tcPr>
            <w:tcW w:w="3543" w:type="dxa"/>
            <w:noWrap/>
          </w:tcPr>
          <w:p>
            <w:pPr>
              <w:pStyle w:val="yTableNAm"/>
            </w:pPr>
            <w:r>
              <w:t>Registration as licensee on devolution by operation of law</w:t>
            </w:r>
          </w:p>
        </w:tc>
        <w:tc>
          <w:tcPr>
            <w:tcW w:w="1276" w:type="dxa"/>
            <w:noWrap/>
            <w:vAlign w:val="bottom"/>
          </w:tcPr>
          <w:p>
            <w:pPr>
              <w:pStyle w:val="yTableNAm"/>
            </w:pPr>
            <w:r>
              <w:t>s. 45(2)</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5.</w:t>
            </w:r>
          </w:p>
        </w:tc>
        <w:tc>
          <w:tcPr>
            <w:tcW w:w="3543" w:type="dxa"/>
            <w:noWrap/>
          </w:tcPr>
          <w:p>
            <w:pPr>
              <w:pStyle w:val="yTableNAm"/>
            </w:pPr>
            <w:r>
              <w:t>Application by company licensee for registration of change of name</w:t>
            </w:r>
          </w:p>
        </w:tc>
        <w:tc>
          <w:tcPr>
            <w:tcW w:w="1276" w:type="dxa"/>
            <w:noWrap/>
            <w:vAlign w:val="bottom"/>
          </w:tcPr>
          <w:p>
            <w:pPr>
              <w:pStyle w:val="yTableNAm"/>
            </w:pPr>
            <w:r>
              <w:t>s. 45(3)</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6.</w:t>
            </w:r>
          </w:p>
        </w:tc>
        <w:tc>
          <w:tcPr>
            <w:tcW w:w="3543" w:type="dxa"/>
            <w:noWrap/>
          </w:tcPr>
          <w:p>
            <w:pPr>
              <w:pStyle w:val="yTableNAm"/>
            </w:pPr>
            <w:r>
              <w:t>Entry on memorial of registration of approval of dealing</w:t>
            </w:r>
          </w:p>
        </w:tc>
        <w:tc>
          <w:tcPr>
            <w:tcW w:w="1276" w:type="dxa"/>
            <w:noWrap/>
            <w:vAlign w:val="bottom"/>
          </w:tcPr>
          <w:p>
            <w:pPr>
              <w:pStyle w:val="yTableNAm"/>
            </w:pPr>
            <w:r>
              <w:t>s. 47(12)</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7.</w:t>
            </w:r>
          </w:p>
        </w:tc>
        <w:tc>
          <w:tcPr>
            <w:tcW w:w="3543" w:type="dxa"/>
            <w:noWrap/>
          </w:tcPr>
          <w:p>
            <w:pPr>
              <w:pStyle w:val="yTableNAm"/>
            </w:pPr>
            <w:r>
              <w:t>Inspection of register</w:t>
            </w:r>
          </w:p>
        </w:tc>
        <w:tc>
          <w:tcPr>
            <w:tcW w:w="1276" w:type="dxa"/>
            <w:noWrap/>
            <w:vAlign w:val="bottom"/>
          </w:tcPr>
          <w:p>
            <w:pPr>
              <w:pStyle w:val="yTableNAm"/>
            </w:pPr>
            <w:r>
              <w:t>s. 52(1)</w:t>
            </w:r>
          </w:p>
        </w:tc>
        <w:tc>
          <w:tcPr>
            <w:tcW w:w="1134" w:type="dxa"/>
            <w:noWrap/>
            <w:vAlign w:val="bottom"/>
          </w:tcPr>
          <w:p>
            <w:pPr>
              <w:pStyle w:val="yTableNAm"/>
              <w:tabs>
                <w:tab w:val="clear" w:pos="567"/>
              </w:tabs>
              <w:ind w:right="98"/>
              <w:jc w:val="right"/>
            </w:pPr>
            <w:r>
              <w:t>142.00</w:t>
            </w:r>
          </w:p>
        </w:tc>
      </w:tr>
      <w:tr>
        <w:trPr>
          <w:cantSplit/>
        </w:trPr>
        <w:tc>
          <w:tcPr>
            <w:tcW w:w="851" w:type="dxa"/>
            <w:noWrap/>
          </w:tcPr>
          <w:p>
            <w:pPr>
              <w:pStyle w:val="yTableNAm"/>
            </w:pPr>
            <w:r>
              <w:t>8.</w:t>
            </w:r>
          </w:p>
        </w:tc>
        <w:tc>
          <w:tcPr>
            <w:tcW w:w="3543" w:type="dxa"/>
            <w:noWrap/>
          </w:tcPr>
          <w:p>
            <w:pPr>
              <w:pStyle w:val="yTableNAm"/>
            </w:pPr>
            <w:r>
              <w:t>Copies of or extracts from the register or of or from an instrument certified by Minister</w:t>
            </w:r>
          </w:p>
        </w:tc>
        <w:tc>
          <w:tcPr>
            <w:tcW w:w="1276" w:type="dxa"/>
            <w:noWrap/>
            <w:vAlign w:val="bottom"/>
          </w:tcPr>
          <w:p>
            <w:pPr>
              <w:pStyle w:val="yTableNAm"/>
            </w:pPr>
            <w:r>
              <w:t>s. 53(2)</w:t>
            </w:r>
          </w:p>
        </w:tc>
        <w:tc>
          <w:tcPr>
            <w:tcW w:w="1134" w:type="dxa"/>
            <w:noWrap/>
            <w:vAlign w:val="bottom"/>
          </w:tcPr>
          <w:p>
            <w:pPr>
              <w:pStyle w:val="yTableNAm"/>
              <w:tabs>
                <w:tab w:val="clear" w:pos="567"/>
              </w:tabs>
              <w:ind w:right="98"/>
              <w:jc w:val="right"/>
              <w:rPr>
                <w:rStyle w:val="DraftersNotes"/>
                <w:b w:val="0"/>
                <w:i w:val="0"/>
              </w:rPr>
            </w:pPr>
            <w:r>
              <w:t>149.00 per page</w:t>
            </w:r>
          </w:p>
        </w:tc>
      </w:tr>
      <w:tr>
        <w:trPr>
          <w:cantSplit/>
        </w:trPr>
        <w:tc>
          <w:tcPr>
            <w:tcW w:w="851" w:type="dxa"/>
            <w:noWrap/>
          </w:tcPr>
          <w:p>
            <w:pPr>
              <w:pStyle w:val="yTableNAm"/>
            </w:pPr>
            <w:r>
              <w:t>9.</w:t>
            </w:r>
          </w:p>
        </w:tc>
        <w:tc>
          <w:tcPr>
            <w:tcW w:w="3543" w:type="dxa"/>
            <w:noWrap/>
          </w:tcPr>
          <w:p>
            <w:pPr>
              <w:pStyle w:val="yTableNAm"/>
            </w:pPr>
            <w:r>
              <w:t>Certificate by Minister as to entry, matter or things under the Act</w:t>
            </w:r>
          </w:p>
        </w:tc>
        <w:tc>
          <w:tcPr>
            <w:tcW w:w="1276" w:type="dxa"/>
            <w:noWrap/>
            <w:vAlign w:val="bottom"/>
          </w:tcPr>
          <w:p>
            <w:pPr>
              <w:pStyle w:val="yTableNAm"/>
            </w:pPr>
            <w:r>
              <w:t>s. 53(3)</w:t>
            </w:r>
          </w:p>
        </w:tc>
        <w:tc>
          <w:tcPr>
            <w:tcW w:w="1134" w:type="dxa"/>
            <w:noWrap/>
            <w:vAlign w:val="bottom"/>
          </w:tcPr>
          <w:p>
            <w:pPr>
              <w:pStyle w:val="yTableNAm"/>
              <w:tabs>
                <w:tab w:val="clear" w:pos="567"/>
              </w:tabs>
              <w:ind w:right="98"/>
              <w:jc w:val="right"/>
            </w:pPr>
            <w:r>
              <w:t>142.00</w:t>
            </w:r>
          </w:p>
        </w:tc>
      </w:tr>
    </w:tbl>
    <w:p>
      <w:pPr>
        <w:pStyle w:val="yFootnotesection"/>
      </w:pPr>
      <w:r>
        <w:tab/>
        <w:t>[Third Schedule inserted: SL 2021/85 r. 32.]</w:t>
      </w:r>
    </w:p>
    <w:p>
      <w:pPr>
        <w:pStyle w:val="yFootnotesection"/>
      </w:pPr>
    </w:p>
    <w:p>
      <w:pPr>
        <w:pStyle w:val="yFootnotesection"/>
        <w:sectPr>
          <w:headerReference w:type="even" r:id="rId24"/>
          <w:headerReference w:type="default" r:id="rId25"/>
          <w:headerReference w:type="first" r:id="rId26"/>
          <w:pgSz w:w="11907" w:h="16840" w:code="9"/>
          <w:pgMar w:top="2381" w:right="2409" w:bottom="3543" w:left="2409" w:header="720" w:footer="3380" w:gutter="0"/>
          <w:cols w:space="720"/>
          <w:noEndnote/>
          <w:docGrid w:linePitch="326"/>
        </w:sectPr>
      </w:pPr>
    </w:p>
    <w:p>
      <w:pPr>
        <w:pStyle w:val="yScheduleHeading"/>
      </w:pPr>
      <w:bookmarkStart w:id="19" w:name="_Toc103696438"/>
      <w:bookmarkStart w:id="20" w:name="_Toc103696562"/>
      <w:bookmarkStart w:id="21" w:name="_Toc103757965"/>
      <w:r>
        <w:rPr>
          <w:rStyle w:val="CharSchNo"/>
        </w:rPr>
        <w:lastRenderedPageBreak/>
        <w:t>Fourth Schedule</w:t>
      </w:r>
      <w:bookmarkEnd w:id="19"/>
      <w:bookmarkEnd w:id="20"/>
      <w:bookmarkEnd w:id="21"/>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Gazette 28 Sep 1990 p. 5105.]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right="132"/>
      </w:pPr>
    </w:p>
    <w:p>
      <w:pPr>
        <w:ind w:right="132"/>
        <w:jc w:val="right"/>
        <w:sectPr>
          <w:headerReference w:type="default" r:id="rId28"/>
          <w:pgSz w:w="11907" w:h="16840" w:code="9"/>
          <w:pgMar w:top="2381" w:right="2409" w:bottom="3543" w:left="2409" w:header="720" w:footer="3380" w:gutter="0"/>
          <w:cols w:space="720"/>
          <w:noEndnote/>
          <w:docGrid w:linePitch="326"/>
        </w:sectPr>
      </w:pPr>
    </w:p>
    <w:p>
      <w:pPr>
        <w:pStyle w:val="nHeading2"/>
      </w:pPr>
      <w:bookmarkStart w:id="22" w:name="_Toc103696439"/>
      <w:bookmarkStart w:id="23" w:name="_Toc103696563"/>
      <w:bookmarkStart w:id="24" w:name="_Toc103757966"/>
      <w:r>
        <w:lastRenderedPageBreak/>
        <w:t>Notes</w:t>
      </w:r>
      <w:bookmarkEnd w:id="22"/>
      <w:bookmarkEnd w:id="23"/>
      <w:bookmarkEnd w:id="24"/>
    </w:p>
    <w:p>
      <w:pPr>
        <w:pStyle w:val="nStatement"/>
      </w:pPr>
      <w:r>
        <w:t xml:space="preserve">This is a compilation of the </w:t>
      </w:r>
      <w:r>
        <w:rPr>
          <w:i/>
          <w:noProof/>
        </w:rPr>
        <w:t>Petroleum Pipelines Regulations 1970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5" w:name="_Toc103757967"/>
      <w:r>
        <w:t>Compilation table</w:t>
      </w:r>
      <w:bookmarkEnd w:id="25"/>
    </w:p>
    <w:tbl>
      <w:tblPr>
        <w:tblW w:w="709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0"/>
        <w:gridCol w:w="8"/>
        <w:gridCol w:w="1268"/>
        <w:gridCol w:w="6"/>
        <w:gridCol w:w="2688"/>
        <w:gridCol w:w="9"/>
      </w:tblGrid>
      <w:tr>
        <w:trPr>
          <w:gridAfter w:val="1"/>
          <w:wAfter w:w="9" w:type="dxa"/>
          <w:tblHeader/>
        </w:trPr>
        <w:tc>
          <w:tcPr>
            <w:tcW w:w="3118"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4"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Borders>
              <w:top w:val="single" w:sz="8" w:space="0" w:color="auto"/>
            </w:tcBorders>
          </w:tcPr>
          <w:p>
            <w:pPr>
              <w:pStyle w:val="nTable"/>
              <w:spacing w:after="40"/>
              <w:ind w:right="113"/>
            </w:pPr>
            <w:r>
              <w:rPr>
                <w:i/>
              </w:rPr>
              <w:t>Petroleum Pipelines Regulations 1970</w:t>
            </w:r>
          </w:p>
        </w:tc>
        <w:tc>
          <w:tcPr>
            <w:tcW w:w="1274" w:type="dxa"/>
            <w:gridSpan w:val="2"/>
            <w:tcBorders>
              <w:top w:val="single" w:sz="8" w:space="0" w:color="auto"/>
            </w:tcBorders>
          </w:tcPr>
          <w:p>
            <w:pPr>
              <w:pStyle w:val="nTable"/>
              <w:spacing w:after="40"/>
            </w:pPr>
            <w:r>
              <w:t>30 Jul 1970 p. 2242</w:t>
            </w:r>
            <w:r>
              <w:noBreakHyphen/>
              <w:t>52</w:t>
            </w:r>
          </w:p>
        </w:tc>
        <w:tc>
          <w:tcPr>
            <w:tcW w:w="2697" w:type="dxa"/>
            <w:gridSpan w:val="2"/>
            <w:tcBorders>
              <w:top w:val="single" w:sz="8" w:space="0" w:color="auto"/>
            </w:tcBorders>
          </w:tcPr>
          <w:p>
            <w:pPr>
              <w:pStyle w:val="nTable"/>
              <w:spacing w:after="40"/>
            </w:pPr>
            <w:r>
              <w:t>30 Jul 1970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1983</w:t>
            </w:r>
          </w:p>
        </w:tc>
        <w:tc>
          <w:tcPr>
            <w:tcW w:w="1274" w:type="dxa"/>
            <w:gridSpan w:val="2"/>
          </w:tcPr>
          <w:p>
            <w:pPr>
              <w:pStyle w:val="nTable"/>
              <w:spacing w:after="40"/>
            </w:pPr>
            <w:r>
              <w:t>11 Nov 1983 p. 4543</w:t>
            </w:r>
          </w:p>
        </w:tc>
        <w:tc>
          <w:tcPr>
            <w:tcW w:w="2697" w:type="dxa"/>
            <w:gridSpan w:val="2"/>
          </w:tcPr>
          <w:p>
            <w:pPr>
              <w:pStyle w:val="nTable"/>
              <w:spacing w:after="40"/>
            </w:pPr>
            <w:r>
              <w:t xml:space="preserve">11 Nov 1983 (see r. 2 and </w:t>
            </w:r>
            <w:r>
              <w:rPr>
                <w:i/>
              </w:rPr>
              <w:t>Gazette</w:t>
            </w:r>
            <w:r>
              <w:t xml:space="preserve"> 11 Nov 1983 p. 4503)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1990</w:t>
            </w:r>
          </w:p>
        </w:tc>
        <w:tc>
          <w:tcPr>
            <w:tcW w:w="1274" w:type="dxa"/>
            <w:gridSpan w:val="2"/>
          </w:tcPr>
          <w:p>
            <w:pPr>
              <w:pStyle w:val="nTable"/>
              <w:spacing w:after="40"/>
            </w:pPr>
            <w:r>
              <w:t>28 Sep 1990 p. 5103</w:t>
            </w:r>
            <w:r>
              <w:noBreakHyphen/>
              <w:t>5</w:t>
            </w:r>
          </w:p>
        </w:tc>
        <w:tc>
          <w:tcPr>
            <w:tcW w:w="2697" w:type="dxa"/>
            <w:gridSpan w:val="2"/>
          </w:tcPr>
          <w:p>
            <w:pPr>
              <w:pStyle w:val="nTable"/>
              <w:spacing w:after="40"/>
            </w:pPr>
            <w:r>
              <w:t xml:space="preserve">1 Oct 1990 (see r. 2 and </w:t>
            </w:r>
            <w:r>
              <w:rPr>
                <w:i/>
              </w:rPr>
              <w:t>Gazette</w:t>
            </w:r>
            <w:r>
              <w:t xml:space="preserve"> 28 Sep 1990 p. 5099)</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1993</w:t>
            </w:r>
          </w:p>
        </w:tc>
        <w:tc>
          <w:tcPr>
            <w:tcW w:w="1274" w:type="dxa"/>
            <w:gridSpan w:val="2"/>
          </w:tcPr>
          <w:p>
            <w:pPr>
              <w:pStyle w:val="nTable"/>
              <w:spacing w:after="40"/>
            </w:pPr>
            <w:r>
              <w:t>24 Dec 1993 p. 6832</w:t>
            </w:r>
            <w:r>
              <w:noBreakHyphen/>
              <w:t>3</w:t>
            </w:r>
          </w:p>
        </w:tc>
        <w:tc>
          <w:tcPr>
            <w:tcW w:w="2697" w:type="dxa"/>
            <w:gridSpan w:val="2"/>
          </w:tcPr>
          <w:p>
            <w:pPr>
              <w:pStyle w:val="nTable"/>
              <w:spacing w:after="40"/>
            </w:pPr>
            <w:r>
              <w:t>24 Dec 1993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pPr>
            <w:r>
              <w:rPr>
                <w:i/>
              </w:rPr>
              <w:t>Petroleum Pipelines Amendment Regulations 1994</w:t>
            </w:r>
          </w:p>
        </w:tc>
        <w:tc>
          <w:tcPr>
            <w:tcW w:w="1274" w:type="dxa"/>
            <w:gridSpan w:val="2"/>
          </w:tcPr>
          <w:p>
            <w:pPr>
              <w:pStyle w:val="nTable"/>
              <w:spacing w:after="40"/>
            </w:pPr>
            <w:r>
              <w:t>22 Jul 1994 p. 3780</w:t>
            </w:r>
          </w:p>
        </w:tc>
        <w:tc>
          <w:tcPr>
            <w:tcW w:w="2697" w:type="dxa"/>
            <w:gridSpan w:val="2"/>
          </w:tcPr>
          <w:p>
            <w:pPr>
              <w:pStyle w:val="nTable"/>
              <w:spacing w:after="40"/>
            </w:pPr>
            <w:r>
              <w:t xml:space="preserve">22 Jul 1994 (see r. 2 and </w:t>
            </w:r>
            <w:r>
              <w:rPr>
                <w:i/>
              </w:rPr>
              <w:t>Gazette</w:t>
            </w:r>
            <w:r>
              <w:t xml:space="preserve"> 22 Jul 1994 p. 3728)</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2000</w:t>
            </w:r>
          </w:p>
        </w:tc>
        <w:tc>
          <w:tcPr>
            <w:tcW w:w="1274" w:type="dxa"/>
            <w:gridSpan w:val="2"/>
          </w:tcPr>
          <w:p>
            <w:pPr>
              <w:pStyle w:val="nTable"/>
              <w:spacing w:after="40"/>
            </w:pPr>
            <w:r>
              <w:t>8 Feb 2000 p. 455</w:t>
            </w:r>
            <w:r>
              <w:noBreakHyphen/>
              <w:t>6</w:t>
            </w:r>
          </w:p>
        </w:tc>
        <w:tc>
          <w:tcPr>
            <w:tcW w:w="2697" w:type="dxa"/>
            <w:gridSpan w:val="2"/>
          </w:tcPr>
          <w:p>
            <w:pPr>
              <w:pStyle w:val="nTable"/>
              <w:spacing w:after="40"/>
            </w:pPr>
            <w:r>
              <w:t>8 Feb 2000</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2000</w:t>
            </w:r>
          </w:p>
        </w:tc>
        <w:tc>
          <w:tcPr>
            <w:tcW w:w="1274" w:type="dxa"/>
            <w:gridSpan w:val="2"/>
          </w:tcPr>
          <w:p>
            <w:pPr>
              <w:pStyle w:val="nTable"/>
              <w:spacing w:after="40"/>
            </w:pPr>
            <w:r>
              <w:t xml:space="preserve">27 Jun 2000 </w:t>
            </w:r>
            <w:r>
              <w:br/>
              <w:t>p. 3251</w:t>
            </w:r>
          </w:p>
        </w:tc>
        <w:tc>
          <w:tcPr>
            <w:tcW w:w="2697" w:type="dxa"/>
            <w:gridSpan w:val="2"/>
          </w:tcPr>
          <w:p>
            <w:pPr>
              <w:pStyle w:val="nTable"/>
              <w:spacing w:after="40"/>
            </w:pPr>
            <w:r>
              <w:t>1 Jul 2000 (see r. 2)</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ind w:right="113"/>
            </w:pPr>
            <w:r>
              <w:rPr>
                <w:b/>
              </w:rPr>
              <w:t xml:space="preserve">Reprint of the </w:t>
            </w:r>
            <w:r>
              <w:rPr>
                <w:b/>
                <w:i/>
              </w:rPr>
              <w:t>Petroleum Pipelines Regulations 1970</w:t>
            </w:r>
            <w:r>
              <w:rPr>
                <w:b/>
              </w:rPr>
              <w:t xml:space="preserve"> as at 18 May 2001</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2002</w:t>
            </w:r>
          </w:p>
        </w:tc>
        <w:tc>
          <w:tcPr>
            <w:tcW w:w="1274" w:type="dxa"/>
            <w:gridSpan w:val="2"/>
          </w:tcPr>
          <w:p>
            <w:pPr>
              <w:pStyle w:val="nTable"/>
              <w:spacing w:after="40"/>
            </w:pPr>
            <w:r>
              <w:t>28 Jun 2002 p. 3095</w:t>
            </w:r>
            <w:r>
              <w:noBreakHyphen/>
              <w:t>6</w:t>
            </w:r>
          </w:p>
        </w:tc>
        <w:tc>
          <w:tcPr>
            <w:tcW w:w="2697" w:type="dxa"/>
            <w:gridSpan w:val="2"/>
          </w:tcPr>
          <w:p>
            <w:pPr>
              <w:pStyle w:val="nTable"/>
              <w:spacing w:after="40"/>
            </w:pPr>
            <w:r>
              <w:t>1 Jul 2002 (see r. 2)</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2003</w:t>
            </w:r>
          </w:p>
        </w:tc>
        <w:tc>
          <w:tcPr>
            <w:tcW w:w="1274" w:type="dxa"/>
            <w:gridSpan w:val="2"/>
          </w:tcPr>
          <w:p>
            <w:pPr>
              <w:pStyle w:val="nTable"/>
              <w:spacing w:after="40"/>
            </w:pPr>
            <w:r>
              <w:t>28 Feb 2003 p. 671</w:t>
            </w:r>
            <w:r>
              <w:noBreakHyphen/>
              <w:t>2</w:t>
            </w:r>
          </w:p>
        </w:tc>
        <w:tc>
          <w:tcPr>
            <w:tcW w:w="2697" w:type="dxa"/>
            <w:gridSpan w:val="2"/>
          </w:tcPr>
          <w:p>
            <w:pPr>
              <w:pStyle w:val="nTable"/>
              <w:spacing w:after="40"/>
            </w:pPr>
            <w:r>
              <w:t>28 Feb 2003</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2) 2009</w:t>
            </w:r>
          </w:p>
        </w:tc>
        <w:tc>
          <w:tcPr>
            <w:tcW w:w="1274" w:type="dxa"/>
            <w:gridSpan w:val="2"/>
          </w:tcPr>
          <w:p>
            <w:pPr>
              <w:pStyle w:val="nTable"/>
              <w:spacing w:after="40"/>
            </w:pPr>
            <w:r>
              <w:t>23 Jun 2009 p. 2478</w:t>
            </w:r>
            <w:r>
              <w:noBreakHyphen/>
              <w:t>80</w:t>
            </w:r>
          </w:p>
        </w:tc>
        <w:tc>
          <w:tcPr>
            <w:tcW w:w="2697" w:type="dxa"/>
            <w:gridSpan w:val="2"/>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2010</w:t>
            </w:r>
          </w:p>
        </w:tc>
        <w:tc>
          <w:tcPr>
            <w:tcW w:w="1274" w:type="dxa"/>
            <w:gridSpan w:val="2"/>
          </w:tcPr>
          <w:p>
            <w:pPr>
              <w:pStyle w:val="nTable"/>
              <w:spacing w:after="40"/>
            </w:pPr>
            <w:r>
              <w:t>9 Feb 2010 p. 269</w:t>
            </w:r>
          </w:p>
        </w:tc>
        <w:tc>
          <w:tcPr>
            <w:tcW w:w="2697" w:type="dxa"/>
            <w:gridSpan w:val="2"/>
          </w:tcPr>
          <w:p>
            <w:pPr>
              <w:pStyle w:val="nTable"/>
              <w:spacing w:after="40"/>
              <w:rPr>
                <w:snapToGrid w:val="0"/>
              </w:rPr>
            </w:pPr>
            <w:r>
              <w:rPr>
                <w:snapToGrid w:val="0"/>
              </w:rPr>
              <w:t>r. 1 and 2: 9 Feb 2010 (see r. 2(a));</w:t>
            </w:r>
            <w:r>
              <w:rPr>
                <w:snapToGrid w:val="0"/>
              </w:rPr>
              <w:br/>
              <w:t>Regulations other than r. 1 and 2: 10 Feb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3) 2010</w:t>
            </w:r>
          </w:p>
        </w:tc>
        <w:tc>
          <w:tcPr>
            <w:tcW w:w="1274" w:type="dxa"/>
            <w:gridSpan w:val="2"/>
          </w:tcPr>
          <w:p>
            <w:pPr>
              <w:pStyle w:val="nTable"/>
              <w:spacing w:after="40"/>
            </w:pPr>
            <w:r>
              <w:t>11 May 2010 p. 1823</w:t>
            </w:r>
            <w:r>
              <w:noBreakHyphen/>
              <w:t>4</w:t>
            </w:r>
          </w:p>
        </w:tc>
        <w:tc>
          <w:tcPr>
            <w:tcW w:w="2697" w:type="dxa"/>
            <w:gridSpan w:val="2"/>
          </w:tcPr>
          <w:p>
            <w:pPr>
              <w:pStyle w:val="nTable"/>
              <w:spacing w:after="40"/>
              <w:rPr>
                <w:snapToGrid w:val="0"/>
              </w:rPr>
            </w:pPr>
            <w:r>
              <w:rPr>
                <w:snapToGrid w:val="0"/>
              </w:rPr>
              <w:t>r. 1 and 2: 11 May 2010 (see r. 2(a));</w:t>
            </w:r>
            <w:r>
              <w:rPr>
                <w:snapToGrid w:val="0"/>
              </w:rPr>
              <w:br/>
              <w:t>Regulations other than r. 1 and 2: 12 May 2010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lastRenderedPageBreak/>
              <w:t>Petroleum Pipelines Amendment Regulations (No. 2) 2010</w:t>
            </w:r>
          </w:p>
        </w:tc>
        <w:tc>
          <w:tcPr>
            <w:tcW w:w="1274" w:type="dxa"/>
            <w:gridSpan w:val="2"/>
          </w:tcPr>
          <w:p>
            <w:pPr>
              <w:pStyle w:val="nTable"/>
              <w:spacing w:after="40"/>
            </w:pPr>
            <w:r>
              <w:t>14 May 2010 p. 2018</w:t>
            </w:r>
            <w:r>
              <w:noBreakHyphen/>
              <w:t>21</w:t>
            </w:r>
          </w:p>
        </w:tc>
        <w:tc>
          <w:tcPr>
            <w:tcW w:w="2697" w:type="dxa"/>
            <w:gridSpan w:val="2"/>
          </w:tcPr>
          <w:p>
            <w:pPr>
              <w:pStyle w:val="nTable"/>
              <w:spacing w:after="40"/>
              <w:rPr>
                <w:snapToGrid w:val="0"/>
              </w:rPr>
            </w:pPr>
            <w:r>
              <w:rPr>
                <w:snapToGrid w:val="0"/>
              </w:rPr>
              <w:t>r. 1 and 2: 14 May 2010 (see r. 2(a));</w:t>
            </w:r>
            <w:r>
              <w:rPr>
                <w:snapToGrid w:val="0"/>
              </w:rPr>
              <w:br/>
              <w:t xml:space="preserve">Regulations other than r. 1 and 2: 15 May 2010 (see r. 2(b) and </w:t>
            </w:r>
            <w:r>
              <w:rPr>
                <w:i/>
                <w:iCs/>
                <w:snapToGrid w:val="0"/>
              </w:rPr>
              <w:t>Gazette</w:t>
            </w:r>
            <w:r>
              <w:rPr>
                <w:snapToGrid w:val="0"/>
              </w:rPr>
              <w:t xml:space="preserve"> 14 May 2010 p. 2015)</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tcPr>
          <w:p>
            <w:pPr>
              <w:pStyle w:val="nTable"/>
              <w:spacing w:after="40"/>
              <w:ind w:right="113"/>
              <w:rPr>
                <w:i/>
              </w:rPr>
            </w:pPr>
            <w:r>
              <w:rPr>
                <w:i/>
              </w:rPr>
              <w:t>Petroleum Pipelines Amendment Regulations (No. 4) 2010</w:t>
            </w:r>
          </w:p>
        </w:tc>
        <w:tc>
          <w:tcPr>
            <w:tcW w:w="1274" w:type="dxa"/>
            <w:gridSpan w:val="2"/>
          </w:tcPr>
          <w:p>
            <w:pPr>
              <w:pStyle w:val="nTable"/>
              <w:spacing w:after="40"/>
            </w:pPr>
            <w:r>
              <w:t>16 Jul 2010 p. 3363</w:t>
            </w:r>
            <w:r>
              <w:noBreakHyphen/>
              <w:t>4</w:t>
            </w:r>
          </w:p>
        </w:tc>
        <w:tc>
          <w:tcPr>
            <w:tcW w:w="2697" w:type="dxa"/>
            <w:gridSpan w:val="2"/>
          </w:tcPr>
          <w:p>
            <w:pPr>
              <w:pStyle w:val="nTable"/>
              <w:spacing w:after="40"/>
              <w:rPr>
                <w:snapToGrid w:val="0"/>
              </w:rPr>
            </w:pPr>
            <w:r>
              <w:rPr>
                <w:snapToGrid w:val="0"/>
              </w:rPr>
              <w:t>r. 1 and 2: 16 Jul 2010 (see r. 2(a));</w:t>
            </w:r>
            <w:r>
              <w:rPr>
                <w:snapToGrid w:val="0"/>
              </w:rPr>
              <w:br/>
              <w:t>Regulations other than r. 1 and 2: 17 Jul 2010 (see r. 2(b)(ii))</w:t>
            </w:r>
          </w:p>
        </w:tc>
      </w:tr>
      <w:tr>
        <w:tblPrEx>
          <w:tblBorders>
            <w:top w:val="none" w:sz="0" w:space="0" w:color="auto"/>
            <w:bottom w:val="none" w:sz="0" w:space="0" w:color="auto"/>
            <w:insideH w:val="none" w:sz="0" w:space="0" w:color="auto"/>
          </w:tblBorders>
        </w:tblPrEx>
        <w:trPr>
          <w:gridBefore w:val="1"/>
          <w:wBefore w:w="8" w:type="dxa"/>
          <w:cantSplit/>
        </w:trPr>
        <w:tc>
          <w:tcPr>
            <w:tcW w:w="7089" w:type="dxa"/>
            <w:gridSpan w:val="6"/>
          </w:tcPr>
          <w:p>
            <w:pPr>
              <w:pStyle w:val="nTable"/>
              <w:spacing w:after="40"/>
              <w:rPr>
                <w:snapToGrid w:val="0"/>
              </w:rPr>
            </w:pPr>
            <w:r>
              <w:rPr>
                <w:b/>
              </w:rPr>
              <w:t xml:space="preserve">Reprint 2:  The </w:t>
            </w:r>
            <w:r>
              <w:rPr>
                <w:b/>
                <w:i/>
              </w:rPr>
              <w:t>Petroleum Pipelines Regulations 1970</w:t>
            </w:r>
            <w:r>
              <w:rPr>
                <w:b/>
              </w:rPr>
              <w:t xml:space="preserve"> as at 13 Aug 2010</w:t>
            </w:r>
            <w:r>
              <w:rPr>
                <w:b/>
              </w:rPr>
              <w:br/>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2011</w:t>
            </w:r>
          </w:p>
        </w:tc>
        <w:tc>
          <w:tcPr>
            <w:tcW w:w="1274" w:type="dxa"/>
            <w:gridSpan w:val="2"/>
            <w:shd w:val="clear" w:color="auto" w:fill="auto"/>
          </w:tcPr>
          <w:p>
            <w:pPr>
              <w:pStyle w:val="nTable"/>
              <w:spacing w:after="40"/>
            </w:pPr>
            <w:r>
              <w:t>1 Jul 2011 p. 2739</w:t>
            </w:r>
            <w:r>
              <w:noBreakHyphen/>
              <w:t>41</w:t>
            </w:r>
          </w:p>
        </w:tc>
        <w:tc>
          <w:tcPr>
            <w:tcW w:w="2697" w:type="dxa"/>
            <w:gridSpan w:val="2"/>
            <w:shd w:val="clear" w:color="auto" w:fill="auto"/>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Petroleum Pipelines Amendment Regulations 2012</w:t>
            </w:r>
          </w:p>
        </w:tc>
        <w:tc>
          <w:tcPr>
            <w:tcW w:w="1274" w:type="dxa"/>
            <w:gridSpan w:val="2"/>
            <w:shd w:val="clear" w:color="auto" w:fill="auto"/>
          </w:tcPr>
          <w:p>
            <w:pPr>
              <w:pStyle w:val="nTable"/>
              <w:spacing w:after="40"/>
            </w:pPr>
            <w:r>
              <w:t>12 Jun 2012 p. 2458</w:t>
            </w:r>
            <w:r>
              <w:noBreakHyphen/>
              <w:t>9</w:t>
            </w:r>
          </w:p>
        </w:tc>
        <w:tc>
          <w:tcPr>
            <w:tcW w:w="2697" w:type="dxa"/>
            <w:gridSpan w:val="2"/>
            <w:shd w:val="clear" w:color="auto" w:fill="auto"/>
          </w:tcPr>
          <w:p>
            <w:pPr>
              <w:pStyle w:val="nTable"/>
              <w:spacing w:after="40"/>
              <w:rPr>
                <w:snapToGrid w:val="0"/>
              </w:rPr>
            </w:pPr>
            <w:r>
              <w:rPr>
                <w:snapToGrid w:val="0"/>
              </w:rPr>
              <w:t>r. 1 and 2: 12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2014</w:t>
            </w:r>
          </w:p>
        </w:tc>
        <w:tc>
          <w:tcPr>
            <w:tcW w:w="1274" w:type="dxa"/>
            <w:gridSpan w:val="2"/>
            <w:shd w:val="clear" w:color="auto" w:fill="auto"/>
          </w:tcPr>
          <w:p>
            <w:pPr>
              <w:pStyle w:val="nTable"/>
              <w:spacing w:after="40"/>
            </w:pPr>
            <w:r>
              <w:t>25 Feb 2014 p. 503</w:t>
            </w:r>
          </w:p>
        </w:tc>
        <w:tc>
          <w:tcPr>
            <w:tcW w:w="2697" w:type="dxa"/>
            <w:gridSpan w:val="2"/>
            <w:shd w:val="clear" w:color="auto" w:fill="auto"/>
          </w:tcPr>
          <w:p>
            <w:pPr>
              <w:pStyle w:val="nTable"/>
              <w:spacing w:after="40"/>
              <w:rPr>
                <w:snapToGrid w:val="0"/>
              </w:rPr>
            </w:pPr>
            <w:r>
              <w:rPr>
                <w:snapToGrid w:val="0"/>
              </w:rPr>
              <w:t>r. 1 and 2: 25 Feb 2014 (see r. 2(a));</w:t>
            </w:r>
            <w:r>
              <w:rPr>
                <w:snapToGrid w:val="0"/>
              </w:rPr>
              <w:br/>
              <w:t>Regulations other than r. 1 and 2: 26 Feb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(No. 2) 2014</w:t>
            </w:r>
          </w:p>
        </w:tc>
        <w:tc>
          <w:tcPr>
            <w:tcW w:w="1274" w:type="dxa"/>
            <w:gridSpan w:val="2"/>
            <w:shd w:val="clear" w:color="auto" w:fill="auto"/>
          </w:tcPr>
          <w:p>
            <w:pPr>
              <w:pStyle w:val="nTable"/>
              <w:spacing w:after="40"/>
            </w:pPr>
            <w:r>
              <w:rPr>
                <w:spacing w:val="-4"/>
              </w:rPr>
              <w:t>17 Jun 2014 p. 1</w:t>
            </w:r>
            <w:r>
              <w:t>986</w:t>
            </w:r>
            <w:r>
              <w:noBreakHyphen/>
              <w:t>7</w:t>
            </w:r>
          </w:p>
        </w:tc>
        <w:tc>
          <w:tcPr>
            <w:tcW w:w="2697" w:type="dxa"/>
            <w:gridSpan w:val="2"/>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rPr>
                <w:i/>
              </w:rPr>
            </w:pPr>
            <w:r>
              <w:rPr>
                <w:i/>
              </w:rPr>
              <w:t>Petroleum Pipelines Amendment Regulations 2015</w:t>
            </w:r>
          </w:p>
        </w:tc>
        <w:tc>
          <w:tcPr>
            <w:tcW w:w="1274" w:type="dxa"/>
            <w:gridSpan w:val="2"/>
            <w:shd w:val="clear" w:color="auto" w:fill="auto"/>
          </w:tcPr>
          <w:p>
            <w:pPr>
              <w:pStyle w:val="nTable"/>
              <w:spacing w:after="40"/>
              <w:rPr>
                <w:spacing w:val="-4"/>
              </w:rPr>
            </w:pPr>
            <w:r>
              <w:rPr>
                <w:spacing w:val="-4"/>
              </w:rPr>
              <w:t>30 Jun 2015 p. 2350</w:t>
            </w:r>
            <w:r>
              <w:rPr>
                <w:spacing w:val="-4"/>
              </w:rPr>
              <w:noBreakHyphen/>
              <w:t>1</w:t>
            </w:r>
          </w:p>
        </w:tc>
        <w:tc>
          <w:tcPr>
            <w:tcW w:w="2697" w:type="dxa"/>
            <w:gridSpan w:val="2"/>
            <w:shd w:val="clear" w:color="auto" w:fill="auto"/>
          </w:tcPr>
          <w:p>
            <w:pPr>
              <w:pStyle w:val="nTable"/>
              <w:spacing w:after="40"/>
              <w:rPr>
                <w:bCs/>
                <w:snapToGrid w:val="0"/>
                <w:spacing w:val="-2"/>
              </w:rPr>
            </w:pPr>
            <w:r>
              <w:rPr>
                <w:bCs/>
                <w:snapToGrid w:val="0"/>
                <w:spacing w:val="-2"/>
              </w:rPr>
              <w:t>r. 1 and 2: 30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gridBefore w:val="1"/>
          <w:wBefore w:w="8" w:type="dxa"/>
          <w:cantSplit/>
        </w:trPr>
        <w:tc>
          <w:tcPr>
            <w:tcW w:w="3118" w:type="dxa"/>
            <w:gridSpan w:val="2"/>
            <w:shd w:val="clear" w:color="auto" w:fill="auto"/>
          </w:tcPr>
          <w:p>
            <w:pPr>
              <w:pStyle w:val="nTable"/>
              <w:spacing w:after="40"/>
              <w:ind w:right="113"/>
            </w:pPr>
            <w:r>
              <w:rPr>
                <w:i/>
              </w:rPr>
              <w:t>Mines and Petroleum Regulations Amendment (Fees and Levies) Regulations 2016</w:t>
            </w:r>
            <w:r>
              <w:t xml:space="preserve"> Pt. 14</w:t>
            </w:r>
          </w:p>
        </w:tc>
        <w:tc>
          <w:tcPr>
            <w:tcW w:w="1274" w:type="dxa"/>
            <w:gridSpan w:val="2"/>
            <w:shd w:val="clear" w:color="auto" w:fill="auto"/>
          </w:tcPr>
          <w:p>
            <w:pPr>
              <w:pStyle w:val="nTable"/>
              <w:spacing w:after="40"/>
              <w:rPr>
                <w:spacing w:val="-4"/>
              </w:rPr>
            </w:pPr>
            <w:r>
              <w:rPr>
                <w:spacing w:val="-4"/>
              </w:rPr>
              <w:t>24 Jun 2016 p. 2325</w:t>
            </w:r>
            <w:r>
              <w:rPr>
                <w:spacing w:val="-4"/>
              </w:rPr>
              <w:noBreakHyphen/>
              <w:t>34</w:t>
            </w:r>
          </w:p>
        </w:tc>
        <w:tc>
          <w:tcPr>
            <w:tcW w:w="2697" w:type="dxa"/>
            <w:gridSpan w:val="2"/>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Before w:val="1"/>
          <w:wBefore w:w="8" w:type="dxa"/>
        </w:trPr>
        <w:tc>
          <w:tcPr>
            <w:tcW w:w="3118" w:type="dxa"/>
            <w:gridSpan w:val="2"/>
            <w:tcBorders>
              <w:top w:val="nil"/>
              <w:bottom w:val="nil"/>
            </w:tcBorders>
          </w:tcPr>
          <w:p>
            <w:pPr>
              <w:pStyle w:val="nTable"/>
              <w:spacing w:after="40"/>
            </w:pPr>
            <w:r>
              <w:rPr>
                <w:i/>
              </w:rPr>
              <w:t>Mines and Petroleum Regulations Amendment (Fees and Charges) Regulations 2017</w:t>
            </w:r>
            <w:r>
              <w:t xml:space="preserve"> Pt. 16</w:t>
            </w:r>
          </w:p>
        </w:tc>
        <w:tc>
          <w:tcPr>
            <w:tcW w:w="1274" w:type="dxa"/>
            <w:gridSpan w:val="2"/>
            <w:tcBorders>
              <w:top w:val="nil"/>
              <w:bottom w:val="nil"/>
            </w:tcBorders>
          </w:tcPr>
          <w:p>
            <w:pPr>
              <w:pStyle w:val="nTable"/>
              <w:spacing w:after="40"/>
            </w:pPr>
            <w:r>
              <w:t>23 Jun 2017 p. 3279</w:t>
            </w:r>
            <w:r>
              <w:noBreakHyphen/>
              <w:t>309</w:t>
            </w:r>
          </w:p>
        </w:tc>
        <w:tc>
          <w:tcPr>
            <w:tcW w:w="2697"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 xml:space="preserve">Mines and Petroleum Regulations Amendment (Fees and Charges) Regulations 2018 </w:t>
            </w:r>
            <w:r>
              <w:t>Pt. 16</w:t>
            </w:r>
          </w:p>
        </w:tc>
        <w:tc>
          <w:tcPr>
            <w:tcW w:w="1274" w:type="dxa"/>
            <w:gridSpan w:val="2"/>
            <w:tcBorders>
              <w:top w:val="nil"/>
              <w:bottom w:val="nil"/>
            </w:tcBorders>
          </w:tcPr>
          <w:p>
            <w:pPr>
              <w:pStyle w:val="nTable"/>
              <w:spacing w:after="40"/>
            </w:pPr>
            <w:r>
              <w:t>25 Jun 2018 p. 2297</w:t>
            </w:r>
            <w:r>
              <w:noBreakHyphen/>
              <w:t>324</w:t>
            </w:r>
          </w:p>
        </w:tc>
        <w:tc>
          <w:tcPr>
            <w:tcW w:w="2688"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Before w:val="1"/>
          <w:wBefore w:w="8" w:type="dxa"/>
        </w:trPr>
        <w:tc>
          <w:tcPr>
            <w:tcW w:w="7089" w:type="dxa"/>
            <w:gridSpan w:val="6"/>
            <w:tcBorders>
              <w:top w:val="nil"/>
              <w:bottom w:val="nil"/>
            </w:tcBorders>
            <w:shd w:val="clear" w:color="auto" w:fill="auto"/>
          </w:tcPr>
          <w:p>
            <w:pPr>
              <w:pStyle w:val="nTable"/>
              <w:keepNext/>
              <w:spacing w:after="40"/>
              <w:rPr>
                <w:bCs/>
                <w:snapToGrid w:val="0"/>
                <w:spacing w:val="-2"/>
              </w:rPr>
            </w:pPr>
            <w:r>
              <w:rPr>
                <w:b/>
                <w:bCs/>
                <w:snapToGrid w:val="0"/>
                <w:spacing w:val="-2"/>
              </w:rPr>
              <w:lastRenderedPageBreak/>
              <w:t xml:space="preserve">Reprint 3: The </w:t>
            </w:r>
            <w:r>
              <w:rPr>
                <w:b/>
                <w:bCs/>
                <w:i/>
                <w:noProof/>
                <w:snapToGrid w:val="0"/>
                <w:spacing w:val="-2"/>
              </w:rPr>
              <w:t>Petroleum Pipelines Regulations 1970</w:t>
            </w:r>
            <w:r>
              <w:rPr>
                <w:b/>
                <w:bCs/>
                <w:snapToGrid w:val="0"/>
                <w:spacing w:val="-2"/>
              </w:rPr>
              <w:t xml:space="preserve"> as at 13 Jul 2018</w:t>
            </w:r>
            <w:r>
              <w:rPr>
                <w:bCs/>
                <w:snapToGrid w:val="0"/>
                <w:spacing w:val="-2"/>
              </w:rPr>
              <w:t xml:space="preserve"> (includes amendments listed above)</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2019</w:t>
            </w:r>
            <w:r>
              <w:t xml:space="preserve"> Pt. 16</w:t>
            </w:r>
          </w:p>
        </w:tc>
        <w:tc>
          <w:tcPr>
            <w:tcW w:w="1274" w:type="dxa"/>
            <w:gridSpan w:val="2"/>
            <w:tcBorders>
              <w:top w:val="nil"/>
              <w:bottom w:val="nil"/>
            </w:tcBorders>
          </w:tcPr>
          <w:p>
            <w:pPr>
              <w:pStyle w:val="nTable"/>
              <w:spacing w:after="40"/>
            </w:pPr>
            <w:r>
              <w:t>18 Jun 2019 p. 2040</w:t>
            </w:r>
            <w:r>
              <w:noBreakHyphen/>
              <w:t>56</w:t>
            </w:r>
          </w:p>
        </w:tc>
        <w:tc>
          <w:tcPr>
            <w:tcW w:w="2688"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nil"/>
            </w:tcBorders>
          </w:tcPr>
          <w:p>
            <w:pPr>
              <w:pStyle w:val="nTable"/>
              <w:spacing w:after="40"/>
              <w:rPr>
                <w:i/>
              </w:rPr>
            </w:pPr>
            <w:r>
              <w:rPr>
                <w:i/>
              </w:rPr>
              <w:t>Mines and Petroleum Regulations Amendment (Fees and Charges) Regulations 2020</w:t>
            </w:r>
            <w:r>
              <w:t xml:space="preserve"> Pt. 9</w:t>
            </w:r>
          </w:p>
        </w:tc>
        <w:tc>
          <w:tcPr>
            <w:tcW w:w="1274" w:type="dxa"/>
            <w:gridSpan w:val="2"/>
            <w:tcBorders>
              <w:top w:val="nil"/>
              <w:bottom w:val="nil"/>
            </w:tcBorders>
          </w:tcPr>
          <w:p>
            <w:pPr>
              <w:pStyle w:val="nTable"/>
              <w:spacing w:after="40"/>
            </w:pPr>
            <w:r>
              <w:t>SL 2020/93 26 Jun 2020</w:t>
            </w:r>
          </w:p>
        </w:tc>
        <w:tc>
          <w:tcPr>
            <w:tcW w:w="2688"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gridBefore w:val="1"/>
          <w:gridAfter w:val="1"/>
          <w:wBefore w:w="8" w:type="dxa"/>
          <w:wAfter w:w="9" w:type="dxa"/>
        </w:trPr>
        <w:tc>
          <w:tcPr>
            <w:tcW w:w="3118" w:type="dxa"/>
            <w:gridSpan w:val="2"/>
            <w:tcBorders>
              <w:top w:val="nil"/>
              <w:bottom w:val="single" w:sz="8" w:space="0" w:color="auto"/>
            </w:tcBorders>
          </w:tcPr>
          <w:p>
            <w:pPr>
              <w:pStyle w:val="nTable"/>
              <w:spacing w:after="40"/>
              <w:rPr>
                <w:i/>
              </w:rPr>
            </w:pPr>
            <w:r>
              <w:rPr>
                <w:i/>
              </w:rPr>
              <w:t>Mines and Petroleum Regulations Amendment (Fees and Charges) Regulations 2021</w:t>
            </w:r>
            <w:r>
              <w:t xml:space="preserve"> Pt. 13</w:t>
            </w:r>
          </w:p>
        </w:tc>
        <w:tc>
          <w:tcPr>
            <w:tcW w:w="1274" w:type="dxa"/>
            <w:gridSpan w:val="2"/>
            <w:tcBorders>
              <w:top w:val="nil"/>
              <w:bottom w:val="single" w:sz="8" w:space="0" w:color="auto"/>
            </w:tcBorders>
          </w:tcPr>
          <w:p>
            <w:pPr>
              <w:pStyle w:val="nTable"/>
              <w:spacing w:after="40"/>
            </w:pPr>
            <w:r>
              <w:t>SL 2021/85 21 Jun 2021</w:t>
            </w:r>
          </w:p>
        </w:tc>
        <w:tc>
          <w:tcPr>
            <w:tcW w:w="2688" w:type="dxa"/>
            <w:tcBorders>
              <w:top w:val="nil"/>
              <w:bottom w:val="single" w:sz="8" w:space="0" w:color="auto"/>
            </w:tcBorders>
          </w:tcPr>
          <w:p>
            <w:pPr>
              <w:pStyle w:val="nTable"/>
              <w:spacing w:after="40"/>
            </w:pPr>
            <w:r>
              <w:t>1 Jul 2021 (see r. 2(b))</w:t>
            </w:r>
          </w:p>
        </w:tc>
      </w:tr>
    </w:tbl>
    <w:p>
      <w:pPr>
        <w:pStyle w:val="nHeading3"/>
      </w:pPr>
      <w:bookmarkStart w:id="26" w:name="_Toc103757968"/>
      <w:r>
        <w:t>Uncommenced provisions table</w:t>
      </w:r>
      <w:bookmarkEnd w:id="26"/>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Mines and Petroleum Regulations Amendment (Fees and Charges) Regulations 2022</w:t>
            </w:r>
            <w:r>
              <w:t xml:space="preserve"> Pt. 10</w:t>
            </w:r>
          </w:p>
        </w:tc>
        <w:tc>
          <w:tcPr>
            <w:tcW w:w="1276" w:type="dxa"/>
          </w:tcPr>
          <w:p>
            <w:pPr>
              <w:pStyle w:val="nTable"/>
              <w:spacing w:after="40"/>
            </w:pPr>
            <w:r>
              <w:t>SL 2022/58 20 May 2022</w:t>
            </w:r>
          </w:p>
        </w:tc>
        <w:tc>
          <w:tcPr>
            <w:tcW w:w="2693" w:type="dxa"/>
          </w:tcPr>
          <w:p>
            <w:pPr>
              <w:pStyle w:val="nTable"/>
              <w:spacing w:after="40"/>
            </w:pPr>
            <w:r>
              <w:t>1 Jul 2022 (see r. 2(b))</w:t>
            </w:r>
          </w:p>
        </w:tc>
      </w:tr>
    </w:tbl>
    <w:p>
      <w:pPr>
        <w:pStyle w:val="nHeading3"/>
      </w:pPr>
      <w:bookmarkStart w:id="27" w:name="_Toc103757969"/>
      <w:r>
        <w:t>Other notes</w:t>
      </w:r>
      <w:bookmarkEnd w:id="27"/>
    </w:p>
    <w:p>
      <w:pPr>
        <w:pStyle w:val="nNote"/>
      </w:pPr>
      <w:r>
        <w:rPr>
          <w:vertAlign w:val="superscript"/>
        </w:rPr>
        <w:t>1</w:t>
      </w:r>
      <w:r>
        <w:tab/>
        <w:t xml:space="preserve">The day fixed under the </w:t>
      </w:r>
      <w:r>
        <w:rPr>
          <w:i/>
        </w:rPr>
        <w:t>Acts Amendment (Petroleum) Act 1990</w:t>
      </w:r>
      <w:r>
        <w:t xml:space="preserve"> s. 2(1) was 1 Oct 1990 (see </w:t>
      </w:r>
      <w:r>
        <w:rPr>
          <w:i/>
        </w:rPr>
        <w:t>Gazette</w:t>
      </w:r>
      <w:r>
        <w:t xml:space="preserve"> 28 Sep 1990 p. 5099). </w:t>
      </w:r>
    </w:p>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nHeading2"/>
        <w:rPr>
          <w:sz w:val="28"/>
        </w:rPr>
      </w:pPr>
      <w:bookmarkStart w:id="29" w:name="_Toc103696442"/>
      <w:bookmarkStart w:id="30" w:name="_Toc103696567"/>
      <w:bookmarkStart w:id="31" w:name="_Toc103757970"/>
      <w:r>
        <w:rPr>
          <w:sz w:val="28"/>
        </w:rPr>
        <w:lastRenderedPageBreak/>
        <w:t>Defined terms</w:t>
      </w:r>
      <w:bookmarkEnd w:id="29"/>
      <w:bookmarkEnd w:id="30"/>
      <w:bookmarkEnd w:id="3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dealing</w:t>
      </w:r>
      <w:r>
        <w:tab/>
        <w:t>4D(1)</w:t>
      </w:r>
    </w:p>
    <w:p>
      <w:pPr>
        <w:pStyle w:val="DefinedTerms"/>
      </w:pPr>
      <w:r>
        <w:t>related dealing</w:t>
      </w:r>
      <w:r>
        <w:tab/>
        <w:t>4D(2)</w:t>
      </w:r>
    </w:p>
    <w:p>
      <w:pPr>
        <w:pStyle w:val="DefinedTerms"/>
      </w:pPr>
      <w:r>
        <w:t>section 29(1)</w:t>
      </w:r>
      <w:r>
        <w:tab/>
        <w:t>24(1)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872"/>
      <w:gridCol w:w="5391"/>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872"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391" w:type="dxa"/>
        </w:tcPr>
        <w:p>
          <w:pPr>
            <w:pStyle w:val="Header"/>
            <w:spacing w:before="40"/>
          </w:pPr>
          <w:r>
            <w:fldChar w:fldCharType="begin"/>
          </w:r>
          <w:r>
            <w:instrText>styleref CharSchText</w:instrText>
          </w:r>
          <w:r>
            <w:fldChar w:fldCharType="separate"/>
          </w:r>
          <w:r>
            <w:t>Fees</w:t>
          </w:r>
          <w:r>
            <w:fldChar w:fldCharType="end"/>
          </w:r>
        </w:p>
      </w:tc>
    </w:tr>
    <w:tr>
      <w:trPr>
        <w:jc w:val="center"/>
      </w:trPr>
      <w:tc>
        <w:tcPr>
          <w:tcW w:w="1872" w:type="dxa"/>
        </w:tcPr>
        <w:p>
          <w:pPr>
            <w:pStyle w:val="Header"/>
            <w:spacing w:before="40"/>
          </w:pPr>
          <w:r>
            <w:rPr>
              <w:b/>
            </w:rPr>
            <w:fldChar w:fldCharType="begin"/>
          </w:r>
          <w:r>
            <w:rPr>
              <w:b/>
            </w:rPr>
            <w:instrText xml:space="preserve"> STYLEREF CharSDivNo \* charformat</w:instrText>
          </w:r>
          <w:r>
            <w:rPr>
              <w:b/>
            </w:rPr>
            <w:fldChar w:fldCharType="end"/>
          </w:r>
        </w:p>
      </w:tc>
      <w:tc>
        <w:tcPr>
          <w:tcW w:w="5391" w:type="dxa"/>
        </w:tcPr>
        <w:p>
          <w:pPr>
            <w:pStyle w:val="Header"/>
            <w:spacing w:before="40"/>
          </w:pPr>
          <w:r>
            <w:fldChar w:fldCharType="begin"/>
          </w:r>
          <w:r>
            <w:instrText xml:space="preserve"> styleref CharSDivText </w:instrText>
          </w:r>
          <w:r>
            <w:fldChar w:fldCharType="end"/>
          </w:r>
        </w:p>
      </w:tc>
    </w:tr>
    <w:tr>
      <w:trPr>
        <w:jc w:val="center"/>
      </w:trPr>
      <w:tc>
        <w:tcPr>
          <w:tcW w:w="1872" w:type="dxa"/>
        </w:tcPr>
        <w:p>
          <w:pPr>
            <w:pStyle w:val="Header"/>
            <w:spacing w:before="40"/>
          </w:pPr>
        </w:p>
      </w:tc>
      <w:tc>
        <w:tcPr>
          <w:tcW w:w="539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352"/>
      <w:gridCol w:w="1911"/>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Pipelines Regulations 1970</w:t>
          </w:r>
          <w:r>
            <w:rPr>
              <w:b/>
              <w:i/>
            </w:rPr>
            <w:fldChar w:fldCharType="end"/>
          </w:r>
        </w:p>
      </w:tc>
    </w:tr>
    <w:tr>
      <w:trPr>
        <w:jc w:val="center"/>
      </w:trPr>
      <w:tc>
        <w:tcPr>
          <w:tcW w:w="5352" w:type="dxa"/>
          <w:vAlign w:val="bottom"/>
        </w:tcPr>
        <w:p>
          <w:pPr>
            <w:pStyle w:val="Header"/>
            <w:spacing w:before="40"/>
            <w:jc w:val="right"/>
          </w:pPr>
        </w:p>
      </w:tc>
      <w:tc>
        <w:tcPr>
          <w:tcW w:w="1911"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rPr>
        <w:jc w:val="center"/>
      </w:trP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8" w:name="Compilation"/>
    <w:bookmarkEnd w:id="2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Petroleum Pipelines Regulations 1970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3" w:name="Coversheet"/>
    <w:bookmarkEnd w:id="3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A346361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52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7152020"/>
    <w:docVar w:name="WAFER_20140109164313" w:val="RemoveTocBookmarks,RemoveUnusedBookmarks,RemoveLanguageTags,UsedStyles,ResetPageSize,UpdateArrangement"/>
    <w:docVar w:name="WAFER_20140109164313_GUID" w:val="67dbbc8f-ac3d-48a3-9c60-4459cac0b9a8"/>
    <w:docVar w:name="WAFER_20140220161144" w:val="RemoveTocBookmarks,RemoveUnusedBookmarks,RemoveLanguageTags,UsedStyles,ResetPageSize,UpdateArrangement"/>
    <w:docVar w:name="WAFER_20140220161144_GUID" w:val="7722d391-b101-4a74-9fe4-a2449fdfe14f"/>
    <w:docVar w:name="WAFER_20140226112533" w:val="RemoveTocBookmarks,RemoveUnusedBookmarks,RemoveLanguageTags,UsedStyles,ResetPageSize"/>
    <w:docVar w:name="WAFER_20140226112533_GUID" w:val="faa63799-6434-44e2-8e0c-9435d6f4d0c2"/>
    <w:docVar w:name="WAFER_20140226112545" w:val="RemoveTocBookmarks,RunningHeaders"/>
    <w:docVar w:name="WAFER_20140226112545_GUID" w:val="e874adbc-0e0e-4332-9225-7e5a45a4c478"/>
    <w:docVar w:name="WAFER_20140630162501" w:val="RemoveTocBookmarks,RunningHeaders"/>
    <w:docVar w:name="WAFER_20140630162501_GUID" w:val="15896c49-1cb3-45b0-95b2-a6b7383fc6e5"/>
    <w:docVar w:name="WAFER_20150630075847" w:val="ResetPageSize,UpdateArrangement,UpdateNTable"/>
    <w:docVar w:name="WAFER_20150630075847_GUID" w:val="5230120c-1ad5-440a-bc66-ba7c7f90855e"/>
    <w:docVar w:name="WAFER_20151109113956" w:val="UpdateStyles,UsedStyles"/>
    <w:docVar w:name="WAFER_20151109113956_GUID" w:val="070dbbfe-d64f-4957-8245-e1219e025906"/>
    <w:docVar w:name="WAFER_20180320141727" w:val="RemoveTocBookmarks,RemoveUnusedBookmarks,RemoveLanguageTags,UsedStyles,ResetPageSize,RemoveCustomizations"/>
    <w:docVar w:name="WAFER_20180320141727_GUID" w:val="be6a7ed1-b1b4-40b7-a1cc-0a0d622b4978"/>
    <w:docVar w:name="WAFER_20180322085307" w:val="RemoveTocBookmarks,RemoveUnusedBookmarks,RemoveLanguageTags,UsedStyles,RemoveTrackChanges"/>
    <w:docVar w:name="WAFER_20180322085307_GUID" w:val="61529ecd-3dbd-4189-a579-583f469e94c4"/>
    <w:docVar w:name="WAFER_20180406093352" w:val="RemoveTocBookmarks,RemoveUnusedBookmarks,RemoveLanguageTags,UsedStyles,RemoveTrackChanges"/>
    <w:docVar w:name="WAFER_20180406093352_GUID" w:val="87485da3-26e1-4c65-a0df-a673b832fa6e"/>
    <w:docVar w:name="WAFER_20180406093441" w:val="RemoveTocBookmarks,RemoveLanguageTags,RemoveTrackChanges,RunningHeaders"/>
    <w:docVar w:name="WAFER_20180406093441_GUID" w:val="b96964fa-dca0-490e-96eb-1339458b387d"/>
    <w:docVar w:name="WAFER_20200626091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91125_GUID" w:val="2d98c979-e840-40e8-bc87-5b35e0e816f5"/>
    <w:docVar w:name="WAFER_20210618152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52636_GUID" w:val="7a06f6ac-75a5-472e-bca3-9b70fc4d5a7c"/>
    <w:docVar w:name="WAFER_202106241339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33948_GUID" w:val="85b59522-e526-489e-9650-baebabcb0c17"/>
    <w:docVar w:name="WAFER_202205171520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2020_GUID" w:val="6f2e2ddf-a303-4ae7-86ef-9adde21cd1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5:docId w15:val="{F40C3EAD-3B02-48A5-8E9C-7E84CF429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ntTable" Target="fontTable.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footer" Target="footer7.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11A504-9183-4FD5-8CB2-51DF1ABB4F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2833</Words>
  <Characters>14081</Characters>
  <Application>Microsoft Office Word</Application>
  <DocSecurity>0</DocSecurity>
  <Lines>521</Lines>
  <Paragraphs>345</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16569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1970 - 03-g0-00</dc:title>
  <dc:subject/>
  <dc:creator/>
  <cp:keywords/>
  <dc:description/>
  <cp:lastModifiedBy>Master Repository Process</cp:lastModifiedBy>
  <cp:revision>4</cp:revision>
  <cp:lastPrinted>2018-04-30T02:04:00Z</cp:lastPrinted>
  <dcterms:created xsi:type="dcterms:W3CDTF">2022-05-19T08:48:00Z</dcterms:created>
  <dcterms:modified xsi:type="dcterms:W3CDTF">2022-05-19T08:48:00Z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DocumentType">
    <vt:lpwstr>Reg</vt:lpwstr>
  </property>
  <property fmtid="{D5CDD505-2E9C-101B-9397-08002B2CF9AE}" pid="4" name="OwlsUID">
    <vt:i4>4688</vt:i4>
  </property>
  <property fmtid="{D5CDD505-2E9C-101B-9397-08002B2CF9AE}" pid="5" name="ReprintedAsAt">
    <vt:filetime>2018-07-12T16:00:00Z</vt:filetime>
  </property>
  <property fmtid="{D5CDD505-2E9C-101B-9397-08002B2CF9AE}" pid="6" name="ReprintNo">
    <vt:lpwstr>3</vt:lpwstr>
  </property>
  <property fmtid="{D5CDD505-2E9C-101B-9397-08002B2CF9AE}" pid="7" name="AsAtDate">
    <vt:lpwstr>20 May 2022</vt:lpwstr>
  </property>
  <property fmtid="{D5CDD505-2E9C-101B-9397-08002B2CF9AE}" pid="8" name="Suffix">
    <vt:lpwstr>03-g0-00</vt:lpwstr>
  </property>
  <property fmtid="{D5CDD505-2E9C-101B-9397-08002B2CF9AE}" pid="9" name="CommencementDate">
    <vt:lpwstr>20220520</vt:lpwstr>
  </property>
</Properties>
</file>