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_Toc104969261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_Toc104969262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_Toc104969263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_Toc104969264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_Toc104969265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_Toc104969266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_Toc104969267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_Toc104969268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_Toc104969269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_Toc104969270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_Toc104969271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_Toc104969273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_Toc104969274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_Toc104969275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_Toc104969276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_Toc104969277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_Toc104969278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_Toc104969279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_Toc104969280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_Toc104969281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_Toc104969282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_Toc104969286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_Toc104969287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_Toc104969288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_Toc104969292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_Toc104969293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_Toc104969294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3" w:name="_Toc104969261"/>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104969262"/>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04969263"/>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104969264"/>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104969265"/>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104969266"/>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104969267"/>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04969268"/>
      <w:r>
        <w:rPr>
          <w:rStyle w:val="CharSectno"/>
        </w:rPr>
        <w:lastRenderedPageBreak/>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104969269"/>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2" w:name="_Toc104969270"/>
      <w:r>
        <w:rPr>
          <w:rStyle w:val="CharSectno"/>
        </w:rPr>
        <w:lastRenderedPageBreak/>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04969271"/>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104905284"/>
      <w:bookmarkStart w:id="15" w:name="_Toc104905428"/>
      <w:bookmarkStart w:id="16" w:name="_Toc104969272"/>
      <w:r>
        <w:rPr>
          <w:rStyle w:val="CharSchNo"/>
        </w:rPr>
        <w:lastRenderedPageBreak/>
        <w:t>Schedule 1</w:t>
      </w:r>
      <w:r>
        <w:t> — </w:t>
      </w:r>
      <w:r>
        <w:rPr>
          <w:rStyle w:val="CharSchText"/>
        </w:rPr>
        <w:t>Supply charges</w:t>
      </w:r>
      <w:bookmarkEnd w:id="14"/>
      <w:bookmarkEnd w:id="15"/>
      <w:bookmarkEnd w:id="16"/>
    </w:p>
    <w:p>
      <w:pPr>
        <w:pStyle w:val="yShoulderClause"/>
      </w:pPr>
      <w:r>
        <w:t>[bl. 3, 4(1) and 10(1)]</w:t>
      </w:r>
    </w:p>
    <w:p>
      <w:pPr>
        <w:pStyle w:val="yFootnoteheading"/>
      </w:pPr>
      <w:r>
        <w:tab/>
        <w:t>[Heading inserted: SL 2021/98 bl. 4.]</w:t>
      </w:r>
    </w:p>
    <w:p>
      <w:pPr>
        <w:pStyle w:val="yHeading5"/>
      </w:pPr>
      <w:bookmarkStart w:id="17" w:name="_Toc104969273"/>
      <w:r>
        <w:rPr>
          <w:rStyle w:val="CharSClsNo"/>
        </w:rPr>
        <w:t>1</w:t>
      </w:r>
      <w:r>
        <w:t>.</w:t>
      </w:r>
      <w:r>
        <w:tab/>
        <w:t>Tariff L1 (general supply — low/medium voltage tariff)</w:t>
      </w:r>
      <w:bookmarkEnd w:id="17"/>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$1.8770 per day; and</w:t>
      </w:r>
    </w:p>
    <w:p>
      <w:pPr>
        <w:pStyle w:val="yIndenta"/>
      </w:pPr>
      <w:r>
        <w:tab/>
        <w:t>(b)</w:t>
      </w:r>
      <w:r>
        <w:tab/>
        <w:t xml:space="preserve">a charge for metered consumption at the rate of — </w:t>
      </w:r>
    </w:p>
    <w:p>
      <w:pPr>
        <w:pStyle w:val="yIndenti0"/>
      </w:pPr>
      <w:r>
        <w:tab/>
        <w:t>(i)</w:t>
      </w:r>
      <w:r>
        <w:tab/>
        <w:t>29.2089 cents per unit for the first 1 650 units per day; and</w:t>
      </w:r>
    </w:p>
    <w:p>
      <w:pPr>
        <w:pStyle w:val="yIndenti0"/>
      </w:pPr>
      <w:r>
        <w:tab/>
        <w:t>(ii)</w:t>
      </w:r>
      <w:r>
        <w:tab/>
        <w:t>32.9320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2021/98 bl. 4.]</w:t>
      </w:r>
    </w:p>
    <w:p>
      <w:pPr>
        <w:pStyle w:val="yHeading5"/>
      </w:pPr>
      <w:bookmarkStart w:id="18" w:name="_Toc104969274"/>
      <w:r>
        <w:rPr>
          <w:rStyle w:val="CharSClsNo"/>
        </w:rPr>
        <w:t>2</w:t>
      </w:r>
      <w:r>
        <w:t>.</w:t>
      </w:r>
      <w:r>
        <w:tab/>
        <w:t>Tariff L3 (general supply — low/medium voltage tariff)</w:t>
      </w:r>
      <w:bookmarkEnd w:id="18"/>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$1.9066 per day; and</w:t>
      </w:r>
    </w:p>
    <w:p>
      <w:pPr>
        <w:pStyle w:val="yIndenta"/>
      </w:pPr>
      <w:r>
        <w:tab/>
        <w:t>(b)</w:t>
      </w:r>
      <w:r>
        <w:tab/>
        <w:t xml:space="preserve">a charge for metered consumption at the rate of — </w:t>
      </w:r>
    </w:p>
    <w:p>
      <w:pPr>
        <w:pStyle w:val="yIndenti0"/>
      </w:pPr>
      <w:r>
        <w:tab/>
        <w:t>(i)</w:t>
      </w:r>
      <w:r>
        <w:tab/>
        <w:t>38.7263</w:t>
      </w:r>
      <w:r>
        <w:rPr>
          <w:szCs w:val="22"/>
        </w:rPr>
        <w:t xml:space="preserve"> </w:t>
      </w:r>
      <w:r>
        <w:t>cents per unit for the first 1 650 units per day; and</w:t>
      </w:r>
    </w:p>
    <w:p>
      <w:pPr>
        <w:pStyle w:val="yIndenti0"/>
      </w:pPr>
      <w:r>
        <w:tab/>
        <w:t>(ii)</w:t>
      </w:r>
      <w:r>
        <w:tab/>
        <w:t>32.8605</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2021/98 bl. 4.]</w:t>
      </w:r>
    </w:p>
    <w:p>
      <w:pPr>
        <w:pStyle w:val="yHeading5"/>
      </w:pPr>
      <w:bookmarkStart w:id="19" w:name="_Toc104969275"/>
      <w:r>
        <w:rPr>
          <w:rStyle w:val="CharSClsNo"/>
        </w:rPr>
        <w:lastRenderedPageBreak/>
        <w:t>3</w:t>
      </w:r>
      <w:r>
        <w:t>.</w:t>
      </w:r>
      <w:r>
        <w:tab/>
        <w:t>Tariff R1 (time</w:t>
      </w:r>
      <w:r>
        <w:noBreakHyphen/>
        <w:t>of</w:t>
      </w:r>
      <w:r>
        <w:noBreakHyphen/>
        <w:t>use tariff)</w:t>
      </w:r>
      <w:bookmarkEnd w:id="19"/>
    </w:p>
    <w:p>
      <w:pPr>
        <w:pStyle w:val="ySubsection"/>
      </w:pPr>
      <w:r>
        <w:tab/>
        <w:t>(1)</w:t>
      </w:r>
      <w:r>
        <w:tab/>
        <w:t>Tariff R1 comprises —</w:t>
      </w:r>
    </w:p>
    <w:p>
      <w:pPr>
        <w:pStyle w:val="yIndenta"/>
      </w:pPr>
      <w:r>
        <w:tab/>
        <w:t>(a)</w:t>
      </w:r>
      <w:r>
        <w:tab/>
        <w:t>a fixed charge at the rate of $3.5098 per day; and</w:t>
      </w:r>
    </w:p>
    <w:p>
      <w:pPr>
        <w:pStyle w:val="yIndenta"/>
      </w:pPr>
      <w:r>
        <w:tab/>
        <w:t>(b)</w:t>
      </w:r>
      <w:r>
        <w:tab/>
        <w:t>an energy charge consisting of — </w:t>
      </w:r>
    </w:p>
    <w:p>
      <w:pPr>
        <w:pStyle w:val="yIndenti0"/>
      </w:pPr>
      <w:r>
        <w:tab/>
        <w:t>(i)</w:t>
      </w:r>
      <w:r>
        <w:tab/>
        <w:t>an on peak energy charge at the rate of 38.0661 cents per unit; and</w:t>
      </w:r>
    </w:p>
    <w:p>
      <w:pPr>
        <w:pStyle w:val="yIndenti0"/>
      </w:pPr>
      <w:r>
        <w:tab/>
        <w:t>(ii)</w:t>
      </w:r>
      <w:r>
        <w:tab/>
        <w:t>an off peak energy charge at the rate of 11.4198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2021/98 bl. 4.]</w:t>
      </w:r>
    </w:p>
    <w:p>
      <w:pPr>
        <w:pStyle w:val="yHeading5"/>
      </w:pPr>
      <w:bookmarkStart w:id="20" w:name="_Toc104969276"/>
      <w:r>
        <w:rPr>
          <w:rStyle w:val="CharSClsNo"/>
        </w:rPr>
        <w:t>4</w:t>
      </w:r>
      <w:r>
        <w:t>.</w:t>
      </w:r>
      <w:r>
        <w:tab/>
        <w:t>Tariff R3 (time</w:t>
      </w:r>
      <w:r>
        <w:noBreakHyphen/>
        <w:t>of</w:t>
      </w:r>
      <w:r>
        <w:noBreakHyphen/>
        <w:t>use tariff)</w:t>
      </w:r>
      <w:bookmarkEnd w:id="20"/>
    </w:p>
    <w:p>
      <w:pPr>
        <w:pStyle w:val="ySubsection"/>
      </w:pPr>
      <w:r>
        <w:tab/>
        <w:t>(1)</w:t>
      </w:r>
      <w:r>
        <w:tab/>
        <w:t>Tariff R3 comprises —</w:t>
      </w:r>
    </w:p>
    <w:p>
      <w:pPr>
        <w:pStyle w:val="yIndenta"/>
      </w:pPr>
      <w:r>
        <w:tab/>
        <w:t>(a)</w:t>
      </w:r>
      <w:r>
        <w:tab/>
        <w:t xml:space="preserve">a fixed charge at the rate of </w:t>
      </w:r>
      <w:r>
        <w:rPr>
          <w:szCs w:val="22"/>
        </w:rPr>
        <w:t>$3.7083</w:t>
      </w:r>
      <w:r>
        <w:t xml:space="preserve"> per day; and</w:t>
      </w:r>
    </w:p>
    <w:p>
      <w:pPr>
        <w:pStyle w:val="yIndenta"/>
      </w:pPr>
      <w:r>
        <w:tab/>
        <w:t>(b)</w:t>
      </w:r>
      <w:r>
        <w:tab/>
        <w:t>an energy charge consisting of — </w:t>
      </w:r>
    </w:p>
    <w:p>
      <w:pPr>
        <w:pStyle w:val="yIndenti0"/>
      </w:pPr>
      <w:r>
        <w:tab/>
        <w:t>(i)</w:t>
      </w:r>
      <w:r>
        <w:tab/>
        <w:t>an on peak energy charge at the rate of 54.0913</w:t>
      </w:r>
      <w:r>
        <w:rPr>
          <w:szCs w:val="22"/>
        </w:rPr>
        <w:t xml:space="preserve"> </w:t>
      </w:r>
      <w:r>
        <w:t>cents per unit; and</w:t>
      </w:r>
    </w:p>
    <w:p>
      <w:pPr>
        <w:pStyle w:val="yIndenti0"/>
      </w:pPr>
      <w:r>
        <w:tab/>
        <w:t>(ii)</w:t>
      </w:r>
      <w:r>
        <w:tab/>
        <w:t>an off peak energy charge at the rate of 16.2491</w:t>
      </w:r>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keepNext/>
      </w:pPr>
      <w:r>
        <w:lastRenderedPageBreak/>
        <w:tab/>
        <w:t>(c)</w:t>
      </w:r>
      <w:r>
        <w:tab/>
        <w:t>the consumer satisfies the corporation that the amount of electricity supplied to the consumer’s premises will be 50 MW hours or more per annum.</w:t>
      </w:r>
    </w:p>
    <w:p>
      <w:pPr>
        <w:pStyle w:val="yFootnotesection"/>
      </w:pPr>
      <w:r>
        <w:tab/>
        <w:t>[Clause 4 inserted: SL 2021/98 bl. 4.]</w:t>
      </w:r>
    </w:p>
    <w:p>
      <w:pPr>
        <w:pStyle w:val="yHeading5"/>
      </w:pPr>
      <w:bookmarkStart w:id="21" w:name="_Toc104969277"/>
      <w:r>
        <w:rPr>
          <w:rStyle w:val="CharSClsNo"/>
        </w:rPr>
        <w:t>5</w:t>
      </w:r>
      <w:r>
        <w:t>.</w:t>
      </w:r>
      <w:r>
        <w:tab/>
        <w:t>Standby charges</w:t>
      </w:r>
      <w:bookmarkEnd w:id="21"/>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lastRenderedPageBreak/>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2021/98 bl. 4.]</w:t>
      </w:r>
    </w:p>
    <w:p>
      <w:pPr>
        <w:pStyle w:val="yHeading5"/>
      </w:pPr>
      <w:bookmarkStart w:id="22" w:name="_Toc104969278"/>
      <w:r>
        <w:rPr>
          <w:rStyle w:val="CharSClsNo"/>
        </w:rPr>
        <w:t>6</w:t>
      </w:r>
      <w:r>
        <w:t>.</w:t>
      </w:r>
      <w:r>
        <w:tab/>
        <w:t>Tariff A1 (residential tariff)</w:t>
      </w:r>
      <w:bookmarkEnd w:id="22"/>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$1.0514 per day or, for multiple dwellings supplied through 1 metered supply point, a fixed charge at the rate of —</w:t>
      </w:r>
    </w:p>
    <w:p>
      <w:pPr>
        <w:pStyle w:val="yIndenti0"/>
      </w:pPr>
      <w:r>
        <w:tab/>
        <w:t>(i)</w:t>
      </w:r>
      <w:r>
        <w:tab/>
        <w:t>$1.0514 per day for the first dwelling; and</w:t>
      </w:r>
    </w:p>
    <w:p>
      <w:pPr>
        <w:pStyle w:val="yIndenti0"/>
      </w:pPr>
      <w:r>
        <w:tab/>
        <w:t>(ii)</w:t>
      </w:r>
      <w:r>
        <w:tab/>
        <w:t>41.8017 cents per day for each additional dwelling;</w:t>
      </w:r>
    </w:p>
    <w:p>
      <w:pPr>
        <w:pStyle w:val="yIndenta"/>
      </w:pPr>
      <w:r>
        <w:tab/>
      </w:r>
      <w:r>
        <w:tab/>
        <w:t>and</w:t>
      </w:r>
    </w:p>
    <w:p>
      <w:pPr>
        <w:pStyle w:val="yIndenta"/>
      </w:pPr>
      <w:r>
        <w:tab/>
        <w:t>(b)</w:t>
      </w:r>
      <w:r>
        <w:tab/>
        <w:t>a charge for metered consumption at the rate of 29.3273 cents per unit.</w:t>
      </w:r>
    </w:p>
    <w:p>
      <w:pPr>
        <w:pStyle w:val="yFootnotesection"/>
      </w:pPr>
      <w:r>
        <w:tab/>
        <w:t>[Clause 6 inserted: SL 2021/98 bl. 4.]</w:t>
      </w:r>
    </w:p>
    <w:p>
      <w:pPr>
        <w:pStyle w:val="yHeading5"/>
      </w:pPr>
      <w:bookmarkStart w:id="23" w:name="_Toc104969279"/>
      <w:r>
        <w:rPr>
          <w:rStyle w:val="CharSClsNo"/>
        </w:rPr>
        <w:t>7</w:t>
      </w:r>
      <w:r>
        <w:t>.</w:t>
      </w:r>
      <w:r>
        <w:tab/>
        <w:t>Tariff B1 (residential water heating tariff)</w:t>
      </w:r>
      <w:bookmarkEnd w:id="23"/>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22.1515 cents per day or, for multiple dwellings supplied through 1 metered supply point, a fixed charge at the rate of 22.1515 cents per day for each dwelling; and</w:t>
      </w:r>
    </w:p>
    <w:p>
      <w:pPr>
        <w:pStyle w:val="yIndenta"/>
      </w:pPr>
      <w:r>
        <w:tab/>
        <w:t>(b)</w:t>
      </w:r>
      <w:r>
        <w:tab/>
        <w:t>a charge for metered consumption at the rate of 12.2374 cents per unit.</w:t>
      </w:r>
    </w:p>
    <w:p>
      <w:pPr>
        <w:pStyle w:val="yFootnotesection"/>
      </w:pPr>
      <w:r>
        <w:tab/>
        <w:t>[Clause 7 inserted: SL 2021/98 bl. 4.]</w:t>
      </w:r>
    </w:p>
    <w:p>
      <w:pPr>
        <w:pStyle w:val="yHeading5"/>
      </w:pPr>
      <w:bookmarkStart w:id="24" w:name="_Toc104969280"/>
      <w:r>
        <w:rPr>
          <w:rStyle w:val="CharSClsNo"/>
        </w:rPr>
        <w:lastRenderedPageBreak/>
        <w:t>8</w:t>
      </w:r>
      <w:r>
        <w:t>.</w:t>
      </w:r>
      <w:r>
        <w:tab/>
        <w:t>Tariff C1 (special community service tariff)</w:t>
      </w:r>
      <w:bookmarkEnd w:id="24"/>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$1.0146 per day; and</w:t>
      </w:r>
    </w:p>
    <w:p>
      <w:pPr>
        <w:pStyle w:val="yIndenta"/>
      </w:pPr>
      <w:r>
        <w:tab/>
        <w:t>(b)</w:t>
      </w:r>
      <w:r>
        <w:tab/>
        <w:t xml:space="preserve">a charge for metered consumption at the rate of — </w:t>
      </w:r>
    </w:p>
    <w:p>
      <w:pPr>
        <w:pStyle w:val="yIndenti0"/>
      </w:pPr>
      <w:r>
        <w:tab/>
        <w:t>(i)</w:t>
      </w:r>
      <w:r>
        <w:tab/>
        <w:t>23.7035 cents per unit for the first 20 units per day; and</w:t>
      </w:r>
    </w:p>
    <w:p>
      <w:pPr>
        <w:pStyle w:val="yIndenti0"/>
      </w:pPr>
      <w:r>
        <w:tab/>
        <w:t>(ii)</w:t>
      </w:r>
      <w:r>
        <w:tab/>
        <w:t>25.2900 cents per unit for the next 1 630 units per day; and</w:t>
      </w:r>
    </w:p>
    <w:p>
      <w:pPr>
        <w:pStyle w:val="yIndenti0"/>
      </w:pPr>
      <w:r>
        <w:tab/>
        <w:t>(iii)</w:t>
      </w:r>
      <w:r>
        <w:tab/>
        <w:t>24.1230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2021/98 bl. 4.]</w:t>
      </w:r>
    </w:p>
    <w:p>
      <w:pPr>
        <w:pStyle w:val="yHeading5"/>
      </w:pPr>
      <w:bookmarkStart w:id="25" w:name="_Toc104969281"/>
      <w:r>
        <w:rPr>
          <w:rStyle w:val="CharSClsNo"/>
        </w:rPr>
        <w:lastRenderedPageBreak/>
        <w:t>9</w:t>
      </w:r>
      <w:r>
        <w:t>.</w:t>
      </w:r>
      <w:r>
        <w:tab/>
        <w:t>Tariff D1 (special tariff for certain premises)</w:t>
      </w:r>
      <w:bookmarkEnd w:id="25"/>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$1.0007 per day; and</w:t>
      </w:r>
    </w:p>
    <w:p>
      <w:pPr>
        <w:pStyle w:val="yIndenta"/>
      </w:pPr>
      <w:r>
        <w:tab/>
        <w:t>(b)</w:t>
      </w:r>
      <w:r>
        <w:tab/>
        <w:t>if under subclause (3) there is deemed to be more than 1 equivalent domestic residence in the premises, a charge of 37.1009 cents per day for each equivalent domestic residence except the first that is deemed to be in the premises; and</w:t>
      </w:r>
    </w:p>
    <w:p>
      <w:pPr>
        <w:pStyle w:val="yIndenta"/>
      </w:pPr>
      <w:r>
        <w:tab/>
        <w:t>(c)</w:t>
      </w:r>
      <w:r>
        <w:tab/>
        <w:t>a charge for metered consumption at the rate of 25.4249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SL 2021/98 bl. 4.]</w:t>
      </w:r>
    </w:p>
    <w:p>
      <w:pPr>
        <w:pStyle w:val="yHeading5"/>
      </w:pPr>
      <w:bookmarkStart w:id="26" w:name="_Toc104969282"/>
      <w:r>
        <w:rPr>
          <w:rStyle w:val="CharSClsNo"/>
        </w:rPr>
        <w:t>10</w:t>
      </w:r>
      <w:r>
        <w:t>.</w:t>
      </w:r>
      <w:r>
        <w:tab/>
        <w:t>Tariff K1 (general supply with residential tariff)</w:t>
      </w:r>
      <w:bookmarkEnd w:id="26"/>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$1.8553 per day; and</w:t>
      </w:r>
    </w:p>
    <w:p>
      <w:pPr>
        <w:pStyle w:val="yIndenta"/>
      </w:pPr>
      <w:r>
        <w:tab/>
        <w:t>(b)</w:t>
      </w:r>
      <w:r>
        <w:tab/>
        <w:t>a charge for metered consumption at the rate of —</w:t>
      </w:r>
    </w:p>
    <w:p>
      <w:pPr>
        <w:pStyle w:val="yIndenti0"/>
      </w:pPr>
      <w:r>
        <w:tab/>
        <w:t>(i)</w:t>
      </w:r>
      <w:r>
        <w:tab/>
        <w:t>30.6376 cents per unit for the first 20 units per day; and</w:t>
      </w:r>
    </w:p>
    <w:p>
      <w:pPr>
        <w:pStyle w:val="yIndenti0"/>
      </w:pPr>
      <w:r>
        <w:tab/>
        <w:t>(ii)</w:t>
      </w:r>
      <w:r>
        <w:tab/>
        <w:t>28.8719 cents per unit for the next 1 630 units per day; and</w:t>
      </w:r>
    </w:p>
    <w:p>
      <w:pPr>
        <w:pStyle w:val="yIndenti0"/>
      </w:pPr>
      <w:r>
        <w:tab/>
        <w:t>(iii)</w:t>
      </w:r>
      <w:r>
        <w:tab/>
        <w:t>32.5520 cents per unit for all units exceeding 1 650 units per day.</w:t>
      </w:r>
    </w:p>
    <w:p>
      <w:pPr>
        <w:pStyle w:val="yFootnotesection"/>
      </w:pPr>
      <w:r>
        <w:tab/>
        <w:t>[Clause 10 inserted: SL 2021/98 bl.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7" w:name="_Toc104905295"/>
      <w:bookmarkStart w:id="28" w:name="_Toc104905439"/>
      <w:bookmarkStart w:id="29" w:name="_Toc104969283"/>
      <w:r>
        <w:rPr>
          <w:rStyle w:val="CharSchNo"/>
        </w:rPr>
        <w:lastRenderedPageBreak/>
        <w:t>Schedule 2</w:t>
      </w:r>
      <w:r>
        <w:t> — </w:t>
      </w:r>
      <w:r>
        <w:rPr>
          <w:rStyle w:val="CharSchText"/>
        </w:rPr>
        <w:t>Unmetered supply</w:t>
      </w:r>
      <w:bookmarkEnd w:id="27"/>
      <w:bookmarkEnd w:id="28"/>
      <w:bookmarkEnd w:id="29"/>
    </w:p>
    <w:p>
      <w:pPr>
        <w:pStyle w:val="yShoulderClause"/>
      </w:pPr>
      <w:r>
        <w:t>[bl. 4(2) and (3)]</w:t>
      </w:r>
    </w:p>
    <w:p>
      <w:pPr>
        <w:pStyle w:val="yFootnoteheading"/>
      </w:pPr>
      <w:r>
        <w:tab/>
        <w:t>[Heading inserted: SL 2021/98 bl. 4.]</w:t>
      </w:r>
    </w:p>
    <w:p>
      <w:pPr>
        <w:pStyle w:val="yHeading3"/>
      </w:pPr>
      <w:bookmarkStart w:id="30" w:name="_Toc104905296"/>
      <w:bookmarkStart w:id="31" w:name="_Toc104905440"/>
      <w:bookmarkStart w:id="32" w:name="_Toc104969284"/>
      <w:r>
        <w:rPr>
          <w:rStyle w:val="CharSDivNo"/>
        </w:rPr>
        <w:t>Division 1</w:t>
      </w:r>
      <w:r>
        <w:rPr>
          <w:b w:val="0"/>
        </w:rPr>
        <w:t> — </w:t>
      </w:r>
      <w:r>
        <w:rPr>
          <w:rStyle w:val="CharSDivText"/>
        </w:rPr>
        <w:t>Street lighting</w:t>
      </w:r>
      <w:bookmarkEnd w:id="30"/>
      <w:bookmarkEnd w:id="31"/>
      <w:bookmarkEnd w:id="32"/>
    </w:p>
    <w:p>
      <w:pPr>
        <w:pStyle w:val="yFootnoteheading"/>
        <w:spacing w:after="120"/>
      </w:pPr>
      <w:r>
        <w:tab/>
        <w:t>[Heading inserted: SL 2021/98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31.5485</w:t>
            </w:r>
          </w:p>
        </w:tc>
        <w:tc>
          <w:tcPr>
            <w:tcW w:w="1512" w:type="dxa"/>
          </w:tcPr>
          <w:p>
            <w:pPr>
              <w:pStyle w:val="yTableNAm"/>
              <w:rPr>
                <w:sz w:val="18"/>
                <w:szCs w:val="18"/>
              </w:rPr>
            </w:pPr>
            <w:r>
              <w:rPr>
                <w:sz w:val="18"/>
                <w:szCs w:val="18"/>
              </w:rPr>
              <w:t>32.6051</w:t>
            </w:r>
          </w:p>
        </w:tc>
        <w:tc>
          <w:tcPr>
            <w:tcW w:w="1370" w:type="dxa"/>
          </w:tcPr>
          <w:p>
            <w:pPr>
              <w:pStyle w:val="yTableNAm"/>
              <w:rPr>
                <w:sz w:val="18"/>
                <w:szCs w:val="18"/>
              </w:rPr>
            </w:pPr>
            <w:r>
              <w:rPr>
                <w:sz w:val="18"/>
                <w:szCs w:val="18"/>
              </w:rPr>
              <w:t>36.6202</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40.7548</w:t>
            </w:r>
          </w:p>
        </w:tc>
        <w:tc>
          <w:tcPr>
            <w:tcW w:w="1512" w:type="dxa"/>
          </w:tcPr>
          <w:p>
            <w:pPr>
              <w:pStyle w:val="yTableNAm"/>
              <w:rPr>
                <w:sz w:val="18"/>
                <w:szCs w:val="18"/>
              </w:rPr>
            </w:pPr>
            <w:r>
              <w:rPr>
                <w:sz w:val="18"/>
                <w:szCs w:val="18"/>
              </w:rPr>
              <w:t>42.4454</w:t>
            </w:r>
          </w:p>
        </w:tc>
        <w:tc>
          <w:tcPr>
            <w:tcW w:w="1370" w:type="dxa"/>
          </w:tcPr>
          <w:p>
            <w:pPr>
              <w:pStyle w:val="yTableNAm"/>
              <w:rPr>
                <w:sz w:val="18"/>
                <w:szCs w:val="18"/>
              </w:rPr>
            </w:pPr>
            <w:r>
              <w:rPr>
                <w:sz w:val="18"/>
                <w:szCs w:val="18"/>
              </w:rPr>
              <w:t>48.8695</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50.0667</w:t>
            </w:r>
          </w:p>
        </w:tc>
        <w:tc>
          <w:tcPr>
            <w:tcW w:w="1512" w:type="dxa"/>
          </w:tcPr>
          <w:p>
            <w:pPr>
              <w:pStyle w:val="yTableNAm"/>
              <w:rPr>
                <w:sz w:val="18"/>
                <w:szCs w:val="18"/>
              </w:rPr>
            </w:pPr>
            <w:r>
              <w:rPr>
                <w:sz w:val="18"/>
                <w:szCs w:val="18"/>
              </w:rPr>
              <w:t>52.7081</w:t>
            </w:r>
          </w:p>
        </w:tc>
        <w:tc>
          <w:tcPr>
            <w:tcW w:w="1370" w:type="dxa"/>
          </w:tcPr>
          <w:p>
            <w:pPr>
              <w:pStyle w:val="yTableNAm"/>
              <w:rPr>
                <w:sz w:val="18"/>
                <w:szCs w:val="18"/>
              </w:rPr>
            </w:pPr>
            <w:r>
              <w:rPr>
                <w:sz w:val="18"/>
                <w:szCs w:val="18"/>
              </w:rPr>
              <w:t>62.7458</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71.7730</w:t>
            </w:r>
          </w:p>
        </w:tc>
        <w:tc>
          <w:tcPr>
            <w:tcW w:w="1512" w:type="dxa"/>
          </w:tcPr>
          <w:p>
            <w:pPr>
              <w:pStyle w:val="yTableNAm"/>
              <w:rPr>
                <w:sz w:val="18"/>
                <w:szCs w:val="18"/>
              </w:rPr>
            </w:pPr>
            <w:r>
              <w:rPr>
                <w:sz w:val="18"/>
                <w:szCs w:val="18"/>
              </w:rPr>
              <w:t>77.0560</w:t>
            </w:r>
          </w:p>
        </w:tc>
        <w:tc>
          <w:tcPr>
            <w:tcW w:w="1370" w:type="dxa"/>
          </w:tcPr>
          <w:p>
            <w:pPr>
              <w:pStyle w:val="yTableNAm"/>
              <w:rPr>
                <w:sz w:val="18"/>
                <w:szCs w:val="18"/>
              </w:rPr>
            </w:pPr>
            <w:r>
              <w:rPr>
                <w:sz w:val="18"/>
                <w:szCs w:val="18"/>
              </w:rPr>
              <w:t>97.1313</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83.2119</w:t>
            </w:r>
          </w:p>
        </w:tc>
        <w:tc>
          <w:tcPr>
            <w:tcW w:w="1512" w:type="dxa"/>
          </w:tcPr>
          <w:p>
            <w:pPr>
              <w:pStyle w:val="yTableNAm"/>
              <w:rPr>
                <w:sz w:val="18"/>
                <w:szCs w:val="18"/>
              </w:rPr>
            </w:pPr>
            <w:r>
              <w:rPr>
                <w:sz w:val="18"/>
                <w:szCs w:val="18"/>
              </w:rPr>
              <w:t>86.6085</w:t>
            </w:r>
          </w:p>
        </w:tc>
        <w:tc>
          <w:tcPr>
            <w:tcW w:w="1370" w:type="dxa"/>
          </w:tcPr>
          <w:p>
            <w:pPr>
              <w:pStyle w:val="yTableNAm"/>
              <w:rPr>
                <w:sz w:val="18"/>
                <w:szCs w:val="18"/>
              </w:rPr>
            </w:pPr>
            <w:r>
              <w:rPr>
                <w:sz w:val="18"/>
                <w:szCs w:val="18"/>
              </w:rPr>
              <w:t>127.8641</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54.9679</w:t>
            </w:r>
          </w:p>
        </w:tc>
        <w:tc>
          <w:tcPr>
            <w:tcW w:w="1512" w:type="dxa"/>
          </w:tcPr>
          <w:p>
            <w:pPr>
              <w:pStyle w:val="yTableNAm"/>
              <w:rPr>
                <w:sz w:val="18"/>
                <w:szCs w:val="18"/>
              </w:rPr>
            </w:pPr>
            <w:r>
              <w:rPr>
                <w:sz w:val="18"/>
                <w:szCs w:val="18"/>
              </w:rPr>
              <w:t>58.1378</w:t>
            </w:r>
          </w:p>
        </w:tc>
        <w:tc>
          <w:tcPr>
            <w:tcW w:w="1370" w:type="dxa"/>
          </w:tcPr>
          <w:p>
            <w:pPr>
              <w:pStyle w:val="yTableNAm"/>
              <w:rPr>
                <w:sz w:val="18"/>
                <w:szCs w:val="18"/>
              </w:rPr>
            </w:pPr>
            <w:r>
              <w:rPr>
                <w:sz w:val="18"/>
                <w:szCs w:val="18"/>
              </w:rPr>
              <w:t>70.1829</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63.9448</w:t>
            </w:r>
          </w:p>
        </w:tc>
        <w:tc>
          <w:tcPr>
            <w:tcW w:w="1512" w:type="dxa"/>
          </w:tcPr>
          <w:p>
            <w:pPr>
              <w:pStyle w:val="yTableNAm"/>
              <w:rPr>
                <w:sz w:val="18"/>
                <w:szCs w:val="18"/>
              </w:rPr>
            </w:pPr>
            <w:r>
              <w:rPr>
                <w:sz w:val="18"/>
                <w:szCs w:val="18"/>
              </w:rPr>
              <w:t>69.2278</w:t>
            </w:r>
          </w:p>
        </w:tc>
        <w:tc>
          <w:tcPr>
            <w:tcW w:w="1370" w:type="dxa"/>
          </w:tcPr>
          <w:p>
            <w:pPr>
              <w:pStyle w:val="yTableNAm"/>
              <w:rPr>
                <w:sz w:val="18"/>
                <w:szCs w:val="18"/>
              </w:rPr>
            </w:pPr>
            <w:r>
              <w:rPr>
                <w:sz w:val="18"/>
                <w:szCs w:val="18"/>
              </w:rPr>
              <w:t>89.3031</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279.8127</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rPr>
                <w:sz w:val="18"/>
                <w:szCs w:val="18"/>
              </w:rPr>
            </w:pPr>
            <w:r>
              <w:rPr>
                <w:sz w:val="18"/>
                <w:szCs w:val="18"/>
              </w:rPr>
              <w:t>36.0369</w:t>
            </w:r>
          </w:p>
        </w:tc>
        <w:tc>
          <w:tcPr>
            <w:tcW w:w="1512" w:type="dxa"/>
          </w:tcPr>
          <w:p>
            <w:pPr>
              <w:pStyle w:val="yTableNAm"/>
              <w:rPr>
                <w:sz w:val="18"/>
                <w:szCs w:val="18"/>
              </w:rPr>
            </w:pPr>
            <w:r>
              <w:rPr>
                <w:sz w:val="18"/>
                <w:szCs w:val="18"/>
              </w:rPr>
              <w:t>37.5373</w:t>
            </w:r>
          </w:p>
        </w:tc>
        <w:tc>
          <w:tcPr>
            <w:tcW w:w="1370" w:type="dxa"/>
          </w:tcPr>
          <w:p>
            <w:pPr>
              <w:pStyle w:val="yTableNAm"/>
              <w:rPr>
                <w:sz w:val="18"/>
                <w:szCs w:val="18"/>
              </w:rPr>
            </w:pPr>
            <w:r>
              <w:rPr>
                <w:sz w:val="18"/>
                <w:szCs w:val="18"/>
              </w:rPr>
              <w:t>41.7280</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rPr>
                <w:sz w:val="18"/>
                <w:szCs w:val="18"/>
              </w:rPr>
            </w:pPr>
            <w:r>
              <w:rPr>
                <w:sz w:val="18"/>
                <w:szCs w:val="18"/>
              </w:rPr>
              <w:t>30.6508</w:t>
            </w:r>
          </w:p>
        </w:tc>
        <w:tc>
          <w:tcPr>
            <w:tcW w:w="1512" w:type="dxa"/>
            <w:tcBorders>
              <w:bottom w:val="single" w:sz="4" w:space="0" w:color="auto"/>
            </w:tcBorders>
          </w:tcPr>
          <w:p>
            <w:pPr>
              <w:pStyle w:val="yTableNAm"/>
              <w:rPr>
                <w:sz w:val="18"/>
                <w:szCs w:val="18"/>
              </w:rPr>
            </w:pPr>
            <w:r>
              <w:rPr>
                <w:sz w:val="18"/>
                <w:szCs w:val="18"/>
              </w:rPr>
              <w:t>31.4961</w:t>
            </w:r>
          </w:p>
        </w:tc>
        <w:tc>
          <w:tcPr>
            <w:tcW w:w="1370" w:type="dxa"/>
            <w:tcBorders>
              <w:bottom w:val="single" w:sz="4" w:space="0" w:color="auto"/>
            </w:tcBorders>
          </w:tcPr>
          <w:p>
            <w:pPr>
              <w:pStyle w:val="yTableNAm"/>
              <w:rPr>
                <w:sz w:val="18"/>
                <w:szCs w:val="18"/>
              </w:rPr>
            </w:pPr>
            <w:r>
              <w:rPr>
                <w:sz w:val="18"/>
                <w:szCs w:val="18"/>
              </w:rPr>
              <w:t>34.7081</w:t>
            </w:r>
          </w:p>
        </w:tc>
      </w:tr>
    </w:tbl>
    <w:p>
      <w:pPr>
        <w:pStyle w:val="yFootnotesection"/>
      </w:pPr>
      <w:r>
        <w:tab/>
        <w:t>[Division 1 inserted: SL 2021/98 bl. 4.]</w:t>
      </w:r>
    </w:p>
    <w:p>
      <w:pPr>
        <w:pStyle w:val="yHeading3"/>
      </w:pPr>
      <w:bookmarkStart w:id="33" w:name="_Toc104905297"/>
      <w:bookmarkStart w:id="34" w:name="_Toc104905441"/>
      <w:bookmarkStart w:id="35" w:name="_Toc104969285"/>
      <w:r>
        <w:rPr>
          <w:rStyle w:val="CharSDivNo"/>
        </w:rPr>
        <w:lastRenderedPageBreak/>
        <w:t>Division 2</w:t>
      </w:r>
      <w:r>
        <w:rPr>
          <w:b w:val="0"/>
        </w:rPr>
        <w:t> — </w:t>
      </w:r>
      <w:r>
        <w:rPr>
          <w:rStyle w:val="CharSDivText"/>
        </w:rPr>
        <w:t>Miscellaneous</w:t>
      </w:r>
      <w:bookmarkEnd w:id="33"/>
      <w:bookmarkEnd w:id="34"/>
      <w:bookmarkEnd w:id="35"/>
    </w:p>
    <w:p>
      <w:pPr>
        <w:pStyle w:val="yFootnoteheading"/>
        <w:keepNext/>
        <w:spacing w:after="120"/>
      </w:pPr>
      <w:r>
        <w:tab/>
        <w:t>[Heading inserted: SL 2021/98 bl. 4.]</w:t>
      </w:r>
    </w:p>
    <w:p>
      <w:pPr>
        <w:pStyle w:val="yHeading5"/>
      </w:pPr>
      <w:bookmarkStart w:id="36" w:name="_Toc104969286"/>
      <w:r>
        <w:rPr>
          <w:rStyle w:val="CharSClsNo"/>
        </w:rPr>
        <w:t>1</w:t>
      </w:r>
      <w:r>
        <w:t>.</w:t>
      </w:r>
      <w:r>
        <w:tab/>
        <w:t>Traffic light installation</w:t>
      </w:r>
      <w:bookmarkEnd w:id="36"/>
    </w:p>
    <w:p>
      <w:pPr>
        <w:pStyle w:val="ySubsection"/>
        <w:keepNext/>
      </w:pPr>
      <w:r>
        <w:tab/>
      </w:r>
      <w:r>
        <w:tab/>
        <w:t xml:space="preserve">Supply of electricity to traffic light installations comprises a charge of </w:t>
      </w:r>
      <w:r>
        <w:rPr>
          <w:szCs w:val="22"/>
        </w:rPr>
        <w:t xml:space="preserve">$7.9244 </w:t>
      </w:r>
      <w:r>
        <w:t>per day per kW of installed wattage.</w:t>
      </w:r>
    </w:p>
    <w:p>
      <w:pPr>
        <w:pStyle w:val="yFootnotesection"/>
      </w:pPr>
      <w:r>
        <w:tab/>
        <w:t>[Clause 1 inserted: SL 2021/98 bl. 4.]</w:t>
      </w:r>
    </w:p>
    <w:p>
      <w:pPr>
        <w:pStyle w:val="yHeading5"/>
      </w:pPr>
      <w:bookmarkStart w:id="37" w:name="_Toc104969287"/>
      <w:r>
        <w:rPr>
          <w:rStyle w:val="CharSClsNo"/>
        </w:rPr>
        <w:t>2</w:t>
      </w:r>
      <w:r>
        <w:t>.</w:t>
      </w:r>
      <w:r>
        <w:tab/>
        <w:t>Public telephone facility</w:t>
      </w:r>
      <w:bookmarkEnd w:id="37"/>
    </w:p>
    <w:p>
      <w:pPr>
        <w:pStyle w:val="ySubsection"/>
      </w:pPr>
      <w:r>
        <w:tab/>
      </w:r>
      <w:r>
        <w:tab/>
        <w:t>Supply of electricity to a standard public telephone facility where supply is not independently metered comprises a charge of 67.7400 cents per day.</w:t>
      </w:r>
    </w:p>
    <w:p>
      <w:pPr>
        <w:pStyle w:val="yFootnotesection"/>
      </w:pPr>
      <w:r>
        <w:tab/>
        <w:t>[Clause 2 inserted: SL 2021/98 bl. 4.]</w:t>
      </w:r>
    </w:p>
    <w:p>
      <w:pPr>
        <w:pStyle w:val="yHeading5"/>
      </w:pPr>
      <w:bookmarkStart w:id="38" w:name="_Toc104969288"/>
      <w:r>
        <w:rPr>
          <w:rStyle w:val="CharSClsNo"/>
        </w:rPr>
        <w:t>3</w:t>
      </w:r>
      <w:r>
        <w:t>.</w:t>
      </w:r>
      <w:r>
        <w:tab/>
        <w:t>Railway crossing</w:t>
      </w:r>
      <w:bookmarkEnd w:id="38"/>
    </w:p>
    <w:p>
      <w:pPr>
        <w:pStyle w:val="ySubsection"/>
      </w:pPr>
      <w:r>
        <w:tab/>
      </w:r>
      <w:r>
        <w:tab/>
        <w:t xml:space="preserve">Supply of electricity to standard railway crossing lights comprises a charge of </w:t>
      </w:r>
      <w:r>
        <w:rPr>
          <w:szCs w:val="22"/>
        </w:rPr>
        <w:t xml:space="preserve">86.5672 </w:t>
      </w:r>
      <w:r>
        <w:t>cents per day.</w:t>
      </w:r>
    </w:p>
    <w:p>
      <w:pPr>
        <w:pStyle w:val="yFootnotesection"/>
      </w:pPr>
      <w:r>
        <w:tab/>
        <w:t>[Clause 3 inserted: SL 2021/98 bl. 4.]</w:t>
      </w:r>
    </w:p>
    <w:p>
      <w:pPr>
        <w:pStyle w:val="yScheduleHeading"/>
      </w:pPr>
      <w:bookmarkStart w:id="39" w:name="_Toc104905301"/>
      <w:bookmarkStart w:id="40" w:name="_Toc104905445"/>
      <w:bookmarkStart w:id="41" w:name="_Toc104969289"/>
      <w:r>
        <w:rPr>
          <w:rStyle w:val="CharSchNo"/>
        </w:rPr>
        <w:lastRenderedPageBreak/>
        <w:t>Schedule 3</w:t>
      </w:r>
      <w:r>
        <w:rPr>
          <w:rStyle w:val="CharSDivNo"/>
        </w:rPr>
        <w:t> </w:t>
      </w:r>
      <w:r>
        <w:t>—</w:t>
      </w:r>
      <w:r>
        <w:rPr>
          <w:rStyle w:val="CharSDivText"/>
        </w:rPr>
        <w:t> </w:t>
      </w:r>
      <w:r>
        <w:rPr>
          <w:rStyle w:val="CharSchText"/>
        </w:rPr>
        <w:t>Meter rental</w:t>
      </w:r>
      <w:bookmarkEnd w:id="39"/>
      <w:bookmarkEnd w:id="40"/>
      <w:bookmarkEnd w:id="41"/>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2" w:name="_Toc104905302"/>
      <w:bookmarkStart w:id="43" w:name="_Toc104905446"/>
      <w:bookmarkStart w:id="44" w:name="_Toc104969290"/>
      <w:r>
        <w:rPr>
          <w:rStyle w:val="CharSchNo"/>
        </w:rPr>
        <w:lastRenderedPageBreak/>
        <w:t>Schedule 4</w:t>
      </w:r>
      <w:r>
        <w:t> — </w:t>
      </w:r>
      <w:r>
        <w:rPr>
          <w:rStyle w:val="CharSchText"/>
        </w:rPr>
        <w:t>Fees</w:t>
      </w:r>
      <w:bookmarkEnd w:id="42"/>
      <w:bookmarkEnd w:id="43"/>
      <w:bookmarkEnd w:id="44"/>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$37.20</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$213.76</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$95.70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t>$17.60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nHeading2"/>
      </w:pPr>
      <w:bookmarkStart w:id="45" w:name="_Toc104905303"/>
      <w:bookmarkStart w:id="46" w:name="_Toc104905447"/>
      <w:bookmarkStart w:id="47" w:name="_Toc104969291"/>
      <w:r>
        <w:lastRenderedPageBreak/>
        <w:t>Notes</w:t>
      </w:r>
      <w:bookmarkEnd w:id="45"/>
      <w:bookmarkEnd w:id="46"/>
      <w:bookmarkEnd w:id="47"/>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 w:name="_Toc104969292"/>
      <w:r>
        <w:t>Compilation table</w:t>
      </w:r>
      <w:bookmarkEnd w:id="48"/>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lastRenderedPageBreak/>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bottom w:val="single" w:sz="4" w:space="0" w:color="auto"/>
            </w:tcBorders>
            <w:shd w:val="clear" w:color="auto" w:fill="auto"/>
          </w:tcPr>
          <w:p>
            <w:pPr>
              <w:pStyle w:val="nTable"/>
              <w:spacing w:after="40"/>
            </w:pPr>
            <w:r>
              <w:t>SL 2021/98 22 Jun 2021</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bl>
    <w:p>
      <w:pPr>
        <w:pStyle w:val="nHeading3"/>
      </w:pPr>
      <w:bookmarkStart w:id="49" w:name="_Toc104969293"/>
      <w:r>
        <w:t>Uncommenced provisions table</w:t>
      </w:r>
      <w:bookmarkEnd w:id="4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(Electricity Generation and Retail Corporation) (Charges) Amendment By</w:t>
            </w:r>
            <w:r>
              <w:rPr>
                <w:i/>
              </w:rPr>
              <w:noBreakHyphen/>
              <w:t>laws 2022</w:t>
            </w:r>
            <w:r>
              <w:t xml:space="preserve"> bl. 3</w:t>
            </w:r>
            <w:r>
              <w:noBreakHyphen/>
              <w:t>5</w:t>
            </w:r>
          </w:p>
        </w:tc>
        <w:tc>
          <w:tcPr>
            <w:tcW w:w="1276" w:type="dxa"/>
          </w:tcPr>
          <w:p>
            <w:pPr>
              <w:pStyle w:val="nTable"/>
              <w:spacing w:after="40"/>
            </w:pPr>
            <w:r>
              <w:t>SL 2022/70 3 Jun 2022</w:t>
            </w:r>
          </w:p>
        </w:tc>
        <w:tc>
          <w:tcPr>
            <w:tcW w:w="2693" w:type="dxa"/>
          </w:tcPr>
          <w:p>
            <w:pPr>
              <w:pStyle w:val="nTable"/>
              <w:spacing w:after="40"/>
            </w:pPr>
            <w:r>
              <w:t>1 Jul 2022 (see bl. 2(b))</w:t>
            </w:r>
          </w:p>
        </w:tc>
      </w:tr>
    </w:tbl>
    <w:p>
      <w:pPr>
        <w:pStyle w:val="nHeading3"/>
      </w:pPr>
      <w:bookmarkStart w:id="50" w:name="_Toc104969294"/>
      <w:r>
        <w:lastRenderedPageBreak/>
        <w:t>Other notes</w:t>
      </w:r>
      <w:bookmarkEnd w:id="50"/>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2" w:name="_Toc104905306"/>
      <w:bookmarkStart w:id="53" w:name="_Toc104905451"/>
      <w:bookmarkStart w:id="54" w:name="_Toc104969295"/>
      <w:r>
        <w:rPr>
          <w:sz w:val="28"/>
        </w:rPr>
        <w:lastRenderedPageBreak/>
        <w:t>Defined terms</w:t>
      </w:r>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559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4755</Words>
  <Characters>23349</Characters>
  <Application>Microsoft Office Word</Application>
  <DocSecurity>0</DocSecurity>
  <Lines>864</Lines>
  <Paragraphs>573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2006 - 04-i0-00</dc:title>
  <dc:subject/>
  <dc:creator/>
  <cp:keywords/>
  <dc:description/>
  <cp:lastModifiedBy>Master Repository Process</cp:lastModifiedBy>
  <cp:revision>4</cp:revision>
  <cp:lastPrinted>2019-06-24T07:01:00Z</cp:lastPrinted>
  <dcterms:created xsi:type="dcterms:W3CDTF">2022-06-03T03:00:00Z</dcterms:created>
  <dcterms:modified xsi:type="dcterms:W3CDTF">2022-06-03T03:00:00Z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03 Jun 2022</vt:lpwstr>
  </property>
  <property fmtid="{D5CDD505-2E9C-101B-9397-08002B2CF9AE}" pid="8" name="Suffix">
    <vt:lpwstr>04-i0-00</vt:lpwstr>
  </property>
  <property fmtid="{D5CDD505-2E9C-101B-9397-08002B2CF9AE}" pid="9" name="CommencementDate">
    <vt:lpwstr>20220603</vt:lpwstr>
  </property>
</Properties>
</file>