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_Toc104974395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_Toc104974396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_Toc104974397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_Toc104974398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_Toc104974399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_Toc104974400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_Toc104974401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_Toc104974402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_Toc104974403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_Toc104974404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_Toc104974405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_Toc104974408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_Toc104974409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_Toc104974410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_Toc104974411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_Toc104974412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_Toc104974413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_Toc104974415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_Toc104974416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_Toc104974417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10.</w:t>
      </w:r>
      <w:r>
        <w:tab/>
        <w:t>Eligibility criteria for MyPower tariffs</w:t>
      </w:r>
      <w:r>
        <w:tab/>
      </w:r>
      <w:r>
        <w:fldChar w:fldCharType="begin"/>
      </w:r>
      <w:r>
        <w:instrText xml:space="preserve"> PAGEREF _Toc104974418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_Toc104974422 \h </w:instrText>
      </w:r>
      <w:r>
        <w:fldChar w:fldCharType="separate"/>
      </w:r>
      <w:r>
        <w:t>18</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_Toc104974423 \h </w:instrText>
      </w:r>
      <w:r>
        <w:fldChar w:fldCharType="separate"/>
      </w:r>
      <w:r>
        <w:t>18</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_Toc104974424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_Toc104974428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_Toc104974429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3" w:name="_Toc104974395"/>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104974396"/>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04974397"/>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104974398"/>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7" w:name="_Toc104974399"/>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104974400"/>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104974401"/>
      <w:r>
        <w:rPr>
          <w:rStyle w:val="CharSectno"/>
        </w:rPr>
        <w:lastRenderedPageBreak/>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04974402"/>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104974403"/>
      <w:r>
        <w:rPr>
          <w:rStyle w:val="CharSectno"/>
        </w:rPr>
        <w:t>10</w:t>
      </w:r>
      <w:r>
        <w:t>.</w:t>
      </w:r>
      <w:r>
        <w:tab/>
        <w:t>Calculation of charges</w:t>
      </w:r>
      <w:bookmarkEnd w:id="11"/>
    </w:p>
    <w:p>
      <w:pPr>
        <w:pStyle w:val="Subsection"/>
        <w:rPr>
          <w:snapToGrid w:val="0"/>
        </w:rPr>
      </w:pPr>
      <w:r>
        <w:rPr>
          <w:snapToGrid w:val="0"/>
        </w:rPr>
        <w:tab/>
        <w:t>(1)</w:t>
      </w:r>
      <w:r>
        <w:rPr>
          <w:snapToGrid w:val="0"/>
        </w:rPr>
        <w:tab/>
        <w:t xml:space="preserve">Where a charge per unit specified in Schedule 1 depends on the number of units consumed per day the charge per unit is to be </w:t>
      </w:r>
      <w:r>
        <w:rPr>
          <w:snapToGrid w:val="0"/>
        </w:rPr>
        <w:lastRenderedPageBreak/>
        <w:t>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12" w:name="_Toc104974404"/>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04974405"/>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75781356"/>
      <w:bookmarkStart w:id="15" w:name="_Toc75781519"/>
      <w:bookmarkStart w:id="16" w:name="_Toc75855906"/>
      <w:bookmarkStart w:id="17" w:name="_Toc75855941"/>
      <w:bookmarkStart w:id="18" w:name="_Toc104965937"/>
      <w:bookmarkStart w:id="19" w:name="_Toc104966147"/>
      <w:bookmarkStart w:id="20" w:name="_Toc104974406"/>
      <w:bookmarkStart w:id="21" w:name="_Toc75774389"/>
      <w:r>
        <w:rPr>
          <w:rStyle w:val="CharSchNo"/>
        </w:rPr>
        <w:lastRenderedPageBreak/>
        <w:t>Schedule 1</w:t>
      </w:r>
      <w:r>
        <w:t> — </w:t>
      </w:r>
      <w:r>
        <w:rPr>
          <w:rStyle w:val="CharSchText"/>
        </w:rPr>
        <w:t>Supply charges</w:t>
      </w:r>
      <w:bookmarkEnd w:id="14"/>
      <w:bookmarkEnd w:id="15"/>
      <w:bookmarkEnd w:id="16"/>
      <w:bookmarkEnd w:id="17"/>
      <w:bookmarkEnd w:id="18"/>
      <w:bookmarkEnd w:id="19"/>
      <w:bookmarkEnd w:id="20"/>
    </w:p>
    <w:p>
      <w:pPr>
        <w:pStyle w:val="yShoulderClause"/>
      </w:pPr>
      <w:r>
        <w:t>[bl. 3, 4(1) and 10(1)]</w:t>
      </w:r>
    </w:p>
    <w:p>
      <w:pPr>
        <w:pStyle w:val="yFootnoteheading"/>
      </w:pPr>
      <w:r>
        <w:tab/>
        <w:t>[Heading inserted: SL 2021/110 bl. 4.]</w:t>
      </w:r>
    </w:p>
    <w:p>
      <w:pPr>
        <w:pStyle w:val="yHeading3"/>
      </w:pPr>
      <w:bookmarkStart w:id="22" w:name="_Toc75781357"/>
      <w:bookmarkStart w:id="23" w:name="_Toc75781520"/>
      <w:bookmarkStart w:id="24" w:name="_Toc75855907"/>
      <w:bookmarkStart w:id="25" w:name="_Toc75855942"/>
      <w:bookmarkStart w:id="26" w:name="_Toc104965938"/>
      <w:bookmarkStart w:id="27" w:name="_Toc104966148"/>
      <w:bookmarkStart w:id="28" w:name="_Toc104974407"/>
      <w:r>
        <w:rPr>
          <w:rStyle w:val="CharSDivNo"/>
        </w:rPr>
        <w:t>Division 1</w:t>
      </w:r>
      <w:r>
        <w:t> — </w:t>
      </w:r>
      <w:r>
        <w:rPr>
          <w:rStyle w:val="CharSDivText"/>
        </w:rPr>
        <w:t>Tariffs other than MyPower tariffs</w:t>
      </w:r>
      <w:bookmarkEnd w:id="22"/>
      <w:bookmarkEnd w:id="23"/>
      <w:bookmarkEnd w:id="24"/>
      <w:bookmarkEnd w:id="25"/>
      <w:bookmarkEnd w:id="26"/>
      <w:bookmarkEnd w:id="27"/>
      <w:bookmarkEnd w:id="28"/>
    </w:p>
    <w:p>
      <w:pPr>
        <w:pStyle w:val="yFootnoteheading"/>
      </w:pPr>
      <w:r>
        <w:tab/>
        <w:t>[Heading inserted: SL 2021/110 bl. 4.]</w:t>
      </w:r>
    </w:p>
    <w:p>
      <w:pPr>
        <w:pStyle w:val="yHeading5"/>
      </w:pPr>
      <w:bookmarkStart w:id="29" w:name="_Toc104974408"/>
      <w:r>
        <w:rPr>
          <w:rStyle w:val="CharSClsNo"/>
        </w:rPr>
        <w:t>1</w:t>
      </w:r>
      <w:r>
        <w:t>.</w:t>
      </w:r>
      <w:r>
        <w:tab/>
        <w:t>Tariff L2 (general supply — low/medium voltage tariff)</w:t>
      </w:r>
      <w:bookmarkEnd w:id="2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$1.8770 per day; and</w:t>
      </w:r>
    </w:p>
    <w:p>
      <w:pPr>
        <w:pStyle w:val="yIndenta"/>
      </w:pPr>
      <w:r>
        <w:tab/>
        <w:t>(b)</w:t>
      </w:r>
      <w:r>
        <w:tab/>
        <w:t xml:space="preserve">a charge for metered consumption at the rate of — </w:t>
      </w:r>
    </w:p>
    <w:p>
      <w:pPr>
        <w:pStyle w:val="yIndenti0"/>
      </w:pPr>
      <w:r>
        <w:tab/>
        <w:t>(i)</w:t>
      </w:r>
      <w:r>
        <w:tab/>
        <w:t>29.2089 cents per unit for the first 1 650 units per day; and</w:t>
      </w:r>
    </w:p>
    <w:p>
      <w:pPr>
        <w:pStyle w:val="yIndenti0"/>
      </w:pPr>
      <w:r>
        <w:tab/>
        <w:t>(ii)</w:t>
      </w:r>
      <w:r>
        <w:tab/>
        <w:t>32.9320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2021/110 bl. 4.]</w:t>
      </w:r>
    </w:p>
    <w:p>
      <w:pPr>
        <w:pStyle w:val="yHeading5"/>
      </w:pPr>
      <w:bookmarkStart w:id="30" w:name="_Toc104974409"/>
      <w:r>
        <w:rPr>
          <w:rStyle w:val="CharSClsNo"/>
        </w:rPr>
        <w:t>2</w:t>
      </w:r>
      <w:r>
        <w:t>.</w:t>
      </w:r>
      <w:r>
        <w:tab/>
        <w:t>Tariff L4 (general supply — low/medium voltage tariff)</w:t>
      </w:r>
      <w:bookmarkEnd w:id="30"/>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$1.9066 per day; and</w:t>
      </w:r>
    </w:p>
    <w:p>
      <w:pPr>
        <w:pStyle w:val="yIndenta"/>
      </w:pPr>
      <w:r>
        <w:tab/>
        <w:t>(b)</w:t>
      </w:r>
      <w:r>
        <w:tab/>
        <w:t xml:space="preserve">a charge for metered consumption at the rate of — </w:t>
      </w:r>
    </w:p>
    <w:p>
      <w:pPr>
        <w:pStyle w:val="yIndenti0"/>
      </w:pPr>
      <w:r>
        <w:tab/>
        <w:t>(i)</w:t>
      </w:r>
      <w:r>
        <w:tab/>
        <w:t>38.7263</w:t>
      </w:r>
      <w:r>
        <w:rPr>
          <w:szCs w:val="22"/>
        </w:rPr>
        <w:t xml:space="preserve"> </w:t>
      </w:r>
      <w:r>
        <w:t>cents per unit for the first 1 650 units per day; and</w:t>
      </w:r>
    </w:p>
    <w:p>
      <w:pPr>
        <w:pStyle w:val="yIndenti0"/>
      </w:pPr>
      <w:r>
        <w:tab/>
        <w:t>(ii)</w:t>
      </w:r>
      <w:r>
        <w:tab/>
        <w:t>32.8605</w:t>
      </w:r>
      <w:r>
        <w:rPr>
          <w:szCs w:val="22"/>
        </w:rPr>
        <w:t xml:space="preserve"> </w:t>
      </w:r>
      <w:r>
        <w:t>cents per unit for all units exceeding 1 650 units per day.</w:t>
      </w:r>
    </w:p>
    <w:p>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2021/110 bl. 4.]</w:t>
      </w:r>
    </w:p>
    <w:p>
      <w:pPr>
        <w:pStyle w:val="yHeading5"/>
      </w:pPr>
      <w:bookmarkStart w:id="31" w:name="_Toc104974410"/>
      <w:r>
        <w:rPr>
          <w:rStyle w:val="CharSClsNo"/>
        </w:rPr>
        <w:t>3</w:t>
      </w:r>
      <w:r>
        <w:t>.</w:t>
      </w:r>
      <w:r>
        <w:tab/>
        <w:t>Tariff A2 (residential tariff)</w:t>
      </w:r>
      <w:bookmarkEnd w:id="31"/>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$1.0514 per day or, for multiple dwellings supplied through 1 metered supply point, a fixed charge at the rate of —</w:t>
      </w:r>
    </w:p>
    <w:p>
      <w:pPr>
        <w:pStyle w:val="yIndenti0"/>
      </w:pPr>
      <w:r>
        <w:tab/>
        <w:t>(i)</w:t>
      </w:r>
      <w:r>
        <w:tab/>
        <w:t>$1.0514 per day for the first dwelling; and</w:t>
      </w:r>
    </w:p>
    <w:p>
      <w:pPr>
        <w:pStyle w:val="yIndenti0"/>
      </w:pPr>
      <w:r>
        <w:tab/>
        <w:t>(ii)</w:t>
      </w:r>
      <w:r>
        <w:tab/>
        <w:t>41.8017 cents per day for each additional dwelling;</w:t>
      </w:r>
    </w:p>
    <w:p>
      <w:pPr>
        <w:pStyle w:val="yIndenta"/>
      </w:pPr>
      <w:r>
        <w:tab/>
      </w:r>
      <w:r>
        <w:tab/>
        <w:t>and</w:t>
      </w:r>
    </w:p>
    <w:p>
      <w:pPr>
        <w:pStyle w:val="yIndenta"/>
      </w:pPr>
      <w:r>
        <w:tab/>
        <w:t>(b)</w:t>
      </w:r>
      <w:r>
        <w:tab/>
        <w:t>a charge for metered consumption at the rate of 29.3273 cents per unit.</w:t>
      </w:r>
    </w:p>
    <w:p>
      <w:pPr>
        <w:pStyle w:val="yFootnotesection"/>
      </w:pPr>
      <w:r>
        <w:tab/>
        <w:t>[Clause 3 inserted: SL 2021/110 bl. 4.]</w:t>
      </w:r>
    </w:p>
    <w:p>
      <w:pPr>
        <w:pStyle w:val="yHeading5"/>
      </w:pPr>
      <w:bookmarkStart w:id="32" w:name="_Toc104974411"/>
      <w:r>
        <w:rPr>
          <w:rStyle w:val="CharSClsNo"/>
        </w:rPr>
        <w:t>4</w:t>
      </w:r>
      <w:r>
        <w:t>.</w:t>
      </w:r>
      <w:r>
        <w:tab/>
        <w:t>Tariff C2 (special community service tariff)</w:t>
      </w:r>
      <w:bookmarkEnd w:id="32"/>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$1.0145 per day; and</w:t>
      </w:r>
    </w:p>
    <w:p>
      <w:pPr>
        <w:pStyle w:val="yIndenta"/>
      </w:pPr>
      <w:r>
        <w:tab/>
        <w:t>(b)</w:t>
      </w:r>
      <w:r>
        <w:tab/>
        <w:t xml:space="preserve">a charge for metered consumption at the rate of — </w:t>
      </w:r>
    </w:p>
    <w:p>
      <w:pPr>
        <w:pStyle w:val="yIndenti0"/>
      </w:pPr>
      <w:r>
        <w:tab/>
        <w:t>(i)</w:t>
      </w:r>
      <w:r>
        <w:tab/>
        <w:t>23.7035 cents per unit for the first 20 units per day; and</w:t>
      </w:r>
    </w:p>
    <w:p>
      <w:pPr>
        <w:pStyle w:val="yIndenti0"/>
      </w:pPr>
      <w:r>
        <w:tab/>
        <w:t>(ii)</w:t>
      </w:r>
      <w:r>
        <w:tab/>
        <w:t>25.2900 cents per unit for the next 1 630 units per day; and</w:t>
      </w:r>
    </w:p>
    <w:p>
      <w:pPr>
        <w:pStyle w:val="yIndenti0"/>
      </w:pPr>
      <w:r>
        <w:tab/>
        <w:t>(iii)</w:t>
      </w:r>
      <w:r>
        <w:tab/>
        <w:t>24.1230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lastRenderedPageBreak/>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2021/110 bl. 4.]</w:t>
      </w:r>
    </w:p>
    <w:p>
      <w:pPr>
        <w:pStyle w:val="yHeading5"/>
      </w:pPr>
      <w:bookmarkStart w:id="33" w:name="_Toc104974412"/>
      <w:r>
        <w:rPr>
          <w:rStyle w:val="CharSClsNo"/>
        </w:rPr>
        <w:t>5</w:t>
      </w:r>
      <w:r>
        <w:t>.</w:t>
      </w:r>
      <w:r>
        <w:tab/>
        <w:t>Tariff D2 (special tariff for certain premises)</w:t>
      </w:r>
      <w:bookmarkEnd w:id="33"/>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$1.0007 per day; and</w:t>
      </w:r>
    </w:p>
    <w:p>
      <w:pPr>
        <w:pStyle w:val="yIndenta"/>
      </w:pPr>
      <w:r>
        <w:tab/>
        <w:t>(b)</w:t>
      </w:r>
      <w:r>
        <w:tab/>
        <w:t>if under subclause (3) there is deemed to be more than 1 equivalent domestic residence in the premises — a charge of 37.1009 cents per day for each equivalent domestic residence except the first that is deemed to be in the premises; and</w:t>
      </w:r>
    </w:p>
    <w:p>
      <w:pPr>
        <w:pStyle w:val="yIndenta"/>
      </w:pPr>
      <w:r>
        <w:tab/>
        <w:t>(c)</w:t>
      </w:r>
      <w:r>
        <w:tab/>
        <w:t>a charge for metered consumption at the rate of 25.4249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lastRenderedPageBreak/>
        <w:tab/>
        <w:t>[Clause 5 inserted: SL 2021/110 bl. 4.]</w:t>
      </w:r>
    </w:p>
    <w:p>
      <w:pPr>
        <w:pStyle w:val="yHeading5"/>
      </w:pPr>
      <w:bookmarkStart w:id="34" w:name="_Toc104974413"/>
      <w:r>
        <w:rPr>
          <w:rStyle w:val="CharSClsNo"/>
        </w:rPr>
        <w:t>6</w:t>
      </w:r>
      <w:r>
        <w:t>.</w:t>
      </w:r>
      <w:r>
        <w:tab/>
        <w:t>Tariff K2 (general supply with residential tariff)</w:t>
      </w:r>
      <w:bookmarkEnd w:id="34"/>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$1.8553 per day; and</w:t>
      </w:r>
    </w:p>
    <w:p>
      <w:pPr>
        <w:pStyle w:val="yIndenta"/>
      </w:pPr>
      <w:r>
        <w:tab/>
        <w:t>(b)</w:t>
      </w:r>
      <w:r>
        <w:tab/>
        <w:t>a charge for metered consumption at the rate of —</w:t>
      </w:r>
    </w:p>
    <w:p>
      <w:pPr>
        <w:pStyle w:val="yIndenti0"/>
      </w:pPr>
      <w:r>
        <w:tab/>
        <w:t>(i)</w:t>
      </w:r>
      <w:r>
        <w:tab/>
        <w:t>30.6376 cents per unit for the first 20 units per day; and</w:t>
      </w:r>
    </w:p>
    <w:p>
      <w:pPr>
        <w:pStyle w:val="yIndenti0"/>
      </w:pPr>
      <w:r>
        <w:tab/>
        <w:t>(ii)</w:t>
      </w:r>
      <w:r>
        <w:tab/>
        <w:t>28.8719 cents per unit for the next 1 630 units per day; and</w:t>
      </w:r>
    </w:p>
    <w:p>
      <w:pPr>
        <w:pStyle w:val="yIndenti0"/>
      </w:pPr>
      <w:r>
        <w:tab/>
        <w:t>(iii)</w:t>
      </w:r>
      <w:r>
        <w:tab/>
        <w:t>32.5520 cents per unit for all units exceeding 1 650 units per day.</w:t>
      </w:r>
    </w:p>
    <w:p>
      <w:pPr>
        <w:pStyle w:val="yFootnotesection"/>
      </w:pPr>
      <w:r>
        <w:tab/>
        <w:t>[Clause 6 inserted: SL 2021/110 bl. 4.]</w:t>
      </w:r>
    </w:p>
    <w:p>
      <w:pPr>
        <w:pStyle w:val="yHeading3"/>
      </w:pPr>
      <w:bookmarkStart w:id="35" w:name="_Toc75781364"/>
      <w:bookmarkStart w:id="36" w:name="_Toc75781527"/>
      <w:bookmarkStart w:id="37" w:name="_Toc75855914"/>
      <w:bookmarkStart w:id="38" w:name="_Toc75855949"/>
      <w:bookmarkStart w:id="39" w:name="_Toc104965945"/>
      <w:bookmarkStart w:id="40" w:name="_Toc104966155"/>
      <w:bookmarkStart w:id="41" w:name="_Toc104974414"/>
      <w:r>
        <w:rPr>
          <w:rStyle w:val="CharSDivNo"/>
        </w:rPr>
        <w:t>Division 2</w:t>
      </w:r>
      <w:r>
        <w:t> — </w:t>
      </w:r>
      <w:r>
        <w:rPr>
          <w:rStyle w:val="CharSDivText"/>
        </w:rPr>
        <w:t>MyPower tariffs</w:t>
      </w:r>
      <w:bookmarkEnd w:id="35"/>
      <w:bookmarkEnd w:id="36"/>
      <w:bookmarkEnd w:id="37"/>
      <w:bookmarkEnd w:id="38"/>
      <w:bookmarkEnd w:id="39"/>
      <w:bookmarkEnd w:id="40"/>
      <w:bookmarkEnd w:id="41"/>
    </w:p>
    <w:p>
      <w:pPr>
        <w:pStyle w:val="yFootnoteheading"/>
      </w:pPr>
      <w:r>
        <w:tab/>
        <w:t>[Heading inserted: SL 2021/110 bl. 4.]</w:t>
      </w:r>
    </w:p>
    <w:p>
      <w:pPr>
        <w:pStyle w:val="yHeading5"/>
      </w:pPr>
      <w:bookmarkStart w:id="42" w:name="_Toc104974415"/>
      <w:r>
        <w:t>7.</w:t>
      </w:r>
      <w:r>
        <w:tab/>
        <w:t>Terms used</w:t>
      </w:r>
      <w:bookmarkEnd w:id="42"/>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rPr>
          <w:rStyle w:val="DraftersNotes"/>
          <w:b w:val="0"/>
          <w:i w:val="0"/>
        </w:rPr>
      </w:pPr>
      <w:r>
        <w:lastRenderedPageBreak/>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rPr>
          <w:rStyle w:val="DraftersNotes"/>
          <w:b w:val="0"/>
          <w:i w:val="0"/>
        </w:rPr>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2021/110 bl. 4.]</w:t>
      </w:r>
    </w:p>
    <w:p>
      <w:pPr>
        <w:pStyle w:val="yHeading5"/>
      </w:pPr>
      <w:bookmarkStart w:id="43" w:name="_Toc104974416"/>
      <w:r>
        <w:t>8.</w:t>
      </w:r>
      <w:r>
        <w:tab/>
        <w:t>MyPower residential tariffs</w:t>
      </w:r>
      <w:bookmarkEnd w:id="43"/>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elected to be supplied electricity at premises at the MyPower residential tariff (subject to subclause (5)).</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lastRenderedPageBreak/>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$1.150013 per day</w:t>
            </w:r>
          </w:p>
        </w:tc>
        <w:tc>
          <w:tcPr>
            <w:tcW w:w="1560" w:type="dxa"/>
          </w:tcPr>
          <w:p>
            <w:pPr>
              <w:pStyle w:val="yTableNAm"/>
            </w:pPr>
            <w:r>
              <w:t>$0.100000</w:t>
            </w:r>
            <w:r>
              <w:b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$2.488586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$5.035744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$8.294070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lastRenderedPageBreak/>
              <w:t>MyPower residential 10 fixed plan price</w:t>
            </w:r>
          </w:p>
        </w:tc>
        <w:tc>
          <w:tcPr>
            <w:tcW w:w="1417" w:type="dxa"/>
          </w:tcPr>
          <w:p>
            <w:pPr>
              <w:pStyle w:val="yTableNAm"/>
            </w:pPr>
            <w:r>
              <w:t>$12.520256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residential 15 fixed plan price</w:t>
            </w:r>
          </w:p>
        </w:tc>
        <w:tc>
          <w:tcPr>
            <w:tcW w:w="1417" w:type="dxa"/>
          </w:tcPr>
          <w:p>
            <w:pPr>
              <w:pStyle w:val="yTableNAm"/>
            </w:pPr>
            <w:r>
              <w:t>$25.495296 per day</w:t>
            </w:r>
          </w:p>
        </w:tc>
        <w:tc>
          <w:tcPr>
            <w:tcW w:w="1560" w:type="dxa"/>
          </w:tcPr>
          <w:p>
            <w:pPr>
              <w:pStyle w:val="yTableNAm"/>
            </w:pPr>
            <w:r>
              <w:t>$0.100000</w:t>
            </w:r>
            <w:r>
              <w:br/>
              <w:t>per unit</w:t>
            </w:r>
          </w:p>
        </w:tc>
        <w:tc>
          <w:tcPr>
            <w:tcW w:w="1275" w:type="dxa"/>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xml:space="preserve">) has exceeded the applicable peak allowance for the original tariff at those premises on 4 or more peak days in a peak period — </w:t>
      </w:r>
    </w:p>
    <w:p>
      <w:pPr>
        <w:pStyle w:val="yIndenta"/>
      </w:pPr>
      <w:r>
        <w:tab/>
        <w:t>(a)</w:t>
      </w:r>
      <w:r>
        <w:tab/>
        <w:t>on and from the day (</w:t>
      </w:r>
      <w:r>
        <w:rPr>
          <w:rStyle w:val="CharDefText"/>
        </w:rPr>
        <w:t>transfer day</w:t>
      </w:r>
      <w:r>
        <w:t>)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 and</w:t>
      </w:r>
    </w:p>
    <w:p>
      <w:pPr>
        <w:pStyle w:val="yIndenta"/>
      </w:pPr>
      <w:r>
        <w:tab/>
        <w:t>(b)</w:t>
      </w:r>
      <w:r>
        <w:tab/>
        <w:t>the consumer cannot, in the period of 12 months beginning on transfer day, elect to be supplied electricity at those premises at the original tariff or any other MyPower residential tariff that is above the original tariff in the Table to subclause (4).</w:t>
      </w:r>
    </w:p>
    <w:p>
      <w:pPr>
        <w:pStyle w:val="yFootnotesection"/>
      </w:pPr>
      <w:r>
        <w:tab/>
        <w:t>[Clause 8 inserted: SL 2021/110 bl. 4.]</w:t>
      </w:r>
    </w:p>
    <w:p>
      <w:pPr>
        <w:pStyle w:val="yHeading5"/>
      </w:pPr>
      <w:bookmarkStart w:id="44" w:name="_Toc104974417"/>
      <w:r>
        <w:t>9.</w:t>
      </w:r>
      <w:r>
        <w:tab/>
        <w:t>MyPower non</w:t>
      </w:r>
      <w:r>
        <w:noBreakHyphen/>
        <w:t>residential tariffs</w:t>
      </w:r>
      <w:bookmarkEnd w:id="44"/>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elected to be supplied electricity at premises at the MyPower non</w:t>
      </w:r>
      <w:r>
        <w:noBreakHyphen/>
        <w:t>residential tariff (subject to subclause (5)).</w:t>
      </w:r>
    </w:p>
    <w:p>
      <w:pPr>
        <w:pStyle w:val="ySubsection"/>
      </w:pPr>
      <w:r>
        <w:lastRenderedPageBreak/>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rPr>
                <w:b/>
              </w:rPr>
            </w:pPr>
            <w:r>
              <w:rPr>
                <w:b/>
              </w:rPr>
              <w:t>Tariff name</w:t>
            </w:r>
          </w:p>
        </w:tc>
        <w:tc>
          <w:tcPr>
            <w:tcW w:w="1417" w:type="dxa"/>
          </w:tcPr>
          <w:p>
            <w:pPr>
              <w:pStyle w:val="yTableNAm"/>
              <w:rPr>
                <w:b/>
              </w:rPr>
            </w:pPr>
            <w:r>
              <w:rPr>
                <w:b/>
              </w:rPr>
              <w:t>Rate of fixed charge</w:t>
            </w:r>
          </w:p>
        </w:tc>
        <w:tc>
          <w:tcPr>
            <w:tcW w:w="1560" w:type="dxa"/>
          </w:tcPr>
          <w:p>
            <w:pPr>
              <w:pStyle w:val="yTableNAm"/>
              <w:rPr>
                <w:b/>
              </w:rPr>
            </w:pPr>
            <w:r>
              <w:rPr>
                <w:b/>
              </w:rPr>
              <w:t>Rate of metered consumption charge</w:t>
            </w:r>
          </w:p>
        </w:tc>
        <w:tc>
          <w:tcPr>
            <w:tcW w:w="1275" w:type="dxa"/>
          </w:tcPr>
          <w:p>
            <w:pPr>
              <w:pStyle w:val="yTableNAm"/>
              <w:rPr>
                <w:b/>
              </w:rPr>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$2.798068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$6.578193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$11.742590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lastRenderedPageBreak/>
              <w:t>MyPower business 10 fixed plan price</w:t>
            </w:r>
          </w:p>
        </w:tc>
        <w:tc>
          <w:tcPr>
            <w:tcW w:w="1417" w:type="dxa"/>
          </w:tcPr>
          <w:p>
            <w:pPr>
              <w:pStyle w:val="yTableNAm"/>
            </w:pPr>
            <w:r>
              <w:t>$17.436449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business 15 fixed plan price</w:t>
            </w:r>
          </w:p>
        </w:tc>
        <w:tc>
          <w:tcPr>
            <w:tcW w:w="1417" w:type="dxa"/>
          </w:tcPr>
          <w:p>
            <w:pPr>
              <w:pStyle w:val="yTableNAm"/>
            </w:pPr>
            <w:r>
              <w:t>$26.820761 per day</w:t>
            </w:r>
          </w:p>
        </w:tc>
        <w:tc>
          <w:tcPr>
            <w:tcW w:w="1560" w:type="dxa"/>
          </w:tcPr>
          <w:p>
            <w:pPr>
              <w:pStyle w:val="yTableNAm"/>
            </w:pPr>
            <w:r>
              <w:t>$0.100000</w:t>
            </w:r>
            <w:r>
              <w:br/>
              <w:t>per unit</w:t>
            </w:r>
          </w:p>
        </w:tc>
        <w:tc>
          <w:tcPr>
            <w:tcW w:w="1275" w:type="dxa"/>
          </w:tcPr>
          <w:p>
            <w:pPr>
              <w:pStyle w:val="yTableNAm"/>
            </w:pPr>
            <w:r>
              <w:t>15 units</w:t>
            </w:r>
            <w:r>
              <w:br/>
              <w:t>per hour</w:t>
            </w:r>
          </w:p>
        </w:tc>
      </w:tr>
      <w:tr>
        <w:trPr>
          <w:cantSplit/>
        </w:trPr>
        <w:tc>
          <w:tcPr>
            <w:tcW w:w="1276" w:type="dxa"/>
          </w:tcPr>
          <w:p>
            <w:pPr>
              <w:pStyle w:val="yTableNAm"/>
            </w:pPr>
            <w:r>
              <w:t>MyPower business 20 fixed plan price</w:t>
            </w:r>
          </w:p>
        </w:tc>
        <w:tc>
          <w:tcPr>
            <w:tcW w:w="1417" w:type="dxa"/>
          </w:tcPr>
          <w:p>
            <w:pPr>
              <w:pStyle w:val="yTableNAm"/>
            </w:pPr>
            <w:r>
              <w:t>$45.416184 per day</w:t>
            </w:r>
          </w:p>
        </w:tc>
        <w:tc>
          <w:tcPr>
            <w:tcW w:w="1560" w:type="dxa"/>
          </w:tcPr>
          <w:p>
            <w:pPr>
              <w:pStyle w:val="yTableNAm"/>
            </w:pPr>
            <w:r>
              <w:t>$0.100000</w:t>
            </w:r>
            <w:r>
              <w:br/>
              <w:t>per unit</w:t>
            </w:r>
          </w:p>
        </w:tc>
        <w:tc>
          <w:tcPr>
            <w:tcW w:w="1275" w:type="dxa"/>
          </w:tcPr>
          <w:p>
            <w:pPr>
              <w:pStyle w:val="yTableNAm"/>
            </w:pPr>
            <w:r>
              <w:t>20 units</w:t>
            </w:r>
            <w:r>
              <w:br/>
              <w:t>per hour</w:t>
            </w:r>
          </w:p>
        </w:tc>
      </w:tr>
      <w:tr>
        <w:trPr>
          <w:cantSplit/>
        </w:trPr>
        <w:tc>
          <w:tcPr>
            <w:tcW w:w="1276" w:type="dxa"/>
          </w:tcPr>
          <w:p>
            <w:pPr>
              <w:pStyle w:val="yTableNAm"/>
            </w:pPr>
            <w:r>
              <w:t>MyPower business 25 fixed plan price</w:t>
            </w:r>
          </w:p>
        </w:tc>
        <w:tc>
          <w:tcPr>
            <w:tcW w:w="1417" w:type="dxa"/>
          </w:tcPr>
          <w:p>
            <w:pPr>
              <w:pStyle w:val="yTableNAm"/>
            </w:pPr>
            <w:r>
              <w:t>$46.735620 per day</w:t>
            </w:r>
          </w:p>
        </w:tc>
        <w:tc>
          <w:tcPr>
            <w:tcW w:w="1560" w:type="dxa"/>
          </w:tcPr>
          <w:p>
            <w:pPr>
              <w:pStyle w:val="yTableNAm"/>
            </w:pPr>
            <w:r>
              <w:t>$0.100000</w:t>
            </w:r>
            <w:r>
              <w:br/>
              <w:t>per unit</w:t>
            </w:r>
          </w:p>
        </w:tc>
        <w:tc>
          <w:tcPr>
            <w:tcW w:w="1275" w:type="dxa"/>
          </w:tcPr>
          <w:p>
            <w:pPr>
              <w:pStyle w:val="yTableNAm"/>
            </w:pPr>
            <w:r>
              <w:t>25 units</w:t>
            </w:r>
            <w:r>
              <w:br/>
              <w:t>per hour</w:t>
            </w:r>
          </w:p>
        </w:tc>
      </w:tr>
      <w:tr>
        <w:trPr>
          <w:cantSplit/>
        </w:trPr>
        <w:tc>
          <w:tcPr>
            <w:tcW w:w="1276" w:type="dxa"/>
          </w:tcPr>
          <w:p>
            <w:pPr>
              <w:pStyle w:val="yTableNAm"/>
            </w:pPr>
            <w:r>
              <w:t>MyPower business 30 fixed plan price</w:t>
            </w:r>
          </w:p>
        </w:tc>
        <w:tc>
          <w:tcPr>
            <w:tcW w:w="1417" w:type="dxa"/>
          </w:tcPr>
          <w:p>
            <w:pPr>
              <w:pStyle w:val="yTableNAm"/>
            </w:pPr>
            <w:r>
              <w:t>$64.333485 per day</w:t>
            </w:r>
          </w:p>
        </w:tc>
        <w:tc>
          <w:tcPr>
            <w:tcW w:w="1560" w:type="dxa"/>
          </w:tcPr>
          <w:p>
            <w:pPr>
              <w:pStyle w:val="yTableNAm"/>
            </w:pPr>
            <w:r>
              <w:t>$0.100000</w:t>
            </w:r>
            <w:r>
              <w:br/>
              <w:t>per unit</w:t>
            </w:r>
          </w:p>
        </w:tc>
        <w:tc>
          <w:tcPr>
            <w:tcW w:w="1275" w:type="dxa"/>
          </w:tcPr>
          <w:p>
            <w:pPr>
              <w:pStyle w:val="yTableNAm"/>
            </w:pPr>
            <w:r>
              <w:t>30 units</w:t>
            </w:r>
            <w:r>
              <w:br/>
              <w:t>per hour</w:t>
            </w:r>
          </w:p>
        </w:tc>
      </w:tr>
      <w:tr>
        <w:trPr>
          <w:cantSplit/>
        </w:trPr>
        <w:tc>
          <w:tcPr>
            <w:tcW w:w="1276" w:type="dxa"/>
          </w:tcPr>
          <w:p>
            <w:pPr>
              <w:pStyle w:val="yTableNAm"/>
            </w:pPr>
            <w:r>
              <w:t>MyPower business 35 fixed plan price</w:t>
            </w:r>
          </w:p>
        </w:tc>
        <w:tc>
          <w:tcPr>
            <w:tcW w:w="1417" w:type="dxa"/>
          </w:tcPr>
          <w:p>
            <w:pPr>
              <w:pStyle w:val="yTableNAm"/>
            </w:pPr>
            <w:r>
              <w:t>$68.649542 per day</w:t>
            </w:r>
          </w:p>
        </w:tc>
        <w:tc>
          <w:tcPr>
            <w:tcW w:w="1560" w:type="dxa"/>
          </w:tcPr>
          <w:p>
            <w:pPr>
              <w:pStyle w:val="yTableNAm"/>
            </w:pPr>
            <w:r>
              <w:t>$0.100000</w:t>
            </w:r>
            <w:r>
              <w:br/>
              <w:t>per unit</w:t>
            </w:r>
          </w:p>
        </w:tc>
        <w:tc>
          <w:tcPr>
            <w:tcW w:w="1275" w:type="dxa"/>
          </w:tcPr>
          <w:p>
            <w:pPr>
              <w:pStyle w:val="yTableNAm"/>
            </w:pPr>
            <w:r>
              <w:t>35 units</w:t>
            </w:r>
            <w:r>
              <w:br/>
              <w:t>per hour</w:t>
            </w:r>
          </w:p>
        </w:tc>
      </w:tr>
      <w:tr>
        <w:trPr>
          <w:cantSplit/>
        </w:trPr>
        <w:tc>
          <w:tcPr>
            <w:tcW w:w="1276" w:type="dxa"/>
          </w:tcPr>
          <w:p>
            <w:pPr>
              <w:pStyle w:val="yTableNAm"/>
            </w:pPr>
            <w:r>
              <w:t>MyPower business 40 fixed plan price</w:t>
            </w:r>
          </w:p>
        </w:tc>
        <w:tc>
          <w:tcPr>
            <w:tcW w:w="1417" w:type="dxa"/>
          </w:tcPr>
          <w:p>
            <w:pPr>
              <w:pStyle w:val="yTableNAm"/>
            </w:pPr>
            <w:r>
              <w:t>$93.771402 per day</w:t>
            </w:r>
          </w:p>
        </w:tc>
        <w:tc>
          <w:tcPr>
            <w:tcW w:w="1560" w:type="dxa"/>
          </w:tcPr>
          <w:p>
            <w:pPr>
              <w:pStyle w:val="yTableNAm"/>
            </w:pPr>
            <w:r>
              <w:t>$0.100000</w:t>
            </w:r>
            <w:r>
              <w:br/>
              <w:t>per unit</w:t>
            </w:r>
          </w:p>
        </w:tc>
        <w:tc>
          <w:tcPr>
            <w:tcW w:w="1275" w:type="dxa"/>
          </w:tcPr>
          <w:p>
            <w:pPr>
              <w:pStyle w:val="yTableNAm"/>
            </w:pPr>
            <w:r>
              <w:t>40 units</w:t>
            </w:r>
            <w:r>
              <w:br/>
              <w:t>per hour</w:t>
            </w:r>
          </w:p>
        </w:tc>
      </w:tr>
      <w:tr>
        <w:trPr>
          <w:cantSplit/>
        </w:trPr>
        <w:tc>
          <w:tcPr>
            <w:tcW w:w="1276" w:type="dxa"/>
          </w:tcPr>
          <w:p>
            <w:pPr>
              <w:pStyle w:val="yTableNAm"/>
            </w:pPr>
            <w:r>
              <w:lastRenderedPageBreak/>
              <w:t>MyPower business 50 fixed plan price</w:t>
            </w:r>
          </w:p>
        </w:tc>
        <w:tc>
          <w:tcPr>
            <w:tcW w:w="1417" w:type="dxa"/>
          </w:tcPr>
          <w:p>
            <w:pPr>
              <w:pStyle w:val="yTableNAm"/>
            </w:pPr>
            <w:r>
              <w:t>$129.737657 per day</w:t>
            </w:r>
          </w:p>
        </w:tc>
        <w:tc>
          <w:tcPr>
            <w:tcW w:w="1560" w:type="dxa"/>
          </w:tcPr>
          <w:p>
            <w:pPr>
              <w:pStyle w:val="yTableNAm"/>
            </w:pPr>
            <w:r>
              <w:t>$0.100000</w:t>
            </w:r>
            <w:r>
              <w:br/>
              <w:t>per unit</w:t>
            </w:r>
          </w:p>
        </w:tc>
        <w:tc>
          <w:tcPr>
            <w:tcW w:w="1275" w:type="dxa"/>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xml:space="preserve">) has exceeded the applicable peak allowance for the original tariff at those premises on 4 or more peak days in a peak period — </w:t>
      </w:r>
    </w:p>
    <w:p>
      <w:pPr>
        <w:pStyle w:val="yIndenta"/>
      </w:pPr>
      <w:r>
        <w:tab/>
        <w:t>(a)</w:t>
      </w:r>
      <w:r>
        <w:tab/>
        <w:t>on and from the day (</w:t>
      </w:r>
      <w:r>
        <w:rPr>
          <w:rStyle w:val="CharDefText"/>
        </w:rPr>
        <w:t>transfer day</w:t>
      </w:r>
      <w:r>
        <w:t>)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 and</w:t>
      </w:r>
    </w:p>
    <w:p>
      <w:pPr>
        <w:pStyle w:val="yIndenta"/>
      </w:pPr>
      <w:r>
        <w:tab/>
        <w:t>(b)</w:t>
      </w:r>
      <w:r>
        <w:tab/>
        <w:t>the consumer cannot, in the period of 12 months beginning on transfer day, elect to be supplied electricity at those premises at the original tariff or any other MyPower non</w:t>
      </w:r>
      <w:r>
        <w:noBreakHyphen/>
        <w:t>residential tariff that is above the original tariff in the Table to subclause (4).</w:t>
      </w:r>
    </w:p>
    <w:p>
      <w:pPr>
        <w:pStyle w:val="yFootnotesection"/>
      </w:pPr>
      <w:r>
        <w:tab/>
        <w:t>[Clause 9 inserted: SL 2021/110 bl. 4.]</w:t>
      </w:r>
    </w:p>
    <w:p>
      <w:pPr>
        <w:pStyle w:val="yHeading5"/>
      </w:pPr>
      <w:bookmarkStart w:id="45" w:name="_Toc104974418"/>
      <w:r>
        <w:t>10.</w:t>
      </w:r>
      <w:r>
        <w:tab/>
        <w:t>Eligibility criteria for MyPower tariffs</w:t>
      </w:r>
      <w:bookmarkEnd w:id="45"/>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lastRenderedPageBreak/>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Subsection"/>
      </w:pPr>
      <w:r>
        <w:tab/>
        <w:t>(4)</w:t>
      </w:r>
      <w:r>
        <w:tab/>
        <w:t>The consumer must not, in the 12</w:t>
      </w:r>
      <w:r>
        <w:noBreakHyphen/>
        <w:t xml:space="preserve">month period immediately before electing to be supplied electricity at premises at a MyPower tariff as referred to in clause 8(1)(b) or 9(1)(b), have elected — </w:t>
      </w:r>
    </w:p>
    <w:p>
      <w:pPr>
        <w:pStyle w:val="yIndenta"/>
      </w:pPr>
      <w:r>
        <w:tab/>
        <w:t>(a)</w:t>
      </w:r>
      <w:r>
        <w:tab/>
        <w:t>to cease to be charged for the supply of electricity at those premises at a MyPower tariff; and</w:t>
      </w:r>
    </w:p>
    <w:p>
      <w:pPr>
        <w:pStyle w:val="yIndenta"/>
      </w:pPr>
      <w:r>
        <w:tab/>
        <w:t>(b)</w:t>
      </w:r>
      <w:r>
        <w:tab/>
        <w:t>instead to be charged for the supply of electricity at those premises at a tariff set out in Division 1.</w:t>
      </w:r>
    </w:p>
    <w:p>
      <w:pPr>
        <w:pStyle w:val="yFootnotesection"/>
      </w:pPr>
      <w:r>
        <w:tab/>
        <w:t>[Clause 10 inserted: SL 2021/110 bl. 4.]</w:t>
      </w:r>
    </w:p>
    <w:p>
      <w:pPr>
        <w:pStyle w:val="yScheduleHeading"/>
      </w:pPr>
      <w:bookmarkStart w:id="46" w:name="_Toc75781369"/>
      <w:bookmarkStart w:id="47" w:name="_Toc75781532"/>
      <w:bookmarkStart w:id="48" w:name="_Toc75855919"/>
      <w:bookmarkStart w:id="49" w:name="_Toc75855954"/>
      <w:bookmarkStart w:id="50" w:name="_Toc104965950"/>
      <w:bookmarkStart w:id="51" w:name="_Toc104966160"/>
      <w:bookmarkStart w:id="52" w:name="_Toc104974419"/>
      <w:r>
        <w:rPr>
          <w:rStyle w:val="CharSchNo"/>
        </w:rPr>
        <w:lastRenderedPageBreak/>
        <w:t>Schedule 2</w:t>
      </w:r>
      <w:r>
        <w:t> — </w:t>
      </w:r>
      <w:r>
        <w:rPr>
          <w:rStyle w:val="CharSchText"/>
        </w:rPr>
        <w:t>Unmetered supply</w:t>
      </w:r>
      <w:bookmarkEnd w:id="46"/>
      <w:bookmarkEnd w:id="47"/>
      <w:bookmarkEnd w:id="48"/>
      <w:bookmarkEnd w:id="49"/>
      <w:bookmarkEnd w:id="50"/>
      <w:bookmarkEnd w:id="51"/>
      <w:bookmarkEnd w:id="52"/>
    </w:p>
    <w:p>
      <w:pPr>
        <w:pStyle w:val="yShoulderClause"/>
      </w:pPr>
      <w:r>
        <w:t>[bl. 4(2) and (3)]</w:t>
      </w:r>
    </w:p>
    <w:p>
      <w:pPr>
        <w:pStyle w:val="yFootnoteheading"/>
      </w:pPr>
      <w:r>
        <w:tab/>
        <w:t>[Heading inserted: SL 2021/110 bl. 4.]</w:t>
      </w:r>
    </w:p>
    <w:p>
      <w:pPr>
        <w:pStyle w:val="yHeading3"/>
      </w:pPr>
      <w:bookmarkStart w:id="53" w:name="_Toc75781370"/>
      <w:bookmarkStart w:id="54" w:name="_Toc75781533"/>
      <w:bookmarkStart w:id="55" w:name="_Toc75855920"/>
      <w:bookmarkStart w:id="56" w:name="_Toc75855955"/>
      <w:bookmarkStart w:id="57" w:name="_Toc104965951"/>
      <w:bookmarkStart w:id="58" w:name="_Toc104966161"/>
      <w:bookmarkStart w:id="59" w:name="_Toc104974420"/>
      <w:r>
        <w:rPr>
          <w:rStyle w:val="CharSDivNo"/>
        </w:rPr>
        <w:t>Division 1</w:t>
      </w:r>
      <w:r>
        <w:t> — </w:t>
      </w:r>
      <w:r>
        <w:rPr>
          <w:rStyle w:val="CharSDivText"/>
        </w:rPr>
        <w:t>Street lighting</w:t>
      </w:r>
      <w:bookmarkEnd w:id="53"/>
      <w:bookmarkEnd w:id="54"/>
      <w:bookmarkEnd w:id="55"/>
      <w:bookmarkEnd w:id="56"/>
      <w:bookmarkEnd w:id="57"/>
      <w:bookmarkEnd w:id="58"/>
      <w:bookmarkEnd w:id="59"/>
    </w:p>
    <w:p>
      <w:pPr>
        <w:pStyle w:val="yFootnoteheading"/>
      </w:pPr>
      <w:r>
        <w:tab/>
        <w:t>[Heading inserted: SL 2021/110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09" w:type="dxa"/>
          </w:tcPr>
          <w:p>
            <w:pPr>
              <w:pStyle w:val="yTableNAm"/>
            </w:pPr>
            <w:r>
              <w:rPr>
                <w:sz w:val="16"/>
                <w:szCs w:val="16"/>
              </w:rPr>
              <w:t>50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52.3309</w:t>
            </w:r>
          </w:p>
        </w:tc>
        <w:tc>
          <w:tcPr>
            <w:tcW w:w="1512" w:type="dxa"/>
          </w:tcPr>
          <w:p>
            <w:pPr>
              <w:pStyle w:val="yTableNAm"/>
              <w:rPr>
                <w:sz w:val="16"/>
                <w:szCs w:val="16"/>
              </w:rPr>
            </w:pPr>
            <w:r>
              <w:rPr>
                <w:sz w:val="16"/>
                <w:szCs w:val="16"/>
              </w:rPr>
              <w:t>53.3574</w:t>
            </w:r>
          </w:p>
        </w:tc>
        <w:tc>
          <w:tcPr>
            <w:tcW w:w="1370" w:type="dxa"/>
          </w:tcPr>
          <w:p>
            <w:pPr>
              <w:pStyle w:val="yTableNAm"/>
              <w:rPr>
                <w:sz w:val="16"/>
                <w:szCs w:val="16"/>
              </w:rPr>
            </w:pPr>
            <w:r>
              <w:rPr>
                <w:sz w:val="16"/>
                <w:szCs w:val="16"/>
              </w:rPr>
              <w:t>57.1840</w:t>
            </w:r>
          </w:p>
        </w:tc>
      </w:tr>
      <w:tr>
        <w:trPr>
          <w:cantSplit/>
        </w:trPr>
        <w:tc>
          <w:tcPr>
            <w:tcW w:w="567" w:type="dxa"/>
          </w:tcPr>
          <w:p>
            <w:pPr>
              <w:pStyle w:val="yTableNAm"/>
            </w:pPr>
            <w:r>
              <w:rPr>
                <w:sz w:val="16"/>
                <w:szCs w:val="16"/>
              </w:rPr>
              <w:t>Z.02</w:t>
            </w:r>
          </w:p>
        </w:tc>
        <w:tc>
          <w:tcPr>
            <w:tcW w:w="709" w:type="dxa"/>
          </w:tcPr>
          <w:p>
            <w:pPr>
              <w:pStyle w:val="yTableNAm"/>
            </w:pPr>
            <w:r>
              <w:rPr>
                <w:sz w:val="16"/>
                <w:szCs w:val="16"/>
              </w:rPr>
              <w:t>80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57.4380</w:t>
            </w:r>
          </w:p>
        </w:tc>
        <w:tc>
          <w:tcPr>
            <w:tcW w:w="1512" w:type="dxa"/>
          </w:tcPr>
          <w:p>
            <w:pPr>
              <w:pStyle w:val="yTableNAm"/>
              <w:rPr>
                <w:sz w:val="16"/>
                <w:szCs w:val="16"/>
              </w:rPr>
            </w:pPr>
            <w:r>
              <w:rPr>
                <w:sz w:val="16"/>
                <w:szCs w:val="16"/>
              </w:rPr>
              <w:t>58.6768</w:t>
            </w:r>
          </w:p>
        </w:tc>
        <w:tc>
          <w:tcPr>
            <w:tcW w:w="1370" w:type="dxa"/>
          </w:tcPr>
          <w:p>
            <w:pPr>
              <w:pStyle w:val="yTableNAm"/>
              <w:rPr>
                <w:sz w:val="16"/>
                <w:szCs w:val="16"/>
              </w:rPr>
            </w:pPr>
            <w:r>
              <w:rPr>
                <w:sz w:val="16"/>
                <w:szCs w:val="16"/>
              </w:rPr>
              <w:t>63.7010</w:t>
            </w:r>
          </w:p>
        </w:tc>
      </w:tr>
      <w:tr>
        <w:trPr>
          <w:cantSplit/>
        </w:trPr>
        <w:tc>
          <w:tcPr>
            <w:tcW w:w="567" w:type="dxa"/>
          </w:tcPr>
          <w:p>
            <w:pPr>
              <w:pStyle w:val="yTableNAm"/>
            </w:pPr>
            <w:r>
              <w:rPr>
                <w:sz w:val="16"/>
                <w:szCs w:val="16"/>
              </w:rPr>
              <w:t>Z.03</w:t>
            </w:r>
          </w:p>
        </w:tc>
        <w:tc>
          <w:tcPr>
            <w:tcW w:w="709" w:type="dxa"/>
          </w:tcPr>
          <w:p>
            <w:pPr>
              <w:pStyle w:val="yTableNAm"/>
            </w:pPr>
            <w:r>
              <w:rPr>
                <w:sz w:val="16"/>
                <w:szCs w:val="16"/>
              </w:rPr>
              <w:t>125</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65.0872</w:t>
            </w:r>
          </w:p>
        </w:tc>
        <w:tc>
          <w:tcPr>
            <w:tcW w:w="1512" w:type="dxa"/>
          </w:tcPr>
          <w:p>
            <w:pPr>
              <w:pStyle w:val="yTableNAm"/>
              <w:rPr>
                <w:sz w:val="16"/>
                <w:szCs w:val="16"/>
              </w:rPr>
            </w:pPr>
            <w:r>
              <w:rPr>
                <w:sz w:val="16"/>
                <w:szCs w:val="16"/>
              </w:rPr>
              <w:t>67.1003</w:t>
            </w:r>
          </w:p>
        </w:tc>
        <w:tc>
          <w:tcPr>
            <w:tcW w:w="1370" w:type="dxa"/>
          </w:tcPr>
          <w:p>
            <w:pPr>
              <w:pStyle w:val="yTableNAm"/>
              <w:rPr>
                <w:sz w:val="16"/>
                <w:szCs w:val="16"/>
              </w:rPr>
            </w:pPr>
            <w:r>
              <w:rPr>
                <w:sz w:val="16"/>
                <w:szCs w:val="16"/>
              </w:rPr>
              <w:t>74.5895</w:t>
            </w:r>
          </w:p>
        </w:tc>
      </w:tr>
      <w:tr>
        <w:trPr>
          <w:cantSplit/>
        </w:trPr>
        <w:tc>
          <w:tcPr>
            <w:tcW w:w="567" w:type="dxa"/>
          </w:tcPr>
          <w:p>
            <w:pPr>
              <w:pStyle w:val="yTableNAm"/>
            </w:pPr>
            <w:r>
              <w:rPr>
                <w:sz w:val="16"/>
                <w:szCs w:val="16"/>
              </w:rPr>
              <w:t>Z.07</w:t>
            </w:r>
          </w:p>
        </w:tc>
        <w:tc>
          <w:tcPr>
            <w:tcW w:w="709" w:type="dxa"/>
          </w:tcPr>
          <w:p>
            <w:pPr>
              <w:pStyle w:val="yTableNAm"/>
            </w:pPr>
            <w:r>
              <w:rPr>
                <w:sz w:val="16"/>
                <w:szCs w:val="16"/>
              </w:rPr>
              <w:t>250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77.1635</w:t>
            </w:r>
          </w:p>
        </w:tc>
        <w:tc>
          <w:tcPr>
            <w:tcW w:w="1512" w:type="dxa"/>
          </w:tcPr>
          <w:p>
            <w:pPr>
              <w:pStyle w:val="yTableNAm"/>
              <w:rPr>
                <w:sz w:val="16"/>
                <w:szCs w:val="16"/>
              </w:rPr>
            </w:pPr>
            <w:r>
              <w:rPr>
                <w:sz w:val="16"/>
                <w:szCs w:val="16"/>
              </w:rPr>
              <w:t>80.8587</w:t>
            </w:r>
          </w:p>
        </w:tc>
        <w:tc>
          <w:tcPr>
            <w:tcW w:w="1370" w:type="dxa"/>
          </w:tcPr>
          <w:p>
            <w:pPr>
              <w:pStyle w:val="yTableNAm"/>
              <w:rPr>
                <w:sz w:val="16"/>
                <w:szCs w:val="16"/>
              </w:rPr>
            </w:pPr>
            <w:r>
              <w:rPr>
                <w:sz w:val="16"/>
                <w:szCs w:val="16"/>
              </w:rPr>
              <w:t>94.7710</w:t>
            </w:r>
          </w:p>
        </w:tc>
      </w:tr>
      <w:tr>
        <w:trPr>
          <w:cantSplit/>
        </w:trPr>
        <w:tc>
          <w:tcPr>
            <w:tcW w:w="567" w:type="dxa"/>
          </w:tcPr>
          <w:p>
            <w:pPr>
              <w:pStyle w:val="yTableNAm"/>
            </w:pPr>
            <w:r>
              <w:rPr>
                <w:sz w:val="16"/>
                <w:szCs w:val="16"/>
              </w:rPr>
              <w:t>Z.10</w:t>
            </w:r>
          </w:p>
        </w:tc>
        <w:tc>
          <w:tcPr>
            <w:tcW w:w="709" w:type="dxa"/>
          </w:tcPr>
          <w:p>
            <w:pPr>
              <w:pStyle w:val="yTableNAm"/>
            </w:pPr>
            <w:r>
              <w:rPr>
                <w:sz w:val="16"/>
                <w:szCs w:val="16"/>
              </w:rPr>
              <w:t>400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88.6104</w:t>
            </w:r>
          </w:p>
        </w:tc>
        <w:tc>
          <w:tcPr>
            <w:tcW w:w="1512" w:type="dxa"/>
          </w:tcPr>
          <w:p>
            <w:pPr>
              <w:pStyle w:val="yTableNAm"/>
              <w:rPr>
                <w:sz w:val="16"/>
                <w:szCs w:val="16"/>
              </w:rPr>
            </w:pPr>
            <w:r>
              <w:rPr>
                <w:sz w:val="16"/>
                <w:szCs w:val="16"/>
              </w:rPr>
              <w:t>92.4422</w:t>
            </w:r>
          </w:p>
        </w:tc>
        <w:tc>
          <w:tcPr>
            <w:tcW w:w="1370" w:type="dxa"/>
          </w:tcPr>
          <w:p>
            <w:pPr>
              <w:pStyle w:val="yTableNAm"/>
              <w:rPr>
                <w:sz w:val="16"/>
                <w:szCs w:val="16"/>
              </w:rPr>
            </w:pPr>
            <w:r>
              <w:rPr>
                <w:sz w:val="16"/>
                <w:szCs w:val="16"/>
              </w:rPr>
              <w:t>121.0433</w:t>
            </w:r>
          </w:p>
        </w:tc>
      </w:tr>
      <w:tr>
        <w:trPr>
          <w:cantSplit/>
        </w:trPr>
        <w:tc>
          <w:tcPr>
            <w:tcW w:w="567" w:type="dxa"/>
          </w:tcPr>
          <w:p>
            <w:pPr>
              <w:pStyle w:val="yTableNAm"/>
            </w:pPr>
            <w:r>
              <w:rPr>
                <w:sz w:val="16"/>
                <w:szCs w:val="16"/>
              </w:rPr>
              <w:t>Z.13</w:t>
            </w:r>
          </w:p>
        </w:tc>
        <w:tc>
          <w:tcPr>
            <w:tcW w:w="709" w:type="dxa"/>
          </w:tcPr>
          <w:p>
            <w:pPr>
              <w:pStyle w:val="yTableNAm"/>
            </w:pPr>
            <w:r>
              <w:rPr>
                <w:sz w:val="16"/>
                <w:szCs w:val="16"/>
              </w:rPr>
              <w:t>150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r>
              <w:rPr>
                <w:sz w:val="16"/>
                <w:szCs w:val="16"/>
              </w:rPr>
              <w:t>64.9462</w:t>
            </w:r>
          </w:p>
        </w:tc>
        <w:tc>
          <w:tcPr>
            <w:tcW w:w="1512" w:type="dxa"/>
          </w:tcPr>
          <w:p>
            <w:pPr>
              <w:pStyle w:val="yTableNAm"/>
              <w:rPr>
                <w:sz w:val="16"/>
                <w:szCs w:val="16"/>
              </w:rPr>
            </w:pPr>
            <w:r>
              <w:rPr>
                <w:sz w:val="16"/>
                <w:szCs w:val="16"/>
              </w:rPr>
              <w:t>67.1108</w:t>
            </w:r>
          </w:p>
        </w:tc>
        <w:tc>
          <w:tcPr>
            <w:tcW w:w="1370" w:type="dxa"/>
          </w:tcPr>
          <w:p>
            <w:pPr>
              <w:pStyle w:val="yTableNAm"/>
              <w:rPr>
                <w:sz w:val="16"/>
                <w:szCs w:val="16"/>
              </w:rPr>
            </w:pPr>
            <w:r>
              <w:rPr>
                <w:sz w:val="16"/>
                <w:szCs w:val="16"/>
              </w:rPr>
              <w:t>76.7520</w:t>
            </w:r>
          </w:p>
        </w:tc>
      </w:tr>
      <w:tr>
        <w:trPr>
          <w:cantSplit/>
        </w:trPr>
        <w:tc>
          <w:tcPr>
            <w:tcW w:w="567" w:type="dxa"/>
          </w:tcPr>
          <w:p>
            <w:pPr>
              <w:pStyle w:val="yTableNAm"/>
            </w:pPr>
            <w:r>
              <w:rPr>
                <w:sz w:val="16"/>
                <w:szCs w:val="16"/>
              </w:rPr>
              <w:t>Z.15</w:t>
            </w:r>
          </w:p>
        </w:tc>
        <w:tc>
          <w:tcPr>
            <w:tcW w:w="709" w:type="dxa"/>
          </w:tcPr>
          <w:p>
            <w:pPr>
              <w:pStyle w:val="yTableNAm"/>
            </w:pPr>
            <w:r>
              <w:rPr>
                <w:sz w:val="16"/>
                <w:szCs w:val="16"/>
              </w:rPr>
              <w:t>250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r>
              <w:rPr>
                <w:sz w:val="16"/>
                <w:szCs w:val="16"/>
              </w:rPr>
              <w:t>79.4121</w:t>
            </w:r>
          </w:p>
        </w:tc>
        <w:tc>
          <w:tcPr>
            <w:tcW w:w="1512" w:type="dxa"/>
          </w:tcPr>
          <w:p>
            <w:pPr>
              <w:pStyle w:val="yTableNAm"/>
              <w:rPr>
                <w:sz w:val="16"/>
                <w:szCs w:val="16"/>
              </w:rPr>
            </w:pPr>
            <w:r>
              <w:rPr>
                <w:sz w:val="16"/>
                <w:szCs w:val="16"/>
              </w:rPr>
              <w:t>83.4075</w:t>
            </w:r>
          </w:p>
        </w:tc>
        <w:tc>
          <w:tcPr>
            <w:tcW w:w="1370" w:type="dxa"/>
          </w:tcPr>
          <w:p>
            <w:pPr>
              <w:pStyle w:val="yTableNAm"/>
              <w:rPr>
                <w:sz w:val="16"/>
                <w:szCs w:val="16"/>
              </w:rPr>
            </w:pPr>
            <w:r>
              <w:rPr>
                <w:sz w:val="16"/>
                <w:szCs w:val="16"/>
              </w:rPr>
              <w:t>98.6586</w:t>
            </w:r>
          </w:p>
        </w:tc>
      </w:tr>
      <w:tr>
        <w:trPr>
          <w:cantSplit/>
        </w:trPr>
        <w:tc>
          <w:tcPr>
            <w:tcW w:w="567" w:type="dxa"/>
          </w:tcPr>
          <w:p>
            <w:pPr>
              <w:pStyle w:val="yTableNAm"/>
            </w:pPr>
            <w:r>
              <w:rPr>
                <w:sz w:val="16"/>
                <w:szCs w:val="16"/>
              </w:rPr>
              <w:t>Z.18</w:t>
            </w:r>
          </w:p>
        </w:tc>
        <w:tc>
          <w:tcPr>
            <w:tcW w:w="709" w:type="dxa"/>
          </w:tcPr>
          <w:p>
            <w:pPr>
              <w:pStyle w:val="yTableNAm"/>
            </w:pPr>
            <w:r>
              <w:rPr>
                <w:sz w:val="16"/>
                <w:szCs w:val="16"/>
              </w:rPr>
              <w:t>per kW</w:t>
            </w:r>
          </w:p>
        </w:tc>
        <w:tc>
          <w:tcPr>
            <w:tcW w:w="1276" w:type="dxa"/>
            <w:gridSpan w:val="3"/>
          </w:tcPr>
          <w:p>
            <w:pPr>
              <w:pStyle w:val="yTableNAm"/>
            </w:pPr>
            <w:r>
              <w:rPr>
                <w:sz w:val="16"/>
                <w:szCs w:val="16"/>
              </w:rPr>
              <w:t>Auxiliary lighting in public places</w:t>
            </w:r>
          </w:p>
        </w:tc>
        <w:tc>
          <w:tcPr>
            <w:tcW w:w="1370" w:type="dxa"/>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r>
              <w:rPr>
                <w:sz w:val="16"/>
                <w:szCs w:val="16"/>
              </w:rPr>
              <w:t>287.6071</w:t>
            </w:r>
          </w:p>
        </w:tc>
      </w:tr>
      <w:tr>
        <w:trPr>
          <w:cantSplit/>
        </w:trPr>
        <w:tc>
          <w:tcPr>
            <w:tcW w:w="567" w:type="dxa"/>
          </w:tcPr>
          <w:p>
            <w:pPr>
              <w:pStyle w:val="yTableNAm"/>
              <w:rPr>
                <w:sz w:val="16"/>
                <w:szCs w:val="16"/>
              </w:rPr>
            </w:pPr>
            <w:r>
              <w:rPr>
                <w:sz w:val="16"/>
                <w:szCs w:val="16"/>
              </w:rPr>
              <w:t>Z.59</w:t>
            </w:r>
          </w:p>
        </w:tc>
        <w:tc>
          <w:tcPr>
            <w:tcW w:w="709" w:type="dxa"/>
          </w:tcPr>
          <w:p>
            <w:pPr>
              <w:pStyle w:val="yTableNAm"/>
              <w:rPr>
                <w:sz w:val="16"/>
                <w:szCs w:val="16"/>
              </w:rPr>
            </w:pPr>
            <w:r>
              <w:rPr>
                <w:sz w:val="16"/>
                <w:szCs w:val="16"/>
              </w:rPr>
              <w:t>66</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53.4347</w:t>
            </w:r>
          </w:p>
        </w:tc>
        <w:tc>
          <w:tcPr>
            <w:tcW w:w="1512" w:type="dxa"/>
            <w:vAlign w:val="bottom"/>
          </w:tcPr>
          <w:p>
            <w:pPr>
              <w:pStyle w:val="yTableNAm"/>
              <w:rPr>
                <w:sz w:val="16"/>
                <w:szCs w:val="16"/>
              </w:rPr>
            </w:pPr>
            <w:r>
              <w:rPr>
                <w:sz w:val="16"/>
                <w:szCs w:val="16"/>
              </w:rPr>
              <w:t>54.4842</w:t>
            </w:r>
          </w:p>
        </w:tc>
        <w:tc>
          <w:tcPr>
            <w:tcW w:w="1370" w:type="dxa"/>
          </w:tcPr>
          <w:p>
            <w:pPr>
              <w:pStyle w:val="yTableNAm"/>
              <w:rPr>
                <w:sz w:val="16"/>
                <w:szCs w:val="16"/>
              </w:rPr>
            </w:pPr>
            <w:r>
              <w:rPr>
                <w:sz w:val="16"/>
                <w:szCs w:val="16"/>
              </w:rPr>
              <w:t>57.7749</w:t>
            </w:r>
          </w:p>
        </w:tc>
      </w:tr>
      <w:tr>
        <w:trPr>
          <w:cantSplit/>
        </w:trPr>
        <w:tc>
          <w:tcPr>
            <w:tcW w:w="567" w:type="dxa"/>
          </w:tcPr>
          <w:p>
            <w:pPr>
              <w:pStyle w:val="yTableNAm"/>
              <w:rPr>
                <w:sz w:val="16"/>
                <w:szCs w:val="16"/>
              </w:rPr>
            </w:pPr>
            <w:r>
              <w:rPr>
                <w:sz w:val="16"/>
                <w:szCs w:val="16"/>
              </w:rPr>
              <w:t>Z.60</w:t>
            </w:r>
          </w:p>
        </w:tc>
        <w:tc>
          <w:tcPr>
            <w:tcW w:w="709" w:type="dxa"/>
          </w:tcPr>
          <w:p>
            <w:pPr>
              <w:pStyle w:val="yTableNAm"/>
              <w:rPr>
                <w:sz w:val="16"/>
                <w:szCs w:val="16"/>
              </w:rPr>
            </w:pPr>
            <w:r>
              <w:rPr>
                <w:sz w:val="16"/>
                <w:szCs w:val="16"/>
              </w:rPr>
              <w:t>132</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65.1331</w:t>
            </w:r>
          </w:p>
        </w:tc>
        <w:tc>
          <w:tcPr>
            <w:tcW w:w="1512" w:type="dxa"/>
            <w:vAlign w:val="bottom"/>
          </w:tcPr>
          <w:p>
            <w:pPr>
              <w:pStyle w:val="yTableNAm"/>
              <w:rPr>
                <w:sz w:val="16"/>
                <w:szCs w:val="16"/>
              </w:rPr>
            </w:pPr>
            <w:r>
              <w:rPr>
                <w:sz w:val="16"/>
                <w:szCs w:val="16"/>
              </w:rPr>
              <w:t>67.7871</w:t>
            </w:r>
          </w:p>
        </w:tc>
        <w:tc>
          <w:tcPr>
            <w:tcW w:w="1370" w:type="dxa"/>
          </w:tcPr>
          <w:p>
            <w:pPr>
              <w:pStyle w:val="yTableNAm"/>
              <w:rPr>
                <w:sz w:val="16"/>
                <w:szCs w:val="16"/>
              </w:rPr>
            </w:pPr>
            <w:r>
              <w:rPr>
                <w:sz w:val="16"/>
                <w:szCs w:val="16"/>
              </w:rPr>
              <w:t>79.2499</w:t>
            </w:r>
          </w:p>
        </w:tc>
      </w:tr>
      <w:tr>
        <w:trPr>
          <w:cantSplit/>
        </w:trPr>
        <w:tc>
          <w:tcPr>
            <w:tcW w:w="567" w:type="dxa"/>
          </w:tcPr>
          <w:p>
            <w:pPr>
              <w:pStyle w:val="yTableNAm"/>
              <w:rPr>
                <w:sz w:val="16"/>
                <w:szCs w:val="16"/>
              </w:rPr>
            </w:pPr>
            <w:r>
              <w:rPr>
                <w:sz w:val="16"/>
                <w:szCs w:val="16"/>
              </w:rPr>
              <w:t>Z.61</w:t>
            </w:r>
          </w:p>
        </w:tc>
        <w:tc>
          <w:tcPr>
            <w:tcW w:w="709" w:type="dxa"/>
          </w:tcPr>
          <w:p>
            <w:pPr>
              <w:pStyle w:val="yTableNAm"/>
              <w:rPr>
                <w:sz w:val="16"/>
                <w:szCs w:val="16"/>
              </w:rPr>
            </w:pPr>
            <w:r>
              <w:rPr>
                <w:sz w:val="16"/>
                <w:szCs w:val="16"/>
              </w:rPr>
              <w:t>198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67.2581</w:t>
            </w:r>
          </w:p>
        </w:tc>
        <w:tc>
          <w:tcPr>
            <w:tcW w:w="1512" w:type="dxa"/>
            <w:vAlign w:val="bottom"/>
          </w:tcPr>
          <w:p>
            <w:pPr>
              <w:pStyle w:val="yTableNAm"/>
              <w:rPr>
                <w:sz w:val="16"/>
                <w:szCs w:val="16"/>
              </w:rPr>
            </w:pPr>
            <w:r>
              <w:rPr>
                <w:sz w:val="16"/>
                <w:szCs w:val="16"/>
              </w:rPr>
              <w:t>70.7088</w:t>
            </w:r>
          </w:p>
        </w:tc>
        <w:tc>
          <w:tcPr>
            <w:tcW w:w="1370" w:type="dxa"/>
          </w:tcPr>
          <w:p>
            <w:pPr>
              <w:pStyle w:val="yTableNAm"/>
              <w:rPr>
                <w:sz w:val="16"/>
                <w:szCs w:val="16"/>
              </w:rPr>
            </w:pPr>
            <w:r>
              <w:rPr>
                <w:sz w:val="16"/>
                <w:szCs w:val="16"/>
              </w:rPr>
              <w:t>85.6240</w:t>
            </w:r>
          </w:p>
        </w:tc>
      </w:tr>
      <w:tr>
        <w:trPr>
          <w:cantSplit/>
        </w:trPr>
        <w:tc>
          <w:tcPr>
            <w:tcW w:w="567" w:type="dxa"/>
          </w:tcPr>
          <w:p>
            <w:pPr>
              <w:pStyle w:val="yTableNAm"/>
              <w:rPr>
                <w:sz w:val="16"/>
                <w:szCs w:val="16"/>
              </w:rPr>
            </w:pPr>
            <w:r>
              <w:rPr>
                <w:sz w:val="16"/>
                <w:szCs w:val="16"/>
              </w:rPr>
              <w:t>Z.62</w:t>
            </w:r>
          </w:p>
        </w:tc>
        <w:tc>
          <w:tcPr>
            <w:tcW w:w="709" w:type="dxa"/>
          </w:tcPr>
          <w:p>
            <w:pPr>
              <w:pStyle w:val="yTableNAm"/>
              <w:rPr>
                <w:sz w:val="16"/>
                <w:szCs w:val="16"/>
              </w:rPr>
            </w:pPr>
            <w:r>
              <w:rPr>
                <w:sz w:val="16"/>
                <w:szCs w:val="16"/>
              </w:rPr>
              <w:t>25</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50.9732</w:t>
            </w:r>
          </w:p>
        </w:tc>
        <w:tc>
          <w:tcPr>
            <w:tcW w:w="1512" w:type="dxa"/>
            <w:vAlign w:val="bottom"/>
          </w:tcPr>
          <w:p>
            <w:pPr>
              <w:pStyle w:val="yTableNAm"/>
              <w:rPr>
                <w:sz w:val="16"/>
                <w:szCs w:val="16"/>
              </w:rPr>
            </w:pPr>
            <w:r>
              <w:rPr>
                <w:sz w:val="16"/>
                <w:szCs w:val="16"/>
              </w:rPr>
              <w:t>51.4304</w:t>
            </w:r>
          </w:p>
        </w:tc>
        <w:tc>
          <w:tcPr>
            <w:tcW w:w="1370" w:type="dxa"/>
          </w:tcPr>
          <w:p>
            <w:pPr>
              <w:pStyle w:val="yTableNAm"/>
              <w:rPr>
                <w:sz w:val="16"/>
                <w:szCs w:val="16"/>
              </w:rPr>
            </w:pPr>
            <w:r>
              <w:rPr>
                <w:sz w:val="16"/>
                <w:szCs w:val="16"/>
              </w:rPr>
              <w:t>52.4750</w:t>
            </w:r>
          </w:p>
        </w:tc>
      </w:tr>
      <w:tr>
        <w:trPr>
          <w:cantSplit/>
        </w:trPr>
        <w:tc>
          <w:tcPr>
            <w:tcW w:w="567" w:type="dxa"/>
          </w:tcPr>
          <w:p>
            <w:pPr>
              <w:pStyle w:val="yTableNAm"/>
              <w:rPr>
                <w:sz w:val="16"/>
                <w:szCs w:val="16"/>
              </w:rPr>
            </w:pPr>
            <w:r>
              <w:rPr>
                <w:sz w:val="16"/>
                <w:szCs w:val="16"/>
              </w:rPr>
              <w:t>Z.63</w:t>
            </w:r>
          </w:p>
        </w:tc>
        <w:tc>
          <w:tcPr>
            <w:tcW w:w="709" w:type="dxa"/>
          </w:tcPr>
          <w:p>
            <w:pPr>
              <w:pStyle w:val="yTableNAm"/>
              <w:rPr>
                <w:sz w:val="16"/>
                <w:szCs w:val="16"/>
              </w:rPr>
            </w:pPr>
            <w:r>
              <w:rPr>
                <w:sz w:val="16"/>
                <w:szCs w:val="16"/>
              </w:rPr>
              <w:t>120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60.7436</w:t>
            </w:r>
          </w:p>
        </w:tc>
        <w:tc>
          <w:tcPr>
            <w:tcW w:w="1512" w:type="dxa"/>
            <w:vAlign w:val="bottom"/>
          </w:tcPr>
          <w:p>
            <w:pPr>
              <w:pStyle w:val="yTableNAm"/>
              <w:rPr>
                <w:sz w:val="16"/>
                <w:szCs w:val="16"/>
              </w:rPr>
            </w:pPr>
            <w:r>
              <w:rPr>
                <w:sz w:val="16"/>
                <w:szCs w:val="16"/>
              </w:rPr>
              <w:t>62.3703</w:t>
            </w:r>
          </w:p>
        </w:tc>
        <w:tc>
          <w:tcPr>
            <w:tcW w:w="1370" w:type="dxa"/>
          </w:tcPr>
          <w:p>
            <w:pPr>
              <w:pStyle w:val="yTableNAm"/>
              <w:rPr>
                <w:sz w:val="16"/>
                <w:szCs w:val="16"/>
              </w:rPr>
            </w:pPr>
            <w:r>
              <w:rPr>
                <w:sz w:val="16"/>
                <w:szCs w:val="16"/>
              </w:rPr>
              <w:t>69.6843</w:t>
            </w:r>
          </w:p>
        </w:tc>
      </w:tr>
      <w:tr>
        <w:trPr>
          <w:cantSplit/>
        </w:trPr>
        <w:tc>
          <w:tcPr>
            <w:tcW w:w="567" w:type="dxa"/>
          </w:tcPr>
          <w:p>
            <w:pPr>
              <w:pStyle w:val="yTableNAm"/>
              <w:rPr>
                <w:sz w:val="16"/>
                <w:szCs w:val="16"/>
              </w:rPr>
            </w:pPr>
            <w:r>
              <w:rPr>
                <w:sz w:val="16"/>
                <w:szCs w:val="16"/>
              </w:rPr>
              <w:t>Z.64</w:t>
            </w:r>
          </w:p>
        </w:tc>
        <w:tc>
          <w:tcPr>
            <w:tcW w:w="709" w:type="dxa"/>
          </w:tcPr>
          <w:p>
            <w:pPr>
              <w:pStyle w:val="yTableNAm"/>
              <w:rPr>
                <w:sz w:val="16"/>
                <w:szCs w:val="16"/>
              </w:rPr>
            </w:pPr>
            <w:r>
              <w:rPr>
                <w:sz w:val="16"/>
                <w:szCs w:val="16"/>
              </w:rPr>
              <w:t>180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67.1248</w:t>
            </w:r>
          </w:p>
        </w:tc>
        <w:tc>
          <w:tcPr>
            <w:tcW w:w="1512" w:type="dxa"/>
            <w:vAlign w:val="bottom"/>
          </w:tcPr>
          <w:p>
            <w:pPr>
              <w:pStyle w:val="yTableNAm"/>
              <w:rPr>
                <w:sz w:val="16"/>
                <w:szCs w:val="16"/>
              </w:rPr>
            </w:pPr>
            <w:r>
              <w:rPr>
                <w:sz w:val="16"/>
                <w:szCs w:val="16"/>
              </w:rPr>
              <w:t>70.5419</w:t>
            </w:r>
          </w:p>
        </w:tc>
        <w:tc>
          <w:tcPr>
            <w:tcW w:w="1370" w:type="dxa"/>
          </w:tcPr>
          <w:p>
            <w:pPr>
              <w:pStyle w:val="yTableNAm"/>
              <w:rPr>
                <w:sz w:val="16"/>
                <w:szCs w:val="16"/>
              </w:rPr>
            </w:pPr>
            <w:r>
              <w:rPr>
                <w:sz w:val="16"/>
                <w:szCs w:val="16"/>
              </w:rPr>
              <w:t>85.3138</w:t>
            </w:r>
          </w:p>
        </w:tc>
      </w:tr>
      <w:tr>
        <w:trPr>
          <w:cantSplit/>
        </w:trPr>
        <w:tc>
          <w:tcPr>
            <w:tcW w:w="567" w:type="dxa"/>
          </w:tcPr>
          <w:p>
            <w:pPr>
              <w:pStyle w:val="yTableNAm"/>
              <w:rPr>
                <w:sz w:val="16"/>
                <w:szCs w:val="16"/>
              </w:rPr>
            </w:pPr>
            <w:r>
              <w:rPr>
                <w:sz w:val="16"/>
                <w:szCs w:val="16"/>
              </w:rPr>
              <w:t>Z.65</w:t>
            </w:r>
          </w:p>
        </w:tc>
        <w:tc>
          <w:tcPr>
            <w:tcW w:w="709" w:type="dxa"/>
          </w:tcPr>
          <w:p>
            <w:pPr>
              <w:pStyle w:val="yTableNAm"/>
              <w:rPr>
                <w:sz w:val="16"/>
                <w:szCs w:val="16"/>
              </w:rPr>
            </w:pPr>
            <w:r>
              <w:rPr>
                <w:sz w:val="16"/>
                <w:szCs w:val="16"/>
              </w:rPr>
              <w:t>18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50.0429</w:t>
            </w:r>
          </w:p>
        </w:tc>
        <w:tc>
          <w:tcPr>
            <w:tcW w:w="1512" w:type="dxa"/>
            <w:vAlign w:val="bottom"/>
          </w:tcPr>
          <w:p>
            <w:pPr>
              <w:pStyle w:val="yTableNAm"/>
              <w:rPr>
                <w:sz w:val="16"/>
                <w:szCs w:val="16"/>
              </w:rPr>
            </w:pPr>
            <w:r>
              <w:rPr>
                <w:sz w:val="16"/>
                <w:szCs w:val="16"/>
              </w:rPr>
              <w:t>50.2888</w:t>
            </w:r>
          </w:p>
        </w:tc>
        <w:tc>
          <w:tcPr>
            <w:tcW w:w="1370" w:type="dxa"/>
          </w:tcPr>
          <w:p>
            <w:pPr>
              <w:pStyle w:val="yTableNAm"/>
              <w:rPr>
                <w:sz w:val="16"/>
                <w:szCs w:val="16"/>
              </w:rPr>
            </w:pPr>
            <w:r>
              <w:rPr>
                <w:sz w:val="16"/>
                <w:szCs w:val="16"/>
              </w:rPr>
              <w:t>50.5532</w:t>
            </w:r>
          </w:p>
        </w:tc>
      </w:tr>
      <w:tr>
        <w:trPr>
          <w:cantSplit/>
        </w:trPr>
        <w:tc>
          <w:tcPr>
            <w:tcW w:w="567" w:type="dxa"/>
          </w:tcPr>
          <w:p>
            <w:pPr>
              <w:pStyle w:val="yTableNAm"/>
              <w:rPr>
                <w:sz w:val="16"/>
                <w:szCs w:val="16"/>
              </w:rPr>
            </w:pPr>
            <w:r>
              <w:rPr>
                <w:sz w:val="16"/>
                <w:szCs w:val="16"/>
              </w:rPr>
              <w:t>Z.66</w:t>
            </w:r>
          </w:p>
        </w:tc>
        <w:tc>
          <w:tcPr>
            <w:tcW w:w="709" w:type="dxa"/>
          </w:tcPr>
          <w:p>
            <w:pPr>
              <w:pStyle w:val="yTableNAm"/>
              <w:rPr>
                <w:sz w:val="16"/>
                <w:szCs w:val="16"/>
              </w:rPr>
            </w:pPr>
            <w:r>
              <w:rPr>
                <w:sz w:val="16"/>
                <w:szCs w:val="16"/>
              </w:rPr>
              <w:t>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50.1958</w:t>
            </w:r>
          </w:p>
        </w:tc>
        <w:tc>
          <w:tcPr>
            <w:tcW w:w="1512" w:type="dxa"/>
            <w:vAlign w:val="bottom"/>
          </w:tcPr>
          <w:p>
            <w:pPr>
              <w:pStyle w:val="yTableNAm"/>
              <w:rPr>
                <w:sz w:val="16"/>
                <w:szCs w:val="16"/>
              </w:rPr>
            </w:pPr>
            <w:r>
              <w:rPr>
                <w:sz w:val="16"/>
                <w:szCs w:val="16"/>
              </w:rPr>
              <w:t>50.4765</w:t>
            </w:r>
          </w:p>
        </w:tc>
        <w:tc>
          <w:tcPr>
            <w:tcW w:w="1370" w:type="dxa"/>
          </w:tcPr>
          <w:p>
            <w:pPr>
              <w:pStyle w:val="yTableNAm"/>
              <w:rPr>
                <w:sz w:val="16"/>
                <w:szCs w:val="16"/>
              </w:rPr>
            </w:pPr>
            <w:r>
              <w:rPr>
                <w:sz w:val="16"/>
                <w:szCs w:val="16"/>
              </w:rPr>
              <w:t>50.8691</w:t>
            </w:r>
          </w:p>
        </w:tc>
      </w:tr>
      <w:tr>
        <w:trPr>
          <w:cantSplit/>
        </w:trPr>
        <w:tc>
          <w:tcPr>
            <w:tcW w:w="567" w:type="dxa"/>
          </w:tcPr>
          <w:p>
            <w:pPr>
              <w:pStyle w:val="yTableNAm"/>
              <w:rPr>
                <w:sz w:val="16"/>
                <w:szCs w:val="16"/>
              </w:rPr>
            </w:pPr>
            <w:r>
              <w:rPr>
                <w:sz w:val="16"/>
                <w:szCs w:val="16"/>
              </w:rPr>
              <w:t>Z.67</w:t>
            </w:r>
          </w:p>
        </w:tc>
        <w:tc>
          <w:tcPr>
            <w:tcW w:w="709" w:type="dxa"/>
          </w:tcPr>
          <w:p>
            <w:pPr>
              <w:pStyle w:val="yTableNAm"/>
              <w:rPr>
                <w:sz w:val="16"/>
                <w:szCs w:val="16"/>
              </w:rPr>
            </w:pPr>
            <w:r>
              <w:rPr>
                <w:sz w:val="16"/>
                <w:szCs w:val="16"/>
              </w:rPr>
              <w:t>53</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52.9493</w:t>
            </w:r>
          </w:p>
        </w:tc>
        <w:tc>
          <w:tcPr>
            <w:tcW w:w="1512" w:type="dxa"/>
            <w:vAlign w:val="bottom"/>
          </w:tcPr>
          <w:p>
            <w:pPr>
              <w:pStyle w:val="yTableNAm"/>
              <w:rPr>
                <w:sz w:val="16"/>
                <w:szCs w:val="16"/>
              </w:rPr>
            </w:pPr>
            <w:r>
              <w:rPr>
                <w:sz w:val="16"/>
                <w:szCs w:val="16"/>
              </w:rPr>
              <w:t>53.8845</w:t>
            </w:r>
          </w:p>
        </w:tc>
        <w:tc>
          <w:tcPr>
            <w:tcW w:w="1370" w:type="dxa"/>
          </w:tcPr>
          <w:p>
            <w:pPr>
              <w:pStyle w:val="yTableNAm"/>
              <w:rPr>
                <w:sz w:val="16"/>
                <w:szCs w:val="16"/>
              </w:rPr>
            </w:pPr>
            <w:r>
              <w:rPr>
                <w:sz w:val="16"/>
                <w:szCs w:val="16"/>
              </w:rPr>
              <w:t>56.7402</w:t>
            </w:r>
          </w:p>
        </w:tc>
      </w:tr>
      <w:tr>
        <w:trPr>
          <w:cantSplit/>
        </w:trPr>
        <w:tc>
          <w:tcPr>
            <w:tcW w:w="567" w:type="dxa"/>
          </w:tcPr>
          <w:p>
            <w:pPr>
              <w:pStyle w:val="yTableNAm"/>
              <w:rPr>
                <w:sz w:val="16"/>
                <w:szCs w:val="16"/>
              </w:rPr>
            </w:pPr>
            <w:r>
              <w:rPr>
                <w:sz w:val="16"/>
                <w:szCs w:val="16"/>
              </w:rPr>
              <w:t>Z.68</w:t>
            </w:r>
          </w:p>
        </w:tc>
        <w:tc>
          <w:tcPr>
            <w:tcW w:w="709" w:type="dxa"/>
          </w:tcPr>
          <w:p>
            <w:pPr>
              <w:pStyle w:val="yTableNAm"/>
              <w:rPr>
                <w:sz w:val="16"/>
                <w:szCs w:val="16"/>
              </w:rPr>
            </w:pPr>
            <w:r>
              <w:rPr>
                <w:sz w:val="16"/>
                <w:szCs w:val="16"/>
              </w:rPr>
              <w:t>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54.0119</w:t>
            </w:r>
          </w:p>
        </w:tc>
        <w:tc>
          <w:tcPr>
            <w:tcW w:w="1512" w:type="dxa"/>
            <w:vAlign w:val="bottom"/>
          </w:tcPr>
          <w:p>
            <w:pPr>
              <w:pStyle w:val="yTableNAm"/>
              <w:rPr>
                <w:sz w:val="16"/>
                <w:szCs w:val="16"/>
              </w:rPr>
            </w:pPr>
            <w:r>
              <w:rPr>
                <w:sz w:val="16"/>
                <w:szCs w:val="16"/>
              </w:rPr>
              <w:t>55.1973</w:t>
            </w:r>
          </w:p>
        </w:tc>
        <w:tc>
          <w:tcPr>
            <w:tcW w:w="1370" w:type="dxa"/>
          </w:tcPr>
          <w:p>
            <w:pPr>
              <w:pStyle w:val="yTableNAm"/>
              <w:rPr>
                <w:sz w:val="16"/>
                <w:szCs w:val="16"/>
              </w:rPr>
            </w:pPr>
            <w:r>
              <w:rPr>
                <w:sz w:val="16"/>
                <w:szCs w:val="16"/>
              </w:rPr>
              <w:t>59.0054</w:t>
            </w:r>
          </w:p>
        </w:tc>
      </w:tr>
      <w:tr>
        <w:trPr>
          <w:cantSplit/>
        </w:trPr>
        <w:tc>
          <w:tcPr>
            <w:tcW w:w="567" w:type="dxa"/>
          </w:tcPr>
          <w:p>
            <w:pPr>
              <w:pStyle w:val="yTableNAm"/>
              <w:rPr>
                <w:sz w:val="16"/>
                <w:szCs w:val="16"/>
              </w:rPr>
            </w:pPr>
            <w:r>
              <w:rPr>
                <w:sz w:val="16"/>
                <w:szCs w:val="16"/>
              </w:rPr>
              <w:t>Z.69</w:t>
            </w:r>
          </w:p>
        </w:tc>
        <w:tc>
          <w:tcPr>
            <w:tcW w:w="709" w:type="dxa"/>
          </w:tcPr>
          <w:p>
            <w:pPr>
              <w:pStyle w:val="yTableNAm"/>
              <w:rPr>
                <w:sz w:val="16"/>
                <w:szCs w:val="16"/>
              </w:rPr>
            </w:pPr>
            <w:r>
              <w:rPr>
                <w:sz w:val="16"/>
                <w:szCs w:val="16"/>
              </w:rPr>
              <w:t>160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62.4601</w:t>
            </w:r>
          </w:p>
        </w:tc>
        <w:tc>
          <w:tcPr>
            <w:tcW w:w="1512" w:type="dxa"/>
            <w:vAlign w:val="bottom"/>
          </w:tcPr>
          <w:p>
            <w:pPr>
              <w:pStyle w:val="yTableNAm"/>
              <w:rPr>
                <w:sz w:val="16"/>
                <w:szCs w:val="16"/>
              </w:rPr>
            </w:pPr>
            <w:r>
              <w:rPr>
                <w:sz w:val="16"/>
                <w:szCs w:val="16"/>
              </w:rPr>
              <w:t>64.4886</w:t>
            </w:r>
          </w:p>
        </w:tc>
        <w:tc>
          <w:tcPr>
            <w:tcW w:w="1370" w:type="dxa"/>
          </w:tcPr>
          <w:p>
            <w:pPr>
              <w:pStyle w:val="yTableNAm"/>
              <w:rPr>
                <w:sz w:val="16"/>
                <w:szCs w:val="16"/>
              </w:rPr>
            </w:pPr>
            <w:r>
              <w:rPr>
                <w:sz w:val="16"/>
                <w:szCs w:val="16"/>
              </w:rPr>
              <w:t>73.4250</w:t>
            </w:r>
          </w:p>
        </w:tc>
      </w:tr>
      <w:tr>
        <w:trPr>
          <w:cantSplit/>
        </w:trPr>
        <w:tc>
          <w:tcPr>
            <w:tcW w:w="6804" w:type="dxa"/>
            <w:gridSpan w:val="8"/>
          </w:tcPr>
          <w:p>
            <w:pPr>
              <w:pStyle w:val="yTableNAm"/>
              <w:keepNext/>
            </w:pPr>
            <w:r>
              <w:rPr>
                <w:b/>
                <w:i/>
                <w:iCs/>
                <w:sz w:val="16"/>
                <w:szCs w:val="16"/>
              </w:rPr>
              <w:lastRenderedPageBreak/>
              <w:t>Street lighting for existing services only</w:t>
            </w:r>
          </w:p>
        </w:tc>
      </w:tr>
      <w:tr>
        <w:trPr>
          <w:cantSplit/>
        </w:trPr>
        <w:tc>
          <w:tcPr>
            <w:tcW w:w="567" w:type="dxa"/>
          </w:tcPr>
          <w:p>
            <w:pPr>
              <w:pStyle w:val="yTableNAm"/>
              <w:keepNext/>
            </w:pPr>
            <w:r>
              <w:rPr>
                <w:sz w:val="16"/>
                <w:szCs w:val="16"/>
              </w:rPr>
              <w:t>Z.52</w:t>
            </w:r>
          </w:p>
        </w:tc>
        <w:tc>
          <w:tcPr>
            <w:tcW w:w="851" w:type="dxa"/>
            <w:gridSpan w:val="2"/>
          </w:tcPr>
          <w:p>
            <w:pPr>
              <w:pStyle w:val="yTableNAm"/>
              <w:keepNext/>
            </w:pPr>
            <w:r>
              <w:rPr>
                <w:sz w:val="16"/>
                <w:szCs w:val="16"/>
              </w:rPr>
              <w:t>100</w:t>
            </w:r>
          </w:p>
        </w:tc>
        <w:tc>
          <w:tcPr>
            <w:tcW w:w="1134" w:type="dxa"/>
            <w:gridSpan w:val="2"/>
          </w:tcPr>
          <w:p>
            <w:pPr>
              <w:pStyle w:val="yTableNAm"/>
              <w:keepNext/>
            </w:pPr>
            <w:r>
              <w:rPr>
                <w:sz w:val="16"/>
                <w:szCs w:val="16"/>
              </w:rPr>
              <w:t>Incandescent</w:t>
            </w:r>
          </w:p>
        </w:tc>
        <w:tc>
          <w:tcPr>
            <w:tcW w:w="1370" w:type="dxa"/>
          </w:tcPr>
          <w:p>
            <w:pPr>
              <w:pStyle w:val="yTableNAm"/>
              <w:keepNext/>
              <w:rPr>
                <w:sz w:val="16"/>
                <w:szCs w:val="16"/>
              </w:rPr>
            </w:pPr>
            <w:r>
              <w:rPr>
                <w:sz w:val="16"/>
                <w:szCs w:val="16"/>
              </w:rPr>
              <w:t>38.8491</w:t>
            </w:r>
          </w:p>
        </w:tc>
        <w:tc>
          <w:tcPr>
            <w:tcW w:w="1512" w:type="dxa"/>
          </w:tcPr>
          <w:p>
            <w:pPr>
              <w:pStyle w:val="yTableNAm"/>
              <w:keepNext/>
              <w:rPr>
                <w:sz w:val="16"/>
                <w:szCs w:val="16"/>
              </w:rPr>
            </w:pPr>
            <w:r>
              <w:rPr>
                <w:sz w:val="16"/>
                <w:szCs w:val="16"/>
              </w:rPr>
              <w:t>40.3054</w:t>
            </w:r>
          </w:p>
        </w:tc>
        <w:tc>
          <w:tcPr>
            <w:tcW w:w="1370" w:type="dxa"/>
          </w:tcPr>
          <w:p>
            <w:pPr>
              <w:pStyle w:val="yTableNAm"/>
              <w:keepNext/>
              <w:rPr>
                <w:sz w:val="16"/>
                <w:szCs w:val="16"/>
              </w:rPr>
            </w:pPr>
            <w:r>
              <w:rPr>
                <w:sz w:val="16"/>
                <w:szCs w:val="16"/>
              </w:rPr>
              <w:t>44.3728</w:t>
            </w:r>
          </w:p>
        </w:tc>
      </w:tr>
      <w:tr>
        <w:trPr>
          <w:cantSplit/>
        </w:trPr>
        <w:tc>
          <w:tcPr>
            <w:tcW w:w="567" w:type="dxa"/>
            <w:tcBorders>
              <w:bottom w:val="single" w:sz="4" w:space="0" w:color="auto"/>
            </w:tcBorders>
          </w:tcPr>
          <w:p>
            <w:pPr>
              <w:pStyle w:val="yTableNAm"/>
              <w:keepNext/>
            </w:pPr>
            <w:r>
              <w:rPr>
                <w:sz w:val="16"/>
                <w:szCs w:val="16"/>
              </w:rPr>
              <w:t>Z.56</w:t>
            </w:r>
          </w:p>
        </w:tc>
        <w:tc>
          <w:tcPr>
            <w:tcW w:w="851" w:type="dxa"/>
            <w:gridSpan w:val="2"/>
            <w:tcBorders>
              <w:bottom w:val="single" w:sz="4" w:space="0" w:color="auto"/>
            </w:tcBorders>
          </w:tcPr>
          <w:p>
            <w:pPr>
              <w:pStyle w:val="yTableNAm"/>
              <w:keepNext/>
            </w:pPr>
            <w:r>
              <w:rPr>
                <w:sz w:val="16"/>
                <w:szCs w:val="16"/>
              </w:rPr>
              <w:t>40</w:t>
            </w:r>
          </w:p>
        </w:tc>
        <w:tc>
          <w:tcPr>
            <w:tcW w:w="1134" w:type="dxa"/>
            <w:gridSpan w:val="2"/>
            <w:tcBorders>
              <w:bottom w:val="single" w:sz="4" w:space="0" w:color="auto"/>
            </w:tcBorders>
          </w:tcPr>
          <w:p>
            <w:pPr>
              <w:pStyle w:val="yTableNAm"/>
              <w:keepNext/>
            </w:pPr>
            <w:r>
              <w:rPr>
                <w:sz w:val="16"/>
                <w:szCs w:val="16"/>
              </w:rPr>
              <w:t>Fluorescent</w:t>
            </w:r>
          </w:p>
        </w:tc>
        <w:tc>
          <w:tcPr>
            <w:tcW w:w="1370" w:type="dxa"/>
            <w:tcBorders>
              <w:bottom w:val="single" w:sz="4" w:space="0" w:color="auto"/>
            </w:tcBorders>
          </w:tcPr>
          <w:p>
            <w:pPr>
              <w:pStyle w:val="yTableNAm"/>
              <w:keepNext/>
              <w:rPr>
                <w:sz w:val="16"/>
                <w:szCs w:val="16"/>
              </w:rPr>
            </w:pPr>
            <w:r>
              <w:rPr>
                <w:sz w:val="16"/>
                <w:szCs w:val="16"/>
              </w:rPr>
              <w:t>50.8809</w:t>
            </w:r>
          </w:p>
        </w:tc>
        <w:tc>
          <w:tcPr>
            <w:tcW w:w="1512" w:type="dxa"/>
            <w:tcBorders>
              <w:bottom w:val="single" w:sz="4" w:space="0" w:color="auto"/>
            </w:tcBorders>
          </w:tcPr>
          <w:p>
            <w:pPr>
              <w:pStyle w:val="yTableNAm"/>
              <w:keepNext/>
              <w:rPr>
                <w:sz w:val="16"/>
                <w:szCs w:val="16"/>
              </w:rPr>
            </w:pPr>
            <w:r>
              <w:rPr>
                <w:sz w:val="16"/>
                <w:szCs w:val="16"/>
              </w:rPr>
              <w:t>51.5795</w:t>
            </w:r>
          </w:p>
        </w:tc>
        <w:tc>
          <w:tcPr>
            <w:tcW w:w="1370" w:type="dxa"/>
            <w:tcBorders>
              <w:bottom w:val="single" w:sz="4" w:space="0" w:color="auto"/>
            </w:tcBorders>
          </w:tcPr>
          <w:p>
            <w:pPr>
              <w:pStyle w:val="yTableNAm"/>
              <w:keepNext/>
              <w:rPr>
                <w:sz w:val="16"/>
                <w:szCs w:val="16"/>
              </w:rPr>
            </w:pPr>
            <w:r>
              <w:rPr>
                <w:sz w:val="16"/>
                <w:szCs w:val="16"/>
              </w:rPr>
              <w:t>54.1664</w:t>
            </w:r>
          </w:p>
        </w:tc>
      </w:tr>
    </w:tbl>
    <w:p>
      <w:pPr>
        <w:pStyle w:val="yFootnotesection"/>
      </w:pPr>
      <w:bookmarkStart w:id="60" w:name="_Toc75781371"/>
      <w:bookmarkStart w:id="61" w:name="_Toc75781534"/>
      <w:r>
        <w:tab/>
        <w:t>[Division 1 inserted: SL 2021/110 bl. 4.]</w:t>
      </w:r>
    </w:p>
    <w:p>
      <w:pPr>
        <w:pStyle w:val="yHeading3"/>
      </w:pPr>
      <w:bookmarkStart w:id="62" w:name="_Toc75855921"/>
      <w:bookmarkStart w:id="63" w:name="_Toc75855956"/>
      <w:bookmarkStart w:id="64" w:name="_Toc104965952"/>
      <w:bookmarkStart w:id="65" w:name="_Toc104966162"/>
      <w:bookmarkStart w:id="66" w:name="_Toc104974421"/>
      <w:r>
        <w:rPr>
          <w:rStyle w:val="CharSDivNo"/>
        </w:rPr>
        <w:t>Division 2</w:t>
      </w:r>
      <w:r>
        <w:t> — </w:t>
      </w:r>
      <w:r>
        <w:rPr>
          <w:rStyle w:val="CharSDivText"/>
        </w:rPr>
        <w:t>Miscellaneous</w:t>
      </w:r>
      <w:bookmarkEnd w:id="60"/>
      <w:bookmarkEnd w:id="61"/>
      <w:bookmarkEnd w:id="62"/>
      <w:bookmarkEnd w:id="63"/>
      <w:bookmarkEnd w:id="64"/>
      <w:bookmarkEnd w:id="65"/>
      <w:bookmarkEnd w:id="66"/>
    </w:p>
    <w:p>
      <w:pPr>
        <w:pStyle w:val="yFootnoteheading"/>
      </w:pPr>
      <w:r>
        <w:tab/>
        <w:t>[Heading inserted: SL 2021/110 bl. 4.]</w:t>
      </w:r>
    </w:p>
    <w:p>
      <w:pPr>
        <w:pStyle w:val="yHeading5"/>
      </w:pPr>
      <w:bookmarkStart w:id="67" w:name="_Toc104974422"/>
      <w:r>
        <w:rPr>
          <w:rStyle w:val="CharSClsNo"/>
        </w:rPr>
        <w:t>1</w:t>
      </w:r>
      <w:r>
        <w:t>.</w:t>
      </w:r>
      <w:r>
        <w:tab/>
        <w:t>Traffic light installation</w:t>
      </w:r>
      <w:bookmarkEnd w:id="67"/>
    </w:p>
    <w:p>
      <w:pPr>
        <w:pStyle w:val="ySubsection"/>
      </w:pPr>
      <w:r>
        <w:tab/>
      </w:r>
      <w:r>
        <w:tab/>
        <w:t xml:space="preserve">Supply of electricity to traffic light installations comprises a charge of </w:t>
      </w:r>
      <w:r>
        <w:rPr>
          <w:szCs w:val="22"/>
        </w:rPr>
        <w:t xml:space="preserve">$7.9244 </w:t>
      </w:r>
      <w:r>
        <w:t>per day per kW of installed wattage.</w:t>
      </w:r>
    </w:p>
    <w:p>
      <w:pPr>
        <w:pStyle w:val="yFootnotesection"/>
      </w:pPr>
      <w:r>
        <w:tab/>
        <w:t>[Clause 1 inserted: SL 2021/110 bl. 4.]</w:t>
      </w:r>
    </w:p>
    <w:p>
      <w:pPr>
        <w:pStyle w:val="yHeading5"/>
      </w:pPr>
      <w:bookmarkStart w:id="68" w:name="_Toc104974423"/>
      <w:r>
        <w:rPr>
          <w:rStyle w:val="CharSClsNo"/>
        </w:rPr>
        <w:t>2</w:t>
      </w:r>
      <w:r>
        <w:t>.</w:t>
      </w:r>
      <w:r>
        <w:tab/>
        <w:t>Public telephone facility</w:t>
      </w:r>
      <w:bookmarkEnd w:id="68"/>
    </w:p>
    <w:p>
      <w:pPr>
        <w:pStyle w:val="ySubsection"/>
      </w:pPr>
      <w:r>
        <w:tab/>
      </w:r>
      <w:r>
        <w:tab/>
        <w:t>Supply of electricity to a standard public telephone facility where supply is not independently metered comprises a charge of 67.7400 cents per day.</w:t>
      </w:r>
    </w:p>
    <w:p>
      <w:pPr>
        <w:pStyle w:val="yFootnotesection"/>
      </w:pPr>
      <w:r>
        <w:tab/>
        <w:t>[Clause 2 inserted: SL 2021/110 bl. 4.]</w:t>
      </w:r>
    </w:p>
    <w:p>
      <w:pPr>
        <w:pStyle w:val="yHeading5"/>
      </w:pPr>
      <w:bookmarkStart w:id="69" w:name="_Toc104974424"/>
      <w:r>
        <w:rPr>
          <w:rStyle w:val="CharSClsNo"/>
        </w:rPr>
        <w:t>3</w:t>
      </w:r>
      <w:r>
        <w:t>.</w:t>
      </w:r>
      <w:r>
        <w:tab/>
        <w:t>Railway crossing</w:t>
      </w:r>
      <w:bookmarkEnd w:id="69"/>
    </w:p>
    <w:p>
      <w:pPr>
        <w:pStyle w:val="ySubsection"/>
      </w:pPr>
      <w:r>
        <w:tab/>
      </w:r>
      <w:r>
        <w:tab/>
        <w:t>Supply of electricity to standard railway crossing lights comprises a charge of 86.5672</w:t>
      </w:r>
      <w:r>
        <w:rPr>
          <w:szCs w:val="22"/>
        </w:rPr>
        <w:t xml:space="preserve"> </w:t>
      </w:r>
      <w:r>
        <w:t>cents per day.</w:t>
      </w:r>
    </w:p>
    <w:p>
      <w:pPr>
        <w:pStyle w:val="yFootnotesection"/>
      </w:pPr>
      <w:r>
        <w:tab/>
        <w:t>[Clause 3 inserted: SL 2021/110 bl. 4.]</w:t>
      </w:r>
    </w:p>
    <w:p>
      <w:pPr>
        <w:pStyle w:val="yScheduleHeading"/>
      </w:pPr>
      <w:bookmarkStart w:id="70" w:name="_Toc75774407"/>
      <w:bookmarkStart w:id="71" w:name="_Toc75781376"/>
      <w:bookmarkStart w:id="72" w:name="_Toc75781539"/>
      <w:bookmarkStart w:id="73" w:name="_Toc75855925"/>
      <w:bookmarkStart w:id="74" w:name="_Toc75855960"/>
      <w:bookmarkStart w:id="75" w:name="_Toc104965956"/>
      <w:bookmarkStart w:id="76" w:name="_Toc104966166"/>
      <w:bookmarkStart w:id="77" w:name="_Toc104974425"/>
      <w:bookmarkEnd w:id="21"/>
      <w:r>
        <w:rPr>
          <w:rStyle w:val="CharSchNo"/>
        </w:rPr>
        <w:lastRenderedPageBreak/>
        <w:t>Schedule 3</w:t>
      </w:r>
      <w:r>
        <w:rPr>
          <w:rStyle w:val="CharSDivNo"/>
        </w:rPr>
        <w:t> </w:t>
      </w:r>
      <w:r>
        <w:t>—</w:t>
      </w:r>
      <w:r>
        <w:rPr>
          <w:rStyle w:val="CharSDivText"/>
        </w:rPr>
        <w:t> </w:t>
      </w:r>
      <w:r>
        <w:rPr>
          <w:rStyle w:val="CharSchText"/>
        </w:rPr>
        <w:t>Meter rentals</w:t>
      </w:r>
      <w:bookmarkEnd w:id="70"/>
      <w:bookmarkEnd w:id="71"/>
      <w:bookmarkEnd w:id="72"/>
      <w:bookmarkEnd w:id="73"/>
      <w:bookmarkEnd w:id="74"/>
      <w:bookmarkEnd w:id="75"/>
      <w:bookmarkEnd w:id="76"/>
      <w:bookmarkEnd w:id="77"/>
    </w:p>
    <w:p>
      <w:pPr>
        <w:pStyle w:val="yShoulderClause"/>
      </w:pPr>
      <w:r>
        <w:t>[bl. 6(1)]</w:t>
      </w:r>
    </w:p>
    <w:p>
      <w:pPr>
        <w:pStyle w:val="yFootnoteheading"/>
      </w:pPr>
      <w:r>
        <w:tab/>
        <w:t>[Heading inserted: SL 2020/78 bl. 4.]</w:t>
      </w:r>
    </w:p>
    <w:p>
      <w:pPr>
        <w:pStyle w:val="ySubsection"/>
      </w:pPr>
      <w:r>
        <w:tab/>
      </w:r>
      <w:r>
        <w:tab/>
        <w:t>The rental payable in respect of a subsidiary meter is 16.60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w:t>
      </w:r>
    </w:p>
    <w:p>
      <w:pPr>
        <w:pStyle w:val="yScheduleHeading"/>
      </w:pPr>
      <w:bookmarkStart w:id="78" w:name="_Toc75774408"/>
      <w:bookmarkStart w:id="79" w:name="_Toc75781377"/>
      <w:bookmarkStart w:id="80" w:name="_Toc75781540"/>
      <w:bookmarkStart w:id="81" w:name="_Toc75855926"/>
      <w:bookmarkStart w:id="82" w:name="_Toc75855961"/>
      <w:bookmarkStart w:id="83" w:name="_Toc104965957"/>
      <w:bookmarkStart w:id="84" w:name="_Toc104966167"/>
      <w:bookmarkStart w:id="85" w:name="_Toc104974426"/>
      <w:r>
        <w:rPr>
          <w:rStyle w:val="CharSchNo"/>
        </w:rPr>
        <w:lastRenderedPageBreak/>
        <w:t>Schedule 4</w:t>
      </w:r>
      <w:r>
        <w:t> — </w:t>
      </w:r>
      <w:r>
        <w:rPr>
          <w:rStyle w:val="CharSchText"/>
        </w:rPr>
        <w:t>Fees</w:t>
      </w:r>
      <w:bookmarkEnd w:id="78"/>
      <w:bookmarkEnd w:id="79"/>
      <w:bookmarkEnd w:id="80"/>
      <w:bookmarkEnd w:id="81"/>
      <w:bookmarkEnd w:id="82"/>
      <w:bookmarkEnd w:id="83"/>
      <w:bookmarkEnd w:id="84"/>
      <w:bookmarkEnd w:id="85"/>
    </w:p>
    <w:p>
      <w:pPr>
        <w:pStyle w:val="yShoulderClause"/>
      </w:pPr>
      <w:r>
        <w:t>[bl. 7]</w:t>
      </w:r>
    </w:p>
    <w:p>
      <w:pPr>
        <w:pStyle w:val="yFootnoteheading"/>
        <w:spacing w:after="120"/>
      </w:pPr>
      <w:r>
        <w:tab/>
        <w:t>[Heading inserted: SL 2020/78 bl. 4.]</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r>
              <w:rPr>
                <w:bCs/>
                <w:iCs/>
              </w:rPr>
              <w:t>$24.00</w:t>
            </w:r>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r>
              <w:t>$914.00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$915.00</w:t>
            </w:r>
          </w:p>
          <w:p>
            <w:pPr>
              <w:pStyle w:val="yTableNAm"/>
            </w:pPr>
            <w:r>
              <w:t>$915.00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pPr>
            <w:r>
              <w:t>$247.20</w:t>
            </w:r>
          </w:p>
          <w:p>
            <w:pPr>
              <w:pStyle w:val="yTableNAm"/>
            </w:pPr>
            <w:r>
              <w:t>$154.40</w:t>
            </w:r>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r>
              <w:t>$611.20</w:t>
            </w:r>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r>
              <w:t>$27.50</w:t>
            </w:r>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$26.30</w:t>
            </w:r>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$851.00</w:t>
            </w:r>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$6.20</w:t>
            </w:r>
          </w:p>
        </w:tc>
      </w:tr>
      <w:tr>
        <w:trPr>
          <w:cantSplit/>
        </w:trPr>
        <w:tc>
          <w:tcPr>
            <w:tcW w:w="567" w:type="dxa"/>
          </w:tcPr>
          <w:p>
            <w:pPr>
              <w:pStyle w:val="yTableNAm"/>
            </w:pPr>
            <w:r>
              <w:t>12.</w:t>
            </w:r>
          </w:p>
        </w:tc>
        <w:tc>
          <w:tcPr>
            <w:tcW w:w="5245" w:type="dxa"/>
          </w:tcPr>
          <w:p>
            <w:pPr>
              <w:pStyle w:val="yTableNAm"/>
              <w:tabs>
                <w:tab w:val="clear" w:pos="567"/>
                <w:tab w:val="right" w:leader="dot" w:pos="5160"/>
              </w:tabs>
              <w:ind w:right="-85"/>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lastRenderedPageBreak/>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$2.54</w:t>
            </w:r>
          </w:p>
        </w:tc>
      </w:tr>
    </w:tbl>
    <w:p>
      <w:pPr>
        <w:pStyle w:val="yFootnotesection"/>
      </w:pPr>
      <w:r>
        <w:tab/>
        <w:t>[Schedule 4 inserted: SL 2020/78 bl. 4; amended: SL 2021/110 bl.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86" w:name="_Toc75774409"/>
      <w:bookmarkStart w:id="87" w:name="_Toc75781378"/>
      <w:bookmarkStart w:id="88" w:name="_Toc75781541"/>
      <w:bookmarkStart w:id="89" w:name="_Toc75855927"/>
      <w:bookmarkStart w:id="90" w:name="_Toc75855962"/>
      <w:bookmarkStart w:id="91" w:name="_Toc104965958"/>
      <w:bookmarkStart w:id="92" w:name="_Toc104966168"/>
      <w:bookmarkStart w:id="93" w:name="_Toc104974427"/>
      <w:r>
        <w:lastRenderedPageBreak/>
        <w:t>Notes</w:t>
      </w:r>
      <w:bookmarkEnd w:id="86"/>
      <w:bookmarkEnd w:id="87"/>
      <w:bookmarkEnd w:id="88"/>
      <w:bookmarkEnd w:id="89"/>
      <w:bookmarkEnd w:id="90"/>
      <w:bookmarkEnd w:id="91"/>
      <w:bookmarkEnd w:id="92"/>
      <w:bookmarkEnd w:id="93"/>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4" w:name="_Toc104974428"/>
      <w:r>
        <w:t>Compilation table</w:t>
      </w:r>
      <w:bookmarkEnd w:id="9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lastRenderedPageBreak/>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By-laws 2021</w:t>
            </w:r>
          </w:p>
        </w:tc>
        <w:tc>
          <w:tcPr>
            <w:tcW w:w="1276" w:type="dxa"/>
            <w:tcBorders>
              <w:bottom w:val="single" w:sz="8" w:space="0" w:color="auto"/>
            </w:tcBorders>
            <w:shd w:val="clear" w:color="auto" w:fill="auto"/>
          </w:tcPr>
          <w:p>
            <w:pPr>
              <w:pStyle w:val="nTable"/>
              <w:keepLines/>
              <w:spacing w:after="40"/>
            </w:pPr>
            <w:r>
              <w:t>SL 2021/110 29 Jun 2021</w:t>
            </w:r>
          </w:p>
        </w:tc>
        <w:tc>
          <w:tcPr>
            <w:tcW w:w="2693" w:type="dxa"/>
            <w:tcBorders>
              <w:bottom w:val="single" w:sz="8" w:space="0" w:color="auto"/>
            </w:tcBorders>
            <w:shd w:val="clear" w:color="auto" w:fill="auto"/>
          </w:tcPr>
          <w:p>
            <w:pPr>
              <w:pStyle w:val="nTable"/>
              <w:keepLines/>
              <w:spacing w:after="40"/>
            </w:pPr>
            <w:r>
              <w:t>bl. 1 and 2: 29 Jun 2021 (see bl. 2(a));</w:t>
            </w:r>
            <w:r>
              <w:br/>
              <w:t>By-laws other than bl. 1 and 2: 1 Jul 2021 (see bl. 2(b))</w:t>
            </w:r>
          </w:p>
        </w:tc>
      </w:tr>
    </w:tbl>
    <w:p>
      <w:pPr>
        <w:pStyle w:val="nHeading3"/>
      </w:pPr>
      <w:bookmarkStart w:id="95" w:name="_Toc104974429"/>
      <w:r>
        <w:t>Uncommenced provisions table</w:t>
      </w:r>
      <w:bookmarkEnd w:id="9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(Regional Power Corporation) (Charges) Amendment By</w:t>
            </w:r>
            <w:r>
              <w:rPr>
                <w:i/>
              </w:rPr>
              <w:noBreakHyphen/>
              <w:t>laws 2022</w:t>
            </w:r>
            <w:r>
              <w:t xml:space="preserve"> bl. 3</w:t>
            </w:r>
            <w:r>
              <w:noBreakHyphen/>
              <w:t>8</w:t>
            </w:r>
          </w:p>
        </w:tc>
        <w:tc>
          <w:tcPr>
            <w:tcW w:w="1276" w:type="dxa"/>
          </w:tcPr>
          <w:p>
            <w:pPr>
              <w:pStyle w:val="nTable"/>
              <w:spacing w:after="40"/>
            </w:pPr>
            <w:r>
              <w:t>SL 2022/71 3 Jun 2022</w:t>
            </w:r>
          </w:p>
        </w:tc>
        <w:tc>
          <w:tcPr>
            <w:tcW w:w="2693" w:type="dxa"/>
          </w:tcPr>
          <w:p>
            <w:pPr>
              <w:pStyle w:val="nTable"/>
              <w:spacing w:after="40"/>
            </w:pPr>
            <w:r>
              <w:t>1 Jul 2022 (see bl.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97" w:name="_Toc104965960"/>
      <w:bookmarkStart w:id="98" w:name="_Toc104966171"/>
      <w:bookmarkStart w:id="99" w:name="_Toc104974430"/>
      <w:r>
        <w:rPr>
          <w:sz w:val="28"/>
        </w:rPr>
        <w:lastRenderedPageBreak/>
        <w:t>Defined terms</w:t>
      </w:r>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non-residential tariff</w:t>
      </w:r>
      <w:r>
        <w:tab/>
        <w:t>Sch. 1 cl. 9(1)</w:t>
      </w:r>
    </w:p>
    <w:p>
      <w:pPr>
        <w:pStyle w:val="DefinedTerms"/>
      </w:pPr>
      <w:r>
        <w:t>MyPower residential tariff</w:t>
      </w:r>
      <w:r>
        <w:tab/>
        <w:t>Sch. 1 cl. 8(1)</w:t>
      </w:r>
    </w:p>
    <w:p>
      <w:pPr>
        <w:pStyle w:val="DefinedTerms"/>
      </w:pPr>
      <w:r>
        <w:t>MyPower tariff</w:t>
      </w:r>
      <w:r>
        <w:tab/>
        <w:t>Sch. 1 cl. 7(1)</w:t>
      </w:r>
    </w:p>
    <w:p>
      <w:pPr>
        <w:pStyle w:val="DefinedTerms"/>
      </w:pPr>
      <w:r>
        <w:t>North West interconnected system</w:t>
      </w:r>
      <w:r>
        <w:tab/>
        <w:t>4(1A), 4(2A)</w:t>
      </w:r>
    </w:p>
    <w:p>
      <w:pPr>
        <w:pStyle w:val="DefinedTerms"/>
      </w:pPr>
      <w:r>
        <w:t>original tariff</w:t>
      </w:r>
      <w:r>
        <w:tab/>
        <w:t>Sch. 1 cl. 8(5) and 9(5)</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transfer day</w:t>
      </w:r>
      <w:r>
        <w:tab/>
        <w:t>Sch. 1 cl. 8(5) and 9(5)</w:t>
      </w:r>
    </w:p>
    <w:p>
      <w:pPr>
        <w:pStyle w:val="DefinedTerms"/>
      </w:pPr>
      <w:r>
        <w:t>unit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20451"/>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DF43A-9EB8-4D2C-9F29-A06E72449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5486</Words>
  <Characters>27046</Characters>
  <Application>Microsoft Office Word</Application>
  <DocSecurity>0</DocSecurity>
  <Lines>1175</Lines>
  <Paragraphs>774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2006 - 02-n0-00</dc:title>
  <dc:subject/>
  <dc:creator/>
  <cp:keywords/>
  <dc:description/>
  <cp:lastModifiedBy>Master Repository Process</cp:lastModifiedBy>
  <cp:revision>4</cp:revision>
  <cp:lastPrinted>2019-06-24T07:21:00Z</cp:lastPrinted>
  <dcterms:created xsi:type="dcterms:W3CDTF">2022-06-03T03:00:00Z</dcterms:created>
  <dcterms:modified xsi:type="dcterms:W3CDTF">2022-06-03T03:00:00Z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03 Jun 2022</vt:lpwstr>
  </property>
  <property fmtid="{D5CDD505-2E9C-101B-9397-08002B2CF9AE}" pid="8" name="Suffix">
    <vt:lpwstr>02-n0-00</vt:lpwstr>
  </property>
  <property fmtid="{D5CDD505-2E9C-101B-9397-08002B2CF9AE}" pid="9" name="CommencementDate">
    <vt:lpwstr>20220603</vt:lpwstr>
  </property>
</Properties>
</file>