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_Toc104975059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_Toc104975060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_Toc104975061 \h </w:instrText>
      </w:r>
      <w:r>
        <w:fldChar w:fldCharType="separate"/>
      </w:r>
      <w:r>
        <w:t>2</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_Toc104975062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_Toc104975063 \h </w:instrText>
      </w:r>
      <w:r>
        <w:fldChar w:fldCharType="separate"/>
      </w:r>
      <w:r>
        <w:t>2</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_Toc104975064 \h </w:instrText>
      </w:r>
      <w:r>
        <w:fldChar w:fldCharType="separate"/>
      </w:r>
      <w:r>
        <w:t>3</w:t>
      </w:r>
      <w:r>
        <w:fldChar w:fldCharType="end"/>
      </w:r>
    </w:p>
    <w:p>
      <w:pPr>
        <w:pStyle w:val="TOC8"/>
        <w:rPr>
          <w:rFonts w:asciiTheme="minorHAnsi" w:eastAsiaTheme="minorEastAsia" w:hAnsiTheme="minorHAnsi" w:cstheme="minorBidi"/>
          <w:szCs w:val="22"/>
        </w:rPr>
      </w:pPr>
      <w:r>
        <w:t>3BA.</w:t>
      </w:r>
      <w:r>
        <w:tab/>
        <w:t>Alternative application procedure for certain licences</w:t>
      </w:r>
      <w:r>
        <w:tab/>
      </w:r>
      <w:r>
        <w:fldChar w:fldCharType="begin"/>
      </w:r>
      <w:r>
        <w:instrText xml:space="preserve"> PAGEREF _Toc104975065 \h </w:instrText>
      </w:r>
      <w:r>
        <w:fldChar w:fldCharType="separate"/>
      </w:r>
      <w:r>
        <w:t>3</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_Toc104975066 \h </w:instrText>
      </w:r>
      <w:r>
        <w:fldChar w:fldCharType="separate"/>
      </w:r>
      <w:r>
        <w:t>5</w:t>
      </w:r>
      <w:r>
        <w:fldChar w:fldCharType="end"/>
      </w:r>
    </w:p>
    <w:p>
      <w:pPr>
        <w:pStyle w:val="TOC8"/>
        <w:rPr>
          <w:rFonts w:asciiTheme="minorHAnsi" w:eastAsiaTheme="minorEastAsia" w:hAnsiTheme="minorHAnsi" w:cstheme="minorBidi"/>
          <w:szCs w:val="22"/>
        </w:rPr>
      </w:pPr>
      <w:r>
        <w:t>4.</w:t>
      </w:r>
      <w:r>
        <w:tab/>
        <w:t>Licences and permits, notices of renewal for</w:t>
      </w:r>
      <w:r>
        <w:tab/>
      </w:r>
      <w:r>
        <w:fldChar w:fldCharType="begin"/>
      </w:r>
      <w:r>
        <w:instrText xml:space="preserve"> PAGEREF _Toc104975067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_Toc104975068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_Toc104975069 \h </w:instrText>
      </w:r>
      <w:r>
        <w:fldChar w:fldCharType="separate"/>
      </w:r>
      <w:r>
        <w:t>7</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_Toc104975070 \h </w:instrText>
      </w:r>
      <w:r>
        <w:fldChar w:fldCharType="separate"/>
      </w:r>
      <w:r>
        <w:t>7</w:t>
      </w:r>
      <w:r>
        <w:fldChar w:fldCharType="end"/>
      </w:r>
    </w:p>
    <w:p>
      <w:pPr>
        <w:pStyle w:val="TOC8"/>
        <w:rPr>
          <w:rFonts w:asciiTheme="minorHAnsi" w:eastAsiaTheme="minorEastAsia" w:hAnsiTheme="minorHAnsi" w:cstheme="minorBidi"/>
          <w:szCs w:val="22"/>
        </w:rPr>
      </w:pPr>
      <w:r>
        <w:t>6B.</w:t>
      </w:r>
      <w:r>
        <w:tab/>
        <w:t>Kinds of firearms for penalties (Act s. 19(1))</w:t>
      </w:r>
      <w:r>
        <w:tab/>
      </w:r>
      <w:r>
        <w:fldChar w:fldCharType="begin"/>
      </w:r>
      <w:r>
        <w:instrText xml:space="preserve"> PAGEREF _Toc104975071 \h </w:instrText>
      </w:r>
      <w:r>
        <w:fldChar w:fldCharType="separate"/>
      </w:r>
      <w:r>
        <w:t>8</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_Toc104975072 \h </w:instrText>
      </w:r>
      <w:r>
        <w:fldChar w:fldCharType="separate"/>
      </w:r>
      <w:r>
        <w:t>8</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_Toc104975073 \h </w:instrText>
      </w:r>
      <w:r>
        <w:fldChar w:fldCharType="separate"/>
      </w:r>
      <w:r>
        <w:t>9</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_Toc104975074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_Toc104975075 \h </w:instrText>
      </w:r>
      <w:r>
        <w:fldChar w:fldCharType="separate"/>
      </w:r>
      <w:r>
        <w:t>10</w:t>
      </w:r>
      <w:r>
        <w:fldChar w:fldCharType="end"/>
      </w:r>
    </w:p>
    <w:p>
      <w:pPr>
        <w:pStyle w:val="TOC8"/>
        <w:rPr>
          <w:rFonts w:asciiTheme="minorHAnsi" w:eastAsiaTheme="minorEastAsia" w:hAnsiTheme="minorHAnsi" w:cstheme="minorBidi"/>
          <w:szCs w:val="22"/>
        </w:rPr>
      </w:pPr>
      <w:r>
        <w:t>6G.</w:t>
      </w:r>
      <w:r>
        <w:tab/>
        <w:t>Condition on dealer’s licence — information about close associates to be provided</w:t>
      </w:r>
      <w:r>
        <w:tab/>
      </w:r>
      <w:r>
        <w:fldChar w:fldCharType="begin"/>
      </w:r>
      <w:r>
        <w:instrText xml:space="preserve"> PAGEREF _Toc104975076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 and permits, applications for</w:t>
      </w:r>
      <w:r>
        <w:tab/>
      </w:r>
      <w:r>
        <w:fldChar w:fldCharType="begin"/>
      </w:r>
      <w:r>
        <w:instrText xml:space="preserve"> PAGEREF _Toc104975077 \h </w:instrText>
      </w:r>
      <w:r>
        <w:fldChar w:fldCharType="separate"/>
      </w:r>
      <w:r>
        <w:t>12</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_Toc104975078 \h </w:instrText>
      </w:r>
      <w:r>
        <w:fldChar w:fldCharType="separate"/>
      </w:r>
      <w:r>
        <w:t>13</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_Toc104975079 \h </w:instrText>
      </w:r>
      <w:r>
        <w:fldChar w:fldCharType="separate"/>
      </w:r>
      <w:r>
        <w:t>15</w:t>
      </w:r>
      <w:r>
        <w:fldChar w:fldCharType="end"/>
      </w:r>
    </w:p>
    <w:p>
      <w:pPr>
        <w:pStyle w:val="TOC8"/>
        <w:rPr>
          <w:rFonts w:asciiTheme="minorHAnsi" w:eastAsiaTheme="minorEastAsia" w:hAnsiTheme="minorHAnsi" w:cstheme="minorBidi"/>
          <w:szCs w:val="22"/>
        </w:rPr>
      </w:pPr>
      <w:r>
        <w:lastRenderedPageBreak/>
        <w:t>8</w:t>
      </w:r>
      <w:r>
        <w:rPr>
          <w:snapToGrid w:val="0"/>
        </w:rPr>
        <w:t>.</w:t>
      </w:r>
      <w:r>
        <w:rPr>
          <w:snapToGrid w:val="0"/>
        </w:rPr>
        <w:tab/>
        <w:t>Licences and permits, issue of duplicates</w:t>
      </w:r>
      <w:r>
        <w:tab/>
      </w:r>
      <w:r>
        <w:fldChar w:fldCharType="begin"/>
      </w:r>
      <w:r>
        <w:instrText xml:space="preserve"> PAGEREF _Toc104975080 \h </w:instrText>
      </w:r>
      <w:r>
        <w:fldChar w:fldCharType="separate"/>
      </w:r>
      <w:r>
        <w:t>15</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_Toc104975081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_Toc104975082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_Toc104975083 \h </w:instrText>
      </w:r>
      <w:r>
        <w:fldChar w:fldCharType="separate"/>
      </w:r>
      <w:r>
        <w:t>16</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_Toc104975084 \h </w:instrText>
      </w:r>
      <w:r>
        <w:fldChar w:fldCharType="separate"/>
      </w:r>
      <w:r>
        <w:t>17</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_Toc104975085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Disposal</w:t>
      </w:r>
      <w:r>
        <w:tab/>
      </w:r>
      <w:r>
        <w:fldChar w:fldCharType="begin"/>
      </w:r>
      <w:r>
        <w:instrText xml:space="preserve"> PAGEREF _Toc104975086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_Toc104975087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_Toc104975088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_Toc104975089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_Toc104975090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_Toc104975091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_Toc104975092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_Toc104975093 \h </w:instrText>
      </w:r>
      <w:r>
        <w:fldChar w:fldCharType="separate"/>
      </w:r>
      <w:r>
        <w:t>24</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_Toc104975094 \h </w:instrText>
      </w:r>
      <w:r>
        <w:fldChar w:fldCharType="separate"/>
      </w:r>
      <w:r>
        <w:t>24</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_Toc104975095 \h </w:instrText>
      </w:r>
      <w:r>
        <w:fldChar w:fldCharType="separate"/>
      </w:r>
      <w:r>
        <w:t>25</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_Toc104975096 \h </w:instrText>
      </w:r>
      <w:r>
        <w:fldChar w:fldCharType="separate"/>
      </w:r>
      <w:r>
        <w:t>26</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24(7)(b))</w:t>
      </w:r>
      <w:r>
        <w:tab/>
      </w:r>
      <w:r>
        <w:fldChar w:fldCharType="begin"/>
      </w:r>
      <w:r>
        <w:instrText xml:space="preserve"> PAGEREF _Toc104975097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_Toc104975098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_Toc104975099 \h </w:instrText>
      </w:r>
      <w:r>
        <w:fldChar w:fldCharType="separate"/>
      </w:r>
      <w:r>
        <w:t>29</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_Toc104975100 \h </w:instrText>
      </w:r>
      <w:r>
        <w:fldChar w:fldCharType="separate"/>
      </w:r>
      <w:r>
        <w:t>31</w:t>
      </w:r>
      <w:r>
        <w:fldChar w:fldCharType="end"/>
      </w:r>
    </w:p>
    <w:p>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_Toc104975101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_Toc104975102 \h </w:instrText>
      </w:r>
      <w:r>
        <w:fldChar w:fldCharType="separate"/>
      </w:r>
      <w:r>
        <w:t>33</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_Toc104975103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_Toc104975104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rPr>
          <w:bCs/>
          <w:iCs/>
        </w:rPr>
        <w:t>.</w:t>
      </w:r>
      <w:r>
        <w:rPr>
          <w:bCs/>
          <w:iCs/>
        </w:rPr>
        <w:tab/>
        <w:t>Application for licence</w:t>
      </w:r>
      <w:r>
        <w:tab/>
      </w:r>
      <w:r>
        <w:fldChar w:fldCharType="begin"/>
      </w:r>
      <w:r>
        <w:instrText xml:space="preserve"> PAGEREF _Toc104975106 \h </w:instrText>
      </w:r>
      <w:r>
        <w:fldChar w:fldCharType="separate"/>
      </w:r>
      <w:r>
        <w:t>39</w:t>
      </w:r>
      <w:r>
        <w:fldChar w:fldCharType="end"/>
      </w:r>
    </w:p>
    <w:p>
      <w:pPr>
        <w:pStyle w:val="TOC8"/>
        <w:rPr>
          <w:rFonts w:asciiTheme="minorHAnsi" w:eastAsiaTheme="minorEastAsia" w:hAnsiTheme="minorHAnsi" w:cstheme="minorBidi"/>
          <w:szCs w:val="22"/>
        </w:rPr>
      </w:pPr>
      <w:r>
        <w:t>2A.</w:t>
      </w:r>
      <w:r>
        <w:tab/>
        <w:t>Application for licence under r.  3BA</w:t>
      </w:r>
      <w:r>
        <w:tab/>
      </w:r>
      <w:r>
        <w:fldChar w:fldCharType="begin"/>
      </w:r>
      <w:r>
        <w:instrText xml:space="preserve"> PAGEREF _Toc104975107 \h </w:instrText>
      </w:r>
      <w:r>
        <w:fldChar w:fldCharType="separate"/>
      </w:r>
      <w:r>
        <w:t>51</w:t>
      </w:r>
      <w:r>
        <w:fldChar w:fldCharType="end"/>
      </w:r>
    </w:p>
    <w:p>
      <w:pPr>
        <w:pStyle w:val="TOC8"/>
        <w:rPr>
          <w:rFonts w:asciiTheme="minorHAnsi" w:eastAsiaTheme="minorEastAsia" w:hAnsiTheme="minorHAnsi" w:cstheme="minorBidi"/>
          <w:szCs w:val="22"/>
        </w:rPr>
      </w:pPr>
      <w:r>
        <w:t>2</w:t>
      </w:r>
      <w:r>
        <w:rPr>
          <w:bCs/>
          <w:iCs/>
        </w:rPr>
        <w:t>.</w:t>
      </w:r>
      <w:r>
        <w:rPr>
          <w:bCs/>
          <w:iCs/>
        </w:rPr>
        <w:tab/>
        <w:t>Firearm awareness certificate</w:t>
      </w:r>
      <w:r>
        <w:tab/>
      </w:r>
      <w:r>
        <w:fldChar w:fldCharType="begin"/>
      </w:r>
      <w:r>
        <w:instrText xml:space="preserve"> PAGEREF _Toc104975108 \h </w:instrText>
      </w:r>
      <w:r>
        <w:fldChar w:fldCharType="separate"/>
      </w:r>
      <w:r>
        <w:t>60</w:t>
      </w:r>
      <w:r>
        <w:fldChar w:fldCharType="end"/>
      </w:r>
    </w:p>
    <w:p>
      <w:pPr>
        <w:pStyle w:val="TOC8"/>
        <w:rPr>
          <w:rFonts w:asciiTheme="minorHAnsi" w:eastAsiaTheme="minorEastAsia" w:hAnsiTheme="minorHAnsi" w:cstheme="minorBidi"/>
          <w:szCs w:val="22"/>
        </w:rPr>
      </w:pPr>
      <w:r>
        <w:t>3</w:t>
      </w:r>
      <w:r>
        <w:rPr>
          <w:bCs/>
          <w:iCs/>
        </w:rPr>
        <w:t>.</w:t>
      </w:r>
      <w:r>
        <w:rPr>
          <w:bCs/>
          <w:iCs/>
        </w:rPr>
        <w:tab/>
        <w:t>Firearm serviceability certificate</w:t>
      </w:r>
      <w:r>
        <w:tab/>
      </w:r>
      <w:r>
        <w:fldChar w:fldCharType="begin"/>
      </w:r>
      <w:r>
        <w:instrText xml:space="preserve"> PAGEREF _Toc104975109 \h </w:instrText>
      </w:r>
      <w:r>
        <w:fldChar w:fldCharType="separate"/>
      </w:r>
      <w:r>
        <w:t>62</w:t>
      </w:r>
      <w:r>
        <w:fldChar w:fldCharType="end"/>
      </w:r>
    </w:p>
    <w:p>
      <w:pPr>
        <w:pStyle w:val="TOC8"/>
        <w:rPr>
          <w:rFonts w:asciiTheme="minorHAnsi" w:eastAsiaTheme="minorEastAsia" w:hAnsiTheme="minorHAnsi" w:cstheme="minorBidi"/>
          <w:szCs w:val="22"/>
        </w:rPr>
      </w:pPr>
      <w:r>
        <w:t>6.</w:t>
      </w:r>
      <w:r>
        <w:tab/>
      </w:r>
      <w:r>
        <w:rPr>
          <w:bCs/>
          <w:iCs/>
        </w:rPr>
        <w:t xml:space="preserve">Application for </w:t>
      </w:r>
      <w:r>
        <w:rPr>
          <w:bCs/>
        </w:rPr>
        <w:t>permit (Act s. 17 or 17A)</w:t>
      </w:r>
      <w:r>
        <w:tab/>
      </w:r>
      <w:r>
        <w:fldChar w:fldCharType="begin"/>
      </w:r>
      <w:r>
        <w:instrText xml:space="preserve"> PAGEREF _Toc104975110 \h </w:instrText>
      </w:r>
      <w:r>
        <w:fldChar w:fldCharType="separate"/>
      </w:r>
      <w:r>
        <w:t>64</w:t>
      </w:r>
      <w:r>
        <w:fldChar w:fldCharType="end"/>
      </w:r>
    </w:p>
    <w:p>
      <w:pPr>
        <w:pStyle w:val="TOC8"/>
        <w:rPr>
          <w:rFonts w:asciiTheme="minorHAnsi" w:eastAsiaTheme="minorEastAsia" w:hAnsiTheme="minorHAnsi" w:cstheme="minorBidi"/>
          <w:szCs w:val="22"/>
        </w:rPr>
      </w:pPr>
      <w:r>
        <w:t>7.</w:t>
      </w:r>
      <w:r>
        <w:tab/>
      </w:r>
      <w:r>
        <w:rPr>
          <w:bCs/>
          <w:iCs/>
        </w:rPr>
        <w:t>Request to police to take custody of firearm or ammunition (Act s. 33(3))</w:t>
      </w:r>
      <w:r>
        <w:tab/>
      </w:r>
      <w:r>
        <w:fldChar w:fldCharType="begin"/>
      </w:r>
      <w:r>
        <w:instrText xml:space="preserve"> PAGEREF _Toc104975111 \h </w:instrText>
      </w:r>
      <w:r>
        <w:fldChar w:fldCharType="separate"/>
      </w:r>
      <w:r>
        <w:t>69</w:t>
      </w:r>
      <w:r>
        <w:fldChar w:fldCharType="end"/>
      </w:r>
    </w:p>
    <w:p>
      <w:pPr>
        <w:pStyle w:val="TOC8"/>
        <w:rPr>
          <w:rFonts w:asciiTheme="minorHAnsi" w:eastAsiaTheme="minorEastAsia" w:hAnsiTheme="minorHAnsi" w:cstheme="minorBidi"/>
          <w:szCs w:val="22"/>
        </w:rPr>
      </w:pPr>
      <w:r>
        <w:t>8.</w:t>
      </w:r>
      <w:r>
        <w:tab/>
      </w:r>
      <w:r>
        <w:rPr>
          <w:bCs/>
          <w:iCs/>
        </w:rPr>
        <w:t>Application for issue or replacement of extract of licence (r. 7A and 8)</w:t>
      </w:r>
      <w:r>
        <w:tab/>
      </w:r>
      <w:r>
        <w:fldChar w:fldCharType="begin"/>
      </w:r>
      <w:r>
        <w:instrText xml:space="preserve"> PAGEREF _Toc104975112 \h </w:instrText>
      </w:r>
      <w:r>
        <w:fldChar w:fldCharType="separate"/>
      </w:r>
      <w:r>
        <w:t>72</w:t>
      </w:r>
      <w:r>
        <w:fldChar w:fldCharType="end"/>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_Toc104975113 \h </w:instrText>
      </w:r>
      <w:r>
        <w:fldChar w:fldCharType="separate"/>
      </w:r>
      <w:r>
        <w:t>74</w:t>
      </w:r>
      <w:r>
        <w:fldChar w:fldCharType="end"/>
      </w:r>
    </w:p>
    <w:p>
      <w:pPr>
        <w:pStyle w:val="TOC8"/>
        <w:rPr>
          <w:rFonts w:asciiTheme="minorHAnsi" w:eastAsiaTheme="minorEastAsia" w:hAnsiTheme="minorHAnsi" w:cstheme="minorBidi"/>
          <w:szCs w:val="22"/>
        </w:rPr>
      </w:pPr>
      <w:r>
        <w:lastRenderedPageBreak/>
        <w:t>10.</w:t>
      </w:r>
      <w:r>
        <w:tab/>
      </w:r>
      <w:r>
        <w:rPr>
          <w:bCs/>
          <w:iCs/>
        </w:rPr>
        <w:t>Firearm collector’s licence</w:t>
      </w:r>
      <w:r>
        <w:tab/>
      </w:r>
      <w:r>
        <w:fldChar w:fldCharType="begin"/>
      </w:r>
      <w:r>
        <w:instrText xml:space="preserve"> PAGEREF _Toc104975114 \h </w:instrText>
      </w:r>
      <w:r>
        <w:fldChar w:fldCharType="separate"/>
      </w:r>
      <w:r>
        <w:t>75</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_Toc104975115 \h </w:instrText>
      </w:r>
      <w:r>
        <w:fldChar w:fldCharType="separate"/>
      </w:r>
      <w:r>
        <w:t>76</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_Toc104975116 \h </w:instrText>
      </w:r>
      <w:r>
        <w:fldChar w:fldCharType="separate"/>
      </w:r>
      <w:r>
        <w:t>77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_Toc104975117 \h </w:instrText>
      </w:r>
      <w:r>
        <w:fldChar w:fldCharType="separate"/>
      </w:r>
      <w:r>
        <w:t>78</w:t>
      </w:r>
      <w:r>
        <w:fldChar w:fldCharType="end"/>
      </w:r>
    </w:p>
    <w:p>
      <w:pPr>
        <w:pStyle w:val="TOC8"/>
        <w:rPr>
          <w:rFonts w:asciiTheme="minorHAnsi" w:eastAsiaTheme="minorEastAsia" w:hAnsiTheme="minorHAnsi" w:cstheme="minorBidi"/>
          <w:szCs w:val="22"/>
        </w:rPr>
      </w:pPr>
      <w:r>
        <w:t>14.</w:t>
      </w:r>
      <w:r>
        <w:tab/>
      </w:r>
      <w:r>
        <w:rPr>
          <w:bCs/>
          <w:iCs/>
        </w:rPr>
        <w:t>Manufacturer’s licence</w:t>
      </w:r>
      <w:r>
        <w:tab/>
      </w:r>
      <w:r>
        <w:fldChar w:fldCharType="begin"/>
      </w:r>
      <w:r>
        <w:instrText xml:space="preserve"> PAGEREF _Toc104975118 \h </w:instrText>
      </w:r>
      <w:r>
        <w:fldChar w:fldCharType="separate"/>
      </w:r>
      <w:r>
        <w:t>79</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_Toc104975119 \h </w:instrText>
      </w:r>
      <w:r>
        <w:fldChar w:fldCharType="separate"/>
      </w:r>
      <w:r>
        <w:t>80</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_Toc104975120 \h </w:instrText>
      </w:r>
      <w:r>
        <w:fldChar w:fldCharType="separate"/>
      </w:r>
      <w:r>
        <w:t>81</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_Toc104975121 \h </w:instrText>
      </w:r>
      <w:r>
        <w:fldChar w:fldCharType="separate"/>
      </w:r>
      <w:r>
        <w:t>82</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_Toc104975122 \h </w:instrText>
      </w:r>
      <w:r>
        <w:fldChar w:fldCharType="separate"/>
      </w:r>
      <w:r>
        <w:t>84</w:t>
      </w:r>
      <w:r>
        <w:fldChar w:fldCharType="end"/>
      </w:r>
    </w:p>
    <w:p>
      <w:pPr>
        <w:pStyle w:val="TOC8"/>
        <w:rPr>
          <w:rFonts w:asciiTheme="minorHAnsi" w:eastAsiaTheme="minorEastAsia" w:hAnsiTheme="minorHAnsi" w:cstheme="minorBidi"/>
          <w:szCs w:val="22"/>
        </w:rPr>
      </w:pPr>
      <w:r>
        <w:t>19.</w:t>
      </w:r>
      <w:r>
        <w:tab/>
      </w:r>
      <w:r>
        <w:rPr>
          <w:bCs/>
          <w:iCs/>
        </w:rPr>
        <w:t>Ammunition sales book (r. 17)</w:t>
      </w:r>
      <w:r>
        <w:tab/>
      </w:r>
      <w:r>
        <w:fldChar w:fldCharType="begin"/>
      </w:r>
      <w:r>
        <w:instrText xml:space="preserve"> PAGEREF _Toc104975123 \h </w:instrText>
      </w:r>
      <w:r>
        <w:fldChar w:fldCharType="separate"/>
      </w:r>
      <w:r>
        <w:t>86</w:t>
      </w:r>
      <w:r>
        <w:fldChar w:fldCharType="end"/>
      </w:r>
    </w:p>
    <w:p>
      <w:pPr>
        <w:pStyle w:val="TOC8"/>
        <w:rPr>
          <w:rFonts w:asciiTheme="minorHAnsi" w:eastAsiaTheme="minorEastAsia" w:hAnsiTheme="minorHAnsi" w:cstheme="minorBidi"/>
          <w:szCs w:val="22"/>
        </w:rPr>
      </w:pPr>
      <w:r>
        <w:t>20.</w:t>
      </w:r>
      <w:r>
        <w:tab/>
      </w:r>
      <w:r>
        <w:rPr>
          <w:bCs/>
          <w:iCs/>
        </w:rPr>
        <w:t>Monthly return by dealer or repairer (stock received) (r. 18)</w:t>
      </w:r>
      <w:r>
        <w:tab/>
      </w:r>
      <w:r>
        <w:fldChar w:fldCharType="begin"/>
      </w:r>
      <w:r>
        <w:instrText xml:space="preserve"> PAGEREF _Toc104975124 \h </w:instrText>
      </w:r>
      <w:r>
        <w:fldChar w:fldCharType="separate"/>
      </w:r>
      <w:r>
        <w:t>87</w:t>
      </w:r>
      <w:r>
        <w:fldChar w:fldCharType="end"/>
      </w:r>
    </w:p>
    <w:p>
      <w:pPr>
        <w:pStyle w:val="TOC8"/>
        <w:rPr>
          <w:rFonts w:asciiTheme="minorHAnsi" w:eastAsiaTheme="minorEastAsia" w:hAnsiTheme="minorHAnsi" w:cstheme="minorBidi"/>
          <w:szCs w:val="22"/>
        </w:rPr>
      </w:pPr>
      <w:r>
        <w:t>21.</w:t>
      </w:r>
      <w:r>
        <w:tab/>
      </w:r>
      <w:r>
        <w:rPr>
          <w:bCs/>
          <w:iCs/>
        </w:rPr>
        <w:t>Monthly return by dealer or repairer (stock outgoing) (r. 18)</w:t>
      </w:r>
      <w:r>
        <w:tab/>
      </w:r>
      <w:r>
        <w:fldChar w:fldCharType="begin"/>
      </w:r>
      <w:r>
        <w:instrText xml:space="preserve"> PAGEREF _Toc104975125 \h </w:instrText>
      </w:r>
      <w:r>
        <w:fldChar w:fldCharType="separate"/>
      </w:r>
      <w:r>
        <w:t>89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_Toc104975126 \h </w:instrText>
      </w:r>
      <w:r>
        <w:fldChar w:fldCharType="separate"/>
      </w:r>
      <w:r>
        <w:t>91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_Toc104975127 \h </w:instrText>
      </w:r>
      <w:r>
        <w:fldChar w:fldCharType="separate"/>
      </w:r>
      <w:r>
        <w:t>93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_Toc104975128 \h </w:instrText>
      </w:r>
      <w:r>
        <w:fldChar w:fldCharType="separate"/>
      </w:r>
      <w:r>
        <w:t>94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_Toc104975129 \h </w:instrText>
      </w:r>
      <w:r>
        <w:fldChar w:fldCharType="separate"/>
      </w:r>
      <w:r>
        <w:t>95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_Toc104975130 \h </w:instrText>
      </w:r>
      <w:r>
        <w:fldChar w:fldCharType="separate"/>
      </w:r>
      <w:r>
        <w:t>96</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_Toc104975131 \h </w:instrText>
      </w:r>
      <w:r>
        <w:fldChar w:fldCharType="separate"/>
      </w:r>
      <w:r>
        <w:t>97</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_Toc104975132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1A — Fees</w:t>
      </w:r>
    </w:p>
    <w:p>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_Toc104975137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_Toc104975139 \h </w:instrText>
      </w:r>
      <w:r>
        <w:fldChar w:fldCharType="separate"/>
      </w:r>
      <w:r>
        <w:t>104</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_Toc104975140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_Toc104975142 \h </w:instrText>
      </w:r>
      <w:r>
        <w:fldChar w:fldCharType="separate"/>
      </w:r>
      <w:r>
        <w:t>105</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_Toc104975143 \h </w:instrText>
      </w:r>
      <w:r>
        <w:fldChar w:fldCharType="separate"/>
      </w:r>
      <w:r>
        <w:t>105</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_Toc104975144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_Toc104975146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8.</w:t>
      </w:r>
      <w:r>
        <w:tab/>
        <w:t>Genuine need test for category D</w:t>
      </w:r>
      <w:r>
        <w:tab/>
      </w:r>
      <w:r>
        <w:fldChar w:fldCharType="begin"/>
      </w:r>
      <w:r>
        <w:instrText xml:space="preserve"> PAGEREF _Toc104975147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_Toc104975149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_Toc104975151 \h </w:instrText>
      </w:r>
      <w:r>
        <w:fldChar w:fldCharType="separate"/>
      </w:r>
      <w:r>
        <w:t>108</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_Toc104975152 \h </w:instrText>
      </w:r>
      <w:r>
        <w:fldChar w:fldCharType="separate"/>
      </w:r>
      <w:r>
        <w:t>109</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_Toc104975153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_Toc104975155 \h </w:instrText>
      </w:r>
      <w:r>
        <w:fldChar w:fldCharType="separate"/>
      </w:r>
      <w:r>
        <w:t>114</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_Toc104975156 \h </w:instrText>
      </w:r>
      <w:r>
        <w:fldChar w:fldCharType="separate"/>
      </w:r>
      <w:r>
        <w:t>114</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_Toc104975157 \h </w:instrText>
      </w:r>
      <w:r>
        <w:fldChar w:fldCharType="separate"/>
      </w:r>
      <w:r>
        <w:t>115</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_Toc104975158 \h </w:instrText>
      </w:r>
      <w:r>
        <w:fldChar w:fldCharType="separate"/>
      </w:r>
      <w:r>
        <w:t>115</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_Toc104975159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_Toc104975161 \h </w:instrText>
      </w:r>
      <w:r>
        <w:fldChar w:fldCharType="separate"/>
      </w:r>
      <w:r>
        <w:t>117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_Toc104975162 \h </w:instrText>
      </w:r>
      <w:r>
        <w:fldChar w:fldCharType="separate"/>
      </w:r>
      <w:r>
        <w:t>123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_Toc104975163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3" w:name="_Toc104975059"/>
      <w:r>
        <w:rPr>
          <w:rStyle w:val="CharSectno"/>
        </w:rPr>
        <w:t>1</w:t>
      </w:r>
      <w:r>
        <w:rPr>
          <w:snapToGrid w:val="0"/>
        </w:rPr>
        <w:t>.</w:t>
      </w:r>
      <w:r>
        <w:rPr>
          <w:snapToGrid w:val="0"/>
        </w:rPr>
        <w:tab/>
        <w:t>Citation</w:t>
      </w:r>
      <w:bookmarkEnd w:id="3"/>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4" w:name="_Toc104975060"/>
      <w:r>
        <w:rPr>
          <w:rStyle w:val="CharSectno"/>
        </w:rPr>
        <w:t>2</w:t>
      </w:r>
      <w:r>
        <w:rPr>
          <w:snapToGrid w:val="0"/>
        </w:rPr>
        <w:t>.</w:t>
      </w:r>
      <w:r>
        <w:rPr>
          <w:snapToGrid w:val="0"/>
        </w:rPr>
        <w:tab/>
        <w:t>Terms used</w:t>
      </w:r>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 xml:space="preserve">18; 31 Aug 2010 p. 4184.] </w:t>
      </w:r>
    </w:p>
    <w:p>
      <w:pPr>
        <w:pStyle w:val="Heading5"/>
      </w:pPr>
      <w:bookmarkStart w:id="5" w:name="_Toc104975061"/>
      <w:r>
        <w:rPr>
          <w:rStyle w:val="CharSectno"/>
        </w:rPr>
        <w:lastRenderedPageBreak/>
        <w:t>2A</w:t>
      </w:r>
      <w:r>
        <w:t>.</w:t>
      </w:r>
      <w:r>
        <w:tab/>
        <w:t>Prescribed paintball guns and paintball pellets (</w:t>
      </w:r>
      <w:r>
        <w:rPr>
          <w:szCs w:val="24"/>
        </w:rPr>
        <w:t>Act</w:t>
      </w:r>
      <w:r>
        <w:t> s. 4, 8(1), 11A(2) and 19AA(2))</w:t>
      </w:r>
      <w:bookmarkEnd w:id="5"/>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not less than 0.4 and not more than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that —</w:t>
      </w:r>
    </w:p>
    <w:p>
      <w:pPr>
        <w:pStyle w:val="Indenta"/>
      </w:pPr>
      <w:r>
        <w:tab/>
        <w:t>(a)</w:t>
      </w:r>
      <w:r>
        <w:tab/>
        <w:t>have a diameter of not less than 10 mm and not more than 17.27 mm; and</w:t>
      </w:r>
    </w:p>
    <w:p>
      <w:pPr>
        <w:pStyle w:val="Indenta"/>
      </w:pPr>
      <w:r>
        <w:tab/>
        <w:t>(b)</w:t>
      </w:r>
      <w:r>
        <w:tab/>
        <w:t>are filled with a water</w:t>
      </w:r>
      <w:r>
        <w:noBreakHyphen/>
        <w:t>soluble marking dye of any colour except red or brown.</w:t>
      </w:r>
    </w:p>
    <w:p>
      <w:pPr>
        <w:pStyle w:val="Footnotesection"/>
      </w:pPr>
      <w:r>
        <w:tab/>
        <w:t>[Regulation 2A inserted: Gazette 24 Dec 2004 p. 6267</w:t>
      </w:r>
      <w:r>
        <w:noBreakHyphen/>
        <w:t xml:space="preserve">8; amended: SL 2022/40 r. 4.] </w:t>
      </w:r>
    </w:p>
    <w:p>
      <w:pPr>
        <w:pStyle w:val="Heading5"/>
      </w:pPr>
      <w:bookmarkStart w:id="6" w:name="_Toc104975062"/>
      <w:r>
        <w:rPr>
          <w:rStyle w:val="CharSectno"/>
        </w:rPr>
        <w:t>2B</w:t>
      </w:r>
      <w:r>
        <w:t>.</w:t>
      </w:r>
      <w:r>
        <w:tab/>
        <w:t>Prescribed amount of money (</w:t>
      </w:r>
      <w:r>
        <w:rPr>
          <w:szCs w:val="24"/>
        </w:rPr>
        <w:t>Act</w:t>
      </w:r>
      <w:r>
        <w:t xml:space="preserve"> s. 19(1ab))</w:t>
      </w:r>
      <w:bookmarkEnd w:id="6"/>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w:t>
      </w:r>
    </w:p>
    <w:p>
      <w:pPr>
        <w:pStyle w:val="Heading5"/>
        <w:keepLines w:val="0"/>
        <w:rPr>
          <w:snapToGrid w:val="0"/>
        </w:rPr>
      </w:pPr>
      <w:bookmarkStart w:id="7" w:name="_Toc104975063"/>
      <w:r>
        <w:rPr>
          <w:rStyle w:val="CharSectno"/>
        </w:rPr>
        <w:t>3</w:t>
      </w:r>
      <w:r>
        <w:rPr>
          <w:snapToGrid w:val="0"/>
        </w:rPr>
        <w:t>.</w:t>
      </w:r>
      <w:r>
        <w:rPr>
          <w:snapToGrid w:val="0"/>
        </w:rPr>
        <w:tab/>
        <w:t>Forms (Sch. 1)</w:t>
      </w:r>
      <w:bookmarkEnd w:id="7"/>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8" w:name="_Toc104975064"/>
      <w:r>
        <w:rPr>
          <w:rStyle w:val="CharSectno"/>
        </w:rPr>
        <w:lastRenderedPageBreak/>
        <w:t>3A</w:t>
      </w:r>
      <w:r>
        <w:t>.</w:t>
      </w:r>
      <w:r>
        <w:tab/>
        <w:t>Applying for licence or permit</w:t>
      </w:r>
      <w:bookmarkEnd w:id="8"/>
    </w:p>
    <w:p>
      <w:pPr>
        <w:pStyle w:val="Subsection"/>
        <w:keepNext/>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w:t>
      </w:r>
    </w:p>
    <w:p>
      <w:pPr>
        <w:pStyle w:val="Heading5"/>
      </w:pPr>
      <w:bookmarkStart w:id="9" w:name="_Toc104975065"/>
      <w:r>
        <w:rPr>
          <w:rStyle w:val="CharSectno"/>
        </w:rPr>
        <w:t>3BA</w:t>
      </w:r>
      <w:r>
        <w:t>.</w:t>
      </w:r>
      <w:r>
        <w:tab/>
        <w:t>Alternative application procedure for certain licences</w:t>
      </w:r>
      <w:bookmarkEnd w:id="9"/>
    </w:p>
    <w:p>
      <w:pPr>
        <w:pStyle w:val="Subsection"/>
        <w:keepNext/>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keepNext/>
      </w:pPr>
      <w:r>
        <w:lastRenderedPageBreak/>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w:t>
      </w:r>
    </w:p>
    <w:p>
      <w:pPr>
        <w:pStyle w:val="Subsection"/>
      </w:pPr>
      <w:r>
        <w:tab/>
        <w:t>(6)</w:t>
      </w:r>
      <w:r>
        <w:tab/>
        <w:t>Regulation 7(1) and (3) do not apply to an application.</w:t>
      </w:r>
    </w:p>
    <w:p>
      <w:pPr>
        <w:pStyle w:val="Subsection"/>
      </w:pPr>
      <w:r>
        <w:lastRenderedPageBreak/>
        <w:tab/>
        <w:t>(7)</w:t>
      </w:r>
      <w:r>
        <w:tab/>
        <w:t>An application must be sent by post, or delivered, to the Western Australia Police Licensing Enforcement Division, 297 Hay Street, East Perth, Western Australia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Gazette 5 Jul 2011 p. 2826</w:t>
      </w:r>
      <w:r>
        <w:noBreakHyphen/>
        <w:t>7.]</w:t>
      </w:r>
    </w:p>
    <w:p>
      <w:pPr>
        <w:pStyle w:val="Heading5"/>
      </w:pPr>
      <w:bookmarkStart w:id="10" w:name="_Toc104975066"/>
      <w:r>
        <w:rPr>
          <w:rStyle w:val="CharSectno"/>
        </w:rPr>
        <w:t>3B</w:t>
      </w:r>
      <w:r>
        <w:t>.</w:t>
      </w:r>
      <w:r>
        <w:tab/>
        <w:t>Licences and permits, issue and renewal of</w:t>
      </w:r>
      <w:bookmarkEnd w:id="10"/>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Lines/>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lastRenderedPageBreak/>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1" w:name="_Toc104975067"/>
      <w:r>
        <w:rPr>
          <w:rStyle w:val="CharSectno"/>
        </w:rPr>
        <w:t>4</w:t>
      </w:r>
      <w:r>
        <w:t>.</w:t>
      </w:r>
      <w:r>
        <w:tab/>
        <w:t>Licences and permits, notices of renewal for</w:t>
      </w:r>
      <w:bookmarkEnd w:id="11"/>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w:t>
      </w:r>
    </w:p>
    <w:p>
      <w:pPr>
        <w:pStyle w:val="Heading5"/>
        <w:keepLines w:val="0"/>
        <w:rPr>
          <w:snapToGrid w:val="0"/>
        </w:rPr>
      </w:pPr>
      <w:bookmarkStart w:id="12" w:name="_Toc104975068"/>
      <w:r>
        <w:rPr>
          <w:rStyle w:val="CharSectno"/>
        </w:rPr>
        <w:t>4A</w:t>
      </w:r>
      <w:r>
        <w:rPr>
          <w:snapToGrid w:val="0"/>
        </w:rPr>
        <w:t>.</w:t>
      </w:r>
      <w:r>
        <w:rPr>
          <w:snapToGrid w:val="0"/>
        </w:rPr>
        <w:tab/>
      </w:r>
      <w:r>
        <w:rPr>
          <w:snapToGrid w:val="0"/>
          <w:spacing w:val="-4"/>
        </w:rPr>
        <w:t>Ammunition excluded from ammunition collector’s licence</w:t>
      </w:r>
      <w:bookmarkEnd w:id="12"/>
    </w:p>
    <w:p>
      <w:pPr>
        <w:pStyle w:val="Subsection"/>
        <w:keepNext/>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13" w:name="_Toc104975069"/>
      <w:r>
        <w:rPr>
          <w:rStyle w:val="CharSectno"/>
        </w:rPr>
        <w:lastRenderedPageBreak/>
        <w:t>6</w:t>
      </w:r>
      <w:r>
        <w:rPr>
          <w:snapToGrid w:val="0"/>
        </w:rPr>
        <w:t>.</w:t>
      </w:r>
      <w:r>
        <w:rPr>
          <w:snapToGrid w:val="0"/>
        </w:rPr>
        <w:tab/>
        <w:t xml:space="preserve">Licences and permits </w:t>
      </w:r>
      <w:r>
        <w:t>—</w:t>
      </w:r>
      <w:r>
        <w:rPr>
          <w:snapToGrid w:val="0"/>
        </w:rPr>
        <w:t xml:space="preserve"> restrictions, limitations and conditions</w:t>
      </w:r>
      <w:bookmarkEnd w:id="13"/>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keepNext/>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Gazette 6 Dec 1996 p. 6797.] </w:t>
      </w:r>
    </w:p>
    <w:p>
      <w:pPr>
        <w:pStyle w:val="Heading5"/>
        <w:keepNext w:val="0"/>
        <w:keepLines w:val="0"/>
        <w:rPr>
          <w:snapToGrid w:val="0"/>
        </w:rPr>
      </w:pPr>
      <w:bookmarkStart w:id="14" w:name="_Toc104975070"/>
      <w:r>
        <w:rPr>
          <w:rStyle w:val="CharSectno"/>
        </w:rPr>
        <w:t>6A</w:t>
      </w:r>
      <w:r>
        <w:rPr>
          <w:snapToGrid w:val="0"/>
        </w:rPr>
        <w:t>.</w:t>
      </w:r>
      <w:r>
        <w:rPr>
          <w:snapToGrid w:val="0"/>
        </w:rPr>
        <w:tab/>
        <w:t>Categories of firearms (Sch. 3)</w:t>
      </w:r>
      <w:bookmarkEnd w:id="14"/>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lastRenderedPageBreak/>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w:t>
      </w:r>
    </w:p>
    <w:p>
      <w:pPr>
        <w:pStyle w:val="Heading5"/>
        <w:spacing w:before="180"/>
        <w:rPr>
          <w:rStyle w:val="CharSectno"/>
        </w:rPr>
      </w:pPr>
      <w:bookmarkStart w:id="15" w:name="_Toc104975071"/>
      <w:r>
        <w:rPr>
          <w:rStyle w:val="CharSectno"/>
        </w:rPr>
        <w:t>6B</w:t>
      </w:r>
      <w:r>
        <w:t>.</w:t>
      </w:r>
      <w:r>
        <w:rPr>
          <w:rStyle w:val="CharSectno"/>
        </w:rPr>
        <w:tab/>
      </w:r>
      <w:r>
        <w:t>Kinds of firearms for penalties (Act s. 19(1))</w:t>
      </w:r>
      <w:bookmarkEnd w:id="15"/>
      <w:r>
        <w:t xml:space="preserve"> </w:t>
      </w:r>
    </w:p>
    <w:p>
      <w:pPr>
        <w:pStyle w:val="Subsection"/>
        <w:keepNext/>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16" w:name="_Toc104975072"/>
      <w:r>
        <w:rPr>
          <w:rStyle w:val="CharSectno"/>
        </w:rPr>
        <w:t>6C</w:t>
      </w:r>
      <w:r>
        <w:t>.</w:t>
      </w:r>
      <w:r>
        <w:tab/>
        <w:t>Terms used</w:t>
      </w:r>
      <w:bookmarkEnd w:id="16"/>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lastRenderedPageBreak/>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17" w:name="_Toc104975073"/>
      <w:r>
        <w:rPr>
          <w:rStyle w:val="CharSectno"/>
        </w:rPr>
        <w:t>6D</w:t>
      </w:r>
      <w:r>
        <w:t>.</w:t>
      </w:r>
      <w:r>
        <w:tab/>
        <w:t>Information about close associates of applicant for issue or renewal of dealer’s licence</w:t>
      </w:r>
      <w:bookmarkEnd w:id="17"/>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18" w:name="_Toc104975074"/>
      <w:r>
        <w:rPr>
          <w:rStyle w:val="CharSectno"/>
        </w:rPr>
        <w:lastRenderedPageBreak/>
        <w:t>6E</w:t>
      </w:r>
      <w:r>
        <w:t>.</w:t>
      </w:r>
      <w:r>
        <w:tab/>
        <w:t>Dealer’s licences — restrictions on issue</w:t>
      </w:r>
      <w:bookmarkEnd w:id="18"/>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Next w:val="0"/>
        <w:keepLines w:val="0"/>
        <w:spacing w:before="260"/>
      </w:pPr>
      <w:bookmarkStart w:id="19" w:name="_Toc104975075"/>
      <w:r>
        <w:rPr>
          <w:rStyle w:val="CharSectno"/>
        </w:rPr>
        <w:t>6F</w:t>
      </w:r>
      <w:r>
        <w:t>.</w:t>
      </w:r>
      <w:r>
        <w:tab/>
        <w:t>Condition on dealer’s licence — persons not to be involved in firearms dealing business</w:t>
      </w:r>
      <w:bookmarkEnd w:id="19"/>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 xml:space="preserve">has, within the period of 10 years before being employed in that business, had his or her application for a licence, permit or approval refused by the </w:t>
      </w:r>
      <w:r>
        <w:lastRenderedPageBreak/>
        <w:t>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lastRenderedPageBreak/>
        <w:tab/>
        <w:t>[Regulation 6F inserted: Gazette 12 Aug 2003 p. 3667</w:t>
      </w:r>
      <w:r>
        <w:noBreakHyphen/>
        <w:t xml:space="preserve">8; amended: Gazette 23 Apr 2010 p. 1524.] </w:t>
      </w:r>
    </w:p>
    <w:p>
      <w:pPr>
        <w:pStyle w:val="Heading5"/>
        <w:spacing w:before="180"/>
      </w:pPr>
      <w:bookmarkStart w:id="20" w:name="_Toc104975076"/>
      <w:r>
        <w:rPr>
          <w:rStyle w:val="CharSectno"/>
        </w:rPr>
        <w:t>6G</w:t>
      </w:r>
      <w:r>
        <w:t>.</w:t>
      </w:r>
      <w:r>
        <w:tab/>
        <w:t>Condition on dealer’s licence — information about close associates to be provided</w:t>
      </w:r>
      <w:bookmarkEnd w:id="20"/>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Lines w:val="0"/>
        <w:spacing w:before="180"/>
        <w:rPr>
          <w:snapToGrid w:val="0"/>
        </w:rPr>
      </w:pPr>
      <w:bookmarkStart w:id="21" w:name="_Toc104975077"/>
      <w:r>
        <w:rPr>
          <w:rStyle w:val="CharSectno"/>
        </w:rPr>
        <w:t>7</w:t>
      </w:r>
      <w:r>
        <w:rPr>
          <w:snapToGrid w:val="0"/>
        </w:rPr>
        <w:t>.</w:t>
      </w:r>
      <w:r>
        <w:rPr>
          <w:snapToGrid w:val="0"/>
        </w:rPr>
        <w:tab/>
        <w:t>Licences and permits, applications for</w:t>
      </w:r>
      <w:bookmarkEnd w:id="21"/>
      <w:r>
        <w:rPr>
          <w:snapToGrid w:val="0"/>
        </w:rPr>
        <w:t xml:space="preserve"> </w:t>
      </w:r>
    </w:p>
    <w:p>
      <w:pPr>
        <w:pStyle w:val="Subsection"/>
        <w:keepNext/>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keepNext/>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lastRenderedPageBreak/>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2" w:name="_Toc104975078"/>
      <w:r>
        <w:rPr>
          <w:rStyle w:val="CharSectno"/>
        </w:rPr>
        <w:t>7A</w:t>
      </w:r>
      <w:r>
        <w:rPr>
          <w:snapToGrid w:val="0"/>
        </w:rPr>
        <w:t>.</w:t>
      </w:r>
      <w:r>
        <w:rPr>
          <w:snapToGrid w:val="0"/>
        </w:rPr>
        <w:tab/>
        <w:t>Extract of licence</w:t>
      </w:r>
      <w:bookmarkEnd w:id="22"/>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keepNext/>
        <w:spacing w:before="60"/>
      </w:pPr>
      <w:r>
        <w:lastRenderedPageBreak/>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 xml:space="preserve">A requirement may be made under this regulation even though the person whose photograph is required is already the holder of </w:t>
      </w:r>
      <w:r>
        <w:rPr>
          <w:snapToGrid w:val="0"/>
        </w:rPr>
        <w:lastRenderedPageBreak/>
        <w:t>an extract of licence if the Commissioner thinks that another photograph should be obtained.</w:t>
      </w:r>
    </w:p>
    <w:p>
      <w:pPr>
        <w:pStyle w:val="Footnotesection"/>
      </w:pPr>
      <w:r>
        <w:tab/>
        <w:t xml:space="preserve">[Regulation 7A inserted: Gazette 6 Dec 1996 p. 6799; amended: Gazette 16 Nov 2007 p. 5729.] </w:t>
      </w:r>
    </w:p>
    <w:p>
      <w:pPr>
        <w:pStyle w:val="Heading5"/>
        <w:rPr>
          <w:snapToGrid w:val="0"/>
        </w:rPr>
      </w:pPr>
      <w:bookmarkStart w:id="23" w:name="_Toc104975079"/>
      <w:r>
        <w:rPr>
          <w:rStyle w:val="CharSectno"/>
        </w:rPr>
        <w:t>7B</w:t>
      </w:r>
      <w:r>
        <w:rPr>
          <w:snapToGrid w:val="0"/>
        </w:rPr>
        <w:t>.</w:t>
      </w:r>
      <w:r>
        <w:rPr>
          <w:snapToGrid w:val="0"/>
        </w:rPr>
        <w:tab/>
        <w:t>Identity check</w:t>
      </w:r>
      <w:bookmarkEnd w:id="2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Gazette 6 Dec 1996 p. 6799; amended: Gazette 6 Nov 2009 p. 4419.] </w:t>
      </w:r>
    </w:p>
    <w:p>
      <w:pPr>
        <w:pStyle w:val="Heading5"/>
        <w:rPr>
          <w:snapToGrid w:val="0"/>
        </w:rPr>
      </w:pPr>
      <w:bookmarkStart w:id="24" w:name="_Toc104975080"/>
      <w:r>
        <w:rPr>
          <w:rStyle w:val="CharSectno"/>
        </w:rPr>
        <w:t>8</w:t>
      </w:r>
      <w:r>
        <w:rPr>
          <w:snapToGrid w:val="0"/>
        </w:rPr>
        <w:t>.</w:t>
      </w:r>
      <w:r>
        <w:rPr>
          <w:snapToGrid w:val="0"/>
        </w:rPr>
        <w:tab/>
        <w:t>Licences and permits, issue of duplicates</w:t>
      </w:r>
      <w:bookmarkEnd w:id="24"/>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keepLines/>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25" w:name="_Toc104975081"/>
      <w:r>
        <w:rPr>
          <w:rStyle w:val="CharSectno"/>
        </w:rPr>
        <w:lastRenderedPageBreak/>
        <w:t>9</w:t>
      </w:r>
      <w:r>
        <w:t>.</w:t>
      </w:r>
      <w:r>
        <w:tab/>
        <w:t>Notification of certain events by licence and permit holders</w:t>
      </w:r>
      <w:bookmarkEnd w:id="25"/>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Gazette 6 Nov 2009 p. 4420.] </w:t>
      </w:r>
    </w:p>
    <w:p>
      <w:pPr>
        <w:pStyle w:val="Heading5"/>
        <w:spacing w:before="260"/>
        <w:rPr>
          <w:snapToGrid w:val="0"/>
        </w:rPr>
      </w:pPr>
      <w:bookmarkStart w:id="26" w:name="_Toc104975082"/>
      <w:r>
        <w:rPr>
          <w:rStyle w:val="CharSectno"/>
        </w:rPr>
        <w:t>10</w:t>
      </w:r>
      <w:r>
        <w:rPr>
          <w:snapToGrid w:val="0"/>
        </w:rPr>
        <w:t>.</w:t>
      </w:r>
      <w:r>
        <w:rPr>
          <w:snapToGrid w:val="0"/>
        </w:rPr>
        <w:tab/>
        <w:t>Guided hunting tours</w:t>
      </w:r>
      <w:bookmarkEnd w:id="26"/>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keepNext/>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Gazette 6 Dec 1996 p. 6800.] </w:t>
      </w:r>
    </w:p>
    <w:p>
      <w:pPr>
        <w:pStyle w:val="Heading5"/>
        <w:rPr>
          <w:snapToGrid w:val="0"/>
        </w:rPr>
      </w:pPr>
      <w:bookmarkStart w:id="27" w:name="_Toc104975083"/>
      <w:r>
        <w:rPr>
          <w:rStyle w:val="CharSectno"/>
        </w:rPr>
        <w:t>11</w:t>
      </w:r>
      <w:r>
        <w:rPr>
          <w:snapToGrid w:val="0"/>
        </w:rPr>
        <w:t>.</w:t>
      </w:r>
      <w:r>
        <w:rPr>
          <w:snapToGrid w:val="0"/>
        </w:rPr>
        <w:tab/>
        <w:t>Safe custody (Act s. 33(3))</w:t>
      </w:r>
      <w:bookmarkEnd w:id="27"/>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lastRenderedPageBreak/>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8" w:name="_Toc104975084"/>
      <w:r>
        <w:rPr>
          <w:rStyle w:val="CharSectno"/>
        </w:rPr>
        <w:t>11A</w:t>
      </w:r>
      <w:r>
        <w:rPr>
          <w:snapToGrid w:val="0"/>
        </w:rPr>
        <w:t>.</w:t>
      </w:r>
      <w:r>
        <w:rPr>
          <w:snapToGrid w:val="0"/>
        </w:rPr>
        <w:tab/>
        <w:t>Storage security requirements (Sch. 4)</w:t>
      </w:r>
      <w:bookmarkEnd w:id="28"/>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lastRenderedPageBreak/>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keepNext/>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9" w:name="_Toc104975085"/>
      <w:r>
        <w:rPr>
          <w:rStyle w:val="CharSectno"/>
        </w:rPr>
        <w:lastRenderedPageBreak/>
        <w:t>11C</w:t>
      </w:r>
      <w:r>
        <w:rPr>
          <w:snapToGrid w:val="0"/>
        </w:rPr>
        <w:t>.</w:t>
      </w:r>
      <w:r>
        <w:rPr>
          <w:snapToGrid w:val="0"/>
        </w:rPr>
        <w:tab/>
        <w:t>Declaration as to storage facilities</w:t>
      </w:r>
      <w:bookmarkEnd w:id="29"/>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keepLines w:val="0"/>
        <w:spacing w:before="180"/>
        <w:rPr>
          <w:snapToGrid w:val="0"/>
        </w:rPr>
      </w:pPr>
      <w:bookmarkStart w:id="30" w:name="_Toc104975086"/>
      <w:r>
        <w:rPr>
          <w:rStyle w:val="CharSectno"/>
        </w:rPr>
        <w:t>12</w:t>
      </w:r>
      <w:r>
        <w:rPr>
          <w:snapToGrid w:val="0"/>
        </w:rPr>
        <w:t>.</w:t>
      </w:r>
      <w:r>
        <w:rPr>
          <w:snapToGrid w:val="0"/>
        </w:rPr>
        <w:tab/>
        <w:t>Disposal</w:t>
      </w:r>
      <w:bookmarkEnd w:id="30"/>
      <w:r>
        <w:rPr>
          <w:snapToGrid w:val="0"/>
        </w:rPr>
        <w:t xml:space="preserve"> </w:t>
      </w:r>
    </w:p>
    <w:p>
      <w:pPr>
        <w:pStyle w:val="Subsection"/>
        <w:keepNext/>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keepNext/>
        <w:rPr>
          <w:snapToGrid w:val="0"/>
        </w:rPr>
      </w:pPr>
      <w:r>
        <w:rPr>
          <w:snapToGrid w:val="0"/>
        </w:rPr>
        <w:tab/>
        <w:t>(a)</w:t>
      </w:r>
      <w:r>
        <w:rPr>
          <w:snapToGrid w:val="0"/>
        </w:rPr>
        <w:tab/>
        <w:t>where the firearm or ammunition is suitable, enter and retain it in the Police Department Armoury and Ballistics Library; or</w:t>
      </w:r>
    </w:p>
    <w:p>
      <w:pPr>
        <w:pStyle w:val="Indenta"/>
      </w:pPr>
      <w:r>
        <w:tab/>
        <w:t>(b)</w:t>
      </w:r>
      <w:r>
        <w:tab/>
        <w:t>sell the firearm or ammunition; or</w:t>
      </w:r>
    </w:p>
    <w:p>
      <w:pPr>
        <w:pStyle w:val="Indenta"/>
        <w:keepNext/>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Gazette 6 Dec 1996 p. 6802; SL 2020/248 r. 4.] </w:t>
      </w:r>
    </w:p>
    <w:p>
      <w:pPr>
        <w:pStyle w:val="Heading5"/>
        <w:spacing w:before="180"/>
        <w:rPr>
          <w:snapToGrid w:val="0"/>
        </w:rPr>
      </w:pPr>
      <w:bookmarkStart w:id="31" w:name="_Toc104975087"/>
      <w:r>
        <w:rPr>
          <w:rStyle w:val="CharSectno"/>
        </w:rPr>
        <w:t>13</w:t>
      </w:r>
      <w:r>
        <w:rPr>
          <w:snapToGrid w:val="0"/>
        </w:rPr>
        <w:t>.</w:t>
      </w:r>
      <w:r>
        <w:rPr>
          <w:snapToGrid w:val="0"/>
        </w:rPr>
        <w:tab/>
        <w:t>Revocation of licence</w:t>
      </w:r>
      <w:bookmarkEnd w:id="31"/>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Gazette 30 Dec 2004 p. 6974.] </w:t>
      </w:r>
    </w:p>
    <w:p>
      <w:pPr>
        <w:pStyle w:val="Heading5"/>
        <w:keepNext w:val="0"/>
        <w:keepLines w:val="0"/>
        <w:spacing w:before="180"/>
        <w:rPr>
          <w:snapToGrid w:val="0"/>
        </w:rPr>
      </w:pPr>
      <w:bookmarkStart w:id="32" w:name="_Toc104975088"/>
      <w:r>
        <w:rPr>
          <w:rStyle w:val="CharSectno"/>
        </w:rPr>
        <w:t>15</w:t>
      </w:r>
      <w:r>
        <w:rPr>
          <w:snapToGrid w:val="0"/>
        </w:rPr>
        <w:t>.</w:t>
      </w:r>
      <w:r>
        <w:rPr>
          <w:snapToGrid w:val="0"/>
        </w:rPr>
        <w:tab/>
        <w:t>Shooting galleries</w:t>
      </w:r>
      <w:bookmarkEnd w:id="32"/>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lastRenderedPageBreak/>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 xml:space="preserve">No person shall wilfully, improperly, carelessly, or negligently interfere with any person or any firearm let to any person in a </w:t>
      </w:r>
      <w:r>
        <w:rPr>
          <w:snapToGrid w:val="0"/>
        </w:rPr>
        <w:lastRenderedPageBreak/>
        <w:t>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w:t>
      </w:r>
    </w:p>
    <w:p>
      <w:pPr>
        <w:pStyle w:val="Heading5"/>
        <w:rPr>
          <w:snapToGrid w:val="0"/>
        </w:rPr>
      </w:pPr>
      <w:bookmarkStart w:id="33" w:name="_Toc104975089"/>
      <w:r>
        <w:rPr>
          <w:rStyle w:val="CharSectno"/>
        </w:rPr>
        <w:t>16</w:t>
      </w:r>
      <w:r>
        <w:rPr>
          <w:snapToGrid w:val="0"/>
        </w:rPr>
        <w:t>.</w:t>
      </w:r>
      <w:r>
        <w:rPr>
          <w:snapToGrid w:val="0"/>
        </w:rPr>
        <w:tab/>
        <w:t>Reloaded ammunition</w:t>
      </w:r>
      <w:bookmarkEnd w:id="3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4" w:name="_Toc104975090"/>
      <w:r>
        <w:rPr>
          <w:rStyle w:val="CharSectno"/>
        </w:rPr>
        <w:t>17</w:t>
      </w:r>
      <w:r>
        <w:rPr>
          <w:snapToGrid w:val="0"/>
        </w:rPr>
        <w:t>.</w:t>
      </w:r>
      <w:r>
        <w:rPr>
          <w:snapToGrid w:val="0"/>
        </w:rPr>
        <w:tab/>
        <w:t>Records of ammunition sales (Act s. 30(3))</w:t>
      </w:r>
      <w:bookmarkEnd w:id="34"/>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 xml:space="preserve">in response to an order placed by another licensed dealer or manufacturer, a copy of the invoice shall be affixed in </w:t>
      </w:r>
      <w:r>
        <w:rPr>
          <w:snapToGrid w:val="0"/>
        </w:rPr>
        <w:lastRenderedPageBreak/>
        <w:t>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w:t>
      </w:r>
    </w:p>
    <w:p>
      <w:pPr>
        <w:pStyle w:val="Heading5"/>
        <w:rPr>
          <w:snapToGrid w:val="0"/>
        </w:rPr>
      </w:pPr>
      <w:bookmarkStart w:id="35" w:name="_Toc104975091"/>
      <w:r>
        <w:rPr>
          <w:rStyle w:val="CharSectno"/>
        </w:rPr>
        <w:t>18</w:t>
      </w:r>
      <w:r>
        <w:rPr>
          <w:snapToGrid w:val="0"/>
        </w:rPr>
        <w:t>.</w:t>
      </w:r>
      <w:r>
        <w:rPr>
          <w:snapToGrid w:val="0"/>
        </w:rPr>
        <w:tab/>
        <w:t>Records of firearms dealings (Act s. 31(2))</w:t>
      </w:r>
      <w:bookmarkEnd w:id="35"/>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lastRenderedPageBreak/>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w:t>
      </w:r>
    </w:p>
    <w:p>
      <w:pPr>
        <w:pStyle w:val="Heading5"/>
        <w:rPr>
          <w:snapToGrid w:val="0"/>
        </w:rPr>
      </w:pPr>
      <w:bookmarkStart w:id="36" w:name="_Toc104975092"/>
      <w:r>
        <w:rPr>
          <w:rStyle w:val="CharSectno"/>
        </w:rPr>
        <w:t>19</w:t>
      </w:r>
      <w:r>
        <w:rPr>
          <w:snapToGrid w:val="0"/>
        </w:rPr>
        <w:t>.</w:t>
      </w:r>
      <w:r>
        <w:rPr>
          <w:snapToGrid w:val="0"/>
        </w:rPr>
        <w:tab/>
        <w:t>Manufacturer’s licence holders</w:t>
      </w:r>
      <w:bookmarkEnd w:id="36"/>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 xml:space="preserve">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w:t>
      </w:r>
      <w:r>
        <w:rPr>
          <w:snapToGrid w:val="0"/>
        </w:rPr>
        <w:lastRenderedPageBreak/>
        <w:t>the Commissioner may direct, a copy of that record for the preceding calendar month, whether or not any manufacture took place in that month.</w:t>
      </w:r>
    </w:p>
    <w:p>
      <w:pPr>
        <w:pStyle w:val="Footnotesection"/>
      </w:pPr>
      <w:r>
        <w:tab/>
        <w:t xml:space="preserve">[Regulation 19 amended: Gazette 6 Dec 1996 p. 6804.] </w:t>
      </w:r>
    </w:p>
    <w:p>
      <w:pPr>
        <w:pStyle w:val="Heading5"/>
        <w:rPr>
          <w:snapToGrid w:val="0"/>
        </w:rPr>
      </w:pPr>
      <w:bookmarkStart w:id="37" w:name="_Toc104975093"/>
      <w:r>
        <w:rPr>
          <w:rStyle w:val="CharSectno"/>
        </w:rPr>
        <w:t>19A</w:t>
      </w:r>
      <w:r>
        <w:rPr>
          <w:snapToGrid w:val="0"/>
        </w:rPr>
        <w:t>.</w:t>
      </w:r>
      <w:r>
        <w:rPr>
          <w:snapToGrid w:val="0"/>
        </w:rPr>
        <w:tab/>
        <w:t>Records for ammunition collector’s licence</w:t>
      </w:r>
      <w:bookmarkEnd w:id="37"/>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w:t>
      </w:r>
    </w:p>
    <w:p>
      <w:pPr>
        <w:pStyle w:val="Heading5"/>
      </w:pPr>
      <w:bookmarkStart w:id="38" w:name="_Toc104975094"/>
      <w:r>
        <w:rPr>
          <w:rStyle w:val="CharSectno"/>
        </w:rPr>
        <w:t>20</w:t>
      </w:r>
      <w:r>
        <w:t>.</w:t>
      </w:r>
      <w:r>
        <w:tab/>
        <w:t>Limits on premises identified in certain licences</w:t>
      </w:r>
      <w:bookmarkEnd w:id="38"/>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lastRenderedPageBreak/>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39" w:name="_Toc104975095"/>
      <w:r>
        <w:rPr>
          <w:rStyle w:val="CharSectno"/>
        </w:rPr>
        <w:t>21</w:t>
      </w:r>
      <w:r>
        <w:t>.</w:t>
      </w:r>
      <w:r>
        <w:tab/>
        <w:t xml:space="preserve">Register </w:t>
      </w:r>
      <w:r>
        <w:rPr>
          <w:snapToGrid w:val="0"/>
        </w:rPr>
        <w:t>(Act s. 31(1))</w:t>
      </w:r>
      <w:bookmarkEnd w:id="39"/>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lastRenderedPageBreak/>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w:t>
      </w:r>
    </w:p>
    <w:p>
      <w:pPr>
        <w:pStyle w:val="Heading5"/>
      </w:pPr>
      <w:bookmarkStart w:id="40" w:name="_Toc104975096"/>
      <w:r>
        <w:rPr>
          <w:rStyle w:val="CharSectno"/>
        </w:rPr>
        <w:t>22</w:t>
      </w:r>
      <w:r>
        <w:t>.</w:t>
      </w:r>
      <w:r>
        <w:tab/>
        <w:t>Search warrants (Act s. 26)</w:t>
      </w:r>
      <w:bookmarkEnd w:id="40"/>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41" w:name="_Toc104975097"/>
      <w:r>
        <w:rPr>
          <w:rStyle w:val="CharSectno"/>
        </w:rPr>
        <w:t>22A</w:t>
      </w:r>
      <w:r>
        <w:rPr>
          <w:snapToGrid w:val="0"/>
        </w:rPr>
        <w:t>.</w:t>
      </w:r>
      <w:r>
        <w:rPr>
          <w:snapToGrid w:val="0"/>
        </w:rPr>
        <w:tab/>
        <w:t>Entry without warrant (Act s. 24(2a) and 24(7)(b))</w:t>
      </w:r>
      <w:bookmarkEnd w:id="41"/>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lastRenderedPageBreak/>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lastRenderedPageBreak/>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Gazette 6 Dec 1996 p. 6805</w:t>
      </w:r>
      <w:r>
        <w:noBreakHyphen/>
        <w:t xml:space="preserve">6; amended: Gazette 23 Apr 2010 p. 1524.] </w:t>
      </w:r>
    </w:p>
    <w:p>
      <w:pPr>
        <w:pStyle w:val="Heading5"/>
        <w:keepNext w:val="0"/>
        <w:keepLines w:val="0"/>
        <w:spacing w:before="180"/>
        <w:rPr>
          <w:snapToGrid w:val="0"/>
        </w:rPr>
      </w:pPr>
      <w:bookmarkStart w:id="42" w:name="_Toc104975098"/>
      <w:r>
        <w:rPr>
          <w:rStyle w:val="CharSectno"/>
        </w:rPr>
        <w:t>23</w:t>
      </w:r>
      <w:r>
        <w:rPr>
          <w:snapToGrid w:val="0"/>
        </w:rPr>
        <w:t>.</w:t>
      </w:r>
      <w:r>
        <w:rPr>
          <w:snapToGrid w:val="0"/>
        </w:rPr>
        <w:tab/>
        <w:t>Offences</w:t>
      </w:r>
      <w:bookmarkEnd w:id="42"/>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lastRenderedPageBreak/>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43" w:name="_Toc104975099"/>
      <w:r>
        <w:rPr>
          <w:rStyle w:val="CharSectno"/>
        </w:rPr>
        <w:t>24</w:t>
      </w:r>
      <w:r>
        <w:rPr>
          <w:snapToGrid w:val="0"/>
        </w:rPr>
        <w:t>.</w:t>
      </w:r>
      <w:r>
        <w:rPr>
          <w:snapToGrid w:val="0"/>
        </w:rPr>
        <w:tab/>
        <w:t>Safety standards and tests (Act s. 18(5))</w:t>
      </w:r>
      <w:bookmarkEnd w:id="4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lastRenderedPageBreak/>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 xml:space="preserve">The firearm, unless it is a hammer firearm fitted with cock mechanism or safety bent, shall be fitted with a safety device which when engaged in the “safe” position prevents operation of the </w:t>
            </w:r>
            <w:r>
              <w:lastRenderedPageBreak/>
              <w:t>trigger mechanism and which can be disengaged only by a distinct pressure of the finger or thumb.</w:t>
            </w:r>
          </w:p>
        </w:tc>
      </w:tr>
      <w:tr>
        <w:tc>
          <w:tcPr>
            <w:tcW w:w="6356" w:type="dxa"/>
          </w:tcPr>
          <w:p>
            <w:pPr>
              <w:pStyle w:val="TableNAm"/>
              <w:tabs>
                <w:tab w:val="left" w:pos="1092"/>
              </w:tabs>
              <w:ind w:left="1092" w:hanging="1092"/>
            </w:pPr>
            <w:r>
              <w:lastRenderedPageBreak/>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w:t>
      </w:r>
    </w:p>
    <w:p>
      <w:pPr>
        <w:pStyle w:val="Heading5"/>
        <w:spacing w:before="240"/>
      </w:pPr>
      <w:bookmarkStart w:id="44" w:name="_Toc104975100"/>
      <w:r>
        <w:rPr>
          <w:rStyle w:val="CharSectno"/>
        </w:rPr>
        <w:t>25A</w:t>
      </w:r>
      <w:r>
        <w:t>.</w:t>
      </w:r>
      <w:r>
        <w:tab/>
        <w:t>Firearm serviceability certificates</w:t>
      </w:r>
      <w:bookmarkEnd w:id="44"/>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lastRenderedPageBreak/>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w:t>
      </w:r>
    </w:p>
    <w:p>
      <w:pPr>
        <w:pStyle w:val="Heading5"/>
      </w:pPr>
      <w:bookmarkStart w:id="45" w:name="_Toc104975101"/>
      <w:r>
        <w:rPr>
          <w:rStyle w:val="CharSectno"/>
        </w:rPr>
        <w:t>25</w:t>
      </w:r>
      <w:r>
        <w:t>.</w:t>
      </w:r>
      <w:r>
        <w:tab/>
        <w:t>Members of Police Force permitted to perform certain Commissioner’s functions</w:t>
      </w:r>
      <w:bookmarkEnd w:id="45"/>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lastRenderedPageBreak/>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w:t>
      </w:r>
    </w:p>
    <w:p>
      <w:pPr>
        <w:pStyle w:val="Heading5"/>
        <w:keepNext w:val="0"/>
        <w:keepLines w:val="0"/>
        <w:spacing w:before="180"/>
        <w:rPr>
          <w:snapToGrid w:val="0"/>
        </w:rPr>
      </w:pPr>
      <w:bookmarkStart w:id="46" w:name="_Toc104975102"/>
      <w:r>
        <w:rPr>
          <w:rStyle w:val="CharSectno"/>
        </w:rPr>
        <w:t>26</w:t>
      </w:r>
      <w:r>
        <w:rPr>
          <w:snapToGrid w:val="0"/>
        </w:rPr>
        <w:t>.</w:t>
      </w:r>
      <w:r>
        <w:rPr>
          <w:snapToGrid w:val="0"/>
        </w:rPr>
        <w:tab/>
        <w:t>Prohibited firearms and ammunition</w:t>
      </w:r>
      <w:bookmarkEnd w:id="46"/>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lastRenderedPageBreak/>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lastRenderedPageBreak/>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spacing w:before="60"/>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8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lastRenderedPageBreak/>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Gazette 6 Dec 1996 p. 6810.] </w:t>
      </w:r>
    </w:p>
    <w:p>
      <w:pPr>
        <w:pStyle w:val="Heading5"/>
        <w:spacing w:before="260"/>
      </w:pPr>
      <w:bookmarkStart w:id="47" w:name="_Toc104975103"/>
      <w:r>
        <w:rPr>
          <w:rStyle w:val="CharSectno"/>
        </w:rPr>
        <w:t>26B</w:t>
      </w:r>
      <w:r>
        <w:t>.</w:t>
      </w:r>
      <w:r>
        <w:tab/>
        <w:t>Certain licences, permits and approvals not to be issued, granted or given</w:t>
      </w:r>
      <w:bookmarkEnd w:id="47"/>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keepNext/>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keepNext/>
        <w:keepLines/>
      </w:pPr>
      <w:r>
        <w:lastRenderedPageBreak/>
        <w:tab/>
        <w:t>(4)</w:t>
      </w:r>
      <w:r>
        <w:tab/>
        <w:t xml:space="preserve">The following firearms are specified for the purpose of subregulation (2)(c) — </w:t>
      </w:r>
    </w:p>
    <w:p>
      <w:pPr>
        <w:pStyle w:val="THeadingNAm"/>
        <w:keepLines/>
        <w:spacing w:before="80"/>
      </w:pPr>
      <w:r>
        <w:t>Table</w:t>
      </w:r>
    </w:p>
    <w:tbl>
      <w:tblPr>
        <w:tblW w:w="6240" w:type="dxa"/>
        <w:tblInd w:w="948" w:type="dxa"/>
        <w:tblLayout w:type="fixed"/>
        <w:tblLook w:val="0000" w:firstRow="0" w:lastRow="0" w:firstColumn="0" w:lastColumn="0" w:noHBand="0" w:noVBand="0"/>
      </w:tblPr>
      <w:tblGrid>
        <w:gridCol w:w="1604"/>
        <w:gridCol w:w="4636"/>
      </w:tblGrid>
      <w:tr>
        <w:trPr>
          <w:tblHeader/>
        </w:trPr>
        <w:tc>
          <w:tcPr>
            <w:tcW w:w="1604" w:type="dxa"/>
            <w:tcBorders>
              <w:top w:val="single" w:sz="4" w:space="0" w:color="auto"/>
              <w:bottom w:val="single" w:sz="4" w:space="0" w:color="auto"/>
            </w:tcBorders>
          </w:tcPr>
          <w:p>
            <w:pPr>
              <w:pStyle w:val="TableNAm"/>
              <w:keepNext/>
              <w:keepLines/>
              <w:spacing w:before="60"/>
              <w:rPr>
                <w:b/>
                <w:bCs/>
              </w:rPr>
            </w:pPr>
            <w:r>
              <w:rPr>
                <w:b/>
                <w:bCs/>
              </w:rPr>
              <w:t>Calibre</w:t>
            </w:r>
          </w:p>
        </w:tc>
        <w:tc>
          <w:tcPr>
            <w:tcW w:w="4636"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604" w:type="dxa"/>
          </w:tcPr>
          <w:p>
            <w:pPr>
              <w:pStyle w:val="TableNAm"/>
              <w:keepNext/>
              <w:keepLines/>
              <w:spacing w:before="60"/>
              <w:ind w:left="-60"/>
            </w:pPr>
            <w:r>
              <w:t>.22 calibre</w:t>
            </w:r>
          </w:p>
        </w:tc>
        <w:tc>
          <w:tcPr>
            <w:tcW w:w="4636" w:type="dxa"/>
          </w:tcPr>
          <w:p>
            <w:pPr>
              <w:pStyle w:val="TableNAm"/>
              <w:keepNext/>
              <w:keepLines/>
              <w:spacing w:before="60"/>
            </w:pPr>
            <w:r>
              <w:t>Armi Jager model AP 15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Armi Jager model AP 75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Josef G: Landmann</w:t>
            </w:r>
            <w:r>
              <w:noBreakHyphen/>
              <w:t xml:space="preserve">Preetz model </w:t>
            </w:r>
            <w:r>
              <w:br/>
              <w:t>JGL — Automat 65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Squibman Model 16 semi</w:t>
            </w:r>
            <w:r>
              <w:noBreakHyphen/>
              <w:t>automatic rifle</w:t>
            </w:r>
          </w:p>
        </w:tc>
      </w:tr>
      <w:tr>
        <w:tc>
          <w:tcPr>
            <w:tcW w:w="1604" w:type="dxa"/>
          </w:tcPr>
          <w:p>
            <w:pPr>
              <w:pStyle w:val="TableNAm"/>
              <w:spacing w:before="60"/>
              <w:ind w:left="-60"/>
            </w:pPr>
            <w:r>
              <w:t>.223 calibre</w:t>
            </w:r>
          </w:p>
        </w:tc>
        <w:tc>
          <w:tcPr>
            <w:tcW w:w="4636" w:type="dxa"/>
          </w:tcPr>
          <w:p>
            <w:pPr>
              <w:pStyle w:val="TableNAm"/>
              <w:spacing w:before="60"/>
            </w:pPr>
            <w:r>
              <w:t>Remington make, 7615P model, pump</w:t>
            </w:r>
            <w:r>
              <w:noBreakHyphen/>
              <w:t>action rifle</w:t>
            </w:r>
          </w:p>
        </w:tc>
      </w:tr>
      <w:tr>
        <w:tc>
          <w:tcPr>
            <w:tcW w:w="1604" w:type="dxa"/>
          </w:tcPr>
          <w:p>
            <w:pPr>
              <w:pStyle w:val="TableNAm"/>
              <w:spacing w:before="60"/>
              <w:ind w:left="-60"/>
            </w:pPr>
            <w:r>
              <w:t>.223 calibre</w:t>
            </w:r>
          </w:p>
        </w:tc>
        <w:tc>
          <w:tcPr>
            <w:tcW w:w="4636" w:type="dxa"/>
          </w:tcPr>
          <w:p>
            <w:pPr>
              <w:pStyle w:val="TableNAm"/>
              <w:spacing w:before="60"/>
            </w:pPr>
            <w:r>
              <w:t>Vektor make, H 5 model, pump</w:t>
            </w:r>
            <w:r>
              <w:noBreakHyphen/>
              <w:t>action rifle</w:t>
            </w:r>
          </w:p>
        </w:tc>
      </w:tr>
      <w:tr>
        <w:tc>
          <w:tcPr>
            <w:tcW w:w="1604" w:type="dxa"/>
            <w:tcBorders>
              <w:bottom w:val="single" w:sz="4" w:space="0" w:color="auto"/>
            </w:tcBorders>
          </w:tcPr>
          <w:p>
            <w:pPr>
              <w:pStyle w:val="TableNAm"/>
              <w:keepNext/>
              <w:spacing w:before="60"/>
              <w:ind w:left="-60" w:right="-243"/>
            </w:pPr>
            <w:r>
              <w:t>7.62 mm calibre</w:t>
            </w:r>
          </w:p>
        </w:tc>
        <w:tc>
          <w:tcPr>
            <w:tcW w:w="4636" w:type="dxa"/>
            <w:tcBorders>
              <w:bottom w:val="single" w:sz="4" w:space="0" w:color="auto"/>
            </w:tcBorders>
          </w:tcPr>
          <w:p>
            <w:pPr>
              <w:pStyle w:val="TableNAm"/>
              <w:keepNext/>
              <w:spacing w:before="60"/>
            </w:pPr>
            <w:r>
              <w:t>Cugir pump</w:t>
            </w:r>
            <w:r>
              <w:noBreakHyphen/>
              <w:t>action (Romanian make) rifle designed for ammunition with a case length of 39 mm</w:t>
            </w:r>
          </w:p>
        </w:tc>
      </w:tr>
    </w:tbl>
    <w:p>
      <w:pPr>
        <w:pStyle w:val="Footnotesection"/>
      </w:pPr>
      <w:r>
        <w:tab/>
        <w:t>[Regulation 26B inserted: Gazette 12 Jan 2007 p. 53</w:t>
      </w:r>
      <w:r>
        <w:noBreakHyphen/>
        <w:t>4; amended: Gazette 31 Aug 2010 p. 4185.]</w:t>
      </w:r>
    </w:p>
    <w:p>
      <w:pPr>
        <w:pStyle w:val="Heading5"/>
        <w:keepNext w:val="0"/>
        <w:keepLines w:val="0"/>
        <w:rPr>
          <w:snapToGrid w:val="0"/>
        </w:rPr>
      </w:pPr>
      <w:bookmarkStart w:id="48" w:name="_Toc104975104"/>
      <w:r>
        <w:rPr>
          <w:rStyle w:val="CharSectno"/>
        </w:rPr>
        <w:t>27</w:t>
      </w:r>
      <w:r>
        <w:rPr>
          <w:snapToGrid w:val="0"/>
        </w:rPr>
        <w:t>.</w:t>
      </w:r>
      <w:r>
        <w:rPr>
          <w:snapToGrid w:val="0"/>
        </w:rPr>
        <w:tab/>
        <w:t>Infringement notices (Act s. 19A)</w:t>
      </w:r>
      <w:bookmarkEnd w:id="48"/>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Gazette 13 Jan 1978 p. 121; amended: Gazette 24 Jul 1981 p. 3071; 20 Aug 1982 p. 3269; 21 Oct 1983 p. 4267; 26 Oct 1984 p. 3456; 26 Sep 1986 p. 3687; </w:t>
      </w:r>
      <w:r>
        <w:lastRenderedPageBreak/>
        <w:t xml:space="preserve">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49" w:name="_Toc104967238"/>
      <w:bookmarkStart w:id="50" w:name="_Toc104967411"/>
      <w:bookmarkStart w:id="51" w:name="_Toc104975105"/>
      <w:r>
        <w:rPr>
          <w:rStyle w:val="CharSchNo"/>
        </w:rPr>
        <w:lastRenderedPageBreak/>
        <w:t>Schedule 1</w:t>
      </w:r>
      <w:r>
        <w:rPr>
          <w:rStyle w:val="CharSDivNo"/>
        </w:rPr>
        <w:t> </w:t>
      </w:r>
      <w:r>
        <w:t>—</w:t>
      </w:r>
      <w:r>
        <w:rPr>
          <w:rStyle w:val="CharSDivText"/>
        </w:rPr>
        <w:t> </w:t>
      </w:r>
      <w:r>
        <w:rPr>
          <w:rStyle w:val="CharSchText"/>
        </w:rPr>
        <w:t>Forms</w:t>
      </w:r>
      <w:bookmarkEnd w:id="49"/>
      <w:bookmarkEnd w:id="50"/>
      <w:bookmarkEnd w:id="51"/>
    </w:p>
    <w:p>
      <w:pPr>
        <w:pStyle w:val="yShoulderClause"/>
      </w:pPr>
      <w:r>
        <w:t>[r. 3]</w:t>
      </w:r>
    </w:p>
    <w:p>
      <w:pPr>
        <w:pStyle w:val="yFootnoteheading"/>
      </w:pPr>
      <w:r>
        <w:tab/>
        <w:t>[Heading inserted: Gazette 16 Nov 2007 p. 5733.]</w:t>
      </w:r>
    </w:p>
    <w:p>
      <w:pPr>
        <w:pStyle w:val="yHeading5"/>
        <w:spacing w:before="180" w:after="60"/>
        <w:rPr>
          <w:bCs/>
          <w:iCs/>
        </w:rPr>
      </w:pPr>
      <w:bookmarkStart w:id="52" w:name="_Toc104975106"/>
      <w:r>
        <w:rPr>
          <w:rStyle w:val="CharSClsNo"/>
        </w:rPr>
        <w:t>1</w:t>
      </w:r>
      <w:r>
        <w:rPr>
          <w:bCs/>
          <w:iCs/>
        </w:rPr>
        <w:t>.</w:t>
      </w:r>
      <w:r>
        <w:rPr>
          <w:bCs/>
          <w:iCs/>
        </w:rPr>
        <w:tab/>
        <w:t>Application for licence</w:t>
      </w:r>
      <w:bookmarkEnd w:id="5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r>
              <w:t>Western Australia</w:t>
            </w:r>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lastRenderedPageBreak/>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lastRenderedPageBreak/>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lastRenderedPageBreak/>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affect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affect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lastRenderedPageBreak/>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Have you ever been convicted of an offence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Have you ever been found guilty of an offence without a conviction being recorded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Do you have any outstanding charges against you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lastRenderedPageBreak/>
              <w:t>24.</w:t>
            </w:r>
            <w:r>
              <w:tab/>
              <w:t>Are you currently or have you ever been bound by a Violence Restraining Order (WA) or equivalent order in Australia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DO NOT SIGN UNTIL YOU LODGE THIS FORM AT AUSTRALIA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lastRenderedPageBreak/>
              <w:t>Australia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lastRenderedPageBreak/>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lastRenderedPageBreak/>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lastRenderedPageBreak/>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lastRenderedPageBreak/>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Australia</w:t>
            </w:r>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lastRenderedPageBreak/>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Gazette 6 Nov 2009 p. 4425</w:t>
      </w:r>
      <w:r>
        <w:noBreakHyphen/>
        <w:t>37; amended: SL 2022/40 r. 5(1).]</w:t>
      </w:r>
    </w:p>
    <w:p>
      <w:pPr>
        <w:pStyle w:val="yHeading5"/>
        <w:pageBreakBefore/>
        <w:spacing w:before="120" w:after="120"/>
      </w:pPr>
      <w:bookmarkStart w:id="53" w:name="_Toc104975107"/>
      <w:r>
        <w:rPr>
          <w:rStyle w:val="CharSClsNo"/>
        </w:rPr>
        <w:lastRenderedPageBreak/>
        <w:t>2A</w:t>
      </w:r>
      <w:r>
        <w:t>.</w:t>
      </w:r>
      <w:r>
        <w:tab/>
        <w:t>Application for licence under r.  3BA</w:t>
      </w:r>
      <w:bookmarkEnd w:id="53"/>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r>
              <w:t>Western Australia</w:t>
            </w:r>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1</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lastRenderedPageBreak/>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lastRenderedPageBreak/>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lastRenderedPageBreak/>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lastRenderedPageBreak/>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lastRenderedPageBreak/>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lastRenderedPageBreak/>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lastRenderedPageBreak/>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Gazette 5 Jul 2011 p. 2828</w:t>
      </w:r>
      <w:r>
        <w:noBreakHyphen/>
        <w:t>33.]</w:t>
      </w:r>
    </w:p>
    <w:p>
      <w:pPr>
        <w:pStyle w:val="yHeading5"/>
        <w:pageBreakBefore/>
        <w:spacing w:before="120" w:after="120"/>
        <w:ind w:right="1"/>
        <w:rPr>
          <w:bCs/>
          <w:iCs/>
        </w:rPr>
      </w:pPr>
      <w:bookmarkStart w:id="54" w:name="_Toc104975108"/>
      <w:r>
        <w:rPr>
          <w:rStyle w:val="CharSClsNo"/>
        </w:rPr>
        <w:lastRenderedPageBreak/>
        <w:t>2</w:t>
      </w:r>
      <w:r>
        <w:rPr>
          <w:bCs/>
          <w:iCs/>
        </w:rPr>
        <w:t>.</w:t>
      </w:r>
      <w:r>
        <w:rPr>
          <w:bCs/>
          <w:iCs/>
        </w:rPr>
        <w:tab/>
        <w:t>Firearm awareness certificate</w:t>
      </w:r>
      <w:bookmarkEnd w:id="5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r>
              <w:t>Western Australia</w:t>
            </w:r>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lastRenderedPageBreak/>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Gazette 6 Nov 2009 p. 4438</w:t>
      </w:r>
      <w:r>
        <w:noBreakHyphen/>
        <w:t>9.]</w:t>
      </w:r>
    </w:p>
    <w:p>
      <w:pPr>
        <w:pStyle w:val="yHeading5"/>
        <w:pageBreakBefore/>
        <w:spacing w:before="0" w:after="60"/>
        <w:rPr>
          <w:bCs/>
          <w:iCs/>
        </w:rPr>
      </w:pPr>
      <w:bookmarkStart w:id="55" w:name="_Toc104975109"/>
      <w:r>
        <w:rPr>
          <w:rStyle w:val="CharSClsNo"/>
        </w:rPr>
        <w:lastRenderedPageBreak/>
        <w:t>3</w:t>
      </w:r>
      <w:r>
        <w:rPr>
          <w:bCs/>
          <w:iCs/>
        </w:rPr>
        <w:t>.</w:t>
      </w:r>
      <w:r>
        <w:rPr>
          <w:bCs/>
          <w:iCs/>
        </w:rPr>
        <w:tab/>
        <w:t>Firearm serviceability certificate</w:t>
      </w:r>
      <w:bookmarkEnd w:id="55"/>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r>
              <w:t>Western Australia</w:t>
            </w:r>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lastRenderedPageBreak/>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affect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ab/>
        <w:t>[Form 3 inserted: Gazette 6 Nov 2009 p. 4439</w:t>
      </w:r>
      <w:r>
        <w:noBreakHyphen/>
        <w:t>41; amended: SL 2022/40 r. 5(2).]</w:t>
      </w:r>
    </w:p>
    <w:p>
      <w:pPr>
        <w:pStyle w:val="yEdnotesection"/>
        <w:spacing w:before="200"/>
      </w:pPr>
      <w:r>
        <w:t>[Forms 4 and 5 deleted: Gazette 6 Nov 2009 p. 4425.]</w:t>
      </w:r>
    </w:p>
    <w:p>
      <w:pPr>
        <w:pStyle w:val="yHeading5"/>
        <w:spacing w:before="120" w:after="120"/>
      </w:pPr>
      <w:bookmarkStart w:id="56" w:name="_Toc104975110"/>
      <w:r>
        <w:rPr>
          <w:rStyle w:val="CharSClsNo"/>
        </w:rPr>
        <w:lastRenderedPageBreak/>
        <w:t>6</w:t>
      </w:r>
      <w:r>
        <w:t>.</w:t>
      </w:r>
      <w:r>
        <w:rPr>
          <w:b w:val="0"/>
        </w:rPr>
        <w:tab/>
      </w:r>
      <w:r>
        <w:rPr>
          <w:bCs/>
          <w:iCs/>
        </w:rPr>
        <w:t xml:space="preserve">Application for </w:t>
      </w:r>
      <w:r>
        <w:rPr>
          <w:bCs/>
        </w:rPr>
        <w:t>permit (Act s. 17 or 17A)</w:t>
      </w:r>
      <w:bookmarkEnd w:id="56"/>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r>
              <w:t>Western Australia</w:t>
            </w:r>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r>
              <w:t>Mobile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pPr>
        <w:pStyle w:val="yMiscellaneousBody"/>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lastRenderedPageBreak/>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pStyle w:val="yMiscellaneousBody"/>
        <w:spacing w:before="0"/>
        <w:rPr>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lastRenderedPageBreak/>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pPr>
        <w:pStyle w:val="yMiscellaneousBody"/>
        <w:spacing w:before="0"/>
      </w:pPr>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lastRenderedPageBreak/>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pPr>
        <w:pStyle w:val="yMiscellaneousBody"/>
        <w:spacing w:before="0"/>
        <w:rPr>
          <w:sz w:val="20"/>
        </w:rPr>
      </w:pPr>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lastRenderedPageBreak/>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Gazette 16 Nov 2007 p. 5749</w:t>
      </w:r>
      <w:r>
        <w:noBreakHyphen/>
        <w:t>53.]</w:t>
      </w:r>
    </w:p>
    <w:p>
      <w:pPr>
        <w:pStyle w:val="yHeading5"/>
        <w:pageBreakBefore/>
        <w:spacing w:before="120" w:after="120"/>
      </w:pPr>
      <w:bookmarkStart w:id="57" w:name="_Toc104975111"/>
      <w:r>
        <w:rPr>
          <w:rStyle w:val="CharSClsNo"/>
        </w:rPr>
        <w:lastRenderedPageBreak/>
        <w:t>7</w:t>
      </w:r>
      <w:r>
        <w:t>.</w:t>
      </w:r>
      <w:r>
        <w:rPr>
          <w:b w:val="0"/>
        </w:rPr>
        <w:tab/>
      </w:r>
      <w:r>
        <w:rPr>
          <w:bCs/>
          <w:iCs/>
        </w:rPr>
        <w:t>Request to police to take custody of firearm or ammunition (Act s. 33(3))</w:t>
      </w:r>
      <w:bookmarkEnd w:id="57"/>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r>
              <w:t>Western Australia</w:t>
            </w:r>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lastRenderedPageBreak/>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pPr>
        <w:pStyle w:val="yMiscellaneousBody"/>
        <w:spacing w:before="0"/>
      </w:pPr>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keepNext/>
      </w:pPr>
      <w:r>
        <w:lastRenderedPageBreak/>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Gazette 16 Nov 2007 p. 5753</w:t>
      </w:r>
      <w:r>
        <w:noBreakHyphen/>
        <w:t>5.]</w:t>
      </w:r>
    </w:p>
    <w:p>
      <w:pPr>
        <w:pStyle w:val="yHeading5"/>
        <w:pageBreakBefore/>
        <w:spacing w:before="120" w:after="120"/>
      </w:pPr>
      <w:bookmarkStart w:id="58" w:name="_Toc104975112"/>
      <w:r>
        <w:rPr>
          <w:rStyle w:val="CharSClsNo"/>
        </w:rPr>
        <w:lastRenderedPageBreak/>
        <w:t>8</w:t>
      </w:r>
      <w:r>
        <w:t>.</w:t>
      </w:r>
      <w:r>
        <w:rPr>
          <w:b w:val="0"/>
        </w:rPr>
        <w:tab/>
      </w:r>
      <w:r>
        <w:rPr>
          <w:bCs/>
          <w:iCs/>
        </w:rPr>
        <w:t>Application for issue or replacement of extract of licence (r. 7A and 8)</w:t>
      </w:r>
      <w:bookmarkEnd w:id="58"/>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r>
              <w:t>Western Australia</w:t>
            </w:r>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lastRenderedPageBreak/>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Gazette 16 Nov 2007 p. 5755</w:t>
      </w:r>
      <w:r>
        <w:noBreakHyphen/>
        <w:t>6.]</w:t>
      </w:r>
    </w:p>
    <w:p>
      <w:pPr>
        <w:pStyle w:val="yHeading5"/>
        <w:pageBreakBefore/>
        <w:spacing w:before="120" w:after="120"/>
      </w:pPr>
      <w:bookmarkStart w:id="59" w:name="_Toc104975113"/>
      <w:r>
        <w:rPr>
          <w:rStyle w:val="CharSClsNo"/>
        </w:rPr>
        <w:lastRenderedPageBreak/>
        <w:t>9</w:t>
      </w:r>
      <w:r>
        <w:t>.</w:t>
      </w:r>
      <w:r>
        <w:rPr>
          <w:b w:val="0"/>
        </w:rPr>
        <w:tab/>
      </w:r>
      <w:r>
        <w:rPr>
          <w:bCs/>
          <w:iCs/>
        </w:rPr>
        <w:t>Firearm licence</w:t>
      </w:r>
      <w:bookmarkEnd w:id="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Gazette 16 Nov 2007 p. 5756</w:t>
      </w:r>
      <w:r>
        <w:noBreakHyphen/>
        <w:t>7.]</w:t>
      </w:r>
    </w:p>
    <w:p>
      <w:pPr>
        <w:pStyle w:val="yHeading5"/>
        <w:spacing w:before="120" w:after="120"/>
      </w:pPr>
      <w:bookmarkStart w:id="60" w:name="_Toc104975114"/>
      <w:r>
        <w:rPr>
          <w:rStyle w:val="CharSClsNo"/>
        </w:rPr>
        <w:lastRenderedPageBreak/>
        <w:t>10</w:t>
      </w:r>
      <w:r>
        <w:t>.</w:t>
      </w:r>
      <w:r>
        <w:rPr>
          <w:b w:val="0"/>
        </w:rPr>
        <w:tab/>
      </w:r>
      <w:r>
        <w:rPr>
          <w:bCs/>
          <w:iCs/>
        </w:rPr>
        <w:t>Firearm collector’s licence</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w:t>
      </w:r>
    </w:p>
    <w:p>
      <w:pPr>
        <w:pStyle w:val="yHeading5"/>
        <w:pageBreakBefore/>
        <w:spacing w:before="120" w:after="120"/>
      </w:pPr>
      <w:bookmarkStart w:id="61" w:name="_Toc104975115"/>
      <w:r>
        <w:rPr>
          <w:rStyle w:val="CharSClsNo"/>
        </w:rPr>
        <w:lastRenderedPageBreak/>
        <w:t>11</w:t>
      </w:r>
      <w:r>
        <w:t>.</w:t>
      </w:r>
      <w:r>
        <w:rPr>
          <w:b w:val="0"/>
        </w:rPr>
        <w:tab/>
      </w:r>
      <w:r>
        <w:rPr>
          <w:bCs/>
          <w:iCs/>
        </w:rPr>
        <w:t>Corporate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Gazette 16 Nov 2007 p. 5758</w:t>
      </w:r>
      <w:r>
        <w:noBreakHyphen/>
        <w:t>9.]</w:t>
      </w:r>
    </w:p>
    <w:p>
      <w:pPr>
        <w:pStyle w:val="yHeading5"/>
        <w:pageBreakBefore/>
        <w:spacing w:before="120" w:after="120"/>
      </w:pPr>
      <w:bookmarkStart w:id="62" w:name="_Toc104975116"/>
      <w:r>
        <w:rPr>
          <w:rStyle w:val="CharSClsNo"/>
        </w:rPr>
        <w:lastRenderedPageBreak/>
        <w:t>12</w:t>
      </w:r>
      <w:r>
        <w:t>.</w:t>
      </w:r>
      <w:r>
        <w:rPr>
          <w:b w:val="0"/>
        </w:rPr>
        <w:tab/>
      </w:r>
      <w:r>
        <w:rPr>
          <w:bCs/>
          <w:iCs/>
        </w:rPr>
        <w:t>Dealer’s licence</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Gazette 16 Nov 2007 p. 5759</w:t>
      </w:r>
      <w:r>
        <w:noBreakHyphen/>
        <w:t>60.]</w:t>
      </w:r>
    </w:p>
    <w:p>
      <w:pPr>
        <w:pStyle w:val="yHeading5"/>
        <w:spacing w:before="120" w:after="120"/>
      </w:pPr>
      <w:bookmarkStart w:id="63" w:name="_Toc104975117"/>
      <w:r>
        <w:rPr>
          <w:rStyle w:val="CharSClsNo"/>
        </w:rPr>
        <w:lastRenderedPageBreak/>
        <w:t>13</w:t>
      </w:r>
      <w:r>
        <w:t>.</w:t>
      </w:r>
      <w:r>
        <w:rPr>
          <w:b w:val="0"/>
        </w:rPr>
        <w:tab/>
      </w:r>
      <w:r>
        <w:rPr>
          <w:bCs/>
          <w:iCs/>
        </w:rPr>
        <w:t>Repairer’s licence</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Gazette 16 Nov 2007 p. 5760</w:t>
      </w:r>
      <w:r>
        <w:noBreakHyphen/>
        <w:t>1.]</w:t>
      </w:r>
    </w:p>
    <w:p>
      <w:pPr>
        <w:pStyle w:val="yHeading5"/>
        <w:spacing w:before="120" w:after="120"/>
      </w:pPr>
      <w:bookmarkStart w:id="64" w:name="_Toc104975118"/>
      <w:r>
        <w:rPr>
          <w:rStyle w:val="CharSClsNo"/>
        </w:rPr>
        <w:lastRenderedPageBreak/>
        <w:t>14</w:t>
      </w:r>
      <w:r>
        <w:t>.</w:t>
      </w:r>
      <w:r>
        <w:rPr>
          <w:b w:val="0"/>
        </w:rPr>
        <w:tab/>
      </w:r>
      <w:r>
        <w:rPr>
          <w:bCs/>
          <w:iCs/>
        </w:rPr>
        <w:t>Manufacturer’s licence</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w:t>
      </w:r>
    </w:p>
    <w:p>
      <w:pPr>
        <w:pStyle w:val="yHeading5"/>
        <w:pageBreakBefore/>
        <w:spacing w:before="120" w:after="120"/>
      </w:pPr>
      <w:bookmarkStart w:id="65" w:name="_Toc104975119"/>
      <w:r>
        <w:rPr>
          <w:rStyle w:val="CharSClsNo"/>
        </w:rPr>
        <w:lastRenderedPageBreak/>
        <w:t>15</w:t>
      </w:r>
      <w:r>
        <w:t>.</w:t>
      </w:r>
      <w:r>
        <w:rPr>
          <w:b w:val="0"/>
        </w:rPr>
        <w:tab/>
      </w:r>
      <w:r>
        <w:rPr>
          <w:bCs/>
          <w:iCs/>
        </w:rPr>
        <w:t>Shooting gallery licence</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w:t>
      </w:r>
    </w:p>
    <w:p>
      <w:pPr>
        <w:pStyle w:val="yHeading5"/>
        <w:spacing w:before="120" w:after="120"/>
      </w:pPr>
      <w:bookmarkStart w:id="66" w:name="_Toc104975120"/>
      <w:r>
        <w:rPr>
          <w:rStyle w:val="CharSClsNo"/>
        </w:rPr>
        <w:lastRenderedPageBreak/>
        <w:t>16</w:t>
      </w:r>
      <w:r>
        <w:t>.</w:t>
      </w:r>
      <w:r>
        <w:rPr>
          <w:b w:val="0"/>
        </w:rPr>
        <w:tab/>
      </w:r>
      <w:r>
        <w:rPr>
          <w:bCs/>
          <w:iCs/>
        </w:rPr>
        <w:t>Ammunition collector’s licence</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w:t>
      </w:r>
    </w:p>
    <w:p>
      <w:pPr>
        <w:pStyle w:val="yHeading5"/>
        <w:pageBreakBefore/>
        <w:spacing w:before="120" w:after="120"/>
      </w:pPr>
      <w:bookmarkStart w:id="67" w:name="_Toc104975121"/>
      <w:r>
        <w:rPr>
          <w:rStyle w:val="CharSClsNo"/>
        </w:rPr>
        <w:lastRenderedPageBreak/>
        <w:t>17</w:t>
      </w:r>
      <w:r>
        <w:t>.</w:t>
      </w:r>
      <w:r>
        <w:rPr>
          <w:b w:val="0"/>
        </w:rPr>
        <w:tab/>
      </w:r>
      <w:r>
        <w:rPr>
          <w:bCs/>
        </w:rPr>
        <w:t>Pe</w:t>
      </w:r>
      <w:r>
        <w:rPr>
          <w:bCs/>
          <w:iCs/>
        </w:rPr>
        <w:t>rmit (Act s. 17)</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lastRenderedPageBreak/>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w:t>
      </w:r>
    </w:p>
    <w:p>
      <w:pPr>
        <w:pStyle w:val="yHeading5"/>
        <w:pageBreakBefore/>
        <w:spacing w:before="120" w:after="120"/>
      </w:pPr>
      <w:bookmarkStart w:id="68" w:name="_Toc104975122"/>
      <w:r>
        <w:rPr>
          <w:rStyle w:val="CharSClsNo"/>
        </w:rPr>
        <w:lastRenderedPageBreak/>
        <w:t>18</w:t>
      </w:r>
      <w:r>
        <w:t>.</w:t>
      </w:r>
      <w:r>
        <w:rPr>
          <w:b w:val="0"/>
        </w:rPr>
        <w:tab/>
      </w:r>
      <w:r>
        <w:rPr>
          <w:bCs/>
          <w:iCs/>
        </w:rPr>
        <w:t>Interstate group permit (Act s. 17A)</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lastRenderedPageBreak/>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Heading5"/>
        <w:keepNext w:val="0"/>
        <w:keepLines w:val="0"/>
        <w:pageBreakBefore/>
        <w:spacing w:before="160" w:after="60"/>
      </w:pPr>
      <w:bookmarkStart w:id="69" w:name="_Toc104975123"/>
      <w:r>
        <w:rPr>
          <w:rStyle w:val="CharSClsNo"/>
        </w:rPr>
        <w:lastRenderedPageBreak/>
        <w:t>19</w:t>
      </w:r>
      <w:r>
        <w:t>.</w:t>
      </w:r>
      <w:r>
        <w:rPr>
          <w:b w:val="0"/>
        </w:rPr>
        <w:tab/>
      </w:r>
      <w:r>
        <w:rPr>
          <w:bCs/>
          <w:iCs/>
        </w:rPr>
        <w:t>Ammunition sales book (r. 17)</w:t>
      </w:r>
      <w:bookmarkEnd w:id="69"/>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r>
              <w:t>Western Australia</w:t>
            </w:r>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Gazette 16 Nov 2007 p. 5767.]</w:t>
      </w:r>
    </w:p>
    <w:p>
      <w:pPr>
        <w:pStyle w:val="yHeading5"/>
        <w:spacing w:before="120" w:after="120"/>
      </w:pPr>
      <w:bookmarkStart w:id="70" w:name="_Toc104975124"/>
      <w:r>
        <w:rPr>
          <w:rStyle w:val="CharSClsNo"/>
        </w:rPr>
        <w:lastRenderedPageBreak/>
        <w:t>20</w:t>
      </w:r>
      <w:r>
        <w:t>.</w:t>
      </w:r>
      <w:r>
        <w:rPr>
          <w:b w:val="0"/>
        </w:rPr>
        <w:tab/>
      </w:r>
      <w:r>
        <w:rPr>
          <w:bCs/>
          <w:iCs/>
        </w:rPr>
        <w:t>Monthly return by dealer or repairer (stock received) (r. 18)</w:t>
      </w:r>
      <w:bookmarkEnd w:id="7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lastRenderedPageBreak/>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Gazette 16 Nov 2007 p. 5768</w:t>
      </w:r>
      <w:r>
        <w:noBreakHyphen/>
        <w:t>9; amended: Gazette 5 Apr 2016 p. 1027.]</w:t>
      </w:r>
    </w:p>
    <w:p>
      <w:pPr>
        <w:pStyle w:val="yHeading5"/>
        <w:pageBreakBefore/>
        <w:spacing w:before="120" w:after="120"/>
      </w:pPr>
      <w:bookmarkStart w:id="71" w:name="_Toc104975125"/>
      <w:r>
        <w:rPr>
          <w:rStyle w:val="CharSClsNo"/>
        </w:rPr>
        <w:lastRenderedPageBreak/>
        <w:t>21</w:t>
      </w:r>
      <w:r>
        <w:t>.</w:t>
      </w:r>
      <w:r>
        <w:rPr>
          <w:b w:val="0"/>
        </w:rPr>
        <w:tab/>
      </w:r>
      <w:r>
        <w:rPr>
          <w:bCs/>
          <w:iCs/>
        </w:rPr>
        <w:t>Monthly return by dealer or repairer (stock outgoing) (r. 18)</w:t>
      </w:r>
      <w:bookmarkEnd w:id="7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lastRenderedPageBreak/>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Gazette 16 Nov 2007 p. 5769</w:t>
      </w:r>
      <w:r>
        <w:noBreakHyphen/>
        <w:t>70.]</w:t>
      </w:r>
    </w:p>
    <w:p>
      <w:pPr>
        <w:pStyle w:val="yHeading5"/>
        <w:pageBreakBefore/>
        <w:spacing w:before="120" w:after="120"/>
        <w:rPr>
          <w:bCs/>
          <w:iCs/>
        </w:rPr>
      </w:pPr>
      <w:bookmarkStart w:id="72" w:name="_Toc104975126"/>
      <w:r>
        <w:rPr>
          <w:rStyle w:val="CharSClsNo"/>
        </w:rPr>
        <w:lastRenderedPageBreak/>
        <w:t>22</w:t>
      </w:r>
      <w:r>
        <w:rPr>
          <w:bCs/>
          <w:iCs/>
        </w:rPr>
        <w:t>.</w:t>
      </w:r>
      <w:r>
        <w:rPr>
          <w:bCs/>
          <w:iCs/>
        </w:rPr>
        <w:tab/>
        <w:t>Storage statement (r. 11C)</w:t>
      </w:r>
      <w:bookmarkEnd w:id="72"/>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lastRenderedPageBreak/>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w:t>
      </w:r>
    </w:p>
    <w:p>
      <w:pPr>
        <w:pStyle w:val="yHeading5"/>
        <w:pageBreakBefore/>
        <w:spacing w:before="120" w:after="120"/>
      </w:pPr>
      <w:bookmarkStart w:id="73" w:name="_Toc104975127"/>
      <w:r>
        <w:rPr>
          <w:rStyle w:val="CharSClsNo"/>
        </w:rPr>
        <w:lastRenderedPageBreak/>
        <w:t>23</w:t>
      </w:r>
      <w:r>
        <w:t>.</w:t>
      </w:r>
      <w:r>
        <w:rPr>
          <w:b w:val="0"/>
        </w:rPr>
        <w:tab/>
      </w:r>
      <w:r>
        <w:rPr>
          <w:bCs/>
          <w:iCs/>
        </w:rPr>
        <w:t>Infringement notice (Act s. 19A)</w:t>
      </w:r>
      <w:bookmarkEnd w:id="7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74" w:name="_Toc104975128"/>
      <w:r>
        <w:rPr>
          <w:rStyle w:val="CharSClsNo"/>
        </w:rPr>
        <w:lastRenderedPageBreak/>
        <w:t>24</w:t>
      </w:r>
      <w:r>
        <w:t>.</w:t>
      </w:r>
      <w:r>
        <w:rPr>
          <w:b w:val="0"/>
        </w:rPr>
        <w:tab/>
      </w:r>
      <w:r>
        <w:rPr>
          <w:bCs/>
          <w:iCs/>
        </w:rPr>
        <w:t>Infringement notice withdrawal (Act s. 19A)</w:t>
      </w:r>
      <w:bookmarkEnd w:id="7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75" w:name="_Toc104975129"/>
      <w:r>
        <w:rPr>
          <w:rStyle w:val="CharSClsNo"/>
        </w:rPr>
        <w:lastRenderedPageBreak/>
        <w:t>25</w:t>
      </w:r>
      <w:r>
        <w:t>.</w:t>
      </w:r>
      <w:r>
        <w:rPr>
          <w:b w:val="0"/>
        </w:rPr>
        <w:tab/>
      </w:r>
      <w:r>
        <w:rPr>
          <w:bCs/>
          <w:iCs/>
        </w:rPr>
        <w:t>Application for search warrant (Act s. 26(1))</w:t>
      </w:r>
      <w:bookmarkEnd w:id="7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w:t>
      </w:r>
    </w:p>
    <w:p>
      <w:pPr>
        <w:pStyle w:val="yHeading5"/>
        <w:spacing w:before="120" w:after="120"/>
      </w:pPr>
      <w:bookmarkStart w:id="76" w:name="_Toc104975130"/>
      <w:r>
        <w:rPr>
          <w:rStyle w:val="CharSClsNo"/>
        </w:rPr>
        <w:lastRenderedPageBreak/>
        <w:t>26</w:t>
      </w:r>
      <w:r>
        <w:t>.</w:t>
      </w:r>
      <w:r>
        <w:rPr>
          <w:b w:val="0"/>
        </w:rPr>
        <w:tab/>
      </w:r>
      <w:r>
        <w:rPr>
          <w:bCs/>
          <w:iCs/>
        </w:rPr>
        <w:t>Application for search warrant (Act s. 26(2))</w:t>
      </w:r>
      <w:bookmarkEnd w:id="7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w:t>
      </w:r>
    </w:p>
    <w:p>
      <w:pPr>
        <w:pStyle w:val="yHeading5"/>
        <w:spacing w:before="120" w:after="120"/>
      </w:pPr>
      <w:bookmarkStart w:id="77" w:name="_Toc104975131"/>
      <w:r>
        <w:rPr>
          <w:rStyle w:val="CharSClsNo"/>
        </w:rPr>
        <w:lastRenderedPageBreak/>
        <w:t>27</w:t>
      </w:r>
      <w:r>
        <w:t>.</w:t>
      </w:r>
      <w:r>
        <w:rPr>
          <w:b w:val="0"/>
        </w:rPr>
        <w:tab/>
      </w:r>
      <w:r>
        <w:rPr>
          <w:bCs/>
          <w:iCs/>
        </w:rPr>
        <w:t>Search warrant (Act s. 26(1))</w:t>
      </w:r>
      <w:bookmarkEnd w:id="7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w:t>
      </w:r>
    </w:p>
    <w:p>
      <w:pPr>
        <w:pStyle w:val="yHeading5"/>
        <w:spacing w:before="120" w:after="120"/>
      </w:pPr>
      <w:bookmarkStart w:id="78" w:name="_Toc104975132"/>
      <w:r>
        <w:rPr>
          <w:rStyle w:val="CharSClsNo"/>
        </w:rPr>
        <w:lastRenderedPageBreak/>
        <w:t>28</w:t>
      </w:r>
      <w:r>
        <w:t>.</w:t>
      </w:r>
      <w:r>
        <w:rPr>
          <w:b w:val="0"/>
        </w:rPr>
        <w:tab/>
      </w:r>
      <w:r>
        <w:rPr>
          <w:bCs/>
          <w:iCs/>
        </w:rPr>
        <w:t>Search warrant (Act s. 26(2))</w:t>
      </w:r>
      <w:bookmarkEnd w:id="7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r>
        <w:tab/>
        <w:t>[Form 28 inserted: Gazette 16 Nov 2007 p. 5776</w:t>
      </w:r>
      <w:r>
        <w:noBreakHyphen/>
        <w:t>7.]</w:t>
      </w:r>
    </w:p>
    <w:p>
      <w:pPr>
        <w:pStyle w:val="yScheduleHeading"/>
      </w:pPr>
      <w:bookmarkStart w:id="80" w:name="_Toc104967266"/>
      <w:bookmarkStart w:id="81" w:name="_Toc104967439"/>
      <w:bookmarkStart w:id="82" w:name="_Toc104975133"/>
      <w:r>
        <w:rPr>
          <w:rStyle w:val="CharSchNo"/>
        </w:rPr>
        <w:lastRenderedPageBreak/>
        <w:t>Schedule 1A</w:t>
      </w:r>
      <w:r>
        <w:rPr>
          <w:rStyle w:val="CharSDivNo"/>
        </w:rPr>
        <w:t> </w:t>
      </w:r>
      <w:r>
        <w:t>—</w:t>
      </w:r>
      <w:r>
        <w:rPr>
          <w:rStyle w:val="CharSDivText"/>
        </w:rPr>
        <w:t> </w:t>
      </w:r>
      <w:r>
        <w:rPr>
          <w:rStyle w:val="CharSchText"/>
        </w:rPr>
        <w:t>Fees</w:t>
      </w:r>
      <w:bookmarkEnd w:id="80"/>
      <w:bookmarkEnd w:id="81"/>
      <w:bookmarkEnd w:id="82"/>
    </w:p>
    <w:p>
      <w:pPr>
        <w:pStyle w:val="yShoulderClause"/>
      </w:pPr>
      <w:r>
        <w:t>[r. 2(1)]</w:t>
      </w:r>
    </w:p>
    <w:p>
      <w:pPr>
        <w:pStyle w:val="yFootnoteheading"/>
        <w:spacing w:after="120"/>
      </w:pPr>
      <w:r>
        <w:tab/>
        <w:t>[Heading inserted: SL 2021/106 r. 4.]</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tcPr>
          <w:p>
            <w:pPr>
              <w:pStyle w:val="yTableNAm"/>
              <w:jc w:val="center"/>
              <w:rPr>
                <w:b/>
              </w:rPr>
            </w:pPr>
            <w:r>
              <w:rPr>
                <w:b/>
              </w:rPr>
              <w:t>Item</w:t>
            </w:r>
          </w:p>
        </w:tc>
        <w:tc>
          <w:tcPr>
            <w:tcW w:w="5520" w:type="dxa"/>
            <w:tcBorders>
              <w:left w:val="nil"/>
              <w:bottom w:val="single" w:sz="4" w:space="0" w:color="auto"/>
              <w:right w:val="nil"/>
            </w:tcBorders>
          </w:tcPr>
          <w:p>
            <w:pPr>
              <w:pStyle w:val="yTableNAm"/>
              <w:jc w:val="center"/>
              <w:rPr>
                <w:b/>
              </w:rPr>
            </w:pPr>
            <w:r>
              <w:rPr>
                <w:b/>
              </w:rPr>
              <w:t>Fee for</w:t>
            </w:r>
          </w:p>
        </w:tc>
        <w:tc>
          <w:tcPr>
            <w:tcW w:w="840" w:type="dxa"/>
            <w:gridSpan w:val="2"/>
            <w:tcBorders>
              <w:left w:val="nil"/>
              <w:bottom w:val="single" w:sz="4" w:space="0" w:color="auto"/>
              <w:right w:val="nil"/>
            </w:tcBorders>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29" w:type="dxa"/>
            <w:tcBorders>
              <w:left w:val="nil"/>
              <w:bottom w:val="nil"/>
              <w:right w:val="nil"/>
            </w:tcBorders>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vAlign w:val="bottom"/>
          </w:tcPr>
          <w:p>
            <w:pPr>
              <w:pStyle w:val="yTableNAm"/>
              <w:jc w:val="right"/>
            </w:pPr>
            <w:r>
              <w:t>309</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vAlign w:val="bottom"/>
          </w:tcPr>
          <w:p>
            <w:pPr>
              <w:pStyle w:val="yTableNAm"/>
              <w:jc w:val="right"/>
            </w:pPr>
            <w:r>
              <w:t>61</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vAlign w:val="bottom"/>
          </w:tcPr>
          <w:p>
            <w:pPr>
              <w:pStyle w:val="yTableNAm"/>
              <w:jc w:val="right"/>
            </w:pPr>
            <w:r>
              <w:t>221</w:t>
            </w:r>
          </w:p>
        </w:tc>
      </w:tr>
      <w:tr>
        <w:trPr>
          <w:gridAfter w:val="2"/>
          <w:wAfter w:w="19" w:type="dxa"/>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29" w:type="dxa"/>
            <w:tcBorders>
              <w:top w:val="nil"/>
              <w:left w:val="nil"/>
              <w:bottom w:val="nil"/>
              <w:right w:val="nil"/>
            </w:tcBorders>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vAlign w:val="bottom"/>
          </w:tcPr>
          <w:p>
            <w:pPr>
              <w:pStyle w:val="yTableNAm"/>
              <w:jc w:val="right"/>
            </w:pPr>
            <w:r>
              <w:t>401</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vAlign w:val="bottom"/>
          </w:tcPr>
          <w:p>
            <w:pPr>
              <w:pStyle w:val="yTableNAm"/>
              <w:jc w:val="right"/>
            </w:pPr>
            <w:r>
              <w:t>109</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vAlign w:val="bottom"/>
          </w:tcPr>
          <w:p>
            <w:pPr>
              <w:pStyle w:val="yTableNAm"/>
              <w:jc w:val="right"/>
            </w:pPr>
            <w:r>
              <w:t>289</w:t>
            </w:r>
          </w:p>
        </w:tc>
      </w:tr>
      <w:tr>
        <w:trPr>
          <w:gridAfter w:val="2"/>
          <w:wAfter w:w="19" w:type="dxa"/>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29" w:type="dxa"/>
            <w:tcBorders>
              <w:top w:val="nil"/>
              <w:left w:val="nil"/>
              <w:bottom w:val="nil"/>
              <w:right w:val="nil"/>
            </w:tcBorders>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vAlign w:val="bottom"/>
          </w:tcPr>
          <w:p>
            <w:pPr>
              <w:pStyle w:val="yTableNAm"/>
              <w:jc w:val="right"/>
            </w:pPr>
            <w:r>
              <w:t>472</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vAlign w:val="bottom"/>
          </w:tcPr>
          <w:p>
            <w:pPr>
              <w:pStyle w:val="yTableNAm"/>
              <w:jc w:val="right"/>
            </w:pPr>
            <w:r>
              <w:t>137</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vAlign w:val="bottom"/>
          </w:tcPr>
          <w:p>
            <w:pPr>
              <w:pStyle w:val="yTableNAm"/>
              <w:jc w:val="right"/>
            </w:pPr>
            <w:r>
              <w:t>289</w:t>
            </w:r>
          </w:p>
        </w:tc>
      </w:tr>
      <w:tr>
        <w:trPr>
          <w:cantSplit/>
          <w:trHeight w:val="234"/>
        </w:trPr>
        <w:tc>
          <w:tcPr>
            <w:tcW w:w="720" w:type="dxa"/>
            <w:tcBorders>
              <w:top w:val="nil"/>
              <w:left w:val="nil"/>
              <w:bottom w:val="nil"/>
              <w:right w:val="nil"/>
            </w:tcBorders>
          </w:tcPr>
          <w:p>
            <w:pPr>
              <w:pStyle w:val="yTableNAm"/>
              <w:keepNext/>
            </w:pPr>
            <w:r>
              <w:t>4.</w:t>
            </w:r>
          </w:p>
        </w:tc>
        <w:tc>
          <w:tcPr>
            <w:tcW w:w="5520" w:type="dxa"/>
            <w:tcBorders>
              <w:top w:val="nil"/>
              <w:left w:val="nil"/>
              <w:bottom w:val="nil"/>
              <w:right w:val="nil"/>
            </w:tcBorders>
          </w:tcPr>
          <w:p>
            <w:pPr>
              <w:pStyle w:val="yTableNAm"/>
            </w:pPr>
            <w:r>
              <w:t xml:space="preserve">Application for dealer’s licence (r. 3A, 3B) — </w:t>
            </w:r>
          </w:p>
        </w:tc>
        <w:tc>
          <w:tcPr>
            <w:tcW w:w="848" w:type="dxa"/>
            <w:gridSpan w:val="3"/>
            <w:tcBorders>
              <w:top w:val="nil"/>
              <w:left w:val="nil"/>
              <w:bottom w:val="nil"/>
              <w:right w:val="nil"/>
            </w:tcBorders>
            <w:vAlign w:val="bottom"/>
          </w:tcPr>
          <w:p>
            <w:pPr>
              <w:pStyle w:val="yTableNAm"/>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8" w:type="dxa"/>
            <w:gridSpan w:val="3"/>
            <w:tcBorders>
              <w:top w:val="nil"/>
              <w:left w:val="nil"/>
              <w:bottom w:val="nil"/>
              <w:right w:val="nil"/>
            </w:tcBorders>
            <w:vAlign w:val="bottom"/>
          </w:tcPr>
          <w:p>
            <w:pPr>
              <w:pStyle w:val="yTableNAm"/>
              <w:jc w:val="right"/>
            </w:pPr>
            <w:r>
              <w:t>626</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vAlign w:val="bottom"/>
          </w:tcPr>
          <w:p>
            <w:pPr>
              <w:pStyle w:val="yTableNAm"/>
              <w:jc w:val="right"/>
            </w:pPr>
            <w:r>
              <w:t>238</w:t>
            </w:r>
          </w:p>
        </w:tc>
      </w:tr>
      <w:tr>
        <w:trPr>
          <w:gridAfter w:val="1"/>
          <w:wAfter w:w="8" w:type="dxa"/>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gridSpan w:val="2"/>
            <w:tcBorders>
              <w:top w:val="nil"/>
              <w:left w:val="nil"/>
              <w:bottom w:val="nil"/>
              <w:right w:val="nil"/>
            </w:tcBorders>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vAlign w:val="bottom"/>
          </w:tcPr>
          <w:p>
            <w:pPr>
              <w:pStyle w:val="yTableNAm"/>
              <w:jc w:val="right"/>
            </w:pPr>
            <w:r>
              <w:t>626</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vAlign w:val="bottom"/>
          </w:tcPr>
          <w:p>
            <w:pPr>
              <w:pStyle w:val="yTableNAm"/>
              <w:jc w:val="right"/>
            </w:pPr>
            <w:r>
              <w:t>225</w:t>
            </w:r>
          </w:p>
        </w:tc>
      </w:tr>
      <w:tr>
        <w:trPr>
          <w:gridAfter w:val="1"/>
          <w:wAfter w:w="8" w:type="dxa"/>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gridSpan w:val="2"/>
            <w:tcBorders>
              <w:top w:val="nil"/>
              <w:left w:val="nil"/>
              <w:bottom w:val="nil"/>
              <w:right w:val="nil"/>
            </w:tcBorders>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vAlign w:val="bottom"/>
          </w:tcPr>
          <w:p>
            <w:pPr>
              <w:pStyle w:val="yTableNAm"/>
              <w:jc w:val="right"/>
            </w:pPr>
            <w:r>
              <w:t>626</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vAlign w:val="bottom"/>
          </w:tcPr>
          <w:p>
            <w:pPr>
              <w:pStyle w:val="yTableNAm"/>
              <w:jc w:val="right"/>
            </w:pPr>
            <w:r>
              <w:t>225</w:t>
            </w:r>
          </w:p>
        </w:tc>
      </w:tr>
      <w:tr>
        <w:trPr>
          <w:gridAfter w:val="1"/>
          <w:wAfter w:w="8" w:type="dxa"/>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gridSpan w:val="2"/>
            <w:tcBorders>
              <w:top w:val="nil"/>
              <w:left w:val="nil"/>
              <w:bottom w:val="nil"/>
              <w:right w:val="nil"/>
            </w:tcBorders>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vAlign w:val="bottom"/>
          </w:tcPr>
          <w:p>
            <w:pPr>
              <w:pStyle w:val="yTableNAm"/>
              <w:jc w:val="right"/>
            </w:pPr>
            <w:r>
              <w:t>441</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vAlign w:val="bottom"/>
          </w:tcPr>
          <w:p>
            <w:pPr>
              <w:pStyle w:val="yTableNAm"/>
              <w:jc w:val="right"/>
            </w:pPr>
            <w:r>
              <w:t>189</w:t>
            </w:r>
          </w:p>
        </w:tc>
      </w:tr>
      <w:tr>
        <w:trPr>
          <w:gridAfter w:val="1"/>
          <w:wAfter w:w="8" w:type="dxa"/>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gridSpan w:val="2"/>
            <w:tcBorders>
              <w:top w:val="nil"/>
              <w:left w:val="nil"/>
              <w:bottom w:val="nil"/>
              <w:right w:val="nil"/>
            </w:tcBorders>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vAlign w:val="bottom"/>
          </w:tcPr>
          <w:p>
            <w:pPr>
              <w:pStyle w:val="yTableNAm"/>
              <w:jc w:val="right"/>
            </w:pPr>
            <w:r>
              <w:t>394</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vAlign w:val="bottom"/>
          </w:tcPr>
          <w:p>
            <w:pPr>
              <w:pStyle w:val="yTableNAm"/>
              <w:jc w:val="right"/>
            </w:pPr>
            <w:r>
              <w:t>126</w:t>
            </w:r>
          </w:p>
        </w:tc>
      </w:tr>
      <w:tr>
        <w:trPr>
          <w:gridAfter w:val="1"/>
          <w:wAfter w:w="8" w:type="dxa"/>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 (r. 3A)</w:t>
            </w:r>
          </w:p>
        </w:tc>
        <w:tc>
          <w:tcPr>
            <w:tcW w:w="840" w:type="dxa"/>
            <w:gridSpan w:val="2"/>
            <w:tcBorders>
              <w:top w:val="nil"/>
              <w:left w:val="nil"/>
              <w:bottom w:val="nil"/>
              <w:right w:val="nil"/>
            </w:tcBorders>
            <w:vAlign w:val="bottom"/>
          </w:tcPr>
          <w:p>
            <w:pPr>
              <w:pStyle w:val="yTableNAm"/>
              <w:jc w:val="right"/>
            </w:pPr>
            <w:r>
              <w:t>86</w:t>
            </w:r>
          </w:p>
        </w:tc>
      </w:tr>
      <w:tr>
        <w:trPr>
          <w:gridAfter w:val="1"/>
          <w:wAfter w:w="8" w:type="dxa"/>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gridSpan w:val="2"/>
            <w:tcBorders>
              <w:top w:val="nil"/>
              <w:left w:val="nil"/>
              <w:bottom w:val="nil"/>
              <w:right w:val="nil"/>
            </w:tcBorders>
            <w:vAlign w:val="bottom"/>
          </w:tcPr>
          <w:p>
            <w:pPr>
              <w:pStyle w:val="yTableNAm"/>
              <w:jc w:val="right"/>
            </w:pPr>
            <w:r>
              <w:t>22</w:t>
            </w:r>
          </w:p>
        </w:tc>
      </w:tr>
      <w:tr>
        <w:trPr>
          <w:gridAfter w:val="1"/>
          <w:wAfter w:w="8" w:type="dxa"/>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gridSpan w:val="2"/>
            <w:tcBorders>
              <w:top w:val="nil"/>
              <w:left w:val="nil"/>
              <w:bottom w:val="nil"/>
              <w:right w:val="nil"/>
            </w:tcBorders>
            <w:vAlign w:val="bottom"/>
          </w:tcPr>
          <w:p>
            <w:pPr>
              <w:pStyle w:val="yTableNAm"/>
              <w:jc w:val="right"/>
            </w:pPr>
            <w:r>
              <w:t>35</w:t>
            </w:r>
          </w:p>
        </w:tc>
      </w:tr>
      <w:tr>
        <w:trPr>
          <w:gridAfter w:val="1"/>
          <w:wAfter w:w="8" w:type="dxa"/>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gridSpan w:val="2"/>
            <w:tcBorders>
              <w:top w:val="nil"/>
              <w:left w:val="nil"/>
              <w:bottom w:val="nil"/>
              <w:right w:val="nil"/>
            </w:tcBorders>
            <w:vAlign w:val="bottom"/>
          </w:tcPr>
          <w:p>
            <w:pPr>
              <w:pStyle w:val="yTableNAm"/>
              <w:jc w:val="right"/>
            </w:pPr>
            <w:r>
              <w:t>22</w:t>
            </w:r>
          </w:p>
        </w:tc>
      </w:tr>
      <w:tr>
        <w:trPr>
          <w:gridAfter w:val="1"/>
          <w:wAfter w:w="8" w:type="dxa"/>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gridSpan w:val="2"/>
            <w:tcBorders>
              <w:top w:val="nil"/>
              <w:left w:val="nil"/>
              <w:bottom w:val="single" w:sz="4" w:space="0" w:color="auto"/>
              <w:right w:val="nil"/>
            </w:tcBorders>
            <w:vAlign w:val="bottom"/>
          </w:tcPr>
          <w:p>
            <w:pPr>
              <w:pStyle w:val="yTableNAm"/>
              <w:jc w:val="right"/>
            </w:pPr>
            <w:r>
              <w:t>166.10</w:t>
            </w:r>
          </w:p>
        </w:tc>
      </w:tr>
    </w:tbl>
    <w:p>
      <w:pPr>
        <w:pStyle w:val="yFootnotesection"/>
      </w:pPr>
      <w:r>
        <w:tab/>
        <w:t>[Schedule 1A inserted: SL 2021/106 r. 4.]</w:t>
      </w:r>
    </w:p>
    <w:p>
      <w:pPr>
        <w:pStyle w:val="yScheduleHeading"/>
      </w:pPr>
      <w:bookmarkStart w:id="83" w:name="_Toc104967267"/>
      <w:bookmarkStart w:id="84" w:name="_Toc104967440"/>
      <w:bookmarkStart w:id="85" w:name="_Toc104975134"/>
      <w:r>
        <w:rPr>
          <w:rStyle w:val="CharSchNo"/>
        </w:rPr>
        <w:lastRenderedPageBreak/>
        <w:t>Schedule 2</w:t>
      </w:r>
      <w:r>
        <w:t> — </w:t>
      </w:r>
      <w:r>
        <w:rPr>
          <w:rStyle w:val="CharSchText"/>
        </w:rPr>
        <w:t>Descriptions of firearms for regulation 25</w:t>
      </w:r>
      <w:bookmarkEnd w:id="83"/>
      <w:bookmarkEnd w:id="84"/>
      <w:bookmarkEnd w:id="85"/>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lastRenderedPageBreak/>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86" w:name="_Toc104967268"/>
      <w:bookmarkStart w:id="87" w:name="_Toc104967441"/>
      <w:bookmarkStart w:id="88" w:name="_Toc104975135"/>
      <w:r>
        <w:rPr>
          <w:rStyle w:val="CharSchNo"/>
        </w:rPr>
        <w:lastRenderedPageBreak/>
        <w:t>Schedule 3</w:t>
      </w:r>
      <w:r>
        <w:t> — </w:t>
      </w:r>
      <w:r>
        <w:rPr>
          <w:rStyle w:val="CharSchText"/>
        </w:rPr>
        <w:t>Categories of firearms</w:t>
      </w:r>
      <w:bookmarkEnd w:id="86"/>
      <w:bookmarkEnd w:id="87"/>
      <w:bookmarkEnd w:id="88"/>
    </w:p>
    <w:p>
      <w:pPr>
        <w:pStyle w:val="yShoulderClause"/>
      </w:pPr>
      <w:r>
        <w:t>[r. 6A]</w:t>
      </w:r>
    </w:p>
    <w:p>
      <w:pPr>
        <w:pStyle w:val="yHeading3"/>
      </w:pPr>
      <w:bookmarkStart w:id="89" w:name="_Toc104967269"/>
      <w:bookmarkStart w:id="90" w:name="_Toc104967442"/>
      <w:bookmarkStart w:id="91" w:name="_Toc104975136"/>
      <w:r>
        <w:rPr>
          <w:rStyle w:val="CharSDivNo"/>
        </w:rPr>
        <w:t>Division 1</w:t>
      </w:r>
      <w:r>
        <w:rPr>
          <w:b w:val="0"/>
        </w:rPr>
        <w:t> — </w:t>
      </w:r>
      <w:r>
        <w:rPr>
          <w:rStyle w:val="CharSDivText"/>
        </w:rPr>
        <w:t>Category A</w:t>
      </w:r>
      <w:bookmarkEnd w:id="89"/>
      <w:bookmarkEnd w:id="90"/>
      <w:bookmarkEnd w:id="91"/>
    </w:p>
    <w:p>
      <w:pPr>
        <w:pStyle w:val="yFootnoteheading"/>
      </w:pPr>
      <w:r>
        <w:tab/>
        <w:t>[Heading inserted: Gazette 31 Aug 2010 p. 4185.]</w:t>
      </w:r>
    </w:p>
    <w:p>
      <w:pPr>
        <w:pStyle w:val="yHeading5"/>
      </w:pPr>
      <w:bookmarkStart w:id="92" w:name="_Toc104975137"/>
      <w:r>
        <w:rPr>
          <w:rStyle w:val="CharSClsNo"/>
        </w:rPr>
        <w:t>1</w:t>
      </w:r>
      <w:r>
        <w:t>.</w:t>
      </w:r>
      <w:r>
        <w:rPr>
          <w:b w:val="0"/>
        </w:rPr>
        <w:tab/>
      </w:r>
      <w:r>
        <w:t>Category A firearms</w:t>
      </w:r>
      <w:bookmarkEnd w:id="92"/>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93" w:name="_Toc104967271"/>
      <w:bookmarkStart w:id="94" w:name="_Toc104967444"/>
      <w:bookmarkStart w:id="95" w:name="_Toc104975138"/>
      <w:r>
        <w:rPr>
          <w:rStyle w:val="CharSDivNo"/>
        </w:rPr>
        <w:lastRenderedPageBreak/>
        <w:t>Division 2</w:t>
      </w:r>
      <w:r>
        <w:rPr>
          <w:b w:val="0"/>
        </w:rPr>
        <w:t> — </w:t>
      </w:r>
      <w:r>
        <w:rPr>
          <w:rStyle w:val="CharSDivText"/>
        </w:rPr>
        <w:t>Category B</w:t>
      </w:r>
      <w:bookmarkEnd w:id="93"/>
      <w:bookmarkEnd w:id="94"/>
      <w:bookmarkEnd w:id="95"/>
    </w:p>
    <w:p>
      <w:pPr>
        <w:pStyle w:val="yFootnoteheading"/>
        <w:keepNext/>
        <w:keepLines/>
      </w:pPr>
      <w:r>
        <w:tab/>
        <w:t>[Heading inserted: Gazette 31 Aug 2010 p. 4185.]</w:t>
      </w:r>
    </w:p>
    <w:p>
      <w:pPr>
        <w:pStyle w:val="yHeading5"/>
      </w:pPr>
      <w:bookmarkStart w:id="96" w:name="_Toc104975139"/>
      <w:r>
        <w:rPr>
          <w:rStyle w:val="CharSClsNo"/>
        </w:rPr>
        <w:t>2</w:t>
      </w:r>
      <w:r>
        <w:t>.</w:t>
      </w:r>
      <w:r>
        <w:rPr>
          <w:b w:val="0"/>
        </w:rPr>
        <w:tab/>
      </w:r>
      <w:r>
        <w:t>Category B firearms</w:t>
      </w:r>
      <w:bookmarkEnd w:id="96"/>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97" w:name="_Toc104975140"/>
      <w:r>
        <w:rPr>
          <w:rStyle w:val="CharSClsNo"/>
        </w:rPr>
        <w:t>3</w:t>
      </w:r>
      <w:r>
        <w:t>.</w:t>
      </w:r>
      <w:r>
        <w:rPr>
          <w:b w:val="0"/>
        </w:rPr>
        <w:tab/>
      </w:r>
      <w:r>
        <w:t>Genuine need test for category B</w:t>
      </w:r>
      <w:bookmarkEnd w:id="97"/>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98" w:name="_Toc104967274"/>
      <w:bookmarkStart w:id="99" w:name="_Toc104967447"/>
      <w:bookmarkStart w:id="100" w:name="_Toc104975141"/>
      <w:r>
        <w:rPr>
          <w:rStyle w:val="CharSDivNo"/>
        </w:rPr>
        <w:lastRenderedPageBreak/>
        <w:t>Division 3</w:t>
      </w:r>
      <w:r>
        <w:rPr>
          <w:b w:val="0"/>
        </w:rPr>
        <w:t> — </w:t>
      </w:r>
      <w:r>
        <w:rPr>
          <w:rStyle w:val="CharSDivText"/>
        </w:rPr>
        <w:t>Category C</w:t>
      </w:r>
      <w:bookmarkEnd w:id="98"/>
      <w:bookmarkEnd w:id="99"/>
      <w:bookmarkEnd w:id="100"/>
    </w:p>
    <w:p>
      <w:pPr>
        <w:pStyle w:val="yFootnoteheading"/>
        <w:keepNext/>
        <w:keepLines/>
        <w:jc w:val="both"/>
      </w:pPr>
      <w:r>
        <w:tab/>
        <w:t>[Heading inserted: Gazette 31 Aug 2010 p. 4186.]</w:t>
      </w:r>
    </w:p>
    <w:p>
      <w:pPr>
        <w:pStyle w:val="yHeading5"/>
        <w:jc w:val="both"/>
      </w:pPr>
      <w:bookmarkStart w:id="101" w:name="_Toc104975142"/>
      <w:r>
        <w:rPr>
          <w:rStyle w:val="CharSClsNo"/>
        </w:rPr>
        <w:t>4</w:t>
      </w:r>
      <w:r>
        <w:t>.</w:t>
      </w:r>
      <w:r>
        <w:rPr>
          <w:b w:val="0"/>
        </w:rPr>
        <w:tab/>
      </w:r>
      <w:r>
        <w:t>Category C firearms</w:t>
      </w:r>
      <w:bookmarkEnd w:id="101"/>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102" w:name="_Toc104975143"/>
      <w:r>
        <w:rPr>
          <w:rStyle w:val="CharSClsNo"/>
        </w:rPr>
        <w:t>5</w:t>
      </w:r>
      <w:r>
        <w:t>.</w:t>
      </w:r>
      <w:r>
        <w:rPr>
          <w:b w:val="0"/>
        </w:rPr>
        <w:tab/>
      </w:r>
      <w:r>
        <w:t>Genuine need test for category C</w:t>
      </w:r>
      <w:bookmarkEnd w:id="102"/>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103" w:name="_Toc104975144"/>
      <w:r>
        <w:rPr>
          <w:rStyle w:val="CharSClsNo"/>
        </w:rPr>
        <w:t>6</w:t>
      </w:r>
      <w:r>
        <w:t>.</w:t>
      </w:r>
      <w:r>
        <w:rPr>
          <w:b w:val="0"/>
        </w:rPr>
        <w:tab/>
      </w:r>
      <w:r>
        <w:t>Restrictions for category C</w:t>
      </w:r>
      <w:bookmarkEnd w:id="103"/>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lastRenderedPageBreak/>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104" w:name="_Toc104967278"/>
      <w:bookmarkStart w:id="105" w:name="_Toc104967451"/>
      <w:bookmarkStart w:id="106" w:name="_Toc104975145"/>
      <w:r>
        <w:rPr>
          <w:rStyle w:val="CharSDivNo"/>
        </w:rPr>
        <w:lastRenderedPageBreak/>
        <w:t>Division 4</w:t>
      </w:r>
      <w:r>
        <w:rPr>
          <w:b w:val="0"/>
        </w:rPr>
        <w:t> — </w:t>
      </w:r>
      <w:r>
        <w:rPr>
          <w:rStyle w:val="CharSDivText"/>
        </w:rPr>
        <w:t>Category D</w:t>
      </w:r>
      <w:bookmarkEnd w:id="104"/>
      <w:bookmarkEnd w:id="105"/>
      <w:bookmarkEnd w:id="106"/>
    </w:p>
    <w:p>
      <w:pPr>
        <w:pStyle w:val="yFootnoteheading"/>
        <w:keepNext/>
        <w:keepLines/>
        <w:spacing w:before="80"/>
      </w:pPr>
      <w:r>
        <w:tab/>
        <w:t>[Heading inserted: Gazette 31 Aug 2010 p. 4186.]</w:t>
      </w:r>
    </w:p>
    <w:p>
      <w:pPr>
        <w:pStyle w:val="yHeading5"/>
        <w:spacing w:before="160"/>
      </w:pPr>
      <w:bookmarkStart w:id="107" w:name="_Toc104975146"/>
      <w:r>
        <w:rPr>
          <w:rStyle w:val="CharSClsNo"/>
        </w:rPr>
        <w:t>7</w:t>
      </w:r>
      <w:r>
        <w:t>.</w:t>
      </w:r>
      <w:r>
        <w:rPr>
          <w:b w:val="0"/>
        </w:rPr>
        <w:tab/>
      </w:r>
      <w:r>
        <w:t>Category D firearms</w:t>
      </w:r>
      <w:bookmarkEnd w:id="107"/>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spacing w:before="180"/>
      </w:pPr>
      <w:bookmarkStart w:id="108" w:name="_Toc104975147"/>
      <w:r>
        <w:rPr>
          <w:rStyle w:val="CharSClsNo"/>
        </w:rPr>
        <w:t>8</w:t>
      </w:r>
      <w:r>
        <w:t>.</w:t>
      </w:r>
      <w:r>
        <w:rPr>
          <w:b w:val="0"/>
        </w:rPr>
        <w:tab/>
      </w:r>
      <w:r>
        <w:t>Genuine need test for category D</w:t>
      </w:r>
      <w:bookmarkEnd w:id="108"/>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lastRenderedPageBreak/>
        <w:tab/>
        <w:t>[Clause 8 inserted: Gazette 31 Aug 2010 p. 4186.]</w:t>
      </w:r>
    </w:p>
    <w:p>
      <w:pPr>
        <w:pStyle w:val="yHeading3"/>
      </w:pPr>
      <w:bookmarkStart w:id="109" w:name="_Toc104967281"/>
      <w:bookmarkStart w:id="110" w:name="_Toc104967454"/>
      <w:bookmarkStart w:id="111" w:name="_Toc104975148"/>
      <w:r>
        <w:rPr>
          <w:rStyle w:val="CharSDivNo"/>
        </w:rPr>
        <w:t>Division 5</w:t>
      </w:r>
      <w:r>
        <w:rPr>
          <w:b w:val="0"/>
        </w:rPr>
        <w:t> — </w:t>
      </w:r>
      <w:r>
        <w:rPr>
          <w:rStyle w:val="CharSDivText"/>
        </w:rPr>
        <w:t>Category E</w:t>
      </w:r>
      <w:bookmarkEnd w:id="109"/>
      <w:bookmarkEnd w:id="110"/>
      <w:bookmarkEnd w:id="111"/>
    </w:p>
    <w:p>
      <w:pPr>
        <w:pStyle w:val="yFootnoteheading"/>
      </w:pPr>
      <w:r>
        <w:tab/>
        <w:t>[Heading inserted: Gazette 31 Aug 2010 p. 4186.]</w:t>
      </w:r>
    </w:p>
    <w:p>
      <w:pPr>
        <w:pStyle w:val="yHeading5"/>
      </w:pPr>
      <w:bookmarkStart w:id="112" w:name="_Toc104975149"/>
      <w:r>
        <w:rPr>
          <w:rStyle w:val="CharSClsNo"/>
        </w:rPr>
        <w:t>9</w:t>
      </w:r>
      <w:r>
        <w:t>.</w:t>
      </w:r>
      <w:r>
        <w:rPr>
          <w:b w:val="0"/>
        </w:rPr>
        <w:tab/>
      </w:r>
      <w:r>
        <w:t>Category E firearms</w:t>
      </w:r>
      <w:bookmarkEnd w:id="112"/>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113" w:name="_Toc104967283"/>
      <w:bookmarkStart w:id="114" w:name="_Toc104967456"/>
      <w:bookmarkStart w:id="115" w:name="_Toc104975150"/>
      <w:r>
        <w:rPr>
          <w:rStyle w:val="CharSDivNo"/>
        </w:rPr>
        <w:t>Division 6</w:t>
      </w:r>
      <w:r>
        <w:rPr>
          <w:b w:val="0"/>
        </w:rPr>
        <w:t> — </w:t>
      </w:r>
      <w:r>
        <w:rPr>
          <w:rStyle w:val="CharSDivText"/>
        </w:rPr>
        <w:t>Category H</w:t>
      </w:r>
      <w:bookmarkEnd w:id="113"/>
      <w:bookmarkEnd w:id="114"/>
      <w:bookmarkEnd w:id="115"/>
    </w:p>
    <w:p>
      <w:pPr>
        <w:pStyle w:val="yFootnoteheading"/>
      </w:pPr>
      <w:r>
        <w:tab/>
        <w:t>[Heading inserted: Gazette 31 Aug 2010 p. 4187.]</w:t>
      </w:r>
    </w:p>
    <w:p>
      <w:pPr>
        <w:pStyle w:val="yHeading5"/>
      </w:pPr>
      <w:bookmarkStart w:id="116" w:name="_Toc104975151"/>
      <w:r>
        <w:rPr>
          <w:rStyle w:val="CharSClsNo"/>
        </w:rPr>
        <w:t>10</w:t>
      </w:r>
      <w:r>
        <w:t>.</w:t>
      </w:r>
      <w:r>
        <w:rPr>
          <w:b w:val="0"/>
        </w:rPr>
        <w:tab/>
      </w:r>
      <w:r>
        <w:t>Category H firearms</w:t>
      </w:r>
      <w:bookmarkEnd w:id="116"/>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117" w:name="_Toc104975152"/>
      <w:r>
        <w:rPr>
          <w:rStyle w:val="CharSClsNo"/>
        </w:rPr>
        <w:lastRenderedPageBreak/>
        <w:t>11</w:t>
      </w:r>
      <w:r>
        <w:t>.</w:t>
      </w:r>
      <w:r>
        <w:rPr>
          <w:b w:val="0"/>
        </w:rPr>
        <w:tab/>
      </w:r>
      <w:r>
        <w:t>Genuine need test for category H</w:t>
      </w:r>
      <w:bookmarkEnd w:id="117"/>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118" w:name="_Toc104975153"/>
      <w:r>
        <w:rPr>
          <w:rStyle w:val="CharSClsNo"/>
        </w:rPr>
        <w:t>12</w:t>
      </w:r>
      <w:r>
        <w:t>.</w:t>
      </w:r>
      <w:r>
        <w:rPr>
          <w:b w:val="0"/>
        </w:rPr>
        <w:tab/>
      </w:r>
      <w:r>
        <w:t>Restrictions for category H</w:t>
      </w:r>
      <w:bookmarkEnd w:id="118"/>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lastRenderedPageBreak/>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lastRenderedPageBreak/>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 xml:space="preserve">if the approval, permit or licence relates to at least one handgun in each of 2 or more disciplines — the licensee must use a handgun from each discipline in at least 4 shooting </w:t>
      </w:r>
      <w:r>
        <w:lastRenderedPageBreak/>
        <w:t>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lastRenderedPageBreak/>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119" w:name="_Toc104967287"/>
      <w:bookmarkStart w:id="120" w:name="_Toc104967460"/>
      <w:bookmarkStart w:id="121" w:name="_Toc104975154"/>
      <w:r>
        <w:rPr>
          <w:rStyle w:val="CharSchNo"/>
        </w:rPr>
        <w:lastRenderedPageBreak/>
        <w:t>Schedule 4</w:t>
      </w:r>
      <w:r>
        <w:t> — </w:t>
      </w:r>
      <w:r>
        <w:rPr>
          <w:rStyle w:val="CharSchText"/>
        </w:rPr>
        <w:t>Specifications for storage cabinets or containers</w:t>
      </w:r>
      <w:bookmarkEnd w:id="119"/>
      <w:bookmarkEnd w:id="120"/>
      <w:bookmarkEnd w:id="121"/>
    </w:p>
    <w:p>
      <w:pPr>
        <w:pStyle w:val="yFootnoteheading"/>
      </w:pPr>
      <w:r>
        <w:tab/>
        <w:t>[Heading inserted: Gazette 6 Dec 1996 p. 6847.]</w:t>
      </w:r>
    </w:p>
    <w:p>
      <w:pPr>
        <w:pStyle w:val="yShoulderClause"/>
      </w:pPr>
      <w:r>
        <w:t>[r. 11A(2)]</w:t>
      </w:r>
    </w:p>
    <w:p>
      <w:pPr>
        <w:pStyle w:val="yHeading5"/>
        <w:outlineLvl w:val="9"/>
      </w:pPr>
      <w:bookmarkStart w:id="122" w:name="_Toc104975155"/>
      <w:r>
        <w:rPr>
          <w:rStyle w:val="CharSClsNo"/>
        </w:rPr>
        <w:t>1</w:t>
      </w:r>
      <w:r>
        <w:t>.</w:t>
      </w:r>
      <w:r>
        <w:tab/>
        <w:t>Construction</w:t>
      </w:r>
      <w:bookmarkEnd w:id="122"/>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outlineLvl w:val="9"/>
      </w:pPr>
      <w:bookmarkStart w:id="123" w:name="_Toc104975156"/>
      <w:r>
        <w:rPr>
          <w:rStyle w:val="CharSClsNo"/>
        </w:rPr>
        <w:t>2</w:t>
      </w:r>
      <w:r>
        <w:t>.</w:t>
      </w:r>
      <w:r>
        <w:tab/>
        <w:t>Doors</w:t>
      </w:r>
      <w:bookmarkEnd w:id="123"/>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outlineLvl w:val="9"/>
      </w:pPr>
      <w:bookmarkStart w:id="124" w:name="_Toc104975157"/>
      <w:r>
        <w:rPr>
          <w:rStyle w:val="CharSClsNo"/>
        </w:rPr>
        <w:lastRenderedPageBreak/>
        <w:t>3</w:t>
      </w:r>
      <w:r>
        <w:t>.</w:t>
      </w:r>
      <w:r>
        <w:tab/>
        <w:t>Hinging mechanisms</w:t>
      </w:r>
      <w:bookmarkEnd w:id="124"/>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outlineLvl w:val="9"/>
      </w:pPr>
      <w:bookmarkStart w:id="125" w:name="_Toc104975158"/>
      <w:r>
        <w:rPr>
          <w:rStyle w:val="CharSClsNo"/>
        </w:rPr>
        <w:t>4</w:t>
      </w:r>
      <w:r>
        <w:t>.</w:t>
      </w:r>
      <w:r>
        <w:tab/>
        <w:t>Locks and locking points</w:t>
      </w:r>
      <w:bookmarkEnd w:id="125"/>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lastRenderedPageBreak/>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outlineLvl w:val="9"/>
      </w:pPr>
      <w:bookmarkStart w:id="126" w:name="_Toc104975159"/>
      <w:r>
        <w:rPr>
          <w:rStyle w:val="CharSClsNo"/>
        </w:rPr>
        <w:t>5</w:t>
      </w:r>
      <w:r>
        <w:t>.</w:t>
      </w:r>
      <w:r>
        <w:tab/>
        <w:t>Anchoring</w:t>
      </w:r>
      <w:bookmarkEnd w:id="126"/>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pPr>
      <w:bookmarkStart w:id="127" w:name="_Toc104967293"/>
      <w:bookmarkStart w:id="128" w:name="_Toc104967466"/>
      <w:bookmarkStart w:id="129" w:name="_Toc104975160"/>
      <w:r>
        <w:lastRenderedPageBreak/>
        <w:t>Notes</w:t>
      </w:r>
      <w:bookmarkEnd w:id="127"/>
      <w:bookmarkEnd w:id="128"/>
      <w:bookmarkEnd w:id="129"/>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0" w:name="_Toc104975161"/>
      <w:r>
        <w:t>Compilation table</w:t>
      </w:r>
      <w:bookmarkEnd w:id="130"/>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lastRenderedPageBreak/>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lastRenderedPageBreak/>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lastRenderedPageBreak/>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lastRenderedPageBreak/>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lastRenderedPageBreak/>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lastRenderedPageBreak/>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r>
        <w:trPr>
          <w:cantSplit/>
        </w:trPr>
        <w:tc>
          <w:tcPr>
            <w:tcW w:w="3118" w:type="dxa"/>
          </w:tcPr>
          <w:p>
            <w:pPr>
              <w:pStyle w:val="nTable"/>
              <w:spacing w:after="40"/>
              <w:rPr>
                <w:i/>
              </w:rPr>
            </w:pPr>
            <w:r>
              <w:rPr>
                <w:i/>
              </w:rPr>
              <w:t>Police Regulations Amendment (Procurement) Regulations 2020</w:t>
            </w:r>
            <w:r>
              <w:t xml:space="preserve"> Pt. 2</w:t>
            </w:r>
          </w:p>
        </w:tc>
        <w:tc>
          <w:tcPr>
            <w:tcW w:w="1276" w:type="dxa"/>
          </w:tcPr>
          <w:p>
            <w:pPr>
              <w:pStyle w:val="nTable"/>
              <w:spacing w:after="40"/>
            </w:pPr>
            <w:r>
              <w:t>SL 2020/248 18 Dec 2020</w:t>
            </w:r>
          </w:p>
        </w:tc>
        <w:tc>
          <w:tcPr>
            <w:tcW w:w="2693" w:type="dxa"/>
          </w:tcPr>
          <w:p>
            <w:pPr>
              <w:pStyle w:val="nTable"/>
              <w:spacing w:after="40"/>
            </w:pPr>
            <w:r>
              <w:t>1 Jun 2021 (see r. 2(b) and SL 2020/244 cl. 2(b))</w:t>
            </w:r>
          </w:p>
        </w:tc>
      </w:tr>
      <w:tr>
        <w:trPr>
          <w:cantSplit/>
        </w:trPr>
        <w:tc>
          <w:tcPr>
            <w:tcW w:w="3118" w:type="dxa"/>
          </w:tcPr>
          <w:p>
            <w:pPr>
              <w:pStyle w:val="nTable"/>
              <w:spacing w:after="40"/>
              <w:rPr>
                <w:i/>
              </w:rPr>
            </w:pPr>
            <w:r>
              <w:rPr>
                <w:i/>
              </w:rPr>
              <w:t>Police Regulations Amendment (Fees and Charges) Regulations 2021</w:t>
            </w:r>
            <w:r>
              <w:t xml:space="preserve"> Pt. 2</w:t>
            </w:r>
          </w:p>
        </w:tc>
        <w:tc>
          <w:tcPr>
            <w:tcW w:w="1276" w:type="dxa"/>
          </w:tcPr>
          <w:p>
            <w:pPr>
              <w:pStyle w:val="nTable"/>
              <w:spacing w:after="40"/>
            </w:pPr>
            <w:r>
              <w:t xml:space="preserve">SL 2021/106 29 Jun 2021 </w:t>
            </w:r>
          </w:p>
        </w:tc>
        <w:tc>
          <w:tcPr>
            <w:tcW w:w="2693" w:type="dxa"/>
          </w:tcPr>
          <w:p>
            <w:pPr>
              <w:pStyle w:val="nTable"/>
              <w:spacing w:after="40"/>
            </w:pPr>
            <w:r>
              <w:t>1 Jul 2021 (see r. 2(b))</w:t>
            </w:r>
          </w:p>
        </w:tc>
      </w:tr>
      <w:tr>
        <w:trPr>
          <w:cantSplit/>
        </w:trPr>
        <w:tc>
          <w:tcPr>
            <w:tcW w:w="3118" w:type="dxa"/>
            <w:tcBorders>
              <w:bottom w:val="single" w:sz="4" w:space="0" w:color="auto"/>
            </w:tcBorders>
          </w:tcPr>
          <w:p>
            <w:pPr>
              <w:pStyle w:val="nTable"/>
              <w:spacing w:after="40"/>
              <w:rPr>
                <w:i/>
              </w:rPr>
            </w:pPr>
            <w:r>
              <w:rPr>
                <w:i/>
              </w:rPr>
              <w:t>Firearms Amendment Regulations 2022</w:t>
            </w:r>
          </w:p>
        </w:tc>
        <w:tc>
          <w:tcPr>
            <w:tcW w:w="1276" w:type="dxa"/>
            <w:tcBorders>
              <w:bottom w:val="single" w:sz="4" w:space="0" w:color="auto"/>
            </w:tcBorders>
          </w:tcPr>
          <w:p>
            <w:pPr>
              <w:pStyle w:val="nTable"/>
              <w:spacing w:after="40"/>
            </w:pPr>
            <w:r>
              <w:t>SL 2022/40 25 Mar 2022</w:t>
            </w:r>
          </w:p>
        </w:tc>
        <w:tc>
          <w:tcPr>
            <w:tcW w:w="2693" w:type="dxa"/>
            <w:tcBorders>
              <w:bottom w:val="single" w:sz="4" w:space="0" w:color="auto"/>
            </w:tcBorders>
          </w:tcPr>
          <w:p>
            <w:pPr>
              <w:pStyle w:val="nTable"/>
              <w:spacing w:after="40"/>
            </w:pPr>
            <w:r>
              <w:t>r. 1 and 2: 25 Mar 2022 (see r. 2(a));</w:t>
            </w:r>
            <w:r>
              <w:br/>
              <w:t>Regulations other than r. 1 and 2: 26 Mar 2022 (see r. 2(b))</w:t>
            </w:r>
          </w:p>
        </w:tc>
      </w:tr>
    </w:tbl>
    <w:p>
      <w:pPr>
        <w:pStyle w:val="nHeading3"/>
      </w:pPr>
      <w:bookmarkStart w:id="131" w:name="_Toc104975162"/>
      <w:r>
        <w:t>Uncommenced provisions table</w:t>
      </w:r>
      <w:bookmarkEnd w:id="13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Police Regulations Amendment (Fees and Charges) Regulations 2022</w:t>
            </w:r>
            <w:r>
              <w:t xml:space="preserve"> Pt. 2</w:t>
            </w:r>
          </w:p>
        </w:tc>
        <w:tc>
          <w:tcPr>
            <w:tcW w:w="1276" w:type="dxa"/>
          </w:tcPr>
          <w:p>
            <w:pPr>
              <w:pStyle w:val="nTable"/>
              <w:spacing w:after="40"/>
            </w:pPr>
            <w:r>
              <w:t>SL 2022/65 3 Jun 2022</w:t>
            </w:r>
          </w:p>
        </w:tc>
        <w:tc>
          <w:tcPr>
            <w:tcW w:w="2693" w:type="dxa"/>
          </w:tcPr>
          <w:p>
            <w:pPr>
              <w:pStyle w:val="nTable"/>
              <w:spacing w:after="40"/>
            </w:pPr>
            <w:r>
              <w:t>1 Jul 2022 (see r. 2(b))</w:t>
            </w:r>
          </w:p>
        </w:tc>
      </w:tr>
    </w:tbl>
    <w:p>
      <w:pPr>
        <w:pStyle w:val="nHeading3"/>
      </w:pPr>
      <w:bookmarkStart w:id="132" w:name="_Toc104975163"/>
      <w:r>
        <w:lastRenderedPageBreak/>
        <w:t>Other notes</w:t>
      </w:r>
      <w:bookmarkEnd w:id="132"/>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134" w:name="_Toc104967296"/>
      <w:bookmarkStart w:id="135" w:name="_Toc104967470"/>
      <w:bookmarkStart w:id="136" w:name="_Toc104975164"/>
      <w:r>
        <w:rPr>
          <w:sz w:val="28"/>
        </w:rPr>
        <w:lastRenderedPageBreak/>
        <w:t>Defined terms</w:t>
      </w:r>
      <w:bookmarkEnd w:id="134"/>
      <w:bookmarkEnd w:id="135"/>
      <w:bookmarkEnd w:id="1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application</w:t>
      </w:r>
      <w:r>
        <w:tab/>
        <w:t>3BA(1)</w:t>
      </w:r>
    </w:p>
    <w:p>
      <w:pPr>
        <w:pStyle w:val="DefinedTerms"/>
      </w:pPr>
      <w:r>
        <w:t>approved</w:t>
      </w:r>
      <w:r>
        <w:tab/>
        <w:t>Sch. 3 cl. 12(7B)</w:t>
      </w:r>
    </w:p>
    <w:p>
      <w:pPr>
        <w:pStyle w:val="DefinedTerms"/>
      </w:pPr>
      <w:r>
        <w:t>authorised person</w:t>
      </w:r>
      <w:r>
        <w:tab/>
        <w:t>25A(1)</w:t>
      </w:r>
    </w:p>
    <w:p>
      <w:pPr>
        <w:pStyle w:val="DefinedTerms"/>
      </w:pPr>
      <w:r>
        <w:t>barrel length</w:t>
      </w:r>
      <w:r>
        <w:tab/>
        <w:t>Sch. 3 cl. 12(7B)</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face</w:t>
      </w:r>
      <w:r>
        <w:tab/>
        <w:t>Sch. 4 cl. 1(6)</w:t>
      </w:r>
    </w:p>
    <w:p>
      <w:pPr>
        <w:pStyle w:val="DefinedTerms"/>
      </w:pPr>
      <w:r>
        <w:t>fee</w:t>
      </w:r>
      <w:r>
        <w:tab/>
        <w:t>2(1)</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major firearm part</w:t>
      </w:r>
      <w:r>
        <w:tab/>
        <w:t>18(1a)</w:t>
      </w:r>
    </w:p>
    <w:p>
      <w:pPr>
        <w:pStyle w:val="DefinedTerms"/>
      </w:pPr>
      <w:r>
        <w:t>pastoral lease</w:t>
      </w:r>
      <w:r>
        <w:tab/>
        <w:t>Sch. 3 cl. 12(7B)</w:t>
      </w:r>
    </w:p>
    <w:p>
      <w:pPr>
        <w:pStyle w:val="DefinedTerms"/>
      </w:pPr>
      <w:r>
        <w:t>prescribed person</w:t>
      </w:r>
      <w:r>
        <w:tab/>
        <w:t>6F(1)</w:t>
      </w:r>
    </w:p>
    <w:p>
      <w:pPr>
        <w:pStyle w:val="DefinedTerms"/>
      </w:pPr>
      <w:r>
        <w:t>previous licence</w:t>
      </w:r>
      <w:r>
        <w:tab/>
        <w:t>3BA(2)(b)</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9" w:name="Schedule"/>
    <w:bookmarkEnd w:id="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7" w:name="DefinedTerms"/>
    <w:bookmarkEnd w:id="137"/>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8" w:name="Coversheet"/>
    <w:bookmarkEnd w:id="1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1090828"/>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 w:name="WAFER_2022032213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32800_GUID" w:val="0359ebdd-3508-4ab1-9c83-08cba369e129"/>
    <w:docVar w:name="WAFER_20220601090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28_GUID" w:val="8d7b9157-7de5-482a-952e-9a2807ddf4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7.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oter" Target="footer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image" Target="media/image2.png"/><Relationship Id="rId35" Type="http://schemas.openxmlformats.org/officeDocument/2006/relationships/header" Target="header21.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25431</Words>
  <Characters>120802</Characters>
  <Application>Microsoft Office Word</Application>
  <DocSecurity>0</DocSecurity>
  <Lines>5752</Lines>
  <Paragraphs>3400</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142833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1974 - 09-o0-00</dc:title>
  <dc:subject/>
  <dc:creator/>
  <cp:keywords/>
  <dc:description/>
  <cp:lastModifiedBy>Master Repository Process</cp:lastModifiedBy>
  <cp:revision>4</cp:revision>
  <cp:lastPrinted>2016-08-05T02:16:00Z</cp:lastPrinted>
  <dcterms:created xsi:type="dcterms:W3CDTF">2022-06-03T03:39:00Z</dcterms:created>
  <dcterms:modified xsi:type="dcterms:W3CDTF">2022-06-03T03:39:00Z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AsAtDate">
    <vt:lpwstr>03 Jun 2022</vt:lpwstr>
  </property>
  <property fmtid="{D5CDD505-2E9C-101B-9397-08002B2CF9AE}" pid="8" name="Suffix">
    <vt:lpwstr>09-o0-00</vt:lpwstr>
  </property>
  <property fmtid="{D5CDD505-2E9C-101B-9397-08002B2CF9AE}" pid="9" name="CommencementDate">
    <vt:lpwstr>20220603</vt:lpwstr>
  </property>
</Properties>
</file>