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_Toc104975386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_Toc104975387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_Toc104975388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_Toc104975390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_Toc104975391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_Toc104975392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_Toc104975393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_Toc104975394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_Toc104975395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_Toc104975397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_Toc104975398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_Toc104975399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_Toc104975401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_Toc104975402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_Toc104975403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_Toc104975404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_Toc104975406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_Toc104975407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_Toc104975408 \h </w:instrText>
      </w:r>
      <w:r>
        <w:fldChar w:fldCharType="separate"/>
      </w:r>
      <w:r>
        <w:t>23</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_Toc104975409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_Toc104975411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8"/>
        <w:rPr>
          <w:rFonts w:asciiTheme="minorHAnsi" w:eastAsiaTheme="minorEastAsia" w:hAnsiTheme="minorHAnsi" w:cstheme="minorBidi"/>
          <w:szCs w:val="22"/>
        </w:rPr>
      </w:pPr>
      <w:r>
        <w:t>33.</w:t>
      </w:r>
      <w:r>
        <w:tab/>
        <w:t xml:space="preserve">Transitional provisions relating to </w:t>
      </w:r>
      <w:r>
        <w:rPr>
          <w:i/>
        </w:rPr>
        <w:t>Pawnbrokers and Second</w:t>
      </w:r>
      <w:r>
        <w:rPr>
          <w:i/>
        </w:rPr>
        <w:noBreakHyphen/>
        <w:t>hand Dealers Amendment Regulations 2020</w:t>
      </w:r>
      <w:r>
        <w:tab/>
      </w:r>
      <w:r>
        <w:fldChar w:fldCharType="begin"/>
      </w:r>
      <w:r>
        <w:instrText xml:space="preserve"> PAGEREF _Toc104975413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_Toc104975415 \h </w:instrText>
      </w:r>
      <w:r>
        <w:fldChar w:fldCharType="separate"/>
      </w:r>
      <w:r>
        <w:t>28</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_Toc104975416 \h </w:instrText>
      </w:r>
      <w:r>
        <w:fldChar w:fldCharType="separate"/>
      </w:r>
      <w:r>
        <w:t>31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_Toc104975417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104967948"/>
      <w:bookmarkStart w:id="4" w:name="_Toc104968105"/>
      <w:bookmarkStart w:id="5" w:name="_Toc10497538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104975386"/>
      <w:r>
        <w:rPr>
          <w:rStyle w:val="CharSectno"/>
        </w:rPr>
        <w:t>1</w:t>
      </w:r>
      <w:r>
        <w:rPr>
          <w:snapToGrid w:val="0"/>
        </w:rPr>
        <w:t>.</w:t>
      </w:r>
      <w:r>
        <w:rPr>
          <w:snapToGrid w:val="0"/>
        </w:rPr>
        <w:tab/>
        <w:t>Citation</w:t>
      </w:r>
      <w:bookmarkEnd w:id="6"/>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rPr>
        <w:t>.</w:t>
      </w:r>
    </w:p>
    <w:p>
      <w:pPr>
        <w:pStyle w:val="Heading5"/>
        <w:rPr>
          <w:snapToGrid w:val="0"/>
        </w:rPr>
      </w:pPr>
      <w:bookmarkStart w:id="7" w:name="_Toc104975387"/>
      <w:r>
        <w:rPr>
          <w:rStyle w:val="CharSectno"/>
        </w:rPr>
        <w:t>2</w:t>
      </w:r>
      <w:r>
        <w:rPr>
          <w:snapToGrid w:val="0"/>
        </w:rPr>
        <w:t>.</w:t>
      </w:r>
      <w:r>
        <w:rPr>
          <w:snapToGrid w:val="0"/>
        </w:rPr>
        <w:tab/>
        <w:t>Commencement</w:t>
      </w:r>
      <w:bookmarkEnd w:id="7"/>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8" w:name="_Toc104975388"/>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(aa)</w:t>
      </w:r>
      <w:r>
        <w:tab/>
        <w:t>a bank constituted by a law of a State, a Territory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State agency</w:t>
      </w:r>
      <w:r>
        <w:t xml:space="preserve"> has the meaning given in the </w:t>
      </w:r>
      <w:r>
        <w:rPr>
          <w:i/>
        </w:rPr>
        <w:t xml:space="preserve">Procurement Act 2020 </w:t>
      </w:r>
      <w:r>
        <w:t>section 5(1);</w:t>
      </w:r>
    </w:p>
    <w:p>
      <w:pPr>
        <w:pStyle w:val="Defstart"/>
      </w:pPr>
      <w:r>
        <w:lastRenderedPageBreak/>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Gazette 28 Jul 2000 p. 4019; 8 Jan 2015 p. 151; SL 2020/147 r. 4; SL 2020/248 r. 6.]</w:t>
      </w:r>
    </w:p>
    <w:p>
      <w:pPr>
        <w:pStyle w:val="Heading2"/>
      </w:pPr>
      <w:bookmarkStart w:id="9" w:name="_Toc104967952"/>
      <w:bookmarkStart w:id="10" w:name="_Toc104968109"/>
      <w:bookmarkStart w:id="11" w:name="_Toc104975389"/>
      <w:r>
        <w:rPr>
          <w:rStyle w:val="CharPartNo"/>
        </w:rPr>
        <w:lastRenderedPageBreak/>
        <w:t>Part 2</w:t>
      </w:r>
      <w:r>
        <w:rPr>
          <w:rStyle w:val="CharDivNo"/>
        </w:rPr>
        <w:t> </w:t>
      </w:r>
      <w:r>
        <w:t>—</w:t>
      </w:r>
      <w:r>
        <w:rPr>
          <w:rStyle w:val="CharDivText"/>
        </w:rPr>
        <w:t> </w:t>
      </w:r>
      <w:r>
        <w:rPr>
          <w:rStyle w:val="CharPartText"/>
        </w:rPr>
        <w:t>Prescribed matters for which Act or certain provisions of Act do not apply</w:t>
      </w:r>
      <w:bookmarkEnd w:id="9"/>
      <w:bookmarkEnd w:id="10"/>
      <w:bookmarkEnd w:id="11"/>
    </w:p>
    <w:p>
      <w:pPr>
        <w:pStyle w:val="Heading5"/>
        <w:rPr>
          <w:snapToGrid w:val="0"/>
        </w:rPr>
      </w:pPr>
      <w:bookmarkStart w:id="12" w:name="_Toc104975390"/>
      <w:r>
        <w:rPr>
          <w:rStyle w:val="CharSectno"/>
        </w:rPr>
        <w:t>4</w:t>
      </w:r>
      <w:r>
        <w:rPr>
          <w:snapToGrid w:val="0"/>
        </w:rPr>
        <w:t>.</w:t>
      </w:r>
      <w:r>
        <w:rPr>
          <w:snapToGrid w:val="0"/>
        </w:rPr>
        <w:tab/>
        <w:t>Provisions prescribed for financial bodies (Act s. 4(3))</w:t>
      </w:r>
      <w:bookmarkEnd w:id="12"/>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r>
        <w:tab/>
        <w:t>[Regulation 4 amended: Gazette 8 Jan 2015 p. 152.]</w:t>
      </w:r>
    </w:p>
    <w:p>
      <w:pPr>
        <w:pStyle w:val="Heading5"/>
        <w:rPr>
          <w:snapToGrid w:val="0"/>
        </w:rPr>
      </w:pPr>
      <w:bookmarkStart w:id="13" w:name="_Toc104975391"/>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13"/>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silver, copper or copper alloy (including bronze and brass)).</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Household soft furnishings, including rugs, curtains and manchester.</w:t>
            </w:r>
          </w:p>
        </w:tc>
      </w:tr>
      <w:tr>
        <w:trPr>
          <w:gridAfter w:val="1"/>
          <w:wAfter w:w="69" w:type="dxa"/>
          <w:cantSplit/>
        </w:trPr>
        <w:tc>
          <w:tcPr>
            <w:tcW w:w="915" w:type="dxa"/>
          </w:tcPr>
          <w:p>
            <w:pPr>
              <w:pStyle w:val="Table"/>
              <w:spacing w:before="0"/>
            </w:pPr>
            <w:r>
              <w:lastRenderedPageBreak/>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keepNext/>
      </w:pPr>
      <w:r>
        <w:lastRenderedPageBreak/>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keepNext/>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Gazette 28 Jul 2000 p. 4019; 3 Dec 2002 p. 5713; 30 Apr 2007 p. 1838; 16 May 2008 p. 1912; Act No. 8 of 2009 s. 29; Gazette 8 Jan 2015 p. 152; SL 2020/147 r. 5.]</w:t>
      </w:r>
    </w:p>
    <w:p>
      <w:pPr>
        <w:pStyle w:val="Heading5"/>
        <w:rPr>
          <w:snapToGrid w:val="0"/>
        </w:rPr>
      </w:pPr>
      <w:bookmarkStart w:id="14" w:name="_Toc104975392"/>
      <w:r>
        <w:rPr>
          <w:rStyle w:val="CharSectno"/>
        </w:rPr>
        <w:t>6</w:t>
      </w:r>
      <w:r>
        <w:rPr>
          <w:snapToGrid w:val="0"/>
        </w:rPr>
        <w:t>.</w:t>
      </w:r>
      <w:r>
        <w:rPr>
          <w:snapToGrid w:val="0"/>
        </w:rPr>
        <w:tab/>
        <w:t>Act s. 38(a) does not apply to sales to minors (Act s. 4(3))</w:t>
      </w:r>
      <w:bookmarkEnd w:id="1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15" w:name="_Toc104975393"/>
      <w:r>
        <w:rPr>
          <w:rStyle w:val="CharSectno"/>
        </w:rPr>
        <w:t>7</w:t>
      </w:r>
      <w:r>
        <w:rPr>
          <w:snapToGrid w:val="0"/>
        </w:rPr>
        <w:t>.</w:t>
      </w:r>
      <w:r>
        <w:rPr>
          <w:snapToGrid w:val="0"/>
        </w:rPr>
        <w:tab/>
        <w:t>Act s. 39 does not apply in some cases (Act s. 4(3))</w:t>
      </w:r>
      <w:bookmarkEnd w:id="15"/>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from outside of Western Australia;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t>
      </w:r>
      <w:r>
        <w:rPr>
          <w:snapToGrid w:val="0"/>
        </w:rPr>
        <w:lastRenderedPageBreak/>
        <w:t>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Gazette 28 Jul 2000 p. 4020; SL 2020/248 r. 7.]</w:t>
      </w:r>
    </w:p>
    <w:p>
      <w:pPr>
        <w:pStyle w:val="Heading5"/>
        <w:rPr>
          <w:snapToGrid w:val="0"/>
        </w:rPr>
      </w:pPr>
      <w:bookmarkStart w:id="16" w:name="_Toc104975394"/>
      <w:r>
        <w:rPr>
          <w:rStyle w:val="CharSectno"/>
        </w:rPr>
        <w:t>8</w:t>
      </w:r>
      <w:r>
        <w:rPr>
          <w:snapToGrid w:val="0"/>
        </w:rPr>
        <w:t>.</w:t>
      </w:r>
      <w:r>
        <w:rPr>
          <w:snapToGrid w:val="0"/>
        </w:rPr>
        <w:tab/>
        <w:t>Amount prescribed (Act s. 59(2)(b))</w:t>
      </w:r>
      <w:bookmarkEnd w:id="16"/>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17" w:name="_Toc104975395"/>
      <w:r>
        <w:rPr>
          <w:rStyle w:val="CharSectno"/>
        </w:rPr>
        <w:t>9</w:t>
      </w:r>
      <w:r>
        <w:rPr>
          <w:snapToGrid w:val="0"/>
        </w:rPr>
        <w:t>.</w:t>
      </w:r>
      <w:r>
        <w:rPr>
          <w:snapToGrid w:val="0"/>
        </w:rPr>
        <w:tab/>
        <w:t>Act s. 61 does not apply to certain goods (Act s. 4(3))</w:t>
      </w:r>
      <w:bookmarkEnd w:id="17"/>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from outside of Western Australia;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State agency.</w:t>
      </w:r>
    </w:p>
    <w:p>
      <w:pPr>
        <w:pStyle w:val="Footnotesection"/>
      </w:pPr>
      <w:r>
        <w:tab/>
        <w:t>[Regulation 9 amended: Gazette 28 Jul 2000 p. 4020; SL 2020/248 r. 8.]</w:t>
      </w:r>
    </w:p>
    <w:p>
      <w:pPr>
        <w:pStyle w:val="Heading2"/>
      </w:pPr>
      <w:bookmarkStart w:id="18" w:name="_Toc104967959"/>
      <w:bookmarkStart w:id="19" w:name="_Toc104968116"/>
      <w:bookmarkStart w:id="20" w:name="_Toc104975396"/>
      <w:r>
        <w:rPr>
          <w:rStyle w:val="CharPartNo"/>
        </w:rPr>
        <w:lastRenderedPageBreak/>
        <w:t>Part 3</w:t>
      </w:r>
      <w:r>
        <w:rPr>
          <w:rStyle w:val="CharDivNo"/>
        </w:rPr>
        <w:t> </w:t>
      </w:r>
      <w:r>
        <w:t>—</w:t>
      </w:r>
      <w:r>
        <w:rPr>
          <w:rStyle w:val="CharDivText"/>
        </w:rPr>
        <w:t> </w:t>
      </w:r>
      <w:r>
        <w:rPr>
          <w:rStyle w:val="CharPartText"/>
        </w:rPr>
        <w:t>Matters prescribed for licence applications</w:t>
      </w:r>
      <w:bookmarkEnd w:id="18"/>
      <w:bookmarkEnd w:id="19"/>
      <w:bookmarkEnd w:id="20"/>
    </w:p>
    <w:p>
      <w:pPr>
        <w:pStyle w:val="Heading5"/>
        <w:spacing w:before="180"/>
        <w:rPr>
          <w:snapToGrid w:val="0"/>
        </w:rPr>
      </w:pPr>
      <w:bookmarkStart w:id="21" w:name="_Toc104975397"/>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21"/>
    </w:p>
    <w:p>
      <w:pPr>
        <w:pStyle w:val="Subsection"/>
        <w:spacing w:before="120"/>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Gazette 5 Aug 2014 p. 2833.]</w:t>
      </w:r>
    </w:p>
    <w:p>
      <w:pPr>
        <w:pStyle w:val="Heading5"/>
        <w:spacing w:before="180"/>
        <w:rPr>
          <w:snapToGrid w:val="0"/>
        </w:rPr>
      </w:pPr>
      <w:bookmarkStart w:id="22" w:name="_Toc104975398"/>
      <w:r>
        <w:rPr>
          <w:rStyle w:val="CharSectno"/>
        </w:rPr>
        <w:t>11</w:t>
      </w:r>
      <w:r>
        <w:rPr>
          <w:snapToGrid w:val="0"/>
        </w:rPr>
        <w:t>.</w:t>
      </w:r>
      <w:r>
        <w:rPr>
          <w:snapToGrid w:val="0"/>
        </w:rPr>
        <w:tab/>
        <w:t xml:space="preserve">Other evidence to accompany applications prescribed </w:t>
      </w:r>
      <w:r>
        <w:rPr>
          <w:snapToGrid w:val="0"/>
          <w:spacing w:val="-4"/>
        </w:rPr>
        <w:t>(Act s. 14(f))</w:t>
      </w:r>
      <w:bookmarkEnd w:id="22"/>
    </w:p>
    <w:p>
      <w:pPr>
        <w:pStyle w:val="Subsection"/>
        <w:spacing w:before="120"/>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lastRenderedPageBreak/>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23" w:name="_Toc104975399"/>
      <w:r>
        <w:rPr>
          <w:rStyle w:val="CharSectno"/>
        </w:rPr>
        <w:t>12</w:t>
      </w:r>
      <w:r>
        <w:rPr>
          <w:snapToGrid w:val="0"/>
        </w:rPr>
        <w:t>.</w:t>
      </w:r>
      <w:r>
        <w:rPr>
          <w:snapToGrid w:val="0"/>
        </w:rPr>
        <w:tab/>
        <w:t xml:space="preserve">Evidence to accompany renewal applications prescribed </w:t>
      </w:r>
      <w:r>
        <w:rPr>
          <w:snapToGrid w:val="0"/>
          <w:spacing w:val="-4"/>
        </w:rPr>
        <w:t>(Act s. 16)</w:t>
      </w:r>
      <w:bookmarkEnd w:id="23"/>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lastRenderedPageBreak/>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24" w:name="_Toc104967963"/>
      <w:bookmarkStart w:id="25" w:name="_Toc104968120"/>
      <w:bookmarkStart w:id="26" w:name="_Toc104975400"/>
      <w:r>
        <w:rPr>
          <w:rStyle w:val="CharPartNo"/>
        </w:rPr>
        <w:lastRenderedPageBreak/>
        <w:t>Part 4</w:t>
      </w:r>
      <w:r>
        <w:rPr>
          <w:rStyle w:val="CharDivNo"/>
        </w:rPr>
        <w:t> </w:t>
      </w:r>
      <w:r>
        <w:t>—</w:t>
      </w:r>
      <w:r>
        <w:rPr>
          <w:rStyle w:val="CharDivText"/>
        </w:rPr>
        <w:t> </w:t>
      </w:r>
      <w:r>
        <w:rPr>
          <w:rStyle w:val="CharPartText"/>
        </w:rPr>
        <w:t>Matters prescribed for verification of identity, records and provision of information</w:t>
      </w:r>
      <w:bookmarkEnd w:id="24"/>
      <w:bookmarkEnd w:id="25"/>
      <w:bookmarkEnd w:id="26"/>
    </w:p>
    <w:p>
      <w:pPr>
        <w:pStyle w:val="Heading5"/>
        <w:rPr>
          <w:snapToGrid w:val="0"/>
        </w:rPr>
      </w:pPr>
      <w:bookmarkStart w:id="27" w:name="_Toc104975401"/>
      <w:r>
        <w:rPr>
          <w:rStyle w:val="CharSectno"/>
        </w:rPr>
        <w:t>13</w:t>
      </w:r>
      <w:r>
        <w:rPr>
          <w:snapToGrid w:val="0"/>
        </w:rPr>
        <w:t>.</w:t>
      </w:r>
      <w:r>
        <w:rPr>
          <w:snapToGrid w:val="0"/>
        </w:rPr>
        <w:tab/>
        <w:t xml:space="preserve">Means of verifying person’s identity prescribed </w:t>
      </w:r>
      <w:r>
        <w:rPr>
          <w:snapToGrid w:val="0"/>
          <w:spacing w:val="-4"/>
        </w:rPr>
        <w:t>(Act s. 39(b))</w:t>
      </w:r>
      <w:bookmarkEnd w:id="27"/>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The person’s name is stated on a current motor driver’s licence held by the person that has been issued in Australia.</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w:t>
            </w:r>
            <w:r>
              <w:rPr>
                <w:iCs/>
                <w:vertAlign w:val="superscript"/>
              </w:rPr>
              <w:t> 1</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lastRenderedPageBreak/>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The person’s name is stated on a current identity card or current licence held by the person that has been issued by a government agency outside Australia.</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lastRenderedPageBreak/>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w:t>
            </w:r>
            <w:r>
              <w:rPr>
                <w:szCs w:val="22"/>
              </w:rPr>
              <w:t>State agency</w:t>
            </w:r>
            <w:r>
              <w:t xml:space="preserve">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lastRenderedPageBreak/>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Gazette 28 Jul 2000 p. 4020</w:t>
      </w:r>
      <w:r>
        <w:noBreakHyphen/>
        <w:t>2; 30 Apr 2007 p. 1838</w:t>
      </w:r>
      <w:r>
        <w:noBreakHyphen/>
        <w:t>9; 16 May 2008 p. 1913; 5 Aug 2014 p. 2833; SL 2020/248 r. 9.]</w:t>
      </w:r>
    </w:p>
    <w:p>
      <w:pPr>
        <w:pStyle w:val="Heading5"/>
      </w:pPr>
      <w:bookmarkStart w:id="28" w:name="_Toc104975402"/>
      <w:r>
        <w:rPr>
          <w:rStyle w:val="CharSectno"/>
        </w:rPr>
        <w:t>13A</w:t>
      </w:r>
      <w:r>
        <w:t>.</w:t>
      </w:r>
      <w:r>
        <w:tab/>
        <w:t>Transaction cards, form and issue of</w:t>
      </w:r>
      <w:bookmarkEnd w:id="28"/>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lastRenderedPageBreak/>
        <w:tab/>
        <w:t>(2)</w:t>
      </w:r>
      <w:r>
        <w:tab/>
        <w:t>A transaction card complies with this subregulation if it —</w:t>
      </w:r>
    </w:p>
    <w:p>
      <w:pPr>
        <w:pStyle w:val="Indenta"/>
      </w:pPr>
      <w:r>
        <w:tab/>
        <w:t>(a)</w:t>
      </w:r>
      <w:r>
        <w:tab/>
        <w:t>bears the person’s photograph, full name, signature and date of birth; and</w:t>
      </w:r>
    </w:p>
    <w:p>
      <w:pPr>
        <w:pStyle w:val="Indenta"/>
      </w:pPr>
      <w:r>
        <w:tab/>
        <w:t>(aa)</w:t>
      </w:r>
      <w:r>
        <w:tab/>
        <w:t>bears the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Gazette 28 Jul 2000 p. 4023; amended: SL 2020/147 r. 6.]</w:t>
      </w:r>
    </w:p>
    <w:p>
      <w:pPr>
        <w:pStyle w:val="Heading5"/>
        <w:rPr>
          <w:snapToGrid w:val="0"/>
        </w:rPr>
      </w:pPr>
      <w:bookmarkStart w:id="29" w:name="_Toc104975403"/>
      <w:r>
        <w:rPr>
          <w:rStyle w:val="CharSectno"/>
        </w:rPr>
        <w:t>14</w:t>
      </w:r>
      <w:r>
        <w:rPr>
          <w:snapToGrid w:val="0"/>
        </w:rPr>
        <w:t>.</w:t>
      </w:r>
      <w:r>
        <w:rPr>
          <w:snapToGrid w:val="0"/>
        </w:rPr>
        <w:tab/>
        <w:t xml:space="preserve">Manner of keeping records prescribed </w:t>
      </w:r>
      <w:r>
        <w:rPr>
          <w:snapToGrid w:val="0"/>
          <w:spacing w:val="-4"/>
        </w:rPr>
        <w:t>(Act s. 45)</w:t>
      </w:r>
      <w:bookmarkEnd w:id="29"/>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30" w:name="_Toc104975404"/>
      <w:r>
        <w:rPr>
          <w:rStyle w:val="CharSectno"/>
        </w:rPr>
        <w:t>15</w:t>
      </w:r>
      <w:r>
        <w:rPr>
          <w:snapToGrid w:val="0"/>
        </w:rPr>
        <w:t>.</w:t>
      </w:r>
      <w:r>
        <w:rPr>
          <w:snapToGrid w:val="0"/>
        </w:rPr>
        <w:tab/>
      </w:r>
      <w:r>
        <w:rPr>
          <w:snapToGrid w:val="0"/>
          <w:spacing w:val="-4"/>
        </w:rPr>
        <w:t>Information prescribed (Act s. 79)</w:t>
      </w:r>
      <w:bookmarkEnd w:id="30"/>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from outside of Western Australia; or</w:t>
      </w:r>
    </w:p>
    <w:p>
      <w:pPr>
        <w:pStyle w:val="Indenta"/>
        <w:spacing w:before="70"/>
        <w:rPr>
          <w:snapToGrid w:val="0"/>
        </w:rPr>
      </w:pPr>
      <w:r>
        <w:rPr>
          <w:snapToGrid w:val="0"/>
        </w:rPr>
        <w:lastRenderedPageBreak/>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State agency.</w:t>
      </w:r>
    </w:p>
    <w:p>
      <w:pPr>
        <w:pStyle w:val="Subsection"/>
      </w:pPr>
      <w:r>
        <w:tab/>
        <w:t>(4)</w:t>
      </w:r>
      <w:r>
        <w:tab/>
        <w:t>For the purposes of section 79(c), a pawnbroker or second</w:t>
      </w:r>
      <w:r>
        <w:noBreakHyphen/>
        <w:t xml:space="preserve">hand dealer is to give the information referred to in subregulation (1) or (2), as the case requires, to the Commissioner — </w:t>
      </w:r>
    </w:p>
    <w:p>
      <w:pPr>
        <w:pStyle w:val="Indenta"/>
      </w:pPr>
      <w:r>
        <w:tab/>
        <w:t>(a)</w:t>
      </w:r>
      <w:r>
        <w:tab/>
        <w:t xml:space="preserve">by submitting the information through an electronic system — </w:t>
      </w:r>
    </w:p>
    <w:p>
      <w:pPr>
        <w:pStyle w:val="Indenti"/>
      </w:pPr>
      <w:r>
        <w:tab/>
        <w:t>(i)</w:t>
      </w:r>
      <w:r>
        <w:tab/>
        <w:t>approved by the Commissioner to receive information given under section 79; and</w:t>
      </w:r>
    </w:p>
    <w:p>
      <w:pPr>
        <w:pStyle w:val="Indenti"/>
      </w:pPr>
      <w:r>
        <w:tab/>
        <w:t>(ii)</w:t>
      </w:r>
      <w:r>
        <w:tab/>
        <w:t>notified to the pawnbroker or second</w:t>
      </w:r>
      <w:r>
        <w:noBreakHyphen/>
        <w:t>hand dealer by the Commissioner;</w:t>
      </w:r>
    </w:p>
    <w:p>
      <w:pPr>
        <w:pStyle w:val="Indenta"/>
      </w:pPr>
      <w:r>
        <w:tab/>
      </w:r>
      <w:r>
        <w:tab/>
        <w:t>or</w:t>
      </w:r>
    </w:p>
    <w:p>
      <w:pPr>
        <w:pStyle w:val="Indenta"/>
      </w:pPr>
      <w:r>
        <w:tab/>
        <w:t>(b)</w:t>
      </w:r>
      <w:r>
        <w:tab/>
        <w:t>if the system referred to in paragraph (a) is unavailable at the time the information is intended to be given — by emailing the information to an email address notified to the pawnbroker or second</w:t>
      </w:r>
      <w:r>
        <w:noBreakHyphen/>
        <w:t>hand dealer by the Commissioner; or</w:t>
      </w:r>
    </w:p>
    <w:p>
      <w:pPr>
        <w:pStyle w:val="Indenta"/>
      </w:pPr>
      <w:r>
        <w:tab/>
        <w:t>(c)</w:t>
      </w:r>
      <w:r>
        <w:tab/>
        <w:t>by giving the information by a means that the Commissioner has allowed in the case of the pawnbroker or second</w:t>
      </w:r>
      <w:r>
        <w:noBreakHyphen/>
        <w:t>hand dealer because of special circumstances.</w:t>
      </w:r>
    </w:p>
    <w:p>
      <w:pPr>
        <w:pStyle w:val="Subsection"/>
        <w:keepNext/>
      </w:pPr>
      <w:r>
        <w:tab/>
        <w:t>(5)</w:t>
      </w:r>
      <w:r>
        <w:tab/>
        <w:t>For the purposes of section 79(d), a pawnbroker or second</w:t>
      </w:r>
      <w:r>
        <w:noBreakHyphen/>
        <w:t xml:space="preserve">hand dealer is to give the information referred to in subregulation (1) or (2), as the case requires, to the Commissioner — </w:t>
      </w:r>
    </w:p>
    <w:p>
      <w:pPr>
        <w:pStyle w:val="Indenta"/>
      </w:pPr>
      <w:r>
        <w:tab/>
        <w:t>(a)</w:t>
      </w:r>
      <w:r>
        <w:tab/>
        <w:t>if the pawnbroker or second</w:t>
      </w:r>
      <w:r>
        <w:noBreakHyphen/>
        <w:t>hand dealer gives the information by the means described in subregulation (4)(a) — as soon as the information becomes available to the pawnbroker or second</w:t>
      </w:r>
      <w:r>
        <w:noBreakHyphen/>
        <w:t>hand dealer; or</w:t>
      </w:r>
    </w:p>
    <w:p>
      <w:pPr>
        <w:pStyle w:val="Indenta"/>
      </w:pPr>
      <w:r>
        <w:lastRenderedPageBreak/>
        <w:tab/>
        <w:t>(b)</w:t>
      </w:r>
      <w:r>
        <w:tab/>
        <w:t>if the pawnbroker or second</w:t>
      </w:r>
      <w:r>
        <w:noBreakHyphen/>
        <w:t>hand dealer gives the information by the means described in subregulation (4)(b) or (c) — as soon as practicable, but no later than 24 hours, after the information becomes available to the pawnbroker or second</w:t>
      </w:r>
      <w:r>
        <w:noBreakHyphen/>
        <w:t>hand dealer.</w:t>
      </w:r>
    </w:p>
    <w:p>
      <w:pPr>
        <w:pStyle w:val="Ednotesubsection"/>
        <w:tabs>
          <w:tab w:val="clear" w:pos="879"/>
          <w:tab w:val="left" w:pos="938"/>
        </w:tabs>
      </w:pPr>
      <w:r>
        <w:tab/>
        <w:t>[(5a)-(6)</w:t>
      </w:r>
      <w:r>
        <w:tab/>
      </w:r>
      <w:r>
        <w:tab/>
        <w:t>deleted]</w:t>
      </w:r>
    </w:p>
    <w:p>
      <w:pPr>
        <w:pStyle w:val="Footnotesection"/>
      </w:pPr>
      <w:r>
        <w:tab/>
        <w:t>[Regulation 15 amended: Gazette 28 Jul 2000 p. 4023</w:t>
      </w:r>
      <w:r>
        <w:noBreakHyphen/>
        <w:t>4; 8 Jan 2015 p. 152; SL 2020/147 r. 7; SL 2020/248 r. 10.]</w:t>
      </w:r>
    </w:p>
    <w:p>
      <w:pPr>
        <w:pStyle w:val="Ednotepart"/>
      </w:pPr>
      <w:r>
        <w:t>[Part 5 (r. 16-27) deleted: Gazette 30 Dec 2004 p. 6975.]</w:t>
      </w:r>
    </w:p>
    <w:p>
      <w:pPr>
        <w:pStyle w:val="Heading2"/>
      </w:pPr>
      <w:bookmarkStart w:id="31" w:name="_Toc104967968"/>
      <w:bookmarkStart w:id="32" w:name="_Toc104968125"/>
      <w:bookmarkStart w:id="33" w:name="_Toc104975405"/>
      <w:r>
        <w:rPr>
          <w:rStyle w:val="CharPartNo"/>
        </w:rPr>
        <w:lastRenderedPageBreak/>
        <w:t>Part 6</w:t>
      </w:r>
      <w:r>
        <w:rPr>
          <w:rStyle w:val="CharDivNo"/>
        </w:rPr>
        <w:t> </w:t>
      </w:r>
      <w:r>
        <w:t>—</w:t>
      </w:r>
      <w:r>
        <w:rPr>
          <w:rStyle w:val="CharDivText"/>
        </w:rPr>
        <w:t> </w:t>
      </w:r>
      <w:r>
        <w:rPr>
          <w:rStyle w:val="CharPartText"/>
        </w:rPr>
        <w:t>Fees</w:t>
      </w:r>
      <w:bookmarkEnd w:id="31"/>
      <w:bookmarkEnd w:id="32"/>
      <w:bookmarkEnd w:id="33"/>
    </w:p>
    <w:p>
      <w:pPr>
        <w:pStyle w:val="Heading5"/>
        <w:rPr>
          <w:snapToGrid w:val="0"/>
        </w:rPr>
      </w:pPr>
      <w:bookmarkStart w:id="34" w:name="_Toc104975406"/>
      <w:r>
        <w:rPr>
          <w:rStyle w:val="CharSectno"/>
        </w:rPr>
        <w:t>28</w:t>
      </w:r>
      <w:r>
        <w:rPr>
          <w:snapToGrid w:val="0"/>
        </w:rPr>
        <w:t>.</w:t>
      </w:r>
      <w:r>
        <w:rPr>
          <w:snapToGrid w:val="0"/>
        </w:rPr>
        <w:tab/>
        <w:t>Fees prescribed for applications for licences (Act s. 13(b))</w:t>
      </w:r>
      <w:bookmarkEnd w:id="34"/>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pPr>
      <w:r>
        <w:tab/>
        <w:t>(2)</w:t>
      </w:r>
      <w:r>
        <w:tab/>
        <w:t>The fee to accompany an application for the issue of a second</w:t>
      </w:r>
      <w:r>
        <w:noBreakHyphen/>
        <w:t>hand dealer’s licence only is set out in item 2 of the Table to this regulation.</w:t>
      </w:r>
    </w:p>
    <w:p>
      <w:pPr>
        <w:pStyle w:val="Ednotesubsection"/>
      </w:pPr>
      <w:r>
        <w:tab/>
        <w:t>[(3)</w:t>
      </w:r>
      <w:r>
        <w:tab/>
        <w:t>deleted]</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 xml:space="preserve">hand dealer’s licence to be issued in respect of the same person, the single fee to accompany the applications is set out in </w:t>
      </w:r>
      <w:r>
        <w:t xml:space="preserve">item 3 </w:t>
      </w:r>
      <w:r>
        <w:rPr>
          <w:snapToGrid w:val="0"/>
          <w:spacing w:val="-4"/>
        </w:rPr>
        <w:t>of the Table to this regulation.</w:t>
      </w:r>
    </w:p>
    <w:p>
      <w:pPr>
        <w:pStyle w:val="Subsection"/>
      </w:pPr>
      <w:r>
        <w:tab/>
        <w:t>(5)</w:t>
      </w:r>
      <w:r>
        <w:tab/>
        <w:t>For the purposes of calculating a fee set out in item 1, 2 or 3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application for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5"/>
        <w:gridCol w:w="1672"/>
        <w:gridCol w:w="1384"/>
        <w:gridCol w:w="1387"/>
        <w:gridCol w:w="1386"/>
      </w:tblGrid>
      <w:tr>
        <w:trPr>
          <w:cantSplit/>
          <w:trHeight w:val="1361"/>
          <w:tblHeader/>
        </w:trPr>
        <w:tc>
          <w:tcPr>
            <w:tcW w:w="587" w:type="pct"/>
          </w:tcPr>
          <w:p>
            <w:pPr>
              <w:pStyle w:val="TableNAm"/>
              <w:jc w:val="center"/>
              <w:rPr>
                <w:b/>
              </w:rPr>
            </w:pPr>
            <w:r>
              <w:rPr>
                <w:b/>
              </w:rPr>
              <w:t>Item</w:t>
            </w:r>
          </w:p>
        </w:tc>
        <w:tc>
          <w:tcPr>
            <w:tcW w:w="1266" w:type="pct"/>
          </w:tcPr>
          <w:p>
            <w:pPr>
              <w:pStyle w:val="TableNAm"/>
              <w:jc w:val="center"/>
              <w:rPr>
                <w:b/>
              </w:rPr>
            </w:pPr>
            <w:r>
              <w:rPr>
                <w:b/>
              </w:rPr>
              <w:t>Licence</w:t>
            </w:r>
          </w:p>
        </w:tc>
        <w:tc>
          <w:tcPr>
            <w:tcW w:w="1048" w:type="pct"/>
          </w:tcPr>
          <w:p>
            <w:pPr>
              <w:pStyle w:val="TableNAm"/>
              <w:jc w:val="center"/>
              <w:rPr>
                <w:b/>
              </w:rPr>
            </w:pPr>
            <w:r>
              <w:rPr>
                <w:b/>
              </w:rPr>
              <w:t>For period not exceeding 1 year</w:t>
            </w:r>
            <w:r>
              <w:rPr>
                <w:b/>
              </w:rPr>
              <w:br/>
            </w:r>
            <w:r>
              <w:rPr>
                <w:b/>
              </w:rPr>
              <w:br/>
            </w:r>
            <w:r>
              <w:rPr>
                <w:b/>
              </w:rPr>
              <w:br/>
            </w:r>
            <w:r>
              <w:rPr>
                <w:b/>
              </w:rPr>
              <w:br/>
              <w:t>$</w:t>
            </w:r>
          </w:p>
        </w:tc>
        <w:tc>
          <w:tcPr>
            <w:tcW w:w="1050" w:type="pct"/>
          </w:tcPr>
          <w:p>
            <w:pPr>
              <w:pStyle w:val="TableNAm"/>
              <w:jc w:val="center"/>
              <w:rPr>
                <w:b/>
              </w:rPr>
            </w:pPr>
            <w:r>
              <w:rPr>
                <w:b/>
              </w:rPr>
              <w:t>For period not exceeding 2 years but longer than 1 year</w:t>
            </w:r>
            <w:r>
              <w:rPr>
                <w:b/>
              </w:rPr>
              <w:br/>
            </w:r>
            <w:r>
              <w:rPr>
                <w:b/>
              </w:rPr>
              <w:br/>
              <w:t>$</w:t>
            </w:r>
          </w:p>
        </w:tc>
        <w:tc>
          <w:tcPr>
            <w:tcW w:w="1049" w:type="pct"/>
          </w:tcPr>
          <w:p>
            <w:pPr>
              <w:pStyle w:val="TableNAm"/>
              <w:jc w:val="center"/>
              <w:rPr>
                <w:b/>
              </w:rPr>
            </w:pPr>
            <w:r>
              <w:rPr>
                <w:b/>
              </w:rPr>
              <w:t>For period not exceeding 3 years but longer than 2 years</w:t>
            </w:r>
            <w:r>
              <w:rPr>
                <w:b/>
              </w:rPr>
              <w:br/>
              <w:t>$</w:t>
            </w:r>
          </w:p>
        </w:tc>
      </w:tr>
      <w:tr>
        <w:trPr>
          <w:cantSplit/>
        </w:trPr>
        <w:tc>
          <w:tcPr>
            <w:tcW w:w="587" w:type="pct"/>
          </w:tcPr>
          <w:p>
            <w:pPr>
              <w:pStyle w:val="TableNAm"/>
              <w:rPr>
                <w:b/>
              </w:rPr>
            </w:pPr>
            <w:r>
              <w:rPr>
                <w:b/>
              </w:rPr>
              <w:t>1.</w:t>
            </w:r>
          </w:p>
        </w:tc>
        <w:tc>
          <w:tcPr>
            <w:tcW w:w="1266" w:type="pct"/>
          </w:tcPr>
          <w:p>
            <w:pPr>
              <w:pStyle w:val="TableNAm"/>
              <w:rPr>
                <w:b/>
              </w:rPr>
            </w:pPr>
            <w:r>
              <w:rPr>
                <w:b/>
              </w:rPr>
              <w:t>Pawnbroker’s licence only</w:t>
            </w:r>
          </w:p>
        </w:tc>
        <w:tc>
          <w:tcPr>
            <w:tcW w:w="1048" w:type="pct"/>
          </w:tcPr>
          <w:p>
            <w:pPr>
              <w:pStyle w:val="TableNAm"/>
            </w:pPr>
          </w:p>
        </w:tc>
        <w:tc>
          <w:tcPr>
            <w:tcW w:w="1050" w:type="pct"/>
          </w:tcPr>
          <w:p>
            <w:pPr>
              <w:pStyle w:val="TableNAm"/>
            </w:pPr>
          </w:p>
        </w:tc>
        <w:tc>
          <w:tcPr>
            <w:tcW w:w="1049" w:type="pct"/>
          </w:tcPr>
          <w:p>
            <w:pPr>
              <w:pStyle w:val="TableNAm"/>
            </w:pPr>
          </w:p>
        </w:tc>
      </w:tr>
      <w:tr>
        <w:trPr>
          <w:cantSplit/>
          <w:trHeight w:val="641"/>
        </w:trPr>
        <w:tc>
          <w:tcPr>
            <w:tcW w:w="587" w:type="pct"/>
          </w:tcPr>
          <w:p>
            <w:pPr>
              <w:pStyle w:val="TableNAm"/>
            </w:pPr>
            <w:r>
              <w:lastRenderedPageBreak/>
              <w:t>(a)</w:t>
            </w:r>
          </w:p>
        </w:tc>
        <w:tc>
          <w:tcPr>
            <w:tcW w:w="1266" w:type="pct"/>
          </w:tcPr>
          <w:p>
            <w:pPr>
              <w:pStyle w:val="TableNAm"/>
            </w:pPr>
            <w:r>
              <w:t>150 or more transactions in a year</w:t>
            </w:r>
          </w:p>
        </w:tc>
        <w:tc>
          <w:tcPr>
            <w:tcW w:w="1048" w:type="pct"/>
            <w:vAlign w:val="bottom"/>
          </w:tcPr>
          <w:p>
            <w:pPr>
              <w:pStyle w:val="TableNAm"/>
            </w:pPr>
            <w:r>
              <w:t>4 304</w:t>
            </w:r>
          </w:p>
        </w:tc>
        <w:tc>
          <w:tcPr>
            <w:tcW w:w="1050" w:type="pct"/>
            <w:vAlign w:val="bottom"/>
          </w:tcPr>
          <w:p>
            <w:pPr>
              <w:pStyle w:val="TableNAm"/>
            </w:pPr>
            <w:r>
              <w:t>5 238</w:t>
            </w:r>
          </w:p>
        </w:tc>
        <w:tc>
          <w:tcPr>
            <w:tcW w:w="1049" w:type="pct"/>
            <w:vAlign w:val="bottom"/>
          </w:tcPr>
          <w:p>
            <w:pPr>
              <w:pStyle w:val="TableNAm"/>
            </w:pPr>
            <w:r>
              <w:t>6 153</w:t>
            </w:r>
          </w:p>
        </w:tc>
      </w:tr>
      <w:tr>
        <w:trPr>
          <w:cantSplit/>
          <w:trHeight w:val="641"/>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2 152</w:t>
            </w:r>
          </w:p>
        </w:tc>
        <w:tc>
          <w:tcPr>
            <w:tcW w:w="1050" w:type="pct"/>
            <w:vAlign w:val="bottom"/>
          </w:tcPr>
          <w:p>
            <w:pPr>
              <w:pStyle w:val="TableNAm"/>
            </w:pPr>
            <w:r>
              <w:t>2 619</w:t>
            </w:r>
          </w:p>
        </w:tc>
        <w:tc>
          <w:tcPr>
            <w:tcW w:w="1049" w:type="pct"/>
            <w:vAlign w:val="bottom"/>
          </w:tcPr>
          <w:p>
            <w:pPr>
              <w:pStyle w:val="TableNAm"/>
            </w:pPr>
            <w:r>
              <w:t>3 076</w:t>
            </w:r>
          </w:p>
        </w:tc>
      </w:tr>
      <w:tr>
        <w:trPr>
          <w:cantSplit/>
          <w:trHeight w:val="641"/>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1 076</w:t>
            </w:r>
          </w:p>
        </w:tc>
        <w:tc>
          <w:tcPr>
            <w:tcW w:w="1050" w:type="pct"/>
            <w:vAlign w:val="bottom"/>
          </w:tcPr>
          <w:p>
            <w:pPr>
              <w:pStyle w:val="TableNAm"/>
            </w:pPr>
            <w:r>
              <w:t>1 309</w:t>
            </w:r>
          </w:p>
        </w:tc>
        <w:tc>
          <w:tcPr>
            <w:tcW w:w="1049" w:type="pct"/>
            <w:vAlign w:val="bottom"/>
          </w:tcPr>
          <w:p>
            <w:pPr>
              <w:pStyle w:val="TableNAm"/>
            </w:pPr>
            <w:r>
              <w:t>1 538</w:t>
            </w:r>
          </w:p>
        </w:tc>
      </w:tr>
      <w:tr>
        <w:trPr>
          <w:cantSplit/>
        </w:trPr>
        <w:tc>
          <w:tcPr>
            <w:tcW w:w="587" w:type="pct"/>
          </w:tcPr>
          <w:p>
            <w:pPr>
              <w:pStyle w:val="TableNAm"/>
              <w:rPr>
                <w:b/>
              </w:rPr>
            </w:pPr>
            <w:r>
              <w:rPr>
                <w:b/>
              </w:rPr>
              <w:t>2.</w:t>
            </w:r>
          </w:p>
        </w:tc>
        <w:tc>
          <w:tcPr>
            <w:tcW w:w="1266" w:type="pct"/>
          </w:tcPr>
          <w:p>
            <w:pPr>
              <w:pStyle w:val="TableNAm"/>
              <w:rPr>
                <w:b/>
              </w:rPr>
            </w:pPr>
            <w:r>
              <w:rPr>
                <w:b/>
              </w:rPr>
              <w:t>Second</w:t>
            </w:r>
            <w:r>
              <w:rPr>
                <w:b/>
              </w:rPr>
              <w:noBreakHyphen/>
              <w:t>hand dealer’s licence only</w:t>
            </w:r>
          </w:p>
        </w:tc>
        <w:tc>
          <w:tcPr>
            <w:tcW w:w="1048" w:type="pct"/>
          </w:tcPr>
          <w:p>
            <w:pPr>
              <w:pStyle w:val="TableNAm"/>
            </w:pPr>
          </w:p>
        </w:tc>
        <w:tc>
          <w:tcPr>
            <w:tcW w:w="1050" w:type="pct"/>
          </w:tcPr>
          <w:p>
            <w:pPr>
              <w:pStyle w:val="TableNAm"/>
            </w:pPr>
          </w:p>
        </w:tc>
        <w:tc>
          <w:tcPr>
            <w:tcW w:w="1049" w:type="pct"/>
          </w:tcPr>
          <w:p>
            <w:pPr>
              <w:pStyle w:val="TableNAm"/>
            </w:pPr>
          </w:p>
        </w:tc>
      </w:tr>
      <w:tr>
        <w:trPr>
          <w:cantSplit/>
        </w:trPr>
        <w:tc>
          <w:tcPr>
            <w:tcW w:w="587" w:type="pct"/>
          </w:tcPr>
          <w:p>
            <w:pPr>
              <w:pStyle w:val="TableNAm"/>
            </w:pPr>
            <w:r>
              <w:t>(a)</w:t>
            </w:r>
          </w:p>
        </w:tc>
        <w:tc>
          <w:tcPr>
            <w:tcW w:w="1266" w:type="pct"/>
          </w:tcPr>
          <w:p>
            <w:pPr>
              <w:pStyle w:val="TableNAm"/>
            </w:pPr>
            <w:r>
              <w:t>150 or more transactions in a year</w:t>
            </w:r>
          </w:p>
        </w:tc>
        <w:tc>
          <w:tcPr>
            <w:tcW w:w="1048" w:type="pct"/>
            <w:vAlign w:val="bottom"/>
          </w:tcPr>
          <w:p>
            <w:pPr>
              <w:pStyle w:val="TableNAm"/>
            </w:pPr>
            <w:r>
              <w:t>4 304</w:t>
            </w:r>
          </w:p>
        </w:tc>
        <w:tc>
          <w:tcPr>
            <w:tcW w:w="1050" w:type="pct"/>
            <w:vAlign w:val="bottom"/>
          </w:tcPr>
          <w:p>
            <w:pPr>
              <w:pStyle w:val="TableNAm"/>
            </w:pPr>
            <w:r>
              <w:t>5 238</w:t>
            </w:r>
          </w:p>
        </w:tc>
        <w:tc>
          <w:tcPr>
            <w:tcW w:w="1049" w:type="pct"/>
            <w:vAlign w:val="bottom"/>
          </w:tcPr>
          <w:p>
            <w:pPr>
              <w:pStyle w:val="TableNAm"/>
            </w:pPr>
            <w:r>
              <w:t>6 153</w:t>
            </w:r>
          </w:p>
        </w:tc>
      </w:tr>
      <w:tr>
        <w:trPr>
          <w:cantSplit/>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2 152</w:t>
            </w:r>
          </w:p>
        </w:tc>
        <w:tc>
          <w:tcPr>
            <w:tcW w:w="1050" w:type="pct"/>
            <w:vAlign w:val="bottom"/>
          </w:tcPr>
          <w:p>
            <w:pPr>
              <w:pStyle w:val="TableNAm"/>
            </w:pPr>
            <w:r>
              <w:t>2 619</w:t>
            </w:r>
          </w:p>
        </w:tc>
        <w:tc>
          <w:tcPr>
            <w:tcW w:w="1049" w:type="pct"/>
            <w:vAlign w:val="bottom"/>
          </w:tcPr>
          <w:p>
            <w:pPr>
              <w:pStyle w:val="TableNAm"/>
            </w:pPr>
            <w:r>
              <w:t>3 076</w:t>
            </w:r>
          </w:p>
        </w:tc>
      </w:tr>
      <w:tr>
        <w:trPr>
          <w:cantSplit/>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1 076</w:t>
            </w:r>
          </w:p>
        </w:tc>
        <w:tc>
          <w:tcPr>
            <w:tcW w:w="1050" w:type="pct"/>
            <w:vAlign w:val="bottom"/>
          </w:tcPr>
          <w:p>
            <w:pPr>
              <w:pStyle w:val="TableNAm"/>
            </w:pPr>
            <w:r>
              <w:t>1 309</w:t>
            </w:r>
          </w:p>
        </w:tc>
        <w:tc>
          <w:tcPr>
            <w:tcW w:w="1049" w:type="pct"/>
            <w:vAlign w:val="bottom"/>
          </w:tcPr>
          <w:p>
            <w:pPr>
              <w:pStyle w:val="TableNAm"/>
            </w:pPr>
            <w:r>
              <w:t>1 538</w:t>
            </w:r>
          </w:p>
        </w:tc>
      </w:tr>
      <w:tr>
        <w:trPr>
          <w:cantSplit/>
        </w:trPr>
        <w:tc>
          <w:tcPr>
            <w:tcW w:w="587" w:type="pct"/>
          </w:tcPr>
          <w:p>
            <w:pPr>
              <w:pStyle w:val="TableNAm"/>
              <w:keepNext/>
              <w:keepLines/>
              <w:rPr>
                <w:b/>
              </w:rPr>
            </w:pPr>
            <w:r>
              <w:rPr>
                <w:b/>
              </w:rPr>
              <w:lastRenderedPageBreak/>
              <w:t>3.</w:t>
            </w:r>
          </w:p>
        </w:tc>
        <w:tc>
          <w:tcPr>
            <w:tcW w:w="1266" w:type="pct"/>
          </w:tcPr>
          <w:p>
            <w:pPr>
              <w:pStyle w:val="TableNAm"/>
              <w:keepNext/>
              <w:keepLines/>
              <w:rPr>
                <w:b/>
              </w:rPr>
            </w:pPr>
            <w:r>
              <w:rPr>
                <w:b/>
              </w:rPr>
              <w:t>Pawnbroker’s licence and second</w:t>
            </w:r>
            <w:r>
              <w:rPr>
                <w:b/>
              </w:rPr>
              <w:noBreakHyphen/>
              <w:t>hand dealer’s licence</w:t>
            </w:r>
          </w:p>
        </w:tc>
        <w:tc>
          <w:tcPr>
            <w:tcW w:w="1048" w:type="pct"/>
          </w:tcPr>
          <w:p>
            <w:pPr>
              <w:pStyle w:val="TableNAm"/>
              <w:keepNext/>
              <w:keepLines/>
            </w:pPr>
          </w:p>
        </w:tc>
        <w:tc>
          <w:tcPr>
            <w:tcW w:w="1050" w:type="pct"/>
          </w:tcPr>
          <w:p>
            <w:pPr>
              <w:pStyle w:val="TableNAm"/>
              <w:keepNext/>
              <w:keepLines/>
            </w:pPr>
          </w:p>
        </w:tc>
        <w:tc>
          <w:tcPr>
            <w:tcW w:w="1049" w:type="pct"/>
          </w:tcPr>
          <w:p>
            <w:pPr>
              <w:pStyle w:val="TableNAm"/>
              <w:keepNext/>
              <w:keepLines/>
            </w:pPr>
          </w:p>
        </w:tc>
      </w:tr>
      <w:tr>
        <w:trPr>
          <w:cantSplit/>
        </w:trPr>
        <w:tc>
          <w:tcPr>
            <w:tcW w:w="587" w:type="pct"/>
          </w:tcPr>
          <w:p>
            <w:pPr>
              <w:pStyle w:val="TableNAm"/>
              <w:keepNext/>
              <w:keepLines/>
            </w:pPr>
            <w:r>
              <w:t>(a)</w:t>
            </w:r>
          </w:p>
        </w:tc>
        <w:tc>
          <w:tcPr>
            <w:tcW w:w="1266" w:type="pct"/>
          </w:tcPr>
          <w:p>
            <w:pPr>
              <w:pStyle w:val="TableNAm"/>
              <w:keepNext/>
              <w:keepLines/>
            </w:pPr>
            <w:r>
              <w:t>150 or more transactions in a year</w:t>
            </w:r>
          </w:p>
        </w:tc>
        <w:tc>
          <w:tcPr>
            <w:tcW w:w="1048" w:type="pct"/>
            <w:vAlign w:val="bottom"/>
          </w:tcPr>
          <w:p>
            <w:pPr>
              <w:pStyle w:val="TableNAm"/>
              <w:keepNext/>
              <w:keepLines/>
            </w:pPr>
            <w:r>
              <w:t>4 312</w:t>
            </w:r>
          </w:p>
        </w:tc>
        <w:tc>
          <w:tcPr>
            <w:tcW w:w="1050" w:type="pct"/>
            <w:vAlign w:val="bottom"/>
          </w:tcPr>
          <w:p>
            <w:pPr>
              <w:pStyle w:val="TableNAm"/>
              <w:keepNext/>
              <w:keepLines/>
            </w:pPr>
            <w:r>
              <w:t>5 249</w:t>
            </w:r>
          </w:p>
        </w:tc>
        <w:tc>
          <w:tcPr>
            <w:tcW w:w="1049" w:type="pct"/>
            <w:vAlign w:val="bottom"/>
          </w:tcPr>
          <w:p>
            <w:pPr>
              <w:pStyle w:val="TableNAm"/>
              <w:keepNext/>
              <w:keepLines/>
            </w:pPr>
            <w:r>
              <w:t>6 168</w:t>
            </w:r>
          </w:p>
        </w:tc>
      </w:tr>
      <w:tr>
        <w:trPr>
          <w:cantSplit/>
        </w:trPr>
        <w:tc>
          <w:tcPr>
            <w:tcW w:w="587" w:type="pct"/>
          </w:tcPr>
          <w:p>
            <w:pPr>
              <w:pStyle w:val="TableNAm"/>
            </w:pPr>
            <w:r>
              <w:t>(b)</w:t>
            </w:r>
          </w:p>
        </w:tc>
        <w:tc>
          <w:tcPr>
            <w:tcW w:w="1266" w:type="pct"/>
          </w:tcPr>
          <w:p>
            <w:pPr>
              <w:pStyle w:val="TableNAm"/>
            </w:pPr>
            <w:r>
              <w:t>50</w:t>
            </w:r>
            <w:r>
              <w:noBreakHyphen/>
              <w:t>149 transactions in a year</w:t>
            </w:r>
          </w:p>
        </w:tc>
        <w:tc>
          <w:tcPr>
            <w:tcW w:w="1048" w:type="pct"/>
            <w:vAlign w:val="bottom"/>
          </w:tcPr>
          <w:p>
            <w:pPr>
              <w:pStyle w:val="TableNAm"/>
            </w:pPr>
            <w:r>
              <w:t>2 156</w:t>
            </w:r>
          </w:p>
        </w:tc>
        <w:tc>
          <w:tcPr>
            <w:tcW w:w="1050" w:type="pct"/>
            <w:vAlign w:val="bottom"/>
          </w:tcPr>
          <w:p>
            <w:pPr>
              <w:pStyle w:val="TableNAm"/>
            </w:pPr>
            <w:r>
              <w:t>2 624</w:t>
            </w:r>
          </w:p>
        </w:tc>
        <w:tc>
          <w:tcPr>
            <w:tcW w:w="1049" w:type="pct"/>
            <w:vAlign w:val="bottom"/>
          </w:tcPr>
          <w:p>
            <w:pPr>
              <w:pStyle w:val="TableNAm"/>
            </w:pPr>
            <w:r>
              <w:t>3 084</w:t>
            </w:r>
          </w:p>
        </w:tc>
      </w:tr>
      <w:tr>
        <w:trPr>
          <w:cantSplit/>
          <w:trHeight w:val="635"/>
        </w:trPr>
        <w:tc>
          <w:tcPr>
            <w:tcW w:w="587" w:type="pct"/>
          </w:tcPr>
          <w:p>
            <w:pPr>
              <w:pStyle w:val="TableNAm"/>
            </w:pPr>
            <w:r>
              <w:t>(c)</w:t>
            </w:r>
          </w:p>
        </w:tc>
        <w:tc>
          <w:tcPr>
            <w:tcW w:w="1266" w:type="pct"/>
          </w:tcPr>
          <w:p>
            <w:pPr>
              <w:pStyle w:val="TableNAm"/>
            </w:pPr>
            <w:r>
              <w:t>0</w:t>
            </w:r>
            <w:r>
              <w:noBreakHyphen/>
              <w:t>49 transactions in a year</w:t>
            </w:r>
          </w:p>
        </w:tc>
        <w:tc>
          <w:tcPr>
            <w:tcW w:w="1048" w:type="pct"/>
            <w:vAlign w:val="bottom"/>
          </w:tcPr>
          <w:p>
            <w:pPr>
              <w:pStyle w:val="TableNAm"/>
            </w:pPr>
            <w:r>
              <w:t>1 078</w:t>
            </w:r>
          </w:p>
        </w:tc>
        <w:tc>
          <w:tcPr>
            <w:tcW w:w="1050" w:type="pct"/>
            <w:vAlign w:val="bottom"/>
          </w:tcPr>
          <w:p>
            <w:pPr>
              <w:pStyle w:val="TableNAm"/>
            </w:pPr>
            <w:r>
              <w:t>1 312</w:t>
            </w:r>
          </w:p>
        </w:tc>
        <w:tc>
          <w:tcPr>
            <w:tcW w:w="1049" w:type="pct"/>
            <w:vAlign w:val="bottom"/>
          </w:tcPr>
          <w:p>
            <w:pPr>
              <w:pStyle w:val="TableNAm"/>
            </w:pPr>
            <w:r>
              <w:t>1 542</w:t>
            </w:r>
          </w:p>
        </w:tc>
      </w:tr>
    </w:tbl>
    <w:p>
      <w:pPr>
        <w:pStyle w:val="Footnotesection"/>
        <w:keepLines w:val="0"/>
        <w:ind w:left="890" w:hanging="890"/>
        <w:rPr>
          <w:spacing w:val="-4"/>
        </w:rPr>
      </w:pPr>
      <w:r>
        <w:rPr>
          <w:spacing w:val="-4"/>
        </w:rPr>
        <w:tab/>
        <w:t>[Regulation 28 amended: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 27 Jun 2017 p. 3442</w:t>
      </w:r>
      <w:r>
        <w:rPr>
          <w:spacing w:val="-4"/>
        </w:rPr>
        <w:noBreakHyphen/>
        <w:t>4; 26 Jun 2018 p. 2394</w:t>
      </w:r>
      <w:r>
        <w:rPr>
          <w:spacing w:val="-4"/>
        </w:rPr>
        <w:noBreakHyphen/>
        <w:t>5; 21 Jun 2019 p. 2143</w:t>
      </w:r>
      <w:r>
        <w:rPr>
          <w:spacing w:val="-4"/>
        </w:rPr>
        <w:noBreakHyphen/>
        <w:t>5; SL 2020/82 r. 6; SL 2020/147 r. 8; SL 2021/106 r. 6.]</w:t>
      </w:r>
    </w:p>
    <w:p>
      <w:pPr>
        <w:pStyle w:val="Heading5"/>
        <w:rPr>
          <w:snapToGrid w:val="0"/>
          <w:spacing w:val="-4"/>
        </w:rPr>
      </w:pPr>
      <w:bookmarkStart w:id="35" w:name="_Toc104975407"/>
      <w:r>
        <w:rPr>
          <w:rStyle w:val="CharSectno"/>
          <w:spacing w:val="-4"/>
        </w:rPr>
        <w:lastRenderedPageBreak/>
        <w:t>29</w:t>
      </w:r>
      <w:r>
        <w:rPr>
          <w:snapToGrid w:val="0"/>
          <w:spacing w:val="-4"/>
        </w:rPr>
        <w:t>.</w:t>
      </w:r>
      <w:r>
        <w:rPr>
          <w:snapToGrid w:val="0"/>
          <w:spacing w:val="-4"/>
        </w:rPr>
        <w:tab/>
      </w:r>
      <w:r>
        <w:rPr>
          <w:rFonts w:ascii="Times" w:hAnsi="Times"/>
          <w:snapToGrid w:val="0"/>
        </w:rPr>
        <w:t>Fees prescribed for applications for renewal of licences (Act s. 15(1)(b))</w:t>
      </w:r>
      <w:bookmarkEnd w:id="35"/>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pPr>
      <w:r>
        <w:tab/>
        <w:t>(2)</w:t>
      </w:r>
      <w:r>
        <w:tab/>
        <w:t>The fee to accompany an application for the renewal of a second</w:t>
      </w:r>
      <w:r>
        <w:noBreakHyphen/>
        <w:t>hand dealer’s licence only is set out in item 2 of the Table to this regulation.</w:t>
      </w:r>
    </w:p>
    <w:p>
      <w:pPr>
        <w:pStyle w:val="Ednotesubsection"/>
      </w:pPr>
      <w:r>
        <w:tab/>
        <w:t>[(3)</w:t>
      </w:r>
      <w:r>
        <w:tab/>
        <w:t>deleted]</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 xml:space="preserve">hand dealer’s licence to be renewed in respect of the same person, the single fee to accompany the applications is set out in </w:t>
      </w:r>
      <w:r>
        <w:t xml:space="preserve">item 3 </w:t>
      </w:r>
      <w:r>
        <w:rPr>
          <w:snapToGrid w:val="0"/>
        </w:rPr>
        <w:t>of the Table to this regulation.</w:t>
      </w:r>
    </w:p>
    <w:p>
      <w:pPr>
        <w:pStyle w:val="Subsection"/>
      </w:pPr>
      <w:r>
        <w:tab/>
        <w:t>(5)</w:t>
      </w:r>
      <w:r>
        <w:tab/>
        <w:t xml:space="preserve">For the purposes of calculating a fee set out in item 1, 2 or 3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lastRenderedPageBreak/>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77"/>
        <w:gridCol w:w="1672"/>
        <w:gridCol w:w="1412"/>
        <w:gridCol w:w="1413"/>
        <w:gridCol w:w="1328"/>
      </w:tblGrid>
      <w:tr>
        <w:trPr>
          <w:cantSplit/>
          <w:tblHeader/>
        </w:trPr>
        <w:tc>
          <w:tcPr>
            <w:tcW w:w="589" w:type="pct"/>
          </w:tcPr>
          <w:p>
            <w:pPr>
              <w:pStyle w:val="TableNAm"/>
              <w:jc w:val="center"/>
              <w:rPr>
                <w:b/>
              </w:rPr>
            </w:pPr>
            <w:r>
              <w:rPr>
                <w:b/>
              </w:rPr>
              <w:t>Item</w:t>
            </w:r>
          </w:p>
        </w:tc>
        <w:tc>
          <w:tcPr>
            <w:tcW w:w="1266" w:type="pct"/>
          </w:tcPr>
          <w:p>
            <w:pPr>
              <w:pStyle w:val="TableNAm"/>
              <w:jc w:val="center"/>
              <w:rPr>
                <w:b/>
              </w:rPr>
            </w:pPr>
            <w:r>
              <w:rPr>
                <w:b/>
              </w:rPr>
              <w:t>Licence</w:t>
            </w:r>
          </w:p>
        </w:tc>
        <w:tc>
          <w:tcPr>
            <w:tcW w:w="1069" w:type="pct"/>
          </w:tcPr>
          <w:p>
            <w:pPr>
              <w:pStyle w:val="TableNAm"/>
              <w:jc w:val="center"/>
              <w:rPr>
                <w:b/>
              </w:rPr>
            </w:pPr>
            <w:r>
              <w:rPr>
                <w:b/>
              </w:rPr>
              <w:t>For period not exceeding 1 year</w:t>
            </w:r>
            <w:r>
              <w:rPr>
                <w:b/>
              </w:rPr>
              <w:br/>
            </w:r>
            <w:r>
              <w:rPr>
                <w:b/>
              </w:rPr>
              <w:br/>
            </w:r>
            <w:r>
              <w:rPr>
                <w:b/>
              </w:rPr>
              <w:br/>
            </w:r>
            <w:r>
              <w:rPr>
                <w:b/>
              </w:rPr>
              <w:br/>
              <w:t>$</w:t>
            </w:r>
          </w:p>
        </w:tc>
        <w:tc>
          <w:tcPr>
            <w:tcW w:w="1070" w:type="pct"/>
          </w:tcPr>
          <w:p>
            <w:pPr>
              <w:pStyle w:val="TableNAm"/>
              <w:jc w:val="center"/>
              <w:rPr>
                <w:b/>
              </w:rPr>
            </w:pPr>
            <w:r>
              <w:rPr>
                <w:b/>
              </w:rPr>
              <w:t>For period not exceeding 2 years but longer than 1 year</w:t>
            </w:r>
            <w:r>
              <w:rPr>
                <w:b/>
              </w:rPr>
              <w:br/>
            </w:r>
            <w:r>
              <w:rPr>
                <w:b/>
              </w:rPr>
              <w:br/>
              <w:t>$</w:t>
            </w:r>
          </w:p>
        </w:tc>
        <w:tc>
          <w:tcPr>
            <w:tcW w:w="1006" w:type="pct"/>
          </w:tcPr>
          <w:p>
            <w:pPr>
              <w:pStyle w:val="TableNAm"/>
              <w:jc w:val="center"/>
              <w:rPr>
                <w:b/>
              </w:rPr>
            </w:pPr>
            <w:r>
              <w:rPr>
                <w:b/>
              </w:rPr>
              <w:t>For period not exceeding 3 years but longer than 2 years</w:t>
            </w:r>
            <w:r>
              <w:rPr>
                <w:b/>
              </w:rPr>
              <w:br/>
              <w:t>$</w:t>
            </w:r>
          </w:p>
        </w:tc>
      </w:tr>
      <w:tr>
        <w:trPr>
          <w:cantSplit/>
        </w:trPr>
        <w:tc>
          <w:tcPr>
            <w:tcW w:w="589" w:type="pct"/>
          </w:tcPr>
          <w:p>
            <w:pPr>
              <w:pStyle w:val="TableNAm"/>
              <w:rPr>
                <w:b/>
              </w:rPr>
            </w:pPr>
            <w:r>
              <w:rPr>
                <w:b/>
              </w:rPr>
              <w:t>1.</w:t>
            </w:r>
          </w:p>
        </w:tc>
        <w:tc>
          <w:tcPr>
            <w:tcW w:w="1266" w:type="pct"/>
          </w:tcPr>
          <w:p>
            <w:pPr>
              <w:pStyle w:val="TableNAm"/>
              <w:rPr>
                <w:b/>
              </w:rPr>
            </w:pPr>
            <w:r>
              <w:rPr>
                <w:b/>
              </w:rPr>
              <w:t>Pawnbroker’s licence only</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4 253</w:t>
            </w:r>
          </w:p>
        </w:tc>
        <w:tc>
          <w:tcPr>
            <w:tcW w:w="1070" w:type="pct"/>
            <w:vAlign w:val="bottom"/>
          </w:tcPr>
          <w:p>
            <w:pPr>
              <w:pStyle w:val="TableNAm"/>
            </w:pPr>
            <w:r>
              <w:t>5 164</w:t>
            </w:r>
          </w:p>
        </w:tc>
        <w:tc>
          <w:tcPr>
            <w:tcW w:w="1006" w:type="pct"/>
            <w:vAlign w:val="bottom"/>
          </w:tcPr>
          <w:p>
            <w:pPr>
              <w:pStyle w:val="TableNAm"/>
            </w:pPr>
            <w:r>
              <w:t>6 059</w:t>
            </w:r>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2 126</w:t>
            </w:r>
          </w:p>
        </w:tc>
        <w:tc>
          <w:tcPr>
            <w:tcW w:w="1070" w:type="pct"/>
            <w:vAlign w:val="bottom"/>
          </w:tcPr>
          <w:p>
            <w:pPr>
              <w:pStyle w:val="TableNAm"/>
            </w:pPr>
            <w:r>
              <w:t>2 582</w:t>
            </w:r>
          </w:p>
        </w:tc>
        <w:tc>
          <w:tcPr>
            <w:tcW w:w="1006" w:type="pct"/>
            <w:vAlign w:val="bottom"/>
          </w:tcPr>
          <w:p>
            <w:pPr>
              <w:pStyle w:val="TableNAm"/>
            </w:pPr>
            <w:r>
              <w:t>3 029</w:t>
            </w:r>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1 063</w:t>
            </w:r>
          </w:p>
        </w:tc>
        <w:tc>
          <w:tcPr>
            <w:tcW w:w="1070" w:type="pct"/>
            <w:vAlign w:val="bottom"/>
          </w:tcPr>
          <w:p>
            <w:pPr>
              <w:pStyle w:val="TableNAm"/>
            </w:pPr>
            <w:r>
              <w:t>1 291</w:t>
            </w:r>
          </w:p>
        </w:tc>
        <w:tc>
          <w:tcPr>
            <w:tcW w:w="1006" w:type="pct"/>
            <w:vAlign w:val="bottom"/>
          </w:tcPr>
          <w:p>
            <w:pPr>
              <w:pStyle w:val="TableNAm"/>
            </w:pPr>
            <w:r>
              <w:t>1 514</w:t>
            </w:r>
          </w:p>
        </w:tc>
      </w:tr>
      <w:tr>
        <w:trPr>
          <w:cantSplit/>
        </w:trPr>
        <w:tc>
          <w:tcPr>
            <w:tcW w:w="589" w:type="pct"/>
          </w:tcPr>
          <w:p>
            <w:pPr>
              <w:pStyle w:val="TableNAm"/>
              <w:keepNext/>
              <w:rPr>
                <w:b/>
              </w:rPr>
            </w:pPr>
            <w:r>
              <w:rPr>
                <w:b/>
              </w:rPr>
              <w:t>2.</w:t>
            </w:r>
          </w:p>
        </w:tc>
        <w:tc>
          <w:tcPr>
            <w:tcW w:w="1266" w:type="pct"/>
          </w:tcPr>
          <w:p>
            <w:pPr>
              <w:pStyle w:val="TableNAm"/>
              <w:rPr>
                <w:b/>
              </w:rPr>
            </w:pPr>
            <w:r>
              <w:rPr>
                <w:b/>
              </w:rPr>
              <w:t>Second</w:t>
            </w:r>
            <w:r>
              <w:rPr>
                <w:b/>
              </w:rPr>
              <w:noBreakHyphen/>
              <w:t>hand dealer’s licence only</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4 253</w:t>
            </w:r>
          </w:p>
        </w:tc>
        <w:tc>
          <w:tcPr>
            <w:tcW w:w="1070" w:type="pct"/>
            <w:vAlign w:val="bottom"/>
          </w:tcPr>
          <w:p>
            <w:pPr>
              <w:pStyle w:val="TableNAm"/>
            </w:pPr>
            <w:r>
              <w:t>5 164</w:t>
            </w:r>
          </w:p>
        </w:tc>
        <w:tc>
          <w:tcPr>
            <w:tcW w:w="1006" w:type="pct"/>
            <w:vAlign w:val="bottom"/>
          </w:tcPr>
          <w:p>
            <w:pPr>
              <w:pStyle w:val="TableNAm"/>
            </w:pPr>
            <w:r>
              <w:t>6 059</w:t>
            </w:r>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2 126</w:t>
            </w:r>
          </w:p>
        </w:tc>
        <w:tc>
          <w:tcPr>
            <w:tcW w:w="1070" w:type="pct"/>
            <w:vAlign w:val="bottom"/>
          </w:tcPr>
          <w:p>
            <w:pPr>
              <w:pStyle w:val="TableNAm"/>
            </w:pPr>
            <w:r>
              <w:t>2 582</w:t>
            </w:r>
          </w:p>
        </w:tc>
        <w:tc>
          <w:tcPr>
            <w:tcW w:w="1006" w:type="pct"/>
            <w:vAlign w:val="bottom"/>
          </w:tcPr>
          <w:p>
            <w:pPr>
              <w:pStyle w:val="TableNAm"/>
            </w:pPr>
            <w:r>
              <w:t>3 029</w:t>
            </w:r>
          </w:p>
        </w:tc>
      </w:tr>
      <w:tr>
        <w:trPr>
          <w:cantSplit/>
        </w:trPr>
        <w:tc>
          <w:tcPr>
            <w:tcW w:w="589" w:type="pct"/>
          </w:tcPr>
          <w:p>
            <w:pPr>
              <w:pStyle w:val="TableNAm"/>
            </w:pPr>
            <w:r>
              <w:lastRenderedPageBreak/>
              <w:t>(c)</w:t>
            </w:r>
          </w:p>
        </w:tc>
        <w:tc>
          <w:tcPr>
            <w:tcW w:w="1266" w:type="pct"/>
          </w:tcPr>
          <w:p>
            <w:pPr>
              <w:pStyle w:val="TableNAm"/>
            </w:pPr>
            <w:r>
              <w:t>0</w:t>
            </w:r>
            <w:r>
              <w:noBreakHyphen/>
              <w:t>49 transactions in a year</w:t>
            </w:r>
          </w:p>
        </w:tc>
        <w:tc>
          <w:tcPr>
            <w:tcW w:w="1069" w:type="pct"/>
            <w:vAlign w:val="bottom"/>
          </w:tcPr>
          <w:p>
            <w:pPr>
              <w:pStyle w:val="TableNAm"/>
            </w:pPr>
            <w:r>
              <w:t>1 063</w:t>
            </w:r>
          </w:p>
        </w:tc>
        <w:tc>
          <w:tcPr>
            <w:tcW w:w="1070" w:type="pct"/>
            <w:vAlign w:val="bottom"/>
          </w:tcPr>
          <w:p>
            <w:pPr>
              <w:pStyle w:val="TableNAm"/>
            </w:pPr>
            <w:r>
              <w:t>1 291</w:t>
            </w:r>
          </w:p>
        </w:tc>
        <w:tc>
          <w:tcPr>
            <w:tcW w:w="1006" w:type="pct"/>
            <w:vAlign w:val="bottom"/>
          </w:tcPr>
          <w:p>
            <w:pPr>
              <w:pStyle w:val="TableNAm"/>
            </w:pPr>
            <w:r>
              <w:t>1 514</w:t>
            </w:r>
          </w:p>
        </w:tc>
      </w:tr>
      <w:tr>
        <w:trPr>
          <w:cantSplit/>
        </w:trPr>
        <w:tc>
          <w:tcPr>
            <w:tcW w:w="589" w:type="pct"/>
          </w:tcPr>
          <w:p>
            <w:pPr>
              <w:pStyle w:val="TableNAm"/>
              <w:rPr>
                <w:b/>
              </w:rPr>
            </w:pPr>
            <w:r>
              <w:rPr>
                <w:b/>
              </w:rPr>
              <w:t>3.</w:t>
            </w:r>
          </w:p>
        </w:tc>
        <w:tc>
          <w:tcPr>
            <w:tcW w:w="1266" w:type="pct"/>
          </w:tcPr>
          <w:p>
            <w:pPr>
              <w:pStyle w:val="TableNAm"/>
              <w:rPr>
                <w:b/>
              </w:rPr>
            </w:pPr>
            <w:r>
              <w:rPr>
                <w:b/>
              </w:rPr>
              <w:t>Pawnbroker’s licence and second</w:t>
            </w:r>
            <w:r>
              <w:rPr>
                <w:b/>
              </w:rPr>
              <w:noBreakHyphen/>
              <w:t>hand dealer’s licence</w:t>
            </w:r>
          </w:p>
        </w:tc>
        <w:tc>
          <w:tcPr>
            <w:tcW w:w="1069" w:type="pct"/>
          </w:tcPr>
          <w:p>
            <w:pPr>
              <w:pStyle w:val="TableNAm"/>
            </w:pPr>
          </w:p>
        </w:tc>
        <w:tc>
          <w:tcPr>
            <w:tcW w:w="1070" w:type="pct"/>
          </w:tcPr>
          <w:p>
            <w:pPr>
              <w:pStyle w:val="TableNAm"/>
            </w:pPr>
          </w:p>
        </w:tc>
        <w:tc>
          <w:tcPr>
            <w:tcW w:w="1006" w:type="pct"/>
          </w:tcPr>
          <w:p>
            <w:pPr>
              <w:pStyle w:val="TableNAm"/>
            </w:pPr>
          </w:p>
        </w:tc>
      </w:tr>
      <w:tr>
        <w:trPr>
          <w:cantSplit/>
        </w:trPr>
        <w:tc>
          <w:tcPr>
            <w:tcW w:w="589" w:type="pct"/>
          </w:tcPr>
          <w:p>
            <w:pPr>
              <w:pStyle w:val="TableNAm"/>
            </w:pPr>
            <w:r>
              <w:t>(a)</w:t>
            </w:r>
          </w:p>
        </w:tc>
        <w:tc>
          <w:tcPr>
            <w:tcW w:w="1266" w:type="pct"/>
          </w:tcPr>
          <w:p>
            <w:pPr>
              <w:pStyle w:val="TableNAm"/>
            </w:pPr>
            <w:r>
              <w:t>150 or more transactions in a year</w:t>
            </w:r>
          </w:p>
        </w:tc>
        <w:tc>
          <w:tcPr>
            <w:tcW w:w="1069" w:type="pct"/>
            <w:vAlign w:val="bottom"/>
          </w:tcPr>
          <w:p>
            <w:pPr>
              <w:pStyle w:val="TableNAm"/>
            </w:pPr>
            <w:r>
              <w:t>4 260</w:t>
            </w:r>
          </w:p>
        </w:tc>
        <w:tc>
          <w:tcPr>
            <w:tcW w:w="1070" w:type="pct"/>
            <w:vAlign w:val="bottom"/>
          </w:tcPr>
          <w:p>
            <w:pPr>
              <w:pStyle w:val="TableNAm"/>
            </w:pPr>
            <w:r>
              <w:t>5 176</w:t>
            </w:r>
          </w:p>
        </w:tc>
        <w:tc>
          <w:tcPr>
            <w:tcW w:w="1006" w:type="pct"/>
            <w:vAlign w:val="bottom"/>
          </w:tcPr>
          <w:p>
            <w:pPr>
              <w:pStyle w:val="TableNAm"/>
            </w:pPr>
            <w:r>
              <w:t>6 073</w:t>
            </w:r>
          </w:p>
        </w:tc>
      </w:tr>
      <w:tr>
        <w:trPr>
          <w:cantSplit/>
        </w:trPr>
        <w:tc>
          <w:tcPr>
            <w:tcW w:w="589" w:type="pct"/>
          </w:tcPr>
          <w:p>
            <w:pPr>
              <w:pStyle w:val="TableNAm"/>
            </w:pPr>
            <w:r>
              <w:t>(b)</w:t>
            </w:r>
          </w:p>
        </w:tc>
        <w:tc>
          <w:tcPr>
            <w:tcW w:w="1266" w:type="pct"/>
          </w:tcPr>
          <w:p>
            <w:pPr>
              <w:pStyle w:val="TableNAm"/>
            </w:pPr>
            <w:r>
              <w:t>50</w:t>
            </w:r>
            <w:r>
              <w:noBreakHyphen/>
              <w:t>149 transactions in a year</w:t>
            </w:r>
          </w:p>
        </w:tc>
        <w:tc>
          <w:tcPr>
            <w:tcW w:w="1069" w:type="pct"/>
            <w:vAlign w:val="bottom"/>
          </w:tcPr>
          <w:p>
            <w:pPr>
              <w:pStyle w:val="TableNAm"/>
            </w:pPr>
            <w:r>
              <w:t>2 130</w:t>
            </w:r>
          </w:p>
        </w:tc>
        <w:tc>
          <w:tcPr>
            <w:tcW w:w="1070" w:type="pct"/>
            <w:vAlign w:val="bottom"/>
          </w:tcPr>
          <w:p>
            <w:pPr>
              <w:pStyle w:val="TableNAm"/>
            </w:pPr>
            <w:r>
              <w:t>2 588</w:t>
            </w:r>
          </w:p>
        </w:tc>
        <w:tc>
          <w:tcPr>
            <w:tcW w:w="1006" w:type="pct"/>
            <w:vAlign w:val="bottom"/>
          </w:tcPr>
          <w:p>
            <w:pPr>
              <w:pStyle w:val="TableNAm"/>
            </w:pPr>
            <w:r>
              <w:t>3 036</w:t>
            </w:r>
          </w:p>
        </w:tc>
      </w:tr>
      <w:tr>
        <w:trPr>
          <w:cantSplit/>
        </w:trPr>
        <w:tc>
          <w:tcPr>
            <w:tcW w:w="589" w:type="pct"/>
          </w:tcPr>
          <w:p>
            <w:pPr>
              <w:pStyle w:val="TableNAm"/>
            </w:pPr>
            <w:r>
              <w:t>(c)</w:t>
            </w:r>
          </w:p>
        </w:tc>
        <w:tc>
          <w:tcPr>
            <w:tcW w:w="1266" w:type="pct"/>
          </w:tcPr>
          <w:p>
            <w:pPr>
              <w:pStyle w:val="TableNAm"/>
            </w:pPr>
            <w:r>
              <w:t>0</w:t>
            </w:r>
            <w:r>
              <w:noBreakHyphen/>
              <w:t>49 transactions in a year</w:t>
            </w:r>
          </w:p>
        </w:tc>
        <w:tc>
          <w:tcPr>
            <w:tcW w:w="1069" w:type="pct"/>
            <w:vAlign w:val="bottom"/>
          </w:tcPr>
          <w:p>
            <w:pPr>
              <w:pStyle w:val="TableNAm"/>
            </w:pPr>
            <w:r>
              <w:t>1 065</w:t>
            </w:r>
          </w:p>
        </w:tc>
        <w:tc>
          <w:tcPr>
            <w:tcW w:w="1070" w:type="pct"/>
            <w:vAlign w:val="bottom"/>
          </w:tcPr>
          <w:p>
            <w:pPr>
              <w:pStyle w:val="TableNAm"/>
            </w:pPr>
            <w:r>
              <w:t>1 294</w:t>
            </w:r>
          </w:p>
        </w:tc>
        <w:tc>
          <w:tcPr>
            <w:tcW w:w="1006" w:type="pct"/>
            <w:vAlign w:val="bottom"/>
          </w:tcPr>
          <w:p>
            <w:pPr>
              <w:pStyle w:val="TableNAm"/>
            </w:pPr>
            <w:r>
              <w:t>1 518</w:t>
            </w:r>
          </w:p>
        </w:tc>
      </w:tr>
    </w:tbl>
    <w:p>
      <w:pPr>
        <w:pStyle w:val="Footnotesection"/>
        <w:keepLines w:val="0"/>
        <w:spacing w:before="100"/>
        <w:ind w:left="890" w:hanging="890"/>
      </w:pPr>
      <w:r>
        <w:tab/>
        <w:t>[Regulation 29 amended: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 xml:space="preserve">2; </w:t>
      </w:r>
      <w:r>
        <w:rPr>
          <w:spacing w:val="-4"/>
        </w:rPr>
        <w:lastRenderedPageBreak/>
        <w:t>14 Jun 2016 p. 1829</w:t>
      </w:r>
      <w:r>
        <w:rPr>
          <w:spacing w:val="-4"/>
        </w:rPr>
        <w:noBreakHyphen/>
        <w:t>31; 27 Jun 2017 p. 3444</w:t>
      </w:r>
      <w:r>
        <w:rPr>
          <w:spacing w:val="-4"/>
        </w:rPr>
        <w:noBreakHyphen/>
        <w:t>6; 26 Jun 2018 p. 2396</w:t>
      </w:r>
      <w:r>
        <w:rPr>
          <w:spacing w:val="-4"/>
        </w:rPr>
        <w:noBreakHyphen/>
        <w:t>7; 21 Jun 2019 p. 2145</w:t>
      </w:r>
      <w:r>
        <w:rPr>
          <w:spacing w:val="-4"/>
        </w:rPr>
        <w:noBreakHyphen/>
        <w:t>7; SL 2020/82 r. 7; SL 2020/147 r. 9; SL 2021/106 r. 7</w:t>
      </w:r>
      <w:r>
        <w:t>.]</w:t>
      </w:r>
    </w:p>
    <w:p>
      <w:pPr>
        <w:pStyle w:val="Heading5"/>
        <w:rPr>
          <w:snapToGrid w:val="0"/>
        </w:rPr>
      </w:pPr>
      <w:bookmarkStart w:id="36" w:name="_Toc104975408"/>
      <w:r>
        <w:rPr>
          <w:rStyle w:val="CharSectno"/>
        </w:rPr>
        <w:t>30</w:t>
      </w:r>
      <w:r>
        <w:rPr>
          <w:snapToGrid w:val="0"/>
        </w:rPr>
        <w:t>.</w:t>
      </w:r>
      <w:r>
        <w:rPr>
          <w:snapToGrid w:val="0"/>
        </w:rPr>
        <w:tab/>
        <w:t>Refund of fees, when payable</w:t>
      </w:r>
      <w:bookmarkEnd w:id="36"/>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Gazette 12 Jun 1998 p. 3200.]</w:t>
      </w:r>
    </w:p>
    <w:p>
      <w:pPr>
        <w:pStyle w:val="Heading5"/>
        <w:rPr>
          <w:snapToGrid w:val="0"/>
          <w:spacing w:val="-4"/>
        </w:rPr>
      </w:pPr>
      <w:bookmarkStart w:id="37" w:name="_Toc104975409"/>
      <w:r>
        <w:rPr>
          <w:rStyle w:val="CharSectno"/>
          <w:spacing w:val="-4"/>
        </w:rPr>
        <w:t>31</w:t>
      </w:r>
      <w:r>
        <w:rPr>
          <w:snapToGrid w:val="0"/>
          <w:spacing w:val="-4"/>
        </w:rPr>
        <w:t>.</w:t>
      </w:r>
      <w:r>
        <w:rPr>
          <w:snapToGrid w:val="0"/>
          <w:spacing w:val="-4"/>
        </w:rPr>
        <w:tab/>
        <w:t>Fee prescribed for inspecting register (Act s. 28(2))</w:t>
      </w:r>
      <w:bookmarkEnd w:id="37"/>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Gazette 10 Jun 1997 p. 2669; 12 June 1998 p. 3200; 30 Jun 1999 p. 2864; 28 Jun 2002 p. 3102; 1 Jul 2005 p. 3006; 26 May 2009 p. 1810.]</w:t>
      </w:r>
    </w:p>
    <w:p>
      <w:pPr>
        <w:pStyle w:val="Heading2"/>
      </w:pPr>
      <w:bookmarkStart w:id="38" w:name="_Toc104967973"/>
      <w:bookmarkStart w:id="39" w:name="_Toc104968130"/>
      <w:bookmarkStart w:id="40" w:name="_Toc104975410"/>
      <w:r>
        <w:rPr>
          <w:rStyle w:val="CharPartNo"/>
        </w:rPr>
        <w:lastRenderedPageBreak/>
        <w:t>Part 7</w:t>
      </w:r>
      <w:r>
        <w:rPr>
          <w:rStyle w:val="CharDivNo"/>
        </w:rPr>
        <w:t xml:space="preserve"> </w:t>
      </w:r>
      <w:r>
        <w:t>—</w:t>
      </w:r>
      <w:r>
        <w:rPr>
          <w:rStyle w:val="CharDivText"/>
        </w:rPr>
        <w:t xml:space="preserve"> </w:t>
      </w:r>
      <w:r>
        <w:rPr>
          <w:rStyle w:val="CharPartText"/>
        </w:rPr>
        <w:t>Prescribed offences and modified penalties</w:t>
      </w:r>
      <w:bookmarkEnd w:id="38"/>
      <w:bookmarkEnd w:id="39"/>
      <w:bookmarkEnd w:id="40"/>
    </w:p>
    <w:p>
      <w:pPr>
        <w:pStyle w:val="Footnoteheading"/>
      </w:pPr>
      <w:r>
        <w:tab/>
        <w:t>[Heading inserted: Gazette 28 Jul 2000 p. 4025.]</w:t>
      </w:r>
    </w:p>
    <w:p>
      <w:pPr>
        <w:pStyle w:val="Heading5"/>
      </w:pPr>
      <w:bookmarkStart w:id="41" w:name="_Toc104975411"/>
      <w:r>
        <w:rPr>
          <w:rStyle w:val="CharSectno"/>
        </w:rPr>
        <w:t>32</w:t>
      </w:r>
      <w:r>
        <w:t>.</w:t>
      </w:r>
      <w:r>
        <w:tab/>
        <w:t>Offences and modified penalties prescribed (Act s. 90)</w:t>
      </w:r>
      <w:bookmarkEnd w:id="41"/>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lastRenderedPageBreak/>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Gazette 28 Jul 2000 p. 4025</w:t>
      </w:r>
      <w:r>
        <w:noBreakHyphen/>
        <w:t>6; amended: Gazette 23 February 2001 p. 1170.]</w:t>
      </w:r>
    </w:p>
    <w:p>
      <w:pPr>
        <w:pStyle w:val="Heading2"/>
      </w:pPr>
      <w:bookmarkStart w:id="42" w:name="_Toc104967975"/>
      <w:bookmarkStart w:id="43" w:name="_Toc104968132"/>
      <w:bookmarkStart w:id="44" w:name="_Toc104975412"/>
      <w:r>
        <w:rPr>
          <w:rStyle w:val="CharPartNo"/>
        </w:rPr>
        <w:lastRenderedPageBreak/>
        <w:t>Part 8</w:t>
      </w:r>
      <w:r>
        <w:rPr>
          <w:b w:val="0"/>
        </w:rPr>
        <w:t> </w:t>
      </w:r>
      <w:r>
        <w:t>—</w:t>
      </w:r>
      <w:r>
        <w:rPr>
          <w:b w:val="0"/>
        </w:rPr>
        <w:t> </w:t>
      </w:r>
      <w:r>
        <w:rPr>
          <w:rStyle w:val="CharPartText"/>
        </w:rPr>
        <w:t>Transitional provisions</w:t>
      </w:r>
      <w:bookmarkEnd w:id="42"/>
      <w:bookmarkEnd w:id="43"/>
      <w:bookmarkEnd w:id="44"/>
    </w:p>
    <w:p>
      <w:pPr>
        <w:pStyle w:val="Footnoteheading"/>
      </w:pPr>
      <w:r>
        <w:tab/>
        <w:t>[Heading inserted: SL 2020/147 r. 10.]</w:t>
      </w:r>
    </w:p>
    <w:p>
      <w:pPr>
        <w:pStyle w:val="Heading5"/>
      </w:pPr>
      <w:bookmarkStart w:id="45" w:name="_Toc104975413"/>
      <w:r>
        <w:rPr>
          <w:rStyle w:val="CharSectno"/>
        </w:rPr>
        <w:t>33</w:t>
      </w:r>
      <w:r>
        <w:t>.</w:t>
      </w:r>
      <w:r>
        <w:tab/>
        <w:t xml:space="preserve">Transitional provisions relating to </w:t>
      </w:r>
      <w:r>
        <w:rPr>
          <w:i/>
        </w:rPr>
        <w:t>Pawnbrokers and Second</w:t>
      </w:r>
      <w:r>
        <w:rPr>
          <w:i/>
        </w:rPr>
        <w:noBreakHyphen/>
        <w:t>hand Dealers Amendment Regulations 2020</w:t>
      </w:r>
      <w:bookmarkEnd w:id="45"/>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Pawnbrokers and Second</w:t>
      </w:r>
      <w:r>
        <w:rPr>
          <w:i/>
        </w:rPr>
        <w:noBreakHyphen/>
        <w:t>hand Dealers Amendment Regulations 2020</w:t>
      </w:r>
      <w:r>
        <w:t xml:space="preserve"> regulation 7 comes into operation;</w:t>
      </w:r>
    </w:p>
    <w:p>
      <w:pPr>
        <w:pStyle w:val="Defstart"/>
      </w:pPr>
      <w:r>
        <w:tab/>
      </w:r>
      <w:r>
        <w:rPr>
          <w:rStyle w:val="CharDefText"/>
        </w:rPr>
        <w:t>current licence period</w:t>
      </w:r>
      <w:r>
        <w:t>, in relation to a person, means the person’s licence period in effect immediately before commencement day;</w:t>
      </w:r>
    </w:p>
    <w:p>
      <w:pPr>
        <w:pStyle w:val="Defstart"/>
      </w:pPr>
      <w:r>
        <w:tab/>
      </w:r>
      <w:r>
        <w:rPr>
          <w:rStyle w:val="CharDefText"/>
        </w:rPr>
        <w:t>relevant day</w:t>
      </w:r>
      <w:r>
        <w:t xml:space="preserve"> means the earlier of the following — </w:t>
      </w:r>
    </w:p>
    <w:p>
      <w:pPr>
        <w:pStyle w:val="Defpara"/>
      </w:pPr>
      <w:r>
        <w:tab/>
        <w:t>(a)</w:t>
      </w:r>
      <w:r>
        <w:tab/>
        <w:t>the day after the end of the current licence period;</w:t>
      </w:r>
    </w:p>
    <w:p>
      <w:pPr>
        <w:pStyle w:val="Defpara"/>
      </w:pPr>
      <w:r>
        <w:tab/>
        <w:t>(b)</w:t>
      </w:r>
      <w:r>
        <w:tab/>
        <w:t>1 February 2021.</w:t>
      </w:r>
    </w:p>
    <w:p>
      <w:pPr>
        <w:pStyle w:val="Subsection"/>
      </w:pPr>
      <w:r>
        <w:tab/>
        <w:t>(2)</w:t>
      </w:r>
      <w:r>
        <w:tab/>
        <w:t>Subregulation (3) applies in relation to a contract if —</w:t>
      </w:r>
    </w:p>
    <w:p>
      <w:pPr>
        <w:pStyle w:val="Indenta"/>
      </w:pPr>
      <w:r>
        <w:tab/>
        <w:t>(a)</w:t>
      </w:r>
      <w:r>
        <w:tab/>
        <w:t>the contract is entered into before commencement day; but</w:t>
      </w:r>
    </w:p>
    <w:p>
      <w:pPr>
        <w:pStyle w:val="Indenta"/>
      </w:pPr>
      <w:r>
        <w:tab/>
        <w:t>(b)</w:t>
      </w:r>
      <w:r>
        <w:tab/>
        <w:t>the information required to be given to the Commissioner under regulation 15(1) or (2) in relation to the goods that are the subject of the contract is not given before commencement day.</w:t>
      </w:r>
    </w:p>
    <w:p>
      <w:pPr>
        <w:pStyle w:val="Subsection"/>
      </w:pPr>
      <w:r>
        <w:tab/>
        <w:t>(3)</w:t>
      </w:r>
      <w:r>
        <w:tab/>
        <w:t xml:space="preserve">The information may be given to the Commissioner as if the </w:t>
      </w:r>
      <w:r>
        <w:rPr>
          <w:i/>
        </w:rPr>
        <w:t>Pawnbrokers and Second</w:t>
      </w:r>
      <w:r>
        <w:rPr>
          <w:i/>
        </w:rPr>
        <w:noBreakHyphen/>
        <w:t>hand Dealers Amendment Regulations 2020</w:t>
      </w:r>
      <w:r>
        <w:t xml:space="preserve"> regulation 7 had not come into operation.</w:t>
      </w:r>
    </w:p>
    <w:p>
      <w:pPr>
        <w:pStyle w:val="Subsection"/>
      </w:pPr>
      <w:r>
        <w:tab/>
        <w:t>(4)</w:t>
      </w:r>
      <w:r>
        <w:tab/>
        <w:t xml:space="preserve">Subregulation (5) applies if, immediately before commencement day — </w:t>
      </w:r>
    </w:p>
    <w:p>
      <w:pPr>
        <w:pStyle w:val="Indenta"/>
      </w:pPr>
      <w:r>
        <w:tab/>
        <w:t>(a)</w:t>
      </w:r>
      <w:r>
        <w:tab/>
        <w:t>a person holds a second</w:t>
      </w:r>
      <w:r>
        <w:noBreakHyphen/>
        <w:t>hand dealer’s licence only; and</w:t>
      </w:r>
    </w:p>
    <w:p>
      <w:pPr>
        <w:pStyle w:val="Indenta"/>
      </w:pPr>
      <w:r>
        <w:tab/>
        <w:t>(b)</w:t>
      </w:r>
      <w:r>
        <w:tab/>
        <w:t>an election to give the Commissioner information for the purposes of section 79 by way of transmission by facsimile machine is in effect in relation to the person.</w:t>
      </w:r>
    </w:p>
    <w:p>
      <w:pPr>
        <w:pStyle w:val="Subsection"/>
      </w:pPr>
      <w:r>
        <w:lastRenderedPageBreak/>
        <w:tab/>
        <w:t>(5)</w:t>
      </w:r>
      <w:r>
        <w:tab/>
        <w:t xml:space="preserve">The person may continue to give the Commissioner information for the purposes of section 79 by way of transmission by facsimile machine as if the </w:t>
      </w:r>
      <w:r>
        <w:rPr>
          <w:i/>
        </w:rPr>
        <w:t>Pawnbrokers and Second</w:t>
      </w:r>
      <w:r>
        <w:rPr>
          <w:i/>
        </w:rPr>
        <w:noBreakHyphen/>
        <w:t>hand Dealers Amendment Regulations 2020</w:t>
      </w:r>
      <w:r>
        <w:t xml:space="preserve"> regulation 7 had not come into operation.</w:t>
      </w:r>
    </w:p>
    <w:p>
      <w:pPr>
        <w:pStyle w:val="Subsection"/>
      </w:pPr>
      <w:r>
        <w:tab/>
        <w:t>(6)</w:t>
      </w:r>
      <w:r>
        <w:tab/>
        <w:t xml:space="preserve">Subregulation (5) ceases to apply in relation to the person — </w:t>
      </w:r>
    </w:p>
    <w:p>
      <w:pPr>
        <w:pStyle w:val="Indenta"/>
      </w:pPr>
      <w:r>
        <w:tab/>
        <w:t>(a)</w:t>
      </w:r>
      <w:r>
        <w:tab/>
        <w:t>unless paragraph (b) applies, on the relevant day; or</w:t>
      </w:r>
    </w:p>
    <w:p>
      <w:pPr>
        <w:pStyle w:val="Indenta"/>
      </w:pPr>
      <w:r>
        <w:tab/>
        <w:t>(b)</w:t>
      </w:r>
      <w:r>
        <w:tab/>
        <w:t>if an action is taken under section 27(3) in relation to the licence or the person before the relevant day — when the action is taken.</w:t>
      </w:r>
    </w:p>
    <w:p>
      <w:pPr>
        <w:pStyle w:val="Footnotesection"/>
      </w:pPr>
      <w:r>
        <w:tab/>
        <w:t>[Regulation 33 inserted: SL 2020/147 r. 10.]</w:t>
      </w:r>
    </w:p>
    <w:p>
      <w:pPr>
        <w:pStyle w:val="yEdnoteschedule"/>
      </w:pPr>
      <w:r>
        <w:t>[Schedule 1 deleted: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6" w:name="_Toc104967977"/>
      <w:bookmarkStart w:id="47" w:name="_Toc104968134"/>
      <w:bookmarkStart w:id="48" w:name="_Toc104975414"/>
      <w:r>
        <w:lastRenderedPageBreak/>
        <w:t>Notes</w:t>
      </w:r>
      <w:bookmarkEnd w:id="46"/>
      <w:bookmarkEnd w:id="47"/>
      <w:bookmarkEnd w:id="48"/>
    </w:p>
    <w:p>
      <w:pPr>
        <w:pStyle w:val="nStatement"/>
      </w:pPr>
      <w:r>
        <w:t xml:space="preserve">This is a compilation of the </w:t>
      </w:r>
      <w:r>
        <w:rPr>
          <w:i/>
          <w:noProof/>
        </w:rPr>
        <w:t>Pawnbrokers and Second-hand Dealers Regulations 1996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9" w:name="_Toc104975415"/>
      <w:r>
        <w:t>Compilation table</w:t>
      </w:r>
      <w:bookmarkEnd w:id="49"/>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bCs/>
                <w:snapToGrid w:val="0"/>
              </w:rPr>
              <w:t>r. 1 and 2: 17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bCs/>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bCs/>
                <w:snapToGrid w:val="0"/>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bCs/>
                <w:snapToGrid w:val="0"/>
                <w:spacing w:val="-2"/>
              </w:rPr>
            </w:pPr>
            <w:r>
              <w:rPr>
                <w:bCs/>
                <w:snapToGrid w:val="0"/>
                <w:spacing w:val="-2"/>
              </w:rPr>
              <w:t>r. 1 and 2: 2 Jun 2015 (see r. 2(a));</w:t>
            </w:r>
            <w:r>
              <w:rPr>
                <w:bCs/>
                <w:snapToGrid w:val="0"/>
                <w:spacing w:val="-2"/>
              </w:rPr>
              <w:br/>
              <w:t xml:space="preserve">Regulations other than r. 1 and 2: </w:t>
            </w:r>
            <w:r>
              <w:t>1 Jul 2015 (see r. 2(b)</w:t>
            </w:r>
            <w:r>
              <w:rPr>
                <w:bCs/>
                <w:snapToGrid w:val="0"/>
                <w:spacing w:val="-2"/>
              </w:rPr>
              <w:t>)</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2016</w:t>
            </w:r>
            <w:r>
              <w:t xml:space="preserve"> Pt. 3</w:t>
            </w:r>
          </w:p>
        </w:tc>
        <w:tc>
          <w:tcPr>
            <w:tcW w:w="1276" w:type="dxa"/>
            <w:shd w:val="clear" w:color="auto" w:fill="auto"/>
          </w:tcPr>
          <w:p>
            <w:pPr>
              <w:pStyle w:val="nTable"/>
              <w:spacing w:after="40"/>
            </w:pPr>
            <w:r>
              <w:t>14 Jun 2016 p. 1826-33</w:t>
            </w:r>
          </w:p>
        </w:tc>
        <w:tc>
          <w:tcPr>
            <w:tcW w:w="2693" w:type="dxa"/>
            <w:shd w:val="clear" w:color="auto" w:fill="auto"/>
          </w:tcPr>
          <w:p>
            <w:pPr>
              <w:pStyle w:val="nTable"/>
              <w:spacing w:after="40"/>
              <w:rPr>
                <w:bCs/>
                <w:snapToGrid w:val="0"/>
                <w:spacing w:val="-2"/>
              </w:rPr>
            </w:pPr>
            <w:r>
              <w:t>1 Jul 2016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pPr>
            <w:r>
              <w:rPr>
                <w:b/>
              </w:rPr>
              <w:t xml:space="preserve">Reprint 5: The </w:t>
            </w:r>
            <w:r>
              <w:rPr>
                <w:b/>
                <w:i/>
                <w:noProof/>
              </w:rPr>
              <w:t>Pawnbrokers and Second-hand Dealers Regulations 1996</w:t>
            </w:r>
            <w:r>
              <w:rPr>
                <w:b/>
              </w:rPr>
              <w:t xml:space="preserve"> as at </w:t>
            </w:r>
            <w:r>
              <w:rPr>
                <w:b/>
              </w:rPr>
              <w:br/>
              <w:t>18 Nov 2016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Regulations Amendment (Fees and Charges) Regulations 2017</w:t>
            </w:r>
            <w:r>
              <w:t xml:space="preserve"> Pt. 3</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rPr>
                <w:bCs/>
                <w:snapToGrid w:val="0"/>
                <w:spacing w:val="-2"/>
              </w:rPr>
            </w:pPr>
            <w:r>
              <w:rPr>
                <w:bCs/>
                <w:snapToGrid w:val="0"/>
                <w:spacing w:val="-2"/>
              </w:rPr>
              <w:t>1 Jul 2017 (see r. 2(b))</w:t>
            </w:r>
          </w:p>
        </w:tc>
      </w:tr>
      <w:tr>
        <w:trPr>
          <w:cantSplit/>
        </w:trPr>
        <w:tc>
          <w:tcPr>
            <w:tcW w:w="3119" w:type="dxa"/>
            <w:tcBorders>
              <w:top w:val="nil"/>
              <w:bottom w:val="nil"/>
            </w:tcBorders>
            <w:shd w:val="clear" w:color="auto" w:fill="auto"/>
          </w:tcPr>
          <w:p>
            <w:pPr>
              <w:pStyle w:val="nTable"/>
              <w:spacing w:after="40"/>
              <w:ind w:right="113"/>
            </w:pPr>
            <w:r>
              <w:rPr>
                <w:i/>
              </w:rPr>
              <w:t>Police Regulations Amendment (Fees and Charges) Regulations 2018</w:t>
            </w:r>
            <w:r>
              <w:t xml:space="preserve"> Pt. 3</w:t>
            </w:r>
          </w:p>
        </w:tc>
        <w:tc>
          <w:tcPr>
            <w:tcW w:w="1276" w:type="dxa"/>
            <w:tcBorders>
              <w:top w:val="nil"/>
              <w:bottom w:val="nil"/>
            </w:tcBorders>
            <w:shd w:val="clear" w:color="auto" w:fill="auto"/>
          </w:tcPr>
          <w:p>
            <w:pPr>
              <w:pStyle w:val="nTable"/>
              <w:spacing w:after="40"/>
            </w:pPr>
            <w:r>
              <w:t>26 Jun 2018 p. 2392</w:t>
            </w:r>
            <w:r>
              <w:noBreakHyphen/>
              <w:t>400</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2018 (see r. 2(b))</w:t>
            </w:r>
          </w:p>
        </w:tc>
      </w:tr>
      <w:tr>
        <w:trPr>
          <w:cantSplit/>
        </w:trPr>
        <w:tc>
          <w:tcPr>
            <w:tcW w:w="3119" w:type="dxa"/>
            <w:tcBorders>
              <w:top w:val="nil"/>
              <w:bottom w:val="nil"/>
            </w:tcBorders>
            <w:shd w:val="clear" w:color="auto" w:fill="auto"/>
          </w:tcPr>
          <w:p>
            <w:pPr>
              <w:pStyle w:val="nTable"/>
              <w:spacing w:after="40"/>
              <w:ind w:right="113"/>
              <w:rPr>
                <w:i/>
              </w:rPr>
            </w:pPr>
            <w:r>
              <w:rPr>
                <w:i/>
              </w:rPr>
              <w:lastRenderedPageBreak/>
              <w:t>Police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rPr>
                <w:bCs/>
                <w:snapToGrid w:val="0"/>
                <w:spacing w:val="-2"/>
              </w:rPr>
            </w:pPr>
            <w:r>
              <w:t>1 Jul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Regulations Amendment (Fees and Charges) Regulations 2020</w:t>
            </w:r>
            <w:r>
              <w:t xml:space="preserve"> Pt. 3</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ind w:right="113"/>
              <w:rPr>
                <w:i/>
              </w:rPr>
            </w:pPr>
            <w:r>
              <w:rPr>
                <w:i/>
                <w:noProof/>
              </w:rPr>
              <w:t>Pawnbrokers and Second-hand Dealers Amendment Regulations 2020</w:t>
            </w:r>
          </w:p>
        </w:tc>
        <w:tc>
          <w:tcPr>
            <w:tcW w:w="1276" w:type="dxa"/>
            <w:tcBorders>
              <w:top w:val="nil"/>
              <w:bottom w:val="nil"/>
            </w:tcBorders>
            <w:shd w:val="clear" w:color="auto" w:fill="auto"/>
          </w:tcPr>
          <w:p>
            <w:pPr>
              <w:pStyle w:val="nTable"/>
              <w:spacing w:after="40"/>
            </w:pPr>
            <w:r>
              <w:t>SL 2020/147 1 Sep 2020</w:t>
            </w:r>
          </w:p>
        </w:tc>
        <w:tc>
          <w:tcPr>
            <w:tcW w:w="2693" w:type="dxa"/>
            <w:tcBorders>
              <w:top w:val="nil"/>
              <w:bottom w:val="nil"/>
            </w:tcBorders>
            <w:shd w:val="clear" w:color="auto" w:fill="auto"/>
          </w:tcPr>
          <w:p>
            <w:pPr>
              <w:pStyle w:val="nTable"/>
              <w:spacing w:after="40"/>
            </w:pPr>
            <w:r>
              <w:t>r. 1 and 2: 1 Sep 2020 (see r. 2(a));</w:t>
            </w:r>
            <w:r>
              <w:br/>
              <w:t>r. 3 and 4: 2 Sep 2020 (see r. 2(c));</w:t>
            </w:r>
            <w:r>
              <w:br/>
              <w:t>r. 5-10: 1 Dec 2020 (see r. 2(b))</w:t>
            </w:r>
          </w:p>
        </w:tc>
      </w:tr>
      <w:tr>
        <w:trPr>
          <w:cantSplit/>
        </w:trPr>
        <w:tc>
          <w:tcPr>
            <w:tcW w:w="3119" w:type="dxa"/>
            <w:tcBorders>
              <w:top w:val="nil"/>
              <w:bottom w:val="nil"/>
            </w:tcBorders>
            <w:shd w:val="clear" w:color="auto" w:fill="auto"/>
          </w:tcPr>
          <w:p>
            <w:pPr>
              <w:pStyle w:val="nTable"/>
              <w:spacing w:after="40"/>
              <w:ind w:right="113"/>
              <w:rPr>
                <w:i/>
                <w:noProof/>
              </w:rPr>
            </w:pPr>
            <w:r>
              <w:rPr>
                <w:i/>
              </w:rPr>
              <w:t>Police Regulations Amendment (Procurement) Regulations 2020</w:t>
            </w:r>
            <w:r>
              <w:t xml:space="preserve"> Pt. 3</w:t>
            </w:r>
          </w:p>
        </w:tc>
        <w:tc>
          <w:tcPr>
            <w:tcW w:w="1276" w:type="dxa"/>
            <w:tcBorders>
              <w:top w:val="nil"/>
              <w:bottom w:val="nil"/>
            </w:tcBorders>
            <w:shd w:val="clear" w:color="auto" w:fill="auto"/>
          </w:tcPr>
          <w:p>
            <w:pPr>
              <w:pStyle w:val="nTable"/>
              <w:spacing w:after="40"/>
            </w:pPr>
            <w:r>
              <w:t>SL 2020/248 18 Dec 2020</w:t>
            </w:r>
          </w:p>
        </w:tc>
        <w:tc>
          <w:tcPr>
            <w:tcW w:w="2693" w:type="dxa"/>
            <w:tcBorders>
              <w:top w:val="nil"/>
              <w:bottom w:val="nil"/>
            </w:tcBorders>
            <w:shd w:val="clear" w:color="auto" w:fill="auto"/>
          </w:tcPr>
          <w:p>
            <w:pPr>
              <w:pStyle w:val="nTable"/>
              <w:spacing w:after="40"/>
            </w:pPr>
            <w:r>
              <w:t>1 Jun 2021 (see r. 2(b) and SL 2020/244 cl. 2(b))</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2021</w:t>
            </w:r>
            <w:r>
              <w:t xml:space="preserve"> Pt. 3</w:t>
            </w:r>
          </w:p>
        </w:tc>
        <w:tc>
          <w:tcPr>
            <w:tcW w:w="1276" w:type="dxa"/>
            <w:tcBorders>
              <w:bottom w:val="single" w:sz="4" w:space="0" w:color="auto"/>
            </w:tcBorders>
            <w:shd w:val="clear" w:color="auto" w:fill="auto"/>
          </w:tcPr>
          <w:p>
            <w:pPr>
              <w:pStyle w:val="nTable"/>
              <w:spacing w:after="40"/>
            </w:pPr>
            <w:r>
              <w:t>SL 2021/106 29 Jun 2021</w:t>
            </w:r>
          </w:p>
        </w:tc>
        <w:tc>
          <w:tcPr>
            <w:tcW w:w="2693" w:type="dxa"/>
            <w:tcBorders>
              <w:bottom w:val="single" w:sz="4" w:space="0" w:color="auto"/>
            </w:tcBorders>
            <w:shd w:val="clear" w:color="auto" w:fill="auto"/>
          </w:tcPr>
          <w:p>
            <w:pPr>
              <w:pStyle w:val="nTable"/>
              <w:spacing w:after="40"/>
            </w:pPr>
            <w:r>
              <w:t>1 Jul 2021 (see r. 2(b))</w:t>
            </w:r>
          </w:p>
        </w:tc>
      </w:tr>
    </w:tbl>
    <w:p>
      <w:pPr>
        <w:pStyle w:val="nHeading3"/>
      </w:pPr>
      <w:bookmarkStart w:id="50" w:name="_Toc104975416"/>
      <w:r>
        <w:t>Uncommenced provisions table</w:t>
      </w:r>
      <w:bookmarkEnd w:id="5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Police Regulations Amendment (Fees and Charges) Regulations 2022</w:t>
            </w:r>
            <w:r>
              <w:t xml:space="preserve"> Pt. 3</w:t>
            </w:r>
          </w:p>
        </w:tc>
        <w:tc>
          <w:tcPr>
            <w:tcW w:w="1276" w:type="dxa"/>
          </w:tcPr>
          <w:p>
            <w:pPr>
              <w:pStyle w:val="nTable"/>
              <w:spacing w:after="40"/>
            </w:pPr>
            <w:r>
              <w:t>SL 2022/65 3 Jun 2022</w:t>
            </w:r>
          </w:p>
        </w:tc>
        <w:tc>
          <w:tcPr>
            <w:tcW w:w="2693" w:type="dxa"/>
          </w:tcPr>
          <w:p>
            <w:pPr>
              <w:pStyle w:val="nTable"/>
              <w:spacing w:after="40"/>
            </w:pPr>
            <w:r>
              <w:t>1 Jul 2022 (see r. 2(b))</w:t>
            </w:r>
          </w:p>
        </w:tc>
      </w:tr>
    </w:tbl>
    <w:p>
      <w:pPr>
        <w:pStyle w:val="nHeading3"/>
      </w:pPr>
      <w:bookmarkStart w:id="51" w:name="_Toc104975417"/>
      <w:r>
        <w:t>Other notes</w:t>
      </w:r>
      <w:bookmarkEnd w:id="51"/>
    </w:p>
    <w:p>
      <w:pPr>
        <w:pStyle w:val="nNote"/>
        <w:keepLines/>
      </w:pPr>
      <w:r>
        <w:rPr>
          <w:vertAlign w:val="superscript"/>
        </w:rPr>
        <w:t>1</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pPr>
        <w:pStyle w:val="nHeading2"/>
        <w:rPr>
          <w:sz w:val="28"/>
        </w:rPr>
      </w:pPr>
      <w:bookmarkStart w:id="53" w:name="_Toc104967980"/>
      <w:bookmarkStart w:id="54" w:name="_Toc104968138"/>
      <w:bookmarkStart w:id="55" w:name="_Toc104975418"/>
      <w:r>
        <w:rPr>
          <w:sz w:val="28"/>
        </w:rPr>
        <w:lastRenderedPageBreak/>
        <w:t>Defined terms</w:t>
      </w:r>
      <w:bookmarkEnd w:id="53"/>
      <w:bookmarkEnd w:id="54"/>
      <w:bookmarkEnd w:id="5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day</w:t>
      </w:r>
      <w:r>
        <w:tab/>
        <w:t>33(1)</w:t>
      </w:r>
    </w:p>
    <w:p>
      <w:pPr>
        <w:pStyle w:val="DefinedTerms"/>
      </w:pPr>
      <w:r>
        <w:t>current licence period</w:t>
      </w:r>
      <w:r>
        <w:tab/>
        <w:t>33(1)</w:t>
      </w:r>
    </w:p>
    <w:p>
      <w:pPr>
        <w:pStyle w:val="DefinedTerms"/>
      </w:pPr>
      <w:r>
        <w:t>financial body</w:t>
      </w:r>
      <w:r>
        <w:tab/>
        <w:t>3</w:t>
      </w:r>
    </w:p>
    <w:p>
      <w:pPr>
        <w:pStyle w:val="DefinedTerms"/>
      </w:pPr>
      <w:r>
        <w:t>new sale</w:t>
      </w:r>
      <w:r>
        <w:tab/>
        <w:t>5(2)</w:t>
      </w:r>
    </w:p>
    <w:p>
      <w:pPr>
        <w:pStyle w:val="DefinedTerms"/>
      </w:pPr>
      <w:r>
        <w:t>public utility</w:t>
      </w:r>
      <w:r>
        <w:tab/>
        <w:t>3</w:t>
      </w:r>
    </w:p>
    <w:p>
      <w:pPr>
        <w:pStyle w:val="DefinedTerms"/>
      </w:pPr>
      <w:r>
        <w:t>relevant day</w:t>
      </w:r>
      <w:r>
        <w:tab/>
        <w:t>33(1)</w:t>
      </w:r>
    </w:p>
    <w:p>
      <w:pPr>
        <w:pStyle w:val="DefinedTerms"/>
      </w:pPr>
      <w:r>
        <w:t>retailer</w:t>
      </w:r>
      <w:r>
        <w:tab/>
        <w:t>5(3)</w:t>
      </w:r>
    </w:p>
    <w:p>
      <w:pPr>
        <w:pStyle w:val="DefinedTerms"/>
      </w:pPr>
      <w:r>
        <w:t>retail shop</w:t>
      </w:r>
      <w:r>
        <w:tab/>
        <w:t>5(3)</w:t>
      </w:r>
    </w:p>
    <w:p>
      <w:pPr>
        <w:pStyle w:val="DefinedTerms"/>
      </w:pPr>
      <w:r>
        <w:t>section</w:t>
      </w:r>
      <w:r>
        <w:tab/>
        <w:t>3</w:t>
      </w:r>
    </w:p>
    <w:p>
      <w:pPr>
        <w:pStyle w:val="DefinedTerms"/>
      </w:pPr>
      <w:r>
        <w:t>State agency</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2" w:name="Compilation"/>
    <w:bookmarkEnd w:id="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6" w:name="DefinedTerms"/>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2"/>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62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01090846"/>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 w:name="WAFER_20160929155543" w:val="RemoveTocBookmarks,RemoveUnusedBookmarks,RemoveLanguageTags,UsedStyles,ResetPageSize,RemoveCustomizations"/>
    <w:docVar w:name="WAFER_20160929155543_GUID" w:val="fdb51380-60a8-4bfd-b222-eb69a69274f4"/>
    <w:docVar w:name="WAFER_20161110154226" w:val="RemoveTocBookmarks,RemoveUnusedBookmarks,RemoveLanguageTags,UsedStyles,RemoveTrackChanges"/>
    <w:docVar w:name="WAFER_20161110154226_GUID" w:val="8b3dd25d-01ea-41ca-a7c3-55dbf3145141"/>
    <w:docVar w:name="WAFER_20161110154242" w:val="RemoveTocBookmarks,RemoveLanguageTags,RemoveTrackChanges,RunningHeaders"/>
    <w:docVar w:name="WAFER_20161110154242_GUID" w:val="4fb51299-7e4f-4e1d-851b-de1044039ae3"/>
    <w:docVar w:name="WAFER_20161110154302" w:val="RemoveTocBookmarks,RemoveLanguageTags,RemoveTrackChanges,RunningHeaders"/>
    <w:docVar w:name="WAFER_20161110154302_GUID" w:val="f92518d0-2f69-49a6-96bb-addb2feb8083"/>
    <w:docVar w:name="WAFER_20170131115214" w:val="RemoveTocBookmarks,RemoveUnusedBookmarks,RemoveLanguageTags,UsedStyles,ResetPageSize"/>
    <w:docVar w:name="WAFER_20170131115214_GUID" w:val="78aae5b6-5c47-4ca1-9beb-aabc4b5308b2"/>
    <w:docVar w:name="WAFER_202006181448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44835_GUID" w:val="6de0b2ed-41ad-4d38-97a5-f6d65147734a"/>
    <w:docVar w:name="WAFER_202006230941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4149_GUID" w:val="6b91151c-34ef-4e4b-b713-efc10a4b9c1a"/>
    <w:docVar w:name="WAFER_20200831132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32701_GUID" w:val="83d1e684-6f45-4847-a38b-19a24c94af0e"/>
    <w:docVar w:name="WAFER_2020112314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3142630_GUID" w:val="3a9abe7d-0333-446f-a6a1-7b8ac8419877"/>
    <w:docVar w:name="WAFER_202012151508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50803_GUID" w:val="135d1241-47e1-49bf-9034-38c50a996f02"/>
    <w:docVar w:name="WAFER_20210528095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8095514_GUID" w:val="9b9d2ecf-7acf-459f-8fb0-376be43a6578"/>
    <w:docVar w:name="WAFER_202106281100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0029_GUID" w:val="480b8995-346c-4ec8-897c-b880bec101b0"/>
    <w:docVar w:name="WAFER_202206010908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846_GUID" w:val="6c7260a1-045d-4b7d-b10c-dc84f2b822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264B46E8-D1A4-436F-B7C0-E1CD1D21EF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TableNAm">
    <w:name w:val="zTableNAm"/>
    <w:basedOn w:val="TableNAm"/>
  </w:style>
  <w:style w:type="paragraph" w:customStyle="1" w:styleId="zTHeadingNAm">
    <w:name w:val="zTHeadingNAm"/>
    <w:basedOn w:val="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7117</Words>
  <Characters>33382</Characters>
  <Application>Microsoft Office Word</Application>
  <DocSecurity>0</DocSecurity>
  <Lines>1669</Lines>
  <Paragraphs>920</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39579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1996 - 05-m0-00</dc:title>
  <dc:subject/>
  <dc:creator/>
  <cp:keywords/>
  <dc:description/>
  <cp:lastModifiedBy>Master Repository Process</cp:lastModifiedBy>
  <cp:revision>4</cp:revision>
  <cp:lastPrinted>2016-11-14T04:52:00Z</cp:lastPrinted>
  <dcterms:created xsi:type="dcterms:W3CDTF">2022-06-03T03:41:00Z</dcterms:created>
  <dcterms:modified xsi:type="dcterms:W3CDTF">2022-06-03T03:41:00Z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edAsAt">
    <vt:filetime>2016-11-17T16:00:00Z</vt:filetime>
  </property>
  <property fmtid="{D5CDD505-2E9C-101B-9397-08002B2CF9AE}" pid="6" name="ReprintNo">
    <vt:lpwstr>5</vt:lpwstr>
  </property>
  <property fmtid="{D5CDD505-2E9C-101B-9397-08002B2CF9AE}" pid="7" name="AsAtDate">
    <vt:lpwstr>03 Jun 2022</vt:lpwstr>
  </property>
  <property fmtid="{D5CDD505-2E9C-101B-9397-08002B2CF9AE}" pid="8" name="Suffix">
    <vt:lpwstr>05-m0-00</vt:lpwstr>
  </property>
  <property fmtid="{D5CDD505-2E9C-101B-9397-08002B2CF9AE}" pid="9" name="CommencementDate">
    <vt:lpwstr>20220603</vt:lpwstr>
  </property>
</Properties>
</file>