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745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Aboriginal Cultural Heritage Act 2021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Aboriginal Cultural Heritage Act 2021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_Toc106098671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_Toc106098672 \h </w:instrText>
      </w:r>
      <w:r>
        <w:fldChar w:fldCharType="separate"/>
      </w:r>
      <w:r>
        <w:t>2</w:t>
      </w:r>
      <w:r>
        <w:fldChar w:fldCharType="end"/>
      </w:r>
    </w:p>
    <w:p>
      <w:pPr>
        <w:pStyle w:val="TOC4"/>
        <w:tabs>
          <w:tab w:val="right" w:leader="dot" w:pos="7077"/>
        </w:tabs>
        <w:rPr>
          <w:rFonts w:asciiTheme="minorHAnsi" w:eastAsiaTheme="minorEastAsia" w:hAnsiTheme="minorHAnsi" w:cstheme="minorBidi"/>
          <w:b w:val="0"/>
          <w:szCs w:val="22"/>
        </w:rPr>
      </w:pPr>
      <w:r>
        <w:t>Division 2 — Overview of Act</w:t>
      </w:r>
    </w:p>
    <w:p>
      <w:pPr>
        <w:pStyle w:val="TOC8"/>
        <w:rPr>
          <w:rFonts w:asciiTheme="minorHAnsi" w:eastAsiaTheme="minorEastAsia" w:hAnsiTheme="minorHAnsi" w:cstheme="minorBidi"/>
          <w:szCs w:val="22"/>
        </w:rPr>
      </w:pPr>
      <w:r>
        <w:t>3.</w:t>
      </w:r>
      <w:r>
        <w:tab/>
        <w:t>Overview of Act</w:t>
      </w:r>
      <w:r>
        <w:tab/>
      </w:r>
      <w:r>
        <w:fldChar w:fldCharType="begin"/>
      </w:r>
      <w:r>
        <w:instrText xml:space="preserve"> PAGEREF _Toc106098674 \h </w:instrText>
      </w:r>
      <w:r>
        <w:fldChar w:fldCharType="separate"/>
      </w:r>
      <w:r>
        <w:t>2</w:t>
      </w:r>
      <w:r>
        <w:fldChar w:fldCharType="end"/>
      </w:r>
    </w:p>
    <w:p>
      <w:pPr>
        <w:pStyle w:val="TOC8"/>
        <w:rPr>
          <w:rFonts w:asciiTheme="minorHAnsi" w:eastAsiaTheme="minorEastAsia" w:hAnsiTheme="minorHAnsi" w:cstheme="minorBidi"/>
          <w:szCs w:val="22"/>
        </w:rPr>
      </w:pPr>
      <w:r>
        <w:t>4.</w:t>
      </w:r>
      <w:r>
        <w:tab/>
        <w:t>What Act is about</w:t>
      </w:r>
      <w:r>
        <w:tab/>
      </w:r>
      <w:r>
        <w:fldChar w:fldCharType="begin"/>
      </w:r>
      <w:r>
        <w:instrText xml:space="preserve"> PAGEREF _Toc106098675 \h </w:instrText>
      </w:r>
      <w:r>
        <w:fldChar w:fldCharType="separate"/>
      </w:r>
      <w:r>
        <w:t>3</w:t>
      </w:r>
      <w:r>
        <w:fldChar w:fldCharType="end"/>
      </w:r>
    </w:p>
    <w:p>
      <w:pPr>
        <w:pStyle w:val="TOC8"/>
        <w:rPr>
          <w:rFonts w:asciiTheme="minorHAnsi" w:eastAsiaTheme="minorEastAsia" w:hAnsiTheme="minorHAnsi" w:cstheme="minorBidi"/>
          <w:szCs w:val="22"/>
        </w:rPr>
      </w:pPr>
      <w:r>
        <w:t>5.</w:t>
      </w:r>
      <w:r>
        <w:tab/>
        <w:t>Main topics dealt with in Act and where to find them</w:t>
      </w:r>
      <w:r>
        <w:tab/>
      </w:r>
      <w:r>
        <w:fldChar w:fldCharType="begin"/>
      </w:r>
      <w:r>
        <w:instrText xml:space="preserve"> PAGEREF _Toc106098676 \h </w:instrText>
      </w:r>
      <w:r>
        <w:fldChar w:fldCharType="separate"/>
      </w:r>
      <w:r>
        <w:t>3</w:t>
      </w:r>
      <w:r>
        <w:fldChar w:fldCharType="end"/>
      </w:r>
    </w:p>
    <w:p>
      <w:pPr>
        <w:pStyle w:val="TOC8"/>
        <w:rPr>
          <w:rFonts w:asciiTheme="minorHAnsi" w:eastAsiaTheme="minorEastAsia" w:hAnsiTheme="minorHAnsi" w:cstheme="minorBidi"/>
          <w:szCs w:val="22"/>
        </w:rPr>
      </w:pPr>
      <w:r>
        <w:t>6.</w:t>
      </w:r>
      <w:r>
        <w:tab/>
        <w:t>Other things dealt with in Act and where to find them</w:t>
      </w:r>
      <w:r>
        <w:tab/>
      </w:r>
      <w:r>
        <w:fldChar w:fldCharType="begin"/>
      </w:r>
      <w:r>
        <w:instrText xml:space="preserve"> PAGEREF _Toc106098677 \h </w:instrText>
      </w:r>
      <w:r>
        <w:fldChar w:fldCharType="separate"/>
      </w:r>
      <w:r>
        <w:t>7</w:t>
      </w:r>
      <w:r>
        <w:fldChar w:fldCharType="end"/>
      </w:r>
    </w:p>
    <w:p>
      <w:pPr>
        <w:pStyle w:val="TOC8"/>
        <w:rPr>
          <w:rFonts w:asciiTheme="minorHAnsi" w:eastAsiaTheme="minorEastAsia" w:hAnsiTheme="minorHAnsi" w:cstheme="minorBidi"/>
          <w:szCs w:val="22"/>
        </w:rPr>
      </w:pPr>
      <w:r>
        <w:t>7.</w:t>
      </w:r>
      <w:r>
        <w:tab/>
        <w:t>Overview is a guide</w:t>
      </w:r>
      <w:r>
        <w:tab/>
      </w:r>
      <w:r>
        <w:fldChar w:fldCharType="begin"/>
      </w:r>
      <w:r>
        <w:instrText xml:space="preserve"> PAGEREF _Toc106098678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3 — Objects and principles</w:t>
      </w:r>
    </w:p>
    <w:p>
      <w:pPr>
        <w:pStyle w:val="TOC8"/>
        <w:rPr>
          <w:rFonts w:asciiTheme="minorHAnsi" w:eastAsiaTheme="minorEastAsia" w:hAnsiTheme="minorHAnsi" w:cstheme="minorBidi"/>
          <w:szCs w:val="22"/>
        </w:rPr>
      </w:pPr>
      <w:r>
        <w:t>8.</w:t>
      </w:r>
      <w:r>
        <w:tab/>
        <w:t>Objects of Act</w:t>
      </w:r>
      <w:r>
        <w:tab/>
      </w:r>
      <w:r>
        <w:fldChar w:fldCharType="begin"/>
      </w:r>
      <w:r>
        <w:instrText xml:space="preserve"> PAGEREF _Toc106098680 \h </w:instrText>
      </w:r>
      <w:r>
        <w:fldChar w:fldCharType="separate"/>
      </w:r>
      <w:r>
        <w:t>9</w:t>
      </w:r>
      <w:r>
        <w:fldChar w:fldCharType="end"/>
      </w:r>
    </w:p>
    <w:p>
      <w:pPr>
        <w:pStyle w:val="TOC8"/>
        <w:rPr>
          <w:rFonts w:asciiTheme="minorHAnsi" w:eastAsiaTheme="minorEastAsia" w:hAnsiTheme="minorHAnsi" w:cstheme="minorBidi"/>
          <w:szCs w:val="22"/>
        </w:rPr>
      </w:pPr>
      <w:r>
        <w:t>9.</w:t>
      </w:r>
      <w:r>
        <w:tab/>
        <w:t>Principles relating to Aboriginal cultural heritage</w:t>
      </w:r>
      <w:r>
        <w:tab/>
      </w:r>
      <w:r>
        <w:fldChar w:fldCharType="begin"/>
      </w:r>
      <w:r>
        <w:instrText xml:space="preserve"> PAGEREF _Toc106098681 \h </w:instrText>
      </w:r>
      <w:r>
        <w:fldChar w:fldCharType="separate"/>
      </w:r>
      <w:r>
        <w:t>10</w:t>
      </w:r>
      <w:r>
        <w:fldChar w:fldCharType="end"/>
      </w:r>
    </w:p>
    <w:p>
      <w:pPr>
        <w:pStyle w:val="TOC8"/>
        <w:rPr>
          <w:rFonts w:asciiTheme="minorHAnsi" w:eastAsiaTheme="minorEastAsia" w:hAnsiTheme="minorHAnsi" w:cstheme="minorBidi"/>
          <w:szCs w:val="22"/>
        </w:rPr>
      </w:pPr>
      <w:r>
        <w:t>10.</w:t>
      </w:r>
      <w:r>
        <w:tab/>
        <w:t>Principles relating to management of activities that may harm Aboriginal cultural heritage</w:t>
      </w:r>
      <w:r>
        <w:tab/>
      </w:r>
      <w:r>
        <w:fldChar w:fldCharType="begin"/>
      </w:r>
      <w:r>
        <w:instrText xml:space="preserve"> PAGEREF _Toc106098682 \h </w:instrText>
      </w:r>
      <w:r>
        <w:fldChar w:fldCharType="separate"/>
      </w:r>
      <w:r>
        <w:t>11</w:t>
      </w:r>
      <w:r>
        <w:fldChar w:fldCharType="end"/>
      </w:r>
    </w:p>
    <w:p>
      <w:pPr>
        <w:pStyle w:val="TOC4"/>
        <w:tabs>
          <w:tab w:val="right" w:leader="dot" w:pos="7077"/>
        </w:tabs>
        <w:rPr>
          <w:rFonts w:asciiTheme="minorHAnsi" w:eastAsiaTheme="minorEastAsia" w:hAnsiTheme="minorHAnsi" w:cstheme="minorBidi"/>
          <w:b w:val="0"/>
          <w:szCs w:val="22"/>
        </w:rPr>
      </w:pPr>
      <w:r>
        <w:t>Division 4 — Interpretation</w:t>
      </w:r>
    </w:p>
    <w:p>
      <w:pPr>
        <w:pStyle w:val="TOC6"/>
        <w:tabs>
          <w:tab w:val="right" w:leader="dot" w:pos="7077"/>
        </w:tabs>
        <w:rPr>
          <w:rFonts w:asciiTheme="minorHAnsi" w:eastAsiaTheme="minorEastAsia" w:hAnsiTheme="minorHAnsi" w:cstheme="minorBidi"/>
          <w:b w:val="0"/>
          <w:sz w:val="22"/>
          <w:szCs w:val="22"/>
        </w:rPr>
      </w:pPr>
      <w:r>
        <w:t>Subdivision 1 — Terms used</w:t>
      </w:r>
    </w:p>
    <w:p>
      <w:pPr>
        <w:pStyle w:val="TOC8"/>
        <w:rPr>
          <w:rFonts w:asciiTheme="minorHAnsi" w:eastAsiaTheme="minorEastAsia" w:hAnsiTheme="minorHAnsi" w:cstheme="minorBidi"/>
          <w:szCs w:val="22"/>
        </w:rPr>
      </w:pPr>
      <w:r>
        <w:t>11.</w:t>
      </w:r>
      <w:r>
        <w:tab/>
        <w:t>Terms used</w:t>
      </w:r>
      <w:r>
        <w:tab/>
      </w:r>
      <w:r>
        <w:fldChar w:fldCharType="begin"/>
      </w:r>
      <w:r>
        <w:instrText xml:space="preserve"> PAGEREF _Toc106098685 \h </w:instrText>
      </w:r>
      <w:r>
        <w:fldChar w:fldCharType="separate"/>
      </w:r>
      <w:r>
        <w:t>11</w:t>
      </w:r>
      <w:r>
        <w:fldChar w:fldCharType="end"/>
      </w:r>
    </w:p>
    <w:p>
      <w:pPr>
        <w:pStyle w:val="TOC6"/>
        <w:tabs>
          <w:tab w:val="right" w:leader="dot" w:pos="7077"/>
        </w:tabs>
        <w:rPr>
          <w:rFonts w:asciiTheme="minorHAnsi" w:eastAsiaTheme="minorEastAsia" w:hAnsiTheme="minorHAnsi" w:cstheme="minorBidi"/>
          <w:b w:val="0"/>
          <w:sz w:val="22"/>
          <w:szCs w:val="22"/>
        </w:rPr>
      </w:pPr>
      <w:r>
        <w:t>Subdivision 2 — Other key terms</w:t>
      </w:r>
    </w:p>
    <w:p>
      <w:pPr>
        <w:pStyle w:val="TOC8"/>
        <w:rPr>
          <w:rFonts w:asciiTheme="minorHAnsi" w:eastAsiaTheme="minorEastAsia" w:hAnsiTheme="minorHAnsi" w:cstheme="minorBidi"/>
          <w:szCs w:val="22"/>
        </w:rPr>
      </w:pPr>
      <w:r>
        <w:t>12.</w:t>
      </w:r>
      <w:r>
        <w:tab/>
        <w:t>Meaning of Aboriginal cultural heritage and related terms</w:t>
      </w:r>
      <w:r>
        <w:tab/>
      </w:r>
      <w:r>
        <w:fldChar w:fldCharType="begin"/>
      </w:r>
      <w:r>
        <w:instrText xml:space="preserve"> PAGEREF _Toc106098687 \h </w:instrText>
      </w:r>
      <w:r>
        <w:fldChar w:fldCharType="separate"/>
      </w:r>
      <w:r>
        <w:t>21</w:t>
      </w:r>
      <w:r>
        <w:fldChar w:fldCharType="end"/>
      </w:r>
    </w:p>
    <w:p>
      <w:pPr>
        <w:pStyle w:val="TOC8"/>
        <w:rPr>
          <w:rFonts w:asciiTheme="minorHAnsi" w:eastAsiaTheme="minorEastAsia" w:hAnsiTheme="minorHAnsi" w:cstheme="minorBidi"/>
          <w:szCs w:val="22"/>
        </w:rPr>
      </w:pPr>
      <w:r>
        <w:t>13.</w:t>
      </w:r>
      <w:r>
        <w:tab/>
        <w:t>Meaning of located in relation to Aboriginal cultural heritage</w:t>
      </w:r>
      <w:r>
        <w:tab/>
      </w:r>
      <w:r>
        <w:fldChar w:fldCharType="begin"/>
      </w:r>
      <w:r>
        <w:instrText xml:space="preserve"> PAGEREF _Toc106098688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Other provisions of general application</w:t>
      </w:r>
    </w:p>
    <w:p>
      <w:pPr>
        <w:pStyle w:val="TOC8"/>
        <w:rPr>
          <w:rFonts w:asciiTheme="minorHAnsi" w:eastAsiaTheme="minorEastAsia" w:hAnsiTheme="minorHAnsi" w:cstheme="minorBidi"/>
          <w:szCs w:val="22"/>
        </w:rPr>
      </w:pPr>
      <w:r>
        <w:t>14.</w:t>
      </w:r>
      <w:r>
        <w:tab/>
        <w:t>Act binds Crown</w:t>
      </w:r>
      <w:r>
        <w:tab/>
      </w:r>
      <w:r>
        <w:fldChar w:fldCharType="begin"/>
      </w:r>
      <w:r>
        <w:instrText xml:space="preserve"> PAGEREF _Toc106098690 \h </w:instrText>
      </w:r>
      <w:r>
        <w:fldChar w:fldCharType="separate"/>
      </w:r>
      <w:r>
        <w:t>22</w:t>
      </w:r>
      <w:r>
        <w:fldChar w:fldCharType="end"/>
      </w:r>
    </w:p>
    <w:p>
      <w:pPr>
        <w:pStyle w:val="TOC8"/>
        <w:rPr>
          <w:rFonts w:asciiTheme="minorHAnsi" w:eastAsiaTheme="minorEastAsia" w:hAnsiTheme="minorHAnsi" w:cstheme="minorBidi"/>
          <w:szCs w:val="22"/>
        </w:rPr>
      </w:pPr>
      <w:r>
        <w:t>15.</w:t>
      </w:r>
      <w:r>
        <w:tab/>
        <w:t>Act does not apply to certain objects</w:t>
      </w:r>
      <w:r>
        <w:tab/>
      </w:r>
      <w:r>
        <w:fldChar w:fldCharType="begin"/>
      </w:r>
      <w:r>
        <w:instrText xml:space="preserve"> PAGEREF _Toc106098691 \h </w:instrText>
      </w:r>
      <w:r>
        <w:fldChar w:fldCharType="separate"/>
      </w:r>
      <w:r>
        <w:t>22</w:t>
      </w:r>
      <w:r>
        <w:fldChar w:fldCharType="end"/>
      </w:r>
    </w:p>
    <w:p>
      <w:pPr>
        <w:pStyle w:val="TOC8"/>
        <w:rPr>
          <w:rFonts w:asciiTheme="minorHAnsi" w:eastAsiaTheme="minorEastAsia" w:hAnsiTheme="minorHAnsi" w:cstheme="minorBidi"/>
          <w:szCs w:val="22"/>
        </w:rPr>
      </w:pPr>
      <w:r>
        <w:t>16.</w:t>
      </w:r>
      <w:r>
        <w:tab/>
        <w:t>Native title rights and interests</w:t>
      </w:r>
      <w:r>
        <w:tab/>
      </w:r>
      <w:r>
        <w:fldChar w:fldCharType="begin"/>
      </w:r>
      <w:r>
        <w:instrText xml:space="preserve"> PAGEREF _Toc106098692 \h </w:instrText>
      </w:r>
      <w:r>
        <w:fldChar w:fldCharType="separate"/>
      </w:r>
      <w:r>
        <w:t>22</w:t>
      </w:r>
      <w:r>
        <w:fldChar w:fldCharType="end"/>
      </w:r>
    </w:p>
    <w:p>
      <w:pPr>
        <w:pStyle w:val="TOC8"/>
        <w:rPr>
          <w:rFonts w:asciiTheme="minorHAnsi" w:eastAsiaTheme="minorEastAsia" w:hAnsiTheme="minorHAnsi" w:cstheme="minorBidi"/>
          <w:szCs w:val="22"/>
        </w:rPr>
      </w:pPr>
      <w:r>
        <w:t>17.</w:t>
      </w:r>
      <w:r>
        <w:tab/>
      </w:r>
      <w:r>
        <w:rPr>
          <w:i/>
        </w:rPr>
        <w:t>Coroners Act 1996</w:t>
      </w:r>
      <w:r>
        <w:t xml:space="preserve"> not affected</w:t>
      </w:r>
      <w:r>
        <w:tab/>
      </w:r>
      <w:r>
        <w:fldChar w:fldCharType="begin"/>
      </w:r>
      <w:r>
        <w:instrText xml:space="preserve"> PAGEREF _Toc106098693 \h </w:instrText>
      </w:r>
      <w:r>
        <w:fldChar w:fldCharType="separate"/>
      </w:r>
      <w:r>
        <w:t>23</w:t>
      </w:r>
      <w:r>
        <w:fldChar w:fldCharType="end"/>
      </w:r>
    </w:p>
    <w:p>
      <w:pPr>
        <w:pStyle w:val="TOC8"/>
        <w:rPr>
          <w:rFonts w:asciiTheme="minorHAnsi" w:eastAsiaTheme="minorEastAsia" w:hAnsiTheme="minorHAnsi" w:cstheme="minorBidi"/>
          <w:szCs w:val="22"/>
        </w:rPr>
      </w:pPr>
      <w:r>
        <w:t>18.</w:t>
      </w:r>
      <w:r>
        <w:tab/>
      </w:r>
      <w:r>
        <w:rPr>
          <w:i/>
        </w:rPr>
        <w:t>Freedom of Information Act 1992</w:t>
      </w:r>
      <w:r>
        <w:t xml:space="preserve"> does not apply to culturally sensitive information</w:t>
      </w:r>
      <w:r>
        <w:tab/>
      </w:r>
      <w:r>
        <w:fldChar w:fldCharType="begin"/>
      </w:r>
      <w:r>
        <w:instrText xml:space="preserve"> PAGEREF _Toc106098694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2 — Aboriginal Cultural Heritage Council and local Aboriginal cultural heritage services</w:t>
      </w:r>
    </w:p>
    <w:p>
      <w:pPr>
        <w:pStyle w:val="TOC4"/>
        <w:tabs>
          <w:tab w:val="right" w:leader="dot" w:pos="7077"/>
        </w:tabs>
        <w:rPr>
          <w:rFonts w:asciiTheme="minorHAnsi" w:eastAsiaTheme="minorEastAsia" w:hAnsiTheme="minorHAnsi" w:cstheme="minorBidi"/>
          <w:b w:val="0"/>
          <w:szCs w:val="22"/>
        </w:rPr>
      </w:pPr>
      <w:r>
        <w:t>Division 1 — Interpretation</w:t>
      </w:r>
    </w:p>
    <w:p>
      <w:pPr>
        <w:pStyle w:val="TOC8"/>
        <w:rPr>
          <w:rFonts w:asciiTheme="minorHAnsi" w:eastAsiaTheme="minorEastAsia" w:hAnsiTheme="minorHAnsi" w:cstheme="minorBidi"/>
          <w:szCs w:val="22"/>
        </w:rPr>
      </w:pPr>
      <w:r>
        <w:t>19.</w:t>
      </w:r>
      <w:r>
        <w:tab/>
        <w:t>Terms used</w:t>
      </w:r>
      <w:r>
        <w:tab/>
      </w:r>
      <w:r>
        <w:fldChar w:fldCharType="begin"/>
      </w:r>
      <w:r>
        <w:instrText xml:space="preserve"> PAGEREF _Toc106098697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6 — Managing activities that may harm Aboriginal cultural heritage</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100.</w:t>
      </w:r>
      <w:r>
        <w:tab/>
        <w:t>Terms used</w:t>
      </w:r>
      <w:r>
        <w:tab/>
      </w:r>
      <w:r>
        <w:fldChar w:fldCharType="begin"/>
      </w:r>
      <w:r>
        <w:instrText xml:space="preserve"> PAGEREF _Toc106098700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13 — Miscellaneous</w:t>
      </w:r>
    </w:p>
    <w:p>
      <w:pPr>
        <w:pStyle w:val="TOC4"/>
        <w:tabs>
          <w:tab w:val="right" w:leader="dot" w:pos="7077"/>
        </w:tabs>
        <w:rPr>
          <w:rFonts w:asciiTheme="minorHAnsi" w:eastAsiaTheme="minorEastAsia" w:hAnsiTheme="minorHAnsi" w:cstheme="minorBidi"/>
          <w:b w:val="0"/>
          <w:szCs w:val="22"/>
        </w:rPr>
      </w:pPr>
      <w:r>
        <w:t>Division 2 — Giving notice</w:t>
      </w:r>
    </w:p>
    <w:p>
      <w:pPr>
        <w:pStyle w:val="TOC8"/>
        <w:rPr>
          <w:rFonts w:asciiTheme="minorHAnsi" w:eastAsiaTheme="minorEastAsia" w:hAnsiTheme="minorHAnsi" w:cstheme="minorBidi"/>
          <w:szCs w:val="22"/>
        </w:rPr>
      </w:pPr>
      <w:r>
        <w:t>282.</w:t>
      </w:r>
      <w:r>
        <w:tab/>
        <w:t>Public notice</w:t>
      </w:r>
      <w:r>
        <w:tab/>
      </w:r>
      <w:r>
        <w:fldChar w:fldCharType="begin"/>
      </w:r>
      <w:r>
        <w:instrText xml:space="preserve"> PAGEREF _Toc106098703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Regulations and guidelines</w:t>
      </w:r>
    </w:p>
    <w:p>
      <w:pPr>
        <w:pStyle w:val="TOC6"/>
        <w:tabs>
          <w:tab w:val="right" w:leader="dot" w:pos="7077"/>
        </w:tabs>
        <w:rPr>
          <w:rFonts w:asciiTheme="minorHAnsi" w:eastAsiaTheme="minorEastAsia" w:hAnsiTheme="minorHAnsi" w:cstheme="minorBidi"/>
          <w:b w:val="0"/>
          <w:sz w:val="22"/>
          <w:szCs w:val="22"/>
        </w:rPr>
      </w:pPr>
      <w:r>
        <w:t>Subdivision 1 — Regulations</w:t>
      </w:r>
    </w:p>
    <w:p>
      <w:pPr>
        <w:pStyle w:val="TOC8"/>
        <w:rPr>
          <w:rFonts w:asciiTheme="minorHAnsi" w:eastAsiaTheme="minorEastAsia" w:hAnsiTheme="minorHAnsi" w:cstheme="minorBidi"/>
          <w:szCs w:val="22"/>
        </w:rPr>
      </w:pPr>
      <w:r>
        <w:t>287.</w:t>
      </w:r>
      <w:r>
        <w:tab/>
        <w:t>Regulations</w:t>
      </w:r>
      <w:r>
        <w:tab/>
      </w:r>
      <w:r>
        <w:fldChar w:fldCharType="begin"/>
      </w:r>
      <w:r>
        <w:instrText xml:space="preserve"> PAGEREF _Toc106098706 \h </w:instrText>
      </w:r>
      <w:r>
        <w:fldChar w:fldCharType="separate"/>
      </w:r>
      <w:r>
        <w:t>29</w:t>
      </w:r>
      <w:r>
        <w:fldChar w:fldCharType="end"/>
      </w:r>
    </w:p>
    <w:p>
      <w:pPr>
        <w:pStyle w:val="TOC8"/>
        <w:rPr>
          <w:rFonts w:asciiTheme="minorHAnsi" w:eastAsiaTheme="minorEastAsia" w:hAnsiTheme="minorHAnsi" w:cstheme="minorBidi"/>
          <w:szCs w:val="22"/>
        </w:rPr>
      </w:pPr>
      <w:r>
        <w:t>288.</w:t>
      </w:r>
      <w:r>
        <w:tab/>
        <w:t>Regulations about ACH Council and local ACH services</w:t>
      </w:r>
      <w:r>
        <w:tab/>
      </w:r>
      <w:r>
        <w:fldChar w:fldCharType="begin"/>
      </w:r>
      <w:r>
        <w:instrText xml:space="preserve"> PAGEREF _Toc106098707 \h </w:instrText>
      </w:r>
      <w:r>
        <w:fldChar w:fldCharType="separate"/>
      </w:r>
      <w:r>
        <w:t>30</w:t>
      </w:r>
      <w:r>
        <w:fldChar w:fldCharType="end"/>
      </w:r>
    </w:p>
    <w:p>
      <w:pPr>
        <w:pStyle w:val="TOC8"/>
        <w:rPr>
          <w:rFonts w:asciiTheme="minorHAnsi" w:eastAsiaTheme="minorEastAsia" w:hAnsiTheme="minorHAnsi" w:cstheme="minorBidi"/>
          <w:szCs w:val="22"/>
        </w:rPr>
      </w:pPr>
      <w:r>
        <w:t>289.</w:t>
      </w:r>
      <w:r>
        <w:tab/>
        <w:t>Regulations about protected areas</w:t>
      </w:r>
      <w:r>
        <w:tab/>
      </w:r>
      <w:r>
        <w:fldChar w:fldCharType="begin"/>
      </w:r>
      <w:r>
        <w:instrText xml:space="preserve"> PAGEREF _Toc106098708 \h </w:instrText>
      </w:r>
      <w:r>
        <w:fldChar w:fldCharType="separate"/>
      </w:r>
      <w:r>
        <w:t>31</w:t>
      </w:r>
      <w:r>
        <w:fldChar w:fldCharType="end"/>
      </w:r>
    </w:p>
    <w:p>
      <w:pPr>
        <w:pStyle w:val="TOC8"/>
        <w:rPr>
          <w:rFonts w:asciiTheme="minorHAnsi" w:eastAsiaTheme="minorEastAsia" w:hAnsiTheme="minorHAnsi" w:cstheme="minorBidi"/>
          <w:szCs w:val="22"/>
        </w:rPr>
      </w:pPr>
      <w:r>
        <w:t>290.</w:t>
      </w:r>
      <w:r>
        <w:tab/>
        <w:t>Regulations about ACH Directory</w:t>
      </w:r>
      <w:r>
        <w:tab/>
      </w:r>
      <w:r>
        <w:fldChar w:fldCharType="begin"/>
      </w:r>
      <w:r>
        <w:instrText xml:space="preserve"> PAGEREF _Toc106098709 \h </w:instrText>
      </w:r>
      <w:r>
        <w:fldChar w:fldCharType="separate"/>
      </w:r>
      <w:r>
        <w:t>31</w:t>
      </w:r>
      <w:r>
        <w:fldChar w:fldCharType="end"/>
      </w:r>
    </w:p>
    <w:p>
      <w:pPr>
        <w:pStyle w:val="TOC8"/>
        <w:rPr>
          <w:rFonts w:asciiTheme="minorHAnsi" w:eastAsiaTheme="minorEastAsia" w:hAnsiTheme="minorHAnsi" w:cstheme="minorBidi"/>
          <w:szCs w:val="22"/>
        </w:rPr>
      </w:pPr>
      <w:r>
        <w:t>291.</w:t>
      </w:r>
      <w:r>
        <w:tab/>
        <w:t>Regulations about determining whether information is culturally sensitive information</w:t>
      </w:r>
      <w:r>
        <w:tab/>
      </w:r>
      <w:r>
        <w:fldChar w:fldCharType="begin"/>
      </w:r>
      <w:r>
        <w:instrText xml:space="preserve"> PAGEREF _Toc106098710 \h </w:instrText>
      </w:r>
      <w:r>
        <w:fldChar w:fldCharType="separate"/>
      </w:r>
      <w:r>
        <w:t>32</w:t>
      </w:r>
      <w:r>
        <w:fldChar w:fldCharType="end"/>
      </w:r>
    </w:p>
    <w:p>
      <w:pPr>
        <w:pStyle w:val="TOC8"/>
        <w:rPr>
          <w:rFonts w:asciiTheme="minorHAnsi" w:eastAsiaTheme="minorEastAsia" w:hAnsiTheme="minorHAnsi" w:cstheme="minorBidi"/>
          <w:szCs w:val="22"/>
        </w:rPr>
      </w:pPr>
      <w:r>
        <w:t>292.</w:t>
      </w:r>
      <w:r>
        <w:tab/>
        <w:t>Regulations about fees and charges</w:t>
      </w:r>
      <w:r>
        <w:tab/>
      </w:r>
      <w:r>
        <w:fldChar w:fldCharType="begin"/>
      </w:r>
      <w:r>
        <w:instrText xml:space="preserve"> PAGEREF _Toc106098711 \h </w:instrText>
      </w:r>
      <w:r>
        <w:fldChar w:fldCharType="separate"/>
      </w:r>
      <w:r>
        <w:t>32</w:t>
      </w:r>
      <w:r>
        <w:fldChar w:fldCharType="end"/>
      </w:r>
    </w:p>
    <w:p>
      <w:pPr>
        <w:pStyle w:val="TOC8"/>
        <w:rPr>
          <w:rFonts w:asciiTheme="minorHAnsi" w:eastAsiaTheme="minorEastAsia" w:hAnsiTheme="minorHAnsi" w:cstheme="minorBidi"/>
          <w:szCs w:val="22"/>
        </w:rPr>
      </w:pPr>
      <w:r>
        <w:t>293.</w:t>
      </w:r>
      <w:r>
        <w:tab/>
        <w:t>Other regulations</w:t>
      </w:r>
      <w:r>
        <w:tab/>
      </w:r>
      <w:r>
        <w:fldChar w:fldCharType="begin"/>
      </w:r>
      <w:r>
        <w:instrText xml:space="preserve"> PAGEREF _Toc106098712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General provisions</w:t>
      </w:r>
    </w:p>
    <w:p>
      <w:pPr>
        <w:pStyle w:val="TOC8"/>
        <w:rPr>
          <w:rFonts w:asciiTheme="minorHAnsi" w:eastAsiaTheme="minorEastAsia" w:hAnsiTheme="minorHAnsi" w:cstheme="minorBidi"/>
          <w:szCs w:val="22"/>
        </w:rPr>
      </w:pPr>
      <w:r>
        <w:t>308.</w:t>
      </w:r>
      <w:r>
        <w:tab/>
        <w:t>Laying documents before House of Parliament not sitting</w:t>
      </w:r>
      <w:r>
        <w:tab/>
      </w:r>
      <w:r>
        <w:fldChar w:fldCharType="begin"/>
      </w:r>
      <w:r>
        <w:instrText xml:space="preserve"> PAGEREF _Toc106098714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14 — Repeals and transitional matters</w:t>
      </w:r>
    </w:p>
    <w:p>
      <w:pPr>
        <w:pStyle w:val="TOC4"/>
        <w:tabs>
          <w:tab w:val="right" w:leader="dot" w:pos="7077"/>
        </w:tabs>
        <w:rPr>
          <w:rFonts w:asciiTheme="minorHAnsi" w:eastAsiaTheme="minorEastAsia" w:hAnsiTheme="minorHAnsi" w:cstheme="minorBidi"/>
          <w:b w:val="0"/>
          <w:szCs w:val="22"/>
        </w:rPr>
      </w:pPr>
      <w:r>
        <w:t xml:space="preserve">Division 2 — Transitional provisions arising from the enactment of the </w:t>
      </w:r>
      <w:r>
        <w:rPr>
          <w:i/>
        </w:rPr>
        <w:t>Aboriginal Cultural Heritage Act 2021</w:t>
      </w:r>
    </w:p>
    <w:p>
      <w:pPr>
        <w:pStyle w:val="TOC6"/>
        <w:tabs>
          <w:tab w:val="right" w:leader="dot" w:pos="7077"/>
        </w:tabs>
        <w:rPr>
          <w:rFonts w:asciiTheme="minorHAnsi" w:eastAsiaTheme="minorEastAsia" w:hAnsiTheme="minorHAnsi" w:cstheme="minorBidi"/>
          <w:b w:val="0"/>
          <w:sz w:val="22"/>
          <w:szCs w:val="22"/>
        </w:rPr>
      </w:pPr>
      <w:r>
        <w:t>Subdivision 1 — Interpretation</w:t>
      </w:r>
    </w:p>
    <w:p>
      <w:pPr>
        <w:pStyle w:val="TOC8"/>
        <w:rPr>
          <w:rFonts w:asciiTheme="minorHAnsi" w:eastAsiaTheme="minorEastAsia" w:hAnsiTheme="minorHAnsi" w:cstheme="minorBidi"/>
          <w:szCs w:val="22"/>
        </w:rPr>
      </w:pPr>
      <w:r>
        <w:t>313.</w:t>
      </w:r>
      <w:r>
        <w:tab/>
        <w:t>Terms used</w:t>
      </w:r>
      <w:r>
        <w:tab/>
      </w:r>
      <w:r>
        <w:fldChar w:fldCharType="begin"/>
      </w:r>
      <w:r>
        <w:instrText xml:space="preserve"> PAGEREF _Toc106098718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15 — </w:t>
      </w:r>
      <w:r>
        <w:rPr>
          <w:i/>
        </w:rPr>
        <w:t>Aboriginal Heritage Act 1972</w:t>
      </w:r>
      <w:r>
        <w:t xml:space="preserve"> amended</w:t>
      </w:r>
    </w:p>
    <w:p>
      <w:pPr>
        <w:pStyle w:val="TOC4"/>
        <w:tabs>
          <w:tab w:val="right" w:leader="dot" w:pos="7077"/>
        </w:tabs>
        <w:rPr>
          <w:rFonts w:asciiTheme="minorHAnsi" w:eastAsiaTheme="minorEastAsia" w:hAnsiTheme="minorHAnsi" w:cstheme="minorBidi"/>
          <w:b w:val="0"/>
          <w:szCs w:val="22"/>
        </w:rPr>
      </w:pPr>
      <w:r>
        <w:t>Division 1 — Act amended</w:t>
      </w:r>
    </w:p>
    <w:p>
      <w:pPr>
        <w:pStyle w:val="TOC8"/>
        <w:rPr>
          <w:rFonts w:asciiTheme="minorHAnsi" w:eastAsiaTheme="minorEastAsia" w:hAnsiTheme="minorHAnsi" w:cstheme="minorBidi"/>
          <w:szCs w:val="22"/>
        </w:rPr>
      </w:pPr>
      <w:r>
        <w:t>338.</w:t>
      </w:r>
      <w:r>
        <w:tab/>
      </w:r>
      <w:r>
        <w:rPr>
          <w:i/>
        </w:rPr>
        <w:t>Aboriginal Heritage Act 1972</w:t>
      </w:r>
      <w:r>
        <w:t xml:space="preserve"> amended</w:t>
      </w:r>
      <w:r>
        <w:tab/>
      </w:r>
      <w:r>
        <w:fldChar w:fldCharType="begin"/>
      </w:r>
      <w:r>
        <w:instrText xml:space="preserve"> PAGEREF _Toc106098721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2 — Amendments commencing on day after assent day</w:t>
      </w:r>
    </w:p>
    <w:p>
      <w:pPr>
        <w:pStyle w:val="TOC8"/>
        <w:rPr>
          <w:rFonts w:asciiTheme="minorHAnsi" w:eastAsiaTheme="minorEastAsia" w:hAnsiTheme="minorHAnsi" w:cstheme="minorBidi"/>
          <w:szCs w:val="22"/>
        </w:rPr>
      </w:pPr>
      <w:r>
        <w:t>339.</w:t>
      </w:r>
      <w:r>
        <w:tab/>
        <w:t>Section 4 amended</w:t>
      </w:r>
      <w:r>
        <w:tab/>
      </w:r>
      <w:r>
        <w:fldChar w:fldCharType="begin"/>
      </w:r>
      <w:r>
        <w:instrText xml:space="preserve"> PAGEREF _Toc106098723 \h </w:instrText>
      </w:r>
      <w:r>
        <w:fldChar w:fldCharType="separate"/>
      </w:r>
      <w:r>
        <w:t>37</w:t>
      </w:r>
      <w:r>
        <w:fldChar w:fldCharType="end"/>
      </w:r>
    </w:p>
    <w:p>
      <w:pPr>
        <w:pStyle w:val="TOC8"/>
        <w:rPr>
          <w:rFonts w:asciiTheme="minorHAnsi" w:eastAsiaTheme="minorEastAsia" w:hAnsiTheme="minorHAnsi" w:cstheme="minorBidi"/>
          <w:szCs w:val="22"/>
        </w:rPr>
      </w:pPr>
      <w:r>
        <w:t>340.</w:t>
      </w:r>
      <w:r>
        <w:tab/>
        <w:t>Section 18 amended</w:t>
      </w:r>
      <w:r>
        <w:tab/>
      </w:r>
      <w:r>
        <w:fldChar w:fldCharType="begin"/>
      </w:r>
      <w:r>
        <w:instrText xml:space="preserve"> PAGEREF _Toc106098724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_Toc106098726 \h </w:instrText>
      </w:r>
      <w:r>
        <w:fldChar w:fldCharType="separate"/>
      </w:r>
      <w:r>
        <w:t>39</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_Toc106098727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lastRenderedPageBreak/>
        <w:t>Western Australia</w:t>
      </w:r>
    </w:p>
    <w:p>
      <w:pPr>
        <w:pStyle w:val="NameofActReg"/>
      </w:pPr>
      <w:r>
        <w:t>Aboriginal Cultural Heritage Act 2021</w:t>
      </w:r>
    </w:p>
    <w:p>
      <w:pPr>
        <w:pStyle w:val="LongTitle"/>
      </w:pPr>
      <w:bookmarkStart w:id="3" w:name="BillCited"/>
      <w:bookmarkEnd w:id="3"/>
      <w:r>
        <w:t xml:space="preserve">An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21"/>
          <w:headerReference w:type="default" r:id="rId22"/>
          <w:headerReference w:type="first" r:id="rId23"/>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105756867"/>
      <w:bookmarkStart w:id="5" w:name="_Toc105757031"/>
      <w:bookmarkStart w:id="6" w:name="_Toc105763312"/>
      <w:bookmarkStart w:id="7" w:name="_Toc105763409"/>
      <w:bookmarkStart w:id="8" w:name="_Toc106091965"/>
      <w:bookmarkStart w:id="9" w:name="_Toc106098669"/>
      <w:r>
        <w:rPr>
          <w:rStyle w:val="CharPartNo"/>
        </w:rPr>
        <w:lastRenderedPageBreak/>
        <w:t>Part 1</w:t>
      </w:r>
      <w:r>
        <w:t> — </w:t>
      </w:r>
      <w:r>
        <w:rPr>
          <w:rStyle w:val="CharPartText"/>
        </w:rPr>
        <w:t>Preliminary</w:t>
      </w:r>
      <w:bookmarkEnd w:id="4"/>
      <w:bookmarkEnd w:id="5"/>
      <w:bookmarkEnd w:id="6"/>
      <w:bookmarkEnd w:id="7"/>
      <w:bookmarkEnd w:id="8"/>
      <w:bookmarkEnd w:id="9"/>
    </w:p>
    <w:p>
      <w:pPr>
        <w:pStyle w:val="Heading3"/>
      </w:pPr>
      <w:bookmarkStart w:id="10" w:name="_Toc105756868"/>
      <w:bookmarkStart w:id="11" w:name="_Toc105757032"/>
      <w:bookmarkStart w:id="12" w:name="_Toc105763313"/>
      <w:bookmarkStart w:id="13" w:name="_Toc105763410"/>
      <w:bookmarkStart w:id="14" w:name="_Toc106091966"/>
      <w:bookmarkStart w:id="15" w:name="_Toc106098670"/>
      <w:r>
        <w:rPr>
          <w:rStyle w:val="CharDivNo"/>
        </w:rPr>
        <w:t>Division 1</w:t>
      </w:r>
      <w:r>
        <w:t> — </w:t>
      </w:r>
      <w:r>
        <w:rPr>
          <w:rStyle w:val="CharDivText"/>
        </w:rPr>
        <w:t>Introduction</w:t>
      </w:r>
      <w:bookmarkEnd w:id="10"/>
      <w:bookmarkEnd w:id="11"/>
      <w:bookmarkEnd w:id="12"/>
      <w:bookmarkEnd w:id="13"/>
      <w:bookmarkEnd w:id="14"/>
      <w:bookmarkEnd w:id="15"/>
    </w:p>
    <w:p>
      <w:pPr>
        <w:pStyle w:val="Heading5"/>
      </w:pPr>
      <w:bookmarkStart w:id="16" w:name="_Toc106098671"/>
      <w:r>
        <w:rPr>
          <w:rStyle w:val="CharSectno"/>
        </w:rPr>
        <w:t>1</w:t>
      </w:r>
      <w:r>
        <w:t>.</w:t>
      </w:r>
      <w:r>
        <w:tab/>
        <w:t>Short title</w:t>
      </w:r>
      <w:bookmarkEnd w:id="16"/>
    </w:p>
    <w:p>
      <w:pPr>
        <w:pStyle w:val="Subsection"/>
      </w:pPr>
      <w:r>
        <w:tab/>
      </w:r>
      <w:r>
        <w:tab/>
        <w:t>This is the</w:t>
      </w:r>
      <w:r>
        <w:rPr>
          <w:i/>
        </w:rPr>
        <w:t xml:space="preserve"> Aboriginal Cultural Heritage Act 2021</w:t>
      </w:r>
      <w:r>
        <w:t>.</w:t>
      </w:r>
    </w:p>
    <w:p>
      <w:pPr>
        <w:pStyle w:val="Heading5"/>
      </w:pPr>
      <w:bookmarkStart w:id="17" w:name="_Toc106098672"/>
      <w:r>
        <w:rPr>
          <w:rStyle w:val="CharSectno"/>
        </w:rPr>
        <w:t>2</w:t>
      </w:r>
      <w:r>
        <w:t>.</w:t>
      </w:r>
      <w:r>
        <w:tab/>
        <w:t>Commencement</w:t>
      </w:r>
      <w:bookmarkEnd w:id="17"/>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8" w:name="_Toc105756871"/>
      <w:bookmarkStart w:id="19" w:name="_Toc105757035"/>
      <w:bookmarkStart w:id="20" w:name="_Toc105763316"/>
      <w:bookmarkStart w:id="21" w:name="_Toc105763413"/>
      <w:bookmarkStart w:id="22" w:name="_Toc106091969"/>
      <w:bookmarkStart w:id="23" w:name="_Toc106098673"/>
      <w:r>
        <w:rPr>
          <w:rStyle w:val="CharDivNo"/>
        </w:rPr>
        <w:t>Division 2</w:t>
      </w:r>
      <w:r>
        <w:t> — </w:t>
      </w:r>
      <w:r>
        <w:rPr>
          <w:rStyle w:val="CharDivText"/>
        </w:rPr>
        <w:t>Overview of Act</w:t>
      </w:r>
      <w:bookmarkEnd w:id="18"/>
      <w:bookmarkEnd w:id="19"/>
      <w:bookmarkEnd w:id="20"/>
      <w:bookmarkEnd w:id="21"/>
      <w:bookmarkEnd w:id="22"/>
      <w:bookmarkEnd w:id="23"/>
    </w:p>
    <w:p>
      <w:pPr>
        <w:pStyle w:val="Heading5"/>
      </w:pPr>
      <w:bookmarkStart w:id="24" w:name="_Toc106098674"/>
      <w:r>
        <w:rPr>
          <w:rStyle w:val="CharSectno"/>
        </w:rPr>
        <w:t>3</w:t>
      </w:r>
      <w:r>
        <w:t>.</w:t>
      </w:r>
      <w:r>
        <w:tab/>
        <w:t>Overview of Act</w:t>
      </w:r>
      <w:bookmarkEnd w:id="24"/>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5" w:name="_Toc106098675"/>
      <w:r>
        <w:rPr>
          <w:rStyle w:val="CharSectno"/>
        </w:rPr>
        <w:lastRenderedPageBreak/>
        <w:t>4</w:t>
      </w:r>
      <w:r>
        <w:t>.</w:t>
      </w:r>
      <w:r>
        <w:tab/>
        <w:t>What Act is about</w:t>
      </w:r>
      <w:bookmarkEnd w:id="25"/>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6" w:name="_Toc106098676"/>
      <w:r>
        <w:rPr>
          <w:rStyle w:val="CharSectno"/>
        </w:rPr>
        <w:t>5</w:t>
      </w:r>
      <w:r>
        <w:t>.</w:t>
      </w:r>
      <w:r>
        <w:tab/>
        <w:t>Main topics dealt with in Act and where to find them</w:t>
      </w:r>
      <w:bookmarkEnd w:id="26"/>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lastRenderedPageBreak/>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 xml:space="preserve">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w:t>
      </w:r>
      <w:r>
        <w:lastRenderedPageBreak/>
        <w:t>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lastRenderedPageBreak/>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27" w:name="_Toc106098677"/>
      <w:r>
        <w:rPr>
          <w:rStyle w:val="CharSectno"/>
        </w:rPr>
        <w:lastRenderedPageBreak/>
        <w:t>6</w:t>
      </w:r>
      <w:r>
        <w:t>.</w:t>
      </w:r>
      <w:r>
        <w:tab/>
        <w:t>Other things dealt with in Act and where to find them</w:t>
      </w:r>
      <w:bookmarkEnd w:id="27"/>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lastRenderedPageBreak/>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28" w:name="_Toc106098678"/>
      <w:r>
        <w:rPr>
          <w:rStyle w:val="CharSectno"/>
        </w:rPr>
        <w:t>7</w:t>
      </w:r>
      <w:r>
        <w:t>.</w:t>
      </w:r>
      <w:r>
        <w:tab/>
        <w:t>Overview is a guide</w:t>
      </w:r>
      <w:bookmarkEnd w:id="28"/>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9" w:name="_Toc105756877"/>
      <w:bookmarkStart w:id="30" w:name="_Toc105757041"/>
      <w:bookmarkStart w:id="31" w:name="_Toc105763322"/>
      <w:bookmarkStart w:id="32" w:name="_Toc105763419"/>
      <w:bookmarkStart w:id="33" w:name="_Toc106091975"/>
      <w:bookmarkStart w:id="34" w:name="_Toc106098679"/>
      <w:r>
        <w:rPr>
          <w:rStyle w:val="CharDivNo"/>
        </w:rPr>
        <w:lastRenderedPageBreak/>
        <w:t>Division 3</w:t>
      </w:r>
      <w:r>
        <w:t> — </w:t>
      </w:r>
      <w:r>
        <w:rPr>
          <w:rStyle w:val="CharDivText"/>
        </w:rPr>
        <w:t>Objects and principles</w:t>
      </w:r>
      <w:bookmarkEnd w:id="29"/>
      <w:bookmarkEnd w:id="30"/>
      <w:bookmarkEnd w:id="31"/>
      <w:bookmarkEnd w:id="32"/>
      <w:bookmarkEnd w:id="33"/>
      <w:bookmarkEnd w:id="34"/>
    </w:p>
    <w:p>
      <w:pPr>
        <w:pStyle w:val="Heading5"/>
      </w:pPr>
      <w:bookmarkStart w:id="35" w:name="_Toc106098680"/>
      <w:r>
        <w:rPr>
          <w:rStyle w:val="CharSectno"/>
        </w:rPr>
        <w:t>8</w:t>
      </w:r>
      <w:r>
        <w:t>.</w:t>
      </w:r>
      <w:r>
        <w:tab/>
        <w:t>Objects of Act</w:t>
      </w:r>
      <w:bookmarkEnd w:id="35"/>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lastRenderedPageBreak/>
        <w:tab/>
        <w:t>(b)</w:t>
      </w:r>
      <w:r>
        <w:tab/>
        <w:t>the principles set out in section 10 relating to the management of activities that may harm Aboriginal cultural heritage.</w:t>
      </w:r>
    </w:p>
    <w:p>
      <w:pPr>
        <w:pStyle w:val="Heading5"/>
      </w:pPr>
      <w:bookmarkStart w:id="36" w:name="_Toc106098681"/>
      <w:r>
        <w:rPr>
          <w:rStyle w:val="CharSectno"/>
        </w:rPr>
        <w:t>9</w:t>
      </w:r>
      <w:r>
        <w:t>.</w:t>
      </w:r>
      <w:r>
        <w:tab/>
        <w:t>Principles relating to Aboriginal cultural heritage</w:t>
      </w:r>
      <w:bookmarkEnd w:id="36"/>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37" w:name="_Toc106098682"/>
      <w:r>
        <w:rPr>
          <w:rStyle w:val="CharSectno"/>
        </w:rPr>
        <w:lastRenderedPageBreak/>
        <w:t>10</w:t>
      </w:r>
      <w:r>
        <w:t>.</w:t>
      </w:r>
      <w:r>
        <w:tab/>
        <w:t>Principles relating to management of activities that may harm Aboriginal cultural heritage</w:t>
      </w:r>
      <w:bookmarkEnd w:id="37"/>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38" w:name="_Toc105756881"/>
      <w:bookmarkStart w:id="39" w:name="_Toc105757045"/>
      <w:bookmarkStart w:id="40" w:name="_Toc105763326"/>
      <w:bookmarkStart w:id="41" w:name="_Toc105763423"/>
      <w:bookmarkStart w:id="42" w:name="_Toc106091979"/>
      <w:bookmarkStart w:id="43" w:name="_Toc106098683"/>
      <w:r>
        <w:rPr>
          <w:rStyle w:val="CharDivNo"/>
        </w:rPr>
        <w:t>Division 4</w:t>
      </w:r>
      <w:r>
        <w:t> — </w:t>
      </w:r>
      <w:r>
        <w:rPr>
          <w:rStyle w:val="CharDivText"/>
        </w:rPr>
        <w:t>Interpretation</w:t>
      </w:r>
      <w:bookmarkEnd w:id="38"/>
      <w:bookmarkEnd w:id="39"/>
      <w:bookmarkEnd w:id="40"/>
      <w:bookmarkEnd w:id="41"/>
      <w:bookmarkEnd w:id="42"/>
      <w:bookmarkEnd w:id="43"/>
    </w:p>
    <w:p>
      <w:pPr>
        <w:pStyle w:val="Heading4"/>
      </w:pPr>
      <w:bookmarkStart w:id="44" w:name="_Toc105756882"/>
      <w:bookmarkStart w:id="45" w:name="_Toc105757046"/>
      <w:bookmarkStart w:id="46" w:name="_Toc105763327"/>
      <w:bookmarkStart w:id="47" w:name="_Toc105763424"/>
      <w:bookmarkStart w:id="48" w:name="_Toc106091980"/>
      <w:bookmarkStart w:id="49" w:name="_Toc106098684"/>
      <w:r>
        <w:t>Subdivision 1 — Terms used</w:t>
      </w:r>
      <w:bookmarkEnd w:id="44"/>
      <w:bookmarkEnd w:id="45"/>
      <w:bookmarkEnd w:id="46"/>
      <w:bookmarkEnd w:id="47"/>
      <w:bookmarkEnd w:id="48"/>
      <w:bookmarkEnd w:id="49"/>
    </w:p>
    <w:p>
      <w:pPr>
        <w:pStyle w:val="Heading5"/>
      </w:pPr>
      <w:bookmarkStart w:id="50" w:name="_Toc106098685"/>
      <w:r>
        <w:rPr>
          <w:rStyle w:val="CharSectno"/>
        </w:rPr>
        <w:t>11</w:t>
      </w:r>
      <w:r>
        <w:t>.</w:t>
      </w:r>
      <w:r>
        <w:tab/>
        <w:t>Terms used</w:t>
      </w:r>
      <w:bookmarkEnd w:id="50"/>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lastRenderedPageBreak/>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lastRenderedPageBreak/>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lastRenderedPageBreak/>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 xml:space="preserve">has traditional rights, interests and responsibilities in respect of Aboriginal places located in, or Aboriginal objects or Aboriginal </w:t>
      </w:r>
      <w:r>
        <w:lastRenderedPageBreak/>
        <w:t>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lastRenderedPageBreak/>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lastRenderedPageBreak/>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lastRenderedPageBreak/>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lastRenderedPageBreak/>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lastRenderedPageBreak/>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lastRenderedPageBreak/>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51" w:name="_Toc105756884"/>
      <w:bookmarkStart w:id="52" w:name="_Toc105757048"/>
      <w:bookmarkStart w:id="53" w:name="_Toc105763329"/>
      <w:bookmarkStart w:id="54" w:name="_Toc105763426"/>
      <w:bookmarkStart w:id="55" w:name="_Toc106091982"/>
      <w:bookmarkStart w:id="56" w:name="_Toc106098686"/>
      <w:r>
        <w:t>Subdivision 2 — Other key terms</w:t>
      </w:r>
      <w:bookmarkEnd w:id="51"/>
      <w:bookmarkEnd w:id="52"/>
      <w:bookmarkEnd w:id="53"/>
      <w:bookmarkEnd w:id="54"/>
      <w:bookmarkEnd w:id="55"/>
      <w:bookmarkEnd w:id="56"/>
    </w:p>
    <w:p>
      <w:pPr>
        <w:pStyle w:val="Heading5"/>
      </w:pPr>
      <w:bookmarkStart w:id="57" w:name="_Toc106098687"/>
      <w:r>
        <w:rPr>
          <w:rStyle w:val="CharSectno"/>
        </w:rPr>
        <w:t>12</w:t>
      </w:r>
      <w:r>
        <w:t>.</w:t>
      </w:r>
      <w:r>
        <w:tab/>
        <w:t>Meaning of Aboriginal cultural heritage and related terms</w:t>
      </w:r>
      <w:bookmarkEnd w:id="57"/>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58" w:name="_Toc106098688"/>
      <w:r>
        <w:rPr>
          <w:rStyle w:val="CharSectno"/>
        </w:rPr>
        <w:lastRenderedPageBreak/>
        <w:t>13</w:t>
      </w:r>
      <w:r>
        <w:t>.</w:t>
      </w:r>
      <w:r>
        <w:tab/>
        <w:t>Meaning of located in relation to Aboriginal cultural heritage</w:t>
      </w:r>
      <w:bookmarkEnd w:id="58"/>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59" w:name="_Toc105756887"/>
      <w:bookmarkStart w:id="60" w:name="_Toc105757051"/>
      <w:bookmarkStart w:id="61" w:name="_Toc105763332"/>
      <w:bookmarkStart w:id="62" w:name="_Toc105763429"/>
      <w:bookmarkStart w:id="63" w:name="_Toc106091985"/>
      <w:bookmarkStart w:id="64" w:name="_Toc106098689"/>
      <w:r>
        <w:rPr>
          <w:rStyle w:val="CharDivNo"/>
        </w:rPr>
        <w:t>Division 5</w:t>
      </w:r>
      <w:r>
        <w:t> — </w:t>
      </w:r>
      <w:r>
        <w:rPr>
          <w:rStyle w:val="CharDivText"/>
        </w:rPr>
        <w:t>Other provisions of general application</w:t>
      </w:r>
      <w:bookmarkEnd w:id="59"/>
      <w:bookmarkEnd w:id="60"/>
      <w:bookmarkEnd w:id="61"/>
      <w:bookmarkEnd w:id="62"/>
      <w:bookmarkEnd w:id="63"/>
      <w:bookmarkEnd w:id="64"/>
    </w:p>
    <w:p>
      <w:pPr>
        <w:pStyle w:val="Heading5"/>
      </w:pPr>
      <w:bookmarkStart w:id="65" w:name="_Toc106098690"/>
      <w:r>
        <w:rPr>
          <w:rStyle w:val="CharSectno"/>
        </w:rPr>
        <w:t>14</w:t>
      </w:r>
      <w:r>
        <w:t>.</w:t>
      </w:r>
      <w:r>
        <w:tab/>
        <w:t>Act binds Crown</w:t>
      </w:r>
      <w:bookmarkEnd w:id="65"/>
    </w:p>
    <w:p>
      <w:pPr>
        <w:pStyle w:val="Subsection"/>
      </w:pPr>
      <w:r>
        <w:tab/>
      </w:r>
      <w:r>
        <w:tab/>
        <w:t>This Act binds the Crown in right of Western Australia and, so far as the legislative power of the Parliament permits, the Crown in all its other capacities.</w:t>
      </w:r>
    </w:p>
    <w:p>
      <w:pPr>
        <w:pStyle w:val="Heading5"/>
      </w:pPr>
      <w:bookmarkStart w:id="66" w:name="_Toc106098691"/>
      <w:r>
        <w:rPr>
          <w:rStyle w:val="CharSectno"/>
        </w:rPr>
        <w:t>15</w:t>
      </w:r>
      <w:r>
        <w:t>.</w:t>
      </w:r>
      <w:r>
        <w:tab/>
        <w:t>Act does not apply to certain objects</w:t>
      </w:r>
      <w:bookmarkEnd w:id="66"/>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67" w:name="_Toc106098692"/>
      <w:r>
        <w:rPr>
          <w:rStyle w:val="CharSectno"/>
        </w:rPr>
        <w:t>16</w:t>
      </w:r>
      <w:r>
        <w:t>.</w:t>
      </w:r>
      <w:r>
        <w:tab/>
        <w:t>Native title rights and interests</w:t>
      </w:r>
      <w:bookmarkEnd w:id="67"/>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68" w:name="_Toc106098693"/>
      <w:r>
        <w:rPr>
          <w:rStyle w:val="CharSectno"/>
        </w:rPr>
        <w:lastRenderedPageBreak/>
        <w:t>17</w:t>
      </w:r>
      <w:r>
        <w:t>.</w:t>
      </w:r>
      <w:r>
        <w:tab/>
      </w:r>
      <w:r>
        <w:rPr>
          <w:i/>
        </w:rPr>
        <w:t>Coroners Act 1996</w:t>
      </w:r>
      <w:r>
        <w:t xml:space="preserve"> not affected</w:t>
      </w:r>
      <w:bookmarkEnd w:id="68"/>
    </w:p>
    <w:p>
      <w:pPr>
        <w:pStyle w:val="Subsection"/>
      </w:pPr>
      <w:r>
        <w:tab/>
      </w:r>
      <w:r>
        <w:tab/>
        <w:t xml:space="preserve">Subject to section 59, nothing in this Act affects the operation of the </w:t>
      </w:r>
      <w:r>
        <w:rPr>
          <w:i/>
        </w:rPr>
        <w:t>Coroners Act 1996</w:t>
      </w:r>
      <w:r>
        <w:t>.</w:t>
      </w:r>
    </w:p>
    <w:p>
      <w:pPr>
        <w:pStyle w:val="Heading5"/>
      </w:pPr>
      <w:bookmarkStart w:id="69" w:name="_Toc106098694"/>
      <w:r>
        <w:rPr>
          <w:rStyle w:val="CharSectno"/>
        </w:rPr>
        <w:t>18</w:t>
      </w:r>
      <w:r>
        <w:t>.</w:t>
      </w:r>
      <w:r>
        <w:tab/>
      </w:r>
      <w:r>
        <w:rPr>
          <w:i/>
        </w:rPr>
        <w:t>Freedom of Information Act 1992</w:t>
      </w:r>
      <w:r>
        <w:t xml:space="preserve"> does not apply to culturally sensitive information</w:t>
      </w:r>
      <w:bookmarkEnd w:id="69"/>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70" w:name="_Toc91143782"/>
      <w:bookmarkStart w:id="71" w:name="_Toc91144240"/>
      <w:bookmarkStart w:id="72" w:name="_Toc91144698"/>
      <w:bookmarkStart w:id="73" w:name="_Toc91153526"/>
      <w:bookmarkStart w:id="74" w:name="_Toc91153959"/>
      <w:bookmarkStart w:id="75" w:name="_Toc105756893"/>
      <w:bookmarkStart w:id="76" w:name="_Toc105757057"/>
      <w:bookmarkStart w:id="77" w:name="_Toc105763338"/>
      <w:bookmarkStart w:id="78" w:name="_Toc105763435"/>
      <w:bookmarkStart w:id="79" w:name="_Toc106091991"/>
      <w:bookmarkStart w:id="80" w:name="_Toc106098695"/>
      <w:r>
        <w:rPr>
          <w:rStyle w:val="CharPartNo"/>
        </w:rPr>
        <w:lastRenderedPageBreak/>
        <w:t>Part 2</w:t>
      </w:r>
      <w:r>
        <w:t> — </w:t>
      </w:r>
      <w:r>
        <w:rPr>
          <w:rStyle w:val="CharPartText"/>
        </w:rPr>
        <w:t>Aboriginal Cultural Heritage Council and local Aboriginal cultural heritage services</w:t>
      </w:r>
      <w:bookmarkEnd w:id="70"/>
      <w:bookmarkEnd w:id="71"/>
      <w:bookmarkEnd w:id="72"/>
      <w:bookmarkEnd w:id="73"/>
      <w:bookmarkEnd w:id="74"/>
      <w:bookmarkEnd w:id="75"/>
      <w:bookmarkEnd w:id="76"/>
      <w:bookmarkEnd w:id="77"/>
      <w:bookmarkEnd w:id="78"/>
      <w:bookmarkEnd w:id="79"/>
      <w:bookmarkEnd w:id="80"/>
    </w:p>
    <w:p>
      <w:pPr>
        <w:pStyle w:val="Heading3"/>
      </w:pPr>
      <w:bookmarkStart w:id="81" w:name="_Toc91143783"/>
      <w:bookmarkStart w:id="82" w:name="_Toc91144241"/>
      <w:bookmarkStart w:id="83" w:name="_Toc91144699"/>
      <w:bookmarkStart w:id="84" w:name="_Toc91153527"/>
      <w:bookmarkStart w:id="85" w:name="_Toc91153960"/>
      <w:bookmarkStart w:id="86" w:name="_Toc105756894"/>
      <w:bookmarkStart w:id="87" w:name="_Toc105757058"/>
      <w:bookmarkStart w:id="88" w:name="_Toc105763339"/>
      <w:bookmarkStart w:id="89" w:name="_Toc105763436"/>
      <w:bookmarkStart w:id="90" w:name="_Toc106091992"/>
      <w:bookmarkStart w:id="91" w:name="_Toc106098696"/>
      <w:r>
        <w:rPr>
          <w:rStyle w:val="CharDivNo"/>
        </w:rPr>
        <w:t>Division 1</w:t>
      </w:r>
      <w:r>
        <w:t> — </w:t>
      </w:r>
      <w:r>
        <w:rPr>
          <w:rStyle w:val="CharDivText"/>
        </w:rPr>
        <w:t>Interpretation</w:t>
      </w:r>
      <w:bookmarkEnd w:id="81"/>
      <w:bookmarkEnd w:id="82"/>
      <w:bookmarkEnd w:id="83"/>
      <w:bookmarkEnd w:id="84"/>
      <w:bookmarkEnd w:id="85"/>
      <w:bookmarkEnd w:id="86"/>
      <w:bookmarkEnd w:id="87"/>
      <w:bookmarkEnd w:id="88"/>
      <w:bookmarkEnd w:id="89"/>
      <w:bookmarkEnd w:id="90"/>
      <w:bookmarkEnd w:id="91"/>
    </w:p>
    <w:p>
      <w:pPr>
        <w:pStyle w:val="Heading5"/>
      </w:pPr>
      <w:bookmarkStart w:id="92" w:name="_Toc91153961"/>
      <w:bookmarkStart w:id="93" w:name="_Toc106098697"/>
      <w:r>
        <w:rPr>
          <w:rStyle w:val="CharSectno"/>
        </w:rPr>
        <w:t>19</w:t>
      </w:r>
      <w:r>
        <w:t>.</w:t>
      </w:r>
      <w:r>
        <w:tab/>
        <w:t>Terms used</w:t>
      </w:r>
      <w:bookmarkEnd w:id="92"/>
      <w:bookmarkEnd w:id="93"/>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Ednotedivision"/>
      </w:pPr>
      <w:r>
        <w:t>[Divisions 2 and 3 have not come into operation.]</w:t>
      </w:r>
    </w:p>
    <w:p>
      <w:pPr>
        <w:pStyle w:val="Ednotepart"/>
      </w:pPr>
      <w:r>
        <w:t>[Parts 3</w:t>
      </w:r>
      <w:r>
        <w:noBreakHyphen/>
        <w:t>5 have not come into operation.]</w:t>
      </w:r>
    </w:p>
    <w:p>
      <w:pPr>
        <w:pStyle w:val="Heading2"/>
      </w:pPr>
      <w:bookmarkStart w:id="94" w:name="_Toc91143893"/>
      <w:bookmarkStart w:id="95" w:name="_Toc91144351"/>
      <w:bookmarkStart w:id="96" w:name="_Toc91144809"/>
      <w:bookmarkStart w:id="97" w:name="_Toc91153637"/>
      <w:bookmarkStart w:id="98" w:name="_Toc91154070"/>
      <w:bookmarkStart w:id="99" w:name="_Toc105756896"/>
      <w:bookmarkStart w:id="100" w:name="_Toc105757060"/>
      <w:bookmarkStart w:id="101" w:name="_Toc105763341"/>
      <w:bookmarkStart w:id="102" w:name="_Toc105763438"/>
      <w:bookmarkStart w:id="103" w:name="_Toc106091994"/>
      <w:bookmarkStart w:id="104" w:name="_Toc106098698"/>
      <w:r>
        <w:rPr>
          <w:rStyle w:val="CharPartNo"/>
        </w:rPr>
        <w:lastRenderedPageBreak/>
        <w:t>Part 6</w:t>
      </w:r>
      <w:r>
        <w:t> — </w:t>
      </w:r>
      <w:r>
        <w:rPr>
          <w:rStyle w:val="CharPartText"/>
        </w:rPr>
        <w:t>Managing activities that may harm Aboriginal cultural heritage</w:t>
      </w:r>
      <w:bookmarkEnd w:id="94"/>
      <w:bookmarkEnd w:id="95"/>
      <w:bookmarkEnd w:id="96"/>
      <w:bookmarkEnd w:id="97"/>
      <w:bookmarkEnd w:id="98"/>
      <w:bookmarkEnd w:id="99"/>
      <w:bookmarkEnd w:id="100"/>
      <w:bookmarkEnd w:id="101"/>
      <w:bookmarkEnd w:id="102"/>
      <w:bookmarkEnd w:id="103"/>
      <w:bookmarkEnd w:id="104"/>
    </w:p>
    <w:p>
      <w:pPr>
        <w:pStyle w:val="Heading3"/>
      </w:pPr>
      <w:bookmarkStart w:id="105" w:name="_Toc91143894"/>
      <w:bookmarkStart w:id="106" w:name="_Toc91144352"/>
      <w:bookmarkStart w:id="107" w:name="_Toc91144810"/>
      <w:bookmarkStart w:id="108" w:name="_Toc91153638"/>
      <w:bookmarkStart w:id="109" w:name="_Toc91154071"/>
      <w:bookmarkStart w:id="110" w:name="_Toc105756897"/>
      <w:bookmarkStart w:id="111" w:name="_Toc105757061"/>
      <w:bookmarkStart w:id="112" w:name="_Toc105763342"/>
      <w:bookmarkStart w:id="113" w:name="_Toc105763439"/>
      <w:bookmarkStart w:id="114" w:name="_Toc106091995"/>
      <w:bookmarkStart w:id="115" w:name="_Toc106098699"/>
      <w:r>
        <w:rPr>
          <w:rStyle w:val="CharDivNo"/>
        </w:rPr>
        <w:t>Division 1</w:t>
      </w:r>
      <w:r>
        <w:t> — </w:t>
      </w:r>
      <w:r>
        <w:rPr>
          <w:rStyle w:val="CharDivText"/>
        </w:rPr>
        <w:t>Preliminary</w:t>
      </w:r>
      <w:bookmarkEnd w:id="105"/>
      <w:bookmarkEnd w:id="106"/>
      <w:bookmarkEnd w:id="107"/>
      <w:bookmarkEnd w:id="108"/>
      <w:bookmarkEnd w:id="109"/>
      <w:bookmarkEnd w:id="110"/>
      <w:bookmarkEnd w:id="111"/>
      <w:bookmarkEnd w:id="112"/>
      <w:bookmarkEnd w:id="113"/>
      <w:bookmarkEnd w:id="114"/>
      <w:bookmarkEnd w:id="115"/>
    </w:p>
    <w:p>
      <w:pPr>
        <w:pStyle w:val="Heading5"/>
      </w:pPr>
      <w:bookmarkStart w:id="116" w:name="_Toc91154072"/>
      <w:bookmarkStart w:id="117" w:name="_Toc106098700"/>
      <w:r>
        <w:rPr>
          <w:rStyle w:val="CharSectno"/>
        </w:rPr>
        <w:t>100</w:t>
      </w:r>
      <w:r>
        <w:t>.</w:t>
      </w:r>
      <w:r>
        <w:tab/>
        <w:t>Terms used</w:t>
      </w:r>
      <w:bookmarkEnd w:id="116"/>
      <w:bookmarkEnd w:id="117"/>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lastRenderedPageBreak/>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lastRenderedPageBreak/>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lastRenderedPageBreak/>
        <w:tab/>
      </w:r>
      <w:r>
        <w:rPr>
          <w:rStyle w:val="CharDefText"/>
        </w:rPr>
        <w:t>tier 3 activity</w:t>
      </w:r>
      <w:r>
        <w:t xml:space="preserve"> means an activity involving a moderate to high level of ground disturbance that is prescribed for the purpose of this definition.</w:t>
      </w:r>
    </w:p>
    <w:p>
      <w:pPr>
        <w:pStyle w:val="Ednotesection"/>
      </w:pPr>
      <w:r>
        <w:t>[</w:t>
      </w:r>
      <w:r>
        <w:rPr>
          <w:b/>
        </w:rPr>
        <w:t>101.</w:t>
      </w:r>
      <w:r>
        <w:tab/>
        <w:t>Has not come into operation.]</w:t>
      </w:r>
    </w:p>
    <w:p>
      <w:pPr>
        <w:pStyle w:val="Ednotedivision"/>
      </w:pPr>
      <w:r>
        <w:t>[Divisions 2</w:t>
      </w:r>
      <w:r>
        <w:noBreakHyphen/>
        <w:t>6 have not come into operation.]</w:t>
      </w:r>
    </w:p>
    <w:p>
      <w:pPr>
        <w:pStyle w:val="Ednotepart"/>
      </w:pPr>
      <w:r>
        <w:t>[Parts 7</w:t>
      </w:r>
      <w:r>
        <w:noBreakHyphen/>
        <w:t>12 have not come into operation.]</w:t>
      </w:r>
    </w:p>
    <w:p>
      <w:pPr>
        <w:pStyle w:val="Heading2"/>
      </w:pPr>
      <w:bookmarkStart w:id="118" w:name="_Toc91144112"/>
      <w:bookmarkStart w:id="119" w:name="_Toc91144570"/>
      <w:bookmarkStart w:id="120" w:name="_Toc91145028"/>
      <w:bookmarkStart w:id="121" w:name="_Toc91153856"/>
      <w:bookmarkStart w:id="122" w:name="_Toc91154289"/>
      <w:bookmarkStart w:id="123" w:name="_Toc105756899"/>
      <w:bookmarkStart w:id="124" w:name="_Toc105757063"/>
      <w:bookmarkStart w:id="125" w:name="_Toc105763344"/>
      <w:bookmarkStart w:id="126" w:name="_Toc105763441"/>
      <w:bookmarkStart w:id="127" w:name="_Toc106091997"/>
      <w:bookmarkStart w:id="128" w:name="_Toc106098701"/>
      <w:r>
        <w:rPr>
          <w:rStyle w:val="CharPartNo"/>
        </w:rPr>
        <w:lastRenderedPageBreak/>
        <w:t>Part 13</w:t>
      </w:r>
      <w:r>
        <w:t> — </w:t>
      </w:r>
      <w:r>
        <w:rPr>
          <w:rStyle w:val="CharPartText"/>
        </w:rPr>
        <w:t>Miscellaneous</w:t>
      </w:r>
      <w:bookmarkEnd w:id="118"/>
      <w:bookmarkEnd w:id="119"/>
      <w:bookmarkEnd w:id="120"/>
      <w:bookmarkEnd w:id="121"/>
      <w:bookmarkEnd w:id="122"/>
      <w:bookmarkEnd w:id="123"/>
      <w:bookmarkEnd w:id="124"/>
      <w:bookmarkEnd w:id="125"/>
      <w:bookmarkEnd w:id="126"/>
      <w:bookmarkEnd w:id="127"/>
      <w:bookmarkEnd w:id="128"/>
    </w:p>
    <w:p>
      <w:pPr>
        <w:pStyle w:val="Ednotedivision"/>
      </w:pPr>
      <w:r>
        <w:t>[Division 1 has not come into operation.]</w:t>
      </w:r>
    </w:p>
    <w:p>
      <w:pPr>
        <w:pStyle w:val="Heading3"/>
      </w:pPr>
      <w:bookmarkStart w:id="129" w:name="_Toc91144120"/>
      <w:bookmarkStart w:id="130" w:name="_Toc91144578"/>
      <w:bookmarkStart w:id="131" w:name="_Toc91145036"/>
      <w:bookmarkStart w:id="132" w:name="_Toc91153864"/>
      <w:bookmarkStart w:id="133" w:name="_Toc91154297"/>
      <w:bookmarkStart w:id="134" w:name="_Toc105756900"/>
      <w:bookmarkStart w:id="135" w:name="_Toc105757064"/>
      <w:bookmarkStart w:id="136" w:name="_Toc105763345"/>
      <w:bookmarkStart w:id="137" w:name="_Toc105763442"/>
      <w:bookmarkStart w:id="138" w:name="_Toc106091998"/>
      <w:bookmarkStart w:id="139" w:name="_Toc106098702"/>
      <w:r>
        <w:rPr>
          <w:rStyle w:val="CharDivNo"/>
        </w:rPr>
        <w:t>Division 2</w:t>
      </w:r>
      <w:r>
        <w:t> — </w:t>
      </w:r>
      <w:r>
        <w:rPr>
          <w:rStyle w:val="CharDivText"/>
        </w:rPr>
        <w:t>Giving notice</w:t>
      </w:r>
      <w:bookmarkEnd w:id="129"/>
      <w:bookmarkEnd w:id="130"/>
      <w:bookmarkEnd w:id="131"/>
      <w:bookmarkEnd w:id="132"/>
      <w:bookmarkEnd w:id="133"/>
      <w:bookmarkEnd w:id="134"/>
      <w:bookmarkEnd w:id="135"/>
      <w:bookmarkEnd w:id="136"/>
      <w:bookmarkEnd w:id="137"/>
      <w:bookmarkEnd w:id="138"/>
      <w:bookmarkEnd w:id="139"/>
    </w:p>
    <w:p>
      <w:pPr>
        <w:pStyle w:val="Heading5"/>
      </w:pPr>
      <w:bookmarkStart w:id="140" w:name="_Toc91154298"/>
      <w:bookmarkStart w:id="141" w:name="_Toc106098703"/>
      <w:r>
        <w:rPr>
          <w:rStyle w:val="CharSectno"/>
        </w:rPr>
        <w:t>282</w:t>
      </w:r>
      <w:r>
        <w:t>.</w:t>
      </w:r>
      <w:r>
        <w:tab/>
        <w:t>Public notice</w:t>
      </w:r>
      <w:bookmarkEnd w:id="140"/>
      <w:bookmarkEnd w:id="141"/>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Ednotesection"/>
      </w:pPr>
      <w:r>
        <w:t>[</w:t>
      </w:r>
      <w:r>
        <w:rPr>
          <w:b/>
        </w:rPr>
        <w:t>283</w:t>
      </w:r>
      <w:r>
        <w:rPr>
          <w:b/>
        </w:rPr>
        <w:noBreakHyphen/>
        <w:t>286.</w:t>
      </w:r>
      <w:r>
        <w:tab/>
        <w:t>Have not come into operation.]</w:t>
      </w:r>
    </w:p>
    <w:p>
      <w:pPr>
        <w:pStyle w:val="Heading3"/>
      </w:pPr>
      <w:bookmarkStart w:id="142" w:name="_Toc91144126"/>
      <w:bookmarkStart w:id="143" w:name="_Toc91144584"/>
      <w:bookmarkStart w:id="144" w:name="_Toc91145042"/>
      <w:bookmarkStart w:id="145" w:name="_Toc91153870"/>
      <w:bookmarkStart w:id="146" w:name="_Toc91154303"/>
      <w:bookmarkStart w:id="147" w:name="_Toc105756902"/>
      <w:bookmarkStart w:id="148" w:name="_Toc105757066"/>
      <w:bookmarkStart w:id="149" w:name="_Toc105763347"/>
      <w:bookmarkStart w:id="150" w:name="_Toc105763444"/>
      <w:bookmarkStart w:id="151" w:name="_Toc106092000"/>
      <w:bookmarkStart w:id="152" w:name="_Toc106098704"/>
      <w:r>
        <w:rPr>
          <w:rStyle w:val="CharDivNo"/>
        </w:rPr>
        <w:t>Division 3</w:t>
      </w:r>
      <w:r>
        <w:t> — </w:t>
      </w:r>
      <w:r>
        <w:rPr>
          <w:rStyle w:val="CharDivText"/>
        </w:rPr>
        <w:t>Regulations and guidelines</w:t>
      </w:r>
      <w:bookmarkEnd w:id="142"/>
      <w:bookmarkEnd w:id="143"/>
      <w:bookmarkEnd w:id="144"/>
      <w:bookmarkEnd w:id="145"/>
      <w:bookmarkEnd w:id="146"/>
      <w:bookmarkEnd w:id="147"/>
      <w:bookmarkEnd w:id="148"/>
      <w:bookmarkEnd w:id="149"/>
      <w:bookmarkEnd w:id="150"/>
      <w:bookmarkEnd w:id="151"/>
      <w:bookmarkEnd w:id="152"/>
    </w:p>
    <w:p>
      <w:pPr>
        <w:pStyle w:val="Heading4"/>
      </w:pPr>
      <w:bookmarkStart w:id="153" w:name="_Toc91144127"/>
      <w:bookmarkStart w:id="154" w:name="_Toc91144585"/>
      <w:bookmarkStart w:id="155" w:name="_Toc91145043"/>
      <w:bookmarkStart w:id="156" w:name="_Toc91153871"/>
      <w:bookmarkStart w:id="157" w:name="_Toc91154304"/>
      <w:bookmarkStart w:id="158" w:name="_Toc105756903"/>
      <w:bookmarkStart w:id="159" w:name="_Toc105757067"/>
      <w:bookmarkStart w:id="160" w:name="_Toc105763348"/>
      <w:bookmarkStart w:id="161" w:name="_Toc105763445"/>
      <w:bookmarkStart w:id="162" w:name="_Toc106092001"/>
      <w:bookmarkStart w:id="163" w:name="_Toc106098705"/>
      <w:r>
        <w:t>Subdivision 1 — Regulations</w:t>
      </w:r>
      <w:bookmarkEnd w:id="153"/>
      <w:bookmarkEnd w:id="154"/>
      <w:bookmarkEnd w:id="155"/>
      <w:bookmarkEnd w:id="156"/>
      <w:bookmarkEnd w:id="157"/>
      <w:bookmarkEnd w:id="158"/>
      <w:bookmarkEnd w:id="159"/>
      <w:bookmarkEnd w:id="160"/>
      <w:bookmarkEnd w:id="161"/>
      <w:bookmarkEnd w:id="162"/>
      <w:bookmarkEnd w:id="163"/>
    </w:p>
    <w:p>
      <w:pPr>
        <w:pStyle w:val="Heading5"/>
      </w:pPr>
      <w:bookmarkStart w:id="164" w:name="_Toc91154305"/>
      <w:bookmarkStart w:id="165" w:name="_Toc106098706"/>
      <w:r>
        <w:rPr>
          <w:rStyle w:val="CharSectno"/>
        </w:rPr>
        <w:t>287</w:t>
      </w:r>
      <w:r>
        <w:t>.</w:t>
      </w:r>
      <w:r>
        <w:tab/>
        <w:t>Regulations</w:t>
      </w:r>
      <w:bookmarkEnd w:id="164"/>
      <w:bookmarkEnd w:id="165"/>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166" w:name="_Toc91154306"/>
      <w:bookmarkStart w:id="167" w:name="_Toc106098707"/>
      <w:r>
        <w:rPr>
          <w:rStyle w:val="CharSectno"/>
        </w:rPr>
        <w:lastRenderedPageBreak/>
        <w:t>288</w:t>
      </w:r>
      <w:r>
        <w:t>.</w:t>
      </w:r>
      <w:r>
        <w:tab/>
        <w:t>Regulations about ACH Council and local ACH services</w:t>
      </w:r>
      <w:bookmarkEnd w:id="166"/>
      <w:bookmarkEnd w:id="167"/>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168" w:name="_Toc91154307"/>
      <w:bookmarkStart w:id="169" w:name="_Toc106098708"/>
      <w:r>
        <w:rPr>
          <w:rStyle w:val="CharSectno"/>
        </w:rPr>
        <w:lastRenderedPageBreak/>
        <w:t>289</w:t>
      </w:r>
      <w:r>
        <w:t>.</w:t>
      </w:r>
      <w:r>
        <w:tab/>
        <w:t>Regulations about protected areas</w:t>
      </w:r>
      <w:bookmarkEnd w:id="168"/>
      <w:bookmarkEnd w:id="169"/>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170" w:name="_Toc91154308"/>
      <w:bookmarkStart w:id="171" w:name="_Toc106098709"/>
      <w:r>
        <w:rPr>
          <w:rStyle w:val="CharSectno"/>
        </w:rPr>
        <w:t>290</w:t>
      </w:r>
      <w:r>
        <w:t>.</w:t>
      </w:r>
      <w:r>
        <w:tab/>
        <w:t>Regulations about ACH Directory</w:t>
      </w:r>
      <w:bookmarkEnd w:id="170"/>
      <w:bookmarkEnd w:id="171"/>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172" w:name="_Toc91154309"/>
      <w:bookmarkStart w:id="173" w:name="_Toc106098710"/>
      <w:r>
        <w:rPr>
          <w:rStyle w:val="CharSectno"/>
        </w:rPr>
        <w:lastRenderedPageBreak/>
        <w:t>291</w:t>
      </w:r>
      <w:r>
        <w:t>.</w:t>
      </w:r>
      <w:r>
        <w:tab/>
        <w:t>Regulations about determining whether information is culturally sensitive information</w:t>
      </w:r>
      <w:bookmarkEnd w:id="172"/>
      <w:bookmarkEnd w:id="173"/>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174" w:name="_Toc91154310"/>
      <w:bookmarkStart w:id="175" w:name="_Toc106098711"/>
      <w:r>
        <w:rPr>
          <w:rStyle w:val="CharSectno"/>
        </w:rPr>
        <w:t>292</w:t>
      </w:r>
      <w:r>
        <w:t>.</w:t>
      </w:r>
      <w:r>
        <w:tab/>
        <w:t>Regulations about fees and charges</w:t>
      </w:r>
      <w:bookmarkEnd w:id="174"/>
      <w:bookmarkEnd w:id="175"/>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lastRenderedPageBreak/>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bookmarkStart w:id="176" w:name="_Toc91154311"/>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177" w:name="_Toc106098712"/>
      <w:r>
        <w:rPr>
          <w:rStyle w:val="CharSectno"/>
        </w:rPr>
        <w:lastRenderedPageBreak/>
        <w:t>293</w:t>
      </w:r>
      <w:r>
        <w:t>.</w:t>
      </w:r>
      <w:r>
        <w:tab/>
        <w:t>Other regulations</w:t>
      </w:r>
      <w:bookmarkEnd w:id="176"/>
      <w:bookmarkEnd w:id="177"/>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Ednotesubdivision"/>
      </w:pPr>
      <w:r>
        <w:t>[Subdivision 2 has not come into operation.]</w:t>
      </w:r>
    </w:p>
    <w:p>
      <w:pPr>
        <w:pStyle w:val="Heading3"/>
      </w:pPr>
      <w:bookmarkStart w:id="178" w:name="_Toc91144142"/>
      <w:bookmarkStart w:id="179" w:name="_Toc91144600"/>
      <w:bookmarkStart w:id="180" w:name="_Toc91145058"/>
      <w:bookmarkStart w:id="181" w:name="_Toc91153886"/>
      <w:bookmarkStart w:id="182" w:name="_Toc91154319"/>
      <w:bookmarkStart w:id="183" w:name="_Toc105756911"/>
      <w:bookmarkStart w:id="184" w:name="_Toc105757075"/>
      <w:bookmarkStart w:id="185" w:name="_Toc105763356"/>
      <w:bookmarkStart w:id="186" w:name="_Toc105763453"/>
      <w:bookmarkStart w:id="187" w:name="_Toc106092009"/>
      <w:bookmarkStart w:id="188" w:name="_Toc106098713"/>
      <w:r>
        <w:rPr>
          <w:rStyle w:val="CharDivNo"/>
        </w:rPr>
        <w:t>Division 4</w:t>
      </w:r>
      <w:r>
        <w:t> — </w:t>
      </w:r>
      <w:r>
        <w:rPr>
          <w:rStyle w:val="CharDivText"/>
        </w:rPr>
        <w:t>General provisions</w:t>
      </w:r>
      <w:bookmarkEnd w:id="178"/>
      <w:bookmarkEnd w:id="179"/>
      <w:bookmarkEnd w:id="180"/>
      <w:bookmarkEnd w:id="181"/>
      <w:bookmarkEnd w:id="182"/>
      <w:bookmarkEnd w:id="183"/>
      <w:bookmarkEnd w:id="184"/>
      <w:bookmarkEnd w:id="185"/>
      <w:bookmarkEnd w:id="186"/>
      <w:bookmarkEnd w:id="187"/>
      <w:bookmarkEnd w:id="188"/>
    </w:p>
    <w:p>
      <w:pPr>
        <w:pStyle w:val="Ednotesection"/>
      </w:pPr>
      <w:r>
        <w:t>[</w:t>
      </w:r>
      <w:r>
        <w:rPr>
          <w:b/>
        </w:rPr>
        <w:t>300</w:t>
      </w:r>
      <w:r>
        <w:rPr>
          <w:b/>
        </w:rPr>
        <w:noBreakHyphen/>
        <w:t>307.</w:t>
      </w:r>
      <w:r>
        <w:tab/>
        <w:t>Have not come into operation.]</w:t>
      </w:r>
    </w:p>
    <w:p>
      <w:pPr>
        <w:pStyle w:val="Heading5"/>
      </w:pPr>
      <w:bookmarkStart w:id="189" w:name="_Toc91154328"/>
      <w:bookmarkStart w:id="190" w:name="_Toc106098714"/>
      <w:r>
        <w:rPr>
          <w:rStyle w:val="CharSectno"/>
        </w:rPr>
        <w:t>308</w:t>
      </w:r>
      <w:r>
        <w:t>.</w:t>
      </w:r>
      <w:r>
        <w:tab/>
        <w:t>Laying documents before House of Parliament not sitting</w:t>
      </w:r>
      <w:bookmarkEnd w:id="189"/>
      <w:bookmarkEnd w:id="190"/>
    </w:p>
    <w:p>
      <w:pPr>
        <w:pStyle w:val="Subsection"/>
        <w:rPr>
          <w:snapToGrid w:val="0"/>
        </w:rPr>
      </w:pPr>
      <w:r>
        <w:tab/>
        <w:t>(1)</w:t>
      </w:r>
      <w:r>
        <w:tab/>
      </w:r>
      <w:r>
        <w:rPr>
          <w:snapToGrid w:val="0"/>
        </w:rPr>
        <w:t xml:space="preserve">This section applies if — </w:t>
      </w:r>
    </w:p>
    <w:p>
      <w:pPr>
        <w:pStyle w:val="Indenta"/>
      </w:pPr>
      <w:r>
        <w:tab/>
        <w:t>(a)</w:t>
      </w:r>
      <w:r>
        <w:tab/>
        <w:t xml:space="preserve">a provision of this Act requires the Minister to cause a document to be laid before each House of Parliament, or </w:t>
      </w:r>
      <w:r>
        <w:lastRenderedPageBreak/>
        <w:t>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191" w:name="_Toc91144153"/>
      <w:bookmarkStart w:id="192" w:name="_Toc91144611"/>
      <w:bookmarkStart w:id="193" w:name="_Toc91145069"/>
      <w:bookmarkStart w:id="194" w:name="_Toc91153897"/>
      <w:bookmarkStart w:id="195" w:name="_Toc91154330"/>
      <w:bookmarkStart w:id="196" w:name="_Toc105756913"/>
      <w:bookmarkStart w:id="197" w:name="_Toc105757077"/>
      <w:bookmarkStart w:id="198" w:name="_Toc105763358"/>
      <w:bookmarkStart w:id="199" w:name="_Toc105763455"/>
      <w:bookmarkStart w:id="200" w:name="_Toc106092011"/>
      <w:bookmarkStart w:id="201" w:name="_Toc106098715"/>
      <w:r>
        <w:rPr>
          <w:rStyle w:val="CharPartNo"/>
        </w:rPr>
        <w:lastRenderedPageBreak/>
        <w:t>Part 14</w:t>
      </w:r>
      <w:r>
        <w:t> — </w:t>
      </w:r>
      <w:r>
        <w:rPr>
          <w:rStyle w:val="CharPartText"/>
        </w:rPr>
        <w:t>Repeals and transitional matters</w:t>
      </w:r>
      <w:bookmarkEnd w:id="191"/>
      <w:bookmarkEnd w:id="192"/>
      <w:bookmarkEnd w:id="193"/>
      <w:bookmarkEnd w:id="194"/>
      <w:bookmarkEnd w:id="195"/>
      <w:bookmarkEnd w:id="196"/>
      <w:bookmarkEnd w:id="197"/>
      <w:bookmarkEnd w:id="198"/>
      <w:bookmarkEnd w:id="199"/>
      <w:bookmarkEnd w:id="200"/>
      <w:bookmarkEnd w:id="201"/>
    </w:p>
    <w:p>
      <w:pPr>
        <w:pStyle w:val="Ednotedivision"/>
      </w:pPr>
      <w:bookmarkStart w:id="202" w:name="_Toc91144158"/>
      <w:bookmarkStart w:id="203" w:name="_Toc91144616"/>
      <w:bookmarkStart w:id="204" w:name="_Toc91145074"/>
      <w:bookmarkStart w:id="205" w:name="_Toc91153902"/>
      <w:bookmarkStart w:id="206" w:name="_Toc91154335"/>
      <w:r>
        <w:t>[Division 1 has not come into operation.]</w:t>
      </w:r>
    </w:p>
    <w:p>
      <w:pPr>
        <w:pStyle w:val="Heading3"/>
      </w:pPr>
      <w:bookmarkStart w:id="207" w:name="_Toc105756914"/>
      <w:bookmarkStart w:id="208" w:name="_Toc105757078"/>
      <w:bookmarkStart w:id="209" w:name="_Toc105763359"/>
      <w:bookmarkStart w:id="210" w:name="_Toc105763456"/>
      <w:bookmarkStart w:id="211" w:name="_Toc106092012"/>
      <w:bookmarkStart w:id="212" w:name="_Toc106098716"/>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202"/>
      <w:bookmarkEnd w:id="203"/>
      <w:bookmarkEnd w:id="204"/>
      <w:bookmarkEnd w:id="205"/>
      <w:bookmarkEnd w:id="206"/>
      <w:bookmarkEnd w:id="207"/>
      <w:bookmarkEnd w:id="208"/>
      <w:bookmarkEnd w:id="209"/>
      <w:bookmarkEnd w:id="210"/>
      <w:bookmarkEnd w:id="211"/>
      <w:bookmarkEnd w:id="212"/>
    </w:p>
    <w:p>
      <w:pPr>
        <w:pStyle w:val="Heading4"/>
      </w:pPr>
      <w:bookmarkStart w:id="213" w:name="_Toc91144159"/>
      <w:bookmarkStart w:id="214" w:name="_Toc91144617"/>
      <w:bookmarkStart w:id="215" w:name="_Toc91145075"/>
      <w:bookmarkStart w:id="216" w:name="_Toc91153903"/>
      <w:bookmarkStart w:id="217" w:name="_Toc91154336"/>
      <w:bookmarkStart w:id="218" w:name="_Toc105756915"/>
      <w:bookmarkStart w:id="219" w:name="_Toc105757079"/>
      <w:bookmarkStart w:id="220" w:name="_Toc105763360"/>
      <w:bookmarkStart w:id="221" w:name="_Toc105763457"/>
      <w:bookmarkStart w:id="222" w:name="_Toc106092013"/>
      <w:bookmarkStart w:id="223" w:name="_Toc106098717"/>
      <w:r>
        <w:t>Subdivision 1 — Interpretation</w:t>
      </w:r>
      <w:bookmarkEnd w:id="213"/>
      <w:bookmarkEnd w:id="214"/>
      <w:bookmarkEnd w:id="215"/>
      <w:bookmarkEnd w:id="216"/>
      <w:bookmarkEnd w:id="217"/>
      <w:bookmarkEnd w:id="218"/>
      <w:bookmarkEnd w:id="219"/>
      <w:bookmarkEnd w:id="220"/>
      <w:bookmarkEnd w:id="221"/>
      <w:bookmarkEnd w:id="222"/>
      <w:bookmarkEnd w:id="223"/>
    </w:p>
    <w:p>
      <w:pPr>
        <w:pStyle w:val="Heading5"/>
      </w:pPr>
      <w:bookmarkStart w:id="224" w:name="_Toc91154337"/>
      <w:bookmarkStart w:id="225" w:name="_Toc106098718"/>
      <w:r>
        <w:rPr>
          <w:rStyle w:val="CharSectno"/>
        </w:rPr>
        <w:t>313</w:t>
      </w:r>
      <w:r>
        <w:t>.</w:t>
      </w:r>
      <w:r>
        <w:tab/>
        <w:t>Terms used</w:t>
      </w:r>
      <w:bookmarkEnd w:id="224"/>
      <w:bookmarkEnd w:id="225"/>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Ednotesubdivision"/>
      </w:pPr>
      <w:r>
        <w:t>[Subdivisions 2</w:t>
      </w:r>
      <w:r>
        <w:noBreakHyphen/>
        <w:t>5 have not come into operation.]</w:t>
      </w:r>
    </w:p>
    <w:p>
      <w:pPr>
        <w:pStyle w:val="Heading2"/>
      </w:pPr>
      <w:bookmarkStart w:id="226" w:name="_Toc105756917"/>
      <w:bookmarkStart w:id="227" w:name="_Toc105757081"/>
      <w:bookmarkStart w:id="228" w:name="_Toc105763362"/>
      <w:bookmarkStart w:id="229" w:name="_Toc105763459"/>
      <w:bookmarkStart w:id="230" w:name="_Toc106092015"/>
      <w:bookmarkStart w:id="231" w:name="_Toc106098719"/>
      <w:r>
        <w:rPr>
          <w:rStyle w:val="CharPartNo"/>
        </w:rPr>
        <w:lastRenderedPageBreak/>
        <w:t>Part 15</w:t>
      </w:r>
      <w:r>
        <w:t> — </w:t>
      </w:r>
      <w:r>
        <w:rPr>
          <w:rStyle w:val="CharPartText"/>
          <w:i/>
        </w:rPr>
        <w:t>Aboriginal Heritage Act 1972</w:t>
      </w:r>
      <w:r>
        <w:rPr>
          <w:rStyle w:val="CharPartText"/>
        </w:rPr>
        <w:t xml:space="preserve"> amended</w:t>
      </w:r>
      <w:bookmarkEnd w:id="226"/>
      <w:bookmarkEnd w:id="227"/>
      <w:bookmarkEnd w:id="228"/>
      <w:bookmarkEnd w:id="229"/>
      <w:bookmarkEnd w:id="230"/>
      <w:bookmarkEnd w:id="231"/>
    </w:p>
    <w:p>
      <w:pPr>
        <w:pStyle w:val="Heading3"/>
      </w:pPr>
      <w:bookmarkStart w:id="232" w:name="_Toc105756918"/>
      <w:bookmarkStart w:id="233" w:name="_Toc105757082"/>
      <w:bookmarkStart w:id="234" w:name="_Toc105763363"/>
      <w:bookmarkStart w:id="235" w:name="_Toc105763460"/>
      <w:bookmarkStart w:id="236" w:name="_Toc106092016"/>
      <w:bookmarkStart w:id="237" w:name="_Toc106098720"/>
      <w:r>
        <w:rPr>
          <w:rStyle w:val="CharDivNo"/>
        </w:rPr>
        <w:t>Division 1</w:t>
      </w:r>
      <w:r>
        <w:t> — </w:t>
      </w:r>
      <w:r>
        <w:rPr>
          <w:rStyle w:val="CharDivText"/>
        </w:rPr>
        <w:t>Act amended</w:t>
      </w:r>
      <w:bookmarkEnd w:id="232"/>
      <w:bookmarkEnd w:id="233"/>
      <w:bookmarkEnd w:id="234"/>
      <w:bookmarkEnd w:id="235"/>
      <w:bookmarkEnd w:id="236"/>
      <w:bookmarkEnd w:id="237"/>
    </w:p>
    <w:p>
      <w:pPr>
        <w:pStyle w:val="Heading5"/>
        <w:spacing w:before="200"/>
      </w:pPr>
      <w:bookmarkStart w:id="238" w:name="_Toc106098721"/>
      <w:r>
        <w:rPr>
          <w:rStyle w:val="CharSectno"/>
        </w:rPr>
        <w:t>338</w:t>
      </w:r>
      <w:r>
        <w:t>.</w:t>
      </w:r>
      <w:r>
        <w:tab/>
      </w:r>
      <w:r>
        <w:rPr>
          <w:i/>
        </w:rPr>
        <w:t>Aboriginal Heritage Act 1972</w:t>
      </w:r>
      <w:r>
        <w:t xml:space="preserve"> amended</w:t>
      </w:r>
      <w:bookmarkEnd w:id="238"/>
    </w:p>
    <w:p>
      <w:pPr>
        <w:pStyle w:val="Subsection"/>
        <w:spacing w:before="120"/>
      </w:pPr>
      <w:r>
        <w:tab/>
      </w:r>
      <w:r>
        <w:tab/>
        <w:t xml:space="preserve">This Part amends the </w:t>
      </w:r>
      <w:r>
        <w:rPr>
          <w:i/>
        </w:rPr>
        <w:t>Aboriginal Heritage Act 1972</w:t>
      </w:r>
      <w:r>
        <w:t>.</w:t>
      </w:r>
    </w:p>
    <w:p>
      <w:pPr>
        <w:pStyle w:val="Heading3"/>
      </w:pPr>
      <w:bookmarkStart w:id="239" w:name="_Toc105756920"/>
      <w:bookmarkStart w:id="240" w:name="_Toc105757084"/>
      <w:bookmarkStart w:id="241" w:name="_Toc105763365"/>
      <w:bookmarkStart w:id="242" w:name="_Toc105763462"/>
      <w:bookmarkStart w:id="243" w:name="_Toc106092018"/>
      <w:bookmarkStart w:id="244" w:name="_Toc106098722"/>
      <w:r>
        <w:rPr>
          <w:rStyle w:val="CharDivNo"/>
        </w:rPr>
        <w:t>Division 2</w:t>
      </w:r>
      <w:r>
        <w:t> — </w:t>
      </w:r>
      <w:r>
        <w:rPr>
          <w:rStyle w:val="CharDivText"/>
        </w:rPr>
        <w:t>Amendments commencing on day after assent day</w:t>
      </w:r>
      <w:bookmarkEnd w:id="239"/>
      <w:bookmarkEnd w:id="240"/>
      <w:bookmarkEnd w:id="241"/>
      <w:bookmarkEnd w:id="242"/>
      <w:bookmarkEnd w:id="243"/>
      <w:bookmarkEnd w:id="244"/>
    </w:p>
    <w:p>
      <w:pPr>
        <w:pStyle w:val="Heading5"/>
        <w:spacing w:before="200"/>
      </w:pPr>
      <w:bookmarkStart w:id="245" w:name="_Toc106098723"/>
      <w:r>
        <w:rPr>
          <w:rStyle w:val="CharSectno"/>
        </w:rPr>
        <w:t>339</w:t>
      </w:r>
      <w:r>
        <w:t>.</w:t>
      </w:r>
      <w:r>
        <w:tab/>
        <w:t>Section 4 amended</w:t>
      </w:r>
      <w:bookmarkEnd w:id="245"/>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246" w:name="_Toc106098724"/>
      <w:r>
        <w:rPr>
          <w:rStyle w:val="CharSectno"/>
        </w:rPr>
        <w:t>340</w:t>
      </w:r>
      <w:r>
        <w:t>.</w:t>
      </w:r>
      <w:r>
        <w:tab/>
        <w:t>Section 18 amended</w:t>
      </w:r>
      <w:bookmarkEnd w:id="246"/>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lastRenderedPageBreak/>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w:t>
      </w:r>
      <w:r>
        <w:tab/>
        <w:t>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5"/>
          <w:headerReference w:type="default" r:id="rId26"/>
          <w:endnotePr>
            <w:numFmt w:val="decimal"/>
          </w:endnotePr>
          <w:pgSz w:w="11907" w:h="16840" w:code="9"/>
          <w:pgMar w:top="2381" w:right="2410" w:bottom="3544" w:left="2410" w:header="720" w:footer="3544" w:gutter="0"/>
          <w:cols w:space="720"/>
          <w:docGrid w:linePitch="326"/>
        </w:sectPr>
      </w:pPr>
    </w:p>
    <w:p>
      <w:pPr>
        <w:pStyle w:val="nHeading2"/>
      </w:pPr>
      <w:bookmarkStart w:id="247" w:name="_Toc105756923"/>
      <w:bookmarkStart w:id="248" w:name="_Toc105757087"/>
      <w:bookmarkStart w:id="249" w:name="_Toc105763368"/>
      <w:bookmarkStart w:id="250" w:name="_Toc105763465"/>
      <w:bookmarkStart w:id="251" w:name="_Toc106092021"/>
      <w:bookmarkStart w:id="252" w:name="_Toc106098725"/>
      <w:r>
        <w:lastRenderedPageBreak/>
        <w:t>Notes</w:t>
      </w:r>
      <w:bookmarkEnd w:id="247"/>
      <w:bookmarkEnd w:id="248"/>
      <w:bookmarkEnd w:id="249"/>
      <w:bookmarkEnd w:id="250"/>
      <w:bookmarkEnd w:id="251"/>
      <w:bookmarkEnd w:id="252"/>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253" w:name="_Toc106098726"/>
      <w:r>
        <w:t>Compilation table</w:t>
      </w:r>
      <w:bookmarkEnd w:id="253"/>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Pt. 6 Div. 1 (s. 100 only), Pt. 13 Div. 2 (s. 282 only), Div. 3 Subdiv. 1 and Div. 4 (s. 308 only), Pt. 14 Div. 2 Subdiv. 1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254" w:name="_Toc106098727"/>
      <w:r>
        <w:t>Uncommenced provisions table</w:t>
      </w:r>
      <w:bookmarkEnd w:id="254"/>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single" w:sz="4" w:space="0" w:color="auto"/>
            </w:tcBorders>
          </w:tcPr>
          <w:p>
            <w:pPr>
              <w:pStyle w:val="nTable"/>
              <w:spacing w:after="40"/>
            </w:pPr>
            <w:r>
              <w:rPr>
                <w:i/>
                <w:noProof/>
              </w:rPr>
              <w:t>Aboriginal Cultural Heritage Act 2021</w:t>
            </w:r>
            <w:r>
              <w:rPr>
                <w:noProof/>
              </w:rPr>
              <w:t xml:space="preserve"> Pt. 2 Div. 2 and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1 and Div. 2 Subdiv. 2</w:t>
            </w:r>
            <w:r>
              <w:rPr>
                <w:noProof/>
              </w:rPr>
              <w:noBreakHyphen/>
              <w:t>5, Pt. 15 Div. 3 and Pt. 16</w:t>
            </w:r>
          </w:p>
        </w:tc>
        <w:tc>
          <w:tcPr>
            <w:tcW w:w="1134" w:type="dxa"/>
            <w:tcBorders>
              <w:bottom w:val="single" w:sz="4" w:space="0" w:color="auto"/>
            </w:tcBorders>
          </w:tcPr>
          <w:p>
            <w:pPr>
              <w:pStyle w:val="nTable"/>
              <w:spacing w:after="40"/>
            </w:pPr>
            <w:r>
              <w:t>27 of 2021</w:t>
            </w:r>
          </w:p>
        </w:tc>
        <w:tc>
          <w:tcPr>
            <w:tcW w:w="1134" w:type="dxa"/>
            <w:tcBorders>
              <w:bottom w:val="single" w:sz="4" w:space="0" w:color="auto"/>
            </w:tcBorders>
          </w:tcPr>
          <w:p>
            <w:pPr>
              <w:pStyle w:val="nTable"/>
              <w:spacing w:after="40"/>
            </w:pPr>
            <w:r>
              <w:t>22 Dec 2021</w:t>
            </w:r>
          </w:p>
        </w:tc>
        <w:tc>
          <w:tcPr>
            <w:tcW w:w="2552" w:type="dxa"/>
            <w:tcBorders>
              <w:bottom w:val="single" w:sz="4" w:space="0" w:color="auto"/>
            </w:tcBorders>
          </w:tcPr>
          <w:p>
            <w:pPr>
              <w:pStyle w:val="nTable"/>
              <w:spacing w:after="40"/>
            </w:pPr>
            <w:r>
              <w:rPr>
                <w:noProof/>
              </w:rPr>
              <w:t>Pt. 2 Div. 2 and 3, Pt. 3</w:t>
            </w:r>
            <w:r>
              <w:rPr>
                <w:noProof/>
              </w:rPr>
              <w:noBreakHyphen/>
              <w:t>5, s. 101, Pt. 6 Div. 2</w:t>
            </w:r>
            <w:r>
              <w:rPr>
                <w:noProof/>
              </w:rPr>
              <w:noBreakHyphen/>
              <w:t>6, Pt. 7</w:t>
            </w:r>
            <w:r>
              <w:rPr>
                <w:noProof/>
              </w:rPr>
              <w:noBreakHyphen/>
              <w:t>12, Pt. 13 Div. 1, s. 283</w:t>
            </w:r>
            <w:r>
              <w:rPr>
                <w:noProof/>
              </w:rPr>
              <w:noBreakHyphen/>
              <w:t>286, Pt. 13 Div. 3 Subdiv. 2, s. 300</w:t>
            </w:r>
            <w:r>
              <w:rPr>
                <w:noProof/>
              </w:rPr>
              <w:noBreakHyphen/>
              <w:t>307 and 309, Pt. 14 Div. 2 Subdiv. 2</w:t>
            </w:r>
            <w:r>
              <w:rPr>
                <w:noProof/>
              </w:rPr>
              <w:noBreakHyphen/>
              <w:t>5, Pt. 15 Div. 3 and Pt. 16: t</w:t>
            </w:r>
            <w:r>
              <w:t>o be proclaimed (see s. 2 (e));</w:t>
            </w:r>
            <w:r>
              <w:br/>
              <w:t xml:space="preserve">Pt. 14 Div. 1 (other than s. 310 and 311): on the day on which </w:t>
            </w:r>
            <w:r>
              <w:lastRenderedPageBreak/>
              <w:t>Pt. 15 Div. 3 comes into operation (see s. 2(c));</w:t>
            </w:r>
            <w:r>
              <w:br/>
              <w:t>s. 310 and 311: 6 months after Pt. 15 Div. 3 comes into operation (see s. 2(d))</w:t>
            </w:r>
          </w:p>
        </w:tc>
      </w:tr>
    </w:tbl>
    <w:p/>
    <w:p>
      <w:pPr>
        <w:sectPr>
          <w:headerReference w:type="even" r:id="rId27"/>
          <w:headerReference w:type="default" r:id="rId28"/>
          <w:pgSz w:w="11907" w:h="16840" w:code="9"/>
          <w:pgMar w:top="2376" w:right="2405" w:bottom="3542" w:left="2405" w:header="706" w:footer="3380" w:gutter="0"/>
          <w:cols w:space="720"/>
          <w:noEndnote/>
          <w:docGrid w:linePitch="326"/>
        </w:sectPr>
      </w:pPr>
    </w:p>
    <w:p>
      <w:pPr>
        <w:pStyle w:val="nHeading2"/>
        <w:rPr>
          <w:sz w:val="28"/>
        </w:rPr>
      </w:pPr>
      <w:bookmarkStart w:id="256" w:name="_Toc106092024"/>
      <w:bookmarkStart w:id="257" w:name="_Toc106098728"/>
      <w:r>
        <w:rPr>
          <w:sz w:val="28"/>
        </w:rPr>
        <w:lastRenderedPageBreak/>
        <w:t>Defined terms</w:t>
      </w:r>
      <w:bookmarkEnd w:id="256"/>
      <w:bookmarkEnd w:id="25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ancestral remains</w:t>
      </w:r>
      <w:r>
        <w:tab/>
        <w:t>11, 12</w:t>
      </w:r>
    </w:p>
    <w:p>
      <w:pPr>
        <w:pStyle w:val="DefinedTerms"/>
      </w:pPr>
      <w:r>
        <w:t>Aboriginal cultural heritage</w:t>
      </w:r>
      <w:r>
        <w:tab/>
        <w:t>11, 12</w:t>
      </w:r>
    </w:p>
    <w:p>
      <w:pPr>
        <w:pStyle w:val="DefinedTerms"/>
      </w:pPr>
      <w:r>
        <w:t>Aboriginal inspector</w:t>
      </w:r>
      <w:r>
        <w:tab/>
        <w:t>11</w:t>
      </w:r>
    </w:p>
    <w:p>
      <w:pPr>
        <w:pStyle w:val="DefinedTerms"/>
      </w:pPr>
      <w:r>
        <w:t>Aboriginal object</w:t>
      </w:r>
      <w:r>
        <w:tab/>
        <w:t>11, 12</w:t>
      </w:r>
    </w:p>
    <w:p>
      <w:pPr>
        <w:pStyle w:val="DefinedTerms"/>
      </w:pPr>
      <w:r>
        <w:t>Aboriginal party</w:t>
      </w:r>
      <w:r>
        <w:tab/>
        <w:t>100</w:t>
      </w:r>
    </w:p>
    <w:p>
      <w:pPr>
        <w:pStyle w:val="DefinedTerms"/>
      </w:pPr>
      <w:r>
        <w:t>Aboriginal person</w:t>
      </w:r>
      <w:r>
        <w:tab/>
        <w:t>11</w:t>
      </w:r>
    </w:p>
    <w:p>
      <w:pPr>
        <w:pStyle w:val="DefinedTerms"/>
      </w:pPr>
      <w:r>
        <w:t>Aboriginal place</w:t>
      </w:r>
      <w:r>
        <w:tab/>
        <w:t>11, 12</w:t>
      </w:r>
    </w:p>
    <w:p>
      <w:pPr>
        <w:pStyle w:val="DefinedTerms"/>
      </w:pPr>
      <w:r>
        <w:t>Aboriginal tradition</w:t>
      </w:r>
      <w:r>
        <w:tab/>
        <w:t>11</w:t>
      </w:r>
    </w:p>
    <w:p>
      <w:pPr>
        <w:pStyle w:val="DefinedTerms"/>
      </w:pPr>
      <w:r>
        <w:t>ACH Council</w:t>
      </w:r>
      <w:r>
        <w:tab/>
        <w:t>11</w:t>
      </w:r>
    </w:p>
    <w:p>
      <w:pPr>
        <w:pStyle w:val="DefinedTerms"/>
      </w:pPr>
      <w:r>
        <w:t>ACH Directory</w:t>
      </w:r>
      <w:r>
        <w:tab/>
        <w:t>11</w:t>
      </w:r>
    </w:p>
    <w:p>
      <w:pPr>
        <w:pStyle w:val="DefinedTerms"/>
      </w:pPr>
      <w:r>
        <w:t>ACH impact statement</w:t>
      </w:r>
      <w:r>
        <w:tab/>
        <w:t>11, 100</w:t>
      </w:r>
    </w:p>
    <w:p>
      <w:pPr>
        <w:pStyle w:val="DefinedTerms"/>
      </w:pPr>
      <w:r>
        <w:t>ACH Management Code</w:t>
      </w:r>
      <w:r>
        <w:tab/>
        <w:t>100</w:t>
      </w:r>
    </w:p>
    <w:p>
      <w:pPr>
        <w:pStyle w:val="DefinedTerms"/>
      </w:pPr>
      <w:r>
        <w:t>ACH management plan</w:t>
      </w:r>
      <w:r>
        <w:tab/>
        <w:t>11, 100</w:t>
      </w:r>
    </w:p>
    <w:p>
      <w:pPr>
        <w:pStyle w:val="DefinedTerms"/>
      </w:pPr>
      <w:r>
        <w:t>ACH permit</w:t>
      </w:r>
      <w:r>
        <w:tab/>
        <w:t>11, 100</w:t>
      </w:r>
    </w:p>
    <w:p>
      <w:pPr>
        <w:pStyle w:val="DefinedTerms"/>
      </w:pPr>
      <w:r>
        <w:t>ACH protection agreement</w:t>
      </w:r>
      <w:r>
        <w:tab/>
        <w:t>11</w:t>
      </w:r>
    </w:p>
    <w:p>
      <w:pPr>
        <w:pStyle w:val="DefinedTerms"/>
      </w:pPr>
      <w:r>
        <w:t>ACMC</w:t>
      </w:r>
      <w:r>
        <w:tab/>
        <w:t>313</w:t>
      </w:r>
    </w:p>
    <w:p>
      <w:pPr>
        <w:pStyle w:val="DefinedTerms"/>
      </w:pPr>
      <w:r>
        <w:t>affect</w:t>
      </w:r>
      <w:r>
        <w:tab/>
        <w:t>16(1)</w:t>
      </w:r>
    </w:p>
    <w:p>
      <w:pPr>
        <w:pStyle w:val="DefinedTerms"/>
      </w:pPr>
      <w:r>
        <w:t>AH Act</w:t>
      </w:r>
      <w:r>
        <w:tab/>
        <w:t>313</w:t>
      </w:r>
    </w:p>
    <w:p>
      <w:pPr>
        <w:pStyle w:val="DefinedTerms"/>
      </w:pPr>
      <w:r>
        <w:t>AH Act section 18 consent</w:t>
      </w:r>
      <w:r>
        <w:tab/>
        <w:t>313</w:t>
      </w:r>
    </w:p>
    <w:p>
      <w:pPr>
        <w:pStyle w:val="DefinedTerms"/>
      </w:pPr>
      <w:r>
        <w:t>approved form</w:t>
      </w:r>
      <w:r>
        <w:tab/>
        <w:t>11</w:t>
      </w:r>
    </w:p>
    <w:p>
      <w:pPr>
        <w:pStyle w:val="DefinedTerms"/>
      </w:pPr>
      <w:r>
        <w:t>approved or authorised ACH management plan</w:t>
      </w:r>
      <w:r>
        <w:tab/>
        <w:t>11</w:t>
      </w:r>
    </w:p>
    <w:p>
      <w:pPr>
        <w:pStyle w:val="DefinedTerms"/>
      </w:pPr>
      <w:r>
        <w:t>area</w:t>
      </w:r>
      <w:r>
        <w:tab/>
        <w:t>11</w:t>
      </w:r>
    </w:p>
    <w:p>
      <w:pPr>
        <w:pStyle w:val="DefinedTerms"/>
      </w:pPr>
      <w:r>
        <w:t>assent day</w:t>
      </w:r>
      <w:r>
        <w:tab/>
        <w:t>2, 11</w:t>
      </w:r>
    </w:p>
    <w:p>
      <w:pPr>
        <w:pStyle w:val="DefinedTerms"/>
      </w:pPr>
      <w:r>
        <w:t>CATSI Act</w:t>
      </w:r>
      <w:r>
        <w:tab/>
        <w:t>19</w:t>
      </w:r>
    </w:p>
    <w:p>
      <w:pPr>
        <w:pStyle w:val="DefinedTerms"/>
      </w:pPr>
      <w:r>
        <w:t>CATSI Act corporation</w:t>
      </w:r>
      <w:r>
        <w:tab/>
        <w:t>11, 19</w:t>
      </w:r>
    </w:p>
    <w:p>
      <w:pPr>
        <w:pStyle w:val="DefinedTerms"/>
      </w:pPr>
      <w:r>
        <w:t>CEO</w:t>
      </w:r>
      <w:r>
        <w:tab/>
        <w:t>11</w:t>
      </w:r>
    </w:p>
    <w:p>
      <w:pPr>
        <w:pStyle w:val="DefinedTerms"/>
      </w:pPr>
      <w:r>
        <w:t>committee</w:t>
      </w:r>
      <w:r>
        <w:tab/>
        <w:t>19</w:t>
      </w:r>
    </w:p>
    <w:p>
      <w:pPr>
        <w:pStyle w:val="DefinedTerms"/>
      </w:pPr>
      <w:r>
        <w:t>consult</w:t>
      </w:r>
      <w:r>
        <w:tab/>
        <w:t>11, 100</w:t>
      </w:r>
    </w:p>
    <w:p>
      <w:pPr>
        <w:pStyle w:val="DefinedTerms"/>
      </w:pPr>
      <w:r>
        <w:t>consultation guidelines</w:t>
      </w:r>
      <w:r>
        <w:tab/>
        <w:t>11</w:t>
      </w:r>
    </w:p>
    <w:p>
      <w:pPr>
        <w:pStyle w:val="DefinedTerms"/>
      </w:pPr>
      <w:r>
        <w:t>Corporations Act corporation</w:t>
      </w:r>
      <w:r>
        <w:tab/>
        <w:t>11, 19</w:t>
      </w:r>
    </w:p>
    <w:p>
      <w:pPr>
        <w:pStyle w:val="DefinedTerms"/>
      </w:pPr>
      <w:r>
        <w:t>Crown land</w:t>
      </w:r>
      <w:r>
        <w:tab/>
        <w:t>11</w:t>
      </w:r>
    </w:p>
    <w:p>
      <w:pPr>
        <w:pStyle w:val="DefinedTerms"/>
      </w:pPr>
      <w:r>
        <w:t>cultural landscape</w:t>
      </w:r>
      <w:r>
        <w:tab/>
        <w:t>11, 12</w:t>
      </w:r>
    </w:p>
    <w:p>
      <w:pPr>
        <w:pStyle w:val="DefinedTerms"/>
      </w:pPr>
      <w:r>
        <w:t>culturally sensitive information</w:t>
      </w:r>
      <w:r>
        <w:tab/>
        <w:t>11</w:t>
      </w:r>
    </w:p>
    <w:p>
      <w:pPr>
        <w:pStyle w:val="DefinedTerms"/>
      </w:pPr>
      <w:r>
        <w:t>Department</w:t>
      </w:r>
      <w:r>
        <w:tab/>
        <w:t>11</w:t>
      </w:r>
    </w:p>
    <w:p>
      <w:pPr>
        <w:pStyle w:val="DefinedTerms"/>
      </w:pPr>
      <w:r>
        <w:t>due diligence assessment</w:t>
      </w:r>
      <w:r>
        <w:tab/>
        <w:t>11</w:t>
      </w:r>
    </w:p>
    <w:p>
      <w:pPr>
        <w:pStyle w:val="DefinedTerms"/>
      </w:pPr>
      <w:r>
        <w:t>electronic means</w:t>
      </w:r>
      <w:r>
        <w:tab/>
        <w:t>11</w:t>
      </w:r>
    </w:p>
    <w:p>
      <w:pPr>
        <w:pStyle w:val="DefinedTerms"/>
      </w:pPr>
      <w:r>
        <w:t>exempt activity</w:t>
      </w:r>
      <w:r>
        <w:tab/>
        <w:t>100</w:t>
      </w:r>
    </w:p>
    <w:p>
      <w:pPr>
        <w:pStyle w:val="DefinedTerms"/>
      </w:pPr>
      <w:r>
        <w:t>fee</w:t>
      </w:r>
      <w:r>
        <w:tab/>
        <w:t>292(1)</w:t>
      </w:r>
    </w:p>
    <w:p>
      <w:pPr>
        <w:pStyle w:val="DefinedTerms"/>
      </w:pPr>
      <w:r>
        <w:t>financial matters</w:t>
      </w:r>
      <w:r>
        <w:tab/>
        <w:t>288(1)</w:t>
      </w:r>
    </w:p>
    <w:p>
      <w:pPr>
        <w:pStyle w:val="DefinedTerms"/>
      </w:pPr>
      <w:r>
        <w:t>FOI Act</w:t>
      </w:r>
      <w:r>
        <w:tab/>
        <w:t>18</w:t>
      </w:r>
    </w:p>
    <w:p>
      <w:pPr>
        <w:pStyle w:val="DefinedTerms"/>
      </w:pPr>
      <w:r>
        <w:lastRenderedPageBreak/>
        <w:t>guidelines</w:t>
      </w:r>
      <w:r>
        <w:tab/>
        <w:t>11</w:t>
      </w:r>
    </w:p>
    <w:p>
      <w:pPr>
        <w:pStyle w:val="DefinedTerms"/>
      </w:pPr>
      <w:r>
        <w:t>harm</w:t>
      </w:r>
      <w:r>
        <w:tab/>
        <w:t>11</w:t>
      </w:r>
    </w:p>
    <w:p>
      <w:pPr>
        <w:pStyle w:val="DefinedTerms"/>
      </w:pPr>
      <w:r>
        <w:t>historical AH Act section 18 consent</w:t>
      </w:r>
      <w:r>
        <w:tab/>
        <w:t>313</w:t>
      </w:r>
    </w:p>
    <w:p>
      <w:pPr>
        <w:pStyle w:val="DefinedTerms"/>
      </w:pPr>
      <w:r>
        <w:t>ILUA</w:t>
      </w:r>
      <w:r>
        <w:tab/>
        <w:t>11</w:t>
      </w:r>
    </w:p>
    <w:p>
      <w:pPr>
        <w:pStyle w:val="DefinedTerms"/>
      </w:pPr>
      <w:r>
        <w:t>informed consent</w:t>
      </w:r>
      <w:r>
        <w:tab/>
        <w:t>100</w:t>
      </w:r>
    </w:p>
    <w:p>
      <w:pPr>
        <w:pStyle w:val="DefinedTerms"/>
      </w:pPr>
      <w:r>
        <w:t>inspector</w:t>
      </w:r>
      <w:r>
        <w:tab/>
        <w:t>11</w:t>
      </w:r>
    </w:p>
    <w:p>
      <w:pPr>
        <w:pStyle w:val="DefinedTerms"/>
      </w:pPr>
      <w:r>
        <w:t>instrument</w:t>
      </w:r>
      <w:r>
        <w:tab/>
        <w:t>11</w:t>
      </w:r>
    </w:p>
    <w:p>
      <w:pPr>
        <w:pStyle w:val="DefinedTerms"/>
      </w:pPr>
      <w:r>
        <w:t>interested Aboriginal party</w:t>
      </w:r>
      <w:r>
        <w:tab/>
        <w:t>100</w:t>
      </w:r>
    </w:p>
    <w:p>
      <w:pPr>
        <w:pStyle w:val="DefinedTerms"/>
      </w:pPr>
      <w:r>
        <w:t>in the interests of the State</w:t>
      </w:r>
      <w:r>
        <w:tab/>
        <w:t>11</w:t>
      </w:r>
    </w:p>
    <w:p>
      <w:pPr>
        <w:pStyle w:val="DefinedTerms"/>
      </w:pPr>
      <w:r>
        <w:t>knowledge holder</w:t>
      </w:r>
      <w:r>
        <w:tab/>
        <w:t>11</w:t>
      </w:r>
    </w:p>
    <w:p>
      <w:pPr>
        <w:pStyle w:val="DefinedTerms"/>
      </w:pPr>
      <w:r>
        <w:t>knowledge holder guidelines</w:t>
      </w:r>
      <w:r>
        <w:tab/>
        <w:t>11</w:t>
      </w:r>
    </w:p>
    <w:p>
      <w:pPr>
        <w:pStyle w:val="DefinedTerms"/>
      </w:pPr>
      <w:r>
        <w:t>land</w:t>
      </w:r>
      <w:r>
        <w:tab/>
        <w:t>11</w:t>
      </w:r>
    </w:p>
    <w:p>
      <w:pPr>
        <w:pStyle w:val="DefinedTerms"/>
      </w:pPr>
      <w:r>
        <w:t>landholder</w:t>
      </w:r>
      <w:r>
        <w:tab/>
        <w:t>11</w:t>
      </w:r>
    </w:p>
    <w:p>
      <w:pPr>
        <w:pStyle w:val="DefinedTerms"/>
      </w:pPr>
      <w:r>
        <w:t>local ACH service</w:t>
      </w:r>
      <w:r>
        <w:tab/>
        <w:t>11</w:t>
      </w:r>
    </w:p>
    <w:p>
      <w:pPr>
        <w:pStyle w:val="DefinedTerms"/>
      </w:pPr>
      <w:r>
        <w:t>local ACH service (fees) guidelines</w:t>
      </w:r>
      <w:r>
        <w:tab/>
        <w:t>11</w:t>
      </w:r>
    </w:p>
    <w:p>
      <w:pPr>
        <w:pStyle w:val="DefinedTerms"/>
      </w:pPr>
      <w:r>
        <w:t>local ACH service functions</w:t>
      </w:r>
      <w:r>
        <w:tab/>
        <w:t>11, 19</w:t>
      </w:r>
    </w:p>
    <w:p>
      <w:pPr>
        <w:pStyle w:val="DefinedTerms"/>
      </w:pPr>
      <w:r>
        <w:t>located</w:t>
      </w:r>
      <w:r>
        <w:tab/>
        <w:t>11, 13</w:t>
      </w:r>
    </w:p>
    <w:p>
      <w:pPr>
        <w:pStyle w:val="DefinedTerms"/>
      </w:pPr>
      <w:r>
        <w:t>material</w:t>
      </w:r>
      <w:r>
        <w:tab/>
        <w:t>11</w:t>
      </w:r>
    </w:p>
    <w:p>
      <w:pPr>
        <w:pStyle w:val="DefinedTerms"/>
      </w:pPr>
      <w:r>
        <w:t>member</w:t>
      </w:r>
      <w:r>
        <w:tab/>
        <w:t>19</w:t>
      </w:r>
    </w:p>
    <w:p>
      <w:pPr>
        <w:pStyle w:val="DefinedTerms"/>
      </w:pPr>
      <w:r>
        <w:t>Native Title Act</w:t>
      </w:r>
      <w:r>
        <w:tab/>
        <w:t>11</w:t>
      </w:r>
    </w:p>
    <w:p>
      <w:pPr>
        <w:pStyle w:val="DefinedTerms"/>
      </w:pPr>
      <w:r>
        <w:t>native title party</w:t>
      </w:r>
      <w:r>
        <w:tab/>
        <w:t>11</w:t>
      </w:r>
    </w:p>
    <w:p>
      <w:pPr>
        <w:pStyle w:val="DefinedTerms"/>
      </w:pPr>
      <w:r>
        <w:t>native title representative body</w:t>
      </w:r>
      <w:r>
        <w:tab/>
        <w:t>11</w:t>
      </w:r>
    </w:p>
    <w:p>
      <w:pPr>
        <w:pStyle w:val="DefinedTerms"/>
      </w:pPr>
      <w:r>
        <w:t>native title rights and interests</w:t>
      </w:r>
      <w:r>
        <w:tab/>
        <w:t>11</w:t>
      </w:r>
    </w:p>
    <w:p>
      <w:pPr>
        <w:pStyle w:val="DefinedTerms"/>
      </w:pPr>
      <w:r>
        <w:t>new information about Aboriginal cultural heritage</w:t>
      </w:r>
      <w:r>
        <w:tab/>
        <w:t>11</w:t>
      </w:r>
    </w:p>
    <w:p>
      <w:pPr>
        <w:pStyle w:val="DefinedTerms"/>
      </w:pPr>
      <w:r>
        <w:t>occupier</w:t>
      </w:r>
      <w:r>
        <w:tab/>
        <w:t>11</w:t>
      </w:r>
    </w:p>
    <w:p>
      <w:pPr>
        <w:pStyle w:val="DefinedTerms"/>
      </w:pPr>
      <w:r>
        <w:t>outstanding significance</w:t>
      </w:r>
      <w:r>
        <w:tab/>
        <w:t>11</w:t>
      </w:r>
    </w:p>
    <w:p>
      <w:pPr>
        <w:pStyle w:val="DefinedTerms"/>
      </w:pPr>
      <w:r>
        <w:t>Part 7 order</w:t>
      </w:r>
      <w:r>
        <w:tab/>
        <w:t>11</w:t>
      </w:r>
    </w:p>
    <w:p>
      <w:pPr>
        <w:pStyle w:val="DefinedTerms"/>
      </w:pPr>
      <w:r>
        <w:t>parties</w:t>
      </w:r>
      <w:r>
        <w:tab/>
        <w:t>11, 100</w:t>
      </w:r>
    </w:p>
    <w:p>
      <w:pPr>
        <w:pStyle w:val="DefinedTerms"/>
      </w:pPr>
      <w:r>
        <w:t>persons to be consulted</w:t>
      </w:r>
      <w:r>
        <w:tab/>
        <w:t>11, 100</w:t>
      </w:r>
    </w:p>
    <w:p>
      <w:pPr>
        <w:pStyle w:val="DefinedTerms"/>
      </w:pPr>
      <w:r>
        <w:t>persons to be notified</w:t>
      </w:r>
      <w:r>
        <w:tab/>
        <w:t>11, 100</w:t>
      </w:r>
    </w:p>
    <w:p>
      <w:pPr>
        <w:pStyle w:val="DefinedTerms"/>
      </w:pPr>
      <w:r>
        <w:t>prescribed</w:t>
      </w:r>
      <w:r>
        <w:tab/>
        <w:t>11</w:t>
      </w:r>
    </w:p>
    <w:p>
      <w:pPr>
        <w:pStyle w:val="DefinedTerms"/>
      </w:pPr>
      <w:r>
        <w:t>prohibition order</w:t>
      </w:r>
      <w:r>
        <w:tab/>
        <w:t>11</w:t>
      </w:r>
    </w:p>
    <w:p>
      <w:pPr>
        <w:pStyle w:val="DefinedTerms"/>
      </w:pPr>
      <w:r>
        <w:t>proponent</w:t>
      </w:r>
      <w:r>
        <w:tab/>
        <w:t>11, 100</w:t>
      </w:r>
    </w:p>
    <w:p>
      <w:pPr>
        <w:pStyle w:val="DefinedTerms"/>
      </w:pPr>
      <w:r>
        <w:t>proposed activity</w:t>
      </w:r>
      <w:r>
        <w:tab/>
        <w:t>11, 100</w:t>
      </w:r>
    </w:p>
    <w:p>
      <w:pPr>
        <w:pStyle w:val="DefinedTerms"/>
      </w:pPr>
      <w:r>
        <w:t>protected area</w:t>
      </w:r>
      <w:r>
        <w:tab/>
        <w:t>11</w:t>
      </w:r>
    </w:p>
    <w:p>
      <w:pPr>
        <w:pStyle w:val="DefinedTerms"/>
      </w:pPr>
      <w:r>
        <w:t>protected area order</w:t>
      </w:r>
      <w:r>
        <w:tab/>
        <w:t>11</w:t>
      </w:r>
    </w:p>
    <w:p>
      <w:pPr>
        <w:pStyle w:val="DefinedTerms"/>
      </w:pPr>
      <w:r>
        <w:t>protected area order guidelines</w:t>
      </w:r>
      <w:r>
        <w:tab/>
        <w:t>11</w:t>
      </w:r>
    </w:p>
    <w:p>
      <w:pPr>
        <w:pStyle w:val="DefinedTerms"/>
      </w:pPr>
      <w:r>
        <w:t>public authority</w:t>
      </w:r>
      <w:r>
        <w:tab/>
        <w:t>11</w:t>
      </w:r>
    </w:p>
    <w:p>
      <w:pPr>
        <w:pStyle w:val="DefinedTerms"/>
      </w:pPr>
      <w:r>
        <w:t>public notice</w:t>
      </w:r>
      <w:r>
        <w:tab/>
        <w:t>11</w:t>
      </w:r>
    </w:p>
    <w:p>
      <w:pPr>
        <w:pStyle w:val="DefinedTerms"/>
      </w:pPr>
      <w:r>
        <w:t>regional corporation</w:t>
      </w:r>
      <w:r>
        <w:tab/>
        <w:t>11</w:t>
      </w:r>
    </w:p>
    <w:p>
      <w:pPr>
        <w:pStyle w:val="DefinedTerms"/>
      </w:pPr>
      <w:r>
        <w:t>registered native title body corporate</w:t>
      </w:r>
      <w:r>
        <w:tab/>
        <w:t>11</w:t>
      </w:r>
    </w:p>
    <w:p>
      <w:pPr>
        <w:pStyle w:val="DefinedTerms"/>
      </w:pPr>
      <w:r>
        <w:t>registered native title claimant</w:t>
      </w:r>
      <w:r>
        <w:tab/>
        <w:t>11</w:t>
      </w:r>
    </w:p>
    <w:p>
      <w:pPr>
        <w:pStyle w:val="DefinedTerms"/>
      </w:pPr>
      <w:r>
        <w:t>related agreement</w:t>
      </w:r>
      <w:r>
        <w:tab/>
        <w:t>11, 100</w:t>
      </w:r>
    </w:p>
    <w:p>
      <w:pPr>
        <w:pStyle w:val="DefinedTerms"/>
      </w:pPr>
      <w:r>
        <w:t>remediation order</w:t>
      </w:r>
      <w:r>
        <w:tab/>
        <w:t>11</w:t>
      </w:r>
    </w:p>
    <w:p>
      <w:pPr>
        <w:pStyle w:val="DefinedTerms"/>
      </w:pPr>
      <w:r>
        <w:t>repeal day</w:t>
      </w:r>
      <w:r>
        <w:tab/>
        <w:t>2, 11</w:t>
      </w:r>
    </w:p>
    <w:p>
      <w:pPr>
        <w:pStyle w:val="DefinedTerms"/>
      </w:pPr>
      <w:r>
        <w:lastRenderedPageBreak/>
        <w:t>secret or sacred object</w:t>
      </w:r>
      <w:r>
        <w:tab/>
        <w:t>11</w:t>
      </w:r>
    </w:p>
    <w:p>
      <w:pPr>
        <w:pStyle w:val="DefinedTerms"/>
      </w:pPr>
      <w:r>
        <w:t>serious</w:t>
      </w:r>
      <w:r>
        <w:tab/>
        <w:t>11</w:t>
      </w:r>
    </w:p>
    <w:p>
      <w:pPr>
        <w:pStyle w:val="DefinedTerms"/>
      </w:pPr>
      <w:r>
        <w:t>settlement ILUA</w:t>
      </w:r>
      <w:r>
        <w:tab/>
        <w:t>11</w:t>
      </w:r>
    </w:p>
    <w:p>
      <w:pPr>
        <w:pStyle w:val="DefinedTerms"/>
      </w:pPr>
      <w:r>
        <w:t>specified</w:t>
      </w:r>
      <w:r>
        <w:tab/>
        <w:t>11</w:t>
      </w:r>
    </w:p>
    <w:p>
      <w:pPr>
        <w:pStyle w:val="DefinedTerms"/>
      </w:pPr>
      <w:r>
        <w:t>State significance</w:t>
      </w:r>
      <w:r>
        <w:tab/>
        <w:t>11, 100</w:t>
      </w:r>
    </w:p>
    <w:p>
      <w:pPr>
        <w:pStyle w:val="DefinedTerms"/>
      </w:pPr>
      <w:r>
        <w:t>State significance guidelines</w:t>
      </w:r>
      <w:r>
        <w:tab/>
        <w:t>11</w:t>
      </w:r>
    </w:p>
    <w:p>
      <w:pPr>
        <w:pStyle w:val="DefinedTerms"/>
      </w:pPr>
      <w:r>
        <w:t>stop activity order</w:t>
      </w:r>
      <w:r>
        <w:tab/>
        <w:t>11</w:t>
      </w:r>
    </w:p>
    <w:p>
      <w:pPr>
        <w:pStyle w:val="DefinedTerms"/>
      </w:pPr>
      <w:r>
        <w:t>tier 1 activity</w:t>
      </w:r>
      <w:r>
        <w:tab/>
        <w:t>11, 100</w:t>
      </w:r>
    </w:p>
    <w:p>
      <w:pPr>
        <w:pStyle w:val="DefinedTerms"/>
      </w:pPr>
      <w:r>
        <w:t>tier 2 activity</w:t>
      </w:r>
      <w:r>
        <w:tab/>
        <w:t>11, 100</w:t>
      </w:r>
    </w:p>
    <w:p>
      <w:pPr>
        <w:pStyle w:val="DefinedTerms"/>
      </w:pPr>
      <w:r>
        <w:t>tier 3 activity</w:t>
      </w:r>
      <w:r>
        <w:tab/>
        <w:t>11, 100</w:t>
      </w:r>
    </w:p>
    <w:p>
      <w:pPr>
        <w:pStyle w:val="DefinedTerms"/>
      </w:pPr>
      <w:r>
        <w:t>traditional rights, interests and responsibilities</w:t>
      </w:r>
      <w:r>
        <w:tab/>
        <w:t>11</w:t>
      </w:r>
    </w:p>
    <w:p>
      <w:pPr>
        <w:pStyle w:val="DefinedTerms"/>
      </w:pPr>
      <w:r>
        <w:t>transitional AH Act section 18 consent</w:t>
      </w:r>
      <w:r>
        <w:tab/>
        <w:t>313</w:t>
      </w:r>
    </w:p>
    <w:p>
      <w:pPr>
        <w:pStyle w:val="DefinedTerms"/>
      </w:pPr>
      <w:r>
        <w:t>transitional period</w:t>
      </w:r>
      <w:r>
        <w:tab/>
        <w:t>313</w:t>
      </w:r>
    </w:p>
    <w:p>
      <w:pPr>
        <w:pStyle w:val="DefinedTerms"/>
      </w:pPr>
      <w:r>
        <w:t>transitional regulations</w:t>
      </w:r>
      <w:r>
        <w:tab/>
        <w:t>313</w:t>
      </w:r>
    </w:p>
    <w:p>
      <w:pPr>
        <w:pStyle w:val="DefinedTerms"/>
      </w:pPr>
      <w:r>
        <w:t>transition day</w:t>
      </w:r>
      <w:r>
        <w:tab/>
        <w:t>2, 11</w:t>
      </w:r>
    </w:p>
    <w:p>
      <w:pPr>
        <w:pStyle w:val="DefinedTerms"/>
      </w:pPr>
      <w:r>
        <w:t>vehicle</w:t>
      </w:r>
      <w:r>
        <w:tab/>
        <w:t>11</w:t>
      </w:r>
    </w:p>
    <w:p>
      <w:pPr>
        <w:pStyle w:val="DefinedTerms"/>
      </w:pPr>
      <w:r>
        <w:t>WA Museum</w:t>
      </w:r>
      <w:r>
        <w:tab/>
        <w:t>11</w:t>
      </w:r>
    </w:p>
    <w:p/>
    <w:p>
      <w:pPr>
        <w:keepNext/>
        <w:sectPr>
          <w:headerReference w:type="even" r:id="rId29"/>
          <w:headerReference w:type="default" r:id="rId30"/>
          <w:pgSz w:w="11907" w:h="16840" w:code="9"/>
          <w:pgMar w:top="2381" w:right="2409" w:bottom="3543" w:left="2409" w:header="720" w:footer="3380" w:gutter="0"/>
          <w:cols w:space="720"/>
          <w:noEndnote/>
          <w:docGrid w:linePitch="326"/>
        </w:sectPr>
      </w:pPr>
    </w:p>
    <w:p>
      <w:pPr>
        <w:keepNext/>
      </w:pP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Jun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xviii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18 Jun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18 Jun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55" w:name="Compilation"/>
    <w:bookmarkEnd w:id="255"/>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58" w:name="DefinedTerms"/>
    <w:bookmarkEnd w:id="258"/>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59" w:name="Coversheet"/>
    <w:bookmarkEnd w:id="25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32801"/>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20610115350"/>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2801"/>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BACDE-9643-40AB-9F99-0E30B39E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8998</Words>
  <Characters>45261</Characters>
  <Application>Microsoft Office Word</Application>
  <DocSecurity>0</DocSecurity>
  <Lines>1371</Lines>
  <Paragraphs>861</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53398</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2021 - 00-c0-00</dc:title>
  <dc:subject/>
  <dc:creator/>
  <cp:keywords/>
  <dc:description/>
  <cp:lastModifiedBy>Master Repository Process</cp:lastModifiedBy>
  <cp:revision>4</cp:revision>
  <cp:lastPrinted>2021-11-16T04:14:00Z</cp:lastPrinted>
  <dcterms:created xsi:type="dcterms:W3CDTF">2022-06-17T01:37:00Z</dcterms:created>
  <dcterms:modified xsi:type="dcterms:W3CDTF">2022-06-17T01:37:00Z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AsAtDate">
    <vt:lpwstr>18 Jun 2022</vt:lpwstr>
  </property>
  <property fmtid="{D5CDD505-2E9C-101B-9397-08002B2CF9AE}" pid="5" name="Suffix">
    <vt:lpwstr>00-c0-00</vt:lpwstr>
  </property>
  <property fmtid="{D5CDD505-2E9C-101B-9397-08002B2CF9AE}" pid="6" name="CommencementDate">
    <vt:lpwstr>20220618</vt:lpwstr>
  </property>
</Properties>
</file>