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_Toc106111647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_Toc106111648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_Toc106111649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_Toc106111650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_Toc106111651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_Toc106111652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_Toc106111653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_Toc106111654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_Toc106111655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_Toc106111656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_Toc106111657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_Toc106111658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_Toc106111662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_Toc106111663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3" w:name="_Toc10611164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10611164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106111649"/>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106111650"/>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106111651"/>
      <w:r>
        <w:rPr>
          <w:rStyle w:val="CharSectno"/>
        </w:rPr>
        <w:lastRenderedPageBreak/>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106111652"/>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106111653"/>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106111654"/>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106111655"/>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106111656"/>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3" w:name="_Toc106111657"/>
      <w:r>
        <w:rPr>
          <w:rStyle w:val="CharSectno"/>
        </w:rPr>
        <w:t>9A</w:t>
      </w:r>
      <w:r>
        <w:t>.</w:t>
      </w:r>
      <w:r>
        <w:tab/>
        <w:t>Principal officer of health service provider</w:t>
      </w:r>
      <w:bookmarkEnd w:id="1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4" w:name="_Toc106111658"/>
      <w:r>
        <w:rPr>
          <w:rStyle w:val="CharSectno"/>
        </w:rPr>
        <w:t>10</w:t>
      </w:r>
      <w:r>
        <w:rPr>
          <w:snapToGrid w:val="0"/>
        </w:rPr>
        <w:t>.</w:t>
      </w:r>
      <w:r>
        <w:rPr>
          <w:snapToGrid w:val="0"/>
        </w:rPr>
        <w:tab/>
        <w:t>Specified bodies etc. to be regarded as part of other agencies</w:t>
      </w:r>
      <w:bookmarkEnd w:id="1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106111163"/>
      <w:bookmarkStart w:id="16" w:name="_Toc106111659"/>
      <w:r>
        <w:rPr>
          <w:rStyle w:val="CharSchNo"/>
        </w:rPr>
        <w:lastRenderedPageBreak/>
        <w:t>Schedule 1</w:t>
      </w:r>
      <w:bookmarkEnd w:id="15"/>
      <w:bookmarkEnd w:id="16"/>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7" w:name="_Toc106111164"/>
      <w:bookmarkStart w:id="18" w:name="_Toc106111660"/>
      <w:r>
        <w:rPr>
          <w:rStyle w:val="CharSchNo"/>
        </w:rPr>
        <w:lastRenderedPageBreak/>
        <w:t>Schedule 2</w:t>
      </w:r>
      <w:r>
        <w:t> — </w:t>
      </w:r>
      <w:r>
        <w:rPr>
          <w:rStyle w:val="CharSchText"/>
        </w:rPr>
        <w:t>Offices and bodies to be regarded as part of other agencies</w:t>
      </w:r>
      <w:bookmarkEnd w:id="17"/>
      <w:bookmarkEnd w:id="18"/>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Practice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Perth Theatre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Perth Theatre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Aquaculture Development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rPr>
                <w:sz w:val="20"/>
              </w:rPr>
            </w:pPr>
            <w:r>
              <w:rPr>
                <w:sz w:val="20"/>
              </w:rPr>
              <w:lastRenderedPageBreak/>
              <w:t>Department of Health</w:t>
            </w:r>
          </w:p>
        </w:tc>
        <w:tc>
          <w:tcPr>
            <w:tcW w:w="5132" w:type="dxa"/>
          </w:tcPr>
          <w:p>
            <w:pPr>
              <w:pStyle w:val="yTable"/>
              <w:keepNext/>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Country Housing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Keystart Board of Directors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lastRenderedPageBreak/>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napToGrid w:val="0"/>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rPr>
                <w:i/>
                <w:sz w:val="20"/>
              </w:rPr>
            </w:pPr>
            <w:r>
              <w:rPr>
                <w:sz w:val="20"/>
              </w:rPr>
              <w:t>Marine Parks and Reserves Authority</w:t>
            </w:r>
          </w:p>
        </w:tc>
      </w:tr>
      <w:tr>
        <w:trPr>
          <w:cantSplit/>
        </w:trPr>
        <w:tc>
          <w:tcPr>
            <w:tcW w:w="1956" w:type="dxa"/>
            <w:vMerge/>
          </w:tcPr>
          <w:p>
            <w:pPr>
              <w:pStyle w:val="yTable"/>
            </w:pPr>
          </w:p>
        </w:tc>
        <w:tc>
          <w:tcPr>
            <w:tcW w:w="5132" w:type="dxa"/>
          </w:tcPr>
          <w:p>
            <w:pPr>
              <w:pStyle w:val="yTable"/>
              <w:rPr>
                <w:i/>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rPr>
                <w:i/>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c>
          <w:tcPr>
            <w:tcW w:w="1956" w:type="dxa"/>
            <w:vMerge w:val="restart"/>
          </w:tcPr>
          <w:p>
            <w:pPr>
              <w:pStyle w:val="yTable"/>
              <w:keepNext/>
              <w:rPr>
                <w:rFonts w:eastAsia="Arial Unicode MS"/>
              </w:rPr>
            </w:pPr>
            <w:r>
              <w:rPr>
                <w:sz w:val="20"/>
              </w:rPr>
              <w:lastRenderedPageBreak/>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Gender Reassignment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Law Reporting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Mentally Impaired Accused Review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Professional Standards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sz w:val="20"/>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NAm"/>
              <w:spacing w:before="60"/>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cantSplit/>
        </w:trPr>
        <w:tc>
          <w:tcPr>
            <w:tcW w:w="1956" w:type="dxa"/>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cantSplit/>
        </w:trPr>
        <w:tc>
          <w:tcPr>
            <w:tcW w:w="1956" w:type="dxa"/>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lastRenderedPageBreak/>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vMerge/>
          </w:tcPr>
          <w:p>
            <w:pPr>
              <w:pStyle w:val="yTable"/>
            </w:pPr>
          </w:p>
        </w:tc>
        <w:tc>
          <w:tcPr>
            <w:tcW w:w="5132" w:type="dxa"/>
          </w:tcPr>
          <w:p>
            <w:pPr>
              <w:pStyle w:val="yTable"/>
              <w:ind w:left="209" w:hanging="209"/>
              <w:rPr>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cantSplit/>
        </w:trPr>
        <w:tc>
          <w:tcPr>
            <w:tcW w:w="1956" w:type="dxa"/>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2022/27 r. 6; SL 2022/97 r. 4.]</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 w:name="_Toc106111165"/>
      <w:bookmarkStart w:id="21" w:name="_Toc106111661"/>
      <w:r>
        <w:lastRenderedPageBreak/>
        <w:t>Notes</w:t>
      </w:r>
      <w:bookmarkEnd w:id="20"/>
      <w:bookmarkEnd w:id="21"/>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 w:name="_Toc106111662"/>
      <w:r>
        <w:t>Compilation table</w:t>
      </w:r>
      <w:bookmarkEnd w:id="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23" w:name="RuleErr_8"/>
            <w:r>
              <w:rPr>
                <w:i/>
              </w:rPr>
              <w:lastRenderedPageBreak/>
              <w:t>Freedom of Information Amendment Regulations 2013</w:t>
            </w:r>
            <w:bookmarkEnd w:id="23"/>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(Veterinary Practice) Regulations 2022</w:t>
            </w:r>
            <w:r>
              <w:t xml:space="preserve"> Pt. 2</w:t>
            </w:r>
          </w:p>
        </w:tc>
        <w:tc>
          <w:tcPr>
            <w:tcW w:w="1276" w:type="dxa"/>
            <w:tcBorders>
              <w:bottom w:val="single" w:sz="4" w:space="0" w:color="auto"/>
            </w:tcBorders>
          </w:tcPr>
          <w:p>
            <w:pPr>
              <w:pStyle w:val="nTable"/>
              <w:keepNext/>
              <w:spacing w:after="40"/>
            </w:pPr>
            <w:r>
              <w:t>SL 2022/97 17 Jun 2022</w:t>
            </w:r>
          </w:p>
        </w:tc>
        <w:tc>
          <w:tcPr>
            <w:tcW w:w="2693" w:type="dxa"/>
            <w:tcBorders>
              <w:bottom w:val="single" w:sz="4" w:space="0" w:color="auto"/>
            </w:tcBorders>
          </w:tcPr>
          <w:p>
            <w:pPr>
              <w:pStyle w:val="nTable"/>
              <w:keepNext/>
              <w:spacing w:after="40"/>
            </w:pPr>
            <w:r>
              <w:rPr>
                <w:bCs/>
                <w:snapToGrid w:val="0"/>
              </w:rPr>
              <w:t>18 Jun 2022 (see r. 2(b) and SL 2022/81 cl. 2)</w:t>
            </w:r>
          </w:p>
        </w:tc>
      </w:tr>
    </w:tbl>
    <w:p>
      <w:pPr>
        <w:pStyle w:val="nHeading3"/>
      </w:pPr>
      <w:bookmarkStart w:id="24" w:name="_Toc106111663"/>
      <w:r>
        <w:lastRenderedPageBreak/>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Freedom of Information Amendment Regulations 2022 </w:t>
            </w:r>
            <w:r>
              <w:t>r. 3 and  4</w:t>
            </w:r>
          </w:p>
        </w:tc>
        <w:tc>
          <w:tcPr>
            <w:tcW w:w="1276" w:type="dxa"/>
            <w:tcBorders>
              <w:bottom w:val="single" w:sz="4" w:space="0" w:color="auto"/>
            </w:tcBorders>
          </w:tcPr>
          <w:p>
            <w:pPr>
              <w:pStyle w:val="nTable"/>
              <w:spacing w:after="40"/>
            </w:pPr>
            <w:r>
              <w:t>SL 2022/5 18 Jan 2022</w:t>
            </w:r>
          </w:p>
        </w:tc>
        <w:tc>
          <w:tcPr>
            <w:tcW w:w="2693" w:type="dxa"/>
            <w:tcBorders>
              <w:bottom w:val="single" w:sz="4" w:space="0" w:color="auto"/>
            </w:tcBorders>
          </w:tcPr>
          <w:p>
            <w:pPr>
              <w:pStyle w:val="nTable"/>
              <w:spacing w:after="40"/>
            </w:pPr>
            <w:r>
              <w:t>1 Jul 2022 (see r. 2(b) and SL 2022/77 cl. 2)</w:t>
            </w:r>
          </w:p>
        </w:tc>
      </w:tr>
    </w:tbl>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lastRenderedPageBreak/>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6" w:name="_Toc106111168"/>
      <w:bookmarkStart w:id="27" w:name="_Toc106111664"/>
      <w:r>
        <w:rPr>
          <w:sz w:val="28"/>
        </w:rPr>
        <w:lastRenderedPageBreak/>
        <w:t>Defined terms</w:t>
      </w:r>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45526"/>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BBB48-45A5-427F-B441-6553288FB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4659</Words>
  <Characters>27493</Characters>
  <Application>Microsoft Office Word</Application>
  <DocSecurity>0</DocSecurity>
  <Lines>1249</Lines>
  <Paragraphs>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1993 - 02-k0-00</dc:title>
  <dc:subject/>
  <dc:creator/>
  <cp:keywords/>
  <dc:description/>
  <cp:lastModifiedBy>Master Repository Process</cp:lastModifiedBy>
  <cp:revision>4</cp:revision>
  <cp:lastPrinted>2021-07-27T01:34:00Z</cp:lastPrinted>
  <dcterms:created xsi:type="dcterms:W3CDTF">2022-06-17T02:37:00Z</dcterms:created>
  <dcterms:modified xsi:type="dcterms:W3CDTF">2022-06-17T02:37:00Z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18 Jun 2022</vt:lpwstr>
  </property>
  <property fmtid="{D5CDD505-2E9C-101B-9397-08002B2CF9AE}" pid="8" name="Suffix">
    <vt:lpwstr>02-k0-00</vt:lpwstr>
  </property>
  <property fmtid="{D5CDD505-2E9C-101B-9397-08002B2CF9AE}" pid="9" name="CommencementDate">
    <vt:lpwstr>20220618</vt:lpwstr>
  </property>
</Properties>
</file>